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2.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3.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4.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5.xml" ContentType="application/vnd.openxmlformats-officedocument.themeOverrid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theme/themeOverride6.xml" ContentType="application/vnd.openxmlformats-officedocument.themeOverride+xml"/>
  <Override PartName="/word/charts/chart20.xml" ContentType="application/vnd.openxmlformats-officedocument.drawingml.chart+xml"/>
  <Override PartName="/word/theme/themeOverride7.xml" ContentType="application/vnd.openxmlformats-officedocument.themeOverride+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charts/chart21.xml" ContentType="application/vnd.openxmlformats-officedocument.drawingml.chart+xml"/>
  <Override PartName="/word/theme/themeOverride8.xml" ContentType="application/vnd.openxmlformats-officedocument.themeOverride+xml"/>
  <Override PartName="/word/charts/chart22.xml" ContentType="application/vnd.openxmlformats-officedocument.drawingml.chart+xml"/>
  <Override PartName="/word/theme/themeOverride9.xml" ContentType="application/vnd.openxmlformats-officedocument.themeOverride+xml"/>
  <Override PartName="/word/charts/chart23.xml" ContentType="application/vnd.openxmlformats-officedocument.drawingml.chart+xml"/>
  <Override PartName="/word/theme/themeOverride10.xml" ContentType="application/vnd.openxmlformats-officedocument.themeOverride+xml"/>
  <Override PartName="/word/charts/chart24.xml" ContentType="application/vnd.openxmlformats-officedocument.drawingml.chart+xml"/>
  <Override PartName="/word/theme/themeOverride11.xml" ContentType="application/vnd.openxmlformats-officedocument.themeOverride+xml"/>
  <Override PartName="/word/charts/chart25.xml" ContentType="application/vnd.openxmlformats-officedocument.drawingml.chart+xml"/>
  <Override PartName="/word/theme/themeOverride12.xml" ContentType="application/vnd.openxmlformats-officedocument.themeOverride+xml"/>
  <Override PartName="/word/charts/chart26.xml" ContentType="application/vnd.openxmlformats-officedocument.drawingml.chart+xml"/>
  <Override PartName="/word/theme/themeOverride13.xml" ContentType="application/vnd.openxmlformats-officedocument.themeOverride+xml"/>
  <Override PartName="/word/charts/chart27.xml" ContentType="application/vnd.openxmlformats-officedocument.drawingml.chart+xml"/>
  <Override PartName="/word/theme/themeOverride14.xml" ContentType="application/vnd.openxmlformats-officedocument.themeOverride+xml"/>
  <Override PartName="/word/charts/chart28.xml" ContentType="application/vnd.openxmlformats-officedocument.drawingml.chart+xml"/>
  <Override PartName="/word/theme/themeOverride15.xml" ContentType="application/vnd.openxmlformats-officedocument.themeOverride+xml"/>
  <Override PartName="/word/charts/chart29.xml" ContentType="application/vnd.openxmlformats-officedocument.drawingml.chart+xml"/>
  <Override PartName="/word/theme/themeOverride16.xml" ContentType="application/vnd.openxmlformats-officedocument.themeOverride+xml"/>
  <Override PartName="/word/charts/chart30.xml" ContentType="application/vnd.openxmlformats-officedocument.drawingml.chart+xml"/>
  <Override PartName="/word/theme/themeOverride17.xml" ContentType="application/vnd.openxmlformats-officedocument.themeOverride+xml"/>
  <Override PartName="/word/charts/chart31.xml" ContentType="application/vnd.openxmlformats-officedocument.drawingml.chart+xml"/>
  <Override PartName="/word/theme/themeOverride18.xml" ContentType="application/vnd.openxmlformats-officedocument.themeOverride+xml"/>
  <Override PartName="/word/charts/chart32.xml" ContentType="application/vnd.openxmlformats-officedocument.drawingml.chart+xml"/>
  <Override PartName="/word/theme/themeOverride19.xml" ContentType="application/vnd.openxmlformats-officedocument.themeOverride+xml"/>
  <Override PartName="/word/charts/chart33.xml" ContentType="application/vnd.openxmlformats-officedocument.drawingml.chart+xml"/>
  <Override PartName="/word/theme/themeOverride20.xml" ContentType="application/vnd.openxmlformats-officedocument.themeOverride+xml"/>
  <Override PartName="/word/charts/chart34.xml" ContentType="application/vnd.openxmlformats-officedocument.drawingml.chart+xml"/>
  <Override PartName="/word/theme/themeOverride21.xml" ContentType="application/vnd.openxmlformats-officedocument.themeOverride+xml"/>
  <Override PartName="/word/charts/chart35.xml" ContentType="application/vnd.openxmlformats-officedocument.drawingml.chart+xml"/>
  <Override PartName="/word/theme/themeOverride22.xml" ContentType="application/vnd.openxmlformats-officedocument.themeOverride+xml"/>
  <Override PartName="/word/charts/chart36.xml" ContentType="application/vnd.openxmlformats-officedocument.drawingml.chart+xml"/>
  <Override PartName="/word/theme/themeOverride23.xml" ContentType="application/vnd.openxmlformats-officedocument.themeOverride+xml"/>
  <Override PartName="/word/charts/chart37.xml" ContentType="application/vnd.openxmlformats-officedocument.drawingml.chart+xml"/>
  <Override PartName="/word/theme/themeOverride24.xml" ContentType="application/vnd.openxmlformats-officedocument.themeOverride+xml"/>
  <Override PartName="/word/charts/chart38.xml" ContentType="application/vnd.openxmlformats-officedocument.drawingml.chart+xml"/>
  <Override PartName="/word/theme/themeOverride25.xml" ContentType="application/vnd.openxmlformats-officedocument.themeOverride+xml"/>
  <Override PartName="/word/charts/chart39.xml" ContentType="application/vnd.openxmlformats-officedocument.drawingml.chart+xml"/>
  <Override PartName="/word/theme/themeOverride26.xml" ContentType="application/vnd.openxmlformats-officedocument.themeOverride+xml"/>
  <Override PartName="/word/charts/chart40.xml" ContentType="application/vnd.openxmlformats-officedocument.drawingml.chart+xml"/>
  <Override PartName="/word/theme/themeOverride27.xml" ContentType="application/vnd.openxmlformats-officedocument.themeOverride+xml"/>
  <Override PartName="/word/charts/chart41.xml" ContentType="application/vnd.openxmlformats-officedocument.drawingml.chart+xml"/>
  <Override PartName="/word/theme/themeOverride28.xml" ContentType="application/vnd.openxmlformats-officedocument.themeOverride+xml"/>
  <Override PartName="/word/charts/chart42.xml" ContentType="application/vnd.openxmlformats-officedocument.drawingml.chart+xml"/>
  <Override PartName="/word/theme/themeOverride29.xml" ContentType="application/vnd.openxmlformats-officedocument.themeOverride+xml"/>
  <Override PartName="/word/charts/chart43.xml" ContentType="application/vnd.openxmlformats-officedocument.drawingml.chart+xml"/>
  <Override PartName="/word/theme/themeOverride30.xml" ContentType="application/vnd.openxmlformats-officedocument.themeOverride+xml"/>
  <Override PartName="/word/charts/chart44.xml" ContentType="application/vnd.openxmlformats-officedocument.drawingml.chart+xml"/>
  <Override PartName="/word/theme/themeOverride31.xml" ContentType="application/vnd.openxmlformats-officedocument.themeOverride+xml"/>
  <Override PartName="/word/charts/chart45.xml" ContentType="application/vnd.openxmlformats-officedocument.drawingml.chart+xml"/>
  <Override PartName="/word/theme/themeOverride32.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707323" w14:textId="77777777" w:rsidR="00662012" w:rsidRPr="005F0419" w:rsidRDefault="00662012" w:rsidP="00662012">
      <w:pPr>
        <w:spacing w:after="0" w:line="240" w:lineRule="auto"/>
        <w:jc w:val="center"/>
        <w:rPr>
          <w:rFonts w:ascii="Times New Roman" w:hAnsi="Times New Roman" w:cs="Times New Roman"/>
          <w:b/>
          <w:sz w:val="40"/>
          <w:szCs w:val="40"/>
          <w:lang w:val="uk-UA"/>
        </w:rPr>
      </w:pPr>
      <w:bookmarkStart w:id="0" w:name="_Hlk160045730"/>
      <w:bookmarkEnd w:id="0"/>
      <w:r w:rsidRPr="005F0419">
        <w:rPr>
          <w:rFonts w:ascii="Times New Roman" w:hAnsi="Times New Roman" w:cs="Times New Roman"/>
          <w:b/>
          <w:sz w:val="40"/>
          <w:szCs w:val="40"/>
          <w:lang w:val="uk-UA"/>
        </w:rPr>
        <w:t>Міністерство освіти і науки України</w:t>
      </w:r>
    </w:p>
    <w:p w14:paraId="74FDA302" w14:textId="77777777" w:rsidR="00662012" w:rsidRPr="005F0419" w:rsidRDefault="00662012" w:rsidP="00662012">
      <w:pPr>
        <w:spacing w:after="0" w:line="240" w:lineRule="auto"/>
        <w:jc w:val="center"/>
        <w:rPr>
          <w:rFonts w:ascii="Times New Roman" w:hAnsi="Times New Roman" w:cs="Times New Roman"/>
          <w:b/>
          <w:sz w:val="40"/>
          <w:szCs w:val="40"/>
          <w:lang w:val="uk-UA"/>
        </w:rPr>
      </w:pPr>
      <w:r w:rsidRPr="005F0419">
        <w:rPr>
          <w:rFonts w:ascii="Times New Roman" w:hAnsi="Times New Roman" w:cs="Times New Roman"/>
          <w:b/>
          <w:sz w:val="40"/>
          <w:szCs w:val="40"/>
          <w:lang w:val="uk-UA"/>
        </w:rPr>
        <w:t>Міжнародний гуманітарний університет</w:t>
      </w:r>
    </w:p>
    <w:p w14:paraId="416384C1" w14:textId="77777777" w:rsidR="00662012" w:rsidRPr="005F0419" w:rsidRDefault="00662012" w:rsidP="00662012">
      <w:pPr>
        <w:spacing w:after="0" w:line="240" w:lineRule="auto"/>
        <w:jc w:val="center"/>
        <w:rPr>
          <w:rFonts w:ascii="Times New Roman" w:hAnsi="Times New Roman" w:cs="Times New Roman"/>
          <w:b/>
          <w:sz w:val="40"/>
          <w:szCs w:val="40"/>
          <w:lang w:val="uk-UA"/>
        </w:rPr>
      </w:pPr>
      <w:r w:rsidRPr="005F0419">
        <w:rPr>
          <w:rFonts w:ascii="Times New Roman" w:hAnsi="Times New Roman" w:cs="Times New Roman"/>
          <w:b/>
          <w:sz w:val="40"/>
          <w:szCs w:val="40"/>
          <w:lang w:val="uk-UA"/>
        </w:rPr>
        <w:t xml:space="preserve">  </w:t>
      </w:r>
    </w:p>
    <w:p w14:paraId="21E8BD40" w14:textId="2B3CD66B" w:rsidR="00662012" w:rsidRPr="005F0419" w:rsidRDefault="00662012" w:rsidP="00662012">
      <w:pPr>
        <w:spacing w:after="0" w:line="240" w:lineRule="auto"/>
        <w:jc w:val="center"/>
        <w:rPr>
          <w:rFonts w:ascii="Times New Roman" w:hAnsi="Times New Roman" w:cs="Times New Roman"/>
          <w:noProof/>
          <w:sz w:val="40"/>
          <w:szCs w:val="40"/>
          <w:lang w:val="uk-UA"/>
        </w:rPr>
      </w:pPr>
    </w:p>
    <w:p w14:paraId="57FA99E4" w14:textId="2D820CB4" w:rsidR="00793E04" w:rsidRPr="005F0419" w:rsidRDefault="00793E04" w:rsidP="00662012">
      <w:pPr>
        <w:spacing w:after="0" w:line="240" w:lineRule="auto"/>
        <w:jc w:val="center"/>
        <w:rPr>
          <w:rFonts w:ascii="Times New Roman" w:hAnsi="Times New Roman" w:cs="Times New Roman"/>
          <w:noProof/>
          <w:sz w:val="40"/>
          <w:szCs w:val="40"/>
          <w:lang w:val="uk-UA"/>
        </w:rPr>
      </w:pPr>
    </w:p>
    <w:p w14:paraId="712E2EB4" w14:textId="13C29D04" w:rsidR="00793E04" w:rsidRPr="005F0419" w:rsidRDefault="00793E04" w:rsidP="00662012">
      <w:pPr>
        <w:spacing w:after="0" w:line="240" w:lineRule="auto"/>
        <w:jc w:val="center"/>
        <w:rPr>
          <w:rFonts w:ascii="Times New Roman" w:hAnsi="Times New Roman" w:cs="Times New Roman"/>
          <w:noProof/>
          <w:sz w:val="40"/>
          <w:szCs w:val="40"/>
          <w:lang w:val="uk-UA"/>
        </w:rPr>
      </w:pPr>
    </w:p>
    <w:p w14:paraId="2C0E4C0A" w14:textId="77777777" w:rsidR="00793E04" w:rsidRPr="005F0419" w:rsidRDefault="00793E04" w:rsidP="00662012">
      <w:pPr>
        <w:spacing w:after="0" w:line="240" w:lineRule="auto"/>
        <w:jc w:val="center"/>
        <w:rPr>
          <w:rFonts w:ascii="Times New Roman" w:hAnsi="Times New Roman" w:cs="Times New Roman"/>
          <w:b/>
          <w:sz w:val="40"/>
          <w:szCs w:val="40"/>
          <w:lang w:val="uk-UA"/>
        </w:rPr>
      </w:pPr>
    </w:p>
    <w:p w14:paraId="78B1119E" w14:textId="77777777" w:rsidR="00662012" w:rsidRPr="005F0419" w:rsidRDefault="00662012" w:rsidP="00662012">
      <w:pPr>
        <w:spacing w:after="0" w:line="240" w:lineRule="auto"/>
        <w:jc w:val="center"/>
        <w:rPr>
          <w:rFonts w:ascii="Times New Roman" w:hAnsi="Times New Roman" w:cs="Times New Roman"/>
          <w:b/>
          <w:sz w:val="40"/>
          <w:szCs w:val="40"/>
          <w:lang w:val="uk-UA"/>
        </w:rPr>
      </w:pPr>
    </w:p>
    <w:p w14:paraId="3BFDE4A4" w14:textId="77777777" w:rsidR="00662012" w:rsidRPr="005F0419" w:rsidRDefault="00662012" w:rsidP="00662012">
      <w:pPr>
        <w:spacing w:after="0" w:line="240" w:lineRule="auto"/>
        <w:jc w:val="center"/>
        <w:rPr>
          <w:rFonts w:ascii="Times New Roman" w:hAnsi="Times New Roman" w:cs="Times New Roman"/>
          <w:b/>
          <w:sz w:val="40"/>
          <w:szCs w:val="40"/>
          <w:lang w:val="uk-UA"/>
        </w:rPr>
      </w:pPr>
    </w:p>
    <w:p w14:paraId="1639465E" w14:textId="77777777" w:rsidR="00662012" w:rsidRPr="005F0419" w:rsidRDefault="00662012" w:rsidP="00662012">
      <w:pPr>
        <w:spacing w:after="0" w:line="240" w:lineRule="auto"/>
        <w:jc w:val="center"/>
        <w:rPr>
          <w:rFonts w:ascii="Times New Roman" w:hAnsi="Times New Roman" w:cs="Times New Roman"/>
          <w:b/>
          <w:bCs/>
          <w:sz w:val="40"/>
          <w:szCs w:val="40"/>
          <w:lang w:val="uk-UA"/>
        </w:rPr>
      </w:pPr>
    </w:p>
    <w:p w14:paraId="2E4D2F02" w14:textId="77777777" w:rsidR="00662012" w:rsidRPr="005F0419" w:rsidRDefault="00662012" w:rsidP="00662012">
      <w:pPr>
        <w:spacing w:after="0" w:line="240" w:lineRule="auto"/>
        <w:jc w:val="center"/>
        <w:rPr>
          <w:rFonts w:ascii="Times New Roman" w:hAnsi="Times New Roman" w:cs="Times New Roman"/>
          <w:b/>
          <w:bCs/>
          <w:sz w:val="40"/>
          <w:szCs w:val="40"/>
          <w:lang w:val="uk-UA"/>
        </w:rPr>
      </w:pPr>
      <w:r w:rsidRPr="005F0419">
        <w:rPr>
          <w:rFonts w:ascii="Times New Roman" w:hAnsi="Times New Roman" w:cs="Times New Roman"/>
          <w:b/>
          <w:bCs/>
          <w:sz w:val="40"/>
          <w:szCs w:val="40"/>
          <w:lang w:val="uk-UA"/>
        </w:rPr>
        <w:t xml:space="preserve">ПЕРСПЕКТИВИ </w:t>
      </w:r>
    </w:p>
    <w:p w14:paraId="621135AB" w14:textId="77777777" w:rsidR="00662012" w:rsidRPr="005F0419" w:rsidRDefault="00662012" w:rsidP="00662012">
      <w:pPr>
        <w:spacing w:after="0" w:line="240" w:lineRule="auto"/>
        <w:jc w:val="center"/>
        <w:rPr>
          <w:rFonts w:ascii="Times New Roman" w:hAnsi="Times New Roman" w:cs="Times New Roman"/>
          <w:b/>
          <w:bCs/>
          <w:sz w:val="40"/>
          <w:szCs w:val="40"/>
          <w:lang w:val="uk-UA"/>
        </w:rPr>
      </w:pPr>
      <w:r w:rsidRPr="005F0419">
        <w:rPr>
          <w:rFonts w:ascii="Times New Roman" w:hAnsi="Times New Roman" w:cs="Times New Roman"/>
          <w:b/>
          <w:bCs/>
          <w:sz w:val="40"/>
          <w:szCs w:val="40"/>
          <w:lang w:val="uk-UA"/>
        </w:rPr>
        <w:t xml:space="preserve">ЕФЕКТИВНИХ УПРАВЛІНСЬКИХ РІШЕНЬ </w:t>
      </w:r>
    </w:p>
    <w:p w14:paraId="4944C813" w14:textId="77777777" w:rsidR="00662012" w:rsidRPr="005F0419" w:rsidRDefault="00662012" w:rsidP="00662012">
      <w:pPr>
        <w:spacing w:after="0" w:line="240" w:lineRule="auto"/>
        <w:jc w:val="center"/>
        <w:rPr>
          <w:rFonts w:ascii="Times New Roman" w:hAnsi="Times New Roman" w:cs="Times New Roman"/>
          <w:b/>
          <w:bCs/>
          <w:sz w:val="40"/>
          <w:szCs w:val="40"/>
          <w:lang w:val="uk-UA"/>
        </w:rPr>
      </w:pPr>
      <w:r w:rsidRPr="005F0419">
        <w:rPr>
          <w:rFonts w:ascii="Times New Roman" w:hAnsi="Times New Roman" w:cs="Times New Roman"/>
          <w:b/>
          <w:bCs/>
          <w:sz w:val="40"/>
          <w:szCs w:val="40"/>
          <w:lang w:val="uk-UA"/>
        </w:rPr>
        <w:t>У БІЗНЕСІ ТА ПРОЄКТАХ</w:t>
      </w:r>
    </w:p>
    <w:p w14:paraId="6EBC4A68" w14:textId="77777777" w:rsidR="00662012" w:rsidRPr="005F0419" w:rsidRDefault="00662012" w:rsidP="00662012">
      <w:pPr>
        <w:spacing w:after="0" w:line="240" w:lineRule="auto"/>
        <w:jc w:val="center"/>
        <w:rPr>
          <w:rFonts w:ascii="Times New Roman" w:hAnsi="Times New Roman" w:cs="Times New Roman"/>
          <w:b/>
          <w:bCs/>
          <w:sz w:val="40"/>
          <w:szCs w:val="40"/>
          <w:lang w:val="uk-UA"/>
        </w:rPr>
      </w:pPr>
    </w:p>
    <w:p w14:paraId="487F58E3" w14:textId="77777777" w:rsidR="00662012" w:rsidRPr="005F0419" w:rsidRDefault="00662012" w:rsidP="00662012">
      <w:pPr>
        <w:spacing w:after="0" w:line="240" w:lineRule="auto"/>
        <w:jc w:val="center"/>
        <w:rPr>
          <w:rFonts w:ascii="Times New Roman" w:hAnsi="Times New Roman" w:cs="Times New Roman"/>
          <w:b/>
          <w:bCs/>
          <w:sz w:val="40"/>
          <w:szCs w:val="40"/>
          <w:lang w:val="uk-UA"/>
        </w:rPr>
      </w:pPr>
    </w:p>
    <w:p w14:paraId="5881E5E3" w14:textId="77777777" w:rsidR="00662012" w:rsidRPr="005F0419" w:rsidRDefault="00662012" w:rsidP="00662012">
      <w:pPr>
        <w:spacing w:after="0" w:line="240" w:lineRule="auto"/>
        <w:jc w:val="center"/>
        <w:rPr>
          <w:rFonts w:ascii="Times New Roman" w:hAnsi="Times New Roman" w:cs="Times New Roman"/>
          <w:b/>
          <w:bCs/>
          <w:sz w:val="40"/>
          <w:szCs w:val="40"/>
          <w:lang w:val="uk-UA"/>
        </w:rPr>
      </w:pPr>
    </w:p>
    <w:p w14:paraId="0A5D251D" w14:textId="77777777" w:rsidR="00662012" w:rsidRPr="005F0419" w:rsidRDefault="00662012" w:rsidP="00662012">
      <w:pPr>
        <w:spacing w:after="0" w:line="240" w:lineRule="auto"/>
        <w:jc w:val="center"/>
        <w:rPr>
          <w:rFonts w:ascii="Times New Roman" w:hAnsi="Times New Roman" w:cs="Times New Roman"/>
          <w:b/>
          <w:bCs/>
          <w:sz w:val="40"/>
          <w:szCs w:val="40"/>
          <w:lang w:val="uk-UA"/>
        </w:rPr>
      </w:pPr>
      <w:r w:rsidRPr="005F0419">
        <w:rPr>
          <w:rFonts w:ascii="Times New Roman" w:hAnsi="Times New Roman" w:cs="Times New Roman"/>
          <w:b/>
          <w:bCs/>
          <w:sz w:val="40"/>
          <w:szCs w:val="40"/>
          <w:lang w:val="uk-UA"/>
        </w:rPr>
        <w:t>Колективна монографія</w:t>
      </w:r>
    </w:p>
    <w:p w14:paraId="32656F60" w14:textId="77777777" w:rsidR="00662012" w:rsidRPr="005F0419" w:rsidRDefault="00662012" w:rsidP="00662012">
      <w:pPr>
        <w:spacing w:after="0" w:line="240" w:lineRule="auto"/>
        <w:jc w:val="center"/>
        <w:rPr>
          <w:rFonts w:ascii="Times New Roman" w:hAnsi="Times New Roman" w:cs="Times New Roman"/>
          <w:b/>
          <w:bCs/>
          <w:sz w:val="40"/>
          <w:szCs w:val="40"/>
          <w:lang w:val="uk-UA"/>
        </w:rPr>
      </w:pPr>
    </w:p>
    <w:p w14:paraId="786E854C" w14:textId="77777777" w:rsidR="00662012" w:rsidRPr="005F0419" w:rsidRDefault="00662012" w:rsidP="00662012">
      <w:pPr>
        <w:spacing w:after="0" w:line="240" w:lineRule="auto"/>
        <w:jc w:val="center"/>
        <w:rPr>
          <w:rFonts w:ascii="Times New Roman" w:hAnsi="Times New Roman" w:cs="Times New Roman"/>
          <w:b/>
          <w:bCs/>
          <w:sz w:val="40"/>
          <w:szCs w:val="40"/>
          <w:lang w:val="uk-UA"/>
        </w:rPr>
      </w:pPr>
    </w:p>
    <w:p w14:paraId="42FCA321" w14:textId="77777777" w:rsidR="00662012" w:rsidRPr="005F0419" w:rsidRDefault="00662012" w:rsidP="00662012">
      <w:pPr>
        <w:spacing w:after="0" w:line="240" w:lineRule="auto"/>
        <w:jc w:val="center"/>
        <w:rPr>
          <w:rFonts w:ascii="Times New Roman" w:hAnsi="Times New Roman" w:cs="Times New Roman"/>
          <w:b/>
          <w:bCs/>
          <w:sz w:val="40"/>
          <w:szCs w:val="40"/>
          <w:lang w:val="uk-UA"/>
        </w:rPr>
      </w:pPr>
    </w:p>
    <w:p w14:paraId="710AFFD4" w14:textId="77777777" w:rsidR="00662012" w:rsidRPr="005F0419" w:rsidRDefault="00662012" w:rsidP="00662012">
      <w:pPr>
        <w:spacing w:after="0" w:line="240" w:lineRule="auto"/>
        <w:jc w:val="center"/>
        <w:rPr>
          <w:rFonts w:ascii="Times New Roman" w:hAnsi="Times New Roman" w:cs="Times New Roman"/>
          <w:b/>
          <w:bCs/>
          <w:sz w:val="24"/>
          <w:szCs w:val="24"/>
          <w:lang w:val="uk-UA"/>
        </w:rPr>
      </w:pPr>
    </w:p>
    <w:p w14:paraId="4E0555DC" w14:textId="77777777" w:rsidR="00662012" w:rsidRPr="005F0419" w:rsidRDefault="00662012" w:rsidP="00662012">
      <w:pPr>
        <w:spacing w:after="0" w:line="240" w:lineRule="auto"/>
        <w:jc w:val="center"/>
        <w:rPr>
          <w:rFonts w:ascii="Times New Roman" w:hAnsi="Times New Roman" w:cs="Times New Roman"/>
          <w:b/>
          <w:sz w:val="24"/>
          <w:szCs w:val="24"/>
          <w:lang w:val="uk-UA"/>
        </w:rPr>
      </w:pPr>
    </w:p>
    <w:p w14:paraId="3DBBBDDA" w14:textId="77777777" w:rsidR="00662012" w:rsidRPr="005F0419" w:rsidRDefault="00662012" w:rsidP="00662012">
      <w:pPr>
        <w:spacing w:after="0"/>
        <w:rPr>
          <w:rFonts w:ascii="Times New Roman" w:hAnsi="Times New Roman" w:cs="Times New Roman"/>
          <w:lang w:val="uk-UA"/>
        </w:rPr>
      </w:pPr>
    </w:p>
    <w:p w14:paraId="666F215F" w14:textId="77777777" w:rsidR="00662012" w:rsidRPr="005F0419" w:rsidRDefault="00662012" w:rsidP="00662012">
      <w:pPr>
        <w:spacing w:after="0"/>
        <w:rPr>
          <w:rFonts w:ascii="Times New Roman" w:hAnsi="Times New Roman" w:cs="Times New Roman"/>
          <w:lang w:val="uk-UA"/>
        </w:rPr>
      </w:pPr>
    </w:p>
    <w:p w14:paraId="506016CC" w14:textId="77777777" w:rsidR="00662012" w:rsidRPr="005F0419" w:rsidRDefault="00662012" w:rsidP="00662012">
      <w:pPr>
        <w:spacing w:after="0"/>
        <w:rPr>
          <w:rFonts w:ascii="Times New Roman" w:hAnsi="Times New Roman" w:cs="Times New Roman"/>
          <w:lang w:val="uk-UA"/>
        </w:rPr>
      </w:pPr>
    </w:p>
    <w:p w14:paraId="11576F6C" w14:textId="77777777" w:rsidR="00662012" w:rsidRPr="005F0419" w:rsidRDefault="00662012" w:rsidP="00662012">
      <w:pPr>
        <w:spacing w:after="0"/>
        <w:rPr>
          <w:rFonts w:ascii="Times New Roman" w:hAnsi="Times New Roman" w:cs="Times New Roman"/>
          <w:lang w:val="uk-UA"/>
        </w:rPr>
      </w:pPr>
    </w:p>
    <w:p w14:paraId="625A3782" w14:textId="77777777" w:rsidR="00662012" w:rsidRPr="005F0419" w:rsidRDefault="00662012" w:rsidP="00662012">
      <w:pPr>
        <w:spacing w:after="0"/>
        <w:rPr>
          <w:rFonts w:ascii="Times New Roman" w:hAnsi="Times New Roman" w:cs="Times New Roman"/>
          <w:lang w:val="uk-UA"/>
        </w:rPr>
      </w:pPr>
    </w:p>
    <w:p w14:paraId="3A1055B0" w14:textId="77777777" w:rsidR="00662012" w:rsidRPr="005F0419" w:rsidRDefault="00662012" w:rsidP="00662012">
      <w:pPr>
        <w:spacing w:after="0"/>
        <w:rPr>
          <w:rFonts w:ascii="Times New Roman" w:hAnsi="Times New Roman" w:cs="Times New Roman"/>
          <w:lang w:val="uk-UA"/>
        </w:rPr>
      </w:pPr>
    </w:p>
    <w:p w14:paraId="1FB40427" w14:textId="77777777" w:rsidR="00662012" w:rsidRPr="005F0419" w:rsidRDefault="00662012" w:rsidP="00662012">
      <w:pPr>
        <w:spacing w:after="0"/>
        <w:rPr>
          <w:rFonts w:ascii="Times New Roman" w:hAnsi="Times New Roman" w:cs="Times New Roman"/>
          <w:lang w:val="uk-UA"/>
        </w:rPr>
      </w:pPr>
    </w:p>
    <w:p w14:paraId="580FFD05" w14:textId="77777777" w:rsidR="00662012" w:rsidRPr="005F0419" w:rsidRDefault="00662012" w:rsidP="00662012">
      <w:pPr>
        <w:spacing w:after="0"/>
        <w:rPr>
          <w:rFonts w:ascii="Times New Roman" w:hAnsi="Times New Roman" w:cs="Times New Roman"/>
          <w:lang w:val="uk-UA"/>
        </w:rPr>
      </w:pPr>
    </w:p>
    <w:p w14:paraId="786A9323" w14:textId="77777777" w:rsidR="00662012" w:rsidRPr="005F0419" w:rsidRDefault="00662012" w:rsidP="00662012">
      <w:pPr>
        <w:spacing w:after="0"/>
        <w:rPr>
          <w:rFonts w:ascii="Times New Roman" w:hAnsi="Times New Roman" w:cs="Times New Roman"/>
          <w:lang w:val="uk-UA"/>
        </w:rPr>
      </w:pPr>
    </w:p>
    <w:p w14:paraId="2B9B9C41" w14:textId="77777777" w:rsidR="00662012" w:rsidRPr="005F0419" w:rsidRDefault="00662012" w:rsidP="00662012">
      <w:pPr>
        <w:spacing w:after="0"/>
        <w:rPr>
          <w:rFonts w:ascii="Times New Roman" w:hAnsi="Times New Roman" w:cs="Times New Roman"/>
          <w:lang w:val="uk-UA"/>
        </w:rPr>
      </w:pPr>
    </w:p>
    <w:p w14:paraId="0BC62AE1" w14:textId="77777777" w:rsidR="00662012" w:rsidRPr="005F0419" w:rsidRDefault="00662012" w:rsidP="00662012">
      <w:pPr>
        <w:spacing w:after="0"/>
        <w:rPr>
          <w:rFonts w:ascii="Times New Roman" w:hAnsi="Times New Roman" w:cs="Times New Roman"/>
          <w:lang w:val="uk-UA"/>
        </w:rPr>
      </w:pPr>
    </w:p>
    <w:p w14:paraId="0C78233D" w14:textId="77777777" w:rsidR="00EE578D" w:rsidRDefault="00EE578D" w:rsidP="00662012">
      <w:pPr>
        <w:spacing w:after="0"/>
        <w:jc w:val="center"/>
        <w:rPr>
          <w:rFonts w:ascii="Times New Roman" w:hAnsi="Times New Roman" w:cs="Times New Roman"/>
          <w:lang w:val="uk-UA"/>
        </w:rPr>
      </w:pPr>
    </w:p>
    <w:p w14:paraId="79DEB120" w14:textId="77777777" w:rsidR="00EE578D" w:rsidRDefault="00EE578D" w:rsidP="00662012">
      <w:pPr>
        <w:spacing w:after="0"/>
        <w:jc w:val="center"/>
        <w:rPr>
          <w:rFonts w:ascii="Times New Roman" w:hAnsi="Times New Roman" w:cs="Times New Roman"/>
          <w:lang w:val="uk-UA"/>
        </w:rPr>
      </w:pPr>
    </w:p>
    <w:p w14:paraId="4C67B53B" w14:textId="7DCB6E20" w:rsidR="00662012" w:rsidRPr="005F0419" w:rsidRDefault="00773C61" w:rsidP="00662012">
      <w:pPr>
        <w:spacing w:after="0"/>
        <w:jc w:val="center"/>
        <w:rPr>
          <w:rFonts w:ascii="Times New Roman" w:hAnsi="Times New Roman" w:cs="Times New Roman"/>
          <w:lang w:val="uk-UA"/>
        </w:rPr>
      </w:pPr>
      <w:r w:rsidRPr="005F0419">
        <w:rPr>
          <w:rFonts w:ascii="Times New Roman" w:hAnsi="Times New Roman" w:cs="Times New Roman"/>
          <w:noProof/>
          <w:lang w:val="uk-UA"/>
        </w:rPr>
        <mc:AlternateContent>
          <mc:Choice Requires="wps">
            <w:drawing>
              <wp:anchor distT="0" distB="0" distL="114300" distR="114300" simplePos="0" relativeHeight="251698176" behindDoc="0" locked="0" layoutInCell="1" allowOverlap="1" wp14:anchorId="29790A65" wp14:editId="7180B15A">
                <wp:simplePos x="0" y="0"/>
                <wp:positionH relativeFrom="column">
                  <wp:posOffset>2508885</wp:posOffset>
                </wp:positionH>
                <wp:positionV relativeFrom="paragraph">
                  <wp:posOffset>638175</wp:posOffset>
                </wp:positionV>
                <wp:extent cx="1314450" cy="180975"/>
                <wp:effectExtent l="0" t="0" r="19050" b="28575"/>
                <wp:wrapNone/>
                <wp:docPr id="30" name="Прямоугольник 30"/>
                <wp:cNvGraphicFramePr/>
                <a:graphic xmlns:a="http://schemas.openxmlformats.org/drawingml/2006/main">
                  <a:graphicData uri="http://schemas.microsoft.com/office/word/2010/wordprocessingShape">
                    <wps:wsp>
                      <wps:cNvSpPr/>
                      <wps:spPr>
                        <a:xfrm>
                          <a:off x="0" y="0"/>
                          <a:ext cx="1314450" cy="1809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FCF4F8E" id="Прямоугольник 30" o:spid="_x0000_s1026" style="position:absolute;margin-left:197.55pt;margin-top:50.25pt;width:103.5pt;height:14.25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" fillcolor="white [3212]" strokecolor="white [3212]" strokeweight="1pt"/>
            </w:pict>
          </mc:Fallback>
        </mc:AlternateContent>
      </w:r>
      <w:r w:rsidR="00EE578D">
        <w:rPr>
          <w:rFonts w:ascii="Times New Roman" w:hAnsi="Times New Roman" w:cs="Times New Roman"/>
          <w:lang w:val="uk-UA"/>
        </w:rPr>
        <w:t>Київ 2024</w:t>
      </w:r>
    </w:p>
    <w:p w14:paraId="41A07AD1" w14:textId="56A9FBFC" w:rsidR="00662012" w:rsidRPr="005F0419" w:rsidRDefault="00662012" w:rsidP="00793E04">
      <w:pPr>
        <w:pageBreakBefore/>
        <w:widowControl w:val="0"/>
        <w:spacing w:after="0"/>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УДК </w:t>
      </w:r>
      <w:r w:rsidR="006C0FEA" w:rsidRPr="005F0419">
        <w:rPr>
          <w:rFonts w:ascii="Times New Roman" w:hAnsi="Times New Roman" w:cs="Times New Roman"/>
          <w:sz w:val="28"/>
          <w:szCs w:val="28"/>
          <w:lang w:val="uk-UA"/>
        </w:rPr>
        <w:t>338.2</w:t>
      </w:r>
      <w:r w:rsidRPr="005F0419">
        <w:rPr>
          <w:rFonts w:ascii="Times New Roman" w:hAnsi="Times New Roman" w:cs="Times New Roman"/>
          <w:sz w:val="28"/>
          <w:szCs w:val="28"/>
          <w:lang w:val="uk-UA"/>
        </w:rPr>
        <w:t xml:space="preserve"> </w:t>
      </w:r>
    </w:p>
    <w:p w14:paraId="44946A5C" w14:textId="77777777" w:rsidR="00662012" w:rsidRPr="005F0419" w:rsidRDefault="00662012" w:rsidP="00662012">
      <w:pPr>
        <w:spacing w:after="0"/>
        <w:rPr>
          <w:rFonts w:ascii="Times New Roman" w:hAnsi="Times New Roman" w:cs="Times New Roman"/>
          <w:sz w:val="28"/>
          <w:szCs w:val="28"/>
          <w:lang w:val="uk-UA"/>
        </w:rPr>
      </w:pPr>
      <w:r w:rsidRPr="005F0419">
        <w:rPr>
          <w:rFonts w:ascii="Times New Roman" w:hAnsi="Times New Roman" w:cs="Times New Roman"/>
          <w:sz w:val="28"/>
          <w:szCs w:val="28"/>
          <w:lang w:val="uk-UA"/>
        </w:rPr>
        <w:t>П24</w:t>
      </w:r>
    </w:p>
    <w:p w14:paraId="0CC11B60" w14:textId="77777777" w:rsidR="00662012" w:rsidRPr="005F0419" w:rsidRDefault="00662012" w:rsidP="00662012">
      <w:pPr>
        <w:spacing w:after="0"/>
        <w:jc w:val="center"/>
        <w:rPr>
          <w:rFonts w:ascii="Times New Roman" w:hAnsi="Times New Roman" w:cs="Times New Roman"/>
          <w:lang w:val="uk-UA"/>
        </w:rPr>
      </w:pPr>
    </w:p>
    <w:p w14:paraId="6743DE15" w14:textId="77777777" w:rsidR="00662012" w:rsidRPr="005F0419" w:rsidRDefault="00662012" w:rsidP="00662012">
      <w:pPr>
        <w:spacing w:after="0"/>
        <w:jc w:val="center"/>
        <w:rPr>
          <w:rFonts w:ascii="Times New Roman" w:hAnsi="Times New Roman" w:cs="Times New Roman"/>
          <w:sz w:val="24"/>
          <w:szCs w:val="24"/>
          <w:lang w:val="uk-UA"/>
        </w:rPr>
      </w:pPr>
      <w:r w:rsidRPr="005F0419">
        <w:rPr>
          <w:rFonts w:ascii="Times New Roman" w:hAnsi="Times New Roman" w:cs="Times New Roman"/>
          <w:sz w:val="24"/>
          <w:szCs w:val="24"/>
          <w:lang w:val="uk-UA"/>
        </w:rPr>
        <w:t xml:space="preserve">Рекомендовано навчально-методичною радою </w:t>
      </w:r>
    </w:p>
    <w:p w14:paraId="31ABABEA" w14:textId="77777777" w:rsidR="00662012" w:rsidRPr="005F0419" w:rsidRDefault="00662012" w:rsidP="00662012">
      <w:pPr>
        <w:spacing w:after="0"/>
        <w:jc w:val="center"/>
        <w:rPr>
          <w:rFonts w:ascii="Times New Roman" w:hAnsi="Times New Roman" w:cs="Times New Roman"/>
          <w:sz w:val="24"/>
          <w:szCs w:val="24"/>
          <w:lang w:val="uk-UA"/>
        </w:rPr>
      </w:pPr>
      <w:r w:rsidRPr="005F0419">
        <w:rPr>
          <w:rFonts w:ascii="Times New Roman" w:hAnsi="Times New Roman" w:cs="Times New Roman"/>
          <w:sz w:val="24"/>
          <w:szCs w:val="24"/>
          <w:lang w:val="uk-UA"/>
        </w:rPr>
        <w:t xml:space="preserve">Міжнародного гуманітарного університету </w:t>
      </w:r>
    </w:p>
    <w:p w14:paraId="21EEF325" w14:textId="621E0C0A" w:rsidR="00662012" w:rsidRPr="005F0419" w:rsidRDefault="00662012" w:rsidP="00662012">
      <w:pPr>
        <w:spacing w:after="0"/>
        <w:jc w:val="center"/>
        <w:rPr>
          <w:rFonts w:ascii="Times New Roman" w:hAnsi="Times New Roman" w:cs="Times New Roman"/>
          <w:sz w:val="24"/>
          <w:szCs w:val="24"/>
          <w:lang w:val="uk-UA"/>
        </w:rPr>
      </w:pPr>
      <w:r w:rsidRPr="005F0419">
        <w:rPr>
          <w:rFonts w:ascii="Times New Roman" w:hAnsi="Times New Roman" w:cs="Times New Roman"/>
          <w:sz w:val="24"/>
          <w:szCs w:val="24"/>
          <w:lang w:val="uk-UA"/>
        </w:rPr>
        <w:t xml:space="preserve">(протокол № </w:t>
      </w:r>
      <w:r w:rsidR="00D97070" w:rsidRPr="005F0419">
        <w:rPr>
          <w:rFonts w:ascii="Times New Roman" w:hAnsi="Times New Roman" w:cs="Times New Roman"/>
          <w:sz w:val="24"/>
          <w:szCs w:val="24"/>
          <w:lang w:val="uk-UA"/>
        </w:rPr>
        <w:t>6</w:t>
      </w:r>
      <w:r w:rsidRPr="005F0419">
        <w:rPr>
          <w:rFonts w:ascii="Times New Roman" w:hAnsi="Times New Roman" w:cs="Times New Roman"/>
          <w:sz w:val="24"/>
          <w:szCs w:val="24"/>
          <w:lang w:val="uk-UA"/>
        </w:rPr>
        <w:t xml:space="preserve"> від 2</w:t>
      </w:r>
      <w:r w:rsidR="00D97070" w:rsidRPr="005F0419">
        <w:rPr>
          <w:rFonts w:ascii="Times New Roman" w:hAnsi="Times New Roman" w:cs="Times New Roman"/>
          <w:sz w:val="24"/>
          <w:szCs w:val="24"/>
          <w:lang w:val="uk-UA"/>
        </w:rPr>
        <w:t>0</w:t>
      </w:r>
      <w:r w:rsidRPr="005F0419">
        <w:rPr>
          <w:rFonts w:ascii="Times New Roman" w:hAnsi="Times New Roman" w:cs="Times New Roman"/>
          <w:sz w:val="24"/>
          <w:szCs w:val="24"/>
          <w:lang w:val="uk-UA"/>
        </w:rPr>
        <w:t xml:space="preserve"> л</w:t>
      </w:r>
      <w:r w:rsidR="00D97070" w:rsidRPr="005F0419">
        <w:rPr>
          <w:rFonts w:ascii="Times New Roman" w:hAnsi="Times New Roman" w:cs="Times New Roman"/>
          <w:sz w:val="24"/>
          <w:szCs w:val="24"/>
          <w:lang w:val="uk-UA"/>
        </w:rPr>
        <w:t>ютого</w:t>
      </w:r>
      <w:r w:rsidRPr="005F0419">
        <w:rPr>
          <w:rFonts w:ascii="Times New Roman" w:hAnsi="Times New Roman" w:cs="Times New Roman"/>
          <w:sz w:val="24"/>
          <w:szCs w:val="24"/>
          <w:lang w:val="uk-UA"/>
        </w:rPr>
        <w:t xml:space="preserve"> 2024 р.)</w:t>
      </w:r>
    </w:p>
    <w:p w14:paraId="66F2A2B0" w14:textId="77777777" w:rsidR="00662012" w:rsidRPr="005F0419" w:rsidRDefault="00662012" w:rsidP="00662012">
      <w:pPr>
        <w:spacing w:after="0"/>
        <w:jc w:val="center"/>
        <w:rPr>
          <w:rFonts w:ascii="Times New Roman" w:hAnsi="Times New Roman" w:cs="Times New Roman"/>
          <w:sz w:val="24"/>
          <w:szCs w:val="24"/>
          <w:lang w:val="uk-UA"/>
        </w:rPr>
      </w:pPr>
    </w:p>
    <w:p w14:paraId="05582863" w14:textId="77777777" w:rsidR="00662012" w:rsidRPr="005F0419" w:rsidRDefault="00662012" w:rsidP="00662012">
      <w:pPr>
        <w:spacing w:after="0"/>
        <w:rPr>
          <w:rFonts w:ascii="Times New Roman" w:hAnsi="Times New Roman" w:cs="Times New Roman"/>
          <w:sz w:val="24"/>
          <w:szCs w:val="24"/>
          <w:lang w:val="uk-UA"/>
        </w:rPr>
      </w:pPr>
      <w:r w:rsidRPr="005F0419">
        <w:rPr>
          <w:rFonts w:ascii="Times New Roman" w:hAnsi="Times New Roman" w:cs="Times New Roman"/>
          <w:b/>
          <w:bCs/>
          <w:sz w:val="24"/>
          <w:szCs w:val="24"/>
          <w:lang w:val="uk-UA"/>
        </w:rPr>
        <w:t>Рецензенти:</w:t>
      </w:r>
      <w:r w:rsidRPr="005F0419">
        <w:rPr>
          <w:rFonts w:ascii="Times New Roman" w:hAnsi="Times New Roman" w:cs="Times New Roman"/>
          <w:sz w:val="24"/>
          <w:szCs w:val="24"/>
          <w:lang w:val="uk-UA"/>
        </w:rPr>
        <w:t xml:space="preserve"> </w:t>
      </w:r>
    </w:p>
    <w:p w14:paraId="3C8C89F3" w14:textId="5443383B" w:rsidR="00AE2B8F" w:rsidRPr="005F0419" w:rsidRDefault="00AE2B8F" w:rsidP="00AE2B8F">
      <w:pPr>
        <w:spacing w:after="0"/>
        <w:rPr>
          <w:rFonts w:ascii="Times New Roman" w:hAnsi="Times New Roman" w:cs="Times New Roman"/>
          <w:b/>
          <w:bCs/>
          <w:i/>
          <w:iCs/>
          <w:sz w:val="24"/>
          <w:szCs w:val="24"/>
          <w:lang w:val="uk-UA"/>
        </w:rPr>
      </w:pPr>
      <w:proofErr w:type="spellStart"/>
      <w:r w:rsidRPr="005F0419">
        <w:rPr>
          <w:rFonts w:ascii="Times New Roman" w:hAnsi="Times New Roman" w:cs="Times New Roman"/>
          <w:b/>
          <w:bCs/>
          <w:i/>
          <w:iCs/>
          <w:sz w:val="24"/>
          <w:szCs w:val="24"/>
          <w:lang w:val="uk-UA"/>
        </w:rPr>
        <w:t>Валінкевич</w:t>
      </w:r>
      <w:proofErr w:type="spellEnd"/>
      <w:r w:rsidRPr="005F0419">
        <w:rPr>
          <w:rFonts w:ascii="Times New Roman" w:hAnsi="Times New Roman" w:cs="Times New Roman"/>
          <w:b/>
          <w:bCs/>
          <w:i/>
          <w:iCs/>
          <w:sz w:val="24"/>
          <w:szCs w:val="24"/>
          <w:lang w:val="uk-UA"/>
        </w:rPr>
        <w:t xml:space="preserve"> Наталія Василівна – </w:t>
      </w:r>
      <w:r w:rsidRPr="005F0419">
        <w:rPr>
          <w:rFonts w:ascii="Times New Roman" w:hAnsi="Times New Roman" w:cs="Times New Roman"/>
          <w:sz w:val="24"/>
          <w:szCs w:val="24"/>
          <w:lang w:val="uk-UA"/>
        </w:rPr>
        <w:t>доктор економічних наук, професор, завідувач кафедри економіки, підприємництва та туризму Поліського національного університету</w:t>
      </w:r>
    </w:p>
    <w:p w14:paraId="0765C307" w14:textId="77777777" w:rsidR="00AE2B8F" w:rsidRPr="005F0419" w:rsidRDefault="00AE2B8F" w:rsidP="00AE2B8F">
      <w:pPr>
        <w:spacing w:after="0"/>
        <w:rPr>
          <w:rFonts w:ascii="Times New Roman" w:hAnsi="Times New Roman" w:cs="Times New Roman"/>
          <w:b/>
          <w:bCs/>
          <w:i/>
          <w:iCs/>
          <w:sz w:val="24"/>
          <w:szCs w:val="24"/>
          <w:lang w:val="uk-UA"/>
        </w:rPr>
      </w:pPr>
    </w:p>
    <w:p w14:paraId="7C095492" w14:textId="0742F5D6" w:rsidR="00AE2B8F" w:rsidRPr="005F0419" w:rsidRDefault="00AE2B8F" w:rsidP="00662012">
      <w:pPr>
        <w:spacing w:after="0"/>
        <w:rPr>
          <w:rFonts w:ascii="Times New Roman" w:hAnsi="Times New Roman" w:cs="Times New Roman"/>
          <w:sz w:val="24"/>
          <w:szCs w:val="24"/>
          <w:lang w:val="uk-UA"/>
        </w:rPr>
      </w:pPr>
      <w:proofErr w:type="spellStart"/>
      <w:r w:rsidRPr="005F0419">
        <w:rPr>
          <w:rFonts w:ascii="Times New Roman" w:hAnsi="Times New Roman" w:cs="Times New Roman"/>
          <w:b/>
          <w:bCs/>
          <w:i/>
          <w:iCs/>
          <w:sz w:val="24"/>
          <w:szCs w:val="24"/>
          <w:lang w:val="uk-UA"/>
        </w:rPr>
        <w:t>Жосан</w:t>
      </w:r>
      <w:proofErr w:type="spellEnd"/>
      <w:r w:rsidRPr="005F0419">
        <w:rPr>
          <w:rFonts w:ascii="Times New Roman" w:hAnsi="Times New Roman" w:cs="Times New Roman"/>
          <w:b/>
          <w:bCs/>
          <w:i/>
          <w:iCs/>
          <w:sz w:val="24"/>
          <w:szCs w:val="24"/>
          <w:lang w:val="uk-UA"/>
        </w:rPr>
        <w:t xml:space="preserve"> Г</w:t>
      </w:r>
      <w:r w:rsidR="00520BE9" w:rsidRPr="005F0419">
        <w:rPr>
          <w:rFonts w:ascii="Times New Roman" w:hAnsi="Times New Roman" w:cs="Times New Roman"/>
          <w:b/>
          <w:bCs/>
          <w:i/>
          <w:iCs/>
          <w:sz w:val="24"/>
          <w:szCs w:val="24"/>
          <w:lang w:val="uk-UA"/>
        </w:rPr>
        <w:t>анна</w:t>
      </w:r>
      <w:r w:rsidRPr="005F0419">
        <w:rPr>
          <w:rFonts w:ascii="Times New Roman" w:hAnsi="Times New Roman" w:cs="Times New Roman"/>
          <w:b/>
          <w:bCs/>
          <w:i/>
          <w:iCs/>
          <w:sz w:val="24"/>
          <w:szCs w:val="24"/>
          <w:lang w:val="uk-UA"/>
        </w:rPr>
        <w:t xml:space="preserve"> В</w:t>
      </w:r>
      <w:r w:rsidR="00CF687E" w:rsidRPr="005F0419">
        <w:rPr>
          <w:rFonts w:ascii="Times New Roman" w:hAnsi="Times New Roman" w:cs="Times New Roman"/>
          <w:b/>
          <w:bCs/>
          <w:i/>
          <w:iCs/>
          <w:sz w:val="24"/>
          <w:szCs w:val="24"/>
          <w:lang w:val="uk-UA"/>
        </w:rPr>
        <w:t>олодимирівна</w:t>
      </w:r>
      <w:r w:rsidR="00662012" w:rsidRPr="005F0419">
        <w:rPr>
          <w:rFonts w:ascii="Times New Roman" w:hAnsi="Times New Roman" w:cs="Times New Roman"/>
          <w:sz w:val="24"/>
          <w:szCs w:val="24"/>
          <w:lang w:val="uk-UA"/>
        </w:rPr>
        <w:t xml:space="preserve"> – </w:t>
      </w:r>
      <w:r w:rsidRPr="005F0419">
        <w:rPr>
          <w:rFonts w:ascii="Times New Roman" w:hAnsi="Times New Roman" w:cs="Times New Roman"/>
          <w:sz w:val="24"/>
          <w:szCs w:val="24"/>
          <w:lang w:val="uk-UA"/>
        </w:rPr>
        <w:t>кандидат</w:t>
      </w:r>
      <w:r w:rsidR="00662012" w:rsidRPr="005F0419">
        <w:rPr>
          <w:rFonts w:ascii="Times New Roman" w:hAnsi="Times New Roman" w:cs="Times New Roman"/>
          <w:sz w:val="24"/>
          <w:szCs w:val="24"/>
          <w:lang w:val="uk-UA"/>
        </w:rPr>
        <w:t xml:space="preserve"> </w:t>
      </w:r>
      <w:r w:rsidRPr="005F0419">
        <w:rPr>
          <w:rFonts w:ascii="Times New Roman" w:hAnsi="Times New Roman" w:cs="Times New Roman"/>
          <w:sz w:val="24"/>
          <w:szCs w:val="24"/>
          <w:lang w:val="uk-UA"/>
        </w:rPr>
        <w:t xml:space="preserve">економічних </w:t>
      </w:r>
      <w:r w:rsidR="00662012" w:rsidRPr="005F0419">
        <w:rPr>
          <w:rFonts w:ascii="Times New Roman" w:hAnsi="Times New Roman" w:cs="Times New Roman"/>
          <w:sz w:val="24"/>
          <w:szCs w:val="24"/>
          <w:lang w:val="uk-UA"/>
        </w:rPr>
        <w:t xml:space="preserve">наук, </w:t>
      </w:r>
      <w:r w:rsidRPr="005F0419">
        <w:rPr>
          <w:rFonts w:ascii="Times New Roman" w:hAnsi="Times New Roman" w:cs="Times New Roman"/>
          <w:sz w:val="24"/>
          <w:szCs w:val="24"/>
          <w:lang w:val="uk-UA"/>
        </w:rPr>
        <w:t>доцент</w:t>
      </w:r>
      <w:r w:rsidR="00662012" w:rsidRPr="005F0419">
        <w:rPr>
          <w:rFonts w:ascii="Times New Roman" w:hAnsi="Times New Roman" w:cs="Times New Roman"/>
          <w:sz w:val="24"/>
          <w:szCs w:val="24"/>
          <w:lang w:val="uk-UA"/>
        </w:rPr>
        <w:t xml:space="preserve">, </w:t>
      </w:r>
      <w:r w:rsidRPr="005F0419">
        <w:rPr>
          <w:rFonts w:ascii="Times New Roman" w:hAnsi="Times New Roman" w:cs="Times New Roman"/>
          <w:sz w:val="24"/>
          <w:szCs w:val="24"/>
          <w:lang w:val="uk-UA"/>
        </w:rPr>
        <w:t xml:space="preserve">зав. кафедри менеджменту, маркетингу та інформаційних технологій Херсонського державного аграрно-економічного університету </w:t>
      </w:r>
    </w:p>
    <w:p w14:paraId="6C583E3F" w14:textId="1BFFB574" w:rsidR="00662012" w:rsidRPr="005F0419" w:rsidRDefault="00AE2B8F" w:rsidP="00520BE9">
      <w:pPr>
        <w:spacing w:after="0"/>
        <w:rPr>
          <w:rFonts w:ascii="Times New Roman" w:hAnsi="Times New Roman" w:cs="Times New Roman"/>
          <w:sz w:val="24"/>
          <w:szCs w:val="24"/>
          <w:lang w:val="uk-UA"/>
        </w:rPr>
      </w:pPr>
      <w:r w:rsidRPr="005F0419">
        <w:rPr>
          <w:rFonts w:ascii="Times New Roman" w:hAnsi="Times New Roman" w:cs="Times New Roman"/>
          <w:sz w:val="24"/>
          <w:szCs w:val="24"/>
          <w:highlight w:val="yellow"/>
          <w:lang w:val="uk-UA"/>
        </w:rPr>
        <w:t xml:space="preserve"> </w:t>
      </w:r>
    </w:p>
    <w:p w14:paraId="1058DFA4" w14:textId="77777777" w:rsidR="00662012" w:rsidRPr="005F0419" w:rsidRDefault="00662012" w:rsidP="00662012">
      <w:pPr>
        <w:spacing w:after="0"/>
        <w:rPr>
          <w:rFonts w:ascii="Times New Roman" w:hAnsi="Times New Roman" w:cs="Times New Roman"/>
          <w:sz w:val="24"/>
          <w:szCs w:val="24"/>
          <w:lang w:val="uk-UA"/>
        </w:rPr>
      </w:pPr>
    </w:p>
    <w:p w14:paraId="3C8847A8" w14:textId="77777777" w:rsidR="00662012" w:rsidRPr="005F0419" w:rsidRDefault="00662012" w:rsidP="00662012">
      <w:pPr>
        <w:spacing w:after="0"/>
        <w:rPr>
          <w:rFonts w:ascii="Times New Roman" w:hAnsi="Times New Roman" w:cs="Times New Roman"/>
          <w:sz w:val="24"/>
          <w:szCs w:val="24"/>
          <w:lang w:val="uk-UA"/>
        </w:rPr>
      </w:pPr>
    </w:p>
    <w:p w14:paraId="5331D0E5" w14:textId="246B0A85" w:rsidR="00662012" w:rsidRPr="005F0419" w:rsidRDefault="00662012" w:rsidP="00662012">
      <w:pPr>
        <w:spacing w:after="0"/>
        <w:rPr>
          <w:rFonts w:ascii="Times New Roman" w:hAnsi="Times New Roman" w:cs="Times New Roman"/>
          <w:sz w:val="24"/>
          <w:szCs w:val="24"/>
          <w:lang w:val="uk-UA"/>
        </w:rPr>
      </w:pPr>
      <w:r w:rsidRPr="00EE578D">
        <w:rPr>
          <w:rFonts w:ascii="Times New Roman" w:hAnsi="Times New Roman" w:cs="Times New Roman"/>
          <w:b/>
          <w:bCs/>
          <w:sz w:val="24"/>
          <w:szCs w:val="24"/>
          <w:lang w:val="uk-UA"/>
        </w:rPr>
        <w:t xml:space="preserve">Перспективи ефективних управлінських рішень у бізнесі та </w:t>
      </w:r>
      <w:proofErr w:type="spellStart"/>
      <w:r w:rsidRPr="00EE578D">
        <w:rPr>
          <w:rFonts w:ascii="Times New Roman" w:hAnsi="Times New Roman" w:cs="Times New Roman"/>
          <w:b/>
          <w:bCs/>
          <w:sz w:val="24"/>
          <w:szCs w:val="24"/>
          <w:lang w:val="uk-UA"/>
        </w:rPr>
        <w:t>проєктах</w:t>
      </w:r>
      <w:proofErr w:type="spellEnd"/>
      <w:r w:rsidRPr="00EE578D">
        <w:rPr>
          <w:rFonts w:ascii="Times New Roman" w:hAnsi="Times New Roman" w:cs="Times New Roman"/>
          <w:b/>
          <w:bCs/>
          <w:sz w:val="24"/>
          <w:szCs w:val="24"/>
          <w:lang w:val="uk-UA"/>
        </w:rPr>
        <w:t>:</w:t>
      </w:r>
      <w:r w:rsidRPr="00EE578D">
        <w:rPr>
          <w:rFonts w:ascii="Times New Roman" w:hAnsi="Times New Roman" w:cs="Times New Roman"/>
          <w:sz w:val="24"/>
          <w:szCs w:val="24"/>
          <w:lang w:val="uk-UA"/>
        </w:rPr>
        <w:t xml:space="preserve"> колективна монографія. За наук. ред. проф. </w:t>
      </w:r>
      <w:r w:rsidR="00DA7E2D" w:rsidRPr="00EE578D">
        <w:rPr>
          <w:rFonts w:ascii="Times New Roman" w:hAnsi="Times New Roman" w:cs="Times New Roman"/>
          <w:sz w:val="24"/>
          <w:szCs w:val="24"/>
          <w:lang w:val="uk-UA"/>
        </w:rPr>
        <w:t xml:space="preserve">М. Д. </w:t>
      </w:r>
      <w:proofErr w:type="spellStart"/>
      <w:r w:rsidRPr="00EE578D">
        <w:rPr>
          <w:rFonts w:ascii="Times New Roman" w:hAnsi="Times New Roman" w:cs="Times New Roman"/>
          <w:sz w:val="24"/>
          <w:szCs w:val="24"/>
          <w:lang w:val="uk-UA"/>
        </w:rPr>
        <w:t>Балджи</w:t>
      </w:r>
      <w:proofErr w:type="spellEnd"/>
      <w:r w:rsidRPr="00EE578D">
        <w:rPr>
          <w:rFonts w:ascii="Times New Roman" w:hAnsi="Times New Roman" w:cs="Times New Roman"/>
          <w:sz w:val="24"/>
          <w:szCs w:val="24"/>
          <w:lang w:val="uk-UA"/>
        </w:rPr>
        <w:t xml:space="preserve">. </w:t>
      </w:r>
      <w:r w:rsidR="00EE578D" w:rsidRPr="00EE578D">
        <w:rPr>
          <w:rFonts w:ascii="Times New Roman" w:hAnsi="Times New Roman" w:cs="Times New Roman"/>
          <w:sz w:val="24"/>
          <w:szCs w:val="24"/>
          <w:lang w:val="uk-UA"/>
        </w:rPr>
        <w:t xml:space="preserve">– </w:t>
      </w:r>
      <w:r w:rsidR="004764D7" w:rsidRPr="00EE578D">
        <w:rPr>
          <w:rFonts w:ascii="Times New Roman" w:hAnsi="Times New Roman" w:cs="Times New Roman"/>
          <w:sz w:val="24"/>
          <w:szCs w:val="24"/>
          <w:lang w:val="uk-UA"/>
        </w:rPr>
        <w:t>Київ</w:t>
      </w:r>
      <w:r w:rsidR="00EE578D" w:rsidRPr="00EE578D">
        <w:rPr>
          <w:rFonts w:ascii="Times New Roman" w:hAnsi="Times New Roman" w:cs="Times New Roman"/>
          <w:sz w:val="24"/>
          <w:szCs w:val="24"/>
          <w:lang w:val="uk-UA"/>
        </w:rPr>
        <w:t>: ФОП Гуляєва В.М.</w:t>
      </w:r>
      <w:r w:rsidRPr="00EE578D">
        <w:rPr>
          <w:rFonts w:ascii="Times New Roman" w:hAnsi="Times New Roman" w:cs="Times New Roman"/>
          <w:sz w:val="24"/>
          <w:szCs w:val="24"/>
          <w:lang w:val="uk-UA"/>
        </w:rPr>
        <w:t xml:space="preserve">, 2024. </w:t>
      </w:r>
      <w:r w:rsidR="00EE578D" w:rsidRPr="00EE578D">
        <w:rPr>
          <w:rFonts w:ascii="Times New Roman" w:hAnsi="Times New Roman" w:cs="Times New Roman"/>
          <w:sz w:val="24"/>
          <w:szCs w:val="24"/>
          <w:lang w:val="uk-UA"/>
        </w:rPr>
        <w:t xml:space="preserve">– </w:t>
      </w:r>
      <w:r w:rsidR="00F8245D" w:rsidRPr="00EE578D">
        <w:rPr>
          <w:rFonts w:ascii="Times New Roman" w:hAnsi="Times New Roman" w:cs="Times New Roman"/>
          <w:sz w:val="24"/>
          <w:szCs w:val="24"/>
          <w:lang w:val="uk-UA"/>
        </w:rPr>
        <w:t>606</w:t>
      </w:r>
      <w:r w:rsidRPr="00EE578D">
        <w:rPr>
          <w:rFonts w:ascii="Times New Roman" w:hAnsi="Times New Roman" w:cs="Times New Roman"/>
          <w:sz w:val="24"/>
          <w:szCs w:val="24"/>
          <w:lang w:val="uk-UA"/>
        </w:rPr>
        <w:t xml:space="preserve"> с.</w:t>
      </w:r>
      <w:r w:rsidRPr="005F0419">
        <w:rPr>
          <w:rFonts w:ascii="Times New Roman" w:hAnsi="Times New Roman" w:cs="Times New Roman"/>
          <w:sz w:val="24"/>
          <w:szCs w:val="24"/>
          <w:lang w:val="uk-UA"/>
        </w:rPr>
        <w:t xml:space="preserve"> </w:t>
      </w:r>
    </w:p>
    <w:p w14:paraId="3927CB5E" w14:textId="73823A72" w:rsidR="00662012" w:rsidRPr="00EE578D" w:rsidRDefault="00662012" w:rsidP="00662012">
      <w:pPr>
        <w:spacing w:after="0"/>
        <w:rPr>
          <w:rFonts w:ascii="Times New Roman" w:hAnsi="Times New Roman" w:cs="Times New Roman"/>
          <w:sz w:val="24"/>
          <w:szCs w:val="24"/>
          <w:highlight w:val="yellow"/>
          <w:lang w:val="uk-UA"/>
        </w:rPr>
      </w:pPr>
      <w:r w:rsidRPr="00EE578D">
        <w:rPr>
          <w:rFonts w:ascii="Times New Roman" w:hAnsi="Times New Roman" w:cs="Times New Roman"/>
          <w:sz w:val="24"/>
          <w:szCs w:val="24"/>
          <w:lang w:val="uk-UA"/>
        </w:rPr>
        <w:t>DOI</w:t>
      </w:r>
      <w:r w:rsidR="00DA7E2D" w:rsidRPr="00EE578D">
        <w:rPr>
          <w:rFonts w:ascii="Times New Roman" w:hAnsi="Times New Roman" w:cs="Times New Roman"/>
          <w:sz w:val="24"/>
          <w:szCs w:val="24"/>
          <w:shd w:val="clear" w:color="auto" w:fill="FFFFFF"/>
        </w:rPr>
        <w:t>:</w:t>
      </w:r>
      <w:r w:rsidR="00DA7E2D" w:rsidRPr="00EE578D">
        <w:rPr>
          <w:rFonts w:ascii="Times New Roman" w:hAnsi="Times New Roman" w:cs="Times New Roman"/>
          <w:sz w:val="24"/>
          <w:szCs w:val="24"/>
          <w:shd w:val="clear" w:color="auto" w:fill="FFFFFF"/>
          <w:lang w:val="en-US"/>
        </w:rPr>
        <w:t> </w:t>
      </w:r>
      <w:hyperlink r:id="rId7" w:tgtFrame="_blank" w:history="1">
        <w:r w:rsidR="00DA7E2D" w:rsidRPr="00EE578D">
          <w:rPr>
            <w:rStyle w:val="a6"/>
            <w:rFonts w:ascii="Times New Roman" w:hAnsi="Times New Roman" w:cs="Times New Roman"/>
            <w:color w:val="auto"/>
            <w:sz w:val="24"/>
            <w:szCs w:val="24"/>
            <w:u w:val="none"/>
            <w:shd w:val="clear" w:color="auto" w:fill="FFFFFF"/>
            <w:lang w:val="en-US"/>
          </w:rPr>
          <w:t>https</w:t>
        </w:r>
        <w:r w:rsidR="00DA7E2D" w:rsidRPr="00EE578D">
          <w:rPr>
            <w:rStyle w:val="a6"/>
            <w:rFonts w:ascii="Times New Roman" w:hAnsi="Times New Roman" w:cs="Times New Roman"/>
            <w:color w:val="auto"/>
            <w:sz w:val="24"/>
            <w:szCs w:val="24"/>
            <w:u w:val="none"/>
            <w:shd w:val="clear" w:color="auto" w:fill="FFFFFF"/>
          </w:rPr>
          <w:t>://</w:t>
        </w:r>
        <w:proofErr w:type="spellStart"/>
        <w:r w:rsidR="00DA7E2D" w:rsidRPr="00EE578D">
          <w:rPr>
            <w:rStyle w:val="a6"/>
            <w:rFonts w:ascii="Times New Roman" w:hAnsi="Times New Roman" w:cs="Times New Roman"/>
            <w:color w:val="auto"/>
            <w:sz w:val="24"/>
            <w:szCs w:val="24"/>
            <w:u w:val="none"/>
            <w:shd w:val="clear" w:color="auto" w:fill="FFFFFF"/>
            <w:lang w:val="en-US"/>
          </w:rPr>
          <w:t>doi</w:t>
        </w:r>
        <w:proofErr w:type="spellEnd"/>
        <w:r w:rsidR="00DA7E2D" w:rsidRPr="00EE578D">
          <w:rPr>
            <w:rStyle w:val="a6"/>
            <w:rFonts w:ascii="Times New Roman" w:hAnsi="Times New Roman" w:cs="Times New Roman"/>
            <w:color w:val="auto"/>
            <w:sz w:val="24"/>
            <w:szCs w:val="24"/>
            <w:u w:val="none"/>
            <w:shd w:val="clear" w:color="auto" w:fill="FFFFFF"/>
          </w:rPr>
          <w:t>.</w:t>
        </w:r>
        <w:r w:rsidR="00DA7E2D" w:rsidRPr="00EE578D">
          <w:rPr>
            <w:rStyle w:val="a6"/>
            <w:rFonts w:ascii="Times New Roman" w:hAnsi="Times New Roman" w:cs="Times New Roman"/>
            <w:color w:val="auto"/>
            <w:sz w:val="24"/>
            <w:szCs w:val="24"/>
            <w:u w:val="none"/>
            <w:shd w:val="clear" w:color="auto" w:fill="FFFFFF"/>
            <w:lang w:val="en-US"/>
          </w:rPr>
          <w:t>org</w:t>
        </w:r>
        <w:r w:rsidR="00DA7E2D" w:rsidRPr="00EE578D">
          <w:rPr>
            <w:rStyle w:val="a6"/>
            <w:rFonts w:ascii="Times New Roman" w:hAnsi="Times New Roman" w:cs="Times New Roman"/>
            <w:color w:val="auto"/>
            <w:sz w:val="24"/>
            <w:szCs w:val="24"/>
            <w:u w:val="none"/>
            <w:shd w:val="clear" w:color="auto" w:fill="FFFFFF"/>
          </w:rPr>
          <w:t>/10.32837/11300.27539</w:t>
        </w:r>
      </w:hyperlink>
    </w:p>
    <w:p w14:paraId="46B19763" w14:textId="59FFB4C3" w:rsidR="00662012" w:rsidRPr="005F0419" w:rsidRDefault="00662012" w:rsidP="00662012">
      <w:pPr>
        <w:spacing w:after="0"/>
        <w:rPr>
          <w:rFonts w:ascii="Times New Roman" w:hAnsi="Times New Roman" w:cs="Times New Roman"/>
          <w:sz w:val="24"/>
          <w:szCs w:val="24"/>
          <w:lang w:val="uk-UA"/>
        </w:rPr>
      </w:pPr>
      <w:r w:rsidRPr="00EE578D">
        <w:rPr>
          <w:rFonts w:ascii="Times New Roman" w:hAnsi="Times New Roman" w:cs="Times New Roman"/>
          <w:sz w:val="24"/>
          <w:szCs w:val="24"/>
          <w:lang w:val="uk-UA"/>
        </w:rPr>
        <w:t xml:space="preserve">ISBN: </w:t>
      </w:r>
      <w:r w:rsidR="00EE578D" w:rsidRPr="00EE578D">
        <w:rPr>
          <w:rFonts w:ascii="Times New Roman" w:hAnsi="Times New Roman" w:cs="Times New Roman"/>
          <w:sz w:val="24"/>
          <w:szCs w:val="24"/>
          <w:lang w:val="uk-UA"/>
        </w:rPr>
        <w:t>978-617-8181-04-8</w:t>
      </w:r>
    </w:p>
    <w:p w14:paraId="26097A52" w14:textId="77777777" w:rsidR="00662012" w:rsidRPr="005F0419" w:rsidRDefault="00662012" w:rsidP="00662012">
      <w:pPr>
        <w:spacing w:after="0"/>
        <w:rPr>
          <w:rFonts w:ascii="Times New Roman" w:hAnsi="Times New Roman" w:cs="Times New Roman"/>
          <w:sz w:val="24"/>
          <w:szCs w:val="24"/>
          <w:lang w:val="uk-UA"/>
        </w:rPr>
      </w:pPr>
    </w:p>
    <w:p w14:paraId="5504AE53" w14:textId="26BF700E" w:rsidR="00D97070" w:rsidRPr="005F0419" w:rsidRDefault="00662012" w:rsidP="00662012">
      <w:pPr>
        <w:spacing w:after="0"/>
        <w:jc w:val="both"/>
        <w:rPr>
          <w:rFonts w:ascii="Times New Roman" w:hAnsi="Times New Roman" w:cs="Times New Roman"/>
          <w:sz w:val="24"/>
          <w:szCs w:val="24"/>
          <w:lang w:val="uk-UA"/>
        </w:rPr>
      </w:pPr>
      <w:r w:rsidRPr="005F0419">
        <w:rPr>
          <w:rFonts w:ascii="Times New Roman" w:hAnsi="Times New Roman" w:cs="Times New Roman"/>
          <w:sz w:val="24"/>
          <w:szCs w:val="24"/>
          <w:lang w:val="uk-UA"/>
        </w:rPr>
        <w:t xml:space="preserve">Колективна монографія </w:t>
      </w:r>
      <w:r w:rsidR="00D97070" w:rsidRPr="005F0419">
        <w:rPr>
          <w:rFonts w:ascii="Times New Roman" w:hAnsi="Times New Roman" w:cs="Times New Roman"/>
          <w:sz w:val="24"/>
          <w:szCs w:val="24"/>
          <w:lang w:val="uk-UA"/>
        </w:rPr>
        <w:t xml:space="preserve">присвячена висвітленню досягнень менеджменту в бізнесі та сервісі, які можуть бути корисними для підвищення ефективності прийняття рішень у наукових і прикладних </w:t>
      </w:r>
      <w:proofErr w:type="spellStart"/>
      <w:r w:rsidR="00D97070" w:rsidRPr="005F0419">
        <w:rPr>
          <w:rFonts w:ascii="Times New Roman" w:hAnsi="Times New Roman" w:cs="Times New Roman"/>
          <w:sz w:val="24"/>
          <w:szCs w:val="24"/>
          <w:lang w:val="uk-UA"/>
        </w:rPr>
        <w:t>проєктах</w:t>
      </w:r>
      <w:proofErr w:type="spellEnd"/>
      <w:r w:rsidR="00D8240C" w:rsidRPr="005F0419">
        <w:rPr>
          <w:rFonts w:ascii="Times New Roman" w:hAnsi="Times New Roman" w:cs="Times New Roman"/>
          <w:sz w:val="24"/>
          <w:szCs w:val="24"/>
          <w:lang w:val="uk-UA"/>
        </w:rPr>
        <w:t>.</w:t>
      </w:r>
    </w:p>
    <w:p w14:paraId="0FFB9EAC" w14:textId="77777777" w:rsidR="00662012" w:rsidRPr="005F0419" w:rsidRDefault="00662012" w:rsidP="00662012">
      <w:pPr>
        <w:spacing w:after="0"/>
        <w:rPr>
          <w:rFonts w:ascii="Times New Roman" w:hAnsi="Times New Roman" w:cs="Times New Roman"/>
          <w:sz w:val="24"/>
          <w:szCs w:val="24"/>
          <w:lang w:val="uk-UA"/>
        </w:rPr>
      </w:pPr>
    </w:p>
    <w:p w14:paraId="4302F504" w14:textId="77777777" w:rsidR="00662012" w:rsidRPr="005F0419" w:rsidRDefault="00662012" w:rsidP="00662012">
      <w:pPr>
        <w:spacing w:after="0"/>
        <w:rPr>
          <w:rFonts w:ascii="Times New Roman" w:hAnsi="Times New Roman" w:cs="Times New Roman"/>
          <w:sz w:val="24"/>
          <w:szCs w:val="24"/>
          <w:lang w:val="uk-UA"/>
        </w:rPr>
      </w:pPr>
      <w:r w:rsidRPr="005F0419">
        <w:rPr>
          <w:rFonts w:ascii="Times New Roman" w:hAnsi="Times New Roman" w:cs="Times New Roman"/>
          <w:sz w:val="24"/>
          <w:szCs w:val="24"/>
          <w:lang w:val="uk-UA"/>
        </w:rPr>
        <w:t xml:space="preserve">Науковий редактор: </w:t>
      </w:r>
      <w:proofErr w:type="spellStart"/>
      <w:r w:rsidRPr="005F0419">
        <w:rPr>
          <w:rFonts w:ascii="Times New Roman" w:hAnsi="Times New Roman" w:cs="Times New Roman"/>
          <w:sz w:val="24"/>
          <w:szCs w:val="24"/>
          <w:lang w:val="uk-UA"/>
        </w:rPr>
        <w:t>д.е.н</w:t>
      </w:r>
      <w:proofErr w:type="spellEnd"/>
      <w:r w:rsidRPr="005F0419">
        <w:rPr>
          <w:rFonts w:ascii="Times New Roman" w:hAnsi="Times New Roman" w:cs="Times New Roman"/>
          <w:sz w:val="24"/>
          <w:szCs w:val="24"/>
          <w:lang w:val="uk-UA"/>
        </w:rPr>
        <w:t xml:space="preserve">., проф. </w:t>
      </w:r>
      <w:proofErr w:type="spellStart"/>
      <w:r w:rsidRPr="005F0419">
        <w:rPr>
          <w:rFonts w:ascii="Times New Roman" w:hAnsi="Times New Roman" w:cs="Times New Roman"/>
          <w:sz w:val="24"/>
          <w:szCs w:val="24"/>
          <w:lang w:val="uk-UA"/>
        </w:rPr>
        <w:t>Балджи</w:t>
      </w:r>
      <w:proofErr w:type="spellEnd"/>
      <w:r w:rsidRPr="005F0419">
        <w:rPr>
          <w:rFonts w:ascii="Times New Roman" w:hAnsi="Times New Roman" w:cs="Times New Roman"/>
          <w:sz w:val="24"/>
          <w:szCs w:val="24"/>
          <w:lang w:val="uk-UA"/>
        </w:rPr>
        <w:t xml:space="preserve"> М. Д. </w:t>
      </w:r>
    </w:p>
    <w:p w14:paraId="637E6DB2" w14:textId="77777777" w:rsidR="00662012" w:rsidRPr="005F0419" w:rsidRDefault="00662012" w:rsidP="00662012">
      <w:pPr>
        <w:spacing w:after="0"/>
        <w:rPr>
          <w:rFonts w:ascii="Times New Roman" w:hAnsi="Times New Roman" w:cs="Times New Roman"/>
          <w:sz w:val="24"/>
          <w:szCs w:val="24"/>
          <w:lang w:val="uk-UA"/>
        </w:rPr>
      </w:pPr>
    </w:p>
    <w:p w14:paraId="04433E4D" w14:textId="7A612DBA" w:rsidR="00662012" w:rsidRPr="005F0419" w:rsidRDefault="00662012" w:rsidP="00662012">
      <w:pPr>
        <w:spacing w:after="0"/>
        <w:rPr>
          <w:rFonts w:ascii="Times New Roman" w:hAnsi="Times New Roman" w:cs="Times New Roman"/>
          <w:sz w:val="24"/>
          <w:szCs w:val="24"/>
          <w:lang w:val="uk-UA"/>
        </w:rPr>
      </w:pPr>
      <w:r w:rsidRPr="005F0419">
        <w:rPr>
          <w:rFonts w:ascii="Times New Roman" w:hAnsi="Times New Roman" w:cs="Times New Roman"/>
          <w:sz w:val="24"/>
          <w:szCs w:val="24"/>
          <w:lang w:val="uk-UA"/>
        </w:rPr>
        <w:t xml:space="preserve">Результати досліджень, оприлюднені в колективній монографії, були обговорені на VІІІ Міжнародній науково-практичній конференції «Перспективи ефективних управлінських рішень у бізнесі та </w:t>
      </w:r>
      <w:proofErr w:type="spellStart"/>
      <w:r w:rsidRPr="005F0419">
        <w:rPr>
          <w:rFonts w:ascii="Times New Roman" w:hAnsi="Times New Roman" w:cs="Times New Roman"/>
          <w:sz w:val="24"/>
          <w:szCs w:val="24"/>
          <w:lang w:val="uk-UA"/>
        </w:rPr>
        <w:t>проєктах</w:t>
      </w:r>
      <w:proofErr w:type="spellEnd"/>
      <w:r w:rsidRPr="005F0419">
        <w:rPr>
          <w:rFonts w:ascii="Times New Roman" w:hAnsi="Times New Roman" w:cs="Times New Roman"/>
          <w:sz w:val="24"/>
          <w:szCs w:val="24"/>
          <w:lang w:val="uk-UA"/>
        </w:rPr>
        <w:t xml:space="preserve">», яка проходила </w:t>
      </w:r>
      <w:r w:rsidRPr="005F0419">
        <w:rPr>
          <w:rFonts w:ascii="Times New Roman" w:hAnsi="Times New Roman" w:cs="Times New Roman"/>
          <w:sz w:val="24"/>
          <w:szCs w:val="24"/>
          <w:shd w:val="clear" w:color="auto" w:fill="FFFFFF"/>
          <w:lang w:val="uk-UA"/>
        </w:rPr>
        <w:t>у змішаному форматі 17</w:t>
      </w:r>
      <w:r w:rsidRPr="005F0419">
        <w:rPr>
          <w:rFonts w:ascii="Times New Roman" w:hAnsi="Times New Roman" w:cs="Times New Roman"/>
          <w:sz w:val="24"/>
          <w:szCs w:val="24"/>
          <w:lang w:val="uk-UA"/>
        </w:rPr>
        <w:t xml:space="preserve"> листопада 2024 р. Збережено авторську </w:t>
      </w:r>
      <w:r w:rsidR="00EE578D" w:rsidRPr="005F0419">
        <w:rPr>
          <w:rFonts w:ascii="Times New Roman" w:hAnsi="Times New Roman" w:cs="Times New Roman"/>
          <w:sz w:val="24"/>
          <w:szCs w:val="24"/>
          <w:lang w:val="uk-UA"/>
        </w:rPr>
        <w:t>орфографію</w:t>
      </w:r>
      <w:r w:rsidRPr="005F0419">
        <w:rPr>
          <w:rFonts w:ascii="Times New Roman" w:hAnsi="Times New Roman" w:cs="Times New Roman"/>
          <w:sz w:val="24"/>
          <w:szCs w:val="24"/>
          <w:lang w:val="uk-UA"/>
        </w:rPr>
        <w:t xml:space="preserve">, пунктуацію і стилістику. Відповідальність за зміст матеріалів несуть автори. </w:t>
      </w:r>
    </w:p>
    <w:p w14:paraId="22B9D462" w14:textId="77777777" w:rsidR="00662012" w:rsidRPr="005F0419" w:rsidRDefault="00662012" w:rsidP="00662012">
      <w:pPr>
        <w:spacing w:after="0"/>
        <w:rPr>
          <w:rFonts w:ascii="Times New Roman" w:hAnsi="Times New Roman" w:cs="Times New Roman"/>
          <w:b/>
          <w:bCs/>
          <w:sz w:val="24"/>
          <w:szCs w:val="24"/>
          <w:lang w:val="uk-UA"/>
        </w:rPr>
      </w:pPr>
    </w:p>
    <w:p w14:paraId="4E158739" w14:textId="77777777" w:rsidR="00662012" w:rsidRPr="005F0419" w:rsidRDefault="00662012" w:rsidP="00662012">
      <w:pPr>
        <w:spacing w:after="0"/>
        <w:rPr>
          <w:rFonts w:ascii="Times New Roman" w:hAnsi="Times New Roman" w:cs="Times New Roman"/>
          <w:b/>
          <w:bCs/>
          <w:sz w:val="24"/>
          <w:szCs w:val="24"/>
          <w:lang w:val="uk-UA"/>
        </w:rPr>
      </w:pPr>
    </w:p>
    <w:p w14:paraId="2AF16475" w14:textId="77777777" w:rsidR="00662012" w:rsidRPr="005F0419" w:rsidRDefault="00662012" w:rsidP="00662012">
      <w:pPr>
        <w:spacing w:after="0"/>
        <w:rPr>
          <w:rFonts w:ascii="Times New Roman" w:hAnsi="Times New Roman" w:cs="Times New Roman"/>
          <w:b/>
          <w:bCs/>
          <w:sz w:val="24"/>
          <w:szCs w:val="24"/>
          <w:lang w:val="uk-UA"/>
        </w:rPr>
      </w:pPr>
    </w:p>
    <w:p w14:paraId="09A7B2AD" w14:textId="77777777" w:rsidR="00662012" w:rsidRPr="005F0419" w:rsidRDefault="00662012" w:rsidP="00662012">
      <w:pPr>
        <w:spacing w:after="0"/>
        <w:rPr>
          <w:rFonts w:ascii="Times New Roman" w:hAnsi="Times New Roman" w:cs="Times New Roman"/>
          <w:b/>
          <w:bCs/>
          <w:sz w:val="24"/>
          <w:szCs w:val="24"/>
          <w:lang w:val="uk-UA"/>
        </w:rPr>
      </w:pPr>
    </w:p>
    <w:p w14:paraId="017E45FB" w14:textId="77777777" w:rsidR="00662012" w:rsidRPr="005F0419" w:rsidRDefault="00662012" w:rsidP="00662012">
      <w:pPr>
        <w:spacing w:after="0"/>
        <w:rPr>
          <w:rFonts w:ascii="Times New Roman" w:hAnsi="Times New Roman" w:cs="Times New Roman"/>
          <w:b/>
          <w:bCs/>
          <w:sz w:val="24"/>
          <w:szCs w:val="24"/>
          <w:lang w:val="uk-UA"/>
        </w:rPr>
      </w:pPr>
    </w:p>
    <w:p w14:paraId="55D53162" w14:textId="3065C1C1" w:rsidR="00662012" w:rsidRPr="005F0419" w:rsidRDefault="00793E04" w:rsidP="00662012">
      <w:pPr>
        <w:spacing w:after="0"/>
        <w:rPr>
          <w:rFonts w:ascii="Times New Roman" w:hAnsi="Times New Roman" w:cs="Times New Roman"/>
          <w:sz w:val="24"/>
          <w:szCs w:val="24"/>
          <w:lang w:val="uk-UA"/>
        </w:rPr>
      </w:pPr>
      <w:r w:rsidRPr="00EE578D">
        <w:rPr>
          <w:rFonts w:ascii="Times New Roman" w:hAnsi="Times New Roman" w:cs="Times New Roman"/>
          <w:b/>
          <w:bCs/>
          <w:noProof/>
          <w:sz w:val="24"/>
          <w:szCs w:val="24"/>
          <w:lang w:val="uk-UA"/>
        </w:rPr>
        <mc:AlternateContent>
          <mc:Choice Requires="wps">
            <w:drawing>
              <wp:anchor distT="0" distB="0" distL="114300" distR="114300" simplePos="0" relativeHeight="251700224" behindDoc="0" locked="0" layoutInCell="1" allowOverlap="1" wp14:anchorId="60FF32B6" wp14:editId="53EE1D83">
                <wp:simplePos x="0" y="0"/>
                <wp:positionH relativeFrom="column">
                  <wp:posOffset>2604135</wp:posOffset>
                </wp:positionH>
                <wp:positionV relativeFrom="paragraph">
                  <wp:posOffset>1381760</wp:posOffset>
                </wp:positionV>
                <wp:extent cx="800100" cy="409575"/>
                <wp:effectExtent l="0" t="0" r="19050" b="28575"/>
                <wp:wrapNone/>
                <wp:docPr id="32" name="Прямоугольник 32"/>
                <wp:cNvGraphicFramePr/>
                <a:graphic xmlns:a="http://schemas.openxmlformats.org/drawingml/2006/main">
                  <a:graphicData uri="http://schemas.microsoft.com/office/word/2010/wordprocessingShape">
                    <wps:wsp>
                      <wps:cNvSpPr/>
                      <wps:spPr>
                        <a:xfrm>
                          <a:off x="0" y="0"/>
                          <a:ext cx="800100" cy="4095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70B99D" id="Прямоугольник 32" o:spid="_x0000_s1026" style="position:absolute;margin-left:205.05pt;margin-top:108.8pt;width:63pt;height:32.2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" fillcolor="white [3212]" strokecolor="white [3212]" strokeweight="1pt"/>
            </w:pict>
          </mc:Fallback>
        </mc:AlternateContent>
      </w:r>
      <w:r w:rsidR="00773C61" w:rsidRPr="00EE578D">
        <w:rPr>
          <w:rFonts w:ascii="Times New Roman" w:hAnsi="Times New Roman" w:cs="Times New Roman"/>
          <w:b/>
          <w:bCs/>
          <w:noProof/>
          <w:sz w:val="24"/>
          <w:szCs w:val="24"/>
          <w:lang w:val="uk-UA"/>
        </w:rPr>
        <mc:AlternateContent>
          <mc:Choice Requires="wps">
            <w:drawing>
              <wp:anchor distT="0" distB="0" distL="114300" distR="114300" simplePos="0" relativeHeight="251699200" behindDoc="0" locked="0" layoutInCell="1" allowOverlap="1" wp14:anchorId="2ACFEBFF" wp14:editId="70EF1F8D">
                <wp:simplePos x="0" y="0"/>
                <wp:positionH relativeFrom="column">
                  <wp:posOffset>2785110</wp:posOffset>
                </wp:positionH>
                <wp:positionV relativeFrom="paragraph">
                  <wp:posOffset>267970</wp:posOffset>
                </wp:positionV>
                <wp:extent cx="542925" cy="200025"/>
                <wp:effectExtent l="0" t="0" r="28575" b="28575"/>
                <wp:wrapNone/>
                <wp:docPr id="31" name="Прямоугольник 31"/>
                <wp:cNvGraphicFramePr/>
                <a:graphic xmlns:a="http://schemas.openxmlformats.org/drawingml/2006/main">
                  <a:graphicData uri="http://schemas.microsoft.com/office/word/2010/wordprocessingShape">
                    <wps:wsp>
                      <wps:cNvSpPr/>
                      <wps:spPr>
                        <a:xfrm>
                          <a:off x="0" y="0"/>
                          <a:ext cx="542925" cy="2000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57222E3" id="Прямоугольник 31" o:spid="_x0000_s1026" style="position:absolute;margin-left:219.3pt;margin-top:21.1pt;width:42.75pt;height:15.7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" fillcolor="white [3212]" strokecolor="white [3212]" strokeweight="1pt"/>
            </w:pict>
          </mc:Fallback>
        </mc:AlternateContent>
      </w:r>
      <w:r w:rsidR="00662012" w:rsidRPr="00EE578D">
        <w:rPr>
          <w:rFonts w:ascii="Times New Roman" w:hAnsi="Times New Roman" w:cs="Times New Roman"/>
          <w:b/>
          <w:bCs/>
          <w:sz w:val="24"/>
          <w:szCs w:val="24"/>
          <w:lang w:val="uk-UA"/>
        </w:rPr>
        <w:t xml:space="preserve">ISBN: </w:t>
      </w:r>
      <w:r w:rsidR="00545ED4" w:rsidRPr="00EE578D">
        <w:rPr>
          <w:rFonts w:ascii="Times New Roman" w:hAnsi="Times New Roman" w:cs="Times New Roman"/>
          <w:b/>
          <w:bCs/>
          <w:sz w:val="24"/>
          <w:szCs w:val="24"/>
          <w:lang w:val="uk-UA"/>
        </w:rPr>
        <w:t xml:space="preserve"> </w:t>
      </w:r>
      <w:r w:rsidR="00EE578D" w:rsidRPr="00EE578D">
        <w:rPr>
          <w:rFonts w:ascii="Times New Roman" w:hAnsi="Times New Roman" w:cs="Times New Roman"/>
          <w:b/>
          <w:bCs/>
          <w:sz w:val="24"/>
          <w:szCs w:val="24"/>
          <w:lang w:val="uk-UA"/>
        </w:rPr>
        <w:t>978-617-8181-04-8</w:t>
      </w:r>
      <w:r w:rsidR="00EE578D" w:rsidRPr="00EE578D">
        <w:rPr>
          <w:rFonts w:ascii="Times New Roman" w:hAnsi="Times New Roman" w:cs="Times New Roman"/>
          <w:b/>
          <w:bCs/>
          <w:sz w:val="24"/>
          <w:szCs w:val="24"/>
          <w:lang w:val="uk-UA"/>
        </w:rPr>
        <w:t xml:space="preserve">                                                                        </w:t>
      </w:r>
      <w:r w:rsidR="00662012" w:rsidRPr="005F0419">
        <w:rPr>
          <w:rFonts w:ascii="Times New Roman" w:hAnsi="Times New Roman" w:cs="Times New Roman"/>
          <w:sz w:val="24"/>
          <w:szCs w:val="24"/>
          <w:lang w:val="uk-UA"/>
        </w:rPr>
        <w:sym w:font="Symbol" w:char="F0D3"/>
      </w:r>
      <w:r w:rsidR="00662012" w:rsidRPr="005F0419">
        <w:rPr>
          <w:rFonts w:ascii="Times New Roman" w:hAnsi="Times New Roman" w:cs="Times New Roman"/>
          <w:sz w:val="24"/>
          <w:szCs w:val="24"/>
          <w:lang w:val="uk-UA"/>
        </w:rPr>
        <w:t xml:space="preserve"> Авторські тексти, 2024</w:t>
      </w:r>
    </w:p>
    <w:p w14:paraId="6ED466EC" w14:textId="77777777" w:rsidR="00662012" w:rsidRPr="005F0419" w:rsidRDefault="00662012" w:rsidP="00662012">
      <w:pPr>
        <w:pageBreakBefore/>
        <w:widowControl w:val="0"/>
        <w:spacing w:after="0"/>
        <w:jc w:val="center"/>
        <w:rPr>
          <w:rFonts w:ascii="Times New Roman" w:hAnsi="Times New Roman" w:cs="Times New Roman"/>
          <w:b/>
          <w:bCs/>
          <w:caps/>
          <w:sz w:val="28"/>
          <w:szCs w:val="28"/>
          <w:lang w:val="uk-UA"/>
        </w:rPr>
      </w:pPr>
      <w:r w:rsidRPr="005F0419">
        <w:rPr>
          <w:rFonts w:ascii="Times New Roman" w:hAnsi="Times New Roman" w:cs="Times New Roman"/>
          <w:b/>
          <w:bCs/>
          <w:caps/>
          <w:sz w:val="28"/>
          <w:szCs w:val="28"/>
          <w:lang w:val="uk-UA"/>
        </w:rPr>
        <w:lastRenderedPageBreak/>
        <w:t>ВСТУПне слово</w:t>
      </w:r>
    </w:p>
    <w:p w14:paraId="657D6245" w14:textId="77777777" w:rsidR="00662012" w:rsidRPr="005F0419" w:rsidRDefault="00662012" w:rsidP="00662012">
      <w:pPr>
        <w:pStyle w:val="Default"/>
        <w:spacing w:line="360" w:lineRule="auto"/>
        <w:ind w:firstLine="720"/>
        <w:jc w:val="both"/>
        <w:rPr>
          <w:color w:val="auto"/>
          <w:sz w:val="28"/>
          <w:szCs w:val="28"/>
          <w:lang w:val="uk-UA"/>
        </w:rPr>
      </w:pPr>
    </w:p>
    <w:p w14:paraId="6048267A" w14:textId="77777777" w:rsidR="00B97039" w:rsidRPr="005F0419" w:rsidRDefault="00AC70BD" w:rsidP="00B97039">
      <w:pPr>
        <w:pStyle w:val="Default"/>
        <w:spacing w:line="360" w:lineRule="auto"/>
        <w:ind w:firstLine="720"/>
        <w:jc w:val="both"/>
        <w:rPr>
          <w:color w:val="auto"/>
          <w:sz w:val="28"/>
          <w:szCs w:val="28"/>
          <w:lang w:val="uk-UA"/>
        </w:rPr>
      </w:pPr>
      <w:r w:rsidRPr="005F0419">
        <w:rPr>
          <w:bCs/>
          <w:color w:val="auto"/>
          <w:sz w:val="28"/>
          <w:szCs w:val="28"/>
          <w:lang w:val="uk-UA"/>
        </w:rPr>
        <w:t xml:space="preserve">Монографія присвячена </w:t>
      </w:r>
      <w:r w:rsidR="0039161C" w:rsidRPr="005F0419">
        <w:rPr>
          <w:color w:val="auto"/>
          <w:sz w:val="28"/>
          <w:szCs w:val="28"/>
          <w:lang w:val="uk-UA"/>
        </w:rPr>
        <w:t>висвітленню</w:t>
      </w:r>
      <w:r w:rsidRPr="005F0419">
        <w:rPr>
          <w:color w:val="auto"/>
          <w:sz w:val="28"/>
          <w:szCs w:val="28"/>
          <w:lang w:val="uk-UA"/>
        </w:rPr>
        <w:t xml:space="preserve"> досягнень менеджменту в бізнесі та сервісі, які можуть бути корисними для підвищення ефективності прийняття рішень у наукових і прикладних </w:t>
      </w:r>
      <w:proofErr w:type="spellStart"/>
      <w:r w:rsidRPr="005F0419">
        <w:rPr>
          <w:color w:val="auto"/>
          <w:sz w:val="28"/>
          <w:szCs w:val="28"/>
          <w:lang w:val="uk-UA"/>
        </w:rPr>
        <w:t>проєктах</w:t>
      </w:r>
      <w:proofErr w:type="spellEnd"/>
      <w:r w:rsidR="00B97039" w:rsidRPr="005F0419">
        <w:rPr>
          <w:color w:val="auto"/>
          <w:sz w:val="28"/>
          <w:szCs w:val="28"/>
          <w:lang w:val="uk-UA"/>
        </w:rPr>
        <w:t xml:space="preserve"> та є результатами обговорення актуальних питань на </w:t>
      </w:r>
      <w:r w:rsidR="00B97039" w:rsidRPr="005F0419">
        <w:rPr>
          <w:bCs/>
          <w:color w:val="auto"/>
          <w:sz w:val="28"/>
          <w:szCs w:val="28"/>
          <w:lang w:val="uk-UA"/>
        </w:rPr>
        <w:t>VIII</w:t>
      </w:r>
      <w:r w:rsidR="00B97039" w:rsidRPr="005F0419">
        <w:rPr>
          <w:color w:val="auto"/>
          <w:sz w:val="28"/>
          <w:szCs w:val="28"/>
          <w:lang w:val="uk-UA"/>
        </w:rPr>
        <w:t xml:space="preserve"> Міжнародній науково-практичній конференції, яка була проведена 17 листопада 2023 року в Міжнародному гуманітарному університеті.</w:t>
      </w:r>
    </w:p>
    <w:p w14:paraId="13606D45" w14:textId="370185E6" w:rsidR="00B97039" w:rsidRPr="005F0419" w:rsidRDefault="00B97039" w:rsidP="00B97039">
      <w:pPr>
        <w:pStyle w:val="Default"/>
        <w:spacing w:line="360" w:lineRule="auto"/>
        <w:ind w:firstLine="720"/>
        <w:jc w:val="both"/>
        <w:rPr>
          <w:color w:val="auto"/>
          <w:sz w:val="28"/>
          <w:szCs w:val="28"/>
          <w:lang w:val="uk-UA"/>
        </w:rPr>
      </w:pPr>
      <w:r w:rsidRPr="005F0419">
        <w:rPr>
          <w:color w:val="auto"/>
          <w:sz w:val="28"/>
          <w:szCs w:val="28"/>
          <w:lang w:val="uk-UA"/>
        </w:rPr>
        <w:t xml:space="preserve">Представлені в колективній монографії результати досліджень відображають здобутки представників різних наукових шкіл та практики, дозволяють проаналізувати набутий досвід і, враховуючи сучасні економічні та політичні реалії, сприяють обґрунтуванню перспектив стратегічних і тактичних орієнтирів управлінських рішень в бізнес-середовищі; </w:t>
      </w:r>
      <w:r w:rsidR="002738CA" w:rsidRPr="005F0419">
        <w:rPr>
          <w:color w:val="auto"/>
          <w:sz w:val="28"/>
          <w:szCs w:val="28"/>
          <w:lang w:val="uk-UA"/>
        </w:rPr>
        <w:t xml:space="preserve">інноваційних змін з </w:t>
      </w:r>
      <w:r w:rsidRPr="005F0419">
        <w:rPr>
          <w:color w:val="auto"/>
          <w:sz w:val="28"/>
          <w:szCs w:val="28"/>
          <w:lang w:val="uk-UA"/>
        </w:rPr>
        <w:t>менеджмент</w:t>
      </w:r>
      <w:r w:rsidR="002738CA" w:rsidRPr="005F0419">
        <w:rPr>
          <w:color w:val="auto"/>
          <w:sz w:val="28"/>
          <w:szCs w:val="28"/>
          <w:lang w:val="uk-UA"/>
        </w:rPr>
        <w:t>у</w:t>
      </w:r>
      <w:r w:rsidRPr="005F0419">
        <w:rPr>
          <w:color w:val="auto"/>
          <w:sz w:val="28"/>
          <w:szCs w:val="28"/>
          <w:lang w:val="uk-UA"/>
        </w:rPr>
        <w:t>;</w:t>
      </w:r>
      <w:r w:rsidR="002738CA" w:rsidRPr="005F0419">
        <w:rPr>
          <w:color w:val="auto"/>
          <w:sz w:val="28"/>
          <w:szCs w:val="28"/>
          <w:lang w:val="uk-UA"/>
        </w:rPr>
        <w:t xml:space="preserve"> новацій у </w:t>
      </w:r>
      <w:r w:rsidRPr="005F0419">
        <w:rPr>
          <w:color w:val="auto"/>
          <w:sz w:val="28"/>
          <w:szCs w:val="28"/>
          <w:lang w:val="uk-UA"/>
        </w:rPr>
        <w:t xml:space="preserve">розвитку ринку </w:t>
      </w:r>
      <w:proofErr w:type="spellStart"/>
      <w:r w:rsidRPr="005F0419">
        <w:rPr>
          <w:color w:val="auto"/>
          <w:sz w:val="28"/>
          <w:szCs w:val="28"/>
          <w:lang w:val="uk-UA"/>
        </w:rPr>
        <w:t>готельно</w:t>
      </w:r>
      <w:proofErr w:type="spellEnd"/>
      <w:r w:rsidRPr="005F0419">
        <w:rPr>
          <w:color w:val="auto"/>
          <w:sz w:val="28"/>
          <w:szCs w:val="28"/>
          <w:lang w:val="uk-UA"/>
        </w:rPr>
        <w:t>-ресторанних послуг;</w:t>
      </w:r>
      <w:r w:rsidR="002738CA" w:rsidRPr="005F0419">
        <w:rPr>
          <w:color w:val="auto"/>
          <w:sz w:val="28"/>
          <w:szCs w:val="28"/>
          <w:lang w:val="uk-UA"/>
        </w:rPr>
        <w:t xml:space="preserve"> </w:t>
      </w:r>
      <w:r w:rsidRPr="005F0419">
        <w:rPr>
          <w:color w:val="auto"/>
          <w:sz w:val="28"/>
          <w:szCs w:val="28"/>
          <w:lang w:val="uk-UA"/>
        </w:rPr>
        <w:t>стратегічн</w:t>
      </w:r>
      <w:r w:rsidR="002738CA" w:rsidRPr="005F0419">
        <w:rPr>
          <w:color w:val="auto"/>
          <w:sz w:val="28"/>
          <w:szCs w:val="28"/>
          <w:lang w:val="uk-UA"/>
        </w:rPr>
        <w:t>их</w:t>
      </w:r>
      <w:r w:rsidRPr="005F0419">
        <w:rPr>
          <w:color w:val="auto"/>
          <w:sz w:val="28"/>
          <w:szCs w:val="28"/>
          <w:lang w:val="uk-UA"/>
        </w:rPr>
        <w:t xml:space="preserve"> напрям</w:t>
      </w:r>
      <w:r w:rsidR="002738CA" w:rsidRPr="005F0419">
        <w:rPr>
          <w:color w:val="auto"/>
          <w:sz w:val="28"/>
          <w:szCs w:val="28"/>
          <w:lang w:val="uk-UA"/>
        </w:rPr>
        <w:t>ів у</w:t>
      </w:r>
      <w:r w:rsidRPr="005F0419">
        <w:rPr>
          <w:color w:val="auto"/>
          <w:sz w:val="28"/>
          <w:szCs w:val="28"/>
          <w:lang w:val="uk-UA"/>
        </w:rPr>
        <w:t xml:space="preserve"> розвитку туризму;</w:t>
      </w:r>
      <w:r w:rsidR="002738CA" w:rsidRPr="005F0419">
        <w:rPr>
          <w:color w:val="auto"/>
          <w:sz w:val="28"/>
          <w:szCs w:val="28"/>
          <w:lang w:val="uk-UA"/>
        </w:rPr>
        <w:t xml:space="preserve"> запроваджень </w:t>
      </w:r>
      <w:r w:rsidRPr="005F0419">
        <w:rPr>
          <w:color w:val="auto"/>
          <w:sz w:val="28"/>
          <w:szCs w:val="28"/>
          <w:lang w:val="uk-UA"/>
        </w:rPr>
        <w:t>цифров</w:t>
      </w:r>
      <w:r w:rsidR="002738CA" w:rsidRPr="005F0419">
        <w:rPr>
          <w:color w:val="auto"/>
          <w:sz w:val="28"/>
          <w:szCs w:val="28"/>
          <w:lang w:val="uk-UA"/>
        </w:rPr>
        <w:t>их</w:t>
      </w:r>
      <w:r w:rsidRPr="005F0419">
        <w:rPr>
          <w:color w:val="auto"/>
          <w:sz w:val="28"/>
          <w:szCs w:val="28"/>
          <w:lang w:val="uk-UA"/>
        </w:rPr>
        <w:t xml:space="preserve"> рішен</w:t>
      </w:r>
      <w:r w:rsidR="002738CA" w:rsidRPr="005F0419">
        <w:rPr>
          <w:color w:val="auto"/>
          <w:sz w:val="28"/>
          <w:szCs w:val="28"/>
          <w:lang w:val="uk-UA"/>
        </w:rPr>
        <w:t>ь</w:t>
      </w:r>
      <w:r w:rsidRPr="005F0419">
        <w:rPr>
          <w:color w:val="auto"/>
          <w:sz w:val="28"/>
          <w:szCs w:val="28"/>
          <w:lang w:val="uk-UA"/>
        </w:rPr>
        <w:t xml:space="preserve"> в бізнесі.</w:t>
      </w:r>
    </w:p>
    <w:p w14:paraId="57C7236C" w14:textId="2128AE85" w:rsidR="00F90AF7" w:rsidRPr="005F0419" w:rsidRDefault="00F90AF7" w:rsidP="009070E3">
      <w:pPr>
        <w:pStyle w:val="Default"/>
        <w:spacing w:line="360" w:lineRule="auto"/>
        <w:ind w:firstLine="720"/>
        <w:jc w:val="both"/>
        <w:rPr>
          <w:color w:val="auto"/>
          <w:sz w:val="28"/>
          <w:szCs w:val="28"/>
          <w:lang w:val="uk-UA"/>
        </w:rPr>
      </w:pPr>
      <w:r w:rsidRPr="005F0419">
        <w:rPr>
          <w:color w:val="auto"/>
          <w:sz w:val="28"/>
          <w:szCs w:val="28"/>
          <w:lang w:val="uk-UA"/>
        </w:rPr>
        <w:t xml:space="preserve">Спільним завданням для </w:t>
      </w:r>
      <w:r w:rsidR="009070E3" w:rsidRPr="005F0419">
        <w:rPr>
          <w:color w:val="auto"/>
          <w:sz w:val="28"/>
          <w:szCs w:val="28"/>
          <w:lang w:val="uk-UA"/>
        </w:rPr>
        <w:t xml:space="preserve">науковців, </w:t>
      </w:r>
      <w:r w:rsidRPr="005F0419">
        <w:rPr>
          <w:color w:val="auto"/>
          <w:sz w:val="28"/>
          <w:szCs w:val="28"/>
          <w:lang w:val="uk-UA"/>
        </w:rPr>
        <w:t>науков</w:t>
      </w:r>
      <w:r w:rsidR="009070E3" w:rsidRPr="005F0419">
        <w:rPr>
          <w:color w:val="auto"/>
          <w:sz w:val="28"/>
          <w:szCs w:val="28"/>
          <w:lang w:val="uk-UA"/>
        </w:rPr>
        <w:t>о-педагогічних працівників та</w:t>
      </w:r>
      <w:r w:rsidRPr="005F0419">
        <w:rPr>
          <w:color w:val="auto"/>
          <w:sz w:val="28"/>
          <w:szCs w:val="28"/>
          <w:lang w:val="uk-UA"/>
        </w:rPr>
        <w:t xml:space="preserve"> роботодавців в умовах </w:t>
      </w:r>
      <w:r w:rsidR="009070E3" w:rsidRPr="005F0419">
        <w:rPr>
          <w:color w:val="auto"/>
          <w:sz w:val="28"/>
          <w:szCs w:val="28"/>
          <w:lang w:val="uk-UA"/>
        </w:rPr>
        <w:t>воєнного стану, спричинений</w:t>
      </w:r>
      <w:r w:rsidR="009070E3" w:rsidRPr="005F0419">
        <w:rPr>
          <w:color w:val="auto"/>
          <w:sz w:val="28"/>
          <w:szCs w:val="28"/>
          <w:shd w:val="clear" w:color="auto" w:fill="FFFFFF"/>
          <w:lang w:val="uk-UA"/>
        </w:rPr>
        <w:t xml:space="preserve"> збройною</w:t>
      </w:r>
      <w:r w:rsidR="009070E3" w:rsidRPr="005F0419">
        <w:rPr>
          <w:color w:val="auto"/>
          <w:sz w:val="28"/>
          <w:szCs w:val="28"/>
          <w:lang w:val="uk-UA"/>
        </w:rPr>
        <w:t xml:space="preserve"> агресією </w:t>
      </w:r>
      <w:proofErr w:type="spellStart"/>
      <w:r w:rsidR="009070E3" w:rsidRPr="005F0419">
        <w:rPr>
          <w:color w:val="auto"/>
          <w:sz w:val="28"/>
          <w:szCs w:val="28"/>
          <w:lang w:val="uk-UA"/>
        </w:rPr>
        <w:t>росії</w:t>
      </w:r>
      <w:proofErr w:type="spellEnd"/>
      <w:r w:rsidR="009070E3" w:rsidRPr="005F0419">
        <w:rPr>
          <w:color w:val="auto"/>
          <w:sz w:val="28"/>
          <w:szCs w:val="28"/>
          <w:lang w:val="uk-UA"/>
        </w:rPr>
        <w:t xml:space="preserve">, є формування </w:t>
      </w:r>
      <w:r w:rsidRPr="005F0419">
        <w:rPr>
          <w:color w:val="auto"/>
          <w:sz w:val="28"/>
          <w:szCs w:val="28"/>
          <w:lang w:val="uk-UA"/>
        </w:rPr>
        <w:t xml:space="preserve">та поширення нових знань для досягнення </w:t>
      </w:r>
      <w:r w:rsidR="009070E3" w:rsidRPr="005F0419">
        <w:rPr>
          <w:color w:val="auto"/>
          <w:sz w:val="28"/>
          <w:szCs w:val="28"/>
          <w:lang w:val="uk-UA"/>
        </w:rPr>
        <w:t xml:space="preserve">стратегічних повоєнних </w:t>
      </w:r>
      <w:r w:rsidRPr="005F0419">
        <w:rPr>
          <w:color w:val="auto"/>
          <w:sz w:val="28"/>
          <w:szCs w:val="28"/>
          <w:lang w:val="uk-UA"/>
        </w:rPr>
        <w:t xml:space="preserve">цілей </w:t>
      </w:r>
      <w:r w:rsidR="009070E3" w:rsidRPr="005F0419">
        <w:rPr>
          <w:color w:val="auto"/>
          <w:sz w:val="28"/>
          <w:szCs w:val="28"/>
          <w:lang w:val="uk-UA"/>
        </w:rPr>
        <w:t>з</w:t>
      </w:r>
      <w:r w:rsidRPr="005F0419">
        <w:rPr>
          <w:color w:val="auto"/>
          <w:sz w:val="28"/>
          <w:szCs w:val="28"/>
          <w:lang w:val="uk-UA"/>
        </w:rPr>
        <w:t xml:space="preserve"> розвитку </w:t>
      </w:r>
      <w:r w:rsidR="00F84CCF" w:rsidRPr="005F0419">
        <w:rPr>
          <w:color w:val="auto"/>
          <w:sz w:val="28"/>
          <w:szCs w:val="28"/>
          <w:lang w:val="uk-UA"/>
        </w:rPr>
        <w:t>економіки, підприємств та суспільства на основі запровадженню і реалізації сучасних управлінських рішень.</w:t>
      </w:r>
      <w:r w:rsidR="00A608F4" w:rsidRPr="005F0419">
        <w:rPr>
          <w:color w:val="auto"/>
          <w:sz w:val="28"/>
          <w:szCs w:val="28"/>
          <w:lang w:val="uk-UA"/>
        </w:rPr>
        <w:t xml:space="preserve"> </w:t>
      </w:r>
      <w:r w:rsidRPr="005F0419">
        <w:rPr>
          <w:color w:val="auto"/>
          <w:sz w:val="28"/>
          <w:szCs w:val="28"/>
          <w:lang w:val="uk-UA"/>
        </w:rPr>
        <w:t xml:space="preserve">Пропоноване обговорення актуальних питань, обмін досвідом та рекомендаціями сприятиме вирішенню проблем, активізації досліджень у </w:t>
      </w:r>
      <w:r w:rsidR="00A608F4" w:rsidRPr="005F0419">
        <w:rPr>
          <w:color w:val="auto"/>
          <w:sz w:val="28"/>
          <w:szCs w:val="28"/>
          <w:lang w:val="uk-UA"/>
        </w:rPr>
        <w:t>різних</w:t>
      </w:r>
      <w:r w:rsidRPr="005F0419">
        <w:rPr>
          <w:color w:val="auto"/>
          <w:sz w:val="28"/>
          <w:szCs w:val="28"/>
          <w:lang w:val="uk-UA"/>
        </w:rPr>
        <w:t xml:space="preserve"> сферах діяльності.</w:t>
      </w:r>
    </w:p>
    <w:p w14:paraId="573214C3" w14:textId="17B7815F" w:rsidR="00B97039" w:rsidRPr="005F0419" w:rsidRDefault="00161A3B" w:rsidP="00161A3B">
      <w:pPr>
        <w:pStyle w:val="Default"/>
        <w:spacing w:line="360" w:lineRule="auto"/>
        <w:ind w:firstLine="720"/>
        <w:jc w:val="both"/>
        <w:rPr>
          <w:color w:val="auto"/>
          <w:sz w:val="28"/>
          <w:szCs w:val="28"/>
          <w:lang w:val="uk-UA"/>
        </w:rPr>
      </w:pPr>
      <w:r w:rsidRPr="005F0419">
        <w:rPr>
          <w:color w:val="auto"/>
          <w:sz w:val="28"/>
          <w:szCs w:val="28"/>
          <w:lang w:val="uk-UA"/>
        </w:rPr>
        <w:t>Активізації в умовах війни та у</w:t>
      </w:r>
      <w:r w:rsidR="00F90AF7" w:rsidRPr="005F0419">
        <w:rPr>
          <w:color w:val="auto"/>
          <w:sz w:val="28"/>
          <w:szCs w:val="28"/>
          <w:lang w:val="uk-UA"/>
        </w:rPr>
        <w:t xml:space="preserve"> </w:t>
      </w:r>
      <w:r w:rsidR="00707947" w:rsidRPr="005F0419">
        <w:rPr>
          <w:color w:val="auto"/>
          <w:sz w:val="28"/>
          <w:szCs w:val="28"/>
          <w:lang w:val="uk-UA"/>
        </w:rPr>
        <w:t>повоєнн</w:t>
      </w:r>
      <w:r w:rsidRPr="005F0419">
        <w:rPr>
          <w:color w:val="auto"/>
          <w:sz w:val="28"/>
          <w:szCs w:val="28"/>
          <w:lang w:val="uk-UA"/>
        </w:rPr>
        <w:t>ий час для</w:t>
      </w:r>
      <w:r w:rsidR="00707947" w:rsidRPr="005F0419">
        <w:rPr>
          <w:color w:val="auto"/>
          <w:sz w:val="28"/>
          <w:szCs w:val="28"/>
          <w:lang w:val="uk-UA"/>
        </w:rPr>
        <w:t xml:space="preserve"> України </w:t>
      </w:r>
      <w:r w:rsidRPr="005F0419">
        <w:rPr>
          <w:color w:val="auto"/>
          <w:sz w:val="28"/>
          <w:szCs w:val="28"/>
          <w:lang w:val="uk-UA"/>
        </w:rPr>
        <w:t>потребують</w:t>
      </w:r>
      <w:r w:rsidR="00707947" w:rsidRPr="005F0419">
        <w:rPr>
          <w:color w:val="auto"/>
          <w:sz w:val="28"/>
          <w:szCs w:val="28"/>
          <w:lang w:val="uk-UA"/>
        </w:rPr>
        <w:t xml:space="preserve"> управлінські процеси. Менеджмент господарської </w:t>
      </w:r>
      <w:r w:rsidR="00F90AF7" w:rsidRPr="005F0419">
        <w:rPr>
          <w:color w:val="auto"/>
          <w:sz w:val="28"/>
          <w:szCs w:val="28"/>
          <w:lang w:val="uk-UA"/>
        </w:rPr>
        <w:t xml:space="preserve">діяльності має забезпечити подолання економічних </w:t>
      </w:r>
      <w:r w:rsidR="00707947" w:rsidRPr="005F0419">
        <w:rPr>
          <w:color w:val="auto"/>
          <w:sz w:val="28"/>
          <w:szCs w:val="28"/>
          <w:lang w:val="uk-UA"/>
        </w:rPr>
        <w:t xml:space="preserve">і соціальних </w:t>
      </w:r>
      <w:r w:rsidR="00F90AF7" w:rsidRPr="005F0419">
        <w:rPr>
          <w:color w:val="auto"/>
          <w:sz w:val="28"/>
          <w:szCs w:val="28"/>
          <w:lang w:val="uk-UA"/>
        </w:rPr>
        <w:t xml:space="preserve">криз </w:t>
      </w:r>
      <w:r w:rsidR="00FA0378" w:rsidRPr="005F0419">
        <w:rPr>
          <w:color w:val="auto"/>
          <w:sz w:val="28"/>
          <w:szCs w:val="28"/>
          <w:lang w:val="uk-UA"/>
        </w:rPr>
        <w:t xml:space="preserve">у повоєнний час, </w:t>
      </w:r>
      <w:r w:rsidR="00F90AF7" w:rsidRPr="005F0419">
        <w:rPr>
          <w:color w:val="auto"/>
          <w:sz w:val="28"/>
          <w:szCs w:val="28"/>
          <w:lang w:val="uk-UA"/>
        </w:rPr>
        <w:t xml:space="preserve">визначати динамічний розвиток </w:t>
      </w:r>
      <w:r w:rsidR="00FA0378" w:rsidRPr="005F0419">
        <w:rPr>
          <w:color w:val="auto"/>
          <w:sz w:val="28"/>
          <w:szCs w:val="28"/>
          <w:lang w:val="uk-UA"/>
        </w:rPr>
        <w:t>економіки</w:t>
      </w:r>
      <w:r w:rsidR="00F90AF7" w:rsidRPr="005F0419">
        <w:rPr>
          <w:color w:val="auto"/>
          <w:sz w:val="28"/>
          <w:szCs w:val="28"/>
          <w:lang w:val="uk-UA"/>
        </w:rPr>
        <w:t xml:space="preserve"> та майбутній добробут людей</w:t>
      </w:r>
      <w:r w:rsidRPr="005F0419">
        <w:rPr>
          <w:color w:val="auto"/>
          <w:sz w:val="28"/>
          <w:szCs w:val="28"/>
          <w:lang w:val="uk-UA"/>
        </w:rPr>
        <w:t xml:space="preserve">, а на сьогодні – спрямувати управлінську діяльність на можливості господарювання галузей економіки, включаючи промислову, соціальну та сферу обслуговування, для </w:t>
      </w:r>
      <w:r w:rsidRPr="005F0419">
        <w:rPr>
          <w:color w:val="auto"/>
          <w:sz w:val="28"/>
          <w:szCs w:val="28"/>
          <w:lang w:val="uk-UA"/>
        </w:rPr>
        <w:lastRenderedPageBreak/>
        <w:t>п</w:t>
      </w:r>
      <w:r w:rsidR="00037CFF" w:rsidRPr="005F0419">
        <w:rPr>
          <w:color w:val="auto"/>
          <w:sz w:val="28"/>
          <w:szCs w:val="28"/>
          <w:lang w:val="uk-UA"/>
        </w:rPr>
        <w:t>е</w:t>
      </w:r>
      <w:r w:rsidRPr="005F0419">
        <w:rPr>
          <w:color w:val="auto"/>
          <w:sz w:val="28"/>
          <w:szCs w:val="28"/>
          <w:lang w:val="uk-UA"/>
        </w:rPr>
        <w:t>ремоги</w:t>
      </w:r>
      <w:r w:rsidR="00F90AF7" w:rsidRPr="005F0419">
        <w:rPr>
          <w:color w:val="auto"/>
          <w:sz w:val="28"/>
          <w:szCs w:val="28"/>
          <w:lang w:val="uk-UA"/>
        </w:rPr>
        <w:t xml:space="preserve">. Тому </w:t>
      </w:r>
      <w:r w:rsidRPr="005F0419">
        <w:rPr>
          <w:color w:val="auto"/>
          <w:sz w:val="28"/>
          <w:szCs w:val="28"/>
          <w:lang w:val="uk-UA"/>
        </w:rPr>
        <w:t xml:space="preserve">виникає потреба у </w:t>
      </w:r>
      <w:r w:rsidR="00F90AF7" w:rsidRPr="005F0419">
        <w:rPr>
          <w:color w:val="auto"/>
          <w:sz w:val="28"/>
          <w:szCs w:val="28"/>
          <w:lang w:val="uk-UA"/>
        </w:rPr>
        <w:t>дослід</w:t>
      </w:r>
      <w:r w:rsidRPr="005F0419">
        <w:rPr>
          <w:color w:val="auto"/>
          <w:sz w:val="28"/>
          <w:szCs w:val="28"/>
          <w:lang w:val="uk-UA"/>
        </w:rPr>
        <w:t>женні</w:t>
      </w:r>
      <w:r w:rsidR="00F90AF7" w:rsidRPr="005F0419">
        <w:rPr>
          <w:color w:val="auto"/>
          <w:sz w:val="28"/>
          <w:szCs w:val="28"/>
          <w:lang w:val="uk-UA"/>
        </w:rPr>
        <w:t xml:space="preserve"> ключов</w:t>
      </w:r>
      <w:r w:rsidRPr="005F0419">
        <w:rPr>
          <w:color w:val="auto"/>
          <w:sz w:val="28"/>
          <w:szCs w:val="28"/>
          <w:lang w:val="uk-UA"/>
        </w:rPr>
        <w:t>их</w:t>
      </w:r>
      <w:r w:rsidR="00F90AF7" w:rsidRPr="005F0419">
        <w:rPr>
          <w:color w:val="auto"/>
          <w:sz w:val="28"/>
          <w:szCs w:val="28"/>
          <w:lang w:val="uk-UA"/>
        </w:rPr>
        <w:t xml:space="preserve"> чинник</w:t>
      </w:r>
      <w:r w:rsidRPr="005F0419">
        <w:rPr>
          <w:color w:val="auto"/>
          <w:sz w:val="28"/>
          <w:szCs w:val="28"/>
          <w:lang w:val="uk-UA"/>
        </w:rPr>
        <w:t>ів</w:t>
      </w:r>
      <w:r w:rsidR="00F90AF7" w:rsidRPr="005F0419">
        <w:rPr>
          <w:color w:val="auto"/>
          <w:sz w:val="28"/>
          <w:szCs w:val="28"/>
          <w:lang w:val="uk-UA"/>
        </w:rPr>
        <w:t xml:space="preserve"> розвитку </w:t>
      </w:r>
      <w:r w:rsidRPr="005F0419">
        <w:rPr>
          <w:color w:val="auto"/>
          <w:sz w:val="28"/>
          <w:szCs w:val="28"/>
          <w:lang w:val="uk-UA"/>
        </w:rPr>
        <w:t>управлінської</w:t>
      </w:r>
      <w:r w:rsidR="00F90AF7" w:rsidRPr="005F0419">
        <w:rPr>
          <w:color w:val="auto"/>
          <w:sz w:val="28"/>
          <w:szCs w:val="28"/>
          <w:lang w:val="uk-UA"/>
        </w:rPr>
        <w:t xml:space="preserve"> діяльності в Україні.</w:t>
      </w:r>
    </w:p>
    <w:p w14:paraId="349C16A1" w14:textId="0812C29F" w:rsidR="0039161C" w:rsidRPr="005F0419" w:rsidRDefault="00C67EF5" w:rsidP="00773C61">
      <w:pPr>
        <w:pStyle w:val="Default"/>
        <w:spacing w:line="360" w:lineRule="auto"/>
        <w:ind w:firstLine="720"/>
        <w:jc w:val="both"/>
        <w:rPr>
          <w:color w:val="auto"/>
          <w:sz w:val="28"/>
          <w:szCs w:val="28"/>
          <w:lang w:val="uk-UA"/>
        </w:rPr>
      </w:pPr>
      <w:r w:rsidRPr="005F0419">
        <w:rPr>
          <w:color w:val="auto"/>
          <w:sz w:val="28"/>
          <w:szCs w:val="28"/>
          <w:lang w:val="uk-UA"/>
        </w:rPr>
        <w:t>У п</w:t>
      </w:r>
      <w:r w:rsidR="003F0CAF" w:rsidRPr="005F0419">
        <w:rPr>
          <w:color w:val="auto"/>
          <w:sz w:val="28"/>
          <w:szCs w:val="28"/>
          <w:lang w:val="uk-UA"/>
        </w:rPr>
        <w:t>ерш</w:t>
      </w:r>
      <w:r w:rsidRPr="005F0419">
        <w:rPr>
          <w:color w:val="auto"/>
          <w:sz w:val="28"/>
          <w:szCs w:val="28"/>
          <w:lang w:val="uk-UA"/>
        </w:rPr>
        <w:t>ому</w:t>
      </w:r>
      <w:r w:rsidR="003F0CAF" w:rsidRPr="005F0419">
        <w:rPr>
          <w:color w:val="auto"/>
          <w:sz w:val="28"/>
          <w:szCs w:val="28"/>
          <w:lang w:val="uk-UA"/>
        </w:rPr>
        <w:t xml:space="preserve"> розділ</w:t>
      </w:r>
      <w:r w:rsidRPr="005F0419">
        <w:rPr>
          <w:color w:val="auto"/>
          <w:sz w:val="28"/>
          <w:szCs w:val="28"/>
          <w:lang w:val="uk-UA"/>
        </w:rPr>
        <w:t>і</w:t>
      </w:r>
      <w:r w:rsidR="003F0CAF" w:rsidRPr="005F0419">
        <w:rPr>
          <w:color w:val="auto"/>
          <w:sz w:val="28"/>
          <w:szCs w:val="28"/>
          <w:lang w:val="uk-UA"/>
        </w:rPr>
        <w:t xml:space="preserve"> монографії </w:t>
      </w:r>
      <w:r w:rsidRPr="005F0419">
        <w:rPr>
          <w:color w:val="auto"/>
          <w:sz w:val="28"/>
          <w:szCs w:val="28"/>
          <w:lang w:val="uk-UA"/>
        </w:rPr>
        <w:t>описано</w:t>
      </w:r>
      <w:r w:rsidR="003F0CAF" w:rsidRPr="005F0419">
        <w:rPr>
          <w:color w:val="auto"/>
          <w:sz w:val="28"/>
          <w:szCs w:val="28"/>
          <w:lang w:val="uk-UA"/>
        </w:rPr>
        <w:t xml:space="preserve"> питання </w:t>
      </w:r>
      <w:r w:rsidRPr="005F0419">
        <w:rPr>
          <w:color w:val="auto"/>
          <w:sz w:val="28"/>
          <w:szCs w:val="28"/>
          <w:lang w:val="uk-UA"/>
        </w:rPr>
        <w:t xml:space="preserve">стратегічних і тактичних орієнтирів управлінських рішень в бізнес-середовищі, </w:t>
      </w:r>
      <w:r w:rsidRPr="005F0419">
        <w:rPr>
          <w:bCs/>
          <w:color w:val="auto"/>
          <w:sz w:val="28"/>
          <w:szCs w:val="28"/>
          <w:lang w:val="uk-UA"/>
        </w:rPr>
        <w:t xml:space="preserve">а саме особливу увагу приділено </w:t>
      </w:r>
      <w:r w:rsidR="005F0419" w:rsidRPr="005F0419">
        <w:rPr>
          <w:bCs/>
          <w:color w:val="auto"/>
          <w:sz w:val="28"/>
          <w:szCs w:val="28"/>
          <w:lang w:val="uk-UA"/>
        </w:rPr>
        <w:t xml:space="preserve">фінансовому управлінню; </w:t>
      </w:r>
      <w:r w:rsidRPr="005F0419">
        <w:rPr>
          <w:bCs/>
          <w:color w:val="auto"/>
          <w:sz w:val="28"/>
          <w:szCs w:val="28"/>
          <w:lang w:val="uk-UA"/>
        </w:rPr>
        <w:t xml:space="preserve">корпоративній соціальній безпеці; трансформації стратегій управління підприємствами; розгляду еколого-економічних засад в агробізнесі; управлінню організаційними і </w:t>
      </w:r>
      <w:proofErr w:type="spellStart"/>
      <w:r w:rsidRPr="005F0419">
        <w:rPr>
          <w:bCs/>
          <w:color w:val="auto"/>
          <w:sz w:val="28"/>
          <w:szCs w:val="28"/>
          <w:lang w:val="uk-UA"/>
        </w:rPr>
        <w:t>проєктними</w:t>
      </w:r>
      <w:proofErr w:type="spellEnd"/>
      <w:r w:rsidRPr="005F0419">
        <w:rPr>
          <w:bCs/>
          <w:color w:val="auto"/>
          <w:sz w:val="28"/>
          <w:szCs w:val="28"/>
          <w:lang w:val="uk-UA"/>
        </w:rPr>
        <w:t xml:space="preserve"> комунікаціями; аналізу управлінської діяльності галузей сільського господарства.</w:t>
      </w:r>
    </w:p>
    <w:p w14:paraId="59DBD258" w14:textId="76543D83" w:rsidR="00C67EF5" w:rsidRPr="005F0419" w:rsidRDefault="00C67EF5" w:rsidP="00773C61">
      <w:pPr>
        <w:pStyle w:val="Default"/>
        <w:spacing w:line="360" w:lineRule="auto"/>
        <w:ind w:firstLine="720"/>
        <w:jc w:val="both"/>
        <w:rPr>
          <w:bCs/>
          <w:color w:val="auto"/>
          <w:sz w:val="28"/>
          <w:szCs w:val="28"/>
          <w:lang w:val="uk-UA"/>
        </w:rPr>
      </w:pPr>
      <w:r w:rsidRPr="005F0419">
        <w:rPr>
          <w:bCs/>
          <w:color w:val="auto"/>
          <w:sz w:val="28"/>
          <w:szCs w:val="28"/>
          <w:lang w:val="uk-UA"/>
        </w:rPr>
        <w:t xml:space="preserve">Другий розділ монографії присвячено розгляду менеджменту </w:t>
      </w:r>
      <w:proofErr w:type="spellStart"/>
      <w:r w:rsidR="00E432E2" w:rsidRPr="005F0419">
        <w:rPr>
          <w:bCs/>
          <w:color w:val="auto"/>
          <w:sz w:val="28"/>
          <w:szCs w:val="28"/>
          <w:lang w:val="uk-UA"/>
        </w:rPr>
        <w:t>готельно</w:t>
      </w:r>
      <w:proofErr w:type="spellEnd"/>
      <w:r w:rsidR="00E432E2" w:rsidRPr="005F0419">
        <w:rPr>
          <w:bCs/>
          <w:color w:val="auto"/>
          <w:sz w:val="28"/>
          <w:szCs w:val="28"/>
          <w:lang w:val="uk-UA"/>
        </w:rPr>
        <w:t>-ресторанних послуг та індустрії</w:t>
      </w:r>
      <w:r w:rsidRPr="005F0419">
        <w:rPr>
          <w:bCs/>
          <w:color w:val="auto"/>
          <w:sz w:val="28"/>
          <w:szCs w:val="28"/>
          <w:lang w:val="uk-UA"/>
        </w:rPr>
        <w:t xml:space="preserve"> туризм</w:t>
      </w:r>
      <w:r w:rsidR="00E432E2" w:rsidRPr="005F0419">
        <w:rPr>
          <w:bCs/>
          <w:color w:val="auto"/>
          <w:sz w:val="28"/>
          <w:szCs w:val="28"/>
          <w:lang w:val="uk-UA"/>
        </w:rPr>
        <w:t>у</w:t>
      </w:r>
      <w:r w:rsidRPr="005F0419">
        <w:rPr>
          <w:bCs/>
          <w:color w:val="auto"/>
          <w:sz w:val="28"/>
          <w:szCs w:val="28"/>
          <w:lang w:val="uk-UA"/>
        </w:rPr>
        <w:t>. Авторами детально досліджено питання</w:t>
      </w:r>
      <w:r w:rsidR="00E432E2" w:rsidRPr="005F0419">
        <w:rPr>
          <w:bCs/>
          <w:color w:val="auto"/>
          <w:sz w:val="28"/>
          <w:szCs w:val="28"/>
          <w:lang w:val="uk-UA"/>
        </w:rPr>
        <w:t xml:space="preserve"> розвитку регіонального туризму під час кризи та особливості управління поведінкою споживачів послуг індустрії гостинності і рекреації; управління розвитком персоналу закладів індустрії гостинності; розробки та реалізації стратегії відновлення потенціалу міжнародного співробітництва вітчизняної індустрії туризму в кризових умовах.</w:t>
      </w:r>
    </w:p>
    <w:p w14:paraId="1A720AB8" w14:textId="0DDF146C" w:rsidR="003F0CAF" w:rsidRPr="005F0419" w:rsidRDefault="003F0CAF" w:rsidP="00773C61">
      <w:pPr>
        <w:pStyle w:val="Default"/>
        <w:spacing w:line="360" w:lineRule="auto"/>
        <w:ind w:firstLine="720"/>
        <w:jc w:val="both"/>
        <w:rPr>
          <w:color w:val="auto"/>
          <w:sz w:val="28"/>
          <w:szCs w:val="28"/>
          <w:lang w:val="uk-UA"/>
        </w:rPr>
      </w:pPr>
      <w:r w:rsidRPr="005F0419">
        <w:rPr>
          <w:color w:val="auto"/>
          <w:sz w:val="28"/>
          <w:szCs w:val="28"/>
          <w:lang w:val="uk-UA"/>
        </w:rPr>
        <w:t>У третьому розділі монографії запропонован</w:t>
      </w:r>
      <w:r w:rsidR="00E432E2" w:rsidRPr="005F0419">
        <w:rPr>
          <w:color w:val="auto"/>
          <w:sz w:val="28"/>
          <w:szCs w:val="28"/>
          <w:lang w:val="uk-UA"/>
        </w:rPr>
        <w:t>і цифрові рішення для реалізації управління зеленими інноваціями на основі розробленої програмної системи визначення оптимального відновлювального джерела енергії.</w:t>
      </w:r>
    </w:p>
    <w:p w14:paraId="3E9037A3" w14:textId="6B3821C8" w:rsidR="00E432E2" w:rsidRPr="005F0419" w:rsidRDefault="0039161C" w:rsidP="0039161C">
      <w:pPr>
        <w:pStyle w:val="Default"/>
        <w:spacing w:line="360" w:lineRule="auto"/>
        <w:ind w:firstLine="720"/>
        <w:jc w:val="both"/>
        <w:rPr>
          <w:bCs/>
          <w:color w:val="auto"/>
          <w:sz w:val="28"/>
          <w:szCs w:val="28"/>
          <w:lang w:val="uk-UA"/>
        </w:rPr>
      </w:pPr>
      <w:r w:rsidRPr="005F0419">
        <w:rPr>
          <w:bCs/>
          <w:color w:val="auto"/>
          <w:sz w:val="28"/>
          <w:szCs w:val="28"/>
          <w:lang w:val="uk-UA"/>
        </w:rPr>
        <w:t xml:space="preserve">Колектив авторів </w:t>
      </w:r>
      <w:r w:rsidR="00E432E2" w:rsidRPr="005F0419">
        <w:rPr>
          <w:bCs/>
          <w:color w:val="auto"/>
          <w:sz w:val="28"/>
          <w:szCs w:val="28"/>
          <w:lang w:val="uk-UA"/>
        </w:rPr>
        <w:t xml:space="preserve">націлено працював над </w:t>
      </w:r>
      <w:r w:rsidR="00841F40" w:rsidRPr="005F0419">
        <w:rPr>
          <w:bCs/>
          <w:color w:val="auto"/>
          <w:sz w:val="28"/>
          <w:szCs w:val="28"/>
          <w:lang w:val="uk-UA"/>
        </w:rPr>
        <w:t>продуктивними</w:t>
      </w:r>
      <w:r w:rsidR="00E432E2" w:rsidRPr="005F0419">
        <w:rPr>
          <w:bCs/>
          <w:color w:val="auto"/>
          <w:sz w:val="28"/>
          <w:szCs w:val="28"/>
          <w:lang w:val="uk-UA"/>
        </w:rPr>
        <w:t xml:space="preserve"> результатами </w:t>
      </w:r>
      <w:r w:rsidR="00841F40" w:rsidRPr="005F0419">
        <w:rPr>
          <w:bCs/>
          <w:color w:val="auto"/>
          <w:sz w:val="28"/>
          <w:szCs w:val="28"/>
          <w:lang w:val="uk-UA"/>
        </w:rPr>
        <w:t xml:space="preserve">перспективних управлінських рішень у різних галузях економіки України, орієнтуючись на можливості сьогодення та повоєнного часу. </w:t>
      </w:r>
    </w:p>
    <w:p w14:paraId="0C83F9EC" w14:textId="29405669" w:rsidR="00841F40" w:rsidRPr="005F0419" w:rsidRDefault="00841F40" w:rsidP="0039161C">
      <w:pPr>
        <w:pStyle w:val="Default"/>
        <w:spacing w:line="360" w:lineRule="auto"/>
        <w:ind w:firstLine="720"/>
        <w:jc w:val="both"/>
        <w:rPr>
          <w:bCs/>
          <w:color w:val="auto"/>
          <w:sz w:val="28"/>
          <w:szCs w:val="28"/>
          <w:lang w:val="uk-UA"/>
        </w:rPr>
      </w:pPr>
      <w:r w:rsidRPr="005F0419">
        <w:rPr>
          <w:bCs/>
          <w:color w:val="auto"/>
          <w:sz w:val="28"/>
          <w:szCs w:val="28"/>
          <w:lang w:val="uk-UA"/>
        </w:rPr>
        <w:t xml:space="preserve">Монографія може бути корисною для науковців, </w:t>
      </w:r>
      <w:r w:rsidR="00D8240C" w:rsidRPr="005F0419">
        <w:rPr>
          <w:bCs/>
          <w:color w:val="auto"/>
          <w:sz w:val="28"/>
          <w:szCs w:val="28"/>
          <w:lang w:val="uk-UA"/>
        </w:rPr>
        <w:t xml:space="preserve">викладачів, </w:t>
      </w:r>
      <w:r w:rsidRPr="005F0419">
        <w:rPr>
          <w:bCs/>
          <w:color w:val="auto"/>
          <w:sz w:val="28"/>
          <w:szCs w:val="28"/>
          <w:lang w:val="uk-UA"/>
        </w:rPr>
        <w:t>аспірантів, студентів</w:t>
      </w:r>
      <w:r w:rsidR="00D8240C" w:rsidRPr="005F0419">
        <w:rPr>
          <w:bCs/>
          <w:color w:val="auto"/>
          <w:sz w:val="28"/>
          <w:szCs w:val="28"/>
          <w:lang w:val="uk-UA"/>
        </w:rPr>
        <w:t>, практиків</w:t>
      </w:r>
      <w:r w:rsidRPr="005F0419">
        <w:rPr>
          <w:bCs/>
          <w:color w:val="auto"/>
          <w:sz w:val="28"/>
          <w:szCs w:val="28"/>
          <w:lang w:val="uk-UA"/>
        </w:rPr>
        <w:t xml:space="preserve"> та всіх зацікавлених у розвитку України на основі запровадження ефективних  управлінських рішень.</w:t>
      </w:r>
    </w:p>
    <w:p w14:paraId="635F82D0" w14:textId="4E7B0AB5" w:rsidR="00841F40" w:rsidRPr="005F0419" w:rsidRDefault="00841F40" w:rsidP="00841F40">
      <w:pPr>
        <w:pStyle w:val="Default"/>
        <w:spacing w:line="360" w:lineRule="auto"/>
        <w:ind w:firstLine="720"/>
        <w:jc w:val="right"/>
        <w:rPr>
          <w:b/>
          <w:i/>
          <w:iCs/>
          <w:color w:val="auto"/>
          <w:sz w:val="28"/>
          <w:szCs w:val="28"/>
          <w:lang w:val="uk-UA"/>
        </w:rPr>
      </w:pPr>
      <w:r w:rsidRPr="005F0419">
        <w:rPr>
          <w:b/>
          <w:i/>
          <w:iCs/>
          <w:color w:val="auto"/>
          <w:sz w:val="28"/>
          <w:szCs w:val="28"/>
          <w:lang w:val="uk-UA"/>
        </w:rPr>
        <w:t xml:space="preserve">Марина Дмитрівна </w:t>
      </w:r>
      <w:proofErr w:type="spellStart"/>
      <w:r w:rsidRPr="005F0419">
        <w:rPr>
          <w:b/>
          <w:i/>
          <w:iCs/>
          <w:color w:val="auto"/>
          <w:sz w:val="28"/>
          <w:szCs w:val="28"/>
          <w:lang w:val="uk-UA"/>
        </w:rPr>
        <w:t>Балджи</w:t>
      </w:r>
      <w:proofErr w:type="spellEnd"/>
      <w:r w:rsidRPr="005F0419">
        <w:rPr>
          <w:b/>
          <w:i/>
          <w:iCs/>
          <w:color w:val="auto"/>
          <w:sz w:val="28"/>
          <w:szCs w:val="28"/>
          <w:lang w:val="uk-UA"/>
        </w:rPr>
        <w:t xml:space="preserve"> – науковий редактор</w:t>
      </w:r>
    </w:p>
    <w:p w14:paraId="09B2A7B0" w14:textId="77777777" w:rsidR="00E432E2" w:rsidRPr="005F0419" w:rsidRDefault="00E432E2" w:rsidP="0039161C">
      <w:pPr>
        <w:pStyle w:val="Default"/>
        <w:spacing w:line="360" w:lineRule="auto"/>
        <w:ind w:firstLine="720"/>
        <w:jc w:val="both"/>
        <w:rPr>
          <w:bCs/>
          <w:color w:val="auto"/>
          <w:sz w:val="28"/>
          <w:szCs w:val="28"/>
          <w:lang w:val="uk-UA"/>
        </w:rPr>
      </w:pPr>
    </w:p>
    <w:p w14:paraId="3FD3DACC" w14:textId="4E1BBD8E" w:rsidR="00D8240C" w:rsidRPr="005F0419" w:rsidRDefault="00D8240C" w:rsidP="00D8240C">
      <w:pPr>
        <w:spacing w:after="0" w:line="360" w:lineRule="auto"/>
        <w:ind w:firstLine="720"/>
        <w:jc w:val="right"/>
        <w:rPr>
          <w:rFonts w:ascii="Times New Roman" w:hAnsi="Times New Roman" w:cs="Times New Roman"/>
          <w:b/>
          <w:sz w:val="28"/>
          <w:szCs w:val="28"/>
          <w:lang w:val="uk-UA"/>
        </w:rPr>
      </w:pPr>
      <w:bookmarkStart w:id="1" w:name="_Hlk160024737"/>
    </w:p>
    <w:p w14:paraId="61090B06" w14:textId="77777777" w:rsidR="00D8240C" w:rsidRPr="005F0419" w:rsidRDefault="00D8240C" w:rsidP="00D8240C">
      <w:pPr>
        <w:pStyle w:val="Default"/>
        <w:pageBreakBefore/>
        <w:widowControl w:val="0"/>
        <w:spacing w:line="360" w:lineRule="auto"/>
        <w:jc w:val="center"/>
        <w:rPr>
          <w:b/>
          <w:bCs/>
          <w:color w:val="auto"/>
          <w:sz w:val="28"/>
          <w:szCs w:val="28"/>
          <w:lang w:val="uk-UA"/>
        </w:rPr>
      </w:pPr>
      <w:r w:rsidRPr="005F0419">
        <w:rPr>
          <w:b/>
          <w:bCs/>
          <w:color w:val="auto"/>
          <w:sz w:val="28"/>
          <w:szCs w:val="28"/>
          <w:lang w:val="uk-UA"/>
        </w:rPr>
        <w:lastRenderedPageBreak/>
        <w:t xml:space="preserve">Розділ 1. </w:t>
      </w:r>
      <w:r w:rsidRPr="005F0419">
        <w:rPr>
          <w:b/>
          <w:bCs/>
          <w:caps/>
          <w:color w:val="auto"/>
          <w:sz w:val="28"/>
          <w:szCs w:val="28"/>
          <w:lang w:val="uk-UA"/>
        </w:rPr>
        <w:t>Стратегічні і тактичні орієнтири управлінських рішень в бізнес-середовищі</w:t>
      </w:r>
    </w:p>
    <w:p w14:paraId="1943C33C" w14:textId="77777777" w:rsidR="00D8240C" w:rsidRPr="005F0419" w:rsidRDefault="00D8240C" w:rsidP="00D8240C">
      <w:pPr>
        <w:spacing w:after="0" w:line="360" w:lineRule="auto"/>
        <w:ind w:firstLine="720"/>
        <w:jc w:val="right"/>
        <w:rPr>
          <w:rFonts w:ascii="Times New Roman" w:hAnsi="Times New Roman" w:cs="Times New Roman"/>
          <w:b/>
          <w:sz w:val="28"/>
          <w:szCs w:val="28"/>
          <w:lang w:val="uk-UA"/>
        </w:rPr>
      </w:pPr>
    </w:p>
    <w:p w14:paraId="63126864" w14:textId="52C0FCD1" w:rsidR="0000167A" w:rsidRPr="005F0419" w:rsidRDefault="0000167A" w:rsidP="00662012">
      <w:pPr>
        <w:spacing w:after="0" w:line="360" w:lineRule="auto"/>
        <w:ind w:firstLine="720"/>
        <w:jc w:val="both"/>
        <w:rPr>
          <w:rFonts w:ascii="Times New Roman" w:hAnsi="Times New Roman" w:cs="Times New Roman"/>
          <w:sz w:val="28"/>
          <w:szCs w:val="28"/>
          <w:lang w:val="uk-UA"/>
        </w:rPr>
      </w:pPr>
    </w:p>
    <w:p w14:paraId="09B945D4" w14:textId="77777777" w:rsidR="005F0419" w:rsidRPr="005F0419" w:rsidRDefault="005F0419" w:rsidP="005F0419">
      <w:pPr>
        <w:spacing w:after="0" w:line="360" w:lineRule="auto"/>
        <w:ind w:firstLine="720"/>
        <w:jc w:val="center"/>
        <w:rPr>
          <w:rFonts w:ascii="Times New Roman" w:hAnsi="Times New Roman" w:cs="Times New Roman"/>
          <w:b/>
          <w:bCs/>
          <w:caps/>
          <w:sz w:val="28"/>
          <w:szCs w:val="28"/>
          <w:lang w:val="uk-UA"/>
        </w:rPr>
      </w:pPr>
      <w:r w:rsidRPr="005F0419">
        <w:rPr>
          <w:rFonts w:ascii="Times New Roman" w:hAnsi="Times New Roman" w:cs="Times New Roman"/>
          <w:b/>
          <w:bCs/>
          <w:caps/>
          <w:sz w:val="28"/>
          <w:szCs w:val="28"/>
          <w:lang w:val="uk-UA"/>
        </w:rPr>
        <w:t>Фінансове управління стимулюванням трудової активності на вітчизняних підприємствах</w:t>
      </w:r>
    </w:p>
    <w:p w14:paraId="23B88513"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p>
    <w:p w14:paraId="78D5E013" w14:textId="77777777" w:rsidR="005F0419" w:rsidRPr="005F0419" w:rsidRDefault="005F0419" w:rsidP="005F0419">
      <w:pPr>
        <w:spacing w:after="0" w:line="360" w:lineRule="auto"/>
        <w:ind w:firstLine="720"/>
        <w:jc w:val="center"/>
        <w:rPr>
          <w:rFonts w:ascii="Times New Roman" w:hAnsi="Times New Roman" w:cs="Times New Roman"/>
          <w:b/>
          <w:bCs/>
          <w:i/>
          <w:iCs/>
          <w:sz w:val="28"/>
          <w:szCs w:val="28"/>
          <w:lang w:val="uk-UA"/>
        </w:rPr>
      </w:pPr>
      <w:proofErr w:type="spellStart"/>
      <w:r w:rsidRPr="005F0419">
        <w:rPr>
          <w:rFonts w:ascii="Times New Roman" w:hAnsi="Times New Roman" w:cs="Times New Roman"/>
          <w:b/>
          <w:bCs/>
          <w:i/>
          <w:iCs/>
          <w:sz w:val="28"/>
          <w:szCs w:val="28"/>
          <w:lang w:val="uk-UA"/>
        </w:rPr>
        <w:t>Балджи</w:t>
      </w:r>
      <w:proofErr w:type="spellEnd"/>
      <w:r w:rsidRPr="005F0419">
        <w:rPr>
          <w:rFonts w:ascii="Times New Roman" w:hAnsi="Times New Roman" w:cs="Times New Roman"/>
          <w:b/>
          <w:bCs/>
          <w:i/>
          <w:iCs/>
          <w:sz w:val="28"/>
          <w:szCs w:val="28"/>
          <w:lang w:val="uk-UA"/>
        </w:rPr>
        <w:t xml:space="preserve"> Марина Дмитрівна</w:t>
      </w:r>
    </w:p>
    <w:p w14:paraId="40021F41"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p>
    <w:p w14:paraId="2C75DF40"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Fonts w:ascii="Times New Roman" w:hAnsi="Times New Roman" w:cs="Times New Roman"/>
          <w:sz w:val="28"/>
          <w:szCs w:val="28"/>
          <w:lang w:val="uk-UA"/>
        </w:rPr>
        <w:t xml:space="preserve">В умовах сучасного стану економіки України провідним фактором стабілізації і перемоги виступає активізація господарської діяльності, розвиток підприємництва і максимального залучення трудових ресурсів. Для останнього важливим є посилення свідомої і матеріальної зацікавленості працівників у підвищенні результативності діяльності на основі забезпечення тісного взаємозв'язку розмірів доходів робітників з кількістю і якістю витраченої ними праці. Роль матеріального стимулювання працівників займає важливе значення, оскільки в умовах нестабільної економіки, підприємства шукають нові моделі оплати праці, які не просто забезпечують матеріальний інтерес у певних результатах праці, але й зацікавлюють працівника у підвищенні ефективності виробництва. </w:t>
      </w:r>
      <w:r w:rsidRPr="005F0419">
        <w:rPr>
          <w:rStyle w:val="apple-style-span"/>
          <w:rFonts w:ascii="Times New Roman" w:hAnsi="Times New Roman"/>
          <w:sz w:val="28"/>
          <w:szCs w:val="28"/>
          <w:lang w:val="uk-UA"/>
        </w:rPr>
        <w:t xml:space="preserve">Актуальність даної публікації полягає у тому, що питання організації оплати праці мають істотне значення на підприємстві і обумовлюють зацікавленість як управлінців, так і робітників. </w:t>
      </w:r>
    </w:p>
    <w:p w14:paraId="41025D89"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bCs/>
          <w:sz w:val="28"/>
          <w:szCs w:val="28"/>
          <w:lang w:val="uk-UA"/>
        </w:rPr>
        <w:t>Метою</w:t>
      </w:r>
      <w:r w:rsidRPr="005F0419">
        <w:rPr>
          <w:rStyle w:val="apple-style-span"/>
          <w:rFonts w:ascii="Times New Roman" w:hAnsi="Times New Roman"/>
          <w:sz w:val="28"/>
          <w:szCs w:val="28"/>
          <w:lang w:val="uk-UA"/>
        </w:rPr>
        <w:t xml:space="preserve"> публікації </w:t>
      </w:r>
      <w:r w:rsidRPr="005F0419">
        <w:rPr>
          <w:rFonts w:ascii="Times New Roman" w:hAnsi="Times New Roman" w:cs="Times New Roman"/>
          <w:sz w:val="28"/>
          <w:szCs w:val="28"/>
          <w:lang w:val="uk-UA" w:eastAsia="ar-SA"/>
        </w:rPr>
        <w:t xml:space="preserve">є узагальнення й критична оцінка чинних теоретичних положень, методики, організації та практики фінансового управління щодо оплати праці та аналізу ефективності використання трудових ресурсів, результатами яких має стати розробка рекомендацій з їх удосконалення та практичного використання для прийняття виважених облікових і управлінських рішень </w:t>
      </w:r>
      <w:r w:rsidRPr="005F0419">
        <w:rPr>
          <w:rStyle w:val="apple-style-span"/>
          <w:rFonts w:ascii="Times New Roman" w:hAnsi="Times New Roman"/>
          <w:sz w:val="28"/>
          <w:szCs w:val="28"/>
          <w:lang w:val="uk-UA"/>
        </w:rPr>
        <w:t>щодо удосконалення механізму формування системи оплати праці та посилення мотивації працівників вітчизняних підприємств.</w:t>
      </w:r>
    </w:p>
    <w:p w14:paraId="12CB2EF5"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lastRenderedPageBreak/>
        <w:t xml:space="preserve">У процесі дослідження використані такі методи проведення економічних досліджень: </w:t>
      </w:r>
      <w:proofErr w:type="spellStart"/>
      <w:r w:rsidRPr="005F0419">
        <w:rPr>
          <w:rStyle w:val="apple-style-span"/>
          <w:rFonts w:ascii="Times New Roman" w:hAnsi="Times New Roman"/>
          <w:sz w:val="28"/>
          <w:szCs w:val="28"/>
          <w:lang w:val="uk-UA"/>
        </w:rPr>
        <w:t>абстрактно</w:t>
      </w:r>
      <w:proofErr w:type="spellEnd"/>
      <w:r w:rsidRPr="005F0419">
        <w:rPr>
          <w:rStyle w:val="apple-style-span"/>
          <w:rFonts w:ascii="Times New Roman" w:hAnsi="Times New Roman"/>
          <w:sz w:val="28"/>
          <w:szCs w:val="28"/>
          <w:lang w:val="uk-UA"/>
        </w:rPr>
        <w:t>-логічний (теоретичні узагальнення і формування висновків), статистико-економічний (аналіз сучасного стану оплати праці на підприємствах України), метод факторного аналізу (при визначенні впливу середньої заробітної плати працівників на динаміку та обсяги виконаних робіт по підприємству та оцінці впливу різних чинників на розмір оплати праці працівників), метод порівняльного аналізу (для зіставлення фактичних і планових даних за окремі періоди), метод графічного аналізу (для оцінки конкурентоспроможності підприємства).</w:t>
      </w:r>
    </w:p>
    <w:p w14:paraId="17D52CD8"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основу дослідження покладено теоретико-методичне напрацювання щодо впровадження заробітної плати. За законом України «</w:t>
      </w:r>
      <w:bookmarkStart w:id="2" w:name="_Hlk160884515"/>
      <w:r w:rsidRPr="005F0419">
        <w:rPr>
          <w:rFonts w:ascii="Times New Roman" w:hAnsi="Times New Roman" w:cs="Times New Roman"/>
          <w:sz w:val="28"/>
          <w:szCs w:val="28"/>
          <w:lang w:val="uk-UA"/>
        </w:rPr>
        <w:t>Про оплату праці</w:t>
      </w:r>
      <w:bookmarkEnd w:id="2"/>
      <w:r w:rsidRPr="005F0419">
        <w:rPr>
          <w:rFonts w:ascii="Times New Roman" w:hAnsi="Times New Roman" w:cs="Times New Roman"/>
          <w:sz w:val="28"/>
          <w:szCs w:val="28"/>
          <w:lang w:val="uk-UA"/>
        </w:rPr>
        <w:t>», заробітна плата розглядається як «це винагорода, обчислена, як правило, у грошовому виразі, яку за трудовим договором роботодавець виплачує працівникові за виконану ним роботу.</w:t>
      </w:r>
    </w:p>
    <w:p w14:paraId="68262B04"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Розмір заробітної плати залежить від складності та умов виконуваної роботи, </w:t>
      </w:r>
      <w:proofErr w:type="spellStart"/>
      <w:r w:rsidRPr="005F0419">
        <w:rPr>
          <w:rFonts w:ascii="Times New Roman" w:hAnsi="Times New Roman" w:cs="Times New Roman"/>
          <w:sz w:val="28"/>
          <w:szCs w:val="28"/>
          <w:lang w:val="uk-UA"/>
        </w:rPr>
        <w:t>професійно</w:t>
      </w:r>
      <w:proofErr w:type="spellEnd"/>
      <w:r w:rsidRPr="005F0419">
        <w:rPr>
          <w:rFonts w:ascii="Times New Roman" w:hAnsi="Times New Roman" w:cs="Times New Roman"/>
          <w:sz w:val="28"/>
          <w:szCs w:val="28"/>
          <w:lang w:val="uk-UA"/>
        </w:rPr>
        <w:t xml:space="preserve">-ділових якостей працівника, результатів його праці та господарської діяльності підприємства» [1]. </w:t>
      </w:r>
    </w:p>
    <w:p w14:paraId="1B4D1C69"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Заробітна плата необхідна для відновлення витраченої в процесі праці енергії і задоволення особистих потреб. В історії економічної науки склалося уявлення про заробітну плату як про суму коштів, яку підприємець (роботодавець) платить найманому працівнику. В економічній теорії існує дві основні концепції визначення природи заробітної плати, які були розроблені А. Смітом і Д. Рікардо:</w:t>
      </w:r>
    </w:p>
    <w:p w14:paraId="7847A775"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заробітна плата – є ціною праці, величина і динаміка якої формуються під впливом ринкових факторів і, в першу чергу, попиту і пропозиції;</w:t>
      </w:r>
    </w:p>
    <w:p w14:paraId="6FF01FFF"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 заробітна плата – це грошове вираження вартості товару «робоча сила» або «перетворена форма вартості товару робоча сила».</w:t>
      </w:r>
    </w:p>
    <w:p w14:paraId="6A087A70"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А. Сміт зазначав, що, працюючи зі своїми особистими засобами виробництва і на власній землі, виробник товарів отримує повний продукт праці.  Тим самим, зазначаючи тенденцію до зникнення незалежності дрібного </w:t>
      </w:r>
      <w:r w:rsidRPr="005F0419">
        <w:rPr>
          <w:rFonts w:ascii="Times New Roman" w:hAnsi="Times New Roman" w:cs="Times New Roman"/>
          <w:sz w:val="28"/>
          <w:szCs w:val="28"/>
          <w:lang w:val="uk-UA"/>
        </w:rPr>
        <w:lastRenderedPageBreak/>
        <w:t>виробництва й загального поширення найманої праці. Він вважав, що стихійний ринковий механізм утримує природну (середню, нормальну) заробітну плату на певному рівні, обмежуючи відхилення фактичної заробітної плати від цього рівня. Значне підвищення заробітної плати викликає ріст народжуваності в сім’ях робітників, виживання більшої кількості дітей і внаслідок цього збільшення пропозиції робочої сили і конкуренції між робітниками. Під впливом цих факторів нормальний рівень заробітної плати знижується, що може викликати зворотну тенденцію: падіння народжуваності, збільшення дитячої смертності, скорочення пропозиції робочої сили і посилення конкуренції між підприємцями. У результаті заробітна плата може підвищитися. Таке розуміння відповідало загальному уявленню А. Сміта про роль вільного ринку у встановленні певного економічної рівноваги [2, c. 227].</w:t>
      </w:r>
    </w:p>
    <w:p w14:paraId="624DFDD1"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Д. Рікардо у праці «Початок політичної економії та оподаткування» висвітлив теорію порівняльних витрат, в якій обґрунтовує конкурентний поділ праці в умовах глобалізації економічних процесів [3]. </w:t>
      </w:r>
    </w:p>
    <w:p w14:paraId="650F20AD"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У цілому, величина заробітної плати визначається умовами виробництва і ринковими факторами – попитом і пропозицією, під впливом яких відбувається відхилення оплати від вартості робочої сили [4, c. 95].</w:t>
      </w:r>
    </w:p>
    <w:p w14:paraId="10658051"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Вартість робочої сили визначається вартістю предметів споживання, необхідних для існування працівника і його сім'ї, включаючи кошти на освіту, які постійно зростають в умовах підвищення технічного і технологічного рівня виробництва. Виражена в грошах вартість робочої сили виступає як її ціна в формі заробітної плати, яка створює видимість оплати за весь працю найманого працівника. Вона обумовлена також і тим, що працівник може отримати заробітну плату тільки після того, як відпрацює певну кількість часу, і чим більше цей час, тим вище заробітна плата. При оплаті найманої праці у вигляді заробітної плати поділ робочого часу на необхідний і додатковий затушовується, створюючи уявлення, що вся праця працівника є сплаченою. Форма заробітної плати приховує також її зв'язок з вартістю робочої сили, як правило, кількісно не співпадає з цією вартістю. </w:t>
      </w:r>
    </w:p>
    <w:p w14:paraId="20F85362"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Сучасні теорії колективно-договірного регулювання заробітної плати виходять з того, що існують верхня і нижня межі ставок для робітників однієї спеціальності рівної кваліфікації, що виконують однакові види робіт. Фактичний рівень ставок у цих межах залежить від ступеня потреби наймачів в робочій силі, а робітників – в роботі.  Прихильники колективно-договірної теорії заробітної плати приділяють особливо велику увагу тим критеріям (факторам), якими повинні керуватися підприємці у ході колективних переговорів з робітниками. Їх нараховують шість: </w:t>
      </w:r>
    </w:p>
    <w:p w14:paraId="71A393AA"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 рівень заробітної плати  в інших галузях, компаніях в даному чи інших районах; </w:t>
      </w:r>
    </w:p>
    <w:p w14:paraId="2B64E263"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індекс вартості життя; </w:t>
      </w:r>
    </w:p>
    <w:p w14:paraId="584DACBB"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 бюджети сімей  робітників; </w:t>
      </w:r>
    </w:p>
    <w:p w14:paraId="36E867B0"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 продуктивність праці; </w:t>
      </w:r>
    </w:p>
    <w:p w14:paraId="0CDE980B"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5) можливість для компанії виплачувати певну заробітну плату;</w:t>
      </w:r>
    </w:p>
    <w:p w14:paraId="527B8DF3"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6) економічне становище в країні. </w:t>
      </w:r>
    </w:p>
    <w:p w14:paraId="713C9A5E"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Частина прихильників цієї теорії намагається визначити верхню і нижню межі заробітної плати  на основі концепції двосторонньої монополії, згідно з якою монополістами на ринку праці оголошуються як підприємницькі компанії, так і профспілки.  Концепція «профспілкової монополії» спрямована на те, щоб перекласти на профспілки відповідальність за низьку заробітну плату і безробіття серед неорганізованих у профспілки працюючих, нацькувати одну частину робітників на іншу [5, c. 115]. Така система зберігається і зараз, як правило, на підприємствах державної власності.</w:t>
      </w:r>
    </w:p>
    <w:p w14:paraId="690186B4" w14:textId="5706A9EC"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Заробітна плата виконує кілька функцій, важливі з яких доречно виділити наступні: відтворювальна, стимулююча, статусна, регулююча (розподільча), виробничо-часткова. </w:t>
      </w:r>
    </w:p>
    <w:p w14:paraId="7A99A903"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Відтворювальна функція полягає в забезпеченні можливості, безпосередньо, відтворення робочої сили на соціально нормальному рівні споживання, тобто у визначенні такого абсолютного розміру заробітної плати, який дозволяє здійснити умови нормального відтворення робочої сили, іншими </w:t>
      </w:r>
      <w:r w:rsidRPr="005F0419">
        <w:rPr>
          <w:rFonts w:ascii="Times New Roman" w:hAnsi="Times New Roman" w:cs="Times New Roman"/>
          <w:sz w:val="28"/>
          <w:szCs w:val="28"/>
          <w:lang w:val="uk-UA"/>
        </w:rPr>
        <w:lastRenderedPageBreak/>
        <w:t>словами підтримка, а то й поліпшення умов життя працівника, який повинен мати можливість нормально жити (платити за квартиру, їжу, одяг – фактично предмети першої необхідності), у якого повинна бути реальна можливість відпочити від роботи, щоб відновлювати сили, необхідні для цієї ж роботи. Також працівник повинен мати можливість ростити і виховувати дітей – майбутні трудові ресурси. Звідси і вихідне значення даної функції, її визначальна роль по відношенню до інших.  Таким чином, основні положення відтворювальної функції полягають у наступному:</w:t>
      </w:r>
    </w:p>
    <w:p w14:paraId="73F5E16E"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рівень заробітної плати має забезпечувати відтворення;</w:t>
      </w:r>
    </w:p>
    <w:p w14:paraId="3AD63737"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забезпечувати тривалу працездатність;</w:t>
      </w:r>
    </w:p>
    <w:p w14:paraId="4711155E"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забезпечувати родину;</w:t>
      </w:r>
    </w:p>
    <w:p w14:paraId="756D8F90"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забезпечувати зростання професійного та культурного освітнього рівня.</w:t>
      </w:r>
      <w:r w:rsidRPr="005F0419">
        <w:rPr>
          <w:rFonts w:ascii="Times New Roman" w:hAnsi="Times New Roman" w:cs="Times New Roman"/>
          <w:sz w:val="28"/>
          <w:szCs w:val="28"/>
          <w:lang w:val="uk-UA"/>
        </w:rPr>
        <w:br/>
        <w:t xml:space="preserve">            Стимулююча функція полягає у властивості направляти інтереси працюючих на досягнення необхідних результатів (більшої кількості, високої якості) за рахунок забезпечення взаємозв’язку розмірів винагороди та трудового внеску.</w:t>
      </w:r>
    </w:p>
    <w:p w14:paraId="07296E0B"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Мотивація праці – процес спонукання людини до певної діяльності за допомогою </w:t>
      </w:r>
      <w:proofErr w:type="spellStart"/>
      <w:r w:rsidRPr="005F0419">
        <w:rPr>
          <w:rFonts w:ascii="Times New Roman" w:hAnsi="Times New Roman" w:cs="Times New Roman"/>
          <w:sz w:val="28"/>
          <w:szCs w:val="28"/>
          <w:lang w:val="uk-UA"/>
        </w:rPr>
        <w:t>внутрішньоособистісних</w:t>
      </w:r>
      <w:proofErr w:type="spellEnd"/>
      <w:r w:rsidRPr="005F0419">
        <w:rPr>
          <w:rFonts w:ascii="Times New Roman" w:hAnsi="Times New Roman" w:cs="Times New Roman"/>
          <w:sz w:val="28"/>
          <w:szCs w:val="28"/>
          <w:lang w:val="uk-UA"/>
        </w:rPr>
        <w:t xml:space="preserve"> і зовнішніх факторів:</w:t>
      </w:r>
    </w:p>
    <w:p w14:paraId="5B6F50AB"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робітник усвідомлює свої потреби;</w:t>
      </w:r>
    </w:p>
    <w:p w14:paraId="5876A48F"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робітник обирає найкращий спосіб отримання певної винагороди;</w:t>
      </w:r>
    </w:p>
    <w:p w14:paraId="5A93E621"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робітник приймає рішення про реалізацію цього способу;</w:t>
      </w:r>
    </w:p>
    <w:p w14:paraId="76F05434"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робітник здійснює дії з реалізації, тобто працює (тут завдання підприємства: створити найкращі умови та стимули для високої результативності цієї дії);</w:t>
      </w:r>
    </w:p>
    <w:p w14:paraId="7CDB5562"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робітник отримує винагороду;</w:t>
      </w:r>
    </w:p>
    <w:p w14:paraId="0567929B"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робітник задовольняє своєї потреби.</w:t>
      </w:r>
    </w:p>
    <w:p w14:paraId="716FFD7A"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Стимулююча функція оплати праці важлива з позицій управління: потрібно спонукати працівника до трудової активності, максимальної віддачі, підвищення ефективності праці. Цій меті служить встановлення розміру заробітків, в залежності, від досягнутих кожним результатів праці. </w:t>
      </w:r>
    </w:p>
    <w:p w14:paraId="705C21DC"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Статусна функція оплати праці передбачає відповідність статусу, визначається розміром заробітної плати, трудового статусу працівника. Під «статусом» мається на увазі положення людини в тій чи іншій системі соціальних відносин і </w:t>
      </w:r>
      <w:proofErr w:type="spellStart"/>
      <w:r w:rsidRPr="005F0419">
        <w:rPr>
          <w:rFonts w:ascii="Times New Roman" w:hAnsi="Times New Roman" w:cs="Times New Roman"/>
          <w:sz w:val="28"/>
          <w:szCs w:val="28"/>
          <w:lang w:val="uk-UA"/>
        </w:rPr>
        <w:t>зв'язків</w:t>
      </w:r>
      <w:proofErr w:type="spellEnd"/>
      <w:r w:rsidRPr="005F0419">
        <w:rPr>
          <w:rFonts w:ascii="Times New Roman" w:hAnsi="Times New Roman" w:cs="Times New Roman"/>
          <w:sz w:val="28"/>
          <w:szCs w:val="28"/>
          <w:lang w:val="uk-UA"/>
        </w:rPr>
        <w:t xml:space="preserve">. Трудовий статус – це місце даного робітника по відношенню до інших працівників як за вертикальною, так і за горизонтальною системами управління. При цьому, потрібна відкрита розробка (при обов'язковому обговоренні з персоналом) системи критеріїв оплати праці окремих груп, категорій персоналу з урахуванням специфіки підприємства, що має бути відображено в колективному договорі (контрактах). Наприклад, може мати місце, поширений у розвинених країнах принцип триступеневої системи: </w:t>
      </w:r>
    </w:p>
    <w:p w14:paraId="198BEE88"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 критерії економічної ефективності всього підприємства; </w:t>
      </w:r>
    </w:p>
    <w:p w14:paraId="284AA9C1"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аналогічні критерії для окремих підрозділів; </w:t>
      </w:r>
    </w:p>
    <w:p w14:paraId="535F1C7E"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 індивідуальні критерії, які відіграють стимулюючу роль (особистий трудовий внесок, коефіцієнт трудової участі, відзнаки тощо).</w:t>
      </w:r>
    </w:p>
    <w:p w14:paraId="02D4DD47"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Об'єктивною основою реалізації цієї функції є принцип диференціації оплати праці по групах працівників, по пріоритетності діяльності або інших підстав (ознаками), тобто вироблення певної політики встановлення рівня оплати праці різних груп (категорій) працівників у конкретних умовах виробництва. Це і є предметом регулювання трудових відносин між соціальними партнерами на взаємоприйнятних умовах і відображається у колективному договорі.</w:t>
      </w:r>
    </w:p>
    <w:p w14:paraId="3B39958E"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Специфіка товару «робоча сила» вимагає розмежовувати поняття «ціна робочої сили» і «ціна праці».</w:t>
      </w:r>
    </w:p>
    <w:p w14:paraId="2B2B3B3C"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Ціна робочої сили – це грошове вираження її вартості, що відображає рівень витрат, необхідних на відтворення робочої сили з урахуванням попиту і пропозиції на ринку праці [6, c.138]. Ціна робочої сили може бути базою для формування політики диференціації заробітних плат на підприємстві, а також при встановленні договірних умов оплати праці конкретного працівника, найманого роботодавцем.</w:t>
      </w:r>
    </w:p>
    <w:p w14:paraId="348C44B0"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Ціна праці – це грошове вираження різних якостей праці, вона дозволяє порівнювати кількість праці з його оплатою. Одиницею виміру може бути ціна </w:t>
      </w:r>
      <w:r w:rsidRPr="005F0419">
        <w:rPr>
          <w:rFonts w:ascii="Times New Roman" w:hAnsi="Times New Roman" w:cs="Times New Roman"/>
          <w:sz w:val="28"/>
          <w:szCs w:val="28"/>
          <w:lang w:val="uk-UA"/>
        </w:rPr>
        <w:lastRenderedPageBreak/>
        <w:t>години праці, яка є похідною величиною від ціни робочої сили, визначаючи умови оплати праці працівника за результатами його поточної діяльності в умовах дії механізму внутрішнього ринку праці на підприємстві. Ціни на різні види праці приймають форму розрахункових тарифних ставок (посадових окладів). Встановлюючи ціну конкретного виду праці, підприємство регулює оплату праці з тим, щоб з одного боку не занизити її рівень (інакше підуть кваліфіковані кадри), а з іншого боку, не завищити ціну, щоб продукція фірми була конкурентоспроможною не тільки за споживчими якостями, але й за ціною товару (продукції, послуги). В іншому випадку може знизитися обсяг реалізації (продажу, виручки), що відіб'ється на попиті робочої сили її зайнятості і т. п.</w:t>
      </w:r>
    </w:p>
    <w:p w14:paraId="0433F041"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Виробничо-часткова функція заробітної плати визначає міру участі живої праці (через заробітну плату) в утворенні ціни товару (продукції, послуги), його частку в сукупних витратах виробництва і у витратах на робочу силу. Ця частка дозволяє встановити ступінь дешевизни (дорожнечі) робочої сили, її конкурентоспроможність на ринку праці, бо тільки жива праця передбачає обов'язкове дотримання нижчих меж вартості робочої сили і певні межі підвищення зарплати. У цій функції втілюється реалізація попередніх функцій через систему тарифних ставок (окладів) і сіток, доплат і надбавок, премій, порядок їх обчислення і залежність від ФОП.</w:t>
      </w:r>
    </w:p>
    <w:p w14:paraId="579498B2"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Розглянувши всі функції заробітної плати ми можемо зрозуміти її сутність. Кожна функція передбачає не тільки існування інших функцій, але і містить в собі їх елементи. Наприклад, відтворювальна та стимулююча функції одночасно є і соціальними. Зараз найважливішим завданням є посилення стимулюючої функції. Це дозволить перетворити заробітну плату в один з найважливіших важелів підвищення результативності виробництва та економічного зростання.</w:t>
      </w:r>
    </w:p>
    <w:p w14:paraId="7AB2CF82"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господарській практиці використовуються величини, зворотні показником ефективності заробітної плати, до них належать: коефіцієнт </w:t>
      </w:r>
      <w:proofErr w:type="spellStart"/>
      <w:r w:rsidRPr="005F0419">
        <w:rPr>
          <w:rFonts w:ascii="Times New Roman" w:hAnsi="Times New Roman" w:cs="Times New Roman"/>
          <w:sz w:val="28"/>
          <w:szCs w:val="28"/>
          <w:lang w:val="uk-UA"/>
        </w:rPr>
        <w:t>зарплатоємкості</w:t>
      </w:r>
      <w:proofErr w:type="spellEnd"/>
      <w:r w:rsidRPr="005F0419">
        <w:rPr>
          <w:rFonts w:ascii="Times New Roman" w:hAnsi="Times New Roman" w:cs="Times New Roman"/>
          <w:sz w:val="28"/>
          <w:szCs w:val="28"/>
          <w:lang w:val="uk-UA"/>
        </w:rPr>
        <w:t xml:space="preserve"> продукту (КЗП); фонд оплати праці (ФОП); величина суспільного продукту (П).</w:t>
      </w:r>
    </w:p>
    <w:p w14:paraId="38CFAF2E"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Фактично, оплата праці є синонімом заробітної плати, адже виступає також винагородою, встановленою працівнику за виконання трудових обов'язків:</w:t>
      </w:r>
    </w:p>
    <w:p w14:paraId="1280426B"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Основна заробітна плата має бути достатньою для того, щоб залучити на підприємства робітників і службовців потрібної кваліфікації і підготовки. Її розмір не повинен перевищувати 70-80% загального доходу працюючого. Це свідчить про необхідну гнучкість в організації оплати праці, зв'язок з результатами трудової діяльності, а не про автоматичне зниження зарплати на 20-30%.</w:t>
      </w:r>
    </w:p>
    <w:p w14:paraId="5D80BA04"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 Зростання основної зарплати повинно строго відповідати підвищенню рівня продуктивності праці підприємства або його підрозділів.</w:t>
      </w:r>
    </w:p>
    <w:p w14:paraId="2E6D1FAB"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 Необхідність участі працівників у прибутку, розмір якої визначається в цілому по підприємству, якщо працівник несе повну відповідальність за «прибутки – збитки». Участь у прибутку завжди передбачає поділ ризику, пов'язаного з роботою на ринку (особливо між виробничими робітниками та адміністрацією). Системи участі у прибутку служать основою для преміювання працівників.</w:t>
      </w:r>
    </w:p>
    <w:p w14:paraId="2B64B266"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4. Досягнутий рівень життя, не є основою для розрахунку базового рівня зарплати. Природно, існують і разові доплати з поправкою на інфляцію. У розвинених країнах в організації заробітної плати беруть участь державні органи, уряд, підприємці та їх об'єднання, профспілкові організації. При цьому використовуються податки і фонд оплати праці, колективні договори і угоди, трудове законодавство, фіксування мінімальних рівнів оплати праці, антиінфляційні заходи [7, c. 115].</w:t>
      </w:r>
    </w:p>
    <w:p w14:paraId="511CAD46"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Наприклад, у Німеччині умови найму та оплати праці закріплюються тарифними договорами, які укладаються на різних рівнях: підприємство, округ, земля. На підприємствах використовуються погодинна і акордна оплати праці. Вид оплати визначається при укладенні тарифного договору (угоди) між керівництвом підприємства і виробничою радою. Особливий інтерес представляє система доплат і надбавок, що встановлюються тарифними </w:t>
      </w:r>
      <w:r w:rsidRPr="005F0419">
        <w:rPr>
          <w:rFonts w:ascii="Times New Roman" w:hAnsi="Times New Roman" w:cs="Times New Roman"/>
          <w:sz w:val="28"/>
          <w:szCs w:val="28"/>
          <w:lang w:val="uk-UA"/>
        </w:rPr>
        <w:lastRenderedPageBreak/>
        <w:t>угодами. Ці виплати можна умовно розділити на доплати компенсаційного характеру, покликані компенсувати відхилення від нормальних умов роботи, і надбавки, що стимулюють досягнення високих результатів праці.</w:t>
      </w:r>
    </w:p>
    <w:p w14:paraId="54303570"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Оплата праці кожного працівника визначається роботодавцем в залежності від кількості і якості виконаної роботи і максимальною межею не обходиться. Диференціація розмірів оплати праці здійснюється в залежності від складності, змісту та результатів праці працівника. При оплаті праці робітників можуть застосовуватися тарифні ставки, оклади, а також безтарифна система, якщо підприємство визнає таку систему доцільною.</w:t>
      </w:r>
    </w:p>
    <w:p w14:paraId="587EEFD0"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Вид системи оплати праці, розміри тарифних ставок, окладів, премій і т. п., а також співвідношення їх розмірів організації визначають самостійно і фіксують їх у колективних договорах та інших локальних нормативних актах.</w:t>
      </w:r>
    </w:p>
    <w:p w14:paraId="18C2EE82"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Організація оплати праці передбачає: визначення форм і систем оплати праці працівників підприємства; розробку критеріїв і визначення розмірів доплат за окремі досягнення працівників та спеціалістів підприємства;</w:t>
      </w:r>
      <w:r w:rsidRPr="005F0419">
        <w:rPr>
          <w:rFonts w:ascii="Times New Roman" w:hAnsi="Times New Roman" w:cs="Times New Roman"/>
          <w:sz w:val="28"/>
          <w:szCs w:val="28"/>
          <w:lang w:val="uk-UA"/>
        </w:rPr>
        <w:br/>
        <w:t>розробку системи посадових окладів службовців та спеціалістів;</w:t>
      </w:r>
      <w:r w:rsidRPr="005F0419">
        <w:rPr>
          <w:rFonts w:ascii="Times New Roman" w:hAnsi="Times New Roman" w:cs="Times New Roman"/>
          <w:sz w:val="28"/>
          <w:szCs w:val="28"/>
          <w:lang w:val="uk-UA"/>
        </w:rPr>
        <w:br/>
        <w:t>обґрунтування показників та системи преміювання співробітників.</w:t>
      </w:r>
    </w:p>
    <w:p w14:paraId="0944B2F1"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сучасних умовах на підприємствах застосовуються різні форми і системи оплати праці, але найбільше поширення отримали три форми: відрядна, погодинна і тарифна.</w:t>
      </w:r>
    </w:p>
    <w:p w14:paraId="2B91867E"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ab/>
        <w:t>Відрядна оплата праці (</w:t>
      </w:r>
      <w:proofErr w:type="spellStart"/>
      <w:r w:rsidRPr="005F0419">
        <w:rPr>
          <w:rFonts w:ascii="Times New Roman" w:hAnsi="Times New Roman" w:cs="Times New Roman"/>
          <w:sz w:val="28"/>
          <w:szCs w:val="28"/>
          <w:lang w:val="uk-UA"/>
        </w:rPr>
        <w:t>Piece-rate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pays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labour</w:t>
      </w:r>
      <w:proofErr w:type="spellEnd"/>
      <w:r w:rsidRPr="005F0419">
        <w:rPr>
          <w:rFonts w:ascii="Times New Roman" w:hAnsi="Times New Roman" w:cs="Times New Roman"/>
          <w:sz w:val="28"/>
          <w:szCs w:val="28"/>
          <w:lang w:val="uk-UA"/>
        </w:rPr>
        <w:t>) – це оплата праці, розмір якої залежить від кількості виробленої робітником продукції (виконаної роботи) належної якості на основі попередньо встановлених норм часу (виробітку) та розцінок з урахуванням складності та умов праці [8, c. 54]. Відрядну систему оплати праці на підприємстві доцільно застосовувати у випадках:</w:t>
      </w:r>
    </w:p>
    <w:p w14:paraId="08E1596E"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коли є можливість точного обліку обсягів виконуваних робіт;</w:t>
      </w:r>
    </w:p>
    <w:p w14:paraId="2B60286F" w14:textId="3680F03A"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якщо є значні замовлення на виготовлювану продукцію, при обмеженій чисельності робітників;</w:t>
      </w:r>
    </w:p>
    <w:p w14:paraId="30D44F5A"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застосування даної системи не відобразиться на якості продукції негативно;</w:t>
      </w:r>
    </w:p>
    <w:p w14:paraId="0B8309C3" w14:textId="7E375260"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якщо одне зі структурних підрозділів підприємства (цех, ділянка, робоче місце) є «вузьким» місцем, тобто стримує випуск продукції в інших технологічно взаємозалежних підрозділах;</w:t>
      </w:r>
    </w:p>
    <w:p w14:paraId="3443FB2C"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існує необхідність у збільшенні обсягу випуску продукції в цілому по підприємству.</w:t>
      </w:r>
    </w:p>
    <w:p w14:paraId="2F079390"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Погодинна оплата праці є поширеною практикою за кордоном. Інша річ, що частка усіх зарплат в Україні виплачується «у конвертах». І поширення погодинної оплати може тільки посилити </w:t>
      </w:r>
      <w:proofErr w:type="spellStart"/>
      <w:r w:rsidRPr="005F0419">
        <w:rPr>
          <w:rFonts w:ascii="Times New Roman" w:hAnsi="Times New Roman" w:cs="Times New Roman"/>
          <w:sz w:val="28"/>
          <w:szCs w:val="28"/>
          <w:lang w:val="uk-UA"/>
        </w:rPr>
        <w:t>тінізацію</w:t>
      </w:r>
      <w:proofErr w:type="spellEnd"/>
      <w:r w:rsidRPr="005F0419">
        <w:rPr>
          <w:rFonts w:ascii="Times New Roman" w:hAnsi="Times New Roman" w:cs="Times New Roman"/>
          <w:sz w:val="28"/>
          <w:szCs w:val="28"/>
          <w:lang w:val="uk-UA"/>
        </w:rPr>
        <w:t xml:space="preserve">. Робітникам офіційно платитимуть мінімальну погодинну оплату, а решту – саме «в конверті». </w:t>
      </w:r>
      <w:r w:rsidRPr="005F0419">
        <w:rPr>
          <w:rFonts w:ascii="Times New Roman" w:hAnsi="Times New Roman" w:cs="Times New Roman"/>
          <w:sz w:val="28"/>
          <w:szCs w:val="28"/>
          <w:lang w:val="uk-UA"/>
        </w:rPr>
        <w:br/>
        <w:t>Найлегше погодинну оплату праці впроваджувати на підприємствах сфері послуг: роздрібній торгівлі, готельному господарстві, кав’ярнях та ресторанах, а також у будівництві та сільському господарстві, тобто там, де потрібні малокваліфіковані працівники і де немає сталої тривалості робочого часу.</w:t>
      </w:r>
    </w:p>
    <w:p w14:paraId="50B4C737"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При бригадній погодинній формі оплати праці використовуються нормативні завдання (норми обслуговування, норми чисельності вико</w:t>
      </w:r>
      <w:r w:rsidRPr="005F0419">
        <w:rPr>
          <w:rFonts w:ascii="Times New Roman" w:hAnsi="Times New Roman" w:cs="Times New Roman"/>
          <w:sz w:val="28"/>
          <w:szCs w:val="28"/>
          <w:lang w:val="uk-UA"/>
        </w:rPr>
        <w:softHyphen/>
        <w:t>навців). Порядок розрахунків комплексної відрядної розцінки для бри</w:t>
      </w:r>
      <w:r w:rsidRPr="005F0419">
        <w:rPr>
          <w:rFonts w:ascii="Times New Roman" w:hAnsi="Times New Roman" w:cs="Times New Roman"/>
          <w:sz w:val="28"/>
          <w:szCs w:val="28"/>
          <w:lang w:val="uk-UA"/>
        </w:rPr>
        <w:softHyphen/>
        <w:t>гади, яка складається з робітників-погодинників, такий самий, як і для бригад робітників-відрядників. Оплата праці робітників змішаного скла</w:t>
      </w:r>
      <w:r w:rsidRPr="005F0419">
        <w:rPr>
          <w:rFonts w:ascii="Times New Roman" w:hAnsi="Times New Roman" w:cs="Times New Roman"/>
          <w:sz w:val="28"/>
          <w:szCs w:val="28"/>
          <w:lang w:val="uk-UA"/>
        </w:rPr>
        <w:softHyphen/>
        <w:t>ду залежно від умов виробництва може здійснюватися за погодинно-преміальною чи відрядно-преміальною формою оплати.</w:t>
      </w:r>
    </w:p>
    <w:p w14:paraId="424B62E5"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статті 6 Закону «Про оплату праці» зазначено, що основою організації оплати праці є тарифна система, яка включає: тарифні сітки, тарифні ставки, схеми посадових окладів, професійні стандарти та кваліфікаційні характеристики (за відсутності професійних стандартів) [1]. Тарифна система виступає сукупністю нормативів, за допомогою яких здійснюються диференціація і регулювання рівня заробітної плати різних груп і категорій працівників залежно від зазначених вище чинників. Тарифна система оплати праці використовується для розподілу робіт залежно від їх складності, а працівників – залежно від їх кваліфікації та за розрядами тарифної сітки. Вона є основою формування та диференціації розмірів заробітної плати.</w:t>
      </w:r>
    </w:p>
    <w:p w14:paraId="611DC3D4"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Тарифна сітка (схема посадових окладів) формується на основі:</w:t>
      </w:r>
    </w:p>
    <w:p w14:paraId="4DEE97A6"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тарифної ставки робітника першого розряду, що встановлюється у розмірі, не нижчому ніж визначений генеральною (галузевою) угодою;</w:t>
      </w:r>
    </w:p>
    <w:p w14:paraId="553C89E7"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міжкваліфікаційних (міжпосадових) співвідношень розмірів тарифних ставок (посадових окладів) [9, c. 200].</w:t>
      </w:r>
    </w:p>
    <w:p w14:paraId="0E835184"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Основне призначення тарифної системи полягає в тому, щоб з її допомогою розподілити виконувані працівниками роботи за їхньою складністю (трудомісткістю), а самих працівників – за кваліфікацією. При цьому, звичайно ж, є прямий зв’язок між виконуваними працівником роботами і його кваліфікацією. При відсутності певного розряду робітник не може виконувати роботу, яка потребує наявності такого розряду.</w:t>
      </w:r>
    </w:p>
    <w:p w14:paraId="5EDAEC53"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Оформлення трудових відносин за допомогою трудового контракту досить широко використовується в країнах з розвиненою економікою. </w:t>
      </w:r>
      <w:proofErr w:type="spellStart"/>
      <w:r w:rsidRPr="005F0419">
        <w:rPr>
          <w:rFonts w:ascii="Times New Roman" w:hAnsi="Times New Roman" w:cs="Times New Roman"/>
          <w:sz w:val="28"/>
          <w:szCs w:val="28"/>
          <w:lang w:val="uk-UA"/>
        </w:rPr>
        <w:t>Найм</w:t>
      </w:r>
      <w:proofErr w:type="spellEnd"/>
      <w:r w:rsidRPr="005F0419">
        <w:rPr>
          <w:rFonts w:ascii="Times New Roman" w:hAnsi="Times New Roman" w:cs="Times New Roman"/>
          <w:sz w:val="28"/>
          <w:szCs w:val="28"/>
          <w:lang w:val="uk-UA"/>
        </w:rPr>
        <w:t xml:space="preserve"> за трудовим договором, як правова модель підбору, розподілу та використання персоналу на підприємствах усіх форм власності закріплений у ст. 21 Кодексу законів про працю України. «</w:t>
      </w:r>
      <w:r w:rsidRPr="005F0419">
        <w:rPr>
          <w:rFonts w:ascii="Times New Roman" w:hAnsi="Times New Roman" w:cs="Times New Roman"/>
          <w:sz w:val="28"/>
          <w:szCs w:val="28"/>
          <w:shd w:val="clear" w:color="auto" w:fill="FFFFFF"/>
          <w:lang w:val="uk-UA"/>
        </w:rPr>
        <w:t>Трудовим договором є угода між працівником і роботодавцем (роботодавцем – фізичною особою), за якою працівник зобов’язується виконувати роботу, визначену цією угодою, а роботодавець (роботодавець – фізична особа) зобов’язується виплачувати працівникові заробітну плату і забезпечувати умови праці, необхідні для виконання роботи, передбачені законодавством про працю, колективним договором і угодою сторін… Особливою формою трудового договору є контракт, в якому строк його дії, права, обов’язки і відповідальність сторін (в тому числі матеріальна), умови матеріального забезпечення та організації праці працівника, умови розірвання договору, в тому числі дострокового, можуть встановлюватися угодою сторін</w:t>
      </w:r>
      <w:r w:rsidRPr="005F0419">
        <w:rPr>
          <w:rFonts w:ascii="Times New Roman" w:hAnsi="Times New Roman" w:cs="Times New Roman"/>
          <w:sz w:val="28"/>
          <w:szCs w:val="28"/>
          <w:lang w:val="uk-UA"/>
        </w:rPr>
        <w:t>» [10]. Серед переваг контрактної системи оплати праці відзначають можливість оцінити кінцевий результат своєї роботи і підвищити у випадку успішного виконання роботи свій професійний і посадовий статус, виконувати цікаву роботу й таку, що надає задоволення.</w:t>
      </w:r>
    </w:p>
    <w:p w14:paraId="0FA90EE9"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lastRenderedPageBreak/>
        <w:t>Розміри основної та додаткової оплати праці на підприємстві визначаються основним документом – «Положенням про оплату праці». Метою такого документу є забезпечення мотивації персоналу на ефективну працю, спрямовану на задоволення потреб працівників і досягнення цілей господарювання в умовах існуючої економічної ситуації в Україні.</w:t>
      </w:r>
    </w:p>
    <w:p w14:paraId="63ADC38E" w14:textId="2205EAF8"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t>Окладна система оплати праці є однією із різновидів погодинної оплати праці. Така система застосовується для оплати праці службовців адміністративно-управлінського персоналу і допоміжних робітників. При нарахуванні заробітної плати всі тарифи оплати праці оговорені в трудових контрактах робітників і визначені індивідуально, в залежності від складності і умов праці. Особливістю такої системи є те , що при будь-якій складності роботи не можливо визначити кількість витраченої праці. Штатно-окладна система оплати праці передбачає встановлення кожному працівникові місячного окладу (ставки) відповідно до посади, яку він обіймає, базуючись на схемах посадових окладів, що розробляються підприємством. Тобто встановлюється строго фіксований посадовий оклад. При цьому перевиконання працівником обов’язкової норми трудового навантаження не веде до підвищення заробітної плати. В основу штатно-окладного методу розрахунку заробітної плати покладено розмір постійного окладу, установлювано персонально, що при розрахунку збільшується на відсоток відпрацьованих днів і являє собою відношення фактично відпрацьованих днів до кількості робочих днів у даному періоді. Виходячи з цього, формула розрахунку заробітної плати:</w:t>
      </w:r>
    </w:p>
    <w:p w14:paraId="1C34004C"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t xml:space="preserve">                                            </w:t>
      </w:r>
      <w:r w:rsidRPr="005F0419">
        <w:rPr>
          <w:rStyle w:val="apple-style-span"/>
          <w:rFonts w:ascii="Times New Roman" w:hAnsi="Times New Roman"/>
          <w:sz w:val="28"/>
          <w:szCs w:val="28"/>
          <w:lang w:val="uk-UA"/>
        </w:rPr>
        <w:object w:dxaOrig="1560" w:dyaOrig="1040" w14:anchorId="3EE8F2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75pt" o:ole="">
            <v:imagedata r:id="rId8" o:title=""/>
          </v:shape>
          <o:OLEObject Type="Embed" ProgID="Equation.3" ShapeID="_x0000_i1025" DrawAspect="Content" ObjectID="_1773432087" r:id="rId9"/>
        </w:object>
      </w:r>
      <w:r w:rsidRPr="005F0419">
        <w:rPr>
          <w:rStyle w:val="apple-style-span"/>
          <w:rFonts w:ascii="Times New Roman" w:hAnsi="Times New Roman"/>
          <w:sz w:val="28"/>
          <w:szCs w:val="28"/>
          <w:lang w:val="uk-UA"/>
        </w:rPr>
        <w:t xml:space="preserve"> , </w:t>
      </w:r>
    </w:p>
    <w:p w14:paraId="11FC11B2"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t xml:space="preserve">де ЗП – заробітна плата; О – оклад%; </w:t>
      </w:r>
      <w:proofErr w:type="spellStart"/>
      <w:r w:rsidRPr="005F0419">
        <w:rPr>
          <w:rStyle w:val="apple-style-span"/>
          <w:rFonts w:ascii="Times New Roman" w:hAnsi="Times New Roman"/>
          <w:sz w:val="28"/>
          <w:szCs w:val="28"/>
          <w:lang w:val="uk-UA"/>
        </w:rPr>
        <w:t>К.в.д</w:t>
      </w:r>
      <w:proofErr w:type="spellEnd"/>
      <w:r w:rsidRPr="005F0419">
        <w:rPr>
          <w:rStyle w:val="apple-style-span"/>
          <w:rFonts w:ascii="Times New Roman" w:hAnsi="Times New Roman"/>
          <w:sz w:val="28"/>
          <w:szCs w:val="28"/>
          <w:lang w:val="uk-UA"/>
        </w:rPr>
        <w:t xml:space="preserve">. – кількість відпрацьованих днів; </w:t>
      </w:r>
      <w:proofErr w:type="spellStart"/>
      <w:r w:rsidRPr="005F0419">
        <w:rPr>
          <w:rStyle w:val="apple-style-span"/>
          <w:rFonts w:ascii="Times New Roman" w:hAnsi="Times New Roman"/>
          <w:sz w:val="28"/>
          <w:szCs w:val="28"/>
          <w:lang w:val="uk-UA"/>
        </w:rPr>
        <w:t>К.р.д</w:t>
      </w:r>
      <w:proofErr w:type="spellEnd"/>
      <w:r w:rsidRPr="005F0419">
        <w:rPr>
          <w:rStyle w:val="apple-style-span"/>
          <w:rFonts w:ascii="Times New Roman" w:hAnsi="Times New Roman"/>
          <w:sz w:val="28"/>
          <w:szCs w:val="28"/>
          <w:lang w:val="uk-UA"/>
        </w:rPr>
        <w:t xml:space="preserve">. – кількість робочих днів. </w:t>
      </w:r>
    </w:p>
    <w:p w14:paraId="0E3F81FB" w14:textId="77777777" w:rsidR="005F0419" w:rsidRPr="005F0419" w:rsidRDefault="005F0419" w:rsidP="005F0419">
      <w:pPr>
        <w:spacing w:after="0" w:line="360" w:lineRule="auto"/>
        <w:ind w:firstLine="720"/>
        <w:jc w:val="both"/>
        <w:rPr>
          <w:rStyle w:val="hps"/>
          <w:rFonts w:ascii="Times New Roman" w:hAnsi="Times New Roman" w:cs="Times New Roman"/>
          <w:sz w:val="28"/>
          <w:szCs w:val="28"/>
          <w:lang w:val="uk-UA"/>
        </w:rPr>
      </w:pPr>
      <w:r w:rsidRPr="005F0419">
        <w:rPr>
          <w:rStyle w:val="hps"/>
          <w:rFonts w:ascii="Times New Roman" w:hAnsi="Times New Roman" w:cs="Times New Roman"/>
          <w:sz w:val="28"/>
          <w:szCs w:val="28"/>
          <w:lang w:val="uk-UA"/>
        </w:rPr>
        <w:t xml:space="preserve">Основним регістром, що використовується для оформлення розрахунків з робітниками по зарплаті, є розрахункова відомість. Це регістр аналітичного </w:t>
      </w:r>
      <w:r w:rsidRPr="005F0419">
        <w:rPr>
          <w:rStyle w:val="hps"/>
          <w:rFonts w:ascii="Times New Roman" w:hAnsi="Times New Roman" w:cs="Times New Roman"/>
          <w:sz w:val="28"/>
          <w:szCs w:val="28"/>
          <w:lang w:val="uk-UA"/>
        </w:rPr>
        <w:lastRenderedPageBreak/>
        <w:t xml:space="preserve">обліку, оскільки складається в розрізі кожного табельного номеру, по категоріям робітників та по видам виплат і утримань. </w:t>
      </w:r>
    </w:p>
    <w:p w14:paraId="356A2305" w14:textId="77777777" w:rsidR="005F0419" w:rsidRPr="005F0419" w:rsidRDefault="005F0419" w:rsidP="005F0419">
      <w:pPr>
        <w:spacing w:after="0" w:line="360" w:lineRule="auto"/>
        <w:ind w:firstLine="720"/>
        <w:jc w:val="both"/>
        <w:rPr>
          <w:rStyle w:val="hps"/>
          <w:rFonts w:ascii="Times New Roman" w:hAnsi="Times New Roman" w:cs="Times New Roman"/>
          <w:sz w:val="28"/>
          <w:szCs w:val="28"/>
          <w:lang w:val="uk-UA"/>
        </w:rPr>
      </w:pPr>
      <w:r w:rsidRPr="005F0419">
        <w:rPr>
          <w:rStyle w:val="hps"/>
          <w:rFonts w:ascii="Times New Roman" w:hAnsi="Times New Roman" w:cs="Times New Roman"/>
          <w:sz w:val="28"/>
          <w:szCs w:val="28"/>
          <w:lang w:val="uk-UA"/>
        </w:rPr>
        <w:t>Основою для складання розрахункових відомостей і листів розрахунку заробітної плати на підприємствах є наступні первинні документи:</w:t>
      </w:r>
    </w:p>
    <w:p w14:paraId="43CE506E" w14:textId="77777777" w:rsidR="005F0419" w:rsidRPr="005F0419" w:rsidRDefault="005F0419" w:rsidP="005F0419">
      <w:pPr>
        <w:spacing w:after="0" w:line="360" w:lineRule="auto"/>
        <w:ind w:firstLine="720"/>
        <w:jc w:val="both"/>
        <w:rPr>
          <w:rStyle w:val="hps"/>
          <w:rFonts w:ascii="Times New Roman" w:hAnsi="Times New Roman" w:cs="Times New Roman"/>
          <w:sz w:val="28"/>
          <w:szCs w:val="28"/>
          <w:lang w:val="uk-UA"/>
        </w:rPr>
      </w:pPr>
      <w:r w:rsidRPr="005F0419">
        <w:rPr>
          <w:rStyle w:val="hps"/>
          <w:rFonts w:ascii="Times New Roman" w:hAnsi="Times New Roman" w:cs="Times New Roman"/>
          <w:sz w:val="28"/>
          <w:szCs w:val="28"/>
          <w:lang w:val="uk-UA"/>
        </w:rPr>
        <w:t>• табель обліку використання робочого часу та розрахунку заробітної плати;</w:t>
      </w:r>
    </w:p>
    <w:p w14:paraId="5CF06F17" w14:textId="77777777" w:rsidR="005F0419" w:rsidRPr="005F0419" w:rsidRDefault="005F0419" w:rsidP="005F0419">
      <w:pPr>
        <w:spacing w:after="0" w:line="360" w:lineRule="auto"/>
        <w:ind w:firstLine="720"/>
        <w:jc w:val="both"/>
        <w:rPr>
          <w:rStyle w:val="hps"/>
          <w:rFonts w:ascii="Times New Roman" w:hAnsi="Times New Roman" w:cs="Times New Roman"/>
          <w:sz w:val="28"/>
          <w:szCs w:val="28"/>
          <w:lang w:val="uk-UA"/>
        </w:rPr>
      </w:pPr>
      <w:r w:rsidRPr="005F0419">
        <w:rPr>
          <w:rStyle w:val="hps"/>
          <w:rFonts w:ascii="Times New Roman" w:hAnsi="Times New Roman" w:cs="Times New Roman"/>
          <w:sz w:val="28"/>
          <w:szCs w:val="28"/>
          <w:lang w:val="uk-UA"/>
        </w:rPr>
        <w:t>• накопичувальні картки заробітної плати;</w:t>
      </w:r>
    </w:p>
    <w:p w14:paraId="0EE2AB1D" w14:textId="77777777" w:rsidR="005F0419" w:rsidRPr="005F0419" w:rsidRDefault="005F0419" w:rsidP="005F0419">
      <w:pPr>
        <w:spacing w:after="0" w:line="360" w:lineRule="auto"/>
        <w:ind w:firstLine="720"/>
        <w:jc w:val="both"/>
        <w:rPr>
          <w:rStyle w:val="hps"/>
          <w:rFonts w:ascii="Times New Roman" w:hAnsi="Times New Roman" w:cs="Times New Roman"/>
          <w:sz w:val="28"/>
          <w:szCs w:val="28"/>
          <w:lang w:val="uk-UA"/>
        </w:rPr>
      </w:pPr>
      <w:r w:rsidRPr="005F0419">
        <w:rPr>
          <w:rStyle w:val="hps"/>
          <w:rFonts w:ascii="Times New Roman" w:hAnsi="Times New Roman" w:cs="Times New Roman"/>
          <w:sz w:val="28"/>
          <w:szCs w:val="28"/>
          <w:lang w:val="uk-UA"/>
        </w:rPr>
        <w:t>• розрахункові документи бухгалтерії по всіх інших видах заробітної плати (відпустку, премії) та допомоги з тимчасової непрацездатності;</w:t>
      </w:r>
    </w:p>
    <w:p w14:paraId="28CB1E46" w14:textId="77777777" w:rsidR="005F0419" w:rsidRPr="005F0419" w:rsidRDefault="005F0419" w:rsidP="005F0419">
      <w:pPr>
        <w:spacing w:after="0" w:line="360" w:lineRule="auto"/>
        <w:ind w:firstLine="720"/>
        <w:jc w:val="both"/>
        <w:rPr>
          <w:rStyle w:val="hps"/>
          <w:rFonts w:ascii="Times New Roman" w:hAnsi="Times New Roman" w:cs="Times New Roman"/>
          <w:sz w:val="28"/>
          <w:szCs w:val="28"/>
          <w:lang w:val="uk-UA"/>
        </w:rPr>
      </w:pPr>
      <w:r w:rsidRPr="005F0419">
        <w:rPr>
          <w:rStyle w:val="hps"/>
          <w:rFonts w:ascii="Times New Roman" w:hAnsi="Times New Roman" w:cs="Times New Roman"/>
          <w:sz w:val="28"/>
          <w:szCs w:val="28"/>
          <w:lang w:val="uk-UA"/>
        </w:rPr>
        <w:t>• розрахункові відомості за минулий місяць – для розрахунку сум утримань податків;</w:t>
      </w:r>
    </w:p>
    <w:p w14:paraId="135539C0" w14:textId="77777777" w:rsidR="005F0419" w:rsidRPr="005F0419" w:rsidRDefault="005F0419" w:rsidP="005F0419">
      <w:pPr>
        <w:spacing w:after="0" w:line="360" w:lineRule="auto"/>
        <w:ind w:firstLine="720"/>
        <w:jc w:val="both"/>
        <w:rPr>
          <w:rStyle w:val="hps"/>
          <w:rFonts w:ascii="Times New Roman" w:hAnsi="Times New Roman" w:cs="Times New Roman"/>
          <w:sz w:val="28"/>
          <w:szCs w:val="28"/>
          <w:lang w:val="uk-UA"/>
        </w:rPr>
      </w:pPr>
      <w:r w:rsidRPr="005F0419">
        <w:rPr>
          <w:rStyle w:val="hps"/>
          <w:rFonts w:ascii="Times New Roman" w:hAnsi="Times New Roman" w:cs="Times New Roman"/>
          <w:sz w:val="28"/>
          <w:szCs w:val="28"/>
          <w:lang w:val="uk-UA"/>
        </w:rPr>
        <w:t>• рішення судових органів на утримання по виконавчим листам;</w:t>
      </w:r>
    </w:p>
    <w:p w14:paraId="479537D1" w14:textId="77777777" w:rsidR="005F0419" w:rsidRPr="005F0419" w:rsidRDefault="005F0419" w:rsidP="005F0419">
      <w:pPr>
        <w:spacing w:after="0" w:line="360" w:lineRule="auto"/>
        <w:ind w:firstLine="720"/>
        <w:jc w:val="both"/>
        <w:rPr>
          <w:rStyle w:val="hps"/>
          <w:rFonts w:ascii="Times New Roman" w:hAnsi="Times New Roman" w:cs="Times New Roman"/>
          <w:sz w:val="28"/>
          <w:szCs w:val="28"/>
          <w:lang w:val="uk-UA"/>
        </w:rPr>
      </w:pPr>
      <w:r w:rsidRPr="005F0419">
        <w:rPr>
          <w:rStyle w:val="hps"/>
          <w:rFonts w:ascii="Times New Roman" w:hAnsi="Times New Roman" w:cs="Times New Roman"/>
          <w:sz w:val="28"/>
          <w:szCs w:val="28"/>
          <w:lang w:val="uk-UA"/>
        </w:rPr>
        <w:t>• платіжні відомості на раніше виданий аванс за першу половину місяця;</w:t>
      </w:r>
    </w:p>
    <w:p w14:paraId="428B2830" w14:textId="77777777" w:rsidR="005F0419" w:rsidRPr="005F0419" w:rsidRDefault="005F0419" w:rsidP="005F0419">
      <w:pPr>
        <w:spacing w:after="0" w:line="360" w:lineRule="auto"/>
        <w:ind w:firstLine="720"/>
        <w:jc w:val="both"/>
        <w:rPr>
          <w:rStyle w:val="hps"/>
          <w:rFonts w:ascii="Times New Roman" w:hAnsi="Times New Roman" w:cs="Times New Roman"/>
          <w:sz w:val="28"/>
          <w:szCs w:val="28"/>
          <w:lang w:val="uk-UA"/>
        </w:rPr>
      </w:pPr>
      <w:r w:rsidRPr="005F0419">
        <w:rPr>
          <w:rStyle w:val="hps"/>
          <w:rFonts w:ascii="Times New Roman" w:hAnsi="Times New Roman" w:cs="Times New Roman"/>
          <w:sz w:val="28"/>
          <w:szCs w:val="28"/>
          <w:lang w:val="uk-UA"/>
        </w:rPr>
        <w:t>• витратні касові ордери на видачу позапланових авансів і інше.</w:t>
      </w:r>
    </w:p>
    <w:p w14:paraId="6F919C6A" w14:textId="77777777" w:rsidR="005F0419" w:rsidRPr="005F0419" w:rsidRDefault="005F0419" w:rsidP="005F0419">
      <w:pPr>
        <w:spacing w:after="0" w:line="360" w:lineRule="auto"/>
        <w:ind w:firstLine="720"/>
        <w:jc w:val="both"/>
        <w:rPr>
          <w:rStyle w:val="hps"/>
          <w:rFonts w:ascii="Times New Roman" w:hAnsi="Times New Roman" w:cs="Times New Roman"/>
          <w:sz w:val="28"/>
          <w:szCs w:val="28"/>
          <w:lang w:val="uk-UA"/>
        </w:rPr>
      </w:pPr>
      <w:r w:rsidRPr="005F0419">
        <w:rPr>
          <w:rStyle w:val="hps"/>
          <w:rFonts w:ascii="Times New Roman" w:hAnsi="Times New Roman" w:cs="Times New Roman"/>
          <w:sz w:val="28"/>
          <w:szCs w:val="28"/>
          <w:lang w:val="uk-UA"/>
        </w:rPr>
        <w:t>Видача заробітної плати проходить з використанням пластикових (кредитних) карток. При розрахунках через банківські картки кожен співробітник повинен відкрити в банку спеціальний картковий рахунок, отримати пластикову карту і потім бухгалтерія буде перераховувати належну йому суму на рахунок картки. </w:t>
      </w:r>
    </w:p>
    <w:p w14:paraId="402A8CB0" w14:textId="77777777" w:rsidR="005F0419" w:rsidRPr="005F0419" w:rsidRDefault="005F0419" w:rsidP="005F0419">
      <w:pPr>
        <w:spacing w:after="0" w:line="360" w:lineRule="auto"/>
        <w:ind w:firstLine="720"/>
        <w:jc w:val="both"/>
        <w:rPr>
          <w:rStyle w:val="hps"/>
          <w:rFonts w:ascii="Times New Roman" w:hAnsi="Times New Roman" w:cs="Times New Roman"/>
          <w:sz w:val="28"/>
          <w:szCs w:val="28"/>
          <w:lang w:val="uk-UA"/>
        </w:rPr>
      </w:pPr>
      <w:r w:rsidRPr="005F0419">
        <w:rPr>
          <w:rStyle w:val="hps"/>
          <w:rFonts w:ascii="Times New Roman" w:hAnsi="Times New Roman" w:cs="Times New Roman"/>
          <w:sz w:val="28"/>
          <w:szCs w:val="28"/>
          <w:lang w:val="uk-UA"/>
        </w:rPr>
        <w:t xml:space="preserve">У разі виходу працівника у відпустку, на пенсію та звільнення заробітну плату необхідно видати не пізніше дня перед самою відпусткою чи звільненням, не чекаючи встановлених днів видачі заробітної плати. Такі виплати називаються виплатами в </w:t>
      </w:r>
      <w:proofErr w:type="spellStart"/>
      <w:r w:rsidRPr="005F0419">
        <w:rPr>
          <w:rStyle w:val="hps"/>
          <w:rFonts w:ascii="Times New Roman" w:hAnsi="Times New Roman" w:cs="Times New Roman"/>
          <w:sz w:val="28"/>
          <w:szCs w:val="28"/>
          <w:lang w:val="uk-UA"/>
        </w:rPr>
        <w:t>міжрозрахунковий</w:t>
      </w:r>
      <w:proofErr w:type="spellEnd"/>
      <w:r w:rsidRPr="005F0419">
        <w:rPr>
          <w:rStyle w:val="hps"/>
          <w:rFonts w:ascii="Times New Roman" w:hAnsi="Times New Roman" w:cs="Times New Roman"/>
          <w:sz w:val="28"/>
          <w:szCs w:val="28"/>
          <w:lang w:val="uk-UA"/>
        </w:rPr>
        <w:t xml:space="preserve"> період.</w:t>
      </w:r>
    </w:p>
    <w:p w14:paraId="3B641148"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Style w:val="apple-style-span"/>
          <w:rFonts w:ascii="Times New Roman" w:hAnsi="Times New Roman"/>
          <w:sz w:val="28"/>
          <w:szCs w:val="28"/>
          <w:lang w:val="uk-UA"/>
        </w:rPr>
        <w:t xml:space="preserve">На підприємствах розробкою і розрахунком всіх необхідних показників у галузі праці та заробітної плати, в тому числі кількістю і складом працюючих, займається відділ роботи з персоналом і HR-менеджер: прийомом на роботу та звільненням, переміщенням по службі і т. п. </w:t>
      </w:r>
      <w:r w:rsidRPr="005F0419">
        <w:rPr>
          <w:rFonts w:ascii="Times New Roman" w:hAnsi="Times New Roman" w:cs="Times New Roman"/>
          <w:sz w:val="28"/>
          <w:szCs w:val="28"/>
          <w:lang w:val="uk-UA"/>
        </w:rPr>
        <w:t xml:space="preserve">До облікових документів з персоналу підприємства належать: особова картка і особиста справа, штатно-посадова книга, алфавітна книга, алфавітні картки, книга обліку бланків </w:t>
      </w:r>
      <w:r w:rsidRPr="005F0419">
        <w:rPr>
          <w:rFonts w:ascii="Times New Roman" w:hAnsi="Times New Roman" w:cs="Times New Roman"/>
          <w:sz w:val="28"/>
          <w:szCs w:val="28"/>
          <w:lang w:val="uk-UA"/>
        </w:rPr>
        <w:lastRenderedPageBreak/>
        <w:t>трудових книжок, книга обліку руху трудових книжок, графік відпусток, книга (журнал) обліку відпусток.</w:t>
      </w:r>
    </w:p>
    <w:p w14:paraId="08F7CCBA"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Fonts w:ascii="Times New Roman" w:hAnsi="Times New Roman" w:cs="Times New Roman"/>
          <w:sz w:val="28"/>
          <w:szCs w:val="28"/>
          <w:lang w:val="uk-UA"/>
        </w:rPr>
        <w:t xml:space="preserve">Облік використання робочого часу ведеться в табелях обліку використання робочого часу, в річних табельних картках та ін. Табелі відкриваються за її структурним підрозділам і категоріям працюючих. Вони необхідні не тільки для обліку використання робочого часу всіх категорій працюючих, але і для контролю за дотриманням персоналом встановленого режиму робочого часу, розрахунків з ним по заробітній платі та отримання даних про відпрацьований час, а також складання статистичної звітності з праці. </w:t>
      </w:r>
      <w:r w:rsidRPr="005F0419">
        <w:rPr>
          <w:rStyle w:val="a7"/>
          <w:rFonts w:ascii="Times New Roman" w:hAnsi="Times New Roman" w:cs="Times New Roman"/>
          <w:b w:val="0"/>
          <w:sz w:val="28"/>
          <w:szCs w:val="28"/>
          <w:lang w:val="uk-UA"/>
        </w:rPr>
        <w:t xml:space="preserve">Табель обліку робочого часу – поіменний список усіх працівників кожного відділу підприємства з відмітками навпроти кожного прізвища про використання працівником робочого часу протягом облікового періоду. </w:t>
      </w:r>
      <w:r w:rsidRPr="005F0419">
        <w:rPr>
          <w:rFonts w:ascii="Times New Roman" w:hAnsi="Times New Roman" w:cs="Times New Roman"/>
          <w:sz w:val="28"/>
          <w:szCs w:val="28"/>
          <w:lang w:val="uk-UA"/>
        </w:rPr>
        <w:t>Табель складається і передається в розрахунковий відділ бухгалтерії раз на місяць: для коригування суми виплати за першу половину місяця (авансу) і для розрахунку заробітної плати за місяць. З</w:t>
      </w:r>
      <w:r w:rsidRPr="005F0419">
        <w:rPr>
          <w:rStyle w:val="apple-style-span"/>
          <w:rFonts w:ascii="Times New Roman" w:hAnsi="Times New Roman"/>
          <w:sz w:val="28"/>
          <w:szCs w:val="28"/>
          <w:lang w:val="uk-UA"/>
        </w:rPr>
        <w:t>гідно з чинним Кодексу законів про працю України, а саме: ст. 50 передбачено, що допустима тривалість робочого часу працівників не може перевищувати 40 годин на тиждень.</w:t>
      </w:r>
    </w:p>
    <w:p w14:paraId="2575BFAF"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t>Однак у виключних випадках підприємство може використовувати надурочні роботи, коли необхідно закінчити роботу, що була почата і через непередбачувані ситуації не змогла бути завершена в нормальний робочий час. Також надурочні роботи можливі при необхідності виконання вантажно-розвантажувальних робіт з метою недопущення або усунення скупчення вантажів у пунктах відправлення і призначення [11].</w:t>
      </w:r>
    </w:p>
    <w:p w14:paraId="31475452" w14:textId="77777777" w:rsidR="005F0419" w:rsidRPr="005F0419" w:rsidRDefault="005F0419" w:rsidP="005F0419">
      <w:pPr>
        <w:spacing w:after="0" w:line="360" w:lineRule="auto"/>
        <w:ind w:firstLine="720"/>
        <w:jc w:val="both"/>
        <w:rPr>
          <w:rFonts w:ascii="Times New Roman" w:hAnsi="Times New Roman" w:cs="Times New Roman"/>
          <w:sz w:val="28"/>
          <w:szCs w:val="28"/>
          <w:shd w:val="clear" w:color="auto" w:fill="FFFFFF"/>
          <w:lang w:val="uk-UA"/>
        </w:rPr>
      </w:pPr>
      <w:r w:rsidRPr="005F0419">
        <w:rPr>
          <w:rStyle w:val="apple-style-span"/>
          <w:rFonts w:ascii="Times New Roman" w:hAnsi="Times New Roman"/>
          <w:sz w:val="28"/>
          <w:szCs w:val="28"/>
          <w:lang w:val="uk-UA"/>
        </w:rPr>
        <w:t>Робота в надурочний час (понаднормова робота) оплачується в подвійному розмірі годинної або денної ставки. Компенсація надурочних робіт шляхом надання відгулу не допускається.</w:t>
      </w:r>
      <w:r w:rsidRPr="005F0419">
        <w:rPr>
          <w:rFonts w:ascii="Times New Roman" w:hAnsi="Times New Roman" w:cs="Times New Roman"/>
          <w:sz w:val="28"/>
          <w:szCs w:val="28"/>
          <w:lang w:val="uk-UA"/>
        </w:rPr>
        <w:t xml:space="preserve"> Що стосується щорічних відпусток, то черговість представлення цих відпусток визначається графіком, який затверджується директором підприємства за погодженням з представником трудового колективу. При складанні графіка враховуються інтереси підприємства, особисті інтереси працівників та можливість їх відпочинку [12]. </w:t>
      </w:r>
      <w:r w:rsidRPr="005F0419">
        <w:rPr>
          <w:rFonts w:ascii="Times New Roman" w:hAnsi="Times New Roman" w:cs="Times New Roman"/>
          <w:sz w:val="28"/>
          <w:szCs w:val="28"/>
          <w:lang w:val="uk-UA"/>
        </w:rPr>
        <w:lastRenderedPageBreak/>
        <w:t xml:space="preserve">Конкретний період надання щорічних відпусток в межах, установлених графіком, узгоджуються між працівником і керівництвом підприємства </w:t>
      </w:r>
      <w:r w:rsidRPr="005F0419">
        <w:rPr>
          <w:rStyle w:val="apple-style-span"/>
          <w:rFonts w:ascii="Times New Roman" w:hAnsi="Times New Roman"/>
          <w:sz w:val="28"/>
          <w:szCs w:val="28"/>
          <w:shd w:val="clear" w:color="auto" w:fill="FFFFFF"/>
          <w:lang w:val="uk-UA"/>
        </w:rPr>
        <w:t>який зобов'язаний повідомити працівника про дату початку відпустки не пізніше ніж за два тижні до встановленого графіком терміну.</w:t>
      </w:r>
      <w:r w:rsidRPr="005F0419">
        <w:rPr>
          <w:rStyle w:val="apple-converted-space"/>
          <w:sz w:val="28"/>
          <w:szCs w:val="28"/>
          <w:shd w:val="clear" w:color="auto" w:fill="FFFFFF"/>
          <w:lang w:val="uk-UA"/>
        </w:rPr>
        <w:t> </w:t>
      </w:r>
    </w:p>
    <w:p w14:paraId="187AAD07"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t>Для розрахунку сум відпускних використовується середня заробітна плата, розрахунок якої здійснюється поетапно [14]:</w:t>
      </w:r>
    </w:p>
    <w:p w14:paraId="354C93DA"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sz w:val="28"/>
          <w:szCs w:val="28"/>
          <w:lang w:val="uk-UA"/>
        </w:rPr>
        <w:t xml:space="preserve">1. Визначається розрахунковий період, за який розраховується середня заробітна плата:  </w:t>
      </w:r>
      <w:r w:rsidRPr="005F0419">
        <w:rPr>
          <w:rFonts w:ascii="Times New Roman" w:hAnsi="Times New Roman" w:cs="Times New Roman"/>
          <w:sz w:val="28"/>
          <w:szCs w:val="28"/>
          <w:lang w:val="uk-UA"/>
        </w:rPr>
        <w:t>розрахунковий період становить 12 місяців, що передують місяцю виходу у відпустку, або фактично відпрацьований період з 1-го до 1-го числа включно (перед місяцем виходу у відпустку) у разі, якщо працівник відпрацював менше за рік.</w:t>
      </w:r>
    </w:p>
    <w:p w14:paraId="55D0CF69"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sz w:val="28"/>
          <w:szCs w:val="28"/>
          <w:lang w:val="uk-UA"/>
        </w:rPr>
        <w:t>2. Підсумовується заробітна плата у розрахунковому періоді: п</w:t>
      </w:r>
      <w:r w:rsidRPr="005F0419">
        <w:rPr>
          <w:rFonts w:ascii="Times New Roman" w:hAnsi="Times New Roman" w:cs="Times New Roman"/>
          <w:sz w:val="28"/>
          <w:szCs w:val="28"/>
          <w:lang w:val="uk-UA"/>
        </w:rPr>
        <w:t xml:space="preserve">ри підсумовуванні заробітної плати слід враховувати виплати як такі, що включаються, так і такі, що не включаються до середньої заробітної плати.    </w:t>
      </w:r>
    </w:p>
    <w:p w14:paraId="46B1D858"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3. Визначається кількість календарних днів у розрахунковому періоді:</w:t>
      </w:r>
    </w:p>
    <w:p w14:paraId="2FC582B5"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підсумовуються всі календарні дні у розрахунковому періоді;</w:t>
      </w:r>
    </w:p>
    <w:p w14:paraId="47343252"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
          <w:bCs/>
          <w:sz w:val="28"/>
          <w:szCs w:val="28"/>
          <w:lang w:val="uk-UA"/>
        </w:rPr>
        <w:t>-</w:t>
      </w:r>
      <w:r w:rsidRPr="005F0419">
        <w:rPr>
          <w:rStyle w:val="apple-converted-space"/>
          <w:sz w:val="28"/>
          <w:szCs w:val="28"/>
          <w:lang w:val="uk-UA"/>
        </w:rPr>
        <w:t> </w:t>
      </w:r>
      <w:r w:rsidRPr="005F0419">
        <w:rPr>
          <w:rFonts w:ascii="Times New Roman" w:hAnsi="Times New Roman" w:cs="Times New Roman"/>
          <w:sz w:val="28"/>
          <w:szCs w:val="28"/>
          <w:lang w:val="uk-UA"/>
        </w:rPr>
        <w:t xml:space="preserve">після цього вираховуються всі дні, протягом яких працівник, відповідно до законодавства, не працював і за ним не зберігалася заробітна плата. </w:t>
      </w:r>
    </w:p>
    <w:p w14:paraId="387B4217"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sz w:val="28"/>
          <w:szCs w:val="28"/>
          <w:lang w:val="uk-UA"/>
        </w:rPr>
        <w:t>4. Визначається середню заробітну плату для розрахунку сум відпускних</w:t>
      </w:r>
      <w:r w:rsidRPr="005F0419">
        <w:rPr>
          <w:rFonts w:ascii="Times New Roman" w:hAnsi="Times New Roman" w:cs="Times New Roman"/>
          <w:b/>
          <w:bCs/>
          <w:sz w:val="28"/>
          <w:szCs w:val="28"/>
          <w:lang w:val="uk-UA"/>
        </w:rPr>
        <w:t xml:space="preserve">. </w:t>
      </w:r>
      <w:r w:rsidRPr="005F0419">
        <w:rPr>
          <w:rFonts w:ascii="Times New Roman" w:hAnsi="Times New Roman" w:cs="Times New Roman"/>
          <w:sz w:val="28"/>
          <w:szCs w:val="28"/>
          <w:lang w:val="uk-UA"/>
        </w:rPr>
        <w:t>Середня заробітна плата визначається за формулою: загальна сума заробітної плати у розрахунковому періоді ділимо на кількість календарних днів.</w:t>
      </w:r>
    </w:p>
    <w:p w14:paraId="6BA33F13"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sz w:val="28"/>
          <w:szCs w:val="28"/>
          <w:lang w:val="uk-UA"/>
        </w:rPr>
        <w:t>5.</w:t>
      </w:r>
      <w:r w:rsidRPr="005F0419">
        <w:rPr>
          <w:rFonts w:ascii="Times New Roman" w:hAnsi="Times New Roman" w:cs="Times New Roman"/>
          <w:b/>
          <w:bCs/>
          <w:sz w:val="28"/>
          <w:szCs w:val="28"/>
          <w:lang w:val="uk-UA"/>
        </w:rPr>
        <w:t xml:space="preserve"> </w:t>
      </w:r>
      <w:r w:rsidRPr="005F0419">
        <w:rPr>
          <w:rFonts w:ascii="Times New Roman" w:hAnsi="Times New Roman" w:cs="Times New Roman"/>
          <w:sz w:val="28"/>
          <w:szCs w:val="28"/>
          <w:lang w:val="uk-UA"/>
        </w:rPr>
        <w:t>Після визначення середньої заробітної плати перемножується її на кількість днів відпустки (тривалість відпустки розраховується у календарних днях і не залежить від режимів і графіків роботи підприємства).</w:t>
      </w:r>
    </w:p>
    <w:p w14:paraId="70B7AA1F"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lang w:val="uk-UA"/>
        </w:rPr>
        <w:t>Розглянемо утримання, які робляться із заробітної плати</w:t>
      </w:r>
      <w:r w:rsidRPr="005F0419">
        <w:rPr>
          <w:rFonts w:ascii="Times New Roman" w:hAnsi="Times New Roman" w:cs="Times New Roman"/>
          <w:b/>
          <w:iCs/>
          <w:sz w:val="28"/>
          <w:szCs w:val="28"/>
          <w:lang w:val="uk-UA"/>
        </w:rPr>
        <w:t>.</w:t>
      </w:r>
      <w:r w:rsidRPr="005F0419">
        <w:rPr>
          <w:rFonts w:ascii="Times New Roman" w:hAnsi="Times New Roman" w:cs="Times New Roman"/>
          <w:iCs/>
          <w:sz w:val="28"/>
          <w:szCs w:val="28"/>
          <w:lang w:val="uk-UA"/>
        </w:rPr>
        <w:t xml:space="preserve"> Їх</w:t>
      </w:r>
      <w:r w:rsidRPr="005F0419">
        <w:rPr>
          <w:rFonts w:ascii="Times New Roman" w:hAnsi="Times New Roman" w:cs="Times New Roman"/>
          <w:sz w:val="28"/>
          <w:szCs w:val="28"/>
          <w:lang w:val="uk-UA"/>
        </w:rPr>
        <w:t xml:space="preserve"> можна поділити на 2 основні групи: утримання перед державою, бюджетом та фондами та  утримання, передбачені ст.127 КЗпП України:</w:t>
      </w:r>
    </w:p>
    <w:p w14:paraId="51064898" w14:textId="58140376"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група: утримання з метою реалізації зобов’язань працівників безпосередньо перед державою (бюджетом), а також фондами. До цієї групи відносяться податки, збори, платежі.</w:t>
      </w:r>
    </w:p>
    <w:p w14:paraId="791BC742" w14:textId="12D597C4"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2 група: утримання, які передбачені ст. 127 КЗпП (для повернення авансу, виданого в рахунок заробітної плати; для повернення сум, надмірно виплачених унаслідок рахункових помилок, для погашення невитраченого і своєчасно не поверненого авансу; при звільненні працівника до закінчення того робочого року, в рахунок якого він вже отримав відпускні, за невідпрацьовані дні відпустки, але утримання за ці дні відпустки не проводиться, якщо працівник звільняється з роботи по підставах, вказаних в п.3, 5, 6 ст.36 і п.1, 2 і 5 ст.40 </w:t>
      </w:r>
      <w:proofErr w:type="spellStart"/>
      <w:r w:rsidRPr="005F0419">
        <w:rPr>
          <w:rFonts w:ascii="Times New Roman" w:hAnsi="Times New Roman" w:cs="Times New Roman"/>
          <w:sz w:val="28"/>
          <w:szCs w:val="28"/>
          <w:lang w:val="uk-UA"/>
        </w:rPr>
        <w:t>КЗоТ</w:t>
      </w:r>
      <w:proofErr w:type="spellEnd"/>
      <w:r w:rsidRPr="005F0419">
        <w:rPr>
          <w:rFonts w:ascii="Times New Roman" w:hAnsi="Times New Roman" w:cs="Times New Roman"/>
          <w:sz w:val="28"/>
          <w:szCs w:val="28"/>
          <w:lang w:val="uk-UA"/>
        </w:rPr>
        <w:t xml:space="preserve">, а також при направлянні на навчання і у зв'язку з виходом на пенсію;  при відшкодуванні збитку, заподіяного з вини працівника підприємству, установі, організації згідно ст.136 </w:t>
      </w:r>
      <w:proofErr w:type="spellStart"/>
      <w:r w:rsidRPr="005F0419">
        <w:rPr>
          <w:rFonts w:ascii="Times New Roman" w:hAnsi="Times New Roman" w:cs="Times New Roman"/>
          <w:sz w:val="28"/>
          <w:szCs w:val="28"/>
          <w:lang w:val="uk-UA"/>
        </w:rPr>
        <w:t>КЗоТ</w:t>
      </w:r>
      <w:proofErr w:type="spellEnd"/>
      <w:r w:rsidRPr="005F0419">
        <w:rPr>
          <w:rFonts w:ascii="Times New Roman" w:hAnsi="Times New Roman" w:cs="Times New Roman"/>
          <w:sz w:val="28"/>
          <w:szCs w:val="28"/>
          <w:lang w:val="uk-UA"/>
        </w:rPr>
        <w:t>) та інші.</w:t>
      </w:r>
    </w:p>
    <w:p w14:paraId="39B8193A"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Fonts w:ascii="Times New Roman" w:hAnsi="Times New Roman" w:cs="Times New Roman"/>
          <w:sz w:val="28"/>
          <w:szCs w:val="28"/>
          <w:lang w:val="uk-UA"/>
        </w:rPr>
        <w:t xml:space="preserve">Також проводяться індексації заробітної плати згідно з </w:t>
      </w:r>
      <w:r w:rsidRPr="005F0419">
        <w:rPr>
          <w:rStyle w:val="apple-style-span"/>
          <w:rFonts w:ascii="Times New Roman" w:hAnsi="Times New Roman"/>
          <w:iCs/>
          <w:sz w:val="28"/>
          <w:szCs w:val="28"/>
          <w:lang w:val="uk-UA"/>
        </w:rPr>
        <w:t>Законом «Про індексацію</w:t>
      </w:r>
      <w:r w:rsidRPr="005F0419">
        <w:rPr>
          <w:rStyle w:val="apple-style-span"/>
          <w:rFonts w:ascii="Times New Roman" w:hAnsi="Times New Roman"/>
          <w:i/>
          <w:iCs/>
          <w:sz w:val="28"/>
          <w:szCs w:val="28"/>
          <w:lang w:val="uk-UA"/>
        </w:rPr>
        <w:t xml:space="preserve"> </w:t>
      </w:r>
      <w:r w:rsidRPr="005F0419">
        <w:rPr>
          <w:rStyle w:val="apple-style-span"/>
          <w:rFonts w:ascii="Times New Roman" w:hAnsi="Times New Roman"/>
          <w:sz w:val="28"/>
          <w:szCs w:val="28"/>
          <w:lang w:val="uk-UA"/>
        </w:rPr>
        <w:t>України» [13].</w:t>
      </w:r>
    </w:p>
    <w:p w14:paraId="66AC8F6C"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Заробітна плата – це точка перетину інтересів багатьох: підприємства, працівників, податкової, фондів тощо. Кожна з цих сторін оцінює значення заробітної плати майже як найважливіше. Організація оплати праці при цьому відіграє дуже важливу роль. Правильно обрана система оплати, яка відповідає умовам та особливостям роботи на підприємстві є базою для ефективного використання фонду оплати праці.</w:t>
      </w:r>
    </w:p>
    <w:p w14:paraId="05071BC6"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Оскільки діяльність підприємства не пов’язана з виробництвом продукції, і не залежить від виробітку, а весь обсяг необхідної роботи виконується в межах робочого часу, штатно-окладна система оплати праці обрана вдало. Кожному працівнику встановлено в договорі щомісячний розмір окладу і не залежно від обсягу роботи, він не зміниться.</w:t>
      </w:r>
    </w:p>
    <w:p w14:paraId="7CC11FDE"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Витрати на оплату праці займають значну питому вагу в собівартості послуг, які надає підприємство.</w:t>
      </w:r>
    </w:p>
    <w:p w14:paraId="17F0768C"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Розмір оплати праці залежить від категорії робітника, від його кваліфікації, посади, яку він обіймає, адже за ними закріплені розміри окладів.</w:t>
      </w:r>
    </w:p>
    <w:p w14:paraId="7F0085BD"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Система оплати праці формується на основі таких критеріїв як ефективність виробництва, кількість, якість і складність виконаної роботи, трудовий вклад кожного працівника в підвищенні ефективності виробництва.</w:t>
      </w:r>
    </w:p>
    <w:p w14:paraId="52179C4B"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Показники ефективності діяльності і матеріального заохочення працівників підприємства: забезпеченість підприємства робочою силою; оборот робочої сили; використання трудових ресурсів; ефективність використання фонду оплати праці. Отримавши ці економічні показники можна проаналізувати залежність  динаміки фонду оплати праці і обсягів наданих послуг, прибутків підприємства та продуктивності праці та зробити висновки щодо ефективності політики підприємств в оплаті праці.</w:t>
      </w:r>
    </w:p>
    <w:p w14:paraId="6ED3D42B"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Розглянемо всі показники ефективності діяльності і матеріального заохочення працівників підприємств:</w:t>
      </w:r>
    </w:p>
    <w:p w14:paraId="4F7F572D" w14:textId="77777777" w:rsidR="005F0419" w:rsidRPr="005F0419" w:rsidRDefault="005F0419" w:rsidP="006D1666">
      <w:pPr>
        <w:pStyle w:val="HTML"/>
        <w:numPr>
          <w:ilvl w:val="0"/>
          <w:numId w:val="21"/>
        </w:numPr>
        <w:spacing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Забезпеченість підприємства робочою силою. </w:t>
      </w:r>
    </w:p>
    <w:p w14:paraId="6340465E"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того, щоб визначити забезпеченість підприємства робочою силою, необхідно розрахувати виконання плану по чисельності працюючих, визначити абсолютне та відносне відхилення робочої сили по групам та категоріям працюючих [14, c. 264]. Щомісяця в штатному розкладі затверджується кількість працівників по кожній посаді, оклад, сума окладів в залежності від кількості працівників по кожній посаді.</w:t>
      </w:r>
    </w:p>
    <w:p w14:paraId="33D86901" w14:textId="77777777" w:rsidR="005F0419" w:rsidRPr="005F0419" w:rsidRDefault="005F0419" w:rsidP="006D1666">
      <w:pPr>
        <w:pStyle w:val="HTML"/>
        <w:numPr>
          <w:ilvl w:val="0"/>
          <w:numId w:val="21"/>
        </w:numPr>
        <w:spacing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Оборот робочої сили. </w:t>
      </w:r>
    </w:p>
    <w:p w14:paraId="10411193"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Основні коефіцієнти: коефіцієнти обороту прийому на роботу та обороту по вибуттю, коефіцієнти плинності та постійності кадрів.</w:t>
      </w:r>
    </w:p>
    <w:p w14:paraId="2B4BEF73"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ІІІ. Використання трудових ресурсів.</w:t>
      </w:r>
    </w:p>
    <w:p w14:paraId="1B2DC75A"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того, щоб дати оцінку ефективності використання трудових ресурсів, необхідно проаналізувати за звітній період повноту відпрацьованого часу (днів, годин). Раціональне використання робочого часу забезпечує підприємство високим рівнем продуктивності праці за відсутністю додаткових капітальних витрат [15, c. 260].</w:t>
      </w:r>
    </w:p>
    <w:p w14:paraId="4645807E" w14:textId="77777777" w:rsidR="005F0419" w:rsidRPr="005F0419" w:rsidRDefault="005F0419" w:rsidP="005F0419">
      <w:pPr>
        <w:pStyle w:val="HTML"/>
        <w:spacing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tab/>
        <w:t>Використання робочого часу робітників звичайно аналізується за допомогою таких двох показників, як середня кількість днів, відпрацьованих робітником за звітний період (місяць, квартал, рік), і середня тривалість робочого дня (зміни).</w:t>
      </w:r>
    </w:p>
    <w:p w14:paraId="735F2F79" w14:textId="77777777" w:rsidR="005F0419" w:rsidRPr="005F0419" w:rsidRDefault="005F0419" w:rsidP="005F0419">
      <w:pPr>
        <w:pStyle w:val="HTML"/>
        <w:spacing w:line="360" w:lineRule="auto"/>
        <w:ind w:firstLine="720"/>
        <w:jc w:val="both"/>
        <w:rPr>
          <w:rFonts w:ascii="Times New Roman" w:hAnsi="Times New Roman" w:cs="Times New Roman"/>
          <w:sz w:val="28"/>
          <w:szCs w:val="28"/>
          <w:u w:val="single"/>
          <w:lang w:val="uk-UA"/>
        </w:rPr>
      </w:pPr>
      <w:r w:rsidRPr="005F0419">
        <w:rPr>
          <w:rStyle w:val="apple-style-span"/>
          <w:rFonts w:ascii="Times New Roman" w:hAnsi="Times New Roman"/>
          <w:sz w:val="28"/>
          <w:szCs w:val="28"/>
          <w:lang w:val="uk-UA"/>
        </w:rPr>
        <w:t xml:space="preserve">VI. </w:t>
      </w:r>
      <w:r w:rsidRPr="005F0419">
        <w:rPr>
          <w:rFonts w:ascii="Times New Roman" w:hAnsi="Times New Roman" w:cs="Times New Roman"/>
          <w:sz w:val="28"/>
          <w:szCs w:val="28"/>
          <w:lang w:val="uk-UA"/>
        </w:rPr>
        <w:t>Аналіз використання фонду оплати праці.</w:t>
      </w:r>
    </w:p>
    <w:p w14:paraId="25AD1CA9"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Аналіз використання фонду оплати праці на підприємстві складається з декількох етапів.  Раціональне використання фонду заробітної плати тісно пов'язане з правильною організацією зарплати на підприємстві, залежить від міри виконання виробничої програми і стану організації виробництва і праці, тому необхідно, щоб аналіз забезпечував [15, c.262]:</w:t>
      </w:r>
    </w:p>
    <w:p w14:paraId="7D3141DA"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перевірку відповідності розмірів використання фонду заробітної плати об'єму виконаної робочої програми;  </w:t>
      </w:r>
    </w:p>
    <w:p w14:paraId="65B84CD1"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перевірку підрахунку виконання плану за об'ємом виробництва (наданих послуг) як основи для регулювання витрачання фонду зарплати;</w:t>
      </w:r>
    </w:p>
    <w:p w14:paraId="6A67DB3E"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визначення розміру економії або допущеної перевитрати цього фонду і основних напрямів перевитрати;</w:t>
      </w:r>
    </w:p>
    <w:p w14:paraId="2D52DA40"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угрупування чинників, що визначають фактичні співвідношення між зростанням продуктивності праці і зростанням оплати праці.</w:t>
      </w:r>
    </w:p>
    <w:p w14:paraId="5E8BA556" w14:textId="77777777" w:rsidR="005F0419" w:rsidRPr="005F0419" w:rsidRDefault="005F0419" w:rsidP="005F0419">
      <w:pPr>
        <w:pStyle w:val="HTML"/>
        <w:spacing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Змінна частина ФЗП залежить від обсягу виробництва продукції (послуг), питомої трудомісткості і рівня </w:t>
      </w:r>
      <w:proofErr w:type="spellStart"/>
      <w:r w:rsidRPr="005F0419">
        <w:rPr>
          <w:rFonts w:ascii="Times New Roman" w:hAnsi="Times New Roman" w:cs="Times New Roman"/>
          <w:sz w:val="28"/>
          <w:szCs w:val="28"/>
          <w:lang w:val="uk-UA"/>
        </w:rPr>
        <w:t>середньогодинної</w:t>
      </w:r>
      <w:proofErr w:type="spellEnd"/>
      <w:r w:rsidRPr="005F0419">
        <w:rPr>
          <w:rFonts w:ascii="Times New Roman" w:hAnsi="Times New Roman" w:cs="Times New Roman"/>
          <w:sz w:val="28"/>
          <w:szCs w:val="28"/>
          <w:lang w:val="uk-UA"/>
        </w:rPr>
        <w:t xml:space="preserve"> оплати праці. Постійна частина ФЗП залежить від чисельності працівників, кількості відпрацьованих днів одним працівником в середньому за рік, середньої тривалості робочого дня і середньо годинної заробітної плати. Для визначення впливу чисельності на абсолютне відхилення ФЗП необхідно відхилення від планової чисельності помножити на середню планову зарплату одного робітника в звітному періоді. Для визначення впливу зміни середньої зарплати на абсолютне відхилення ФЗП необхідно суму відхилень від планової середньорічної зарплати помножити на фактичну чисельність працівників [15, c. 267].</w:t>
      </w:r>
    </w:p>
    <w:p w14:paraId="2E52B726"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Ефективність роботи працівників залежить від таких факторів:</w:t>
      </w:r>
    </w:p>
    <w:p w14:paraId="3648FDA7"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система управління і організації на підприємстві;</w:t>
      </w:r>
    </w:p>
    <w:p w14:paraId="2937C922"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заходи наукової організації праці;</w:t>
      </w:r>
    </w:p>
    <w:p w14:paraId="5C2BF28B"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технічний рівень умов праці, автоматизація на підприємстві;</w:t>
      </w:r>
    </w:p>
    <w:p w14:paraId="1D04AC7E"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структура персоналу;</w:t>
      </w:r>
    </w:p>
    <w:p w14:paraId="575A2A20"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рівень кваліфікації, можливість її підвищення та інші.</w:t>
      </w:r>
    </w:p>
    <w:p w14:paraId="390EEAFD"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Fonts w:ascii="Times New Roman" w:hAnsi="Times New Roman" w:cs="Times New Roman"/>
          <w:sz w:val="28"/>
          <w:szCs w:val="28"/>
          <w:lang w:val="uk-UA"/>
        </w:rPr>
        <w:lastRenderedPageBreak/>
        <w:t xml:space="preserve">Розглянувши всі ці фактори в роботі, можемо зробити загальний висновок про ефективність кадрової політики на підприємстві. </w:t>
      </w:r>
      <w:r w:rsidRPr="005F0419">
        <w:rPr>
          <w:rStyle w:val="apple-style-span"/>
          <w:rFonts w:ascii="Times New Roman" w:hAnsi="Times New Roman"/>
          <w:sz w:val="28"/>
          <w:szCs w:val="28"/>
          <w:lang w:val="uk-UA"/>
        </w:rPr>
        <w:t xml:space="preserve">Економічність досягається  за допомогою різноманітних заходів, зокрема створення підрозділів, завданнями яких є надання окремих видів послуг, на яких вони спеціалізуються та підтримання діючої ефективності організації на підприємстві. </w:t>
      </w:r>
    </w:p>
    <w:p w14:paraId="0C59ABD4"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Style w:val="apple-style-span"/>
          <w:rFonts w:ascii="Times New Roman" w:hAnsi="Times New Roman"/>
          <w:sz w:val="28"/>
          <w:szCs w:val="28"/>
          <w:lang w:val="uk-UA"/>
        </w:rPr>
        <w:t xml:space="preserve">Негативним фактором є значна плинність кадрів, яка виражається обігом прийнятих на роботу та звільнених працівників. </w:t>
      </w:r>
      <w:r w:rsidRPr="005F0419">
        <w:rPr>
          <w:rFonts w:ascii="Times New Roman" w:hAnsi="Times New Roman" w:cs="Times New Roman"/>
          <w:sz w:val="28"/>
          <w:szCs w:val="28"/>
          <w:lang w:val="uk-UA"/>
        </w:rPr>
        <w:t>Однією з основних причин плинності кадрів є відставання середньої заробітної плати підприємства від оплати праці в інших установах та від її неможливості забезпечити гідний рівень життя і задовольнити основні потреби в їжі, одязі, житлі через значно вищий, порівняно із доходами, рівень цін. Плинність кадрів пов'язана не тільки з соціальним і побутовим неулаштуванням, а також зі складнощами самореалізації і само</w:t>
      </w:r>
      <w:r w:rsidRPr="005F0419">
        <w:rPr>
          <w:rFonts w:ascii="Times New Roman" w:hAnsi="Times New Roman" w:cs="Times New Roman"/>
          <w:sz w:val="28"/>
          <w:szCs w:val="28"/>
          <w:lang w:val="uk-UA"/>
        </w:rPr>
        <w:softHyphen/>
      </w:r>
      <w:r w:rsidRPr="005F0419">
        <w:rPr>
          <w:rFonts w:ascii="Times New Roman" w:hAnsi="Times New Roman" w:cs="Times New Roman"/>
          <w:sz w:val="28"/>
          <w:szCs w:val="28"/>
          <w:lang w:val="uk-UA"/>
        </w:rPr>
        <w:softHyphen/>
        <w:t>поваги особистості. Тому пробле</w:t>
      </w:r>
      <w:r w:rsidRPr="005F0419">
        <w:rPr>
          <w:rFonts w:ascii="Times New Roman" w:hAnsi="Times New Roman" w:cs="Times New Roman"/>
          <w:sz w:val="28"/>
          <w:szCs w:val="28"/>
          <w:lang w:val="uk-UA"/>
        </w:rPr>
        <w:softHyphen/>
        <w:t>ма підвищення ефективності управління плинністю кадрів на сучасних підприємствах</w:t>
      </w:r>
      <w:r w:rsidRPr="005F0419">
        <w:rPr>
          <w:rStyle w:val="apple-converted-space"/>
          <w:rFonts w:ascii="Times New Roman" w:hAnsi="Times New Roman" w:cs="Times New Roman"/>
          <w:sz w:val="28"/>
          <w:szCs w:val="28"/>
          <w:lang w:val="uk-UA"/>
        </w:rPr>
        <w:t> </w:t>
      </w:r>
      <w:r w:rsidRPr="005F0419">
        <w:rPr>
          <w:rFonts w:ascii="Times New Roman" w:hAnsi="Times New Roman" w:cs="Times New Roman"/>
          <w:sz w:val="28"/>
          <w:szCs w:val="28"/>
          <w:lang w:val="uk-UA"/>
        </w:rPr>
        <w:t xml:space="preserve">стоїть досить гостро. </w:t>
      </w:r>
    </w:p>
    <w:p w14:paraId="6721952B"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t xml:space="preserve">До впровадження позитивних наслідків плинності персоналу належать: </w:t>
      </w:r>
      <w:proofErr w:type="spellStart"/>
      <w:r w:rsidRPr="005F0419">
        <w:rPr>
          <w:rStyle w:val="apple-style-span"/>
          <w:rFonts w:ascii="Times New Roman" w:hAnsi="Times New Roman"/>
          <w:sz w:val="28"/>
          <w:szCs w:val="28"/>
          <w:lang w:val="uk-UA"/>
        </w:rPr>
        <w:t>полiп</w:t>
      </w:r>
      <w:r w:rsidRPr="005F0419">
        <w:rPr>
          <w:rStyle w:val="apple-style-span"/>
          <w:rFonts w:ascii="Times New Roman" w:hAnsi="Times New Roman"/>
          <w:sz w:val="28"/>
          <w:szCs w:val="28"/>
          <w:lang w:val="uk-UA"/>
        </w:rPr>
        <w:softHyphen/>
        <w:t>шення</w:t>
      </w:r>
      <w:proofErr w:type="spellEnd"/>
      <w:r w:rsidRPr="005F0419">
        <w:rPr>
          <w:rStyle w:val="apple-style-span"/>
          <w:rFonts w:ascii="Times New Roman" w:hAnsi="Times New Roman"/>
          <w:sz w:val="28"/>
          <w:szCs w:val="28"/>
          <w:lang w:val="uk-UA"/>
        </w:rPr>
        <w:t xml:space="preserve"> </w:t>
      </w:r>
      <w:proofErr w:type="spellStart"/>
      <w:r w:rsidRPr="005F0419">
        <w:rPr>
          <w:rStyle w:val="apple-style-span"/>
          <w:rFonts w:ascii="Times New Roman" w:hAnsi="Times New Roman"/>
          <w:sz w:val="28"/>
          <w:szCs w:val="28"/>
          <w:lang w:val="uk-UA"/>
        </w:rPr>
        <w:t>соцiально-психологiчного</w:t>
      </w:r>
      <w:proofErr w:type="spellEnd"/>
      <w:r w:rsidRPr="005F0419">
        <w:rPr>
          <w:rStyle w:val="apple-style-span"/>
          <w:rFonts w:ascii="Times New Roman" w:hAnsi="Times New Roman"/>
          <w:sz w:val="28"/>
          <w:szCs w:val="28"/>
          <w:lang w:val="uk-UA"/>
        </w:rPr>
        <w:t xml:space="preserve"> </w:t>
      </w:r>
      <w:proofErr w:type="spellStart"/>
      <w:r w:rsidRPr="005F0419">
        <w:rPr>
          <w:rStyle w:val="apple-style-span"/>
          <w:rFonts w:ascii="Times New Roman" w:hAnsi="Times New Roman"/>
          <w:sz w:val="28"/>
          <w:szCs w:val="28"/>
          <w:lang w:val="uk-UA"/>
        </w:rPr>
        <w:t>клiмату</w:t>
      </w:r>
      <w:proofErr w:type="spellEnd"/>
      <w:r w:rsidRPr="005F0419">
        <w:rPr>
          <w:rStyle w:val="apple-style-span"/>
          <w:rFonts w:ascii="Times New Roman" w:hAnsi="Times New Roman"/>
          <w:sz w:val="28"/>
          <w:szCs w:val="28"/>
          <w:lang w:val="uk-UA"/>
        </w:rPr>
        <w:t xml:space="preserve"> за рахунок </w:t>
      </w:r>
      <w:proofErr w:type="spellStart"/>
      <w:r w:rsidRPr="005F0419">
        <w:rPr>
          <w:rStyle w:val="apple-style-span"/>
          <w:rFonts w:ascii="Times New Roman" w:hAnsi="Times New Roman"/>
          <w:sz w:val="28"/>
          <w:szCs w:val="28"/>
          <w:lang w:val="uk-UA"/>
        </w:rPr>
        <w:t>змiн</w:t>
      </w:r>
      <w:proofErr w:type="spellEnd"/>
      <w:r w:rsidRPr="005F0419">
        <w:rPr>
          <w:rStyle w:val="apple-style-span"/>
          <w:rFonts w:ascii="Times New Roman" w:hAnsi="Times New Roman"/>
          <w:sz w:val="28"/>
          <w:szCs w:val="28"/>
          <w:lang w:val="uk-UA"/>
        </w:rPr>
        <w:t xml:space="preserve"> в трудовому </w:t>
      </w:r>
      <w:proofErr w:type="spellStart"/>
      <w:r w:rsidRPr="005F0419">
        <w:rPr>
          <w:rStyle w:val="apple-style-span"/>
          <w:rFonts w:ascii="Times New Roman" w:hAnsi="Times New Roman"/>
          <w:sz w:val="28"/>
          <w:szCs w:val="28"/>
          <w:lang w:val="uk-UA"/>
        </w:rPr>
        <w:t>колективi</w:t>
      </w:r>
      <w:proofErr w:type="spellEnd"/>
      <w:r w:rsidRPr="005F0419">
        <w:rPr>
          <w:rStyle w:val="apple-style-span"/>
          <w:rFonts w:ascii="Times New Roman" w:hAnsi="Times New Roman"/>
          <w:sz w:val="28"/>
          <w:szCs w:val="28"/>
          <w:lang w:val="uk-UA"/>
        </w:rPr>
        <w:t>, позбавлення аутсайдерів, можливість залучення працівників з новими поглядами та ідеями, вдосконалення складу працівників, підвищення внутрішньої активності та гнучкості тощо.</w:t>
      </w:r>
      <w:r w:rsidRPr="005F0419">
        <w:rPr>
          <w:rStyle w:val="apple-converted-space"/>
          <w:rFonts w:ascii="Times New Roman" w:hAnsi="Times New Roman" w:cs="Times New Roman"/>
          <w:sz w:val="28"/>
          <w:szCs w:val="28"/>
          <w:lang w:val="uk-UA"/>
        </w:rPr>
        <w:t> З</w:t>
      </w:r>
      <w:r w:rsidRPr="005F0419">
        <w:rPr>
          <w:rStyle w:val="apple-style-span"/>
          <w:rFonts w:ascii="Times New Roman" w:hAnsi="Times New Roman"/>
          <w:sz w:val="28"/>
          <w:szCs w:val="28"/>
          <w:lang w:val="uk-UA"/>
        </w:rPr>
        <w:t xml:space="preserve">алишається безліч невирішених питань в сфері стимулювання праці та створення сприятливих умов для подальшої роботи на підприємствах. Тому потрібна розробка ефективної програми стимулювання роботи працівників через заохочення, компенсації та удосконалення психологічного стану роботи в колективах. </w:t>
      </w:r>
    </w:p>
    <w:p w14:paraId="0E647275"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Сучасні умови вимагають від кожного підприємства гнучкої та динамічної системи організації, здатної адекватно реагувати на кон’юнктуру ринку і зміну зовнішнього та внутрішнього середовища, а також вдало обраної системи оплати праці, яка дозволяє не лише ефективно використовувати кошти з фонду оплати праці, а й заохочувати працівників до продуктивної діяльності. Актуальність проблеми зростає на фоні кризи в країні, обумовленої російською військовою агресією. В умовах спаду продажів (укладання договорів страхування), </w:t>
      </w:r>
      <w:r w:rsidRPr="005F0419">
        <w:rPr>
          <w:rFonts w:ascii="Times New Roman" w:hAnsi="Times New Roman" w:cs="Times New Roman"/>
          <w:sz w:val="28"/>
          <w:szCs w:val="28"/>
          <w:lang w:val="uk-UA"/>
        </w:rPr>
        <w:lastRenderedPageBreak/>
        <w:t xml:space="preserve">зменшення чисельності працівників – відбуваються зміни в організації праці та її оплаті. Така ситуація спостерігається на підприємствах різної спеціалізації. </w:t>
      </w:r>
      <w:r w:rsidRPr="005F0419">
        <w:rPr>
          <w:rFonts w:ascii="Times New Roman" w:hAnsi="Times New Roman" w:cs="Times New Roman"/>
          <w:sz w:val="28"/>
          <w:szCs w:val="28"/>
          <w:lang w:val="uk-UA"/>
        </w:rPr>
        <w:tab/>
      </w:r>
    </w:p>
    <w:p w14:paraId="3E87B232"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Ефективність використання робочої сили залежить від багатьох факторів: організаційних (досконалість організації виробництва та праці), соціально-економічних (умови праці, матеріальне та моральне стимулювання), матеріально-технічних (прогресивність техніки і технологій, що застосовуються) тощо. Разом з тим забезпечення ефективності  праці багато в чому залежить від досконалості застосування системи мотивації трудової діяльності працівників. Збільшення вартості робочої сили, податкове навантаження на заробітну плату, заборгованість по заробітній платі –   це далеко не повний перелік проблем оплати праці, з якими роботодавці та робітники стикаються дуже часто, тому удосконалення системи оплати праці є надзвичайно актуальним завданням.</w:t>
      </w:r>
    </w:p>
    <w:p w14:paraId="76CBEAC6"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Праця як ресурс підприємства впливає на усі результативні показники, які забезпечують ефективність діяльності, стійкість підприємства, його конкурентоспроможність. Удосконалення організації оплати праці підвищує її мотивацію, продуктивність та впливає на кінцеві результати роботи. Проте проблема удосконалення полягає у тому,  що зміни в оплаті праці повинні відбуватись на основі нормування праці [16, c. 85].</w:t>
      </w:r>
    </w:p>
    <w:p w14:paraId="07FA9A21"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Вдала обрана система організації оплати праці повинна вирішувати наступні завдання [17, c. 171]: забезпечити роботодавцю досягнення в процесі виробництва та реалізації робіт та послуг оптимального результату, який дозволив би йому після відшкодування витрат отримати прибуток та забезпечити працівнику вчасну оплату праці й гідний життєвий рівень, відповідно до кількості, якості, результатів його праці та вартості відповідних послуг робочої сили на ринку праці даного регіону.</w:t>
      </w:r>
    </w:p>
    <w:p w14:paraId="33F7A28E" w14:textId="1B328205"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 сьогодні </w:t>
      </w:r>
      <w:r>
        <w:rPr>
          <w:rFonts w:ascii="Times New Roman" w:hAnsi="Times New Roman" w:cs="Times New Roman"/>
          <w:sz w:val="28"/>
          <w:szCs w:val="28"/>
          <w:lang w:val="uk-UA"/>
        </w:rPr>
        <w:t>доцільно</w:t>
      </w:r>
      <w:r w:rsidRPr="005F0419">
        <w:rPr>
          <w:rFonts w:ascii="Times New Roman" w:hAnsi="Times New Roman" w:cs="Times New Roman"/>
          <w:sz w:val="28"/>
          <w:szCs w:val="28"/>
          <w:lang w:val="uk-UA"/>
        </w:rPr>
        <w:t xml:space="preserve"> зазначити, що шляхи вирішення питань в системі оплати праці полягають у розробці та затвердженні</w:t>
      </w:r>
      <w:r w:rsidRPr="005F0419">
        <w:rPr>
          <w:rStyle w:val="apple-converted-space"/>
          <w:sz w:val="28"/>
          <w:szCs w:val="28"/>
          <w:lang w:val="uk-UA"/>
        </w:rPr>
        <w:t> </w:t>
      </w:r>
      <w:r w:rsidRPr="005F0419">
        <w:rPr>
          <w:rStyle w:val="a7"/>
          <w:rFonts w:ascii="Times New Roman" w:hAnsi="Times New Roman" w:cs="Times New Roman"/>
          <w:b w:val="0"/>
          <w:sz w:val="28"/>
          <w:szCs w:val="28"/>
          <w:lang w:val="uk-UA"/>
        </w:rPr>
        <w:t xml:space="preserve">науково-обґрунтованої методики визначення оплати праці в залежності від умов, рівня навантаження, відповідальності працівника та </w:t>
      </w:r>
      <w:r w:rsidRPr="005F0419">
        <w:rPr>
          <w:rFonts w:ascii="Times New Roman" w:hAnsi="Times New Roman" w:cs="Times New Roman"/>
          <w:sz w:val="28"/>
          <w:szCs w:val="28"/>
          <w:lang w:val="uk-UA"/>
        </w:rPr>
        <w:t xml:space="preserve">удосконалення нормативно-правової бази щодо оплати праці працівників окремих галузей. Для того, щоб підприємство мало </w:t>
      </w:r>
      <w:r w:rsidRPr="005F0419">
        <w:rPr>
          <w:rFonts w:ascii="Times New Roman" w:hAnsi="Times New Roman" w:cs="Times New Roman"/>
          <w:sz w:val="28"/>
          <w:szCs w:val="28"/>
          <w:lang w:val="uk-UA"/>
        </w:rPr>
        <w:lastRenderedPageBreak/>
        <w:t>можливість збільшувати обсяги своїх робіт, залучати до співпраці нових клієнтів, зайняти стійке положення на ринку послуг країни, необхідно почасти, перш за все, з вдосконалення діючої системи оплати плати, її організації та кадрової політики підприємства. Саме ці питання впливають на ефективність діяльності працівників та всього підприємства в цілому.</w:t>
      </w:r>
    </w:p>
    <w:p w14:paraId="3E23EEC3"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Style w:val="apple-style-span"/>
          <w:rFonts w:ascii="Times New Roman" w:hAnsi="Times New Roman"/>
          <w:sz w:val="28"/>
          <w:szCs w:val="28"/>
          <w:lang w:val="uk-UA"/>
        </w:rPr>
        <w:t>Удосконалення оплати праці на підприємстві, на нашу думку, матиме вищу ефективність за дотримання таких принципів:</w:t>
      </w:r>
      <w:r w:rsidRPr="005F0419">
        <w:rPr>
          <w:rFonts w:ascii="Times New Roman" w:hAnsi="Times New Roman" w:cs="Times New Roman"/>
          <w:sz w:val="28"/>
          <w:szCs w:val="28"/>
          <w:lang w:val="uk-UA"/>
        </w:rPr>
        <w:t xml:space="preserve"> </w:t>
      </w:r>
      <w:r w:rsidRPr="005F0419">
        <w:rPr>
          <w:rStyle w:val="apple-style-span"/>
          <w:rFonts w:ascii="Times New Roman" w:hAnsi="Times New Roman"/>
          <w:sz w:val="28"/>
          <w:szCs w:val="28"/>
          <w:lang w:val="uk-UA"/>
        </w:rPr>
        <w:t>відповідність заробітної плати ціні робочої сили; залежність заробітної плати від кількості і якості праці та від кінцевих результатів роботи підприємства; забезпечення переваг в оплаті праці тим працівникам, які роблять найбільший трудовий внесок у виробничі результати підприємства; відповідальність керівників підприємств за порушення законодавства про оплату праці; поєднання індивідуальних інтересів з колективними (за розвитку колективних форм організації праці).</w:t>
      </w:r>
    </w:p>
    <w:p w14:paraId="038B8C21"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Отже, ситуація на ринку праці, аналіз нарахування заробітних плат, компенсацій і пільг дозволяють:</w:t>
      </w:r>
    </w:p>
    <w:p w14:paraId="1B8B86F0"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розробити економічно обґрунтовану, адекватну завданням підприємництва та привабливу для персоналу систему оплати праці;</w:t>
      </w:r>
    </w:p>
    <w:p w14:paraId="52C45A76"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бути у курсі останніх тенденцій в області оплати праці;</w:t>
      </w:r>
    </w:p>
    <w:p w14:paraId="51CF4053"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оцінити регіони і галузі з точки зору перспективності, наявності і складу трудових ресурсів при плануванні перспективного розвитку;</w:t>
      </w:r>
    </w:p>
    <w:p w14:paraId="16E399BB"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залучити й утримати найбільш цінних фахівців.</w:t>
      </w:r>
    </w:p>
    <w:p w14:paraId="348D4BCA"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Незалежно від ситуації в економіці і на ринку праці, найчастіше українці звільняються через невідповідності зарплатних очікувань і відсутність перспектив кар'єрного зростання. Незалежно від ситуації в економіці і на ринку праці співробітники покидають компанію з двох причин: невідповідність очікувань в оплаті праці (45%) і відсутність перспектив професійного розвитку (42%). При цьому рішення про зміну роботи дуже часто приймалося кандидатами вимушено, через скорочення або згортання бізнесу роботодавця (частка таких працівників в Україні склала 15%). Також на рішення співробітника покинути компанію впливають виконання нецікавих завдань і </w:t>
      </w:r>
      <w:r w:rsidRPr="005F0419">
        <w:rPr>
          <w:rFonts w:ascii="Times New Roman" w:hAnsi="Times New Roman" w:cs="Times New Roman"/>
          <w:sz w:val="28"/>
          <w:szCs w:val="28"/>
          <w:lang w:val="uk-UA"/>
        </w:rPr>
        <w:lastRenderedPageBreak/>
        <w:t>функцій, бажання поміняти сферу/галузь, несприятлива атмосфера в колективі, нестабільне становище компанії на ринку і постійні переробки. Аналітичні дані гарантують здатність підприємства залучити та утримати талановитих людей, в яких є потреба на підприємстві [18].</w:t>
      </w:r>
    </w:p>
    <w:p w14:paraId="2BA14858"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Використання даних про ринкові рівні оплати праці дозволяють:</w:t>
      </w:r>
    </w:p>
    <w:p w14:paraId="65612824"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розробити  критерії та визначити розмірив доплат за окремі досягнення робітників та спеціалістів підприємства;</w:t>
      </w:r>
    </w:p>
    <w:p w14:paraId="5B4DD48E"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розробити систему посадових окладів спеціалістів та службовців;</w:t>
      </w:r>
    </w:p>
    <w:p w14:paraId="53E01F81"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обґрунтувати показники та системи преміювання співробітників;</w:t>
      </w:r>
    </w:p>
    <w:p w14:paraId="5825827C"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визначити обсяг гарантій і компенсацій;</w:t>
      </w:r>
    </w:p>
    <w:p w14:paraId="320BBB18"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Необхідно запровадити на підприємстві наступні аналітичні звіти:</w:t>
      </w:r>
    </w:p>
    <w:p w14:paraId="07155EB7"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порівняння рівнів оплати праці по посадах з ненормованим робочим днем;</w:t>
      </w:r>
    </w:p>
    <w:p w14:paraId="59DF4189"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порівняння рівнів оплати праці по посадах з нормованим робочим днем;</w:t>
      </w:r>
    </w:p>
    <w:p w14:paraId="64E2014E"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порівняння рівнів оплати праці по різних посадах працівників;</w:t>
      </w:r>
    </w:p>
    <w:p w14:paraId="4D58F3B0"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порівняння рівнів гарантій і компенсацій, які надаються працівникам підприємства;</w:t>
      </w:r>
    </w:p>
    <w:p w14:paraId="6889856C"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порівняння темпів збільшення окладів працівників.</w:t>
      </w:r>
    </w:p>
    <w:p w14:paraId="7ED05BF1"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того, щоб отримати необхідну інформацію для визначення ефективності системи оплати праці по результатах даних аналітичних звітів, проаналізувати також національні, регіональні, місцеві ринки праці, що прив’язані до певної галузі.</w:t>
      </w:r>
    </w:p>
    <w:p w14:paraId="1A643958"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 підприємствах необхідно створити нову модель управління працею, адже задоволення потреб людей відбувається тоді, коли вони в обмін на свою працю отримують гідну заробітну плату. Відчуття керівника, що працівник одержує забагато або його внесок не відповідає зарплаті, часто призводить до непродуманих змін у системі оплати праці. Вирішити проблему можна лише за умови, що схема оплати праці для  кожного працівника буде правильно складена на початковому етапі. Але роботодавця можна зрозуміти, тому що заробітна плата працівників є однією з найбільших статей витрат.</w:t>
      </w:r>
    </w:p>
    <w:p w14:paraId="11F8A423"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Визначення порядку формування і використання коштів справедливої оплати праці повинне бути зрозумілим, а це можливо лише тоді, коли працівник одержує високу заробітну плату, приносячи достатній дохід для свого підприємства. Для цього потрібно використовувати такий інструмент аналізу і контролю управління працею, щоб керівник був впевнений, що він віддає не більше, ніж одержує. Винагорода за працю безпосередньо повинна залежати від результатів усього колективу. Це ліквідує проблеми для керівника при розподілі фонду оплати праці та премій. Аналіз і контроль за коштами на оплату праці на підприємстві необхідно розглядати з позиції створення нової системи, яка повинна бути розроблена для мотивації праці персоналу підприємства. У такому випадку зарплата всіх працівників (від продавця до директора) </w:t>
      </w:r>
      <w:proofErr w:type="spellStart"/>
      <w:r w:rsidRPr="005F0419">
        <w:rPr>
          <w:rFonts w:ascii="Times New Roman" w:hAnsi="Times New Roman" w:cs="Times New Roman"/>
          <w:sz w:val="28"/>
          <w:szCs w:val="28"/>
          <w:lang w:val="uk-UA"/>
        </w:rPr>
        <w:t>залежатиме</w:t>
      </w:r>
      <w:proofErr w:type="spellEnd"/>
      <w:r w:rsidRPr="005F0419">
        <w:rPr>
          <w:rFonts w:ascii="Times New Roman" w:hAnsi="Times New Roman" w:cs="Times New Roman"/>
          <w:sz w:val="28"/>
          <w:szCs w:val="28"/>
          <w:lang w:val="uk-UA"/>
        </w:rPr>
        <w:t xml:space="preserve"> від кінцевих результатів і прибутку підприємства. Для цього необхідно удосконалити системи преміювання, а також створити органи внутрішнього контролю та аудиту.</w:t>
      </w:r>
    </w:p>
    <w:p w14:paraId="0ABD8AEA"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t>Головними завданнями системи внутрішнього контролю є: досягнення стабільного і ефективного функціонування підприємства, дотримання внутрішньогосподарської політики, збереження та раціональне використання активів підприємства, запобігання та викриття фальсифікацій, помилок, точність і повнота бухгалтерських записів, своєчасна підготовка надійної фінансової інформації.</w:t>
      </w:r>
    </w:p>
    <w:p w14:paraId="2486EF54"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t>Внутрішній контроль за функціонуванням системи обліку на підприємстві забезпечує:</w:t>
      </w:r>
    </w:p>
    <w:p w14:paraId="67982575"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наявність дозволу на проведення облікових операцій, які мають здійснюватися відповідно до розпорядження керівництва;</w:t>
      </w:r>
    </w:p>
    <w:p w14:paraId="52E1DF55"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 відображення всіх облікових операцій у вигляді точних підсумкових показників на відповідних рахунках обліку і у відповідний час, що дає можливість спеціалістам підготувати фінансову звітність згідно зі встановленими вимогами щодо її подання;</w:t>
      </w:r>
    </w:p>
    <w:p w14:paraId="3E4193F3"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 доступ до облікових записів по активах підприємства тільки після дозволу керівництва;</w:t>
      </w:r>
    </w:p>
    <w:p w14:paraId="74D5A379"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4) систему обліку, що передбачає порядок порівняння відображених в обліку активів з активами, які є у наявності, через певні інтервали часу, і по всіх існуючих розбіжностях вживати необхідних та своєчасних заходів щодо їх усунення.</w:t>
      </w:r>
    </w:p>
    <w:p w14:paraId="42ED3CC3"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Система і зміст внутрішнього контролю, порядок його розробки істотно залежать </w:t>
      </w:r>
      <w:r w:rsidRPr="005F0419">
        <w:rPr>
          <w:rFonts w:ascii="Times New Roman" w:hAnsi="Times New Roman" w:cs="Times New Roman"/>
          <w:bCs/>
          <w:sz w:val="28"/>
          <w:szCs w:val="28"/>
          <w:lang w:val="uk-UA"/>
        </w:rPr>
        <w:t xml:space="preserve">від </w:t>
      </w:r>
      <w:r w:rsidRPr="005F0419">
        <w:rPr>
          <w:rFonts w:ascii="Times New Roman" w:hAnsi="Times New Roman" w:cs="Times New Roman"/>
          <w:sz w:val="28"/>
          <w:szCs w:val="28"/>
          <w:lang w:val="uk-UA"/>
        </w:rPr>
        <w:t xml:space="preserve">вибраної форми внутрішнього економічного механізму, передусім від ступеня економічної самостійності підрозділів. </w:t>
      </w:r>
    </w:p>
    <w:p w14:paraId="2240DC95" w14:textId="77777777" w:rsidR="005F0419" w:rsidRPr="005F0419" w:rsidRDefault="005F0419" w:rsidP="005F0419">
      <w:pPr>
        <w:spacing w:after="0" w:line="360" w:lineRule="auto"/>
        <w:ind w:firstLine="720"/>
        <w:jc w:val="both"/>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t>Організаційна система внутрішнього економічного контролю має мати наступну структуру: у системі управляння повинні бути підсистеми які управляють та якими управляють. До підсистем, які управляють належать: процес кадрового забезпечення, процес нормативно-правового забезпечення, процес інформаційно-комунікаційного забезпечення, процес матеріально-технічного забезпечення тощо. Внутрішній економічний контроль підприємства може бути реалізований як в формі системи контрольних функцій системи управління підприємством,  так і в формі автономної системи,  предметом діяльності якої є перевірка,  оцінювання та моніторинг показників результативності та дієвості її об’єктів, з єдиним центром відповідальності за достовірність та своєчасність надання контрольної інформації її керівнику.</w:t>
      </w:r>
    </w:p>
    <w:p w14:paraId="2D5B0E81"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розвинених країнах сформувалася закінчена концепція «гуманізації праці». Її представники стверджують, що за умов інформаційного суспільства змінюється ставлення до праці. Відтак слід відмовлятись від традиційних форм організації, дбати про виробничі умови, оскільки результати праці робітника безпосередньо залежать від задоволення самою працею та її умовами. Отримуючи задоволення від роботи, людина ліпше працює, не потребує постійного контролю, забезпечує самоврядування. Саме тому на підприємстві важливо розробити ефективну схему мотивації працівників, яка не може бути дійовою без застосування сучасних форм і методів матеріального стимулювання персоналу.</w:t>
      </w:r>
    </w:p>
    <w:p w14:paraId="1948448E"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Велика роль у практиці менеджменту персона</w:t>
      </w:r>
      <w:r w:rsidRPr="005F0419">
        <w:rPr>
          <w:rFonts w:ascii="Times New Roman" w:hAnsi="Times New Roman" w:cs="Times New Roman"/>
          <w:sz w:val="28"/>
          <w:szCs w:val="28"/>
          <w:lang w:val="uk-UA"/>
        </w:rPr>
        <w:softHyphen/>
        <w:t>лу належить і статусній мотивації. Остання є внут</w:t>
      </w:r>
      <w:r w:rsidRPr="005F0419">
        <w:rPr>
          <w:rFonts w:ascii="Times New Roman" w:hAnsi="Times New Roman" w:cs="Times New Roman"/>
          <w:sz w:val="28"/>
          <w:szCs w:val="28"/>
          <w:lang w:val="uk-UA"/>
        </w:rPr>
        <w:softHyphen/>
        <w:t xml:space="preserve">рішньою рушійною силою поведінки, пов'язаної з </w:t>
      </w:r>
      <w:r w:rsidRPr="005F0419">
        <w:rPr>
          <w:rFonts w:ascii="Times New Roman" w:hAnsi="Times New Roman" w:cs="Times New Roman"/>
          <w:sz w:val="28"/>
          <w:szCs w:val="28"/>
          <w:lang w:val="uk-UA"/>
        </w:rPr>
        <w:lastRenderedPageBreak/>
        <w:t>прагненням людини посісти вищу посаду, викону</w:t>
      </w:r>
      <w:r w:rsidRPr="005F0419">
        <w:rPr>
          <w:rFonts w:ascii="Times New Roman" w:hAnsi="Times New Roman" w:cs="Times New Roman"/>
          <w:sz w:val="28"/>
          <w:szCs w:val="28"/>
          <w:lang w:val="uk-UA"/>
        </w:rPr>
        <w:softHyphen/>
        <w:t>вати складнішу, відповідальнішу роботу, працю</w:t>
      </w:r>
      <w:r w:rsidRPr="005F0419">
        <w:rPr>
          <w:rFonts w:ascii="Times New Roman" w:hAnsi="Times New Roman" w:cs="Times New Roman"/>
          <w:sz w:val="28"/>
          <w:szCs w:val="28"/>
          <w:lang w:val="uk-UA"/>
        </w:rPr>
        <w:softHyphen/>
        <w:t>вати в сфері діяльності (організації), яка вважаєть</w:t>
      </w:r>
      <w:r w:rsidRPr="005F0419">
        <w:rPr>
          <w:rFonts w:ascii="Times New Roman" w:hAnsi="Times New Roman" w:cs="Times New Roman"/>
          <w:sz w:val="28"/>
          <w:szCs w:val="28"/>
          <w:lang w:val="uk-UA"/>
        </w:rPr>
        <w:softHyphen/>
        <w:t>ся престижною, суспільне значущою. Підтекстом статусної мо</w:t>
      </w:r>
      <w:r w:rsidRPr="005F0419">
        <w:rPr>
          <w:rFonts w:ascii="Times New Roman" w:hAnsi="Times New Roman" w:cs="Times New Roman"/>
          <w:sz w:val="28"/>
          <w:szCs w:val="28"/>
          <w:lang w:val="uk-UA"/>
        </w:rPr>
        <w:softHyphen/>
        <w:t>тивації часто виступає прагнення людини бути визнаним фахівцем своєї справи, неофіційним ліде</w:t>
      </w:r>
      <w:r w:rsidRPr="005F0419">
        <w:rPr>
          <w:rFonts w:ascii="Times New Roman" w:hAnsi="Times New Roman" w:cs="Times New Roman"/>
          <w:sz w:val="28"/>
          <w:szCs w:val="28"/>
          <w:lang w:val="uk-UA"/>
        </w:rPr>
        <w:softHyphen/>
        <w:t>ром, користуватись авторитетом [19].</w:t>
      </w:r>
    </w:p>
    <w:p w14:paraId="047ABF53"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Через </w:t>
      </w:r>
      <w:r w:rsidRPr="005F0419">
        <w:rPr>
          <w:rStyle w:val="apple-converted-space"/>
          <w:sz w:val="28"/>
          <w:szCs w:val="28"/>
          <w:lang w:val="uk-UA"/>
        </w:rPr>
        <w:t> </w:t>
      </w:r>
      <w:r w:rsidRPr="005F0419">
        <w:rPr>
          <w:rFonts w:ascii="Times New Roman" w:hAnsi="Times New Roman" w:cs="Times New Roman"/>
          <w:sz w:val="28"/>
          <w:szCs w:val="28"/>
          <w:lang w:val="uk-UA"/>
        </w:rPr>
        <w:t>використання творчих можливостей, сприяння інноваціям, оновлення організації та заохочення ініціативи працівників мотивація не може бути</w:t>
      </w:r>
      <w:r w:rsidRPr="005F0419">
        <w:rPr>
          <w:rStyle w:val="apple-converted-space"/>
          <w:sz w:val="28"/>
          <w:szCs w:val="28"/>
          <w:lang w:val="uk-UA"/>
        </w:rPr>
        <w:t> </w:t>
      </w:r>
      <w:r w:rsidRPr="005F0419">
        <w:rPr>
          <w:rFonts w:ascii="Times New Roman" w:hAnsi="Times New Roman" w:cs="Times New Roman"/>
          <w:sz w:val="28"/>
          <w:szCs w:val="28"/>
          <w:lang w:val="uk-UA"/>
        </w:rPr>
        <w:t> досягнута без солідарності і вимагає повного залучення всього персоналу. Вона стосується всіх функцій і кожної особистості в організаціях усіх секторів економіки. Тому для того щоб мотиваційний процес був керова</w:t>
      </w:r>
      <w:r w:rsidRPr="005F0419">
        <w:rPr>
          <w:rFonts w:ascii="Times New Roman" w:hAnsi="Times New Roman" w:cs="Times New Roman"/>
          <w:sz w:val="28"/>
          <w:szCs w:val="28"/>
          <w:lang w:val="uk-UA"/>
        </w:rPr>
        <w:softHyphen/>
        <w:t>ним, необхідно створити певні передумови:</w:t>
      </w:r>
    </w:p>
    <w:p w14:paraId="740A8E6B"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треба мати повну достовірну інформацію про об'єкт управління;</w:t>
      </w:r>
    </w:p>
    <w:p w14:paraId="540692B6"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w:t>
      </w:r>
      <w:r w:rsidRPr="005F0419">
        <w:rPr>
          <w:rStyle w:val="apple-converted-space"/>
          <w:sz w:val="28"/>
          <w:szCs w:val="28"/>
          <w:lang w:val="uk-UA"/>
        </w:rPr>
        <w:t> </w:t>
      </w:r>
      <w:r w:rsidRPr="005F0419">
        <w:rPr>
          <w:rFonts w:ascii="Times New Roman" w:hAnsi="Times New Roman" w:cs="Times New Roman"/>
          <w:sz w:val="28"/>
          <w:szCs w:val="28"/>
          <w:lang w:val="uk-UA"/>
        </w:rPr>
        <w:t>постійно мати уявлення про стан і динаміку мотиваційної спрямованості персоналу;</w:t>
      </w:r>
    </w:p>
    <w:p w14:paraId="1B372311"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 ретельно стежити за соціально-економічни</w:t>
      </w:r>
      <w:r w:rsidRPr="005F0419">
        <w:rPr>
          <w:rFonts w:ascii="Times New Roman" w:hAnsi="Times New Roman" w:cs="Times New Roman"/>
          <w:sz w:val="28"/>
          <w:szCs w:val="28"/>
          <w:lang w:val="uk-UA"/>
        </w:rPr>
        <w:softHyphen/>
        <w:t>ми наслідками управлінських рішень і вміти</w:t>
      </w:r>
      <w:r w:rsidRPr="005F0419">
        <w:rPr>
          <w:rStyle w:val="apple-converted-space"/>
          <w:sz w:val="28"/>
          <w:szCs w:val="28"/>
          <w:lang w:val="uk-UA"/>
        </w:rPr>
        <w:t> </w:t>
      </w:r>
      <w:r w:rsidRPr="005F0419">
        <w:rPr>
          <w:rFonts w:ascii="Times New Roman" w:hAnsi="Times New Roman" w:cs="Times New Roman"/>
          <w:sz w:val="28"/>
          <w:szCs w:val="28"/>
          <w:lang w:val="uk-UA"/>
        </w:rPr>
        <w:t> їх прогнозувати.</w:t>
      </w:r>
    </w:p>
    <w:p w14:paraId="2D48F993"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Мотив праці формується, якщо в розпорядку суб'єкта управління є потрібний набір цінностей, що відповідає соціальне обумовленим потребам людини; для одержання цих цінностей потрібні трудові зусилля працівника; трудова діяльність дозволяє працівнику одержати ці цінності з меншими матеріальними і моральними витратами, ніж інші види діяльності.</w:t>
      </w:r>
    </w:p>
    <w:p w14:paraId="639B514B"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Люди свідомо оцінюють можливі варіанти поведінки, намагаються вибрати короткий шлях до бажаного результату. Сила мотиву визначається мірою актуальності тієї чи іншої потреби для працівника. Чим більша потреба в певному виді благ, тим сильніше бажання її задовольнити, тим активніше діє людина. Особливістю мотивів праці є їх направленість «на себе» і «на інших».</w:t>
      </w:r>
    </w:p>
    <w:p w14:paraId="588AA2BB"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Мотиви праці різноманітні. Вони відрізняються за:</w:t>
      </w:r>
    </w:p>
    <w:p w14:paraId="5991BCC5"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потребами, які людина хоче задовольнити своєю трудовою діяльністю;</w:t>
      </w:r>
    </w:p>
    <w:p w14:paraId="4703AD6E"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цінностями, які потрібні людині для задоволення своїх потреб;</w:t>
      </w:r>
    </w:p>
    <w:p w14:paraId="732122F5"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ціною, яку працівник готовий заплатити за свої потреби.</w:t>
      </w:r>
    </w:p>
    <w:p w14:paraId="59471494"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Загальне в них завжди тільки те, що задоволення потреб, одержання бажаних цінностей обов'язково пов'язано з трудовою діяльністю.</w:t>
      </w:r>
    </w:p>
    <w:p w14:paraId="16ED4A1C"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Мотивація і стимулювання як методи управління працею є протилежними за напрямками: перший направлений на зміну існуючого стану, другий – на його закріплення, проте вони доповнюють один одного. Стимулювання повинно відповідати потребам, інтересам і здібностям працівника та передбачає створення умов, при яких активна трудова діяльність дає певні, раніше зафіксовані результати, стає необхідною і достатньою умовою задоволення значних і соціальне обумовлених потреб працівника, формування у нього мотивів до праці.</w:t>
      </w:r>
    </w:p>
    <w:p w14:paraId="2840CD92"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Рівень оплати праці повинен бути узгодженим з її результатами. Працівникам повинна бути надана гарантія зайнятості та створені умови для безпечної та ефективної роботи. На підприємстві обов’язково мають бути створені умови для професійного росту, а також сприятлива соціальна атмосфера. Необхідно стежити за виникненням бар’єрів між працівниками і своєчасно їх ліквідовувати. </w:t>
      </w:r>
    </w:p>
    <w:p w14:paraId="591B12C2"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pacing w:val="-5"/>
          <w:sz w:val="28"/>
          <w:szCs w:val="28"/>
          <w:lang w:val="uk-UA"/>
        </w:rPr>
        <w:t>Сам механізм стимулювання полягає в тому, що фактичні витрати в поточному періоді порівнюються з нормативом, встановленим в базовому періоді. Зекономлені колективом в результаті раціонального використання сировини і матеріалів або зростання продуктивності праці працівників кошти розподіляються у визначеній пропорції на фонд заохочення і фонд розвитку підприємства.</w:t>
      </w:r>
    </w:p>
    <w:p w14:paraId="7EAB8992"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pacing w:val="-5"/>
          <w:sz w:val="28"/>
          <w:szCs w:val="28"/>
          <w:lang w:val="uk-UA"/>
        </w:rPr>
        <w:t>Фонд заохочення зазвичай складається з двох частин. Одна частина використовується на поточне преміювання, друга – направляється в резервний фонд для преміювання персоналу в період </w:t>
      </w:r>
      <w:r w:rsidRPr="005F0419">
        <w:rPr>
          <w:rStyle w:val="apple-converted-space"/>
          <w:spacing w:val="-5"/>
          <w:sz w:val="28"/>
          <w:szCs w:val="28"/>
          <w:lang w:val="uk-UA"/>
        </w:rPr>
        <w:t> </w:t>
      </w:r>
      <w:r w:rsidRPr="005F0419">
        <w:rPr>
          <w:rFonts w:ascii="Times New Roman" w:hAnsi="Times New Roman" w:cs="Times New Roman"/>
          <w:spacing w:val="-5"/>
          <w:sz w:val="28"/>
          <w:szCs w:val="28"/>
          <w:lang w:val="uk-UA"/>
        </w:rPr>
        <w:t>несприятливої ситуації. Фонд преміювання розподіляється між робітниками в залежності від їх основної заробітної плати.</w:t>
      </w:r>
    </w:p>
    <w:p w14:paraId="15C991DD"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Основні напрями матеріального стимулювання відбуваються через пряме підвищення заробітної плати; через суто соціальний характер; пов’язані з управлінською чи виробничою діяльністю; направлені на ефективну діяльність підприємства.</w:t>
      </w:r>
    </w:p>
    <w:p w14:paraId="70ED8D72"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При цьому, кожен з цих напрямів використовує свої показники:</w:t>
      </w:r>
    </w:p>
    <w:p w14:paraId="64583729"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оцінка особистих якостей працівника, система доплат та надбавок;</w:t>
      </w:r>
    </w:p>
    <w:p w14:paraId="27491DB3"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система соціальних та заохочувальних виплат і компенсацій, система участі працівників у прибутках та акціонерному капіталі;</w:t>
      </w:r>
    </w:p>
    <w:p w14:paraId="3B0534E5"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оцінка індивідуальної виробничої та управлінської діяльності працівників, розвиток технічного потенціалу підприємства, підвищення ефективності виробництва та надання послуг;</w:t>
      </w:r>
    </w:p>
    <w:p w14:paraId="51CAF900"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система преміювання за прискорену роботу, економію часу, якість наданих послуг та інше.</w:t>
      </w:r>
    </w:p>
    <w:p w14:paraId="72BF5D99"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покращення умов праці пропонується вживання наступних видів нематеріального стимулювання:</w:t>
      </w:r>
    </w:p>
    <w:p w14:paraId="3276A64D"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Навчання (тренінги, програми підвищення кваліфікації).</w:t>
      </w:r>
    </w:p>
    <w:p w14:paraId="0CD6AB39"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Тренінг – відмінний спосіб формування і розвитку компетенцій, умінь і навиків. Будучи практичним способом навчання і при цьому використовуючи багатий потенціал групової динаміки, тренінг дозволяє в короткі терміни значно просунутися по шляху професійного зростання. Ситуація тренінгу неминуче і природним чином активізує та розширює комунікативні здібності і можливості людини. Всі ці фактори дуже позитивно вплинуть на роботу на підприємстві. Підвищення кваліфікації дозволяє продуктивніше використовувати освітній і трудовий потенціал працівника, підвищити рівень його задоволеності роботою, професією та тим самим знизити на підприємстві плинність кадрів.</w:t>
      </w:r>
    </w:p>
    <w:p w14:paraId="2273559E"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 Можливість самореалізації та творчості (зміст роботи, що дозволяє виходити за певні обмеження). Це дасть можливість працівникам підприємства втілити їхні творчі потенціали, навчитися самостійності та відповідальності за прийняті заходи і рішення.</w:t>
      </w:r>
    </w:p>
    <w:p w14:paraId="3DA852CF"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 Стабільність і престиж. Репутація і популярність самої компанії відіграє також значну психологічну роль. Кожному працівнику підприємства необхідно живитися успіхом. І тому дуже важливо, щоб працівники всередині чули про досягнення компанії.</w:t>
      </w:r>
    </w:p>
    <w:p w14:paraId="7D7DA2D1"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4. Фіксація досягнень (особиста увага та заохочення з боку керівництва).</w:t>
      </w:r>
    </w:p>
    <w:p w14:paraId="57DC210A"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Необхідно ввести матеріальне заохочення працівників, адже воно відіграє дуже важливу роль у стимулюванні праці. Крім цього, доречно надавати відзнаки за особисті досягнення. Такого виду заохочення створюють на підприємстві більш сприятливий психологічний клімат, показують важливість і значення кожного працівника.</w:t>
      </w:r>
    </w:p>
    <w:p w14:paraId="32EC52E0"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5. Умови праці (робоче місце, організація простору тощо). Необхідно дуже уважно стежити за санітарно-гігієнічними, психофізіологічними, естетичними і соціальними факторами на підприємстві, оскільки вони визначають стан виробничого середовища та впливають на здоров'я і працездатність людини.</w:t>
      </w:r>
    </w:p>
    <w:p w14:paraId="2F3437D6"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6. Участь у прийнятті рішень (почуття причетності самого працівника до вироблення рішень, наприклад опитування, «голосування» та ін.). Необхідно проводити такі опитування, щоб думки робітників також приймалися до уваги при прийнятті рішень на підприємстві. Це дасть можливість виявити найбільш проблемні питання і ефективно їх вирішити.</w:t>
      </w:r>
    </w:p>
    <w:p w14:paraId="014EEC21"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7. Стиль керівництва (атмосфера в кабінеті керівника, стиль проведення нарад, манера спілкування управлінця з підлеглими) – створює загальну ситуацію спілкування на підприємстві. Мотивація людей відбувається на основі складної сукупності психологічних факторів, серед яких, безперечно, відношення між керівництвом і підлеглими. Тому необхідно приділяти цьому питанню багато уваги. Стійкі та тривалі взаємостосунки з колективом підвищують ефективність організації управління.</w:t>
      </w:r>
    </w:p>
    <w:p w14:paraId="4BC56A3B" w14:textId="77777777"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8. Соціальні контакти – необхідно проводити спеціальні зустрічі для спілкування, сумісні тренінги, створювати неформальні групи, які формують складніші і стійкіші соціальні зв’язки.</w:t>
      </w:r>
    </w:p>
    <w:p w14:paraId="6F8934C5" w14:textId="7BB2AECA" w:rsidR="005F0419" w:rsidRPr="005F0419" w:rsidRDefault="005F0419" w:rsidP="005F0419">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9. Створення HR-відділу для вивчення стану і динаміки мотиваційної спрямованості персоналу. Ретельний контроль за соціально-економічними наслідками управлінських рішень дає можливість їх прогнозування та оцінки ефективності стимулювання працівників.</w:t>
      </w:r>
      <w:r>
        <w:rPr>
          <w:rFonts w:ascii="Times New Roman" w:hAnsi="Times New Roman" w:cs="Times New Roman"/>
          <w:sz w:val="28"/>
          <w:szCs w:val="28"/>
          <w:lang w:val="uk-UA"/>
        </w:rPr>
        <w:t xml:space="preserve"> </w:t>
      </w:r>
    </w:p>
    <w:p w14:paraId="7DBA5EFA" w14:textId="77777777" w:rsidR="005F0419" w:rsidRPr="005F0419" w:rsidRDefault="005F0419" w:rsidP="005F0419">
      <w:pPr>
        <w:pStyle w:val="a9"/>
        <w:spacing w:before="0" w:beforeAutospacing="0" w:after="0" w:afterAutospacing="0" w:line="360" w:lineRule="auto"/>
        <w:ind w:firstLine="720"/>
        <w:jc w:val="both"/>
        <w:rPr>
          <w:rStyle w:val="a7"/>
          <w:b w:val="0"/>
          <w:bCs w:val="0"/>
          <w:sz w:val="28"/>
          <w:szCs w:val="28"/>
          <w:lang w:val="uk-UA"/>
        </w:rPr>
      </w:pPr>
      <w:r w:rsidRPr="005F0419">
        <w:rPr>
          <w:rStyle w:val="a7"/>
          <w:b w:val="0"/>
          <w:bCs w:val="0"/>
          <w:sz w:val="28"/>
          <w:szCs w:val="28"/>
          <w:lang w:val="uk-UA"/>
        </w:rPr>
        <w:lastRenderedPageBreak/>
        <w:t>Отже, базуючись на проведеному дослідженні, можна зробити висновок, що загальними принципами вдосконалення системи та організації оплати праці на підприємстві повинні бути:</w:t>
      </w:r>
    </w:p>
    <w:p w14:paraId="71DA8EEF" w14:textId="77777777" w:rsidR="005F0419" w:rsidRPr="005F0419" w:rsidRDefault="005F0419" w:rsidP="005F0419">
      <w:pPr>
        <w:pStyle w:val="a9"/>
        <w:spacing w:before="0" w:beforeAutospacing="0" w:after="0" w:afterAutospacing="0" w:line="360" w:lineRule="auto"/>
        <w:ind w:firstLine="720"/>
        <w:jc w:val="both"/>
        <w:rPr>
          <w:rStyle w:val="a7"/>
          <w:b w:val="0"/>
          <w:bCs w:val="0"/>
          <w:sz w:val="28"/>
          <w:szCs w:val="28"/>
          <w:lang w:val="uk-UA"/>
        </w:rPr>
      </w:pPr>
      <w:r w:rsidRPr="005F0419">
        <w:rPr>
          <w:rStyle w:val="a7"/>
          <w:b w:val="0"/>
          <w:bCs w:val="0"/>
          <w:sz w:val="28"/>
          <w:szCs w:val="28"/>
          <w:lang w:val="uk-UA"/>
        </w:rPr>
        <w:t>- вдосконалення програмного забезпечення для більш ефективного та швидкого обміну інформації та її обробки;</w:t>
      </w:r>
    </w:p>
    <w:p w14:paraId="68AA593D" w14:textId="77777777" w:rsidR="005F0419" w:rsidRPr="005F0419" w:rsidRDefault="005F0419" w:rsidP="005F0419">
      <w:pPr>
        <w:pStyle w:val="a9"/>
        <w:spacing w:before="0" w:beforeAutospacing="0" w:after="0" w:afterAutospacing="0" w:line="360" w:lineRule="auto"/>
        <w:ind w:firstLine="720"/>
        <w:jc w:val="both"/>
        <w:rPr>
          <w:sz w:val="28"/>
          <w:szCs w:val="28"/>
          <w:lang w:val="uk-UA"/>
        </w:rPr>
      </w:pPr>
      <w:r w:rsidRPr="005F0419">
        <w:rPr>
          <w:rStyle w:val="a7"/>
          <w:b w:val="0"/>
          <w:bCs w:val="0"/>
          <w:sz w:val="28"/>
          <w:szCs w:val="28"/>
          <w:lang w:val="uk-UA"/>
        </w:rPr>
        <w:t xml:space="preserve">- впровадження системи </w:t>
      </w:r>
      <w:r w:rsidRPr="005F0419">
        <w:rPr>
          <w:sz w:val="28"/>
          <w:szCs w:val="28"/>
          <w:lang w:val="uk-UA"/>
        </w:rPr>
        <w:t>аналізу рівнів заробітної плати на підприємстві для можливості складання порівняльних аналітичних звітів та їх подальшого використання для удосконалення системи оплати праці;</w:t>
      </w:r>
    </w:p>
    <w:p w14:paraId="6A2E6115" w14:textId="77777777" w:rsidR="005F0419" w:rsidRPr="005F0419" w:rsidRDefault="005F0419" w:rsidP="005F0419">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 підвищення ефективності діяльності кадрової політики щодо компетентності та кваліфікації працівників (вдосконалення посадових інструкцій, раціональний поділ кадрів, посадова ротація тощо); </w:t>
      </w:r>
    </w:p>
    <w:p w14:paraId="104F605D" w14:textId="77777777" w:rsidR="005F0419" w:rsidRPr="005F0419" w:rsidRDefault="005F0419" w:rsidP="005F0419">
      <w:pPr>
        <w:pStyle w:val="a9"/>
        <w:spacing w:before="0" w:beforeAutospacing="0" w:after="0" w:afterAutospacing="0" w:line="360" w:lineRule="auto"/>
        <w:ind w:firstLine="720"/>
        <w:jc w:val="both"/>
        <w:rPr>
          <w:sz w:val="28"/>
          <w:szCs w:val="28"/>
          <w:lang w:val="uk-UA"/>
        </w:rPr>
      </w:pPr>
      <w:r w:rsidRPr="005F0419">
        <w:rPr>
          <w:sz w:val="28"/>
          <w:szCs w:val="28"/>
          <w:lang w:val="uk-UA"/>
        </w:rPr>
        <w:t>- системи мотиваційного стимулювання працівників повинні бути конкурентоздатними відносно інших компаній, з якими дана організація веде боротьбу за цінні кадри та положення на ринку;</w:t>
      </w:r>
    </w:p>
    <w:p w14:paraId="50307B51" w14:textId="77777777" w:rsidR="005F0419" w:rsidRPr="005F0419" w:rsidRDefault="005F0419" w:rsidP="005F0419">
      <w:pPr>
        <w:pStyle w:val="a9"/>
        <w:spacing w:before="0" w:beforeAutospacing="0" w:after="0" w:afterAutospacing="0" w:line="360" w:lineRule="auto"/>
        <w:ind w:firstLine="720"/>
        <w:jc w:val="both"/>
        <w:rPr>
          <w:sz w:val="28"/>
          <w:szCs w:val="28"/>
          <w:lang w:val="uk-UA"/>
        </w:rPr>
      </w:pPr>
      <w:r w:rsidRPr="005F0419">
        <w:rPr>
          <w:sz w:val="28"/>
          <w:szCs w:val="28"/>
          <w:lang w:val="uk-UA"/>
        </w:rPr>
        <w:t>- змінну частину прибутку треба використовувати для гнучкого реагування по результатах ділової активності в управлінні, тобто премії і додаткові виплати мають зростати по мірі підвищення рангу керівника;</w:t>
      </w:r>
    </w:p>
    <w:p w14:paraId="6EF7C0B8" w14:textId="77777777" w:rsidR="005F0419" w:rsidRPr="005F0419" w:rsidRDefault="005F0419" w:rsidP="005F0419">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 створення спеціальної служби внутрішнього контролю та аудиту (це дасть змогу контролювати ефективність та відповідність </w:t>
      </w:r>
      <w:r w:rsidRPr="005F0419">
        <w:rPr>
          <w:rStyle w:val="apple-style-span"/>
          <w:sz w:val="28"/>
          <w:szCs w:val="28"/>
          <w:lang w:val="uk-UA"/>
        </w:rPr>
        <w:t>кадрового, нормативно-правового, інформаційно-комунікаційного, матеріально-технічного забезпечення тощо</w:t>
      </w:r>
      <w:r w:rsidRPr="005F0419">
        <w:rPr>
          <w:sz w:val="28"/>
          <w:szCs w:val="28"/>
          <w:lang w:val="uk-UA"/>
        </w:rPr>
        <w:t>);</w:t>
      </w:r>
    </w:p>
    <w:p w14:paraId="31A93B12" w14:textId="77777777" w:rsidR="005F0419" w:rsidRPr="005F0419" w:rsidRDefault="005F0419" w:rsidP="005F0419">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 дотримання розробленої системи нематеріального стимулювання працівників, яка відіграє не меншу роль, ніж матеріальне стимулювання (престижність праці, розуміння цінності і корисності праці, можливість </w:t>
      </w:r>
      <w:proofErr w:type="spellStart"/>
      <w:r w:rsidRPr="005F0419">
        <w:rPr>
          <w:sz w:val="28"/>
          <w:szCs w:val="28"/>
          <w:lang w:val="uk-UA"/>
        </w:rPr>
        <w:t>професійно</w:t>
      </w:r>
      <w:proofErr w:type="spellEnd"/>
      <w:r w:rsidRPr="005F0419">
        <w:rPr>
          <w:sz w:val="28"/>
          <w:szCs w:val="28"/>
          <w:lang w:val="uk-UA"/>
        </w:rPr>
        <w:t>-кваліфікаційного зростання, повага співробітників, можливість самовдосконалення і самовираження, тобто все те, що створює на підприємстві нормальний психологічний клімат, укріплює соціальні контакти і спонукає до більш продуктивної праці);</w:t>
      </w:r>
    </w:p>
    <w:p w14:paraId="444BEE7E" w14:textId="77777777" w:rsidR="005F0419" w:rsidRPr="005F0419" w:rsidRDefault="005F0419" w:rsidP="005F0419">
      <w:pPr>
        <w:pStyle w:val="a9"/>
        <w:spacing w:before="0" w:beforeAutospacing="0" w:after="0" w:afterAutospacing="0" w:line="360" w:lineRule="auto"/>
        <w:ind w:firstLine="720"/>
        <w:jc w:val="both"/>
        <w:rPr>
          <w:sz w:val="28"/>
          <w:szCs w:val="28"/>
          <w:lang w:val="uk-UA"/>
        </w:rPr>
      </w:pPr>
      <w:r w:rsidRPr="005F0419">
        <w:rPr>
          <w:sz w:val="28"/>
          <w:szCs w:val="28"/>
          <w:lang w:val="uk-UA"/>
        </w:rPr>
        <w:t>- створення спеціального HR-відділу для стеження за станом і динамікою мотиваційної спрямованості персоналу.</w:t>
      </w:r>
    </w:p>
    <w:p w14:paraId="692363D6" w14:textId="77777777" w:rsidR="005F0419" w:rsidRPr="005F0419" w:rsidRDefault="005F0419" w:rsidP="005F0419">
      <w:pPr>
        <w:spacing w:after="0" w:line="360" w:lineRule="auto"/>
        <w:ind w:firstLine="720"/>
        <w:jc w:val="center"/>
        <w:rPr>
          <w:rFonts w:ascii="Times New Roman" w:hAnsi="Times New Roman" w:cs="Times New Roman"/>
          <w:b/>
          <w:bCs/>
          <w:sz w:val="28"/>
          <w:szCs w:val="28"/>
          <w:lang w:val="uk-UA"/>
        </w:rPr>
      </w:pPr>
      <w:r w:rsidRPr="005F0419">
        <w:rPr>
          <w:rFonts w:ascii="Times New Roman" w:hAnsi="Times New Roman" w:cs="Times New Roman"/>
          <w:b/>
          <w:bCs/>
          <w:sz w:val="28"/>
          <w:szCs w:val="28"/>
          <w:lang w:val="uk-UA"/>
        </w:rPr>
        <w:lastRenderedPageBreak/>
        <w:t>Список використаних джерел</w:t>
      </w:r>
    </w:p>
    <w:p w14:paraId="0DBA099F" w14:textId="32A6A505" w:rsidR="005F0419" w:rsidRPr="005F0419" w:rsidRDefault="005F0419" w:rsidP="005F0419">
      <w:pPr>
        <w:pStyle w:val="afff8"/>
        <w:spacing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 Про оплату праці: закон України. URL: </w:t>
      </w:r>
      <w:hyperlink r:id="rId10" w:anchor="Text" w:history="1">
        <w:r w:rsidRPr="005F0419">
          <w:rPr>
            <w:rStyle w:val="a6"/>
            <w:rFonts w:ascii="Times New Roman" w:hAnsi="Times New Roman" w:cs="Times New Roman"/>
            <w:color w:val="auto"/>
            <w:sz w:val="28"/>
            <w:szCs w:val="28"/>
            <w:lang w:val="uk-UA"/>
          </w:rPr>
          <w:t>https://zakon.rada.gov.ua/laws/show/108/95-%D0%B2%D1%80#Text</w:t>
        </w:r>
      </w:hyperlink>
      <w:r>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 </w:t>
      </w:r>
    </w:p>
    <w:p w14:paraId="350FDC6C" w14:textId="77777777" w:rsidR="005F0419" w:rsidRPr="005F0419" w:rsidRDefault="005F0419" w:rsidP="005F0419">
      <w:pPr>
        <w:pStyle w:val="afff8"/>
        <w:spacing w:line="360" w:lineRule="auto"/>
        <w:ind w:firstLine="720"/>
        <w:rPr>
          <w:rFonts w:ascii="Times New Roman" w:hAnsi="Times New Roman" w:cs="Times New Roman"/>
          <w:sz w:val="28"/>
          <w:szCs w:val="28"/>
          <w:shd w:val="clear" w:color="auto" w:fill="FFFFFF"/>
          <w:lang w:val="uk-UA"/>
        </w:rPr>
      </w:pPr>
      <w:r w:rsidRPr="005F0419">
        <w:rPr>
          <w:rFonts w:ascii="Times New Roman" w:hAnsi="Times New Roman" w:cs="Times New Roman"/>
          <w:sz w:val="28"/>
          <w:szCs w:val="28"/>
          <w:shd w:val="clear" w:color="auto" w:fill="FFFFFF"/>
          <w:lang w:val="uk-UA"/>
        </w:rPr>
        <w:t>2. Сміт А. Дослідження про природу i причини багатства народів. К.: Наш формат, 2018. 737 с.</w:t>
      </w:r>
    </w:p>
    <w:p w14:paraId="3C87F5E6" w14:textId="77777777" w:rsidR="005F0419" w:rsidRPr="005F0419" w:rsidRDefault="005F0419" w:rsidP="005F0419">
      <w:pPr>
        <w:pStyle w:val="afff8"/>
        <w:spacing w:line="360" w:lineRule="auto"/>
        <w:ind w:firstLine="720"/>
        <w:rPr>
          <w:rFonts w:ascii="Times New Roman" w:hAnsi="Times New Roman" w:cs="Times New Roman"/>
          <w:sz w:val="28"/>
          <w:szCs w:val="28"/>
          <w:shd w:val="clear" w:color="auto" w:fill="FFFFFF"/>
          <w:lang w:val="uk-UA"/>
        </w:rPr>
      </w:pPr>
      <w:r w:rsidRPr="005F0419">
        <w:rPr>
          <w:rFonts w:ascii="Times New Roman" w:hAnsi="Times New Roman" w:cs="Times New Roman"/>
          <w:sz w:val="28"/>
          <w:szCs w:val="28"/>
          <w:shd w:val="clear" w:color="auto" w:fill="FFFFFF"/>
          <w:lang w:val="uk-UA"/>
        </w:rPr>
        <w:t xml:space="preserve">3. Історія економіки та економічної думки: </w:t>
      </w:r>
      <w:proofErr w:type="spellStart"/>
      <w:r w:rsidRPr="005F0419">
        <w:rPr>
          <w:rFonts w:ascii="Times New Roman" w:hAnsi="Times New Roman" w:cs="Times New Roman"/>
          <w:sz w:val="28"/>
          <w:szCs w:val="28"/>
          <w:shd w:val="clear" w:color="auto" w:fill="FFFFFF"/>
          <w:lang w:val="uk-UA"/>
        </w:rPr>
        <w:t>навч</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посіб</w:t>
      </w:r>
      <w:proofErr w:type="spellEnd"/>
      <w:r w:rsidRPr="005F0419">
        <w:rPr>
          <w:rFonts w:ascii="Times New Roman" w:hAnsi="Times New Roman" w:cs="Times New Roman"/>
          <w:sz w:val="28"/>
          <w:szCs w:val="28"/>
          <w:shd w:val="clear" w:color="auto" w:fill="FFFFFF"/>
          <w:lang w:val="uk-UA"/>
        </w:rPr>
        <w:t>. За ред. С. В. Степаненка. К.: КНЕУ, 2010. 743 с.</w:t>
      </w:r>
    </w:p>
    <w:p w14:paraId="46F14A27" w14:textId="77777777" w:rsidR="005F0419" w:rsidRPr="005F0419" w:rsidRDefault="005F0419" w:rsidP="005F0419">
      <w:pPr>
        <w:pStyle w:val="afff8"/>
        <w:spacing w:line="360" w:lineRule="auto"/>
        <w:ind w:firstLine="720"/>
        <w:rPr>
          <w:rFonts w:ascii="Times New Roman" w:hAnsi="Times New Roman" w:cs="Times New Roman"/>
          <w:sz w:val="28"/>
          <w:szCs w:val="28"/>
          <w:shd w:val="clear" w:color="auto" w:fill="FFFFFF"/>
          <w:lang w:val="uk-UA"/>
        </w:rPr>
      </w:pPr>
      <w:r w:rsidRPr="005F0419">
        <w:rPr>
          <w:rFonts w:ascii="Times New Roman" w:hAnsi="Times New Roman" w:cs="Times New Roman"/>
          <w:sz w:val="28"/>
          <w:szCs w:val="28"/>
          <w:lang w:val="uk-UA"/>
        </w:rPr>
        <w:t xml:space="preserve">4. </w:t>
      </w:r>
      <w:r w:rsidRPr="005F0419">
        <w:rPr>
          <w:rStyle w:val="aa"/>
          <w:rFonts w:ascii="Times New Roman" w:hAnsi="Times New Roman" w:cs="Times New Roman"/>
          <w:i w:val="0"/>
          <w:iCs w:val="0"/>
          <w:sz w:val="28"/>
          <w:szCs w:val="28"/>
          <w:shd w:val="clear" w:color="auto" w:fill="FFFFFF"/>
          <w:lang w:val="uk-UA"/>
        </w:rPr>
        <w:t>Осипов</w:t>
      </w:r>
      <w:r w:rsidRPr="005F0419">
        <w:rPr>
          <w:rFonts w:ascii="Times New Roman" w:hAnsi="Times New Roman" w:cs="Times New Roman"/>
          <w:sz w:val="28"/>
          <w:szCs w:val="28"/>
          <w:shd w:val="clear" w:color="auto" w:fill="FFFFFF"/>
          <w:lang w:val="uk-UA"/>
        </w:rPr>
        <w:t xml:space="preserve"> В. І. </w:t>
      </w:r>
      <w:r w:rsidRPr="005F0419">
        <w:rPr>
          <w:rStyle w:val="aa"/>
          <w:rFonts w:ascii="Times New Roman" w:hAnsi="Times New Roman" w:cs="Times New Roman"/>
          <w:i w:val="0"/>
          <w:iCs w:val="0"/>
          <w:sz w:val="28"/>
          <w:szCs w:val="28"/>
          <w:shd w:val="clear" w:color="auto" w:fill="FFFFFF"/>
          <w:lang w:val="uk-UA"/>
        </w:rPr>
        <w:t>Економіка підприємства</w:t>
      </w:r>
      <w:r w:rsidRPr="005F0419">
        <w:rPr>
          <w:rFonts w:ascii="Times New Roman" w:hAnsi="Times New Roman" w:cs="Times New Roman"/>
          <w:sz w:val="28"/>
          <w:szCs w:val="28"/>
          <w:shd w:val="clear" w:color="auto" w:fill="FFFFFF"/>
          <w:lang w:val="uk-UA"/>
        </w:rPr>
        <w:t>: </w:t>
      </w:r>
      <w:r w:rsidRPr="005F0419">
        <w:rPr>
          <w:rStyle w:val="aa"/>
          <w:rFonts w:ascii="Times New Roman" w:hAnsi="Times New Roman" w:cs="Times New Roman"/>
          <w:i w:val="0"/>
          <w:iCs w:val="0"/>
          <w:sz w:val="28"/>
          <w:szCs w:val="28"/>
          <w:shd w:val="clear" w:color="auto" w:fill="FFFFFF"/>
          <w:lang w:val="uk-UA"/>
        </w:rPr>
        <w:t>підручник</w:t>
      </w:r>
      <w:r w:rsidRPr="005F0419">
        <w:rPr>
          <w:rFonts w:ascii="Times New Roman" w:hAnsi="Times New Roman" w:cs="Times New Roman"/>
          <w:sz w:val="28"/>
          <w:szCs w:val="28"/>
          <w:shd w:val="clear" w:color="auto" w:fill="FFFFFF"/>
          <w:lang w:val="uk-UA"/>
        </w:rPr>
        <w:t xml:space="preserve">. </w:t>
      </w:r>
      <w:r w:rsidRPr="005F0419">
        <w:rPr>
          <w:rStyle w:val="aa"/>
          <w:rFonts w:ascii="Times New Roman" w:hAnsi="Times New Roman" w:cs="Times New Roman"/>
          <w:i w:val="0"/>
          <w:iCs w:val="0"/>
          <w:sz w:val="28"/>
          <w:szCs w:val="28"/>
          <w:shd w:val="clear" w:color="auto" w:fill="FFFFFF"/>
          <w:lang w:val="uk-UA"/>
        </w:rPr>
        <w:t>Одеса</w:t>
      </w:r>
      <w:r w:rsidRPr="005F0419">
        <w:rPr>
          <w:rFonts w:ascii="Times New Roman" w:hAnsi="Times New Roman" w:cs="Times New Roman"/>
          <w:sz w:val="28"/>
          <w:szCs w:val="28"/>
          <w:shd w:val="clear" w:color="auto" w:fill="FFFFFF"/>
          <w:lang w:val="uk-UA"/>
        </w:rPr>
        <w:t> : </w:t>
      </w:r>
      <w:r w:rsidRPr="005F0419">
        <w:rPr>
          <w:rStyle w:val="aa"/>
          <w:rFonts w:ascii="Times New Roman" w:hAnsi="Times New Roman" w:cs="Times New Roman"/>
          <w:i w:val="0"/>
          <w:iCs w:val="0"/>
          <w:sz w:val="28"/>
          <w:szCs w:val="28"/>
          <w:shd w:val="clear" w:color="auto" w:fill="FFFFFF"/>
          <w:lang w:val="uk-UA"/>
        </w:rPr>
        <w:t>Маяк</w:t>
      </w:r>
      <w:r w:rsidRPr="005F0419">
        <w:rPr>
          <w:rFonts w:ascii="Times New Roman" w:hAnsi="Times New Roman" w:cs="Times New Roman"/>
          <w:sz w:val="28"/>
          <w:szCs w:val="28"/>
          <w:shd w:val="clear" w:color="auto" w:fill="FFFFFF"/>
          <w:lang w:val="uk-UA"/>
        </w:rPr>
        <w:t>, </w:t>
      </w:r>
      <w:r w:rsidRPr="005F0419">
        <w:rPr>
          <w:rStyle w:val="aa"/>
          <w:rFonts w:ascii="Times New Roman" w:hAnsi="Times New Roman" w:cs="Times New Roman"/>
          <w:i w:val="0"/>
          <w:iCs w:val="0"/>
          <w:sz w:val="28"/>
          <w:szCs w:val="28"/>
          <w:shd w:val="clear" w:color="auto" w:fill="FFFFFF"/>
          <w:lang w:val="uk-UA"/>
        </w:rPr>
        <w:t>2005</w:t>
      </w:r>
      <w:r w:rsidRPr="005F0419">
        <w:rPr>
          <w:rFonts w:ascii="Times New Roman" w:hAnsi="Times New Roman" w:cs="Times New Roman"/>
          <w:sz w:val="28"/>
          <w:szCs w:val="28"/>
          <w:shd w:val="clear" w:color="auto" w:fill="FFFFFF"/>
          <w:lang w:val="uk-UA"/>
        </w:rPr>
        <w:t>. 722 с.</w:t>
      </w:r>
    </w:p>
    <w:p w14:paraId="31B68C97" w14:textId="77777777" w:rsidR="005F0419" w:rsidRPr="005F0419" w:rsidRDefault="005F0419" w:rsidP="005F0419">
      <w:pPr>
        <w:pStyle w:val="afff8"/>
        <w:spacing w:line="360" w:lineRule="auto"/>
        <w:ind w:firstLine="720"/>
        <w:rPr>
          <w:rStyle w:val="apple-style-span"/>
          <w:rFonts w:ascii="Times New Roman" w:hAnsi="Times New Roman"/>
          <w:sz w:val="28"/>
          <w:szCs w:val="28"/>
          <w:lang w:val="uk-UA"/>
        </w:rPr>
      </w:pPr>
      <w:r w:rsidRPr="005F0419">
        <w:rPr>
          <w:rFonts w:ascii="Times New Roman" w:hAnsi="Times New Roman" w:cs="Times New Roman"/>
          <w:sz w:val="28"/>
          <w:szCs w:val="28"/>
          <w:shd w:val="clear" w:color="auto" w:fill="FFFFFF"/>
          <w:lang w:val="uk-UA"/>
        </w:rPr>
        <w:t xml:space="preserve">5. </w:t>
      </w:r>
      <w:r w:rsidRPr="005F0419">
        <w:rPr>
          <w:rStyle w:val="apple-style-span"/>
          <w:rFonts w:ascii="Times New Roman" w:hAnsi="Times New Roman"/>
          <w:sz w:val="28"/>
          <w:szCs w:val="28"/>
          <w:lang w:val="uk-UA"/>
        </w:rPr>
        <w:t xml:space="preserve">Петрович Й. М., Кіт А. Ф., </w:t>
      </w:r>
      <w:proofErr w:type="spellStart"/>
      <w:r w:rsidRPr="005F0419">
        <w:rPr>
          <w:rStyle w:val="apple-style-span"/>
          <w:rFonts w:ascii="Times New Roman" w:hAnsi="Times New Roman"/>
          <w:sz w:val="28"/>
          <w:szCs w:val="28"/>
          <w:lang w:val="uk-UA"/>
        </w:rPr>
        <w:t>Кулішов</w:t>
      </w:r>
      <w:proofErr w:type="spellEnd"/>
      <w:r w:rsidRPr="005F0419">
        <w:rPr>
          <w:rStyle w:val="apple-style-span"/>
          <w:rFonts w:ascii="Times New Roman" w:hAnsi="Times New Roman"/>
          <w:sz w:val="28"/>
          <w:szCs w:val="28"/>
          <w:lang w:val="uk-UA"/>
        </w:rPr>
        <w:t xml:space="preserve"> В. В. та ін. Економіка підприємства: підручник. Львів: «Магнолія плюс», видавець В.М. </w:t>
      </w:r>
      <w:proofErr w:type="spellStart"/>
      <w:r w:rsidRPr="005F0419">
        <w:rPr>
          <w:rStyle w:val="apple-style-span"/>
          <w:rFonts w:ascii="Times New Roman" w:hAnsi="Times New Roman"/>
          <w:sz w:val="28"/>
          <w:szCs w:val="28"/>
          <w:lang w:val="uk-UA"/>
        </w:rPr>
        <w:t>Піча</w:t>
      </w:r>
      <w:proofErr w:type="spellEnd"/>
      <w:r w:rsidRPr="005F0419">
        <w:rPr>
          <w:rStyle w:val="apple-style-span"/>
          <w:rFonts w:ascii="Times New Roman" w:hAnsi="Times New Roman"/>
          <w:sz w:val="28"/>
          <w:szCs w:val="28"/>
          <w:lang w:val="uk-UA"/>
        </w:rPr>
        <w:t>. 2004. 680 с.</w:t>
      </w:r>
    </w:p>
    <w:p w14:paraId="433C4F34" w14:textId="77777777" w:rsidR="005F0419" w:rsidRPr="005F0419" w:rsidRDefault="005F0419" w:rsidP="005F0419">
      <w:pPr>
        <w:pStyle w:val="afff8"/>
        <w:spacing w:line="360" w:lineRule="auto"/>
        <w:ind w:firstLine="720"/>
        <w:rPr>
          <w:rStyle w:val="apple-style-span"/>
          <w:rFonts w:ascii="Times New Roman" w:hAnsi="Times New Roman"/>
          <w:sz w:val="28"/>
          <w:szCs w:val="28"/>
          <w:lang w:val="uk-UA"/>
        </w:rPr>
      </w:pPr>
      <w:r w:rsidRPr="005F0419">
        <w:rPr>
          <w:rFonts w:ascii="Times New Roman" w:hAnsi="Times New Roman" w:cs="Times New Roman"/>
          <w:sz w:val="28"/>
          <w:szCs w:val="28"/>
          <w:shd w:val="clear" w:color="auto" w:fill="FFFFFF"/>
          <w:lang w:val="uk-UA"/>
        </w:rPr>
        <w:t xml:space="preserve">6. </w:t>
      </w:r>
      <w:proofErr w:type="spellStart"/>
      <w:r w:rsidRPr="005F0419">
        <w:rPr>
          <w:rStyle w:val="apple-style-span"/>
          <w:rFonts w:ascii="Times New Roman" w:hAnsi="Times New Roman"/>
          <w:sz w:val="28"/>
          <w:szCs w:val="28"/>
          <w:lang w:val="uk-UA"/>
        </w:rPr>
        <w:t>Покатаєва</w:t>
      </w:r>
      <w:proofErr w:type="spellEnd"/>
      <w:r w:rsidRPr="005F0419">
        <w:rPr>
          <w:rStyle w:val="apple-style-span"/>
          <w:rFonts w:ascii="Times New Roman" w:hAnsi="Times New Roman"/>
          <w:sz w:val="28"/>
          <w:szCs w:val="28"/>
          <w:lang w:val="uk-UA"/>
        </w:rPr>
        <w:t xml:space="preserve"> О.В., </w:t>
      </w:r>
      <w:proofErr w:type="spellStart"/>
      <w:r w:rsidRPr="005F0419">
        <w:rPr>
          <w:rStyle w:val="apple-style-span"/>
          <w:rFonts w:ascii="Times New Roman" w:hAnsi="Times New Roman"/>
          <w:sz w:val="28"/>
          <w:szCs w:val="28"/>
          <w:lang w:val="uk-UA"/>
        </w:rPr>
        <w:t>Кошулинська</w:t>
      </w:r>
      <w:proofErr w:type="spellEnd"/>
      <w:r w:rsidRPr="005F0419">
        <w:rPr>
          <w:rStyle w:val="apple-style-span"/>
          <w:rFonts w:ascii="Times New Roman" w:hAnsi="Times New Roman"/>
          <w:sz w:val="28"/>
          <w:szCs w:val="28"/>
          <w:lang w:val="uk-UA"/>
        </w:rPr>
        <w:t xml:space="preserve"> Г.О. Шляхи вдосконалення системи оплати праці на підприємстві. Держава та регіони. Серія: Економіка та підприємництво.</w:t>
      </w:r>
      <w:r w:rsidRPr="005F0419">
        <w:rPr>
          <w:rStyle w:val="apple-style-span"/>
          <w:rFonts w:ascii="Times New Roman" w:hAnsi="Times New Roman"/>
          <w:bCs/>
          <w:iCs/>
          <w:sz w:val="28"/>
          <w:szCs w:val="28"/>
          <w:lang w:val="uk-UA"/>
        </w:rPr>
        <w:t xml:space="preserve"> 2010. № 3. С</w:t>
      </w:r>
      <w:r w:rsidRPr="005F0419">
        <w:rPr>
          <w:rStyle w:val="apple-style-span"/>
          <w:rFonts w:ascii="Times New Roman" w:hAnsi="Times New Roman"/>
          <w:sz w:val="28"/>
          <w:szCs w:val="28"/>
          <w:lang w:val="uk-UA"/>
        </w:rPr>
        <w:t>.138-140.</w:t>
      </w:r>
    </w:p>
    <w:p w14:paraId="7BB74944" w14:textId="77777777" w:rsidR="005F0419" w:rsidRPr="005F0419" w:rsidRDefault="005F0419" w:rsidP="005F0419">
      <w:pPr>
        <w:pStyle w:val="afff8"/>
        <w:spacing w:line="360" w:lineRule="auto"/>
        <w:ind w:firstLine="720"/>
        <w:rPr>
          <w:rFonts w:ascii="Times New Roman" w:hAnsi="Times New Roman" w:cs="Times New Roman"/>
          <w:sz w:val="28"/>
          <w:szCs w:val="28"/>
          <w:lang w:val="uk-UA"/>
        </w:rPr>
      </w:pPr>
      <w:r w:rsidRPr="005F0419">
        <w:rPr>
          <w:rStyle w:val="apple-style-span"/>
          <w:rFonts w:ascii="Times New Roman" w:hAnsi="Times New Roman"/>
          <w:sz w:val="28"/>
          <w:szCs w:val="28"/>
          <w:lang w:val="uk-UA"/>
        </w:rPr>
        <w:t xml:space="preserve">7. </w:t>
      </w:r>
      <w:r w:rsidRPr="005F0419">
        <w:rPr>
          <w:rFonts w:ascii="Times New Roman" w:hAnsi="Times New Roman" w:cs="Times New Roman"/>
          <w:sz w:val="28"/>
          <w:szCs w:val="28"/>
          <w:lang w:val="uk-UA"/>
        </w:rPr>
        <w:t xml:space="preserve">Жуковська В.  М., Миколайчук І. П.  Управління персоналом.  Практикум:  </w:t>
      </w:r>
      <w:proofErr w:type="spellStart"/>
      <w:r w:rsidRPr="005F0419">
        <w:rPr>
          <w:rFonts w:ascii="Times New Roman" w:hAnsi="Times New Roman" w:cs="Times New Roman"/>
          <w:sz w:val="28"/>
          <w:szCs w:val="28"/>
          <w:lang w:val="uk-UA"/>
        </w:rPr>
        <w:t>навч</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посіб</w:t>
      </w:r>
      <w:proofErr w:type="spellEnd"/>
      <w:r w:rsidRPr="005F0419">
        <w:rPr>
          <w:rFonts w:ascii="Times New Roman" w:hAnsi="Times New Roman" w:cs="Times New Roman"/>
          <w:sz w:val="28"/>
          <w:szCs w:val="28"/>
          <w:lang w:val="uk-UA"/>
        </w:rPr>
        <w:t xml:space="preserve">. К.: Київ. </w:t>
      </w:r>
      <w:proofErr w:type="spellStart"/>
      <w:r w:rsidRPr="005F0419">
        <w:rPr>
          <w:rFonts w:ascii="Times New Roman" w:hAnsi="Times New Roman" w:cs="Times New Roman"/>
          <w:sz w:val="28"/>
          <w:szCs w:val="28"/>
          <w:lang w:val="uk-UA"/>
        </w:rPr>
        <w:t>нац</w:t>
      </w:r>
      <w:proofErr w:type="spellEnd"/>
      <w:r w:rsidRPr="005F0419">
        <w:rPr>
          <w:rFonts w:ascii="Times New Roman" w:hAnsi="Times New Roman" w:cs="Times New Roman"/>
          <w:sz w:val="28"/>
          <w:szCs w:val="28"/>
          <w:lang w:val="uk-UA"/>
        </w:rPr>
        <w:t>. торг.-</w:t>
      </w:r>
      <w:proofErr w:type="spellStart"/>
      <w:r w:rsidRPr="005F0419">
        <w:rPr>
          <w:rFonts w:ascii="Times New Roman" w:hAnsi="Times New Roman" w:cs="Times New Roman"/>
          <w:sz w:val="28"/>
          <w:szCs w:val="28"/>
          <w:lang w:val="uk-UA"/>
        </w:rPr>
        <w:t>екон</w:t>
      </w:r>
      <w:proofErr w:type="spellEnd"/>
      <w:r w:rsidRPr="005F0419">
        <w:rPr>
          <w:rFonts w:ascii="Times New Roman" w:hAnsi="Times New Roman" w:cs="Times New Roman"/>
          <w:sz w:val="28"/>
          <w:szCs w:val="28"/>
          <w:lang w:val="uk-UA"/>
        </w:rPr>
        <w:t>. ун-т, 2008. 293 с.</w:t>
      </w:r>
    </w:p>
    <w:p w14:paraId="4182AB91" w14:textId="77777777" w:rsidR="005F0419" w:rsidRPr="005F0419" w:rsidRDefault="005F0419" w:rsidP="005F0419">
      <w:pPr>
        <w:pStyle w:val="afff8"/>
        <w:spacing w:line="360" w:lineRule="auto"/>
        <w:ind w:firstLine="720"/>
        <w:rPr>
          <w:rStyle w:val="apple-style-span"/>
          <w:rFonts w:ascii="Times New Roman" w:hAnsi="Times New Roman"/>
          <w:sz w:val="28"/>
          <w:szCs w:val="28"/>
          <w:lang w:val="uk-UA"/>
        </w:rPr>
      </w:pPr>
      <w:r w:rsidRPr="005F0419">
        <w:rPr>
          <w:rFonts w:ascii="Times New Roman" w:hAnsi="Times New Roman" w:cs="Times New Roman"/>
          <w:sz w:val="28"/>
          <w:szCs w:val="28"/>
          <w:lang w:val="uk-UA"/>
        </w:rPr>
        <w:t xml:space="preserve">8. </w:t>
      </w:r>
      <w:proofErr w:type="spellStart"/>
      <w:r w:rsidRPr="005F0419">
        <w:rPr>
          <w:rStyle w:val="apple-style-span"/>
          <w:rFonts w:ascii="Times New Roman" w:hAnsi="Times New Roman"/>
          <w:sz w:val="28"/>
          <w:szCs w:val="28"/>
          <w:lang w:val="uk-UA"/>
        </w:rPr>
        <w:t>Зверяков</w:t>
      </w:r>
      <w:proofErr w:type="spellEnd"/>
      <w:r w:rsidRPr="005F0419">
        <w:rPr>
          <w:rStyle w:val="apple-style-span"/>
          <w:rFonts w:ascii="Times New Roman" w:hAnsi="Times New Roman"/>
          <w:sz w:val="28"/>
          <w:szCs w:val="28"/>
          <w:lang w:val="uk-UA"/>
        </w:rPr>
        <w:t xml:space="preserve"> М.І., </w:t>
      </w:r>
      <w:proofErr w:type="spellStart"/>
      <w:r w:rsidRPr="005F0419">
        <w:rPr>
          <w:rStyle w:val="apple-style-span"/>
          <w:rFonts w:ascii="Times New Roman" w:hAnsi="Times New Roman"/>
          <w:sz w:val="28"/>
          <w:szCs w:val="28"/>
          <w:lang w:val="uk-UA"/>
        </w:rPr>
        <w:t>Мащевська</w:t>
      </w:r>
      <w:proofErr w:type="spellEnd"/>
      <w:r w:rsidRPr="005F0419">
        <w:rPr>
          <w:rStyle w:val="apple-style-span"/>
          <w:rFonts w:ascii="Times New Roman" w:hAnsi="Times New Roman"/>
          <w:sz w:val="28"/>
          <w:szCs w:val="28"/>
          <w:lang w:val="uk-UA"/>
        </w:rPr>
        <w:t xml:space="preserve"> В.В. Політична економія: </w:t>
      </w:r>
      <w:proofErr w:type="spellStart"/>
      <w:r w:rsidRPr="005F0419">
        <w:rPr>
          <w:rStyle w:val="apple-style-span"/>
          <w:rFonts w:ascii="Times New Roman" w:hAnsi="Times New Roman"/>
          <w:sz w:val="28"/>
          <w:szCs w:val="28"/>
          <w:lang w:val="uk-UA"/>
        </w:rPr>
        <w:t>навч</w:t>
      </w:r>
      <w:proofErr w:type="spellEnd"/>
      <w:r w:rsidRPr="005F0419">
        <w:rPr>
          <w:rStyle w:val="apple-style-span"/>
          <w:rFonts w:ascii="Times New Roman" w:hAnsi="Times New Roman"/>
          <w:sz w:val="28"/>
          <w:szCs w:val="28"/>
          <w:lang w:val="uk-UA"/>
        </w:rPr>
        <w:t xml:space="preserve">. </w:t>
      </w:r>
      <w:proofErr w:type="spellStart"/>
      <w:r w:rsidRPr="005F0419">
        <w:rPr>
          <w:rStyle w:val="apple-style-span"/>
          <w:rFonts w:ascii="Times New Roman" w:hAnsi="Times New Roman"/>
          <w:sz w:val="28"/>
          <w:szCs w:val="28"/>
          <w:lang w:val="uk-UA"/>
        </w:rPr>
        <w:t>посіб</w:t>
      </w:r>
      <w:proofErr w:type="spellEnd"/>
      <w:r w:rsidRPr="005F0419">
        <w:rPr>
          <w:rStyle w:val="apple-style-span"/>
          <w:rFonts w:ascii="Times New Roman" w:hAnsi="Times New Roman"/>
          <w:sz w:val="28"/>
          <w:szCs w:val="28"/>
          <w:lang w:val="uk-UA"/>
        </w:rPr>
        <w:t>. Одеса: Атлант, 2009. 212 с.</w:t>
      </w:r>
    </w:p>
    <w:p w14:paraId="4CFCA8E0" w14:textId="77777777" w:rsidR="005F0419" w:rsidRPr="005F0419" w:rsidRDefault="005F0419" w:rsidP="005F0419">
      <w:pPr>
        <w:pStyle w:val="afff8"/>
        <w:spacing w:line="360" w:lineRule="auto"/>
        <w:ind w:firstLine="720"/>
        <w:rPr>
          <w:rFonts w:ascii="Times New Roman" w:hAnsi="Times New Roman" w:cs="Times New Roman"/>
          <w:sz w:val="28"/>
          <w:lang w:val="uk-UA"/>
        </w:rPr>
      </w:pPr>
      <w:r w:rsidRPr="005F0419">
        <w:rPr>
          <w:rStyle w:val="apple-style-span"/>
          <w:rFonts w:ascii="Times New Roman" w:hAnsi="Times New Roman"/>
          <w:sz w:val="28"/>
          <w:szCs w:val="28"/>
          <w:lang w:val="uk-UA"/>
        </w:rPr>
        <w:t xml:space="preserve">9. </w:t>
      </w:r>
      <w:proofErr w:type="spellStart"/>
      <w:r w:rsidRPr="005F0419">
        <w:rPr>
          <w:rFonts w:ascii="Times New Roman" w:hAnsi="Times New Roman" w:cs="Times New Roman"/>
          <w:sz w:val="28"/>
          <w:lang w:val="uk-UA"/>
        </w:rPr>
        <w:t>Джога</w:t>
      </w:r>
      <w:proofErr w:type="spellEnd"/>
      <w:r w:rsidRPr="005F0419">
        <w:rPr>
          <w:rFonts w:ascii="Times New Roman" w:hAnsi="Times New Roman" w:cs="Times New Roman"/>
          <w:sz w:val="28"/>
          <w:lang w:val="uk-UA"/>
        </w:rPr>
        <w:t xml:space="preserve"> Р. Т., </w:t>
      </w:r>
      <w:proofErr w:type="spellStart"/>
      <w:r w:rsidRPr="005F0419">
        <w:rPr>
          <w:rFonts w:ascii="Times New Roman" w:hAnsi="Times New Roman" w:cs="Times New Roman"/>
          <w:sz w:val="28"/>
          <w:lang w:val="uk-UA"/>
        </w:rPr>
        <w:t>Свірко</w:t>
      </w:r>
      <w:proofErr w:type="spellEnd"/>
      <w:r w:rsidRPr="005F0419">
        <w:rPr>
          <w:rFonts w:ascii="Times New Roman" w:hAnsi="Times New Roman" w:cs="Times New Roman"/>
          <w:sz w:val="28"/>
          <w:lang w:val="uk-UA"/>
        </w:rPr>
        <w:t xml:space="preserve"> С. В., </w:t>
      </w:r>
      <w:proofErr w:type="spellStart"/>
      <w:r w:rsidRPr="005F0419">
        <w:rPr>
          <w:rFonts w:ascii="Times New Roman" w:hAnsi="Times New Roman" w:cs="Times New Roman"/>
          <w:sz w:val="28"/>
          <w:lang w:val="uk-UA"/>
        </w:rPr>
        <w:t>Сінельник</w:t>
      </w:r>
      <w:proofErr w:type="spellEnd"/>
      <w:r w:rsidRPr="005F0419">
        <w:rPr>
          <w:rFonts w:ascii="Times New Roman" w:hAnsi="Times New Roman" w:cs="Times New Roman"/>
          <w:sz w:val="28"/>
          <w:lang w:val="uk-UA"/>
        </w:rPr>
        <w:t xml:space="preserve"> Л. М. Бухгалтерський облік у бюджетних установах: підручник. За </w:t>
      </w:r>
      <w:proofErr w:type="spellStart"/>
      <w:r w:rsidRPr="005F0419">
        <w:rPr>
          <w:rFonts w:ascii="Times New Roman" w:hAnsi="Times New Roman" w:cs="Times New Roman"/>
          <w:sz w:val="28"/>
          <w:lang w:val="uk-UA"/>
        </w:rPr>
        <w:t>заг</w:t>
      </w:r>
      <w:proofErr w:type="spellEnd"/>
      <w:r w:rsidRPr="005F0419">
        <w:rPr>
          <w:rFonts w:ascii="Times New Roman" w:hAnsi="Times New Roman" w:cs="Times New Roman"/>
          <w:sz w:val="28"/>
          <w:lang w:val="uk-UA"/>
        </w:rPr>
        <w:t>. ред. проф. Р. Т. </w:t>
      </w:r>
      <w:proofErr w:type="spellStart"/>
      <w:r w:rsidRPr="005F0419">
        <w:rPr>
          <w:rFonts w:ascii="Times New Roman" w:hAnsi="Times New Roman" w:cs="Times New Roman"/>
          <w:sz w:val="28"/>
          <w:lang w:val="uk-UA"/>
        </w:rPr>
        <w:t>Джоги</w:t>
      </w:r>
      <w:proofErr w:type="spellEnd"/>
      <w:r w:rsidRPr="005F0419">
        <w:rPr>
          <w:rFonts w:ascii="Times New Roman" w:hAnsi="Times New Roman" w:cs="Times New Roman"/>
          <w:sz w:val="28"/>
          <w:lang w:val="uk-UA"/>
        </w:rPr>
        <w:t>. К.: КНЕУ, 2003. 483 с.</w:t>
      </w:r>
    </w:p>
    <w:p w14:paraId="13E772FE" w14:textId="77777777" w:rsidR="005F0419" w:rsidRPr="005F0419" w:rsidRDefault="005F0419" w:rsidP="005F0419">
      <w:pPr>
        <w:pStyle w:val="afff8"/>
        <w:spacing w:line="360" w:lineRule="auto"/>
        <w:ind w:firstLine="720"/>
        <w:rPr>
          <w:rFonts w:ascii="Times New Roman" w:hAnsi="Times New Roman" w:cs="Times New Roman"/>
          <w:sz w:val="28"/>
          <w:lang w:val="uk-UA"/>
        </w:rPr>
      </w:pPr>
      <w:r w:rsidRPr="005F0419">
        <w:rPr>
          <w:rFonts w:ascii="Times New Roman" w:hAnsi="Times New Roman" w:cs="Times New Roman"/>
          <w:sz w:val="28"/>
          <w:lang w:val="uk-UA"/>
        </w:rPr>
        <w:t xml:space="preserve">10. Кодекс законів про працю України. </w:t>
      </w:r>
    </w:p>
    <w:p w14:paraId="3133370B" w14:textId="77777777" w:rsidR="005F0419" w:rsidRPr="005F0419" w:rsidRDefault="005F0419" w:rsidP="005F0419">
      <w:pPr>
        <w:pStyle w:val="afff8"/>
        <w:spacing w:line="360" w:lineRule="auto"/>
        <w:rPr>
          <w:rFonts w:ascii="Times New Roman" w:hAnsi="Times New Roman" w:cs="Times New Roman"/>
          <w:sz w:val="28"/>
          <w:lang w:val="uk-UA"/>
        </w:rPr>
      </w:pPr>
      <w:r w:rsidRPr="005F0419">
        <w:rPr>
          <w:rFonts w:ascii="Times New Roman" w:hAnsi="Times New Roman" w:cs="Times New Roman"/>
          <w:sz w:val="28"/>
          <w:lang w:val="uk-UA"/>
        </w:rPr>
        <w:t xml:space="preserve">URL: </w:t>
      </w:r>
      <w:hyperlink r:id="rId11" w:anchor="Text" w:history="1">
        <w:r w:rsidRPr="005F0419">
          <w:rPr>
            <w:rStyle w:val="a6"/>
            <w:rFonts w:ascii="Times New Roman" w:hAnsi="Times New Roman" w:cs="Times New Roman"/>
            <w:color w:val="auto"/>
            <w:sz w:val="28"/>
            <w:lang w:val="uk-UA"/>
          </w:rPr>
          <w:t>https://zakon.rada.gov.ua/laws/show/322-08#Text</w:t>
        </w:r>
      </w:hyperlink>
      <w:r w:rsidRPr="005F0419">
        <w:rPr>
          <w:rFonts w:ascii="Times New Roman" w:hAnsi="Times New Roman" w:cs="Times New Roman"/>
          <w:sz w:val="28"/>
          <w:lang w:val="uk-UA"/>
        </w:rPr>
        <w:t xml:space="preserve"> </w:t>
      </w:r>
    </w:p>
    <w:p w14:paraId="14D36063" w14:textId="77777777" w:rsidR="005F0419" w:rsidRPr="005F0419" w:rsidRDefault="005F0419" w:rsidP="005F0419">
      <w:pPr>
        <w:pStyle w:val="afff8"/>
        <w:spacing w:line="360" w:lineRule="auto"/>
        <w:ind w:firstLine="720"/>
        <w:rPr>
          <w:rFonts w:ascii="Times New Roman" w:hAnsi="Times New Roman" w:cs="Times New Roman"/>
          <w:sz w:val="28"/>
          <w:szCs w:val="28"/>
          <w:lang w:val="uk-UA"/>
        </w:rPr>
      </w:pPr>
      <w:r w:rsidRPr="005F0419">
        <w:rPr>
          <w:rFonts w:ascii="Times New Roman" w:hAnsi="Times New Roman" w:cs="Times New Roman"/>
          <w:sz w:val="28"/>
          <w:lang w:val="uk-UA"/>
        </w:rPr>
        <w:t xml:space="preserve">11. </w:t>
      </w:r>
      <w:r w:rsidRPr="005F0419">
        <w:rPr>
          <w:rFonts w:ascii="Times New Roman" w:hAnsi="Times New Roman" w:cs="Times New Roman"/>
          <w:sz w:val="28"/>
          <w:szCs w:val="28"/>
          <w:lang w:val="uk-UA"/>
        </w:rPr>
        <w:t xml:space="preserve">Про підприємництво: закон України від </w:t>
      </w:r>
      <w:r w:rsidRPr="005F0419">
        <w:rPr>
          <w:rStyle w:val="apple-style-span"/>
          <w:rFonts w:ascii="Times New Roman" w:hAnsi="Times New Roman"/>
          <w:bCs/>
          <w:sz w:val="28"/>
          <w:szCs w:val="28"/>
          <w:lang w:val="uk-UA"/>
        </w:rPr>
        <w:t>07.02.1991.</w:t>
      </w:r>
      <w:r w:rsidRPr="005F0419">
        <w:rPr>
          <w:rStyle w:val="apple-converted-space"/>
          <w:rFonts w:ascii="Times New Roman" w:hAnsi="Times New Roman" w:cs="Times New Roman"/>
          <w:bCs/>
          <w:sz w:val="28"/>
          <w:szCs w:val="28"/>
          <w:lang w:val="uk-UA"/>
        </w:rPr>
        <w:t> </w:t>
      </w:r>
      <w:r w:rsidRPr="005F0419">
        <w:rPr>
          <w:rStyle w:val="apple-style-span"/>
          <w:rFonts w:ascii="Times New Roman" w:hAnsi="Times New Roman"/>
          <w:bCs/>
          <w:sz w:val="28"/>
          <w:szCs w:val="28"/>
          <w:lang w:val="uk-UA"/>
        </w:rPr>
        <w:t>№</w:t>
      </w:r>
      <w:r w:rsidRPr="005F0419">
        <w:rPr>
          <w:rStyle w:val="apple-converted-space"/>
          <w:rFonts w:ascii="Times New Roman" w:hAnsi="Times New Roman" w:cs="Times New Roman"/>
          <w:bCs/>
          <w:sz w:val="28"/>
          <w:szCs w:val="28"/>
          <w:lang w:val="uk-UA"/>
        </w:rPr>
        <w:t> </w:t>
      </w:r>
      <w:r w:rsidRPr="005F0419">
        <w:rPr>
          <w:rStyle w:val="apple-style-span"/>
          <w:rFonts w:ascii="Times New Roman" w:hAnsi="Times New Roman"/>
          <w:bCs/>
          <w:sz w:val="28"/>
          <w:szCs w:val="28"/>
          <w:lang w:val="uk-UA"/>
        </w:rPr>
        <w:t xml:space="preserve">698-XII. </w:t>
      </w:r>
      <w:r w:rsidRPr="005F0419">
        <w:rPr>
          <w:rFonts w:ascii="Times New Roman" w:hAnsi="Times New Roman" w:cs="Times New Roman"/>
          <w:sz w:val="28"/>
          <w:lang w:val="uk-UA"/>
        </w:rPr>
        <w:t xml:space="preserve">URL: </w:t>
      </w:r>
      <w:hyperlink r:id="rId12" w:history="1">
        <w:r w:rsidRPr="005F0419">
          <w:rPr>
            <w:rStyle w:val="a6"/>
            <w:rFonts w:ascii="Times New Roman" w:hAnsi="Times New Roman" w:cs="Times New Roman"/>
            <w:color w:val="auto"/>
            <w:sz w:val="28"/>
            <w:szCs w:val="28"/>
            <w:lang w:val="uk-UA"/>
          </w:rPr>
          <w:t>http://zakon1.rada.gov.ua</w:t>
        </w:r>
      </w:hyperlink>
    </w:p>
    <w:p w14:paraId="0C258312" w14:textId="77777777" w:rsidR="005F0419" w:rsidRPr="005F0419" w:rsidRDefault="005F0419" w:rsidP="005F0419">
      <w:pPr>
        <w:pStyle w:val="afff8"/>
        <w:spacing w:line="360" w:lineRule="auto"/>
        <w:ind w:firstLine="720"/>
        <w:rPr>
          <w:rStyle w:val="apple-style-span"/>
          <w:rFonts w:ascii="Times New Roman" w:hAnsi="Times New Roman"/>
          <w:sz w:val="28"/>
          <w:szCs w:val="28"/>
          <w:lang w:val="uk-UA"/>
        </w:rPr>
      </w:pPr>
      <w:r w:rsidRPr="005F0419">
        <w:rPr>
          <w:rFonts w:ascii="Times New Roman" w:hAnsi="Times New Roman" w:cs="Times New Roman"/>
          <w:sz w:val="28"/>
          <w:szCs w:val="28"/>
          <w:lang w:val="uk-UA"/>
        </w:rPr>
        <w:t xml:space="preserve">12. </w:t>
      </w:r>
      <w:r w:rsidRPr="005F0419">
        <w:rPr>
          <w:rStyle w:val="apple-style-span"/>
          <w:rFonts w:ascii="Times New Roman" w:hAnsi="Times New Roman"/>
          <w:sz w:val="28"/>
          <w:szCs w:val="28"/>
          <w:lang w:val="uk-UA"/>
        </w:rPr>
        <w:t xml:space="preserve">Про відпустки: </w:t>
      </w:r>
      <w:r w:rsidRPr="005F0419">
        <w:rPr>
          <w:rFonts w:ascii="Times New Roman" w:hAnsi="Times New Roman" w:cs="Times New Roman"/>
          <w:sz w:val="28"/>
          <w:szCs w:val="28"/>
          <w:lang w:val="uk-UA"/>
        </w:rPr>
        <w:t>Закон України</w:t>
      </w:r>
      <w:r w:rsidRPr="005F0419">
        <w:rPr>
          <w:rStyle w:val="apple-style-span"/>
          <w:rFonts w:ascii="Times New Roman" w:hAnsi="Times New Roman"/>
          <w:sz w:val="28"/>
          <w:szCs w:val="28"/>
          <w:lang w:val="uk-UA"/>
        </w:rPr>
        <w:t xml:space="preserve"> від 15.11.96р. №504/96. </w:t>
      </w:r>
    </w:p>
    <w:p w14:paraId="1621F97F" w14:textId="77777777" w:rsidR="005F0419" w:rsidRPr="005F0419" w:rsidRDefault="005F0419" w:rsidP="005F0419">
      <w:pPr>
        <w:pStyle w:val="afff8"/>
        <w:spacing w:line="360" w:lineRule="auto"/>
        <w:rPr>
          <w:rFonts w:ascii="Times New Roman" w:hAnsi="Times New Roman" w:cs="Times New Roman"/>
          <w:sz w:val="28"/>
          <w:szCs w:val="28"/>
          <w:lang w:val="uk-UA"/>
        </w:rPr>
      </w:pPr>
      <w:r w:rsidRPr="005F0419">
        <w:rPr>
          <w:rFonts w:ascii="Times New Roman" w:hAnsi="Times New Roman" w:cs="Times New Roman"/>
          <w:sz w:val="28"/>
          <w:lang w:val="uk-UA"/>
        </w:rPr>
        <w:t xml:space="preserve">URL: </w:t>
      </w:r>
      <w:hyperlink r:id="rId13" w:history="1">
        <w:r w:rsidRPr="005F0419">
          <w:rPr>
            <w:rStyle w:val="a6"/>
            <w:rFonts w:ascii="Times New Roman" w:hAnsi="Times New Roman" w:cs="Times New Roman"/>
            <w:color w:val="auto"/>
            <w:sz w:val="28"/>
            <w:szCs w:val="28"/>
            <w:lang w:val="uk-UA"/>
          </w:rPr>
          <w:t>http://zakon1.rada.gov.ua</w:t>
        </w:r>
      </w:hyperlink>
    </w:p>
    <w:p w14:paraId="306D3A34" w14:textId="77777777" w:rsidR="005F0419" w:rsidRPr="005F0419" w:rsidRDefault="005F0419" w:rsidP="005F0419">
      <w:pPr>
        <w:pStyle w:val="afff8"/>
        <w:spacing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13. </w:t>
      </w:r>
      <w:r w:rsidRPr="005F0419">
        <w:rPr>
          <w:rStyle w:val="apple-style-span"/>
          <w:rFonts w:ascii="Times New Roman" w:hAnsi="Times New Roman"/>
          <w:sz w:val="28"/>
          <w:szCs w:val="28"/>
          <w:lang w:val="uk-UA"/>
        </w:rPr>
        <w:t xml:space="preserve">Про індексацію грошових доходів населення: </w:t>
      </w:r>
      <w:r w:rsidRPr="005F0419">
        <w:rPr>
          <w:rFonts w:ascii="Times New Roman" w:hAnsi="Times New Roman" w:cs="Times New Roman"/>
          <w:sz w:val="28"/>
          <w:szCs w:val="28"/>
          <w:lang w:val="uk-UA"/>
        </w:rPr>
        <w:t xml:space="preserve">закон України </w:t>
      </w:r>
      <w:proofErr w:type="spellStart"/>
      <w:r w:rsidRPr="005F0419">
        <w:rPr>
          <w:rStyle w:val="apple-style-span"/>
          <w:rFonts w:ascii="Times New Roman" w:hAnsi="Times New Roman"/>
          <w:bCs/>
          <w:sz w:val="28"/>
          <w:szCs w:val="28"/>
          <w:lang w:val="uk-UA"/>
        </w:rPr>
        <w:t>вiд</w:t>
      </w:r>
      <w:proofErr w:type="spellEnd"/>
      <w:r w:rsidRPr="005F0419">
        <w:rPr>
          <w:rStyle w:val="apple-converted-space"/>
          <w:rFonts w:ascii="Times New Roman" w:hAnsi="Times New Roman" w:cs="Times New Roman"/>
          <w:bCs/>
          <w:sz w:val="28"/>
          <w:szCs w:val="28"/>
          <w:lang w:val="uk-UA"/>
        </w:rPr>
        <w:t> </w:t>
      </w:r>
      <w:r w:rsidRPr="005F0419">
        <w:rPr>
          <w:rStyle w:val="apple-style-span"/>
          <w:rFonts w:ascii="Times New Roman" w:hAnsi="Times New Roman"/>
          <w:bCs/>
          <w:sz w:val="28"/>
          <w:szCs w:val="28"/>
          <w:lang w:val="uk-UA"/>
        </w:rPr>
        <w:t>03.07.1991</w:t>
      </w:r>
      <w:r w:rsidRPr="005F0419">
        <w:rPr>
          <w:rStyle w:val="apple-converted-space"/>
          <w:rFonts w:ascii="Times New Roman" w:hAnsi="Times New Roman" w:cs="Times New Roman"/>
          <w:bCs/>
          <w:sz w:val="28"/>
          <w:szCs w:val="28"/>
          <w:lang w:val="uk-UA"/>
        </w:rPr>
        <w:t> </w:t>
      </w:r>
      <w:r w:rsidRPr="005F0419">
        <w:rPr>
          <w:rStyle w:val="apple-style-span"/>
          <w:rFonts w:ascii="Times New Roman" w:hAnsi="Times New Roman"/>
          <w:bCs/>
          <w:sz w:val="28"/>
          <w:szCs w:val="28"/>
          <w:lang w:val="uk-UA"/>
        </w:rPr>
        <w:t> №</w:t>
      </w:r>
      <w:r w:rsidRPr="005F0419">
        <w:rPr>
          <w:rStyle w:val="apple-converted-space"/>
          <w:rFonts w:ascii="Times New Roman" w:hAnsi="Times New Roman" w:cs="Times New Roman"/>
          <w:bCs/>
          <w:sz w:val="28"/>
          <w:szCs w:val="28"/>
          <w:lang w:val="uk-UA"/>
        </w:rPr>
        <w:t> </w:t>
      </w:r>
      <w:r w:rsidRPr="005F0419">
        <w:rPr>
          <w:rStyle w:val="apple-style-span"/>
          <w:rFonts w:ascii="Times New Roman" w:hAnsi="Times New Roman"/>
          <w:bCs/>
          <w:sz w:val="28"/>
          <w:szCs w:val="28"/>
          <w:lang w:val="uk-UA"/>
        </w:rPr>
        <w:t xml:space="preserve">1282-XII-ВР. </w:t>
      </w:r>
      <w:r w:rsidRPr="005F0419">
        <w:rPr>
          <w:rStyle w:val="apple-style-span"/>
          <w:rFonts w:ascii="Times New Roman" w:hAnsi="Times New Roman"/>
          <w:sz w:val="28"/>
          <w:szCs w:val="28"/>
          <w:lang w:val="uk-UA"/>
        </w:rPr>
        <w:t xml:space="preserve">URL: </w:t>
      </w:r>
      <w:hyperlink r:id="rId14" w:history="1">
        <w:r w:rsidRPr="005F0419">
          <w:rPr>
            <w:rStyle w:val="a6"/>
            <w:rFonts w:ascii="Times New Roman" w:hAnsi="Times New Roman" w:cs="Times New Roman"/>
            <w:color w:val="auto"/>
            <w:sz w:val="28"/>
            <w:szCs w:val="28"/>
            <w:lang w:val="uk-UA"/>
          </w:rPr>
          <w:t>http://zakon1.rada.gov.ua</w:t>
        </w:r>
      </w:hyperlink>
    </w:p>
    <w:p w14:paraId="695EB827" w14:textId="77777777" w:rsidR="005F0419" w:rsidRPr="005F0419" w:rsidRDefault="005F0419" w:rsidP="005F0419">
      <w:pPr>
        <w:pStyle w:val="afff8"/>
        <w:spacing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14. Економіка праці : </w:t>
      </w:r>
      <w:proofErr w:type="spellStart"/>
      <w:r w:rsidRPr="005F0419">
        <w:rPr>
          <w:rFonts w:ascii="Times New Roman" w:hAnsi="Times New Roman" w:cs="Times New Roman"/>
          <w:sz w:val="28"/>
          <w:szCs w:val="28"/>
          <w:lang w:val="uk-UA"/>
        </w:rPr>
        <w:t>навч</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посіб</w:t>
      </w:r>
      <w:proofErr w:type="spellEnd"/>
      <w:r w:rsidRPr="005F0419">
        <w:rPr>
          <w:rFonts w:ascii="Times New Roman" w:hAnsi="Times New Roman" w:cs="Times New Roman"/>
          <w:sz w:val="28"/>
          <w:szCs w:val="28"/>
          <w:lang w:val="uk-UA"/>
        </w:rPr>
        <w:t xml:space="preserve">. За </w:t>
      </w:r>
      <w:proofErr w:type="spellStart"/>
      <w:r w:rsidRPr="005F0419">
        <w:rPr>
          <w:rFonts w:ascii="Times New Roman" w:hAnsi="Times New Roman" w:cs="Times New Roman"/>
          <w:sz w:val="28"/>
          <w:szCs w:val="28"/>
          <w:lang w:val="uk-UA"/>
        </w:rPr>
        <w:t>заг</w:t>
      </w:r>
      <w:proofErr w:type="spellEnd"/>
      <w:r w:rsidRPr="005F0419">
        <w:rPr>
          <w:rFonts w:ascii="Times New Roman" w:hAnsi="Times New Roman" w:cs="Times New Roman"/>
          <w:sz w:val="28"/>
          <w:szCs w:val="28"/>
          <w:lang w:val="uk-UA"/>
        </w:rPr>
        <w:t xml:space="preserve">. ред. Г. В. Назарової. Харків : ХНЕУ ім. С. </w:t>
      </w:r>
      <w:proofErr w:type="spellStart"/>
      <w:r w:rsidRPr="005F0419">
        <w:rPr>
          <w:rFonts w:ascii="Times New Roman" w:hAnsi="Times New Roman" w:cs="Times New Roman"/>
          <w:sz w:val="28"/>
          <w:szCs w:val="28"/>
          <w:lang w:val="uk-UA"/>
        </w:rPr>
        <w:t>Кузнеця</w:t>
      </w:r>
      <w:proofErr w:type="spellEnd"/>
      <w:r w:rsidRPr="005F0419">
        <w:rPr>
          <w:rFonts w:ascii="Times New Roman" w:hAnsi="Times New Roman" w:cs="Times New Roman"/>
          <w:sz w:val="28"/>
          <w:szCs w:val="28"/>
          <w:lang w:val="uk-UA"/>
        </w:rPr>
        <w:t>, 2019. 330 с.</w:t>
      </w:r>
    </w:p>
    <w:p w14:paraId="71CB9325" w14:textId="77777777" w:rsidR="005F0419" w:rsidRPr="005F0419" w:rsidRDefault="005F0419" w:rsidP="005F0419">
      <w:pPr>
        <w:pStyle w:val="afff8"/>
        <w:spacing w:line="360" w:lineRule="auto"/>
        <w:ind w:firstLine="720"/>
        <w:rPr>
          <w:rStyle w:val="apple-style-span"/>
          <w:rFonts w:ascii="Times New Roman" w:hAnsi="Times New Roman"/>
          <w:sz w:val="28"/>
          <w:szCs w:val="28"/>
          <w:lang w:val="uk-UA"/>
        </w:rPr>
      </w:pPr>
      <w:r w:rsidRPr="005F0419">
        <w:rPr>
          <w:rFonts w:ascii="Times New Roman" w:hAnsi="Times New Roman" w:cs="Times New Roman"/>
          <w:sz w:val="28"/>
          <w:szCs w:val="28"/>
          <w:lang w:val="uk-UA"/>
        </w:rPr>
        <w:t xml:space="preserve">15. </w:t>
      </w:r>
      <w:r w:rsidRPr="005F0419">
        <w:rPr>
          <w:rStyle w:val="apple-style-span"/>
          <w:rFonts w:ascii="Times New Roman" w:hAnsi="Times New Roman"/>
          <w:sz w:val="28"/>
          <w:szCs w:val="28"/>
          <w:lang w:val="uk-UA"/>
        </w:rPr>
        <w:t xml:space="preserve">Пащенко І. Н. Економіка праці та соціально-трудові відносини: </w:t>
      </w:r>
      <w:proofErr w:type="spellStart"/>
      <w:r w:rsidRPr="005F0419">
        <w:rPr>
          <w:rStyle w:val="apple-style-span"/>
          <w:rFonts w:ascii="Times New Roman" w:hAnsi="Times New Roman"/>
          <w:sz w:val="28"/>
          <w:szCs w:val="28"/>
          <w:lang w:val="uk-UA"/>
        </w:rPr>
        <w:t>навч</w:t>
      </w:r>
      <w:proofErr w:type="spellEnd"/>
      <w:r w:rsidRPr="005F0419">
        <w:rPr>
          <w:rStyle w:val="apple-style-span"/>
          <w:rFonts w:ascii="Times New Roman" w:hAnsi="Times New Roman"/>
          <w:sz w:val="28"/>
          <w:szCs w:val="28"/>
          <w:lang w:val="uk-UA"/>
        </w:rPr>
        <w:t xml:space="preserve">. </w:t>
      </w:r>
      <w:proofErr w:type="spellStart"/>
      <w:r w:rsidRPr="005F0419">
        <w:rPr>
          <w:rStyle w:val="apple-style-span"/>
          <w:rFonts w:ascii="Times New Roman" w:hAnsi="Times New Roman"/>
          <w:sz w:val="28"/>
          <w:szCs w:val="28"/>
          <w:lang w:val="uk-UA"/>
        </w:rPr>
        <w:t>посіб</w:t>
      </w:r>
      <w:proofErr w:type="spellEnd"/>
      <w:r w:rsidRPr="005F0419">
        <w:rPr>
          <w:rStyle w:val="apple-style-span"/>
          <w:rFonts w:ascii="Times New Roman" w:hAnsi="Times New Roman"/>
          <w:sz w:val="28"/>
          <w:szCs w:val="28"/>
          <w:lang w:val="uk-UA"/>
        </w:rPr>
        <w:t>. Львів «Магнолія 2006», 2007. 260 с.</w:t>
      </w:r>
    </w:p>
    <w:p w14:paraId="29D8F09F" w14:textId="77777777" w:rsidR="005F0419" w:rsidRPr="005F0419" w:rsidRDefault="005F0419" w:rsidP="005F0419">
      <w:pPr>
        <w:pStyle w:val="afff8"/>
        <w:spacing w:line="360" w:lineRule="auto"/>
        <w:ind w:firstLine="720"/>
        <w:rPr>
          <w:rStyle w:val="apple-style-span"/>
          <w:rFonts w:ascii="Times New Roman" w:hAnsi="Times New Roman"/>
          <w:sz w:val="28"/>
          <w:szCs w:val="28"/>
          <w:lang w:val="uk-UA"/>
        </w:rPr>
      </w:pPr>
      <w:r w:rsidRPr="005F0419">
        <w:rPr>
          <w:rStyle w:val="apple-style-span"/>
          <w:rFonts w:ascii="Times New Roman" w:hAnsi="Times New Roman"/>
          <w:sz w:val="28"/>
          <w:szCs w:val="28"/>
          <w:lang w:val="uk-UA"/>
        </w:rPr>
        <w:t>16. Крушельницька Я. В. Фізіологія і психологія праці: підручник. К.: КНЕУ, 2003. 367 с.</w:t>
      </w:r>
    </w:p>
    <w:p w14:paraId="0293D91C" w14:textId="77777777" w:rsidR="005F0419" w:rsidRPr="005F0419" w:rsidRDefault="005F0419" w:rsidP="005F0419">
      <w:pPr>
        <w:pStyle w:val="afff8"/>
        <w:spacing w:line="360" w:lineRule="auto"/>
        <w:ind w:firstLine="720"/>
        <w:rPr>
          <w:rFonts w:ascii="Times New Roman" w:hAnsi="Times New Roman" w:cs="Times New Roman"/>
          <w:sz w:val="28"/>
          <w:szCs w:val="28"/>
          <w:lang w:val="uk-UA"/>
        </w:rPr>
      </w:pPr>
      <w:r w:rsidRPr="005F0419">
        <w:rPr>
          <w:rStyle w:val="apple-style-span"/>
          <w:rFonts w:ascii="Times New Roman" w:hAnsi="Times New Roman"/>
          <w:sz w:val="28"/>
          <w:szCs w:val="28"/>
          <w:lang w:val="uk-UA"/>
        </w:rPr>
        <w:t xml:space="preserve">17. </w:t>
      </w:r>
      <w:proofErr w:type="spellStart"/>
      <w:r w:rsidRPr="005F0419">
        <w:rPr>
          <w:rStyle w:val="apple-style-span"/>
          <w:rFonts w:ascii="Times New Roman" w:hAnsi="Times New Roman"/>
          <w:sz w:val="28"/>
          <w:szCs w:val="28"/>
          <w:lang w:val="uk-UA"/>
        </w:rPr>
        <w:t>Синяєва</w:t>
      </w:r>
      <w:proofErr w:type="spellEnd"/>
      <w:r w:rsidRPr="005F0419">
        <w:rPr>
          <w:rStyle w:val="apple-style-span"/>
          <w:rFonts w:ascii="Times New Roman" w:hAnsi="Times New Roman"/>
          <w:sz w:val="28"/>
          <w:szCs w:val="28"/>
          <w:lang w:val="uk-UA"/>
        </w:rPr>
        <w:t xml:space="preserve"> Л. В., Верховод І. С. Проблеми забезпечення якості життя і соціального захисту населення. Вісник Бердянського університету менеджменту і бізнесу. 2021. 1. С. 84-91.</w:t>
      </w:r>
    </w:p>
    <w:p w14:paraId="7CFCB660" w14:textId="77777777" w:rsidR="005F0419" w:rsidRPr="005F0419" w:rsidRDefault="005F0419" w:rsidP="005F0419">
      <w:pPr>
        <w:pStyle w:val="afff8"/>
        <w:spacing w:line="360" w:lineRule="auto"/>
        <w:ind w:firstLine="720"/>
        <w:rPr>
          <w:rFonts w:ascii="Times New Roman" w:hAnsi="Times New Roman" w:cs="Times New Roman"/>
          <w:sz w:val="28"/>
          <w:szCs w:val="28"/>
          <w:lang w:val="uk-UA"/>
        </w:rPr>
      </w:pPr>
      <w:r w:rsidRPr="005F0419">
        <w:rPr>
          <w:rStyle w:val="apple-style-span"/>
          <w:rFonts w:ascii="Times New Roman" w:hAnsi="Times New Roman"/>
          <w:sz w:val="28"/>
          <w:szCs w:val="28"/>
          <w:lang w:val="uk-UA"/>
        </w:rPr>
        <w:t xml:space="preserve">18. </w:t>
      </w:r>
      <w:r w:rsidRPr="005F0419">
        <w:rPr>
          <w:rFonts w:ascii="Times New Roman" w:hAnsi="Times New Roman" w:cs="Times New Roman"/>
          <w:sz w:val="28"/>
          <w:szCs w:val="28"/>
          <w:lang w:val="uk-UA"/>
        </w:rPr>
        <w:t xml:space="preserve">Ладунка І. С., </w:t>
      </w:r>
      <w:proofErr w:type="spellStart"/>
      <w:r w:rsidRPr="005F0419">
        <w:rPr>
          <w:rFonts w:ascii="Times New Roman" w:hAnsi="Times New Roman" w:cs="Times New Roman"/>
          <w:sz w:val="28"/>
          <w:szCs w:val="28"/>
          <w:lang w:val="uk-UA"/>
        </w:rPr>
        <w:t>Зажерило</w:t>
      </w:r>
      <w:proofErr w:type="spellEnd"/>
      <w:r w:rsidRPr="005F0419">
        <w:rPr>
          <w:rFonts w:ascii="Times New Roman" w:hAnsi="Times New Roman" w:cs="Times New Roman"/>
          <w:sz w:val="28"/>
          <w:szCs w:val="28"/>
          <w:lang w:val="uk-UA"/>
        </w:rPr>
        <w:t xml:space="preserve"> А. І. Напрямки вдосконалення організації оплати праці на підприємствах. </w:t>
      </w:r>
      <w:r w:rsidRPr="005F0419">
        <w:rPr>
          <w:rStyle w:val="apple-style-span"/>
          <w:rFonts w:ascii="Times New Roman" w:hAnsi="Times New Roman"/>
          <w:sz w:val="28"/>
          <w:szCs w:val="28"/>
          <w:lang w:val="uk-UA"/>
        </w:rPr>
        <w:t xml:space="preserve">URL: </w:t>
      </w:r>
      <w:hyperlink r:id="rId15" w:history="1">
        <w:r w:rsidRPr="005F0419">
          <w:rPr>
            <w:rStyle w:val="a6"/>
            <w:rFonts w:ascii="Times New Roman" w:hAnsi="Times New Roman" w:cs="Times New Roman"/>
            <w:color w:val="auto"/>
            <w:sz w:val="28"/>
            <w:szCs w:val="28"/>
            <w:lang w:val="uk-UA"/>
          </w:rPr>
          <w:t>https://economyandsociety.in.ua/journals/16_ukr/60.pdf</w:t>
        </w:r>
      </w:hyperlink>
      <w:r w:rsidRPr="005F0419">
        <w:rPr>
          <w:rFonts w:ascii="Times New Roman" w:hAnsi="Times New Roman" w:cs="Times New Roman"/>
          <w:sz w:val="28"/>
          <w:szCs w:val="28"/>
          <w:lang w:val="uk-UA"/>
        </w:rPr>
        <w:t xml:space="preserve"> </w:t>
      </w:r>
    </w:p>
    <w:p w14:paraId="05ED6B5B" w14:textId="77E9E5AE" w:rsidR="005F0419" w:rsidRPr="005F0419" w:rsidRDefault="005F0419" w:rsidP="005F0419">
      <w:pPr>
        <w:pStyle w:val="afff8"/>
        <w:spacing w:line="360" w:lineRule="auto"/>
        <w:ind w:firstLine="720"/>
        <w:rPr>
          <w:rStyle w:val="apple-style-span"/>
          <w:rFonts w:ascii="Times New Roman" w:hAnsi="Times New Roman"/>
          <w:sz w:val="28"/>
          <w:szCs w:val="28"/>
          <w:shd w:val="clear" w:color="auto" w:fill="FFFFFF"/>
          <w:lang w:val="uk-UA"/>
        </w:rPr>
      </w:pPr>
      <w:r w:rsidRPr="005F0419">
        <w:rPr>
          <w:rStyle w:val="apple-style-span"/>
          <w:rFonts w:ascii="Times New Roman" w:hAnsi="Times New Roman"/>
          <w:sz w:val="28"/>
          <w:szCs w:val="28"/>
          <w:shd w:val="clear" w:color="auto" w:fill="FFFFFF"/>
          <w:lang w:val="uk-UA"/>
        </w:rPr>
        <w:t>19. Герасименко А. Мотиви, інтереси, стимули, с</w:t>
      </w:r>
      <w:r w:rsidR="007D4366">
        <w:rPr>
          <w:rStyle w:val="apple-style-span"/>
          <w:rFonts w:ascii="Times New Roman" w:hAnsi="Times New Roman"/>
          <w:sz w:val="28"/>
          <w:szCs w:val="28"/>
          <w:shd w:val="clear" w:color="auto" w:fill="FFFFFF"/>
          <w:lang w:val="uk-UA"/>
        </w:rPr>
        <w:t>ти</w:t>
      </w:r>
      <w:r w:rsidRPr="005F0419">
        <w:rPr>
          <w:rStyle w:val="apple-style-span"/>
          <w:rFonts w:ascii="Times New Roman" w:hAnsi="Times New Roman"/>
          <w:sz w:val="28"/>
          <w:szCs w:val="28"/>
          <w:shd w:val="clear" w:color="auto" w:fill="FFFFFF"/>
          <w:lang w:val="uk-UA"/>
        </w:rPr>
        <w:t xml:space="preserve">мулювання як основні категорії, що розкривають сутність мотивації праці. Економіка та суспільство. 2022. </w:t>
      </w:r>
      <w:proofErr w:type="spellStart"/>
      <w:r w:rsidRPr="005F0419">
        <w:rPr>
          <w:rStyle w:val="apple-style-span"/>
          <w:rFonts w:ascii="Times New Roman" w:hAnsi="Times New Roman"/>
          <w:sz w:val="28"/>
          <w:szCs w:val="28"/>
          <w:shd w:val="clear" w:color="auto" w:fill="FFFFFF"/>
          <w:lang w:val="uk-UA"/>
        </w:rPr>
        <w:t>Вип</w:t>
      </w:r>
      <w:proofErr w:type="spellEnd"/>
      <w:r w:rsidRPr="005F0419">
        <w:rPr>
          <w:rStyle w:val="apple-style-span"/>
          <w:rFonts w:ascii="Times New Roman" w:hAnsi="Times New Roman"/>
          <w:sz w:val="28"/>
          <w:szCs w:val="28"/>
          <w:shd w:val="clear" w:color="auto" w:fill="FFFFFF"/>
          <w:lang w:val="uk-UA"/>
        </w:rPr>
        <w:t xml:space="preserve">. 40.  </w:t>
      </w:r>
      <w:r w:rsidRPr="005F0419">
        <w:rPr>
          <w:rStyle w:val="apple-style-span"/>
          <w:rFonts w:ascii="Times New Roman" w:hAnsi="Times New Roman"/>
          <w:sz w:val="28"/>
          <w:szCs w:val="28"/>
          <w:lang w:val="uk-UA"/>
        </w:rPr>
        <w:t xml:space="preserve">URL: </w:t>
      </w:r>
      <w:hyperlink r:id="rId16" w:history="1">
        <w:r w:rsidRPr="005F0419">
          <w:rPr>
            <w:rStyle w:val="a6"/>
            <w:rFonts w:ascii="Times New Roman" w:hAnsi="Times New Roman" w:cs="Times New Roman"/>
            <w:color w:val="auto"/>
            <w:sz w:val="28"/>
            <w:szCs w:val="28"/>
            <w:shd w:val="clear" w:color="auto" w:fill="FFFFFF"/>
            <w:lang w:val="uk-UA"/>
          </w:rPr>
          <w:t>https://economyandsociety.in.ua/index.php/journal/article/view/1461/1406</w:t>
        </w:r>
      </w:hyperlink>
      <w:r w:rsidRPr="005F0419">
        <w:rPr>
          <w:rStyle w:val="apple-style-span"/>
          <w:rFonts w:ascii="Times New Roman" w:hAnsi="Times New Roman"/>
          <w:sz w:val="28"/>
          <w:szCs w:val="28"/>
          <w:shd w:val="clear" w:color="auto" w:fill="FFFFFF"/>
          <w:lang w:val="uk-UA"/>
        </w:rPr>
        <w:t xml:space="preserve"> </w:t>
      </w:r>
    </w:p>
    <w:p w14:paraId="003C2A73" w14:textId="7CF63074" w:rsidR="005F0419" w:rsidRDefault="005F0419" w:rsidP="005F0419">
      <w:pPr>
        <w:pStyle w:val="a9"/>
        <w:spacing w:before="0" w:beforeAutospacing="0" w:after="0" w:afterAutospacing="0" w:line="360" w:lineRule="auto"/>
        <w:ind w:firstLine="720"/>
        <w:jc w:val="both"/>
        <w:rPr>
          <w:sz w:val="28"/>
          <w:szCs w:val="28"/>
          <w:lang w:val="uk-UA"/>
        </w:rPr>
      </w:pPr>
    </w:p>
    <w:p w14:paraId="0BADCE4D" w14:textId="1ECB2BA9" w:rsidR="007D4366" w:rsidRDefault="007D4366" w:rsidP="005F0419">
      <w:pPr>
        <w:pStyle w:val="a9"/>
        <w:spacing w:before="0" w:beforeAutospacing="0" w:after="0" w:afterAutospacing="0" w:line="360" w:lineRule="auto"/>
        <w:ind w:firstLine="720"/>
        <w:jc w:val="both"/>
        <w:rPr>
          <w:i/>
          <w:iCs/>
          <w:sz w:val="28"/>
          <w:szCs w:val="28"/>
          <w:lang w:val="uk-UA"/>
        </w:rPr>
      </w:pPr>
      <w:r w:rsidRPr="007D4366">
        <w:rPr>
          <w:b/>
          <w:bCs/>
          <w:i/>
          <w:iCs/>
          <w:sz w:val="28"/>
          <w:szCs w:val="28"/>
          <w:lang w:val="uk-UA"/>
        </w:rPr>
        <w:t>Ключові слова:</w:t>
      </w:r>
      <w:r w:rsidRPr="007D4366">
        <w:rPr>
          <w:i/>
          <w:iCs/>
          <w:sz w:val="28"/>
          <w:szCs w:val="28"/>
          <w:lang w:val="uk-UA"/>
        </w:rPr>
        <w:t xml:space="preserve"> </w:t>
      </w:r>
      <w:r>
        <w:rPr>
          <w:i/>
          <w:iCs/>
          <w:sz w:val="28"/>
          <w:szCs w:val="28"/>
          <w:lang w:val="uk-UA"/>
        </w:rPr>
        <w:t>фінансове управління, оплата праці, заробітна плата, стимулювання, мотивація, трудові ресурси, підприємство.</w:t>
      </w:r>
    </w:p>
    <w:p w14:paraId="5404B8A9" w14:textId="77777777" w:rsidR="007D4366" w:rsidRPr="007D4366" w:rsidRDefault="007D4366" w:rsidP="005F0419">
      <w:pPr>
        <w:pStyle w:val="a9"/>
        <w:spacing w:before="0" w:beforeAutospacing="0" w:after="0" w:afterAutospacing="0" w:line="360" w:lineRule="auto"/>
        <w:ind w:firstLine="720"/>
        <w:jc w:val="both"/>
        <w:rPr>
          <w:i/>
          <w:iCs/>
          <w:sz w:val="28"/>
          <w:szCs w:val="28"/>
          <w:lang w:val="uk-UA"/>
        </w:rPr>
      </w:pPr>
    </w:p>
    <w:p w14:paraId="50AFBA76" w14:textId="33749ABB" w:rsidR="005F0419" w:rsidRDefault="005F0419" w:rsidP="00662012">
      <w:pPr>
        <w:spacing w:after="0" w:line="360" w:lineRule="auto"/>
        <w:ind w:firstLine="720"/>
        <w:jc w:val="both"/>
        <w:rPr>
          <w:rFonts w:ascii="Times New Roman" w:hAnsi="Times New Roman" w:cs="Times New Roman"/>
          <w:sz w:val="28"/>
          <w:szCs w:val="28"/>
          <w:lang w:val="uk-UA"/>
        </w:rPr>
      </w:pPr>
    </w:p>
    <w:p w14:paraId="543BAF2D" w14:textId="40884ECB" w:rsidR="0000167A" w:rsidRPr="005F0419" w:rsidRDefault="0000167A" w:rsidP="00662012">
      <w:pPr>
        <w:spacing w:after="0" w:line="360" w:lineRule="auto"/>
        <w:ind w:firstLine="720"/>
        <w:jc w:val="center"/>
        <w:rPr>
          <w:rFonts w:ascii="Times New Roman" w:hAnsi="Times New Roman" w:cs="Times New Roman"/>
          <w:b/>
          <w:sz w:val="28"/>
          <w:szCs w:val="28"/>
          <w:lang w:val="uk-UA"/>
        </w:rPr>
      </w:pPr>
      <w:r w:rsidRPr="005F0419">
        <w:rPr>
          <w:rFonts w:ascii="Times New Roman" w:hAnsi="Times New Roman" w:cs="Times New Roman"/>
          <w:b/>
          <w:sz w:val="28"/>
          <w:szCs w:val="28"/>
          <w:lang w:val="uk-UA"/>
        </w:rPr>
        <w:t>КОРПОРАТИВНА СОЦІАЛЬНА БЕЗПЕКА В УМОВАХ ВОЄННОГО ЧАСУ ТА ПЕРСПЕКТИВИ ЇЇ ЗАБЕЗПЕЧЕННЯ</w:t>
      </w:r>
    </w:p>
    <w:p w14:paraId="23B6A908" w14:textId="77777777" w:rsidR="00D8240C" w:rsidRPr="005F0419" w:rsidRDefault="00D8240C" w:rsidP="00D8240C">
      <w:pPr>
        <w:spacing w:after="0" w:line="360" w:lineRule="auto"/>
        <w:ind w:firstLine="720"/>
        <w:jc w:val="both"/>
        <w:rPr>
          <w:rFonts w:ascii="Times New Roman" w:hAnsi="Times New Roman" w:cs="Times New Roman"/>
          <w:b/>
          <w:i/>
          <w:iCs/>
          <w:sz w:val="28"/>
          <w:szCs w:val="28"/>
          <w:lang w:val="uk-UA"/>
        </w:rPr>
      </w:pPr>
    </w:p>
    <w:p w14:paraId="008F05D3" w14:textId="09DF0D67" w:rsidR="00D8240C" w:rsidRPr="005F0419" w:rsidRDefault="00D8240C" w:rsidP="00D8240C">
      <w:pPr>
        <w:spacing w:after="0" w:line="360" w:lineRule="auto"/>
        <w:ind w:firstLine="720"/>
        <w:jc w:val="center"/>
        <w:rPr>
          <w:rFonts w:ascii="Times New Roman" w:hAnsi="Times New Roman" w:cs="Times New Roman"/>
          <w:bCs/>
          <w:i/>
          <w:iCs/>
          <w:sz w:val="28"/>
          <w:szCs w:val="28"/>
          <w:lang w:val="uk-UA"/>
        </w:rPr>
      </w:pPr>
      <w:proofErr w:type="spellStart"/>
      <w:r w:rsidRPr="005F0419">
        <w:rPr>
          <w:rFonts w:ascii="Times New Roman" w:hAnsi="Times New Roman" w:cs="Times New Roman"/>
          <w:b/>
          <w:i/>
          <w:iCs/>
          <w:sz w:val="28"/>
          <w:szCs w:val="28"/>
          <w:lang w:val="uk-UA"/>
        </w:rPr>
        <w:t>Бондаревська</w:t>
      </w:r>
      <w:proofErr w:type="spellEnd"/>
      <w:r w:rsidRPr="005F0419">
        <w:rPr>
          <w:rFonts w:ascii="Times New Roman" w:hAnsi="Times New Roman" w:cs="Times New Roman"/>
          <w:b/>
          <w:i/>
          <w:iCs/>
          <w:sz w:val="28"/>
          <w:szCs w:val="28"/>
          <w:lang w:val="uk-UA"/>
        </w:rPr>
        <w:t xml:space="preserve"> Ксенія Валентинівна</w:t>
      </w:r>
    </w:p>
    <w:bookmarkEnd w:id="1"/>
    <w:p w14:paraId="10BC2BF0"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p>
    <w:p w14:paraId="1DEE60D2"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 початком війни в Україні суб’єкти господарювання зіткнулися з цілою низкою критичних загроз, які притаманні воєнному часу. Ризики втрати робочих місць та пошкодження інфраструктури, зниження рівня та якості життя працівників, загрози особистій безпеці здійснюють вкрай негативний вплив на </w:t>
      </w:r>
      <w:r w:rsidRPr="005F0419">
        <w:rPr>
          <w:rFonts w:ascii="Times New Roman" w:hAnsi="Times New Roman" w:cs="Times New Roman"/>
          <w:sz w:val="28"/>
          <w:szCs w:val="28"/>
          <w:lang w:val="uk-UA"/>
        </w:rPr>
        <w:lastRenderedPageBreak/>
        <w:t>стан захищеності соціальних інтересів персоналу підприємств. Все це викликає зростання актуальності дослідження саме соціальних показників і критеріїв розвитку. Так, разом із суто економічними індикаторами діяльності, показовими є якісні параметри розвитку трудових ресурсів та рівня життя, забезпечення соціальної безпеки у контексті функціонування суб’єктів господарювання. Як засвідчує практичний досвід та численні дослідження науковців, ігнорування соціальних індикаторів розвитку призводить до виникнення серйозних проблем, які здійснюють негативний вплив на стан національної безпеки держави.</w:t>
      </w:r>
    </w:p>
    <w:p w14:paraId="5D050877" w14:textId="77777777" w:rsidR="0000167A" w:rsidRPr="005F0419" w:rsidRDefault="0000167A" w:rsidP="00662012">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Теоретико-методологічну та інформаційну основу дослідження корпоративної соціальної безпеки становили авторські напрацювання у сфері соціальної безпеки, фундаментальні наукові положення з урахуванням напрацювань вітчизняних та зарубіжних науковців, статистична інформація Державної служби статистики України, інші аналітичні джерела. У якості методичної бази у процесі дослідження були використані </w:t>
      </w:r>
      <w:r w:rsidRPr="005F0419">
        <w:rPr>
          <w:spacing w:val="-4"/>
          <w:sz w:val="28"/>
          <w:szCs w:val="28"/>
          <w:lang w:val="uk-UA"/>
        </w:rPr>
        <w:t xml:space="preserve">як загальнонаукові, так і спеціальні методі, серед яких: аналіз і синтез, дедукція та індукція, узагальнення та системний аналіз (з метою узагальнення існуючих наукових підходів щодо визначення </w:t>
      </w:r>
      <w:proofErr w:type="spellStart"/>
      <w:r w:rsidRPr="005F0419">
        <w:rPr>
          <w:spacing w:val="-4"/>
          <w:sz w:val="28"/>
          <w:szCs w:val="28"/>
          <w:lang w:val="uk-UA"/>
        </w:rPr>
        <w:t>понятійно</w:t>
      </w:r>
      <w:proofErr w:type="spellEnd"/>
      <w:r w:rsidRPr="005F0419">
        <w:rPr>
          <w:spacing w:val="-4"/>
          <w:sz w:val="28"/>
          <w:szCs w:val="28"/>
          <w:lang w:val="uk-UA"/>
        </w:rPr>
        <w:t xml:space="preserve">-категорійного апарату корпоративної соціальної безпеки),  </w:t>
      </w:r>
      <w:proofErr w:type="spellStart"/>
      <w:r w:rsidRPr="005F0419">
        <w:rPr>
          <w:spacing w:val="-4"/>
          <w:sz w:val="28"/>
          <w:szCs w:val="28"/>
          <w:lang w:val="uk-UA"/>
        </w:rPr>
        <w:t>класифікаційно</w:t>
      </w:r>
      <w:proofErr w:type="spellEnd"/>
      <w:r w:rsidRPr="005F0419">
        <w:rPr>
          <w:spacing w:val="-4"/>
          <w:sz w:val="28"/>
          <w:szCs w:val="28"/>
          <w:lang w:val="uk-UA"/>
        </w:rPr>
        <w:t xml:space="preserve">-аналітичний (для обґрунтування структурних елементів корпоративної соціальної безпеки), </w:t>
      </w:r>
      <w:proofErr w:type="spellStart"/>
      <w:r w:rsidRPr="005F0419">
        <w:rPr>
          <w:spacing w:val="-4"/>
          <w:sz w:val="28"/>
          <w:szCs w:val="28"/>
          <w:lang w:val="uk-UA"/>
        </w:rPr>
        <w:t>абстрактно</w:t>
      </w:r>
      <w:proofErr w:type="spellEnd"/>
      <w:r w:rsidRPr="005F0419">
        <w:rPr>
          <w:spacing w:val="-4"/>
          <w:sz w:val="28"/>
          <w:szCs w:val="28"/>
          <w:lang w:val="uk-UA"/>
        </w:rPr>
        <w:t>-логічний (для визначення методологічних підходів щодо оцінки корпоративної соціальної безпеки), компаративного аналізу та аналізу рядів динаміки (для оцінки тенденцій забезпечення окремих аспектів корпоративної соціальної безпеки, визначення відповідних викликів та загроз), системного узагальнення (з метою обґрунтування засад розробки стратегічних напрямів забезпечення корпоративної соціальної безпеки).</w:t>
      </w:r>
    </w:p>
    <w:p w14:paraId="2522B591"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Враховуючи той факт, що безпека є основою для подальшого розвитку людини, варто зауважити, що у випадку незадоволення безпекових потреб жодна людина не може повноцінно розвиватися, реалізовувати свій потенціал,  досягати успіху. Звичайно, за умови проведення ліквідації небезпечної або загрозливої ситуації, є можливість стабілізації стану особистості, організації, суспільства або </w:t>
      </w:r>
      <w:r w:rsidRPr="005F0419">
        <w:rPr>
          <w:rFonts w:ascii="Times New Roman" w:hAnsi="Times New Roman" w:cs="Times New Roman"/>
          <w:sz w:val="28"/>
          <w:szCs w:val="28"/>
          <w:lang w:val="uk-UA"/>
        </w:rPr>
        <w:lastRenderedPageBreak/>
        <w:t xml:space="preserve">держави. При чому, з одного боку, загроза гальмує процеси розвитку. З іншого боку, загроза сприяє мобілізації всіх наявних ресурсів та активізації всіх можливих заходів задля стабілізації загрозливої ситуації. Надалі суб’єкт, який постійно знаходиться у стані загроз, починає сприймати його як різновид норми. Однак, це у певній мірі суперечить теорії ієрархії потреб </w:t>
      </w:r>
      <w:proofErr w:type="spellStart"/>
      <w:r w:rsidRPr="005F0419">
        <w:rPr>
          <w:rFonts w:ascii="Times New Roman" w:hAnsi="Times New Roman" w:cs="Times New Roman"/>
          <w:sz w:val="28"/>
          <w:szCs w:val="28"/>
          <w:lang w:val="uk-UA"/>
        </w:rPr>
        <w:t>Абрахама</w:t>
      </w:r>
      <w:proofErr w:type="spellEnd"/>
      <w:r w:rsidRPr="005F0419">
        <w:rPr>
          <w:rFonts w:ascii="Times New Roman" w:hAnsi="Times New Roman" w:cs="Times New Roman"/>
          <w:sz w:val="28"/>
          <w:szCs w:val="28"/>
          <w:lang w:val="uk-UA"/>
        </w:rPr>
        <w:t xml:space="preserve"> Маслоу щодо задоволення первинних потреб (у тому числі безпекових) з метою подальшого зростання та розвитку. </w:t>
      </w:r>
    </w:p>
    <w:p w14:paraId="3F9C4A93"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Відповідні ризики та загрози суттєво ускладнюють функціонування українських підприємств та організацій, викликають об’єктивну необхідність діагностики особливостей поточної ситуації задля визначення перспективних напрямів нейтралізації негативних наслідків впливу соціальних ризиків в умовах війни.</w:t>
      </w:r>
      <w:r w:rsidRPr="005F0419">
        <w:rPr>
          <w:rFonts w:ascii="Times New Roman" w:hAnsi="Times New Roman" w:cs="Times New Roman"/>
          <w:sz w:val="28"/>
          <w:szCs w:val="28"/>
          <w:lang w:val="uk-UA" w:eastAsia="uk-UA"/>
        </w:rPr>
        <w:t xml:space="preserve"> </w:t>
      </w:r>
      <w:r w:rsidRPr="005F0419">
        <w:rPr>
          <w:rFonts w:ascii="Times New Roman" w:hAnsi="Times New Roman" w:cs="Times New Roman"/>
          <w:sz w:val="28"/>
          <w:szCs w:val="28"/>
          <w:lang w:val="uk-UA"/>
        </w:rPr>
        <w:t xml:space="preserve">Саме тому вкрай важливим в сучасних умовах є вивчення загроз корпоративній соціальній безпеці, а також виявлення напрямів їх подолання. У свою чергу знання ситуації та володіння відповідною інформацією </w:t>
      </w:r>
      <w:proofErr w:type="spellStart"/>
      <w:r w:rsidRPr="005F0419">
        <w:rPr>
          <w:rFonts w:ascii="Times New Roman" w:hAnsi="Times New Roman" w:cs="Times New Roman"/>
          <w:sz w:val="28"/>
          <w:szCs w:val="28"/>
          <w:lang w:val="uk-UA"/>
        </w:rPr>
        <w:t>надасть</w:t>
      </w:r>
      <w:proofErr w:type="spellEnd"/>
      <w:r w:rsidRPr="005F0419">
        <w:rPr>
          <w:rFonts w:ascii="Times New Roman" w:hAnsi="Times New Roman" w:cs="Times New Roman"/>
          <w:sz w:val="28"/>
          <w:szCs w:val="28"/>
          <w:lang w:val="uk-UA"/>
        </w:rPr>
        <w:t xml:space="preserve"> можливість розробити комплекс запобіжних заходів щодо недопущення явищ погіршення стану захищеності соціальних інтересів працівників, а також обґрунтувати перспективні напрями щодо нейтралізації негативних наслідків. Все це стає можливим за допомогою визначення теоретико-методологічних основ дослідження корпоративної соціальної безпеки, що формує необхідну теоретичну та методологічну базу для розробки та практичного впровадження запропонованих пріоритетів. </w:t>
      </w:r>
    </w:p>
    <w:p w14:paraId="69E5CD81"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eastAsia="uk-UA"/>
        </w:rPr>
      </w:pPr>
      <w:r w:rsidRPr="005F0419">
        <w:rPr>
          <w:rFonts w:ascii="Times New Roman" w:hAnsi="Times New Roman" w:cs="Times New Roman"/>
          <w:sz w:val="28"/>
          <w:szCs w:val="28"/>
          <w:lang w:val="uk-UA"/>
        </w:rPr>
        <w:t xml:space="preserve">Варто зауважити, що корпоративний рівень (рівень суб’єктів господарювання) відображає соціальну безпеку за всіма складовими управління персоналом організації та характеризує стан захищеності людини в процесі: прийняття на роботу (безпека підбору та найму персоналу), адаптації (безпека адаптації на робочому місці), оплати праці як складової її матеріальної мотивації, а також врахування складових нематеріального заохочення працівників (безпека оплати та мотивації праці), забезпечення гідних умов праці та сприятливого соціально-психологічного клімату в колективі (безпека умов праці), формування системи навчання, підвищення кваліфікації, всебічного розвитку працівників </w:t>
      </w:r>
      <w:r w:rsidRPr="005F0419">
        <w:rPr>
          <w:rFonts w:ascii="Times New Roman" w:hAnsi="Times New Roman" w:cs="Times New Roman"/>
          <w:sz w:val="28"/>
          <w:szCs w:val="28"/>
          <w:lang w:val="uk-UA"/>
        </w:rPr>
        <w:lastRenderedPageBreak/>
        <w:t xml:space="preserve">(безпека навчання та розвитку), виведення працівника зі штату організації (безпека звільнення персоналу). </w:t>
      </w:r>
    </w:p>
    <w:p w14:paraId="3009C17B"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Таким чином, </w:t>
      </w:r>
      <w:r w:rsidRPr="005F0419">
        <w:rPr>
          <w:rFonts w:ascii="Times New Roman" w:hAnsi="Times New Roman" w:cs="Times New Roman"/>
          <w:i/>
          <w:iCs/>
          <w:sz w:val="28"/>
          <w:szCs w:val="28"/>
          <w:lang w:val="uk-UA"/>
        </w:rPr>
        <w:t>корпоративна соціальна безпека</w:t>
      </w:r>
      <w:r w:rsidRPr="005F0419">
        <w:rPr>
          <w:rFonts w:ascii="Times New Roman" w:hAnsi="Times New Roman" w:cs="Times New Roman"/>
          <w:sz w:val="28"/>
          <w:szCs w:val="28"/>
          <w:lang w:val="uk-UA"/>
        </w:rPr>
        <w:t xml:space="preserve"> – це стан захищеності інтересів </w:t>
      </w:r>
      <w:r w:rsidRPr="005F0419">
        <w:rPr>
          <w:rFonts w:ascii="Times New Roman" w:hAnsi="Times New Roman" w:cs="Times New Roman"/>
          <w:iCs/>
          <w:sz w:val="28"/>
          <w:szCs w:val="28"/>
          <w:lang w:val="uk-UA"/>
        </w:rPr>
        <w:t>працівників підприємства у сфері соціально-трудових відносин, що сприяє забезпеченню їх добробуту та формуванню умов для розвитку особистості; а також здатність підприємства протистояти загрозам і небезпекам, які виникають в умовах нестабільності внутрішнього та невизначеності зовнішнього середовища.</w:t>
      </w:r>
    </w:p>
    <w:p w14:paraId="7664BBF8" w14:textId="77777777" w:rsidR="00D8240C" w:rsidRPr="005F0419" w:rsidRDefault="0000167A" w:rsidP="00D8240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 корпоративному рівні доцільно визначити такі загальні складові корпоративної соціальної безпеки, як [1]:</w:t>
      </w:r>
    </w:p>
    <w:p w14:paraId="617F598F" w14:textId="77777777" w:rsidR="00D8240C" w:rsidRPr="005F0419" w:rsidRDefault="00D8240C" w:rsidP="00D8240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 </w:t>
      </w:r>
      <w:r w:rsidR="0000167A" w:rsidRPr="005F0419">
        <w:rPr>
          <w:rFonts w:ascii="Times New Roman" w:hAnsi="Times New Roman" w:cs="Times New Roman"/>
          <w:bCs/>
          <w:i/>
          <w:sz w:val="28"/>
          <w:szCs w:val="28"/>
          <w:lang w:val="uk-UA"/>
        </w:rPr>
        <w:t>безпека соціально-трудових відносин зайнятості</w:t>
      </w:r>
      <w:r w:rsidR="0000167A" w:rsidRPr="005F0419">
        <w:rPr>
          <w:rFonts w:ascii="Times New Roman" w:hAnsi="Times New Roman" w:cs="Times New Roman"/>
          <w:bCs/>
          <w:iCs/>
          <w:sz w:val="28"/>
          <w:szCs w:val="28"/>
          <w:lang w:val="uk-UA"/>
        </w:rPr>
        <w:t xml:space="preserve">, що являє собою характеристику стану захищеності персоналу у сфері відносин між роботодавцями та найманими працівниками з приводу формування, розподілу та використання робочої сили на рівні підприємств, організацій та установ; </w:t>
      </w:r>
    </w:p>
    <w:p w14:paraId="6949E7DE" w14:textId="12AF4742" w:rsidR="0000167A" w:rsidRPr="005F0419" w:rsidRDefault="00D8240C" w:rsidP="00D8240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w:t>
      </w:r>
      <w:r w:rsidR="0000167A" w:rsidRPr="005F0419">
        <w:rPr>
          <w:rFonts w:ascii="Times New Roman" w:hAnsi="Times New Roman" w:cs="Times New Roman"/>
          <w:bCs/>
          <w:i/>
          <w:sz w:val="28"/>
          <w:szCs w:val="28"/>
          <w:lang w:val="uk-UA"/>
        </w:rPr>
        <w:t>безпека організації оплати праці</w:t>
      </w:r>
      <w:r w:rsidR="0000167A" w:rsidRPr="005F0419">
        <w:rPr>
          <w:rFonts w:ascii="Times New Roman" w:hAnsi="Times New Roman" w:cs="Times New Roman"/>
          <w:bCs/>
          <w:iCs/>
          <w:sz w:val="28"/>
          <w:szCs w:val="28"/>
          <w:lang w:val="uk-UA"/>
        </w:rPr>
        <w:t>, що</w:t>
      </w:r>
      <w:r w:rsidR="0000167A" w:rsidRPr="005F0419">
        <w:rPr>
          <w:rFonts w:ascii="Times New Roman" w:hAnsi="Times New Roman" w:cs="Times New Roman"/>
          <w:iCs/>
          <w:sz w:val="28"/>
          <w:szCs w:val="28"/>
          <w:lang w:val="uk-UA"/>
        </w:rPr>
        <w:t xml:space="preserve"> являє собою захищеність персоналу у сфері формування та ефективного розподілу фонду оплати праці з урахуванням індивідуального внеску кожного працівника в колективний результат, дієвої матеріальної мотивації праці, що заснована на принципах справедливості, прозорості та орієнтованості на результат. </w:t>
      </w:r>
    </w:p>
    <w:p w14:paraId="53511716"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sz w:val="28"/>
          <w:szCs w:val="28"/>
          <w:lang w:val="uk-UA"/>
        </w:rPr>
        <w:t>Методологічну основу</w:t>
      </w:r>
      <w:r w:rsidRPr="005F0419">
        <w:rPr>
          <w:rFonts w:ascii="Times New Roman" w:hAnsi="Times New Roman" w:cs="Times New Roman"/>
          <w:b/>
          <w:sz w:val="28"/>
          <w:szCs w:val="28"/>
          <w:lang w:val="uk-UA"/>
        </w:rPr>
        <w:t xml:space="preserve"> </w:t>
      </w:r>
      <w:r w:rsidRPr="005F0419">
        <w:rPr>
          <w:rFonts w:ascii="Times New Roman" w:hAnsi="Times New Roman" w:cs="Times New Roman"/>
          <w:bCs/>
          <w:sz w:val="28"/>
          <w:szCs w:val="28"/>
          <w:lang w:val="uk-UA"/>
        </w:rPr>
        <w:t xml:space="preserve">дослідження корпоративної соціальної безпеки становить </w:t>
      </w:r>
      <w:r w:rsidRPr="005F0419">
        <w:rPr>
          <w:rFonts w:ascii="Times New Roman" w:hAnsi="Times New Roman" w:cs="Times New Roman"/>
          <w:sz w:val="28"/>
          <w:szCs w:val="28"/>
          <w:lang w:val="uk-UA"/>
        </w:rPr>
        <w:t xml:space="preserve">визначення мети, завдань, принципів, процедури, алгоритму, методів аналізу відповідних індикаторів. Так, метою оцінки корпоративної соціальної безпеки є виявлення характеристик стану корпоративної соціальної безпеки, викликів та загроз, а також можливостей для нейтралізації небезпечних станів з урахуванням наявних індикаторів. </w:t>
      </w:r>
    </w:p>
    <w:p w14:paraId="68EF767D"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Серед завдань доцільно визначити такі, як: </w:t>
      </w:r>
    </w:p>
    <w:p w14:paraId="45A18EE6" w14:textId="02E61525" w:rsidR="0000167A" w:rsidRPr="005F0419" w:rsidRDefault="00D8240C" w:rsidP="00D8240C">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оцінка стану соціально-трудових відносин зайнятості;</w:t>
      </w:r>
      <w:r w:rsidR="0000167A" w:rsidRPr="005F0419">
        <w:rPr>
          <w:rFonts w:ascii="Times New Roman" w:hAnsi="Times New Roman" w:cs="Times New Roman"/>
          <w:bCs/>
          <w:sz w:val="28"/>
          <w:szCs w:val="28"/>
          <w:lang w:val="uk-UA"/>
        </w:rPr>
        <w:t xml:space="preserve"> </w:t>
      </w:r>
    </w:p>
    <w:p w14:paraId="61F3E033" w14:textId="464DE35F" w:rsidR="0000167A" w:rsidRPr="005F0419" w:rsidRDefault="00D8240C" w:rsidP="00D8240C">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оцінка стану організації оплати праці;</w:t>
      </w:r>
      <w:r w:rsidR="0000167A" w:rsidRPr="005F0419">
        <w:rPr>
          <w:rFonts w:ascii="Times New Roman" w:hAnsi="Times New Roman" w:cs="Times New Roman"/>
          <w:bCs/>
          <w:sz w:val="28"/>
          <w:szCs w:val="28"/>
          <w:lang w:val="uk-UA"/>
        </w:rPr>
        <w:t xml:space="preserve"> </w:t>
      </w:r>
    </w:p>
    <w:p w14:paraId="63ECEBC7" w14:textId="0C5AABB2" w:rsidR="0000167A" w:rsidRPr="005F0419" w:rsidRDefault="00D8240C" w:rsidP="00D8240C">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оцінка загроз безпеці соціально-трудових відносин зайнятості;</w:t>
      </w:r>
      <w:r w:rsidR="0000167A" w:rsidRPr="005F0419">
        <w:rPr>
          <w:rFonts w:ascii="Times New Roman" w:hAnsi="Times New Roman" w:cs="Times New Roman"/>
          <w:bCs/>
          <w:sz w:val="28"/>
          <w:szCs w:val="28"/>
          <w:lang w:val="uk-UA"/>
        </w:rPr>
        <w:t xml:space="preserve"> </w:t>
      </w:r>
    </w:p>
    <w:p w14:paraId="131E16AD" w14:textId="090F59C1" w:rsidR="0000167A" w:rsidRPr="005F0419" w:rsidRDefault="00D8240C" w:rsidP="00D8240C">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оцінка загроз безпеці організації оплати праці;</w:t>
      </w:r>
      <w:r w:rsidR="0000167A" w:rsidRPr="005F0419">
        <w:rPr>
          <w:rFonts w:ascii="Times New Roman" w:hAnsi="Times New Roman" w:cs="Times New Roman"/>
          <w:bCs/>
          <w:sz w:val="28"/>
          <w:szCs w:val="28"/>
          <w:lang w:val="uk-UA"/>
        </w:rPr>
        <w:t xml:space="preserve"> </w:t>
      </w:r>
    </w:p>
    <w:p w14:paraId="0458951C" w14:textId="7F8CD74D" w:rsidR="0000167A" w:rsidRPr="005F0419" w:rsidRDefault="00D8240C" w:rsidP="00D8240C">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sz w:val="28"/>
          <w:szCs w:val="28"/>
          <w:lang w:val="uk-UA"/>
        </w:rPr>
        <w:lastRenderedPageBreak/>
        <w:t xml:space="preserve">- </w:t>
      </w:r>
      <w:r w:rsidR="0000167A" w:rsidRPr="005F0419">
        <w:rPr>
          <w:rFonts w:ascii="Times New Roman" w:hAnsi="Times New Roman" w:cs="Times New Roman"/>
          <w:sz w:val="28"/>
          <w:szCs w:val="28"/>
          <w:lang w:val="uk-UA"/>
        </w:rPr>
        <w:t xml:space="preserve">оцінка перспектив нейтралізації ключових загроз корпоративній соціальній безпеці та визначення пріоритетів її забезпечення на перспективу. </w:t>
      </w:r>
    </w:p>
    <w:p w14:paraId="555D17BB"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Процес оцінки базується на відповідних принципах і методах.</w:t>
      </w:r>
    </w:p>
    <w:p w14:paraId="6F64427D"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 нашу думку, основними принципами оцінки корпоративної соціальної безпеки є [1]:  </w:t>
      </w:r>
    </w:p>
    <w:p w14:paraId="7457A247" w14:textId="77777777" w:rsidR="0000167A" w:rsidRPr="005F0419" w:rsidRDefault="0000167A" w:rsidP="006D1666">
      <w:pPr>
        <w:numPr>
          <w:ilvl w:val="0"/>
          <w:numId w:val="3"/>
        </w:numPr>
        <w:tabs>
          <w:tab w:val="clear" w:pos="1740"/>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об’єктивність оцінки, що базується на достовірності та точності інформації;</w:t>
      </w:r>
    </w:p>
    <w:p w14:paraId="60F97B25" w14:textId="77777777" w:rsidR="0000167A" w:rsidRPr="005F0419" w:rsidRDefault="0000167A" w:rsidP="006D1666">
      <w:pPr>
        <w:numPr>
          <w:ilvl w:val="0"/>
          <w:numId w:val="3"/>
        </w:numPr>
        <w:tabs>
          <w:tab w:val="clear" w:pos="1740"/>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самодостатність показників (індикаторів), що означає відсутність дублювання показників, які застосовуються з метою діагностики;</w:t>
      </w:r>
    </w:p>
    <w:p w14:paraId="5DF6364C" w14:textId="77777777" w:rsidR="0000167A" w:rsidRPr="005F0419" w:rsidRDefault="0000167A" w:rsidP="006D1666">
      <w:pPr>
        <w:numPr>
          <w:ilvl w:val="0"/>
          <w:numId w:val="3"/>
        </w:numPr>
        <w:tabs>
          <w:tab w:val="clear" w:pos="1740"/>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комплексність, що враховує застосування таких індикаторів, які здатні комплексно відобразити стан всіх складових;</w:t>
      </w:r>
    </w:p>
    <w:p w14:paraId="498DE51D" w14:textId="77777777" w:rsidR="0000167A" w:rsidRPr="005F0419" w:rsidRDefault="0000167A" w:rsidP="006D1666">
      <w:pPr>
        <w:numPr>
          <w:ilvl w:val="0"/>
          <w:numId w:val="3"/>
        </w:numPr>
        <w:tabs>
          <w:tab w:val="clear" w:pos="1740"/>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обмеженість кількості показників, що застосовується з метою спрощення процедури оцінки та фіксації уваги лише на ключових, пріоритетних індикаторах.</w:t>
      </w:r>
    </w:p>
    <w:p w14:paraId="639B6BC4"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Основою методики оцінки корпоративної соціальної безпеки є аналіз відповідних індикаторів, зокрема у сфері безпеки соціально-трудових відносин зайнятості та безпеки організації оплати праці.</w:t>
      </w:r>
    </w:p>
    <w:p w14:paraId="5C821D10"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Процедура оцінки при цьому включає вибір методів та врахування основних принципів діагностики, проведення оцінки та обґрунтування результатів. Крім того, процедура передбачає відповідний алгоритм та проходить певні етапи:</w:t>
      </w:r>
    </w:p>
    <w:p w14:paraId="06A1C702"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І. Підготовчий етап, на якому відбувається формування мети і завдань, вибір методики оцінки.</w:t>
      </w:r>
    </w:p>
    <w:p w14:paraId="075C4330"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ІІ. Збір інформації, що передбачає використання інформаційних джерел, які </w:t>
      </w:r>
      <w:proofErr w:type="spellStart"/>
      <w:r w:rsidRPr="005F0419">
        <w:rPr>
          <w:rFonts w:ascii="Times New Roman" w:hAnsi="Times New Roman" w:cs="Times New Roman"/>
          <w:sz w:val="28"/>
          <w:szCs w:val="28"/>
          <w:lang w:val="uk-UA"/>
        </w:rPr>
        <w:t>нададуть</w:t>
      </w:r>
      <w:proofErr w:type="spellEnd"/>
      <w:r w:rsidRPr="005F0419">
        <w:rPr>
          <w:rFonts w:ascii="Times New Roman" w:hAnsi="Times New Roman" w:cs="Times New Roman"/>
          <w:sz w:val="28"/>
          <w:szCs w:val="28"/>
          <w:lang w:val="uk-UA"/>
        </w:rPr>
        <w:t xml:space="preserve"> можливість обчислення необхідних індикаторів.</w:t>
      </w:r>
    </w:p>
    <w:p w14:paraId="798A4966"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ІІІ. Аналіз і обробка інформації, проведення оцінки (розрахунок відповідних індикаторів та їх порівняння).</w:t>
      </w:r>
    </w:p>
    <w:p w14:paraId="492EBA67"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ІV. Визначення результатів та обґрунтування висновків, а також висвітлення можливих напрямів щодо покращення ситуації.</w:t>
      </w:r>
    </w:p>
    <w:p w14:paraId="20B1CE12"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Важливим кроком на шляху проведення оцінки стану корпоративної соціальної безпеки є визначення відповідних критеріїв та індикаторів (табл. 1). </w:t>
      </w:r>
    </w:p>
    <w:p w14:paraId="603B5B68" w14:textId="77777777" w:rsidR="0000167A" w:rsidRPr="005F0419" w:rsidRDefault="0000167A" w:rsidP="00496B0B">
      <w:pPr>
        <w:spacing w:after="0" w:line="360" w:lineRule="auto"/>
        <w:ind w:firstLine="720"/>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Таблиця 1</w:t>
      </w:r>
    </w:p>
    <w:p w14:paraId="602EA0F0" w14:textId="77777777" w:rsidR="0000167A" w:rsidRPr="005F0419" w:rsidRDefault="0000167A" w:rsidP="00662012">
      <w:pPr>
        <w:spacing w:after="0" w:line="360" w:lineRule="auto"/>
        <w:ind w:firstLine="720"/>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Критерії та індикатори корпоративної соціальної безпеки</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6095"/>
      </w:tblGrid>
      <w:tr w:rsidR="0000167A" w:rsidRPr="005F0419" w14:paraId="419669A6" w14:textId="77777777" w:rsidTr="00160308">
        <w:tc>
          <w:tcPr>
            <w:tcW w:w="3256" w:type="dxa"/>
            <w:shd w:val="clear" w:color="auto" w:fill="auto"/>
          </w:tcPr>
          <w:p w14:paraId="77E0F033" w14:textId="77777777" w:rsidR="0000167A" w:rsidRPr="005F0419" w:rsidRDefault="0000167A" w:rsidP="00D8240C">
            <w:pPr>
              <w:autoSpaceDE w:val="0"/>
              <w:autoSpaceDN w:val="0"/>
              <w:adjustRightInd w:val="0"/>
              <w:spacing w:after="0" w:line="240" w:lineRule="auto"/>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Критерії</w:t>
            </w:r>
          </w:p>
        </w:tc>
        <w:tc>
          <w:tcPr>
            <w:tcW w:w="6095" w:type="dxa"/>
            <w:shd w:val="clear" w:color="auto" w:fill="auto"/>
          </w:tcPr>
          <w:p w14:paraId="0B6BCCA4" w14:textId="77777777" w:rsidR="0000167A" w:rsidRPr="005F0419" w:rsidRDefault="0000167A" w:rsidP="00D8240C">
            <w:pPr>
              <w:autoSpaceDE w:val="0"/>
              <w:autoSpaceDN w:val="0"/>
              <w:adjustRightInd w:val="0"/>
              <w:spacing w:after="0" w:line="240" w:lineRule="auto"/>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Індикатори</w:t>
            </w:r>
          </w:p>
        </w:tc>
      </w:tr>
      <w:tr w:rsidR="0000167A" w:rsidRPr="005F0419" w14:paraId="2DFFD79A" w14:textId="77777777" w:rsidTr="00160308">
        <w:trPr>
          <w:trHeight w:val="1096"/>
        </w:trPr>
        <w:tc>
          <w:tcPr>
            <w:tcW w:w="3256" w:type="dxa"/>
            <w:shd w:val="clear" w:color="auto" w:fill="auto"/>
          </w:tcPr>
          <w:p w14:paraId="425FD661"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1.Збалансованість соціально-трудових відносин</w:t>
            </w:r>
          </w:p>
        </w:tc>
        <w:tc>
          <w:tcPr>
            <w:tcW w:w="6095" w:type="dxa"/>
            <w:shd w:val="clear" w:color="auto" w:fill="auto"/>
          </w:tcPr>
          <w:p w14:paraId="71B00F3E"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1. Коефіцієнт співвідношення прийнятих та звільнених працівників (коефіцієнт відновлення).</w:t>
            </w:r>
          </w:p>
          <w:p w14:paraId="0A45ACB8"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2. Коефіцієнт плинності персоналу</w:t>
            </w:r>
          </w:p>
        </w:tc>
      </w:tr>
      <w:tr w:rsidR="0000167A" w:rsidRPr="005F0419" w14:paraId="2B6CF873" w14:textId="77777777" w:rsidTr="00160308">
        <w:tc>
          <w:tcPr>
            <w:tcW w:w="3256" w:type="dxa"/>
            <w:shd w:val="clear" w:color="auto" w:fill="auto"/>
          </w:tcPr>
          <w:p w14:paraId="4AFEF0BB"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2. Покращення/</w:t>
            </w:r>
          </w:p>
          <w:p w14:paraId="31662235"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погіршення стану зайнятості персоналу</w:t>
            </w:r>
          </w:p>
        </w:tc>
        <w:tc>
          <w:tcPr>
            <w:tcW w:w="6095" w:type="dxa"/>
            <w:shd w:val="clear" w:color="auto" w:fill="auto"/>
          </w:tcPr>
          <w:p w14:paraId="363B10CA"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1. Коефіцієнт обороту кадрів з прийому</w:t>
            </w:r>
          </w:p>
          <w:p w14:paraId="12FFDE71"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2. Коефіцієнт обороту кадрів зі звільнення</w:t>
            </w:r>
          </w:p>
          <w:p w14:paraId="7D054C58"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3. Коефіцієнт стабільності (постійності) кадрів</w:t>
            </w:r>
          </w:p>
          <w:p w14:paraId="4F4ECE1E"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4. Питома вага молоді в структурі персоналу, %</w:t>
            </w:r>
          </w:p>
          <w:p w14:paraId="1D46425F"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5. Питома вага осіб старшого віку в структурі персоналу, %</w:t>
            </w:r>
          </w:p>
        </w:tc>
      </w:tr>
      <w:tr w:rsidR="0000167A" w:rsidRPr="005F0419" w14:paraId="06E2CB18" w14:textId="77777777" w:rsidTr="00160308">
        <w:tc>
          <w:tcPr>
            <w:tcW w:w="3256" w:type="dxa"/>
            <w:tcBorders>
              <w:top w:val="single" w:sz="4" w:space="0" w:color="auto"/>
              <w:left w:val="single" w:sz="4" w:space="0" w:color="auto"/>
              <w:bottom w:val="single" w:sz="4" w:space="0" w:color="auto"/>
              <w:right w:val="single" w:sz="4" w:space="0" w:color="auto"/>
            </w:tcBorders>
            <w:shd w:val="clear" w:color="auto" w:fill="auto"/>
          </w:tcPr>
          <w:p w14:paraId="0E8427A0"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3. Покращення/</w:t>
            </w:r>
          </w:p>
          <w:p w14:paraId="7EF0E26A"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погіршення організації оплати праці</w:t>
            </w:r>
          </w:p>
        </w:tc>
        <w:tc>
          <w:tcPr>
            <w:tcW w:w="6095" w:type="dxa"/>
            <w:tcBorders>
              <w:top w:val="single" w:sz="4" w:space="0" w:color="auto"/>
              <w:left w:val="single" w:sz="4" w:space="0" w:color="auto"/>
              <w:bottom w:val="single" w:sz="4" w:space="0" w:color="auto"/>
              <w:right w:val="single" w:sz="4" w:space="0" w:color="auto"/>
            </w:tcBorders>
            <w:shd w:val="clear" w:color="auto" w:fill="auto"/>
          </w:tcPr>
          <w:p w14:paraId="7A2AECAC"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1.Середньомісячна заробітна плата, грн.</w:t>
            </w:r>
          </w:p>
          <w:p w14:paraId="5BC67F8A"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2. Співвідношення заборгованості із виплати заробітної плати та фонду оплати праці, %</w:t>
            </w:r>
          </w:p>
          <w:p w14:paraId="6917B11D"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3. Структура фонду оплати праці, %</w:t>
            </w:r>
          </w:p>
          <w:p w14:paraId="4CF29986"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4.Питома вага працівників, які отримують зарплату нижче середнього рівня, %</w:t>
            </w:r>
          </w:p>
          <w:p w14:paraId="11F88A6A" w14:textId="77777777" w:rsidR="0000167A" w:rsidRPr="005F0419" w:rsidRDefault="0000167A" w:rsidP="00D8240C">
            <w:pPr>
              <w:autoSpaceDE w:val="0"/>
              <w:autoSpaceDN w:val="0"/>
              <w:adjustRightInd w:val="0"/>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5. Питома вага працівників, які отримують мінімальну заробітну плату, %</w:t>
            </w:r>
          </w:p>
        </w:tc>
      </w:tr>
    </w:tbl>
    <w:p w14:paraId="45960F3E" w14:textId="4388B7AF"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розробка автора</w:t>
      </w:r>
      <w:r w:rsidR="00160308" w:rsidRPr="005F0419">
        <w:rPr>
          <w:rFonts w:ascii="Times New Roman" w:hAnsi="Times New Roman" w:cs="Times New Roman"/>
          <w:sz w:val="28"/>
          <w:szCs w:val="28"/>
          <w:lang w:val="uk-UA"/>
        </w:rPr>
        <w:t>.</w:t>
      </w:r>
    </w:p>
    <w:p w14:paraId="052BFF91" w14:textId="77777777" w:rsidR="007D4366" w:rsidRDefault="007D4366" w:rsidP="00662012">
      <w:pPr>
        <w:spacing w:after="0" w:line="360" w:lineRule="auto"/>
        <w:ind w:firstLine="720"/>
        <w:jc w:val="both"/>
        <w:rPr>
          <w:rFonts w:ascii="Times New Roman" w:hAnsi="Times New Roman" w:cs="Times New Roman"/>
          <w:sz w:val="28"/>
          <w:szCs w:val="28"/>
          <w:lang w:val="uk-UA"/>
        </w:rPr>
      </w:pPr>
    </w:p>
    <w:p w14:paraId="560F973A" w14:textId="170DBD83"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якості основного джерела інформаційного забезпечення при розрахунку вищенаведених показників на рівні підприємства виступають дані фінансової звітності, звітність з праці, інші звітні документи. Зокрема, це: </w:t>
      </w:r>
    </w:p>
    <w:p w14:paraId="2F296E87" w14:textId="77777777" w:rsidR="0000167A" w:rsidRPr="005F0419" w:rsidRDefault="0000167A" w:rsidP="00662012">
      <w:pPr>
        <w:widowControl w:val="0"/>
        <w:tabs>
          <w:tab w:val="num" w:pos="0"/>
        </w:tabs>
        <w:spacing w:after="0" w:line="360" w:lineRule="auto"/>
        <w:ind w:firstLine="720"/>
        <w:jc w:val="both"/>
        <w:rPr>
          <w:rFonts w:ascii="Times New Roman" w:hAnsi="Times New Roman" w:cs="Times New Roman"/>
          <w:sz w:val="28"/>
          <w:szCs w:val="28"/>
          <w:lang w:val="uk-UA" w:eastAsia="uk-UA"/>
        </w:rPr>
      </w:pPr>
      <w:r w:rsidRPr="005F0419">
        <w:rPr>
          <w:rFonts w:ascii="Times New Roman" w:hAnsi="Times New Roman" w:cs="Times New Roman"/>
          <w:sz w:val="28"/>
          <w:szCs w:val="28"/>
          <w:lang w:val="uk-UA" w:eastAsia="uk-UA"/>
        </w:rPr>
        <w:t>1) у сфері безпеки зайнятості – звітність з праці (форма №1-ПВ (квартальна), форма №1-ПВ (місячна), форма №1-ПВ (умови праці): показники прийому та звільнення працівників, плинності кадрів);</w:t>
      </w:r>
    </w:p>
    <w:p w14:paraId="6381FE71" w14:textId="73A864F4" w:rsidR="0000167A" w:rsidRPr="005F0419" w:rsidRDefault="0000167A" w:rsidP="00662012">
      <w:pPr>
        <w:widowControl w:val="0"/>
        <w:tabs>
          <w:tab w:val="num" w:pos="0"/>
        </w:tabs>
        <w:spacing w:after="0" w:line="360" w:lineRule="auto"/>
        <w:ind w:firstLine="720"/>
        <w:jc w:val="both"/>
        <w:rPr>
          <w:rFonts w:ascii="Times New Roman" w:hAnsi="Times New Roman" w:cs="Times New Roman"/>
          <w:sz w:val="28"/>
          <w:szCs w:val="28"/>
          <w:lang w:val="uk-UA" w:eastAsia="uk-UA"/>
        </w:rPr>
      </w:pPr>
      <w:r w:rsidRPr="005F0419">
        <w:rPr>
          <w:rFonts w:ascii="Times New Roman" w:hAnsi="Times New Roman" w:cs="Times New Roman"/>
          <w:sz w:val="28"/>
          <w:szCs w:val="28"/>
          <w:lang w:val="uk-UA" w:eastAsia="uk-UA"/>
        </w:rPr>
        <w:t xml:space="preserve">2) у сфері безпеки оплати праці (звітність з праці </w:t>
      </w:r>
      <w:r w:rsidR="007D4366">
        <w:rPr>
          <w:rFonts w:ascii="Times New Roman" w:hAnsi="Times New Roman" w:cs="Times New Roman"/>
          <w:sz w:val="28"/>
          <w:szCs w:val="28"/>
          <w:lang w:val="uk-UA" w:eastAsia="uk-UA"/>
        </w:rPr>
        <w:t>–</w:t>
      </w:r>
      <w:r w:rsidRPr="005F0419">
        <w:rPr>
          <w:rFonts w:ascii="Times New Roman" w:hAnsi="Times New Roman" w:cs="Times New Roman"/>
          <w:sz w:val="28"/>
          <w:szCs w:val="28"/>
          <w:lang w:val="uk-UA" w:eastAsia="uk-UA"/>
        </w:rPr>
        <w:t xml:space="preserve"> форма №1-ПВ (квартальна): показники фонду оплати праці).</w:t>
      </w:r>
    </w:p>
    <w:p w14:paraId="0D0B273F" w14:textId="77777777" w:rsidR="0000167A" w:rsidRPr="005F0419" w:rsidRDefault="0000167A" w:rsidP="00662012">
      <w:pPr>
        <w:widowControl w:val="0"/>
        <w:tabs>
          <w:tab w:val="num" w:pos="0"/>
        </w:tabs>
        <w:spacing w:after="0" w:line="360" w:lineRule="auto"/>
        <w:ind w:firstLine="720"/>
        <w:jc w:val="both"/>
        <w:rPr>
          <w:rFonts w:ascii="Times New Roman" w:hAnsi="Times New Roman" w:cs="Times New Roman"/>
          <w:sz w:val="28"/>
          <w:szCs w:val="28"/>
          <w:lang w:val="uk-UA" w:eastAsia="uk-UA"/>
        </w:rPr>
      </w:pPr>
      <w:r w:rsidRPr="005F0419">
        <w:rPr>
          <w:rFonts w:ascii="Times New Roman" w:hAnsi="Times New Roman" w:cs="Times New Roman"/>
          <w:sz w:val="28"/>
          <w:szCs w:val="28"/>
          <w:lang w:val="uk-UA" w:eastAsia="uk-UA"/>
        </w:rPr>
        <w:t xml:space="preserve">При розрахунку більшості трудових показників, які характеризують інтенсивність обороту кадрів, враховується середньооблікова кількість працівників. Так, коефіцієнт обороту кадрів з прийому являє собою </w:t>
      </w:r>
      <w:r w:rsidRPr="005F0419">
        <w:rPr>
          <w:rFonts w:ascii="Times New Roman" w:hAnsi="Times New Roman" w:cs="Times New Roman"/>
          <w:sz w:val="28"/>
          <w:szCs w:val="28"/>
          <w:lang w:val="uk-UA" w:eastAsia="uk-UA"/>
        </w:rPr>
        <w:lastRenderedPageBreak/>
        <w:t xml:space="preserve">співвідношення кількості прийнятих працівників та середньооблікової чисельності персоналу за звітний період. Аналогічно обчислюється коефіцієнт обороту кадрів зі звільнення (відношення кількості звільнених осіб до середньооблікової кількості працівників за період). Варто зауважити, що при розрахунку коефіцієнта плинності кадрів враховуються лише звільнені за власним бажанням та з ініціативи адміністрації. Обчислення коефіцієнту стабільності кадрів відрізняється від вищенаведених тим, що він являє собою співвідношення кількості працівників, які стабільно пропрацювали весь звітний період в організації, до кількості працівників на кінець періоду. </w:t>
      </w:r>
    </w:p>
    <w:p w14:paraId="7FED4877"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Важливо розуміти, що критерії визначають ознаку, яка надає інформацію для оцінки явища та об’єднує в собі як кількісну, так і якісну складову. У той же час індикатор являє собою конкретний цифровий показник, що відображає стан об’єкта оцінки. У якості порівняльної бази доцільно визначити рівень того чи іншого індикатора, що задовольняє певному критерію, до та після проведених заходів. Слід врахувати необхідність максимізації чи мінімізації того чи іншого індикатора, що залежить від його впливу на стан збалансованості соціально-трудових відносин, зайнятості та організації оплати праці.</w:t>
      </w:r>
    </w:p>
    <w:p w14:paraId="4D02005B"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Так, до індикаторів стимулюючого впливу, зростання яких має позитивне значення для корпоративної соціальної безпеки, доцільно віднести:</w:t>
      </w:r>
    </w:p>
    <w:p w14:paraId="60D4781A"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lang w:val="uk-UA"/>
        </w:rPr>
        <w:t>1.</w:t>
      </w:r>
      <w:r w:rsidRPr="005F0419">
        <w:rPr>
          <w:rFonts w:ascii="Times New Roman" w:hAnsi="Times New Roman" w:cs="Times New Roman"/>
          <w:i/>
          <w:sz w:val="28"/>
          <w:szCs w:val="28"/>
          <w:lang w:val="uk-UA"/>
        </w:rPr>
        <w:t> </w:t>
      </w:r>
      <w:r w:rsidRPr="005F0419">
        <w:rPr>
          <w:rFonts w:ascii="Times New Roman" w:hAnsi="Times New Roman" w:cs="Times New Roman"/>
          <w:iCs/>
          <w:sz w:val="28"/>
          <w:szCs w:val="28"/>
          <w:lang w:val="uk-UA"/>
        </w:rPr>
        <w:t>У межах критерію збалансованості соціально-трудових відносин</w:t>
      </w:r>
      <w:r w:rsidRPr="005F0419">
        <w:rPr>
          <w:rFonts w:ascii="Times New Roman" w:hAnsi="Times New Roman" w:cs="Times New Roman"/>
          <w:sz w:val="28"/>
          <w:szCs w:val="28"/>
          <w:lang w:val="uk-UA"/>
        </w:rPr>
        <w:t>: коефіцієнт співвідношення прийнятих та звільнених працівників (значення якого мають зростати у перспективі та наближатися до 1).</w:t>
      </w:r>
    </w:p>
    <w:p w14:paraId="52105D81"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2. </w:t>
      </w:r>
      <w:r w:rsidRPr="005F0419">
        <w:rPr>
          <w:rFonts w:ascii="Times New Roman" w:hAnsi="Times New Roman" w:cs="Times New Roman"/>
          <w:iCs/>
          <w:sz w:val="28"/>
          <w:szCs w:val="28"/>
          <w:lang w:val="uk-UA"/>
        </w:rPr>
        <w:t>У межах критерію стану зайнятості</w:t>
      </w:r>
      <w:r w:rsidRPr="005F0419">
        <w:rPr>
          <w:rFonts w:ascii="Times New Roman" w:hAnsi="Times New Roman" w:cs="Times New Roman"/>
          <w:i/>
          <w:sz w:val="28"/>
          <w:szCs w:val="28"/>
          <w:lang w:val="uk-UA"/>
        </w:rPr>
        <w:t>:</w:t>
      </w:r>
      <w:r w:rsidRPr="005F0419">
        <w:rPr>
          <w:rFonts w:ascii="Times New Roman" w:hAnsi="Times New Roman" w:cs="Times New Roman"/>
          <w:sz w:val="28"/>
          <w:szCs w:val="28"/>
          <w:lang w:val="uk-UA"/>
        </w:rPr>
        <w:t xml:space="preserve"> коефіцієнти стабільності кадрів; коефіцієнт обороту кадрів з прийому; питома вага молоді в структурі працівників.</w:t>
      </w:r>
    </w:p>
    <w:p w14:paraId="22654F1E" w14:textId="2D1D02A3"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3. </w:t>
      </w:r>
      <w:r w:rsidRPr="005F0419">
        <w:rPr>
          <w:rFonts w:ascii="Times New Roman" w:hAnsi="Times New Roman" w:cs="Times New Roman"/>
          <w:iCs/>
          <w:sz w:val="28"/>
          <w:szCs w:val="28"/>
          <w:lang w:val="uk-UA"/>
        </w:rPr>
        <w:t>У межах критерію стану організації оплати праці</w:t>
      </w:r>
      <w:r w:rsidRPr="005F0419">
        <w:rPr>
          <w:rFonts w:ascii="Times New Roman" w:hAnsi="Times New Roman" w:cs="Times New Roman"/>
          <w:sz w:val="28"/>
          <w:szCs w:val="28"/>
          <w:lang w:val="uk-UA"/>
        </w:rPr>
        <w:t xml:space="preserve">: середньомісячна заробітна плата; </w:t>
      </w:r>
      <w:r w:rsidRPr="005F0419">
        <w:rPr>
          <w:rFonts w:ascii="Times New Roman" w:hAnsi="Times New Roman" w:cs="Times New Roman"/>
          <w:spacing w:val="3"/>
          <w:sz w:val="28"/>
          <w:szCs w:val="28"/>
          <w:lang w:val="uk-UA"/>
        </w:rPr>
        <w:t>співвідношення темпів зростання продуктивності праці та середньої заробітної плати.</w:t>
      </w:r>
      <w:r w:rsidR="00496B0B">
        <w:rPr>
          <w:rFonts w:ascii="Times New Roman" w:hAnsi="Times New Roman" w:cs="Times New Roman"/>
          <w:spacing w:val="3"/>
          <w:sz w:val="28"/>
          <w:szCs w:val="28"/>
          <w:lang w:val="uk-UA"/>
        </w:rPr>
        <w:t xml:space="preserve"> </w:t>
      </w:r>
      <w:r w:rsidRPr="005F0419">
        <w:rPr>
          <w:rFonts w:ascii="Times New Roman" w:hAnsi="Times New Roman" w:cs="Times New Roman"/>
          <w:sz w:val="28"/>
          <w:szCs w:val="28"/>
          <w:lang w:val="uk-UA"/>
        </w:rPr>
        <w:t xml:space="preserve">Щодо висвітлення особливостей оцінки індикаторів </w:t>
      </w:r>
      <w:proofErr w:type="spellStart"/>
      <w:r w:rsidRPr="005F0419">
        <w:rPr>
          <w:rFonts w:ascii="Times New Roman" w:hAnsi="Times New Roman" w:cs="Times New Roman"/>
          <w:sz w:val="28"/>
          <w:szCs w:val="28"/>
          <w:lang w:val="uk-UA"/>
        </w:rPr>
        <w:t>дестимулюючого</w:t>
      </w:r>
      <w:proofErr w:type="spellEnd"/>
      <w:r w:rsidRPr="005F0419">
        <w:rPr>
          <w:rFonts w:ascii="Times New Roman" w:hAnsi="Times New Roman" w:cs="Times New Roman"/>
          <w:sz w:val="28"/>
          <w:szCs w:val="28"/>
          <w:lang w:val="uk-UA"/>
        </w:rPr>
        <w:t xml:space="preserve"> впливу, їх збільшення може призвести до поглиблення </w:t>
      </w:r>
      <w:r w:rsidRPr="005F0419">
        <w:rPr>
          <w:rFonts w:ascii="Times New Roman" w:hAnsi="Times New Roman" w:cs="Times New Roman"/>
          <w:sz w:val="28"/>
          <w:szCs w:val="28"/>
          <w:lang w:val="uk-UA"/>
        </w:rPr>
        <w:lastRenderedPageBreak/>
        <w:t>негативних явищ та процесів. Саме тому значення цих індикаторів мають знижуватися. Серед них:</w:t>
      </w:r>
    </w:p>
    <w:p w14:paraId="2398F8DC"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iCs/>
          <w:sz w:val="28"/>
          <w:szCs w:val="28"/>
          <w:lang w:val="uk-UA"/>
        </w:rPr>
      </w:pPr>
      <w:r w:rsidRPr="005F0419">
        <w:rPr>
          <w:rFonts w:ascii="Times New Roman" w:hAnsi="Times New Roman" w:cs="Times New Roman"/>
          <w:iCs/>
          <w:sz w:val="28"/>
          <w:szCs w:val="28"/>
          <w:lang w:val="uk-UA"/>
        </w:rPr>
        <w:t>1. У межах критерію збалансованості соціально-трудових відносин: коефіцієнт плинності кадрів.</w:t>
      </w:r>
    </w:p>
    <w:p w14:paraId="3E8FC3EC"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iCs/>
          <w:sz w:val="28"/>
          <w:szCs w:val="28"/>
          <w:lang w:val="uk-UA"/>
        </w:rPr>
      </w:pPr>
      <w:r w:rsidRPr="005F0419">
        <w:rPr>
          <w:rFonts w:ascii="Times New Roman" w:hAnsi="Times New Roman" w:cs="Times New Roman"/>
          <w:iCs/>
          <w:sz w:val="28"/>
          <w:szCs w:val="28"/>
          <w:lang w:val="uk-UA"/>
        </w:rPr>
        <w:t xml:space="preserve">2. У межах критерію стану зайнятості: </w:t>
      </w:r>
      <w:r w:rsidRPr="005F0419">
        <w:rPr>
          <w:rFonts w:ascii="Times New Roman" w:hAnsi="Times New Roman" w:cs="Times New Roman"/>
          <w:sz w:val="28"/>
          <w:szCs w:val="28"/>
          <w:lang w:val="uk-UA"/>
        </w:rPr>
        <w:t>коефіцієнт обороту кадрів зі звільнення</w:t>
      </w:r>
      <w:r w:rsidRPr="005F0419">
        <w:rPr>
          <w:rFonts w:ascii="Times New Roman" w:hAnsi="Times New Roman" w:cs="Times New Roman"/>
          <w:iCs/>
          <w:sz w:val="28"/>
          <w:szCs w:val="28"/>
          <w:lang w:val="uk-UA"/>
        </w:rPr>
        <w:t>; п</w:t>
      </w:r>
      <w:r w:rsidRPr="005F0419">
        <w:rPr>
          <w:rFonts w:ascii="Times New Roman" w:hAnsi="Times New Roman" w:cs="Times New Roman"/>
          <w:sz w:val="28"/>
          <w:szCs w:val="28"/>
          <w:lang w:val="uk-UA"/>
        </w:rPr>
        <w:t>итома вага осіб старшого віку в структурі персоналу.</w:t>
      </w:r>
    </w:p>
    <w:p w14:paraId="2C5C10D3"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lang w:val="uk-UA"/>
        </w:rPr>
        <w:t>3. У межах критерію стану організації оплати праці:</w:t>
      </w:r>
      <w:r w:rsidRPr="005F0419">
        <w:rPr>
          <w:rFonts w:ascii="Times New Roman" w:hAnsi="Times New Roman" w:cs="Times New Roman"/>
          <w:sz w:val="28"/>
          <w:szCs w:val="28"/>
          <w:lang w:val="uk-UA"/>
        </w:rPr>
        <w:t xml:space="preserve"> співвідношення заборгованості із виплати заробітної плати до фонду оплати праці; </w:t>
      </w:r>
      <w:r w:rsidRPr="005F0419">
        <w:rPr>
          <w:rFonts w:ascii="Times New Roman" w:hAnsi="Times New Roman" w:cs="Times New Roman"/>
          <w:spacing w:val="3"/>
          <w:sz w:val="28"/>
          <w:szCs w:val="28"/>
          <w:lang w:val="uk-UA"/>
        </w:rPr>
        <w:t>питома вага працівників, які отримують зарплату нижче середнього рівня; питома вага працівників, які отримують мінімальну заробітну плату.</w:t>
      </w:r>
    </w:p>
    <w:p w14:paraId="62FE2B31"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Саме на зміну вищезазначених індикаторів та критеріїв мають бути спрямовані пріоритетні напрями, конкретні заходи та механізми забезпечення корпоративної соціальної безпеки. </w:t>
      </w:r>
    </w:p>
    <w:p w14:paraId="4BCBEE03"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умовах воєнного часу забезпечення корпоративної соціальної безпеки працівників має базуватися на таких пріоритетах, як:</w:t>
      </w:r>
    </w:p>
    <w:p w14:paraId="6976C28D" w14:textId="0A301963" w:rsidR="0000167A" w:rsidRPr="005F0419" w:rsidRDefault="00160308" w:rsidP="00160308">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безпека і стабільність зайнятості (у даному контексті особливої уваги заслуговує застосування нетрадиційних форм зайнятості, зокрема, дистанційної (віддаленої) роботи;</w:t>
      </w:r>
    </w:p>
    <w:p w14:paraId="0C1296C8" w14:textId="34D9C905" w:rsidR="0000167A" w:rsidRPr="005F0419" w:rsidRDefault="00160308" w:rsidP="00160308">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навчання та розвиток працівників (удосконалення професійних знань, умінь та навичок, підвищення кваліфікації, навчання молодих працівників, система наставництва тощо);</w:t>
      </w:r>
    </w:p>
    <w:p w14:paraId="402F3E4A" w14:textId="2FDAAB1D" w:rsidR="0000167A" w:rsidRPr="005F0419" w:rsidRDefault="00160308" w:rsidP="00160308">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безпека оплати праці та ефективна система мотивації працівників (особливий акцент варто робити на своєчасній та у повному обсязі виплати заробітної плати, преміювання за високі результаті (у разі наявності відповідних фінансових ресурсів у підприємства), нематеріальне заохочення персоналу, що може певним чином компенсувати недоліки матеріальної складової системи мотивації).</w:t>
      </w:r>
    </w:p>
    <w:p w14:paraId="6F75693B"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Всі вищезазначені пріоритети варто розглянути більш детально з урахуванням конкретних заходів щодо їх реалізації. </w:t>
      </w:r>
    </w:p>
    <w:p w14:paraId="06530029" w14:textId="4FE3EAA8"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Безпека зайнятості на рівні суб’єктів господарювання виражається</w:t>
      </w:r>
      <w:r w:rsidR="00160308"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за допомогою показників руху персоналу, зокрема</w:t>
      </w:r>
      <w:r w:rsidR="00160308"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у контексті прийому та звільнення працівників. За даними Державної служби статистики України, досить довгий час спостерігається перевищення рівня звільнення персоналу підприємств, організацій та установ над рівнем його прийому (табл. 2).</w:t>
      </w:r>
    </w:p>
    <w:p w14:paraId="375F81C4" w14:textId="77777777" w:rsidR="007D4366" w:rsidRPr="005F0419" w:rsidRDefault="007D4366" w:rsidP="007D4366">
      <w:pPr>
        <w:spacing w:after="0" w:line="360" w:lineRule="auto"/>
        <w:ind w:firstLine="720"/>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Таблиця 2</w:t>
      </w:r>
    </w:p>
    <w:p w14:paraId="66020F85" w14:textId="77777777" w:rsidR="007D4366" w:rsidRPr="005F0419" w:rsidRDefault="007D4366" w:rsidP="007D4366">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Рівень прийому (</w:t>
      </w:r>
      <w:proofErr w:type="spellStart"/>
      <w:r w:rsidRPr="005F0419">
        <w:rPr>
          <w:rFonts w:ascii="Times New Roman" w:hAnsi="Times New Roman" w:cs="Times New Roman"/>
          <w:sz w:val="28"/>
          <w:szCs w:val="28"/>
          <w:lang w:val="uk-UA"/>
        </w:rPr>
        <w:t>Рп</w:t>
      </w:r>
      <w:proofErr w:type="spellEnd"/>
      <w:r w:rsidRPr="005F0419">
        <w:rPr>
          <w:rFonts w:ascii="Times New Roman" w:hAnsi="Times New Roman" w:cs="Times New Roman"/>
          <w:sz w:val="28"/>
          <w:szCs w:val="28"/>
          <w:lang w:val="uk-UA"/>
        </w:rPr>
        <w:t>) та звільнення (</w:t>
      </w:r>
      <w:proofErr w:type="spellStart"/>
      <w:r w:rsidRPr="005F0419">
        <w:rPr>
          <w:rFonts w:ascii="Times New Roman" w:hAnsi="Times New Roman" w:cs="Times New Roman"/>
          <w:sz w:val="28"/>
          <w:szCs w:val="28"/>
          <w:lang w:val="uk-UA"/>
        </w:rPr>
        <w:t>Рз</w:t>
      </w:r>
      <w:proofErr w:type="spellEnd"/>
      <w:r w:rsidRPr="005F0419">
        <w:rPr>
          <w:rFonts w:ascii="Times New Roman" w:hAnsi="Times New Roman" w:cs="Times New Roman"/>
          <w:sz w:val="28"/>
          <w:szCs w:val="28"/>
          <w:lang w:val="uk-UA"/>
        </w:rPr>
        <w:t>) працівників за окремими видами економічної діяльності в Україні, %</w:t>
      </w:r>
    </w:p>
    <w:tbl>
      <w:tblPr>
        <w:tblStyle w:val="ab"/>
        <w:tblW w:w="9925" w:type="dxa"/>
        <w:tblLook w:val="04A0" w:firstRow="1" w:lastRow="0" w:firstColumn="1" w:lastColumn="0" w:noHBand="0" w:noVBand="1"/>
      </w:tblPr>
      <w:tblGrid>
        <w:gridCol w:w="3808"/>
        <w:gridCol w:w="706"/>
        <w:gridCol w:w="706"/>
        <w:gridCol w:w="1606"/>
        <w:gridCol w:w="787"/>
        <w:gridCol w:w="706"/>
        <w:gridCol w:w="1606"/>
      </w:tblGrid>
      <w:tr w:rsidR="007D4366" w:rsidRPr="005F0419" w14:paraId="4D234951" w14:textId="77777777" w:rsidTr="007715AB">
        <w:tc>
          <w:tcPr>
            <w:tcW w:w="4201" w:type="dxa"/>
            <w:vMerge w:val="restart"/>
          </w:tcPr>
          <w:p w14:paraId="781A60EB"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Вид економічної діяльності</w:t>
            </w:r>
          </w:p>
        </w:tc>
        <w:tc>
          <w:tcPr>
            <w:tcW w:w="2801" w:type="dxa"/>
            <w:gridSpan w:val="3"/>
          </w:tcPr>
          <w:p w14:paraId="2704FE06"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2015</w:t>
            </w:r>
          </w:p>
        </w:tc>
        <w:tc>
          <w:tcPr>
            <w:tcW w:w="2923" w:type="dxa"/>
            <w:gridSpan w:val="3"/>
          </w:tcPr>
          <w:p w14:paraId="05920054"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2021</w:t>
            </w:r>
          </w:p>
        </w:tc>
      </w:tr>
      <w:tr w:rsidR="007D4366" w:rsidRPr="005F0419" w14:paraId="57B488FC" w14:textId="77777777" w:rsidTr="007715AB">
        <w:tc>
          <w:tcPr>
            <w:tcW w:w="4201" w:type="dxa"/>
            <w:vMerge/>
          </w:tcPr>
          <w:p w14:paraId="5DC0881C" w14:textId="77777777" w:rsidR="007D4366" w:rsidRPr="005F0419" w:rsidRDefault="007D4366" w:rsidP="007715AB">
            <w:pPr>
              <w:spacing w:after="0" w:line="240" w:lineRule="auto"/>
              <w:jc w:val="both"/>
              <w:rPr>
                <w:rFonts w:ascii="Times New Roman" w:hAnsi="Times New Roman" w:cs="Times New Roman"/>
                <w:sz w:val="28"/>
                <w:szCs w:val="28"/>
                <w:lang w:val="uk-UA"/>
              </w:rPr>
            </w:pPr>
          </w:p>
        </w:tc>
        <w:tc>
          <w:tcPr>
            <w:tcW w:w="697" w:type="dxa"/>
          </w:tcPr>
          <w:p w14:paraId="3E32724A" w14:textId="77777777" w:rsidR="007D4366" w:rsidRPr="005F0419" w:rsidRDefault="007D4366" w:rsidP="007715AB">
            <w:pPr>
              <w:spacing w:after="0" w:line="240" w:lineRule="auto"/>
              <w:jc w:val="center"/>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Рп</w:t>
            </w:r>
            <w:proofErr w:type="spellEnd"/>
          </w:p>
        </w:tc>
        <w:tc>
          <w:tcPr>
            <w:tcW w:w="697" w:type="dxa"/>
          </w:tcPr>
          <w:p w14:paraId="30574BBD" w14:textId="77777777" w:rsidR="007D4366" w:rsidRPr="005F0419" w:rsidRDefault="007D4366" w:rsidP="007715AB">
            <w:pPr>
              <w:spacing w:after="0" w:line="240" w:lineRule="auto"/>
              <w:jc w:val="center"/>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Рз</w:t>
            </w:r>
            <w:proofErr w:type="spellEnd"/>
          </w:p>
        </w:tc>
        <w:tc>
          <w:tcPr>
            <w:tcW w:w="1407" w:type="dxa"/>
          </w:tcPr>
          <w:p w14:paraId="200156BF"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Відхилення (+/-)</w:t>
            </w:r>
          </w:p>
        </w:tc>
        <w:tc>
          <w:tcPr>
            <w:tcW w:w="805" w:type="dxa"/>
          </w:tcPr>
          <w:p w14:paraId="6E69A2FE" w14:textId="77777777" w:rsidR="007D4366" w:rsidRPr="005F0419" w:rsidRDefault="007D4366" w:rsidP="007715AB">
            <w:pPr>
              <w:spacing w:after="0" w:line="240" w:lineRule="auto"/>
              <w:jc w:val="center"/>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Рп</w:t>
            </w:r>
            <w:proofErr w:type="spellEnd"/>
          </w:p>
        </w:tc>
        <w:tc>
          <w:tcPr>
            <w:tcW w:w="696" w:type="dxa"/>
          </w:tcPr>
          <w:p w14:paraId="659EE0A8" w14:textId="77777777" w:rsidR="007D4366" w:rsidRPr="005F0419" w:rsidRDefault="007D4366" w:rsidP="007715AB">
            <w:pPr>
              <w:spacing w:after="0" w:line="240" w:lineRule="auto"/>
              <w:jc w:val="center"/>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Рз</w:t>
            </w:r>
            <w:proofErr w:type="spellEnd"/>
          </w:p>
        </w:tc>
        <w:tc>
          <w:tcPr>
            <w:tcW w:w="1422" w:type="dxa"/>
          </w:tcPr>
          <w:p w14:paraId="1B1D8CF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Відхилення (+/-)</w:t>
            </w:r>
          </w:p>
        </w:tc>
      </w:tr>
      <w:tr w:rsidR="007D4366" w:rsidRPr="005F0419" w14:paraId="4925597A" w14:textId="77777777" w:rsidTr="007715AB">
        <w:tc>
          <w:tcPr>
            <w:tcW w:w="4201" w:type="dxa"/>
          </w:tcPr>
          <w:p w14:paraId="43F8156C"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Усього</w:t>
            </w:r>
          </w:p>
        </w:tc>
        <w:tc>
          <w:tcPr>
            <w:tcW w:w="697" w:type="dxa"/>
          </w:tcPr>
          <w:p w14:paraId="1F5A9CF7"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24,0</w:t>
            </w:r>
          </w:p>
        </w:tc>
        <w:tc>
          <w:tcPr>
            <w:tcW w:w="697" w:type="dxa"/>
          </w:tcPr>
          <w:p w14:paraId="72446334"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30,2</w:t>
            </w:r>
          </w:p>
        </w:tc>
        <w:tc>
          <w:tcPr>
            <w:tcW w:w="1407" w:type="dxa"/>
          </w:tcPr>
          <w:p w14:paraId="449EB9ED"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6,2</w:t>
            </w:r>
          </w:p>
        </w:tc>
        <w:tc>
          <w:tcPr>
            <w:tcW w:w="805" w:type="dxa"/>
          </w:tcPr>
          <w:p w14:paraId="184F92A4"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28,7</w:t>
            </w:r>
          </w:p>
        </w:tc>
        <w:tc>
          <w:tcPr>
            <w:tcW w:w="696" w:type="dxa"/>
          </w:tcPr>
          <w:p w14:paraId="3FB95361"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30,8</w:t>
            </w:r>
          </w:p>
        </w:tc>
        <w:tc>
          <w:tcPr>
            <w:tcW w:w="1422" w:type="dxa"/>
          </w:tcPr>
          <w:p w14:paraId="43C073C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w:t>
            </w:r>
          </w:p>
        </w:tc>
      </w:tr>
      <w:tr w:rsidR="007D4366" w:rsidRPr="005F0419" w14:paraId="4FBE7223" w14:textId="77777777" w:rsidTr="007715AB">
        <w:tc>
          <w:tcPr>
            <w:tcW w:w="4201" w:type="dxa"/>
          </w:tcPr>
          <w:p w14:paraId="38E67729"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Сільське господарство, лісове господарство та рибне господарство</w:t>
            </w:r>
          </w:p>
        </w:tc>
        <w:tc>
          <w:tcPr>
            <w:tcW w:w="697" w:type="dxa"/>
          </w:tcPr>
          <w:p w14:paraId="7C76319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47,1</w:t>
            </w:r>
          </w:p>
        </w:tc>
        <w:tc>
          <w:tcPr>
            <w:tcW w:w="697" w:type="dxa"/>
          </w:tcPr>
          <w:p w14:paraId="5D58611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49,1</w:t>
            </w:r>
          </w:p>
        </w:tc>
        <w:tc>
          <w:tcPr>
            <w:tcW w:w="1407" w:type="dxa"/>
          </w:tcPr>
          <w:p w14:paraId="2290977A"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w:t>
            </w:r>
          </w:p>
        </w:tc>
        <w:tc>
          <w:tcPr>
            <w:tcW w:w="805" w:type="dxa"/>
          </w:tcPr>
          <w:p w14:paraId="200FF60B"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44,7</w:t>
            </w:r>
          </w:p>
        </w:tc>
        <w:tc>
          <w:tcPr>
            <w:tcW w:w="696" w:type="dxa"/>
          </w:tcPr>
          <w:p w14:paraId="1F5ECBDB"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44,4</w:t>
            </w:r>
          </w:p>
        </w:tc>
        <w:tc>
          <w:tcPr>
            <w:tcW w:w="1422" w:type="dxa"/>
          </w:tcPr>
          <w:p w14:paraId="12BF4B75"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-0,3</w:t>
            </w:r>
          </w:p>
        </w:tc>
      </w:tr>
      <w:tr w:rsidR="007D4366" w:rsidRPr="005F0419" w14:paraId="380AF823" w14:textId="77777777" w:rsidTr="007715AB">
        <w:tc>
          <w:tcPr>
            <w:tcW w:w="4201" w:type="dxa"/>
          </w:tcPr>
          <w:p w14:paraId="582D901D"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Промисловість</w:t>
            </w:r>
          </w:p>
        </w:tc>
        <w:tc>
          <w:tcPr>
            <w:tcW w:w="697" w:type="dxa"/>
          </w:tcPr>
          <w:p w14:paraId="66FE9BD9"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20,9</w:t>
            </w:r>
          </w:p>
        </w:tc>
        <w:tc>
          <w:tcPr>
            <w:tcW w:w="697" w:type="dxa"/>
          </w:tcPr>
          <w:p w14:paraId="50ADC293"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28,1</w:t>
            </w:r>
          </w:p>
        </w:tc>
        <w:tc>
          <w:tcPr>
            <w:tcW w:w="1407" w:type="dxa"/>
          </w:tcPr>
          <w:p w14:paraId="350E6D13"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7,2</w:t>
            </w:r>
          </w:p>
        </w:tc>
        <w:tc>
          <w:tcPr>
            <w:tcW w:w="805" w:type="dxa"/>
          </w:tcPr>
          <w:p w14:paraId="057B4C6B"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25,0</w:t>
            </w:r>
          </w:p>
        </w:tc>
        <w:tc>
          <w:tcPr>
            <w:tcW w:w="696" w:type="dxa"/>
          </w:tcPr>
          <w:p w14:paraId="662F6888"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28,5</w:t>
            </w:r>
          </w:p>
        </w:tc>
        <w:tc>
          <w:tcPr>
            <w:tcW w:w="1422" w:type="dxa"/>
          </w:tcPr>
          <w:p w14:paraId="43CA0412"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3,5</w:t>
            </w:r>
          </w:p>
        </w:tc>
      </w:tr>
      <w:tr w:rsidR="007D4366" w:rsidRPr="005F0419" w14:paraId="61626BDE" w14:textId="77777777" w:rsidTr="007715AB">
        <w:tc>
          <w:tcPr>
            <w:tcW w:w="4201" w:type="dxa"/>
          </w:tcPr>
          <w:p w14:paraId="17DE2924"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Будівництво</w:t>
            </w:r>
          </w:p>
        </w:tc>
        <w:tc>
          <w:tcPr>
            <w:tcW w:w="697" w:type="dxa"/>
          </w:tcPr>
          <w:p w14:paraId="40DCF61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32,0</w:t>
            </w:r>
          </w:p>
        </w:tc>
        <w:tc>
          <w:tcPr>
            <w:tcW w:w="697" w:type="dxa"/>
          </w:tcPr>
          <w:p w14:paraId="77D88F3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48,9</w:t>
            </w:r>
          </w:p>
        </w:tc>
        <w:tc>
          <w:tcPr>
            <w:tcW w:w="1407" w:type="dxa"/>
          </w:tcPr>
          <w:p w14:paraId="49FA1A4D"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16,9</w:t>
            </w:r>
          </w:p>
        </w:tc>
        <w:tc>
          <w:tcPr>
            <w:tcW w:w="805" w:type="dxa"/>
          </w:tcPr>
          <w:p w14:paraId="1ACFCB2D"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45,4</w:t>
            </w:r>
          </w:p>
        </w:tc>
        <w:tc>
          <w:tcPr>
            <w:tcW w:w="696" w:type="dxa"/>
          </w:tcPr>
          <w:p w14:paraId="30B2309A"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44,1</w:t>
            </w:r>
          </w:p>
        </w:tc>
        <w:tc>
          <w:tcPr>
            <w:tcW w:w="1422" w:type="dxa"/>
          </w:tcPr>
          <w:p w14:paraId="3EFF40B6"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-1,3</w:t>
            </w:r>
          </w:p>
        </w:tc>
      </w:tr>
      <w:tr w:rsidR="007D4366" w:rsidRPr="005F0419" w14:paraId="56BF8F5C" w14:textId="77777777" w:rsidTr="007715AB">
        <w:tc>
          <w:tcPr>
            <w:tcW w:w="4201" w:type="dxa"/>
          </w:tcPr>
          <w:p w14:paraId="17D1171E"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Оптова та роздрібна торгівля; ремонт</w:t>
            </w:r>
          </w:p>
        </w:tc>
        <w:tc>
          <w:tcPr>
            <w:tcW w:w="697" w:type="dxa"/>
          </w:tcPr>
          <w:p w14:paraId="4B7089DA"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47,8</w:t>
            </w:r>
          </w:p>
        </w:tc>
        <w:tc>
          <w:tcPr>
            <w:tcW w:w="697" w:type="dxa"/>
          </w:tcPr>
          <w:p w14:paraId="376553A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55,5</w:t>
            </w:r>
          </w:p>
        </w:tc>
        <w:tc>
          <w:tcPr>
            <w:tcW w:w="1407" w:type="dxa"/>
          </w:tcPr>
          <w:p w14:paraId="4545FC63"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7,7</w:t>
            </w:r>
          </w:p>
        </w:tc>
        <w:tc>
          <w:tcPr>
            <w:tcW w:w="805" w:type="dxa"/>
          </w:tcPr>
          <w:p w14:paraId="28F044F2"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45,6</w:t>
            </w:r>
          </w:p>
        </w:tc>
        <w:tc>
          <w:tcPr>
            <w:tcW w:w="696" w:type="dxa"/>
          </w:tcPr>
          <w:p w14:paraId="2491CFBB"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47,9</w:t>
            </w:r>
          </w:p>
        </w:tc>
        <w:tc>
          <w:tcPr>
            <w:tcW w:w="1422" w:type="dxa"/>
          </w:tcPr>
          <w:p w14:paraId="08DB0E48"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2,3</w:t>
            </w:r>
          </w:p>
        </w:tc>
      </w:tr>
      <w:tr w:rsidR="007D4366" w:rsidRPr="005F0419" w14:paraId="292C9B21" w14:textId="77777777" w:rsidTr="007715AB">
        <w:tc>
          <w:tcPr>
            <w:tcW w:w="4201" w:type="dxa"/>
          </w:tcPr>
          <w:p w14:paraId="0DEBA6E6"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Транспорт, складське господарство, поштова та кур’єрська діяльність</w:t>
            </w:r>
          </w:p>
        </w:tc>
        <w:tc>
          <w:tcPr>
            <w:tcW w:w="697" w:type="dxa"/>
          </w:tcPr>
          <w:p w14:paraId="246E7D4E"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21,4</w:t>
            </w:r>
          </w:p>
        </w:tc>
        <w:tc>
          <w:tcPr>
            <w:tcW w:w="697" w:type="dxa"/>
          </w:tcPr>
          <w:p w14:paraId="3DC9D235"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28,5</w:t>
            </w:r>
          </w:p>
        </w:tc>
        <w:tc>
          <w:tcPr>
            <w:tcW w:w="1407" w:type="dxa"/>
          </w:tcPr>
          <w:p w14:paraId="02920FED"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7,1</w:t>
            </w:r>
          </w:p>
        </w:tc>
        <w:tc>
          <w:tcPr>
            <w:tcW w:w="805" w:type="dxa"/>
          </w:tcPr>
          <w:p w14:paraId="3879B451"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25,2</w:t>
            </w:r>
          </w:p>
        </w:tc>
        <w:tc>
          <w:tcPr>
            <w:tcW w:w="696" w:type="dxa"/>
          </w:tcPr>
          <w:p w14:paraId="30074A44"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31,5</w:t>
            </w:r>
          </w:p>
        </w:tc>
        <w:tc>
          <w:tcPr>
            <w:tcW w:w="1422" w:type="dxa"/>
          </w:tcPr>
          <w:p w14:paraId="22B8DE15"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6,3</w:t>
            </w:r>
          </w:p>
        </w:tc>
      </w:tr>
      <w:tr w:rsidR="007D4366" w:rsidRPr="005F0419" w14:paraId="78A1E387" w14:textId="77777777" w:rsidTr="007715AB">
        <w:tc>
          <w:tcPr>
            <w:tcW w:w="4201" w:type="dxa"/>
          </w:tcPr>
          <w:p w14:paraId="2F48101D"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Тимчасове розміщування й організація харчування</w:t>
            </w:r>
          </w:p>
        </w:tc>
        <w:tc>
          <w:tcPr>
            <w:tcW w:w="697" w:type="dxa"/>
          </w:tcPr>
          <w:p w14:paraId="7A9EFB2E"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49,6</w:t>
            </w:r>
          </w:p>
        </w:tc>
        <w:tc>
          <w:tcPr>
            <w:tcW w:w="697" w:type="dxa"/>
          </w:tcPr>
          <w:p w14:paraId="4016FAF6"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60,7</w:t>
            </w:r>
          </w:p>
        </w:tc>
        <w:tc>
          <w:tcPr>
            <w:tcW w:w="1407" w:type="dxa"/>
          </w:tcPr>
          <w:p w14:paraId="4CA694E5"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11,1</w:t>
            </w:r>
          </w:p>
        </w:tc>
        <w:tc>
          <w:tcPr>
            <w:tcW w:w="805" w:type="dxa"/>
          </w:tcPr>
          <w:p w14:paraId="2DAAF3C1"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74,0</w:t>
            </w:r>
          </w:p>
        </w:tc>
        <w:tc>
          <w:tcPr>
            <w:tcW w:w="696" w:type="dxa"/>
          </w:tcPr>
          <w:p w14:paraId="1255EF6F"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66,3</w:t>
            </w:r>
          </w:p>
        </w:tc>
        <w:tc>
          <w:tcPr>
            <w:tcW w:w="1422" w:type="dxa"/>
          </w:tcPr>
          <w:p w14:paraId="05CF3145"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-7,7</w:t>
            </w:r>
          </w:p>
        </w:tc>
      </w:tr>
      <w:tr w:rsidR="007D4366" w:rsidRPr="005F0419" w14:paraId="79D0A8DB" w14:textId="77777777" w:rsidTr="007715AB">
        <w:tc>
          <w:tcPr>
            <w:tcW w:w="4201" w:type="dxa"/>
          </w:tcPr>
          <w:p w14:paraId="75A2AC79"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Інформація та телекомунікації</w:t>
            </w:r>
          </w:p>
        </w:tc>
        <w:tc>
          <w:tcPr>
            <w:tcW w:w="697" w:type="dxa"/>
          </w:tcPr>
          <w:p w14:paraId="7CBF96AA"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27,2</w:t>
            </w:r>
          </w:p>
        </w:tc>
        <w:tc>
          <w:tcPr>
            <w:tcW w:w="697" w:type="dxa"/>
          </w:tcPr>
          <w:p w14:paraId="5D03E993"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40,5</w:t>
            </w:r>
          </w:p>
        </w:tc>
        <w:tc>
          <w:tcPr>
            <w:tcW w:w="1407" w:type="dxa"/>
          </w:tcPr>
          <w:p w14:paraId="7A2482F1"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13,3</w:t>
            </w:r>
          </w:p>
        </w:tc>
        <w:tc>
          <w:tcPr>
            <w:tcW w:w="805" w:type="dxa"/>
          </w:tcPr>
          <w:p w14:paraId="65C04FE2"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29,2</w:t>
            </w:r>
          </w:p>
        </w:tc>
        <w:tc>
          <w:tcPr>
            <w:tcW w:w="696" w:type="dxa"/>
          </w:tcPr>
          <w:p w14:paraId="1DC58684"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33,9</w:t>
            </w:r>
          </w:p>
        </w:tc>
        <w:tc>
          <w:tcPr>
            <w:tcW w:w="1422" w:type="dxa"/>
          </w:tcPr>
          <w:p w14:paraId="3DC641A2"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4,7</w:t>
            </w:r>
          </w:p>
        </w:tc>
      </w:tr>
      <w:tr w:rsidR="007D4366" w:rsidRPr="005F0419" w14:paraId="1706DCF2" w14:textId="77777777" w:rsidTr="007715AB">
        <w:tc>
          <w:tcPr>
            <w:tcW w:w="4201" w:type="dxa"/>
          </w:tcPr>
          <w:p w14:paraId="54EAE4ED"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Фінансова та страхова діяльність</w:t>
            </w:r>
          </w:p>
        </w:tc>
        <w:tc>
          <w:tcPr>
            <w:tcW w:w="697" w:type="dxa"/>
          </w:tcPr>
          <w:p w14:paraId="525D2C3E"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30,9</w:t>
            </w:r>
          </w:p>
        </w:tc>
        <w:tc>
          <w:tcPr>
            <w:tcW w:w="697" w:type="dxa"/>
          </w:tcPr>
          <w:p w14:paraId="5B771FB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56,4</w:t>
            </w:r>
          </w:p>
        </w:tc>
        <w:tc>
          <w:tcPr>
            <w:tcW w:w="1407" w:type="dxa"/>
          </w:tcPr>
          <w:p w14:paraId="040782A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25,5</w:t>
            </w:r>
          </w:p>
        </w:tc>
        <w:tc>
          <w:tcPr>
            <w:tcW w:w="805" w:type="dxa"/>
          </w:tcPr>
          <w:p w14:paraId="2F2AE5E1"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35,5</w:t>
            </w:r>
          </w:p>
        </w:tc>
        <w:tc>
          <w:tcPr>
            <w:tcW w:w="696" w:type="dxa"/>
          </w:tcPr>
          <w:p w14:paraId="1BC1B398"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40,4</w:t>
            </w:r>
          </w:p>
        </w:tc>
        <w:tc>
          <w:tcPr>
            <w:tcW w:w="1422" w:type="dxa"/>
          </w:tcPr>
          <w:p w14:paraId="7113934D"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4,9</w:t>
            </w:r>
          </w:p>
        </w:tc>
      </w:tr>
      <w:tr w:rsidR="007D4366" w:rsidRPr="005F0419" w14:paraId="29A0B93C" w14:textId="77777777" w:rsidTr="007715AB">
        <w:tc>
          <w:tcPr>
            <w:tcW w:w="4201" w:type="dxa"/>
          </w:tcPr>
          <w:p w14:paraId="7D570002"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Професійна, наукова та технічна діяльність</w:t>
            </w:r>
          </w:p>
        </w:tc>
        <w:tc>
          <w:tcPr>
            <w:tcW w:w="697" w:type="dxa"/>
          </w:tcPr>
          <w:p w14:paraId="0DA8539A"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17,6</w:t>
            </w:r>
          </w:p>
        </w:tc>
        <w:tc>
          <w:tcPr>
            <w:tcW w:w="697" w:type="dxa"/>
          </w:tcPr>
          <w:p w14:paraId="0D9BECA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28,3</w:t>
            </w:r>
          </w:p>
        </w:tc>
        <w:tc>
          <w:tcPr>
            <w:tcW w:w="1407" w:type="dxa"/>
          </w:tcPr>
          <w:p w14:paraId="31D17A03"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10,7</w:t>
            </w:r>
          </w:p>
        </w:tc>
        <w:tc>
          <w:tcPr>
            <w:tcW w:w="805" w:type="dxa"/>
          </w:tcPr>
          <w:p w14:paraId="4C428E4B"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20,3</w:t>
            </w:r>
          </w:p>
        </w:tc>
        <w:tc>
          <w:tcPr>
            <w:tcW w:w="696" w:type="dxa"/>
          </w:tcPr>
          <w:p w14:paraId="3059BED8"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23,3</w:t>
            </w:r>
          </w:p>
        </w:tc>
        <w:tc>
          <w:tcPr>
            <w:tcW w:w="1422" w:type="dxa"/>
          </w:tcPr>
          <w:p w14:paraId="7DFB3803"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3,0</w:t>
            </w:r>
          </w:p>
        </w:tc>
      </w:tr>
      <w:tr w:rsidR="007D4366" w:rsidRPr="005F0419" w14:paraId="306FEB3D" w14:textId="77777777" w:rsidTr="007715AB">
        <w:tc>
          <w:tcPr>
            <w:tcW w:w="4201" w:type="dxa"/>
          </w:tcPr>
          <w:p w14:paraId="15EF0D3D"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Державне управління й оборона; обов’язкове соціальне страхування</w:t>
            </w:r>
          </w:p>
        </w:tc>
        <w:tc>
          <w:tcPr>
            <w:tcW w:w="697" w:type="dxa"/>
          </w:tcPr>
          <w:p w14:paraId="0EDB99DB"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21,4</w:t>
            </w:r>
          </w:p>
        </w:tc>
        <w:tc>
          <w:tcPr>
            <w:tcW w:w="697" w:type="dxa"/>
          </w:tcPr>
          <w:p w14:paraId="19AA1EFB"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26,7</w:t>
            </w:r>
          </w:p>
        </w:tc>
        <w:tc>
          <w:tcPr>
            <w:tcW w:w="1407" w:type="dxa"/>
          </w:tcPr>
          <w:p w14:paraId="2E735468"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5,3</w:t>
            </w:r>
          </w:p>
        </w:tc>
        <w:tc>
          <w:tcPr>
            <w:tcW w:w="805" w:type="dxa"/>
          </w:tcPr>
          <w:p w14:paraId="1979EFBA"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28,1</w:t>
            </w:r>
          </w:p>
        </w:tc>
        <w:tc>
          <w:tcPr>
            <w:tcW w:w="696" w:type="dxa"/>
          </w:tcPr>
          <w:p w14:paraId="75EE7328"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30,2</w:t>
            </w:r>
          </w:p>
        </w:tc>
        <w:tc>
          <w:tcPr>
            <w:tcW w:w="1422" w:type="dxa"/>
          </w:tcPr>
          <w:p w14:paraId="57C4B566"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w:t>
            </w:r>
          </w:p>
        </w:tc>
      </w:tr>
      <w:tr w:rsidR="007D4366" w:rsidRPr="005F0419" w14:paraId="15DF47A2" w14:textId="77777777" w:rsidTr="007715AB">
        <w:tc>
          <w:tcPr>
            <w:tcW w:w="4201" w:type="dxa"/>
          </w:tcPr>
          <w:p w14:paraId="50A04D30"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Освіта</w:t>
            </w:r>
          </w:p>
        </w:tc>
        <w:tc>
          <w:tcPr>
            <w:tcW w:w="697" w:type="dxa"/>
          </w:tcPr>
          <w:p w14:paraId="30BE15F6"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14,1</w:t>
            </w:r>
          </w:p>
        </w:tc>
        <w:tc>
          <w:tcPr>
            <w:tcW w:w="697" w:type="dxa"/>
          </w:tcPr>
          <w:p w14:paraId="075D4AF3"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15,5</w:t>
            </w:r>
          </w:p>
        </w:tc>
        <w:tc>
          <w:tcPr>
            <w:tcW w:w="1407" w:type="dxa"/>
          </w:tcPr>
          <w:p w14:paraId="2110F1D2"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1,4</w:t>
            </w:r>
          </w:p>
        </w:tc>
        <w:tc>
          <w:tcPr>
            <w:tcW w:w="805" w:type="dxa"/>
          </w:tcPr>
          <w:p w14:paraId="2219B8D8"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21,2</w:t>
            </w:r>
          </w:p>
        </w:tc>
        <w:tc>
          <w:tcPr>
            <w:tcW w:w="696" w:type="dxa"/>
          </w:tcPr>
          <w:p w14:paraId="4FD4E8BF"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17,9</w:t>
            </w:r>
          </w:p>
        </w:tc>
        <w:tc>
          <w:tcPr>
            <w:tcW w:w="1422" w:type="dxa"/>
          </w:tcPr>
          <w:p w14:paraId="35F1BCA8"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-3,3</w:t>
            </w:r>
          </w:p>
        </w:tc>
      </w:tr>
      <w:tr w:rsidR="007D4366" w:rsidRPr="005F0419" w14:paraId="34C413BC" w14:textId="77777777" w:rsidTr="007715AB">
        <w:tc>
          <w:tcPr>
            <w:tcW w:w="4201" w:type="dxa"/>
          </w:tcPr>
          <w:p w14:paraId="31CBDA15"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Охорона здоров’я та надання соціальної допомоги</w:t>
            </w:r>
          </w:p>
        </w:tc>
        <w:tc>
          <w:tcPr>
            <w:tcW w:w="697" w:type="dxa"/>
          </w:tcPr>
          <w:p w14:paraId="747A355C"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11,8</w:t>
            </w:r>
          </w:p>
        </w:tc>
        <w:tc>
          <w:tcPr>
            <w:tcW w:w="697" w:type="dxa"/>
          </w:tcPr>
          <w:p w14:paraId="0F5E138B"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14,2</w:t>
            </w:r>
          </w:p>
        </w:tc>
        <w:tc>
          <w:tcPr>
            <w:tcW w:w="1407" w:type="dxa"/>
          </w:tcPr>
          <w:p w14:paraId="27207E8F"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2,4</w:t>
            </w:r>
          </w:p>
        </w:tc>
        <w:tc>
          <w:tcPr>
            <w:tcW w:w="805" w:type="dxa"/>
          </w:tcPr>
          <w:p w14:paraId="24A3FD3B"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16,4</w:t>
            </w:r>
          </w:p>
        </w:tc>
        <w:tc>
          <w:tcPr>
            <w:tcW w:w="696" w:type="dxa"/>
          </w:tcPr>
          <w:p w14:paraId="42368CA3"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21,2</w:t>
            </w:r>
          </w:p>
        </w:tc>
        <w:tc>
          <w:tcPr>
            <w:tcW w:w="1422" w:type="dxa"/>
          </w:tcPr>
          <w:p w14:paraId="41BE18A4"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4,8</w:t>
            </w:r>
          </w:p>
        </w:tc>
      </w:tr>
      <w:tr w:rsidR="007D4366" w:rsidRPr="005F0419" w14:paraId="101A76AD" w14:textId="77777777" w:rsidTr="007715AB">
        <w:tc>
          <w:tcPr>
            <w:tcW w:w="4201" w:type="dxa"/>
          </w:tcPr>
          <w:p w14:paraId="6135EA10"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Мистецтво, спорт, розваги та відпочинок</w:t>
            </w:r>
          </w:p>
        </w:tc>
        <w:tc>
          <w:tcPr>
            <w:tcW w:w="697" w:type="dxa"/>
          </w:tcPr>
          <w:p w14:paraId="6C614EB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18,0</w:t>
            </w:r>
          </w:p>
        </w:tc>
        <w:tc>
          <w:tcPr>
            <w:tcW w:w="697" w:type="dxa"/>
          </w:tcPr>
          <w:p w14:paraId="6C149ED6"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18,8</w:t>
            </w:r>
          </w:p>
        </w:tc>
        <w:tc>
          <w:tcPr>
            <w:tcW w:w="1407" w:type="dxa"/>
          </w:tcPr>
          <w:p w14:paraId="6E1E5CF8"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0,8</w:t>
            </w:r>
          </w:p>
        </w:tc>
        <w:tc>
          <w:tcPr>
            <w:tcW w:w="805" w:type="dxa"/>
          </w:tcPr>
          <w:p w14:paraId="1DE17F38"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27,7</w:t>
            </w:r>
          </w:p>
        </w:tc>
        <w:tc>
          <w:tcPr>
            <w:tcW w:w="696" w:type="dxa"/>
          </w:tcPr>
          <w:p w14:paraId="6EDA5B30"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23,3</w:t>
            </w:r>
          </w:p>
        </w:tc>
        <w:tc>
          <w:tcPr>
            <w:tcW w:w="1422" w:type="dxa"/>
          </w:tcPr>
          <w:p w14:paraId="49E92418"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-4,4</w:t>
            </w:r>
          </w:p>
        </w:tc>
      </w:tr>
    </w:tbl>
    <w:p w14:paraId="62478909"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розраховано автором за даними [2].</w:t>
      </w:r>
    </w:p>
    <w:p w14:paraId="407C2968" w14:textId="77777777" w:rsidR="007D4366" w:rsidRDefault="007D4366" w:rsidP="00160308">
      <w:pPr>
        <w:spacing w:after="0" w:line="360" w:lineRule="auto"/>
        <w:ind w:firstLine="720"/>
        <w:jc w:val="both"/>
        <w:rPr>
          <w:rFonts w:ascii="Times New Roman" w:hAnsi="Times New Roman" w:cs="Times New Roman"/>
          <w:sz w:val="28"/>
          <w:szCs w:val="28"/>
          <w:lang w:val="uk-UA"/>
        </w:rPr>
      </w:pPr>
    </w:p>
    <w:p w14:paraId="317D1A57" w14:textId="6D611554" w:rsidR="00160308" w:rsidRPr="005F0419" w:rsidRDefault="00160308" w:rsidP="00160308">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Виходячи з наведених даних можна зробити висновок про перевищення відносних показників кількості звільнених працівників над кількістю прийнятих по всім наведеним видам економічної діяльності у 2015 році. У той же час у 2021 році ситуація дещо змінилася, і по таким галузям, як: сільське, лісове та рибне господарство, будівництво, тимчасове розміщування й організація харчування, освіти, мистецтво, спорт, розваги та відпочинок рівень прийому працівників перевищував рівень їх звільнення. Але дана тенденція, на жаль, не може засвідчувати покращення ситуації у напрямі прийому персоналу через зростання потреб у кадрах, оскільки пов’язана із суттєвим скороченням середньооблікової кількості штатних працівників по вищенаведеним видам економічної діяльності. Щодо всіх інших галузей у 2021 році спостерігається збільшення показника звільнення кадрів, що впливає на рівень плинності персоналу та погіршення ситуації у сфері праці і зайнятості не лише на корпоративному, але й на державному та регіональному рівнях. Можемо прогнозувати, що відповідні тенденції стосовно руху персоналу будуть не лише зберігатися, а й загострюватися в умовах війни в Україні.</w:t>
      </w:r>
    </w:p>
    <w:p w14:paraId="61828569"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Суттєве значення у процесах забезпечення соціальної безпеки відіграє стабільність зайнятості та надання працівникам можливості працевлаштування і ведення трудової діяльності у будь-яких умовах. Зокрема, це стосується перспектив використання нестандартних форм зайнятості населення. Варто зазначити, що використання таких форм трудової діяльності позитивно впливає, зокрема, на зайнятість таких вразливих на ринку праці категорій робочої сили, як молодь та особи старшого віку, надаючи можливості для отримання додаткового доходу або збереження існуючого рівня оплати праці в умовах війни, використання більш зручного графіка роботи. Крім того розвиток нестандартних форм зайнятості, за умови виваженої податкової політики та її законодавчого забезпечення може сприяти детінізації соціально-трудових відносин на перспективу та нейтралізації впливу дисбалансу між попитом і пропозицією робочої сили на ринку праці. </w:t>
      </w:r>
    </w:p>
    <w:p w14:paraId="6744F6DE" w14:textId="77777777" w:rsidR="0000167A" w:rsidRPr="005F0419" w:rsidRDefault="0000167A" w:rsidP="00662012">
      <w:pPr>
        <w:spacing w:after="0" w:line="360" w:lineRule="auto"/>
        <w:ind w:firstLine="720"/>
        <w:jc w:val="both"/>
        <w:rPr>
          <w:rFonts w:ascii="Times New Roman" w:eastAsia="CenturySchoolbook" w:hAnsi="Times New Roman" w:cs="Times New Roman"/>
          <w:sz w:val="28"/>
          <w:szCs w:val="28"/>
          <w:lang w:val="uk-UA"/>
        </w:rPr>
      </w:pPr>
      <w:r w:rsidRPr="005F0419">
        <w:rPr>
          <w:rFonts w:ascii="Times New Roman" w:hAnsi="Times New Roman" w:cs="Times New Roman"/>
          <w:sz w:val="28"/>
          <w:szCs w:val="28"/>
          <w:lang w:val="uk-UA"/>
        </w:rPr>
        <w:lastRenderedPageBreak/>
        <w:t xml:space="preserve">Важливість законодавчого та інституційного закріплення нетрадиційних форм зайнятості в Україні визначена також і процесами </w:t>
      </w:r>
      <w:proofErr w:type="spellStart"/>
      <w:r w:rsidRPr="005F0419">
        <w:rPr>
          <w:rFonts w:ascii="Times New Roman" w:hAnsi="Times New Roman" w:cs="Times New Roman"/>
          <w:sz w:val="28"/>
          <w:szCs w:val="28"/>
          <w:lang w:val="uk-UA"/>
        </w:rPr>
        <w:t>діджиталізації</w:t>
      </w:r>
      <w:proofErr w:type="spellEnd"/>
      <w:r w:rsidRPr="005F0419">
        <w:rPr>
          <w:rFonts w:ascii="Times New Roman" w:hAnsi="Times New Roman" w:cs="Times New Roman"/>
          <w:sz w:val="28"/>
          <w:szCs w:val="28"/>
          <w:lang w:val="uk-UA"/>
        </w:rPr>
        <w:t xml:space="preserve"> та трансформаційним переходом до цифрової економіки, що спричиняє появу принципово нових професій, які є важливими на шляху економічних та суспільних змін. Саме тому </w:t>
      </w:r>
      <w:r w:rsidRPr="005F0419">
        <w:rPr>
          <w:rFonts w:ascii="Times New Roman" w:eastAsia="CenturySchoolbook" w:hAnsi="Times New Roman" w:cs="Times New Roman"/>
          <w:sz w:val="28"/>
          <w:szCs w:val="28"/>
          <w:lang w:val="uk-UA"/>
        </w:rPr>
        <w:t>доцільним є визначення рис, притаманних сучасним формам нестандартної зайнятості. Серед них варто відзначити: мобільність робочої сили з перегрупуванням</w:t>
      </w:r>
      <w:r w:rsidRPr="005F0419">
        <w:rPr>
          <w:rFonts w:ascii="Times New Roman" w:hAnsi="Times New Roman" w:cs="Times New Roman"/>
          <w:sz w:val="28"/>
          <w:szCs w:val="28"/>
          <w:lang w:val="uk-UA"/>
        </w:rPr>
        <w:t xml:space="preserve"> </w:t>
      </w:r>
      <w:r w:rsidRPr="005F0419">
        <w:rPr>
          <w:rFonts w:ascii="Times New Roman" w:eastAsia="CenturySchoolbook" w:hAnsi="Times New Roman" w:cs="Times New Roman"/>
          <w:sz w:val="28"/>
          <w:szCs w:val="28"/>
          <w:lang w:val="uk-UA"/>
        </w:rPr>
        <w:t>зайнятих за галузями економіки та сферами діяльності; постійне</w:t>
      </w:r>
      <w:r w:rsidRPr="005F0419">
        <w:rPr>
          <w:rFonts w:ascii="Times New Roman" w:hAnsi="Times New Roman" w:cs="Times New Roman"/>
          <w:sz w:val="28"/>
          <w:szCs w:val="28"/>
          <w:lang w:val="uk-UA"/>
        </w:rPr>
        <w:t xml:space="preserve"> </w:t>
      </w:r>
      <w:r w:rsidRPr="005F0419">
        <w:rPr>
          <w:rFonts w:ascii="Times New Roman" w:eastAsia="CenturySchoolbook" w:hAnsi="Times New Roman" w:cs="Times New Roman"/>
          <w:sz w:val="28"/>
          <w:szCs w:val="28"/>
          <w:lang w:val="uk-UA"/>
        </w:rPr>
        <w:t xml:space="preserve">підвищення </w:t>
      </w:r>
      <w:proofErr w:type="spellStart"/>
      <w:r w:rsidRPr="005F0419">
        <w:rPr>
          <w:rFonts w:ascii="Times New Roman" w:eastAsia="CenturySchoolbook" w:hAnsi="Times New Roman" w:cs="Times New Roman"/>
          <w:sz w:val="28"/>
          <w:szCs w:val="28"/>
          <w:lang w:val="uk-UA"/>
        </w:rPr>
        <w:t>професійно</w:t>
      </w:r>
      <w:proofErr w:type="spellEnd"/>
      <w:r w:rsidRPr="005F0419">
        <w:rPr>
          <w:rFonts w:ascii="Times New Roman" w:eastAsia="CenturySchoolbook" w:hAnsi="Times New Roman" w:cs="Times New Roman"/>
          <w:sz w:val="28"/>
          <w:szCs w:val="28"/>
          <w:lang w:val="uk-UA"/>
        </w:rPr>
        <w:t>-кваліфікаційного рівня зайнятих, розвиток працюючого персоналу, оновлення його знань, умінь та навичок;</w:t>
      </w:r>
      <w:r w:rsidRPr="005F0419">
        <w:rPr>
          <w:rFonts w:ascii="Times New Roman" w:hAnsi="Times New Roman" w:cs="Times New Roman"/>
          <w:sz w:val="28"/>
          <w:szCs w:val="28"/>
          <w:lang w:val="uk-UA"/>
        </w:rPr>
        <w:t xml:space="preserve"> </w:t>
      </w:r>
      <w:r w:rsidRPr="005F0419">
        <w:rPr>
          <w:rFonts w:ascii="Times New Roman" w:eastAsia="CenturySchoolbook" w:hAnsi="Times New Roman" w:cs="Times New Roman"/>
          <w:sz w:val="28"/>
          <w:szCs w:val="28"/>
          <w:lang w:val="uk-UA"/>
        </w:rPr>
        <w:t xml:space="preserve">впровадження інноваційних форм зайнятості та </w:t>
      </w:r>
      <w:proofErr w:type="spellStart"/>
      <w:r w:rsidRPr="005F0419">
        <w:rPr>
          <w:rFonts w:ascii="Times New Roman" w:eastAsia="CenturySchoolbook" w:hAnsi="Times New Roman" w:cs="Times New Roman"/>
          <w:sz w:val="28"/>
          <w:szCs w:val="28"/>
          <w:lang w:val="uk-UA"/>
        </w:rPr>
        <w:t>самозайнятості</w:t>
      </w:r>
      <w:proofErr w:type="spellEnd"/>
      <w:r w:rsidRPr="005F0419">
        <w:rPr>
          <w:rFonts w:ascii="Times New Roman" w:eastAsia="CenturySchoolbook" w:hAnsi="Times New Roman" w:cs="Times New Roman"/>
          <w:sz w:val="28"/>
          <w:szCs w:val="28"/>
          <w:lang w:val="uk-UA"/>
        </w:rPr>
        <w:t xml:space="preserve"> населення (фріланс, дистанційна зайнятість тощо); застосування гнучких</w:t>
      </w:r>
      <w:r w:rsidRPr="005F0419">
        <w:rPr>
          <w:rFonts w:ascii="Times New Roman" w:hAnsi="Times New Roman" w:cs="Times New Roman"/>
          <w:sz w:val="28"/>
          <w:szCs w:val="28"/>
          <w:lang w:val="uk-UA"/>
        </w:rPr>
        <w:t xml:space="preserve"> </w:t>
      </w:r>
      <w:r w:rsidRPr="005F0419">
        <w:rPr>
          <w:rFonts w:ascii="Times New Roman" w:eastAsia="CenturySchoolbook" w:hAnsi="Times New Roman" w:cs="Times New Roman"/>
          <w:sz w:val="28"/>
          <w:szCs w:val="28"/>
          <w:lang w:val="uk-UA"/>
        </w:rPr>
        <w:t>форм зайнятості та організації робочого часу; формування інноваційного типу працівника, що характеризується готовністю до розробки та</w:t>
      </w:r>
      <w:r w:rsidRPr="005F0419">
        <w:rPr>
          <w:rFonts w:ascii="Times New Roman" w:hAnsi="Times New Roman" w:cs="Times New Roman"/>
          <w:sz w:val="28"/>
          <w:szCs w:val="28"/>
          <w:lang w:val="uk-UA"/>
        </w:rPr>
        <w:t xml:space="preserve"> </w:t>
      </w:r>
      <w:r w:rsidRPr="005F0419">
        <w:rPr>
          <w:rFonts w:ascii="Times New Roman" w:eastAsia="CenturySchoolbook" w:hAnsi="Times New Roman" w:cs="Times New Roman"/>
          <w:sz w:val="28"/>
          <w:szCs w:val="28"/>
          <w:lang w:val="uk-UA"/>
        </w:rPr>
        <w:t>впровадження інновацій, швидкою адаптацією до змін, креативністю</w:t>
      </w:r>
      <w:r w:rsidRPr="005F0419">
        <w:rPr>
          <w:rFonts w:ascii="Times New Roman" w:hAnsi="Times New Roman" w:cs="Times New Roman"/>
          <w:sz w:val="28"/>
          <w:szCs w:val="28"/>
          <w:lang w:val="uk-UA"/>
        </w:rPr>
        <w:t xml:space="preserve"> </w:t>
      </w:r>
      <w:r w:rsidRPr="005F0419">
        <w:rPr>
          <w:rFonts w:ascii="Times New Roman" w:eastAsia="CenturySchoolbook" w:hAnsi="Times New Roman" w:cs="Times New Roman"/>
          <w:sz w:val="28"/>
          <w:szCs w:val="28"/>
          <w:lang w:val="uk-UA"/>
        </w:rPr>
        <w:t xml:space="preserve">та новаторським мисленням, високим рівнем інтелекту [3]. </w:t>
      </w:r>
    </w:p>
    <w:p w14:paraId="5BBF87CD"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Варто відзначити наявність цілого ряду можливостей та позитивних рис нетрадиційних форм зайнятості як для працівників, так і для роботодавців та держави. Так, для працівників це: можливість досягнення так званого </w:t>
      </w:r>
      <w:proofErr w:type="spellStart"/>
      <w:r w:rsidRPr="005F0419">
        <w:rPr>
          <w:rFonts w:ascii="Times New Roman" w:hAnsi="Times New Roman" w:cs="Times New Roman"/>
          <w:sz w:val="28"/>
          <w:szCs w:val="28"/>
          <w:lang w:val="uk-UA"/>
        </w:rPr>
        <w:t>work-life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balance</w:t>
      </w:r>
      <w:proofErr w:type="spellEnd"/>
      <w:r w:rsidRPr="005F0419">
        <w:rPr>
          <w:rFonts w:ascii="Times New Roman" w:hAnsi="Times New Roman" w:cs="Times New Roman"/>
          <w:sz w:val="28"/>
          <w:szCs w:val="28"/>
          <w:lang w:val="uk-UA"/>
        </w:rPr>
        <w:t xml:space="preserve"> (балансу між професійним та особистим життям); можливості більш гнучкого та раціонального використання робочого часу, оптимізація режимів праці та відпочинку; можливість поєднувати роботу з навчанням та іншими видами професійної діяльності; саморозвиток та підвищення рівня власної кваліфікації;  </w:t>
      </w:r>
      <w:proofErr w:type="spellStart"/>
      <w:r w:rsidRPr="005F0419">
        <w:rPr>
          <w:rFonts w:ascii="Times New Roman" w:hAnsi="Times New Roman" w:cs="Times New Roman"/>
          <w:sz w:val="28"/>
          <w:szCs w:val="28"/>
          <w:lang w:val="uk-UA"/>
        </w:rPr>
        <w:t>інклюзивність</w:t>
      </w:r>
      <w:proofErr w:type="spellEnd"/>
      <w:r w:rsidRPr="005F0419">
        <w:rPr>
          <w:rFonts w:ascii="Times New Roman" w:hAnsi="Times New Roman" w:cs="Times New Roman"/>
          <w:sz w:val="28"/>
          <w:szCs w:val="28"/>
          <w:lang w:val="uk-UA"/>
        </w:rPr>
        <w:t xml:space="preserve"> (залучення до трудової діяльності осіб з обмеженою працездатністю та соціально вразливих категорій громадян). Для роботодавців нестандартні форми зайнятості мають переваги у контексті формування більш високого рівня гнучкості персоналу, зокрема, стосовно швидкого заміщення тимчасово відсутніх на робочому місці працівників, а також залучення необхідної кількості персоналу для виконання особливо термінових задач, у тому числі в умовах сезонності робіт та при форс-мажорних або непередбачуваних ситуаціях; отримання більш високої продуктивності та ефективності праці за </w:t>
      </w:r>
      <w:r w:rsidRPr="005F0419">
        <w:rPr>
          <w:rFonts w:ascii="Times New Roman" w:hAnsi="Times New Roman" w:cs="Times New Roman"/>
          <w:sz w:val="28"/>
          <w:szCs w:val="28"/>
          <w:lang w:val="uk-UA"/>
        </w:rPr>
        <w:lastRenderedPageBreak/>
        <w:t>рахунок задоволення потреб працівників і удосконалення системи мотивації праці (через оптимізацію умов і графіків роботи тощо). Основні переваги імплементації нестандартних форм зайнятості для держави мають своє вираження через формалізацію соціально-трудових відносин та зменшення рівня безробіття (за рахунок створення додаткових робочих місць), а також у зростанні показників участі населення в робочій силі, економічної активності суб’єктів господарювання, збільшенні купівельної спроможності, забезпеченні економічної стабільності.</w:t>
      </w:r>
    </w:p>
    <w:p w14:paraId="5DC9A58D"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Наразі найбільш розповсюдженими інноваційними формами зайнятості є: залучена праця (аутсорсинг, </w:t>
      </w:r>
      <w:proofErr w:type="spellStart"/>
      <w:r w:rsidRPr="005F0419">
        <w:rPr>
          <w:rFonts w:ascii="Times New Roman" w:hAnsi="Times New Roman" w:cs="Times New Roman"/>
          <w:sz w:val="28"/>
          <w:szCs w:val="28"/>
          <w:lang w:val="uk-UA"/>
        </w:rPr>
        <w:t>аутстаффінг</w:t>
      </w:r>
      <w:proofErr w:type="spellEnd"/>
      <w:r w:rsidRPr="005F0419">
        <w:rPr>
          <w:rFonts w:ascii="Times New Roman" w:hAnsi="Times New Roman" w:cs="Times New Roman"/>
          <w:sz w:val="28"/>
          <w:szCs w:val="28"/>
          <w:lang w:val="uk-UA"/>
        </w:rPr>
        <w:t xml:space="preserve">, лізинг персоналу); повна зайнятість (так звана </w:t>
      </w:r>
      <w:proofErr w:type="spellStart"/>
      <w:r w:rsidRPr="005F0419">
        <w:rPr>
          <w:rFonts w:ascii="Times New Roman" w:hAnsi="Times New Roman" w:cs="Times New Roman"/>
          <w:sz w:val="28"/>
          <w:szCs w:val="28"/>
          <w:lang w:val="uk-UA"/>
        </w:rPr>
        <w:t>телеробота</w:t>
      </w:r>
      <w:proofErr w:type="spellEnd"/>
      <w:r w:rsidRPr="005F0419">
        <w:rPr>
          <w:rFonts w:ascii="Times New Roman" w:hAnsi="Times New Roman" w:cs="Times New Roman"/>
          <w:sz w:val="28"/>
          <w:szCs w:val="28"/>
          <w:lang w:val="uk-UA"/>
        </w:rPr>
        <w:t xml:space="preserve"> (дистанційна робота), що полягає у виконанні відповідної роботи удома або в коворкінг-центрах та передачі її результатів замовнику через мережу Інтернет); фріланс (дистанційне виконання роботи в межах однієї професії та продаж її результатів різним клієнтам, без наявності одного роботодавця); нестандартні моделі робочого часу (гнучкі графіки роботи, розподіл робочого часу між декількома працівниками тощо) [4]. Розвиток нестандартних форм зайнятості буде забезпечувати робочими місцями безробітне населення, зокрема найменш захищені на ринку праці категорії робочої сили; сприяти підвищенню рівня доходів працівників, які можуть використовувати нетрадиційну зайнятість у якості джерела додаткового доходу. Все це у підсумку буде здійснювати позитивний вплив на рівень захищеності інтересів населення у питаннях зайнятості та оплати праці. </w:t>
      </w:r>
    </w:p>
    <w:p w14:paraId="1BE10983"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 метою поширення практики застосування нестандартних форм зайнятості в Україні є необхідним врахування цілого ряду чинників. Так, серед основних умов широкого впровадження таких форм зайнятості, слід визначити наступні:</w:t>
      </w:r>
    </w:p>
    <w:p w14:paraId="2336A0A9" w14:textId="77777777" w:rsidR="0000167A" w:rsidRPr="005F0419" w:rsidRDefault="0000167A" w:rsidP="00662012">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законодавче закріплення та регулювання нестандартних форм зайнятості населення;</w:t>
      </w:r>
    </w:p>
    <w:p w14:paraId="01BE4479" w14:textId="77777777" w:rsidR="0000167A" w:rsidRPr="005F0419" w:rsidRDefault="0000167A" w:rsidP="00662012">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pacing w:val="3"/>
          <w:sz w:val="28"/>
          <w:szCs w:val="28"/>
          <w:lang w:val="uk-UA"/>
        </w:rPr>
        <w:t xml:space="preserve">удосконалення нормативно-правової бази в контексті забезпечення рівних прав і можливостей працівників незалежно від форми зайнятості; </w:t>
      </w:r>
    </w:p>
    <w:p w14:paraId="18DA17C8" w14:textId="103E233B" w:rsidR="0000167A" w:rsidRDefault="0000167A" w:rsidP="00662012">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стимулювання поширення нестандартних форм зайнятості з боку держави за допомогою зваженої податкової політики одночасно з покращенням якості адміністрування податків;</w:t>
      </w:r>
    </w:p>
    <w:p w14:paraId="612DE42E" w14:textId="77777777" w:rsidR="007D4366" w:rsidRPr="005F0419" w:rsidRDefault="007D4366" w:rsidP="007D4366">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pacing w:val="3"/>
          <w:sz w:val="28"/>
          <w:szCs w:val="28"/>
          <w:lang w:val="uk-UA"/>
        </w:rPr>
        <w:t xml:space="preserve">посилення рівня соціального захисту зайнятих за умов нестандартної зайнятості, </w:t>
      </w:r>
      <w:r w:rsidRPr="005F0419">
        <w:rPr>
          <w:rFonts w:ascii="Times New Roman" w:hAnsi="Times New Roman" w:cs="Times New Roman"/>
          <w:sz w:val="28"/>
          <w:szCs w:val="28"/>
          <w:lang w:val="uk-UA"/>
        </w:rPr>
        <w:t>зарахування часу відповідної діяльності до трудового стажу</w:t>
      </w:r>
      <w:r w:rsidRPr="005F0419">
        <w:rPr>
          <w:rFonts w:ascii="Times New Roman" w:hAnsi="Times New Roman" w:cs="Times New Roman"/>
          <w:spacing w:val="3"/>
          <w:sz w:val="28"/>
          <w:szCs w:val="28"/>
          <w:lang w:val="uk-UA"/>
        </w:rPr>
        <w:t>;</w:t>
      </w:r>
      <w:r w:rsidRPr="005F0419">
        <w:rPr>
          <w:rFonts w:ascii="Times New Roman" w:hAnsi="Times New Roman" w:cs="Times New Roman"/>
          <w:sz w:val="28"/>
          <w:szCs w:val="28"/>
          <w:lang w:val="uk-UA"/>
        </w:rPr>
        <w:t xml:space="preserve"> </w:t>
      </w:r>
    </w:p>
    <w:p w14:paraId="01CF0D21" w14:textId="77777777" w:rsidR="0000167A" w:rsidRPr="005F0419" w:rsidRDefault="0000167A" w:rsidP="00662012">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pacing w:val="3"/>
          <w:sz w:val="28"/>
          <w:szCs w:val="28"/>
          <w:lang w:val="uk-UA"/>
        </w:rPr>
        <w:t>дотримання принципів соціальної справедливості та партнерства сторонами соціально-трудових відносин незалежно від того, формат традиційної чи нетрадиційної зайнятості застосовується;</w:t>
      </w:r>
    </w:p>
    <w:p w14:paraId="7F376AAC" w14:textId="77777777" w:rsidR="0000167A" w:rsidRPr="005F0419" w:rsidRDefault="0000167A" w:rsidP="00662012">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pacing w:val="3"/>
          <w:sz w:val="28"/>
          <w:szCs w:val="28"/>
          <w:lang w:val="uk-UA"/>
        </w:rPr>
        <w:t>усунення негативного ставлення до нестандартних форм зайнятості, що панують в суспільстві, зокрема за рахунок активізації просвітницької роботи з роботодавцями та працівниками щодо нестандартної зайнятості</w:t>
      </w:r>
      <w:r w:rsidRPr="005F0419">
        <w:rPr>
          <w:rFonts w:ascii="Times New Roman" w:hAnsi="Times New Roman" w:cs="Times New Roman"/>
          <w:sz w:val="28"/>
          <w:szCs w:val="28"/>
          <w:lang w:val="uk-UA"/>
        </w:rPr>
        <w:t>;</w:t>
      </w:r>
    </w:p>
    <w:p w14:paraId="0C0457D4" w14:textId="77777777" w:rsidR="0000167A" w:rsidRPr="005F0419" w:rsidRDefault="0000167A" w:rsidP="00662012">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pacing w:val="3"/>
          <w:sz w:val="28"/>
          <w:szCs w:val="28"/>
          <w:lang w:val="uk-UA"/>
        </w:rPr>
        <w:t>інформаційно</w:t>
      </w:r>
      <w:r w:rsidRPr="005F0419">
        <w:rPr>
          <w:rFonts w:ascii="Times New Roman" w:hAnsi="Times New Roman" w:cs="Times New Roman"/>
          <w:sz w:val="28"/>
          <w:szCs w:val="28"/>
          <w:lang w:val="uk-UA"/>
        </w:rPr>
        <w:t>-консультаційна підтримка щодо організації та розвитку таких форм зайнятості;</w:t>
      </w:r>
    </w:p>
    <w:p w14:paraId="1DAA167E" w14:textId="77777777" w:rsidR="0000167A" w:rsidRPr="005F0419" w:rsidRDefault="0000167A" w:rsidP="00662012">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широкий розвиток відповідних он-лайн платформ;</w:t>
      </w:r>
    </w:p>
    <w:p w14:paraId="212D9546" w14:textId="77777777" w:rsidR="0000167A" w:rsidRPr="005F0419" w:rsidRDefault="0000167A" w:rsidP="00662012">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інформатизація та </w:t>
      </w:r>
      <w:proofErr w:type="spellStart"/>
      <w:r w:rsidRPr="005F0419">
        <w:rPr>
          <w:rFonts w:ascii="Times New Roman" w:hAnsi="Times New Roman" w:cs="Times New Roman"/>
          <w:sz w:val="28"/>
          <w:szCs w:val="28"/>
          <w:lang w:val="uk-UA"/>
        </w:rPr>
        <w:t>діджиталізація</w:t>
      </w:r>
      <w:proofErr w:type="spellEnd"/>
      <w:r w:rsidRPr="005F0419">
        <w:rPr>
          <w:rFonts w:ascii="Times New Roman" w:hAnsi="Times New Roman" w:cs="Times New Roman"/>
          <w:sz w:val="28"/>
          <w:szCs w:val="28"/>
          <w:lang w:val="uk-UA"/>
        </w:rPr>
        <w:t xml:space="preserve"> бізнес-процесів;</w:t>
      </w:r>
    </w:p>
    <w:p w14:paraId="6CC46C6D" w14:textId="77777777" w:rsidR="0000167A" w:rsidRPr="005F0419" w:rsidRDefault="0000167A" w:rsidP="00662012">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навчання та підвищення кваліфікації працівників, які здійснюють трудову діяльність в рамках нестандартних форм зайнятості щодо особливостей її провадження та підвищення ефективності роботи;</w:t>
      </w:r>
    </w:p>
    <w:p w14:paraId="4680952C" w14:textId="77777777" w:rsidR="0000167A" w:rsidRPr="005F0419" w:rsidRDefault="0000167A" w:rsidP="00662012">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залучення кращої позитивної практики розвинених країн щодо використання нестандартних форм зайнятості;</w:t>
      </w:r>
    </w:p>
    <w:p w14:paraId="4DE79153" w14:textId="77777777" w:rsidR="0000167A" w:rsidRPr="005F0419" w:rsidRDefault="0000167A" w:rsidP="00662012">
      <w:pPr>
        <w:numPr>
          <w:ilvl w:val="0"/>
          <w:numId w:val="2"/>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pacing w:val="3"/>
          <w:sz w:val="28"/>
          <w:szCs w:val="28"/>
          <w:lang w:val="uk-UA"/>
        </w:rPr>
        <w:t xml:space="preserve">моніторинг стану та перспектив розвитку </w:t>
      </w:r>
      <w:proofErr w:type="spellStart"/>
      <w:r w:rsidRPr="005F0419">
        <w:rPr>
          <w:rFonts w:ascii="Times New Roman" w:hAnsi="Times New Roman" w:cs="Times New Roman"/>
          <w:spacing w:val="3"/>
          <w:sz w:val="28"/>
          <w:szCs w:val="28"/>
          <w:lang w:val="uk-UA"/>
        </w:rPr>
        <w:t>нестандарних</w:t>
      </w:r>
      <w:proofErr w:type="spellEnd"/>
      <w:r w:rsidRPr="005F0419">
        <w:rPr>
          <w:rFonts w:ascii="Times New Roman" w:hAnsi="Times New Roman" w:cs="Times New Roman"/>
          <w:spacing w:val="3"/>
          <w:sz w:val="28"/>
          <w:szCs w:val="28"/>
          <w:lang w:val="uk-UA"/>
        </w:rPr>
        <w:t xml:space="preserve"> форм зайнятості в Україні </w:t>
      </w:r>
      <w:r w:rsidRPr="005F0419">
        <w:rPr>
          <w:rFonts w:ascii="Times New Roman" w:hAnsi="Times New Roman" w:cs="Times New Roman"/>
          <w:sz w:val="28"/>
          <w:szCs w:val="28"/>
          <w:lang w:val="uk-UA"/>
        </w:rPr>
        <w:t>[1]</w:t>
      </w:r>
      <w:r w:rsidRPr="005F0419">
        <w:rPr>
          <w:rFonts w:ascii="Times New Roman" w:hAnsi="Times New Roman" w:cs="Times New Roman"/>
          <w:spacing w:val="3"/>
          <w:sz w:val="28"/>
          <w:szCs w:val="28"/>
          <w:lang w:val="uk-UA"/>
        </w:rPr>
        <w:t>.</w:t>
      </w:r>
    </w:p>
    <w:p w14:paraId="47BEFCE9" w14:textId="6226486F"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Концептуальні засади поширення нестандартних форм зайнятості в Україні наведено на рисунку 1. </w:t>
      </w:r>
    </w:p>
    <w:p w14:paraId="55A22192" w14:textId="6B5D329B" w:rsidR="007D4366" w:rsidRDefault="00160308" w:rsidP="00160308">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Серед основних методів поширення нестандартної зайнятості вважаємо за доцільне визначити шість основних груп, які передбачають застосування відповідних інструментів як на рівнях держави та регіону, так і на рівнях суб’єктів господарювання та працівника (індивіда). </w:t>
      </w:r>
    </w:p>
    <w:p w14:paraId="71B5B0AC" w14:textId="77777777" w:rsidR="00160308" w:rsidRPr="005F0419" w:rsidRDefault="00160308" w:rsidP="00662012">
      <w:pPr>
        <w:spacing w:after="0" w:line="360" w:lineRule="auto"/>
        <w:ind w:firstLine="720"/>
        <w:jc w:val="both"/>
        <w:rPr>
          <w:rFonts w:ascii="Times New Roman" w:hAnsi="Times New Roman" w:cs="Times New Roman"/>
          <w:sz w:val="28"/>
          <w:szCs w:val="28"/>
          <w:lang w:val="uk-UA"/>
        </w:rPr>
      </w:pPr>
    </w:p>
    <w:p w14:paraId="42FE9C4A"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rPr>
        <w:lastRenderedPageBreak/>
        <mc:AlternateContent>
          <mc:Choice Requires="wpc">
            <w:drawing>
              <wp:inline distT="0" distB="0" distL="0" distR="0" wp14:anchorId="5DFED413" wp14:editId="494D1C51">
                <wp:extent cx="6057900" cy="8242935"/>
                <wp:effectExtent l="3810" t="0" r="0" b="0"/>
                <wp:docPr id="904442758"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083550292" name="Rectangle 51"/>
                        <wps:cNvSpPr>
                          <a:spLocks noChangeArrowheads="1"/>
                        </wps:cNvSpPr>
                        <wps:spPr bwMode="auto">
                          <a:xfrm>
                            <a:off x="371046" y="1022957"/>
                            <a:ext cx="1357138" cy="361592"/>
                          </a:xfrm>
                          <a:prstGeom prst="rect">
                            <a:avLst/>
                          </a:prstGeom>
                          <a:solidFill>
                            <a:srgbClr val="FFFFFF"/>
                          </a:solidFill>
                          <a:ln w="9525">
                            <a:solidFill>
                              <a:srgbClr val="000000"/>
                            </a:solidFill>
                            <a:miter lim="800000"/>
                            <a:headEnd/>
                            <a:tailEnd/>
                          </a:ln>
                        </wps:spPr>
                        <wps:txbx>
                          <w:txbxContent>
                            <w:p w14:paraId="09F5330B"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Законодавчі</w:t>
                              </w:r>
                            </w:p>
                          </w:txbxContent>
                        </wps:txbx>
                        <wps:bodyPr rot="0" vert="horz" wrap="square" lIns="91440" tIns="45720" rIns="91440" bIns="45720" anchor="t" anchorCtr="0" upright="1">
                          <a:noAutofit/>
                        </wps:bodyPr>
                      </wps:wsp>
                      <wps:wsp>
                        <wps:cNvPr id="1659830150" name="Rectangle 52"/>
                        <wps:cNvSpPr>
                          <a:spLocks noChangeArrowheads="1"/>
                        </wps:cNvSpPr>
                        <wps:spPr bwMode="auto">
                          <a:xfrm>
                            <a:off x="371046" y="55043"/>
                            <a:ext cx="1299924" cy="434418"/>
                          </a:xfrm>
                          <a:prstGeom prst="rect">
                            <a:avLst/>
                          </a:prstGeom>
                          <a:solidFill>
                            <a:srgbClr val="FFFFFF"/>
                          </a:solidFill>
                          <a:ln w="9525">
                            <a:solidFill>
                              <a:srgbClr val="000000"/>
                            </a:solidFill>
                            <a:miter lim="800000"/>
                            <a:headEnd/>
                            <a:tailEnd/>
                          </a:ln>
                        </wps:spPr>
                        <wps:txbx>
                          <w:txbxContent>
                            <w:p w14:paraId="7697898A"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Методи</w:t>
                              </w:r>
                            </w:p>
                          </w:txbxContent>
                        </wps:txbx>
                        <wps:bodyPr rot="0" vert="horz" wrap="square" lIns="91440" tIns="45720" rIns="91440" bIns="45720" anchor="t" anchorCtr="0" upright="1">
                          <a:noAutofit/>
                        </wps:bodyPr>
                      </wps:wsp>
                      <wps:wsp>
                        <wps:cNvPr id="1222549577" name="Rectangle 53"/>
                        <wps:cNvSpPr>
                          <a:spLocks noChangeArrowheads="1"/>
                        </wps:cNvSpPr>
                        <wps:spPr bwMode="auto">
                          <a:xfrm>
                            <a:off x="1890570" y="623259"/>
                            <a:ext cx="2441670" cy="608863"/>
                          </a:xfrm>
                          <a:prstGeom prst="rect">
                            <a:avLst/>
                          </a:prstGeom>
                          <a:solidFill>
                            <a:srgbClr val="FFFFFF"/>
                          </a:solidFill>
                          <a:ln w="9525">
                            <a:solidFill>
                              <a:srgbClr val="000000"/>
                            </a:solidFill>
                            <a:miter lim="800000"/>
                            <a:headEnd/>
                            <a:tailEnd/>
                          </a:ln>
                        </wps:spPr>
                        <wps:txbx>
                          <w:txbxContent>
                            <w:p w14:paraId="280A95DB"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lang w:val="uk-UA"/>
                                </w:rPr>
                                <w:t>Закріплення та законодавче регулювання нестандартних форм</w:t>
                              </w:r>
                              <w:r w:rsidRPr="00832D11">
                                <w:rPr>
                                  <w:rFonts w:ascii="Times New Roman" w:hAnsi="Times New Roman" w:cs="Times New Roman"/>
                                  <w:sz w:val="28"/>
                                  <w:szCs w:val="28"/>
                                  <w:lang w:val="uk-UA"/>
                                </w:rPr>
                                <w:t xml:space="preserve"> </w:t>
                              </w:r>
                              <w:r w:rsidRPr="00832D11">
                                <w:rPr>
                                  <w:rFonts w:ascii="Times New Roman" w:hAnsi="Times New Roman" w:cs="Times New Roman"/>
                                  <w:lang w:val="uk-UA"/>
                                </w:rPr>
                                <w:t xml:space="preserve">зайнятості </w:t>
                              </w:r>
                            </w:p>
                          </w:txbxContent>
                        </wps:txbx>
                        <wps:bodyPr rot="0" vert="horz" wrap="square" lIns="91440" tIns="45720" rIns="91440" bIns="45720" anchor="t" anchorCtr="0" upright="1">
                          <a:noAutofit/>
                        </wps:bodyPr>
                      </wps:wsp>
                      <wps:wsp>
                        <wps:cNvPr id="1593035589" name="Rectangle 54"/>
                        <wps:cNvSpPr>
                          <a:spLocks noChangeArrowheads="1"/>
                        </wps:cNvSpPr>
                        <wps:spPr bwMode="auto">
                          <a:xfrm>
                            <a:off x="4559411" y="717256"/>
                            <a:ext cx="1349566" cy="401392"/>
                          </a:xfrm>
                          <a:prstGeom prst="rect">
                            <a:avLst/>
                          </a:prstGeom>
                          <a:solidFill>
                            <a:srgbClr val="FFFFFF"/>
                          </a:solidFill>
                          <a:ln w="9525">
                            <a:solidFill>
                              <a:srgbClr val="000000"/>
                            </a:solidFill>
                            <a:miter lim="800000"/>
                            <a:headEnd/>
                            <a:tailEnd/>
                          </a:ln>
                        </wps:spPr>
                        <wps:txbx>
                          <w:txbxContent>
                            <w:p w14:paraId="2B686D9E"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w:t>
                              </w:r>
                            </w:p>
                          </w:txbxContent>
                        </wps:txbx>
                        <wps:bodyPr rot="0" vert="horz" wrap="square" lIns="91440" tIns="45720" rIns="91440" bIns="45720" anchor="t" anchorCtr="0" upright="1">
                          <a:noAutofit/>
                        </wps:bodyPr>
                      </wps:wsp>
                      <wps:wsp>
                        <wps:cNvPr id="255564084" name="Rectangle 55"/>
                        <wps:cNvSpPr>
                          <a:spLocks noChangeArrowheads="1"/>
                        </wps:cNvSpPr>
                        <wps:spPr bwMode="auto">
                          <a:xfrm>
                            <a:off x="4557728" y="1851993"/>
                            <a:ext cx="1351248" cy="361592"/>
                          </a:xfrm>
                          <a:prstGeom prst="rect">
                            <a:avLst/>
                          </a:prstGeom>
                          <a:solidFill>
                            <a:srgbClr val="FFFFFF"/>
                          </a:solidFill>
                          <a:ln w="9525">
                            <a:solidFill>
                              <a:srgbClr val="000000"/>
                            </a:solidFill>
                            <a:miter lim="800000"/>
                            <a:headEnd/>
                            <a:tailEnd/>
                          </a:ln>
                        </wps:spPr>
                        <wps:txbx>
                          <w:txbxContent>
                            <w:p w14:paraId="63DE75B3"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Регіон</w:t>
                              </w:r>
                            </w:p>
                          </w:txbxContent>
                        </wps:txbx>
                        <wps:bodyPr rot="0" vert="horz" wrap="square" lIns="91440" tIns="45720" rIns="91440" bIns="45720" anchor="t" anchorCtr="0" upright="1">
                          <a:noAutofit/>
                        </wps:bodyPr>
                      </wps:wsp>
                      <wps:wsp>
                        <wps:cNvPr id="269866878" name="Rectangle 56"/>
                        <wps:cNvSpPr>
                          <a:spLocks noChangeArrowheads="1"/>
                        </wps:cNvSpPr>
                        <wps:spPr bwMode="auto">
                          <a:xfrm>
                            <a:off x="4562777" y="3775965"/>
                            <a:ext cx="1346200" cy="259127"/>
                          </a:xfrm>
                          <a:prstGeom prst="rect">
                            <a:avLst/>
                          </a:prstGeom>
                          <a:solidFill>
                            <a:srgbClr val="FFFFFF"/>
                          </a:solidFill>
                          <a:ln w="9525">
                            <a:solidFill>
                              <a:srgbClr val="000000"/>
                            </a:solidFill>
                            <a:miter lim="800000"/>
                            <a:headEnd/>
                            <a:tailEnd/>
                          </a:ln>
                        </wps:spPr>
                        <wps:txbx>
                          <w:txbxContent>
                            <w:p w14:paraId="523AD4FE"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 регіон</w:t>
                              </w:r>
                            </w:p>
                          </w:txbxContent>
                        </wps:txbx>
                        <wps:bodyPr rot="0" vert="horz" wrap="square" lIns="91440" tIns="45720" rIns="91440" bIns="45720" anchor="t" anchorCtr="0" upright="1">
                          <a:noAutofit/>
                        </wps:bodyPr>
                      </wps:wsp>
                      <wps:wsp>
                        <wps:cNvPr id="1636024695" name="Rectangle 57"/>
                        <wps:cNvSpPr>
                          <a:spLocks noChangeArrowheads="1"/>
                        </wps:cNvSpPr>
                        <wps:spPr bwMode="auto">
                          <a:xfrm>
                            <a:off x="4555204" y="4578750"/>
                            <a:ext cx="1353772" cy="286225"/>
                          </a:xfrm>
                          <a:prstGeom prst="rect">
                            <a:avLst/>
                          </a:prstGeom>
                          <a:solidFill>
                            <a:srgbClr val="FFFFFF"/>
                          </a:solidFill>
                          <a:ln w="9525">
                            <a:solidFill>
                              <a:srgbClr val="000000"/>
                            </a:solidFill>
                            <a:miter lim="800000"/>
                            <a:headEnd/>
                            <a:tailEnd/>
                          </a:ln>
                        </wps:spPr>
                        <wps:txbx>
                          <w:txbxContent>
                            <w:p w14:paraId="391CDC62"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Працівник</w:t>
                              </w:r>
                            </w:p>
                          </w:txbxContent>
                        </wps:txbx>
                        <wps:bodyPr rot="0" vert="horz" wrap="square" lIns="91440" tIns="45720" rIns="91440" bIns="45720" anchor="t" anchorCtr="0" upright="1">
                          <a:noAutofit/>
                        </wps:bodyPr>
                      </wps:wsp>
                      <wps:wsp>
                        <wps:cNvPr id="1504696544" name="AutoShape 58"/>
                        <wps:cNvCnPr>
                          <a:cxnSpLocks noChangeShapeType="1"/>
                          <a:stCxn id="1659830150" idx="1"/>
                        </wps:cNvCnPr>
                        <wps:spPr bwMode="auto">
                          <a:xfrm flipH="1">
                            <a:off x="70676" y="272676"/>
                            <a:ext cx="300371" cy="84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00662327" name="AutoShape 59"/>
                        <wps:cNvCnPr>
                          <a:cxnSpLocks noChangeShapeType="1"/>
                        </wps:cNvCnPr>
                        <wps:spPr bwMode="auto">
                          <a:xfrm>
                            <a:off x="70676" y="272676"/>
                            <a:ext cx="841" cy="761798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8748000" name="Rectangle 60"/>
                        <wps:cNvSpPr>
                          <a:spLocks noChangeArrowheads="1"/>
                        </wps:cNvSpPr>
                        <wps:spPr bwMode="auto">
                          <a:xfrm>
                            <a:off x="371046" y="2394804"/>
                            <a:ext cx="1299083" cy="360745"/>
                          </a:xfrm>
                          <a:prstGeom prst="rect">
                            <a:avLst/>
                          </a:prstGeom>
                          <a:solidFill>
                            <a:srgbClr val="FFFFFF"/>
                          </a:solidFill>
                          <a:ln w="9525">
                            <a:solidFill>
                              <a:srgbClr val="000000"/>
                            </a:solidFill>
                            <a:miter lim="800000"/>
                            <a:headEnd/>
                            <a:tailEnd/>
                          </a:ln>
                        </wps:spPr>
                        <wps:txbx>
                          <w:txbxContent>
                            <w:p w14:paraId="55DF5255"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Економічні</w:t>
                              </w:r>
                            </w:p>
                          </w:txbxContent>
                        </wps:txbx>
                        <wps:bodyPr rot="0" vert="horz" wrap="square" lIns="91440" tIns="45720" rIns="91440" bIns="45720" anchor="t" anchorCtr="0" upright="1">
                          <a:noAutofit/>
                        </wps:bodyPr>
                      </wps:wsp>
                      <wps:wsp>
                        <wps:cNvPr id="1289948441" name="Rectangle 61"/>
                        <wps:cNvSpPr>
                          <a:spLocks noChangeArrowheads="1"/>
                        </wps:cNvSpPr>
                        <wps:spPr bwMode="auto">
                          <a:xfrm>
                            <a:off x="371046" y="3595593"/>
                            <a:ext cx="1299924" cy="360745"/>
                          </a:xfrm>
                          <a:prstGeom prst="rect">
                            <a:avLst/>
                          </a:prstGeom>
                          <a:solidFill>
                            <a:srgbClr val="FFFFFF"/>
                          </a:solidFill>
                          <a:ln w="9525">
                            <a:solidFill>
                              <a:srgbClr val="000000"/>
                            </a:solidFill>
                            <a:miter lim="800000"/>
                            <a:headEnd/>
                            <a:tailEnd/>
                          </a:ln>
                        </wps:spPr>
                        <wps:txbx>
                          <w:txbxContent>
                            <w:p w14:paraId="3AC716F0"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Соціальні</w:t>
                              </w:r>
                            </w:p>
                          </w:txbxContent>
                        </wps:txbx>
                        <wps:bodyPr rot="0" vert="horz" wrap="square" lIns="91440" tIns="45720" rIns="91440" bIns="45720" anchor="t" anchorCtr="0" upright="1">
                          <a:noAutofit/>
                        </wps:bodyPr>
                      </wps:wsp>
                      <wps:wsp>
                        <wps:cNvPr id="1161521829" name="Rectangle 62"/>
                        <wps:cNvSpPr>
                          <a:spLocks noChangeArrowheads="1"/>
                        </wps:cNvSpPr>
                        <wps:spPr bwMode="auto">
                          <a:xfrm>
                            <a:off x="371046" y="4690530"/>
                            <a:ext cx="1299083" cy="359898"/>
                          </a:xfrm>
                          <a:prstGeom prst="rect">
                            <a:avLst/>
                          </a:prstGeom>
                          <a:solidFill>
                            <a:srgbClr val="FFFFFF"/>
                          </a:solidFill>
                          <a:ln w="9525">
                            <a:solidFill>
                              <a:srgbClr val="000000"/>
                            </a:solidFill>
                            <a:miter lim="800000"/>
                            <a:headEnd/>
                            <a:tailEnd/>
                          </a:ln>
                        </wps:spPr>
                        <wps:txbx>
                          <w:txbxContent>
                            <w:p w14:paraId="44B4A45B"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Освітні</w:t>
                              </w:r>
                            </w:p>
                          </w:txbxContent>
                        </wps:txbx>
                        <wps:bodyPr rot="0" vert="horz" wrap="square" lIns="91440" tIns="45720" rIns="91440" bIns="45720" anchor="t" anchorCtr="0" upright="1">
                          <a:noAutofit/>
                        </wps:bodyPr>
                      </wps:wsp>
                      <wps:wsp>
                        <wps:cNvPr id="1076717988" name="Rectangle 63"/>
                        <wps:cNvSpPr>
                          <a:spLocks noChangeArrowheads="1"/>
                        </wps:cNvSpPr>
                        <wps:spPr bwMode="auto">
                          <a:xfrm>
                            <a:off x="371046" y="5575456"/>
                            <a:ext cx="1299924" cy="362438"/>
                          </a:xfrm>
                          <a:prstGeom prst="rect">
                            <a:avLst/>
                          </a:prstGeom>
                          <a:solidFill>
                            <a:srgbClr val="FFFFFF"/>
                          </a:solidFill>
                          <a:ln w="9525">
                            <a:solidFill>
                              <a:srgbClr val="000000"/>
                            </a:solidFill>
                            <a:miter lim="800000"/>
                            <a:headEnd/>
                            <a:tailEnd/>
                          </a:ln>
                        </wps:spPr>
                        <wps:txbx>
                          <w:txbxContent>
                            <w:p w14:paraId="0C7877BC"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Інформаційні</w:t>
                              </w:r>
                            </w:p>
                          </w:txbxContent>
                        </wps:txbx>
                        <wps:bodyPr rot="0" vert="horz" wrap="square" lIns="91440" tIns="45720" rIns="91440" bIns="45720" anchor="t" anchorCtr="0" upright="1">
                          <a:noAutofit/>
                        </wps:bodyPr>
                      </wps:wsp>
                      <wps:wsp>
                        <wps:cNvPr id="608448142" name="Rectangle 64"/>
                        <wps:cNvSpPr>
                          <a:spLocks noChangeArrowheads="1"/>
                        </wps:cNvSpPr>
                        <wps:spPr bwMode="auto">
                          <a:xfrm>
                            <a:off x="367681" y="7739925"/>
                            <a:ext cx="1302449" cy="362438"/>
                          </a:xfrm>
                          <a:prstGeom prst="rect">
                            <a:avLst/>
                          </a:prstGeom>
                          <a:solidFill>
                            <a:srgbClr val="FFFFFF"/>
                          </a:solidFill>
                          <a:ln w="9525">
                            <a:solidFill>
                              <a:srgbClr val="000000"/>
                            </a:solidFill>
                            <a:miter lim="800000"/>
                            <a:headEnd/>
                            <a:tailEnd/>
                          </a:ln>
                        </wps:spPr>
                        <wps:txbx>
                          <w:txbxContent>
                            <w:p w14:paraId="0D7410C5"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Аналітичні</w:t>
                              </w:r>
                            </w:p>
                          </w:txbxContent>
                        </wps:txbx>
                        <wps:bodyPr rot="0" vert="horz" wrap="square" lIns="91440" tIns="45720" rIns="91440" bIns="45720" anchor="t" anchorCtr="0" upright="1">
                          <a:noAutofit/>
                        </wps:bodyPr>
                      </wps:wsp>
                      <wps:wsp>
                        <wps:cNvPr id="1053646435" name="Rectangle 65"/>
                        <wps:cNvSpPr>
                          <a:spLocks noChangeArrowheads="1"/>
                        </wps:cNvSpPr>
                        <wps:spPr bwMode="auto">
                          <a:xfrm>
                            <a:off x="1890570" y="1384549"/>
                            <a:ext cx="2441670" cy="829036"/>
                          </a:xfrm>
                          <a:prstGeom prst="rect">
                            <a:avLst/>
                          </a:prstGeom>
                          <a:solidFill>
                            <a:srgbClr val="FFFFFF"/>
                          </a:solidFill>
                          <a:ln w="9525">
                            <a:solidFill>
                              <a:srgbClr val="000000"/>
                            </a:solidFill>
                            <a:miter lim="800000"/>
                            <a:headEnd/>
                            <a:tailEnd/>
                          </a:ln>
                        </wps:spPr>
                        <wps:txbx>
                          <w:txbxContent>
                            <w:p w14:paraId="6D899FA4"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Нормативно-правове закріплення рівних можливостей соціального захисту працівників незалежно від форми зайнятості</w:t>
                              </w:r>
                            </w:p>
                          </w:txbxContent>
                        </wps:txbx>
                        <wps:bodyPr rot="0" vert="horz" wrap="square" lIns="91440" tIns="45720" rIns="91440" bIns="45720" anchor="t" anchorCtr="0" upright="1">
                          <a:noAutofit/>
                        </wps:bodyPr>
                      </wps:wsp>
                      <wps:wsp>
                        <wps:cNvPr id="1456676563" name="Rectangle 66"/>
                        <wps:cNvSpPr>
                          <a:spLocks noChangeArrowheads="1"/>
                        </wps:cNvSpPr>
                        <wps:spPr bwMode="auto">
                          <a:xfrm>
                            <a:off x="1892252" y="3129843"/>
                            <a:ext cx="2441670" cy="646123"/>
                          </a:xfrm>
                          <a:prstGeom prst="rect">
                            <a:avLst/>
                          </a:prstGeom>
                          <a:solidFill>
                            <a:srgbClr val="FFFFFF"/>
                          </a:solidFill>
                          <a:ln w="9525">
                            <a:solidFill>
                              <a:srgbClr val="000000"/>
                            </a:solidFill>
                            <a:miter lim="800000"/>
                            <a:headEnd/>
                            <a:tailEnd/>
                          </a:ln>
                        </wps:spPr>
                        <wps:txbx>
                          <w:txbxContent>
                            <w:p w14:paraId="44F7CC4D"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Забезпечення соціального захисту зайнятих за умов нестандартної зайнятості</w:t>
                              </w:r>
                            </w:p>
                          </w:txbxContent>
                        </wps:txbx>
                        <wps:bodyPr rot="0" vert="horz" wrap="square" lIns="91440" tIns="45720" rIns="91440" bIns="45720" anchor="t" anchorCtr="0" upright="1">
                          <a:noAutofit/>
                        </wps:bodyPr>
                      </wps:wsp>
                      <wps:wsp>
                        <wps:cNvPr id="1997889429" name="AutoShape 67"/>
                        <wps:cNvCnPr>
                          <a:cxnSpLocks noChangeShapeType="1"/>
                          <a:stCxn id="1083550292" idx="3"/>
                          <a:endCxn id="1222549577" idx="1"/>
                        </wps:cNvCnPr>
                        <wps:spPr bwMode="auto">
                          <a:xfrm flipV="1">
                            <a:off x="1728184" y="928113"/>
                            <a:ext cx="162385" cy="2760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8899964" name="AutoShape 68"/>
                        <wps:cNvCnPr>
                          <a:cxnSpLocks noChangeShapeType="1"/>
                          <a:stCxn id="1083550292" idx="3"/>
                          <a:endCxn id="1053646435" idx="1"/>
                        </wps:cNvCnPr>
                        <wps:spPr bwMode="auto">
                          <a:xfrm>
                            <a:off x="1728184" y="1204176"/>
                            <a:ext cx="162385" cy="59446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0573961" name="AutoShape 69"/>
                        <wps:cNvCnPr>
                          <a:cxnSpLocks noChangeShapeType="1"/>
                          <a:endCxn id="1083550292" idx="1"/>
                        </wps:cNvCnPr>
                        <wps:spPr bwMode="auto">
                          <a:xfrm>
                            <a:off x="70676" y="1204176"/>
                            <a:ext cx="30037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5580868" name="Rectangle 70"/>
                        <wps:cNvSpPr>
                          <a:spLocks noChangeArrowheads="1"/>
                        </wps:cNvSpPr>
                        <wps:spPr bwMode="auto">
                          <a:xfrm>
                            <a:off x="1890570" y="2394804"/>
                            <a:ext cx="2441670" cy="628340"/>
                          </a:xfrm>
                          <a:prstGeom prst="rect">
                            <a:avLst/>
                          </a:prstGeom>
                          <a:solidFill>
                            <a:srgbClr val="FFFFFF"/>
                          </a:solidFill>
                          <a:ln w="9525">
                            <a:solidFill>
                              <a:srgbClr val="000000"/>
                            </a:solidFill>
                            <a:miter lim="800000"/>
                            <a:headEnd/>
                            <a:tailEnd/>
                          </a:ln>
                        </wps:spPr>
                        <wps:txbx>
                          <w:txbxContent>
                            <w:p w14:paraId="5E83391F"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lang w:val="uk-UA"/>
                                </w:rPr>
                                <w:t>Стимулювання поширення нестандартних форм зайнятості за допомогою податкової політики</w:t>
                              </w:r>
                              <w:r w:rsidRPr="00832D11">
                                <w:rPr>
                                  <w:rFonts w:ascii="Times New Roman" w:hAnsi="Times New Roman" w:cs="Times New Roman"/>
                                  <w:sz w:val="28"/>
                                  <w:szCs w:val="28"/>
                                  <w:lang w:val="uk-UA"/>
                                </w:rPr>
                                <w:t xml:space="preserve"> </w:t>
                              </w:r>
                            </w:p>
                          </w:txbxContent>
                        </wps:txbx>
                        <wps:bodyPr rot="0" vert="horz" wrap="square" lIns="91440" tIns="45720" rIns="91440" bIns="45720" anchor="t" anchorCtr="0" upright="1">
                          <a:noAutofit/>
                        </wps:bodyPr>
                      </wps:wsp>
                      <wps:wsp>
                        <wps:cNvPr id="1835700712" name="Rectangle 71"/>
                        <wps:cNvSpPr>
                          <a:spLocks noChangeArrowheads="1"/>
                        </wps:cNvSpPr>
                        <wps:spPr bwMode="auto">
                          <a:xfrm>
                            <a:off x="1892252" y="3880124"/>
                            <a:ext cx="2441670" cy="646123"/>
                          </a:xfrm>
                          <a:prstGeom prst="rect">
                            <a:avLst/>
                          </a:prstGeom>
                          <a:solidFill>
                            <a:srgbClr val="FFFFFF"/>
                          </a:solidFill>
                          <a:ln w="9525">
                            <a:solidFill>
                              <a:srgbClr val="000000"/>
                            </a:solidFill>
                            <a:miter lim="800000"/>
                            <a:headEnd/>
                            <a:tailEnd/>
                          </a:ln>
                        </wps:spPr>
                        <wps:txbx>
                          <w:txbxContent>
                            <w:p w14:paraId="26DB55B0"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Забезпечення соціальної справедливості в процесі соціально-трудових відносин</w:t>
                              </w:r>
                            </w:p>
                          </w:txbxContent>
                        </wps:txbx>
                        <wps:bodyPr rot="0" vert="horz" wrap="square" lIns="91440" tIns="45720" rIns="91440" bIns="45720" anchor="t" anchorCtr="0" upright="1">
                          <a:noAutofit/>
                        </wps:bodyPr>
                      </wps:wsp>
                      <wps:wsp>
                        <wps:cNvPr id="1355434757" name="AutoShape 72"/>
                        <wps:cNvCnPr>
                          <a:cxnSpLocks noChangeShapeType="1"/>
                          <a:stCxn id="1289948441" idx="3"/>
                          <a:endCxn id="1456676563" idx="1"/>
                        </wps:cNvCnPr>
                        <wps:spPr bwMode="auto">
                          <a:xfrm flipV="1">
                            <a:off x="1670971" y="3453327"/>
                            <a:ext cx="221282" cy="32263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7896237" name="AutoShape 73"/>
                        <wps:cNvCnPr>
                          <a:cxnSpLocks noChangeShapeType="1"/>
                          <a:stCxn id="1289948441" idx="3"/>
                          <a:endCxn id="1835700712" idx="1"/>
                        </wps:cNvCnPr>
                        <wps:spPr bwMode="auto">
                          <a:xfrm>
                            <a:off x="1670971" y="3775965"/>
                            <a:ext cx="221282" cy="4267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62009610" name="Rectangle 74"/>
                        <wps:cNvSpPr>
                          <a:spLocks noChangeArrowheads="1"/>
                        </wps:cNvSpPr>
                        <wps:spPr bwMode="auto">
                          <a:xfrm>
                            <a:off x="1890570" y="4690530"/>
                            <a:ext cx="2449243" cy="601241"/>
                          </a:xfrm>
                          <a:prstGeom prst="rect">
                            <a:avLst/>
                          </a:prstGeom>
                          <a:solidFill>
                            <a:srgbClr val="FFFFFF"/>
                          </a:solidFill>
                          <a:ln w="9525">
                            <a:solidFill>
                              <a:srgbClr val="000000"/>
                            </a:solidFill>
                            <a:miter lim="800000"/>
                            <a:headEnd/>
                            <a:tailEnd/>
                          </a:ln>
                        </wps:spPr>
                        <wps:txbx>
                          <w:txbxContent>
                            <w:p w14:paraId="22D4B8A0"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lang w:val="uk-UA"/>
                                </w:rPr>
                                <w:t>Навчання працівників, які працюють</w:t>
                              </w:r>
                              <w:r w:rsidRPr="00832D11">
                                <w:rPr>
                                  <w:rFonts w:ascii="Times New Roman" w:hAnsi="Times New Roman" w:cs="Times New Roman"/>
                                  <w:sz w:val="28"/>
                                  <w:szCs w:val="28"/>
                                  <w:lang w:val="uk-UA"/>
                                </w:rPr>
                                <w:t xml:space="preserve"> </w:t>
                              </w:r>
                              <w:r w:rsidRPr="00832D11">
                                <w:rPr>
                                  <w:rFonts w:ascii="Times New Roman" w:hAnsi="Times New Roman" w:cs="Times New Roman"/>
                                  <w:lang w:val="uk-UA"/>
                                </w:rPr>
                                <w:t>за нестандартними формами зайнятості</w:t>
                              </w:r>
                            </w:p>
                          </w:txbxContent>
                        </wps:txbx>
                        <wps:bodyPr rot="0" vert="horz" wrap="square" lIns="91440" tIns="45720" rIns="91440" bIns="45720" anchor="t" anchorCtr="0" upright="1">
                          <a:noAutofit/>
                        </wps:bodyPr>
                      </wps:wsp>
                      <wps:wsp>
                        <wps:cNvPr id="1394592701" name="Rectangle 75"/>
                        <wps:cNvSpPr>
                          <a:spLocks noChangeArrowheads="1"/>
                        </wps:cNvSpPr>
                        <wps:spPr bwMode="auto">
                          <a:xfrm>
                            <a:off x="1892252" y="5404398"/>
                            <a:ext cx="2384457" cy="638501"/>
                          </a:xfrm>
                          <a:prstGeom prst="rect">
                            <a:avLst/>
                          </a:prstGeom>
                          <a:solidFill>
                            <a:srgbClr val="FFFFFF"/>
                          </a:solidFill>
                          <a:ln w="9525">
                            <a:solidFill>
                              <a:srgbClr val="000000"/>
                            </a:solidFill>
                            <a:miter lim="800000"/>
                            <a:headEnd/>
                            <a:tailEnd/>
                          </a:ln>
                        </wps:spPr>
                        <wps:txbx>
                          <w:txbxContent>
                            <w:p w14:paraId="1A794326"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Інформаційно-просвітницька робота щодо можливостей нестандартної зайнятості</w:t>
                              </w:r>
                            </w:p>
                          </w:txbxContent>
                        </wps:txbx>
                        <wps:bodyPr rot="0" vert="horz" wrap="square" lIns="91440" tIns="45720" rIns="91440" bIns="45720" anchor="t" anchorCtr="0" upright="1">
                          <a:noAutofit/>
                        </wps:bodyPr>
                      </wps:wsp>
                      <wps:wsp>
                        <wps:cNvPr id="290487671" name="Rectangle 76"/>
                        <wps:cNvSpPr>
                          <a:spLocks noChangeArrowheads="1"/>
                        </wps:cNvSpPr>
                        <wps:spPr bwMode="auto">
                          <a:xfrm>
                            <a:off x="1890570" y="6128428"/>
                            <a:ext cx="2384457" cy="781614"/>
                          </a:xfrm>
                          <a:prstGeom prst="rect">
                            <a:avLst/>
                          </a:prstGeom>
                          <a:solidFill>
                            <a:srgbClr val="FFFFFF"/>
                          </a:solidFill>
                          <a:ln w="9525">
                            <a:solidFill>
                              <a:srgbClr val="000000"/>
                            </a:solidFill>
                            <a:miter lim="800000"/>
                            <a:headEnd/>
                            <a:tailEnd/>
                          </a:ln>
                        </wps:spPr>
                        <wps:txbx>
                          <w:txbxContent>
                            <w:p w14:paraId="79C9D84E"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Інформаційно</w:t>
                              </w:r>
                              <w:r w:rsidRPr="00832D11">
                                <w:rPr>
                                  <w:rFonts w:ascii="Times New Roman" w:hAnsi="Times New Roman" w:cs="Times New Roman"/>
                                  <w:lang w:val="uk-UA"/>
                                </w:rPr>
                                <w:t>-консультаційна підтримка щодо організації та розвитку нестандартних форм зайнятості</w:t>
                              </w:r>
                            </w:p>
                          </w:txbxContent>
                        </wps:txbx>
                        <wps:bodyPr rot="0" vert="horz" wrap="square" lIns="91440" tIns="45720" rIns="91440" bIns="45720" anchor="t" anchorCtr="0" upright="1">
                          <a:noAutofit/>
                        </wps:bodyPr>
                      </wps:wsp>
                      <wps:wsp>
                        <wps:cNvPr id="896968750" name="Rectangle 77"/>
                        <wps:cNvSpPr>
                          <a:spLocks noChangeArrowheads="1"/>
                        </wps:cNvSpPr>
                        <wps:spPr bwMode="auto">
                          <a:xfrm>
                            <a:off x="1892252" y="6976094"/>
                            <a:ext cx="2384457" cy="323485"/>
                          </a:xfrm>
                          <a:prstGeom prst="rect">
                            <a:avLst/>
                          </a:prstGeom>
                          <a:solidFill>
                            <a:srgbClr val="FFFFFF"/>
                          </a:solidFill>
                          <a:ln w="9525">
                            <a:solidFill>
                              <a:srgbClr val="000000"/>
                            </a:solidFill>
                            <a:miter lim="800000"/>
                            <a:headEnd/>
                            <a:tailEnd/>
                          </a:ln>
                        </wps:spPr>
                        <wps:txbx>
                          <w:txbxContent>
                            <w:p w14:paraId="69BBC169"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lang w:val="uk-UA"/>
                                </w:rPr>
                                <w:t>Діджиталізація бізнес-процесів</w:t>
                              </w:r>
                            </w:p>
                          </w:txbxContent>
                        </wps:txbx>
                        <wps:bodyPr rot="0" vert="horz" wrap="square" lIns="91440" tIns="45720" rIns="91440" bIns="45720" anchor="t" anchorCtr="0" upright="1">
                          <a:noAutofit/>
                        </wps:bodyPr>
                      </wps:wsp>
                      <wps:wsp>
                        <wps:cNvPr id="653531977" name="Rectangle 78"/>
                        <wps:cNvSpPr>
                          <a:spLocks noChangeArrowheads="1"/>
                        </wps:cNvSpPr>
                        <wps:spPr bwMode="auto">
                          <a:xfrm>
                            <a:off x="1892252" y="7357162"/>
                            <a:ext cx="2384457" cy="351430"/>
                          </a:xfrm>
                          <a:prstGeom prst="rect">
                            <a:avLst/>
                          </a:prstGeom>
                          <a:solidFill>
                            <a:srgbClr val="FFFFFF"/>
                          </a:solidFill>
                          <a:ln w="9525">
                            <a:solidFill>
                              <a:srgbClr val="000000"/>
                            </a:solidFill>
                            <a:miter lim="800000"/>
                            <a:headEnd/>
                            <a:tailEnd/>
                          </a:ln>
                        </wps:spPr>
                        <wps:txbx>
                          <w:txbxContent>
                            <w:p w14:paraId="5831EA53"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lang w:val="uk-UA"/>
                                </w:rPr>
                                <w:t xml:space="preserve">Розвиток он-лайн платформ </w:t>
                              </w:r>
                            </w:p>
                          </w:txbxContent>
                        </wps:txbx>
                        <wps:bodyPr rot="0" vert="horz" wrap="square" lIns="91440" tIns="45720" rIns="91440" bIns="45720" anchor="t" anchorCtr="0" upright="1">
                          <a:noAutofit/>
                        </wps:bodyPr>
                      </wps:wsp>
                      <wps:wsp>
                        <wps:cNvPr id="1342535366" name="Rectangle 79"/>
                        <wps:cNvSpPr>
                          <a:spLocks noChangeArrowheads="1"/>
                        </wps:cNvSpPr>
                        <wps:spPr bwMode="auto">
                          <a:xfrm>
                            <a:off x="4557728" y="1384549"/>
                            <a:ext cx="1351248" cy="400545"/>
                          </a:xfrm>
                          <a:prstGeom prst="rect">
                            <a:avLst/>
                          </a:prstGeom>
                          <a:solidFill>
                            <a:srgbClr val="FFFFFF"/>
                          </a:solidFill>
                          <a:ln w="9525">
                            <a:solidFill>
                              <a:srgbClr val="000000"/>
                            </a:solidFill>
                            <a:miter lim="800000"/>
                            <a:headEnd/>
                            <a:tailEnd/>
                          </a:ln>
                        </wps:spPr>
                        <wps:txbx>
                          <w:txbxContent>
                            <w:p w14:paraId="6378BD74"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w:t>
                              </w:r>
                            </w:p>
                          </w:txbxContent>
                        </wps:txbx>
                        <wps:bodyPr rot="0" vert="horz" wrap="square" lIns="91440" tIns="45720" rIns="91440" bIns="45720" anchor="t" anchorCtr="0" upright="1">
                          <a:noAutofit/>
                        </wps:bodyPr>
                      </wps:wsp>
                      <wps:wsp>
                        <wps:cNvPr id="942808418" name="Rectangle 80"/>
                        <wps:cNvSpPr>
                          <a:spLocks noChangeArrowheads="1"/>
                        </wps:cNvSpPr>
                        <wps:spPr bwMode="auto">
                          <a:xfrm>
                            <a:off x="4559411" y="2394804"/>
                            <a:ext cx="1349566" cy="399699"/>
                          </a:xfrm>
                          <a:prstGeom prst="rect">
                            <a:avLst/>
                          </a:prstGeom>
                          <a:solidFill>
                            <a:srgbClr val="FFFFFF"/>
                          </a:solidFill>
                          <a:ln w="9525">
                            <a:solidFill>
                              <a:srgbClr val="000000"/>
                            </a:solidFill>
                            <a:miter lim="800000"/>
                            <a:headEnd/>
                            <a:tailEnd/>
                          </a:ln>
                        </wps:spPr>
                        <wps:txbx>
                          <w:txbxContent>
                            <w:p w14:paraId="32C69D09"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w:t>
                              </w:r>
                            </w:p>
                          </w:txbxContent>
                        </wps:txbx>
                        <wps:bodyPr rot="0" vert="horz" wrap="square" lIns="91440" tIns="45720" rIns="91440" bIns="45720" anchor="t" anchorCtr="0" upright="1">
                          <a:noAutofit/>
                        </wps:bodyPr>
                      </wps:wsp>
                      <wps:wsp>
                        <wps:cNvPr id="1496824385" name="Rectangle 81"/>
                        <wps:cNvSpPr>
                          <a:spLocks noChangeArrowheads="1"/>
                        </wps:cNvSpPr>
                        <wps:spPr bwMode="auto">
                          <a:xfrm>
                            <a:off x="4564459" y="3129843"/>
                            <a:ext cx="1344517" cy="258280"/>
                          </a:xfrm>
                          <a:prstGeom prst="rect">
                            <a:avLst/>
                          </a:prstGeom>
                          <a:solidFill>
                            <a:srgbClr val="FFFFFF"/>
                          </a:solidFill>
                          <a:ln w="9525">
                            <a:solidFill>
                              <a:srgbClr val="000000"/>
                            </a:solidFill>
                            <a:miter lim="800000"/>
                            <a:headEnd/>
                            <a:tailEnd/>
                          </a:ln>
                        </wps:spPr>
                        <wps:txbx>
                          <w:txbxContent>
                            <w:p w14:paraId="2E88E5A1"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w:t>
                              </w:r>
                            </w:p>
                          </w:txbxContent>
                        </wps:txbx>
                        <wps:bodyPr rot="0" vert="horz" wrap="square" lIns="91440" tIns="45720" rIns="91440" bIns="45720" anchor="t" anchorCtr="0" upright="1">
                          <a:noAutofit/>
                        </wps:bodyPr>
                      </wps:wsp>
                      <wps:wsp>
                        <wps:cNvPr id="186915604" name="Rectangle 82"/>
                        <wps:cNvSpPr>
                          <a:spLocks noChangeArrowheads="1"/>
                        </wps:cNvSpPr>
                        <wps:spPr bwMode="auto">
                          <a:xfrm>
                            <a:off x="4564459" y="3453327"/>
                            <a:ext cx="1344517" cy="292999"/>
                          </a:xfrm>
                          <a:prstGeom prst="rect">
                            <a:avLst/>
                          </a:prstGeom>
                          <a:solidFill>
                            <a:srgbClr val="FFFFFF"/>
                          </a:solidFill>
                          <a:ln w="9525">
                            <a:solidFill>
                              <a:srgbClr val="000000"/>
                            </a:solidFill>
                            <a:miter lim="800000"/>
                            <a:headEnd/>
                            <a:tailEnd/>
                          </a:ln>
                        </wps:spPr>
                        <wps:txbx>
                          <w:txbxContent>
                            <w:p w14:paraId="6754082A"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Регіон</w:t>
                              </w:r>
                            </w:p>
                          </w:txbxContent>
                        </wps:txbx>
                        <wps:bodyPr rot="0" vert="horz" wrap="square" lIns="91440" tIns="45720" rIns="91440" bIns="45720" anchor="t" anchorCtr="0" upright="1">
                          <a:noAutofit/>
                        </wps:bodyPr>
                      </wps:wsp>
                      <wps:wsp>
                        <wps:cNvPr id="1426352645" name="Rectangle 83"/>
                        <wps:cNvSpPr>
                          <a:spLocks noChangeArrowheads="1"/>
                        </wps:cNvSpPr>
                        <wps:spPr bwMode="auto">
                          <a:xfrm>
                            <a:off x="4566142" y="4947116"/>
                            <a:ext cx="1342835" cy="258280"/>
                          </a:xfrm>
                          <a:prstGeom prst="rect">
                            <a:avLst/>
                          </a:prstGeom>
                          <a:solidFill>
                            <a:srgbClr val="FFFFFF"/>
                          </a:solidFill>
                          <a:ln w="9525">
                            <a:solidFill>
                              <a:srgbClr val="000000"/>
                            </a:solidFill>
                            <a:miter lim="800000"/>
                            <a:headEnd/>
                            <a:tailEnd/>
                          </a:ln>
                        </wps:spPr>
                        <wps:txbx>
                          <w:txbxContent>
                            <w:p w14:paraId="6D95D088"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 регіон</w:t>
                              </w:r>
                            </w:p>
                          </w:txbxContent>
                        </wps:txbx>
                        <wps:bodyPr rot="0" vert="horz" wrap="square" lIns="91440" tIns="45720" rIns="91440" bIns="45720" anchor="t" anchorCtr="0" upright="1">
                          <a:noAutofit/>
                        </wps:bodyPr>
                      </wps:wsp>
                      <wps:wsp>
                        <wps:cNvPr id="32788306" name="Rectangle 84"/>
                        <wps:cNvSpPr>
                          <a:spLocks noChangeArrowheads="1"/>
                        </wps:cNvSpPr>
                        <wps:spPr bwMode="auto">
                          <a:xfrm>
                            <a:off x="4565301" y="5273988"/>
                            <a:ext cx="1343676" cy="449661"/>
                          </a:xfrm>
                          <a:prstGeom prst="rect">
                            <a:avLst/>
                          </a:prstGeom>
                          <a:solidFill>
                            <a:srgbClr val="FFFFFF"/>
                          </a:solidFill>
                          <a:ln w="9525">
                            <a:solidFill>
                              <a:srgbClr val="000000"/>
                            </a:solidFill>
                            <a:miter lim="800000"/>
                            <a:headEnd/>
                            <a:tailEnd/>
                          </a:ln>
                        </wps:spPr>
                        <wps:txbx>
                          <w:txbxContent>
                            <w:p w14:paraId="40171CA1"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Суб</w:t>
                              </w:r>
                              <w:r w:rsidRPr="00832D11">
                                <w:rPr>
                                  <w:rFonts w:ascii="Times New Roman" w:hAnsi="Times New Roman" w:cs="Times New Roman"/>
                                  <w:lang w:val="en-US"/>
                                </w:rPr>
                                <w:t>’</w:t>
                              </w:r>
                              <w:r w:rsidRPr="00832D11">
                                <w:rPr>
                                  <w:rFonts w:ascii="Times New Roman" w:hAnsi="Times New Roman" w:cs="Times New Roman"/>
                                  <w:lang w:val="uk-UA"/>
                                </w:rPr>
                                <w:t>єкти господарювання</w:t>
                              </w:r>
                            </w:p>
                          </w:txbxContent>
                        </wps:txbx>
                        <wps:bodyPr rot="0" vert="horz" wrap="square" lIns="91440" tIns="45720" rIns="91440" bIns="45720" anchor="t" anchorCtr="0" upright="1">
                          <a:noAutofit/>
                        </wps:bodyPr>
                      </wps:wsp>
                      <wps:wsp>
                        <wps:cNvPr id="618603016" name="Rectangle 85"/>
                        <wps:cNvSpPr>
                          <a:spLocks noChangeArrowheads="1"/>
                        </wps:cNvSpPr>
                        <wps:spPr bwMode="auto">
                          <a:xfrm>
                            <a:off x="1888887" y="55043"/>
                            <a:ext cx="2443353" cy="434418"/>
                          </a:xfrm>
                          <a:prstGeom prst="rect">
                            <a:avLst/>
                          </a:prstGeom>
                          <a:solidFill>
                            <a:srgbClr val="FFFFFF"/>
                          </a:solidFill>
                          <a:ln w="9525">
                            <a:solidFill>
                              <a:srgbClr val="000000"/>
                            </a:solidFill>
                            <a:miter lim="800000"/>
                            <a:headEnd/>
                            <a:tailEnd/>
                          </a:ln>
                        </wps:spPr>
                        <wps:txbx>
                          <w:txbxContent>
                            <w:p w14:paraId="38EB67E8"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 xml:space="preserve">Інструменти </w:t>
                              </w:r>
                            </w:p>
                          </w:txbxContent>
                        </wps:txbx>
                        <wps:bodyPr rot="0" vert="horz" wrap="square" lIns="91440" tIns="45720" rIns="91440" bIns="45720" anchor="t" anchorCtr="0" upright="1">
                          <a:noAutofit/>
                        </wps:bodyPr>
                      </wps:wsp>
                      <wps:wsp>
                        <wps:cNvPr id="823661663" name="Rectangle 86"/>
                        <wps:cNvSpPr>
                          <a:spLocks noChangeArrowheads="1"/>
                        </wps:cNvSpPr>
                        <wps:spPr bwMode="auto">
                          <a:xfrm>
                            <a:off x="4556887" y="55043"/>
                            <a:ext cx="1352090" cy="434418"/>
                          </a:xfrm>
                          <a:prstGeom prst="rect">
                            <a:avLst/>
                          </a:prstGeom>
                          <a:solidFill>
                            <a:srgbClr val="FFFFFF"/>
                          </a:solidFill>
                          <a:ln w="9525">
                            <a:solidFill>
                              <a:srgbClr val="000000"/>
                            </a:solidFill>
                            <a:miter lim="800000"/>
                            <a:headEnd/>
                            <a:tailEnd/>
                          </a:ln>
                        </wps:spPr>
                        <wps:txbx>
                          <w:txbxContent>
                            <w:p w14:paraId="5FFEAF76"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Рівні суб</w:t>
                              </w:r>
                              <w:r w:rsidRPr="00832D11">
                                <w:rPr>
                                  <w:rFonts w:ascii="Times New Roman" w:hAnsi="Times New Roman" w:cs="Times New Roman"/>
                                  <w:sz w:val="28"/>
                                  <w:szCs w:val="28"/>
                                  <w:lang w:val="en-US"/>
                                </w:rPr>
                                <w:t>’</w:t>
                              </w:r>
                              <w:r w:rsidRPr="00832D11">
                                <w:rPr>
                                  <w:rFonts w:ascii="Times New Roman" w:hAnsi="Times New Roman" w:cs="Times New Roman"/>
                                  <w:sz w:val="28"/>
                                  <w:szCs w:val="28"/>
                                  <w:lang w:val="uk-UA"/>
                                </w:rPr>
                                <w:t xml:space="preserve">єктів </w:t>
                              </w:r>
                            </w:p>
                          </w:txbxContent>
                        </wps:txbx>
                        <wps:bodyPr rot="0" vert="horz" wrap="square" lIns="91440" tIns="45720" rIns="91440" bIns="45720" anchor="t" anchorCtr="0" upright="1">
                          <a:noAutofit/>
                        </wps:bodyPr>
                      </wps:wsp>
                      <wps:wsp>
                        <wps:cNvPr id="1241238788" name="AutoShape 87"/>
                        <wps:cNvCnPr>
                          <a:cxnSpLocks noChangeShapeType="1"/>
                        </wps:cNvCnPr>
                        <wps:spPr bwMode="auto">
                          <a:xfrm>
                            <a:off x="70676" y="2565861"/>
                            <a:ext cx="300371"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67235119" name="AutoShape 88"/>
                        <wps:cNvCnPr>
                          <a:cxnSpLocks noChangeShapeType="1"/>
                        </wps:cNvCnPr>
                        <wps:spPr bwMode="auto">
                          <a:xfrm>
                            <a:off x="70676" y="3775965"/>
                            <a:ext cx="300371"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33951081" name="AutoShape 89"/>
                        <wps:cNvCnPr>
                          <a:cxnSpLocks noChangeShapeType="1"/>
                        </wps:cNvCnPr>
                        <wps:spPr bwMode="auto">
                          <a:xfrm>
                            <a:off x="70676" y="4862434"/>
                            <a:ext cx="300371"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8017878" name="AutoShape 90"/>
                        <wps:cNvCnPr>
                          <a:cxnSpLocks noChangeShapeType="1"/>
                        </wps:cNvCnPr>
                        <wps:spPr bwMode="auto">
                          <a:xfrm>
                            <a:off x="70676" y="5804097"/>
                            <a:ext cx="300371"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0869385" name="AutoShape 91"/>
                        <wps:cNvCnPr>
                          <a:cxnSpLocks noChangeShapeType="1"/>
                        </wps:cNvCnPr>
                        <wps:spPr bwMode="auto">
                          <a:xfrm>
                            <a:off x="71517" y="7888965"/>
                            <a:ext cx="300371" cy="16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6220894" name="Rectangle 92"/>
                        <wps:cNvSpPr>
                          <a:spLocks noChangeArrowheads="1"/>
                        </wps:cNvSpPr>
                        <wps:spPr bwMode="auto">
                          <a:xfrm>
                            <a:off x="1882997" y="7739925"/>
                            <a:ext cx="2384457" cy="426797"/>
                          </a:xfrm>
                          <a:prstGeom prst="rect">
                            <a:avLst/>
                          </a:prstGeom>
                          <a:solidFill>
                            <a:srgbClr val="FFFFFF"/>
                          </a:solidFill>
                          <a:ln w="9525">
                            <a:solidFill>
                              <a:srgbClr val="000000"/>
                            </a:solidFill>
                            <a:miter lim="800000"/>
                            <a:headEnd/>
                            <a:tailEnd/>
                          </a:ln>
                        </wps:spPr>
                        <wps:txbx>
                          <w:txbxContent>
                            <w:p w14:paraId="75CD5296"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М</w:t>
                              </w:r>
                              <w:r w:rsidRPr="00832D11">
                                <w:rPr>
                                  <w:rFonts w:ascii="Times New Roman" w:hAnsi="Times New Roman" w:cs="Times New Roman"/>
                                  <w:spacing w:val="3"/>
                                </w:rPr>
                                <w:t>оніторинг</w:t>
                              </w:r>
                              <w:r w:rsidRPr="00832D11">
                                <w:rPr>
                                  <w:rFonts w:ascii="Times New Roman" w:hAnsi="Times New Roman" w:cs="Times New Roman"/>
                                  <w:spacing w:val="3"/>
                                  <w:lang w:val="uk-UA"/>
                                </w:rPr>
                                <w:t xml:space="preserve"> </w:t>
                              </w:r>
                              <w:r w:rsidRPr="00832D11">
                                <w:rPr>
                                  <w:rFonts w:ascii="Times New Roman" w:hAnsi="Times New Roman" w:cs="Times New Roman"/>
                                  <w:spacing w:val="3"/>
                                </w:rPr>
                                <w:t>нестандарних форм зайнятості</w:t>
                              </w:r>
                            </w:p>
                          </w:txbxContent>
                        </wps:txbx>
                        <wps:bodyPr rot="0" vert="horz" wrap="square" lIns="91440" tIns="45720" rIns="91440" bIns="45720" anchor="t" anchorCtr="0" upright="1">
                          <a:noAutofit/>
                        </wps:bodyPr>
                      </wps:wsp>
                      <wps:wsp>
                        <wps:cNvPr id="602175510" name="AutoShape 93"/>
                        <wps:cNvCnPr>
                          <a:cxnSpLocks noChangeShapeType="1"/>
                        </wps:cNvCnPr>
                        <wps:spPr bwMode="auto">
                          <a:xfrm>
                            <a:off x="1670971" y="2565014"/>
                            <a:ext cx="218758"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9362877" name="AutoShape 94"/>
                        <wps:cNvCnPr>
                          <a:cxnSpLocks noChangeShapeType="1"/>
                        </wps:cNvCnPr>
                        <wps:spPr bwMode="auto">
                          <a:xfrm>
                            <a:off x="1670129" y="4863281"/>
                            <a:ext cx="218758" cy="16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5613102" name="AutoShape 95"/>
                        <wps:cNvCnPr>
                          <a:cxnSpLocks noChangeShapeType="1"/>
                        </wps:cNvCnPr>
                        <wps:spPr bwMode="auto">
                          <a:xfrm>
                            <a:off x="1673495" y="7887271"/>
                            <a:ext cx="218758" cy="16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8034990" name="AutoShape 96"/>
                        <wps:cNvCnPr>
                          <a:cxnSpLocks noChangeShapeType="1"/>
                          <a:stCxn id="1076717988" idx="3"/>
                          <a:endCxn id="1394592701" idx="1"/>
                        </wps:cNvCnPr>
                        <wps:spPr bwMode="auto">
                          <a:xfrm flipV="1">
                            <a:off x="1670971" y="5723649"/>
                            <a:ext cx="221282" cy="330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1037123" name="AutoShape 97"/>
                        <wps:cNvCnPr>
                          <a:cxnSpLocks noChangeShapeType="1"/>
                          <a:stCxn id="1076717988" idx="3"/>
                          <a:endCxn id="290487671" idx="1"/>
                        </wps:cNvCnPr>
                        <wps:spPr bwMode="auto">
                          <a:xfrm>
                            <a:off x="1670971" y="5756675"/>
                            <a:ext cx="219599" cy="7629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7978285" name="AutoShape 98"/>
                        <wps:cNvCnPr>
                          <a:cxnSpLocks noChangeShapeType="1"/>
                          <a:stCxn id="1076717988" idx="3"/>
                          <a:endCxn id="896968750" idx="1"/>
                        </wps:cNvCnPr>
                        <wps:spPr bwMode="auto">
                          <a:xfrm>
                            <a:off x="1670971" y="5756675"/>
                            <a:ext cx="221282" cy="138116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5465431" name="AutoShape 99"/>
                        <wps:cNvCnPr>
                          <a:cxnSpLocks noChangeShapeType="1"/>
                          <a:stCxn id="1076717988" idx="3"/>
                          <a:endCxn id="653531977" idx="1"/>
                        </wps:cNvCnPr>
                        <wps:spPr bwMode="auto">
                          <a:xfrm>
                            <a:off x="1670971" y="5756675"/>
                            <a:ext cx="221282" cy="17766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7104579" name="AutoShape 100"/>
                        <wps:cNvCnPr>
                          <a:cxnSpLocks noChangeShapeType="1"/>
                        </wps:cNvCnPr>
                        <wps:spPr bwMode="auto">
                          <a:xfrm>
                            <a:off x="1670129" y="270982"/>
                            <a:ext cx="218758" cy="16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0396411" name="AutoShape 101"/>
                        <wps:cNvCnPr>
                          <a:cxnSpLocks noChangeShapeType="1"/>
                          <a:stCxn id="823661663" idx="1"/>
                          <a:endCxn id="618603016" idx="3"/>
                        </wps:cNvCnPr>
                        <wps:spPr bwMode="auto">
                          <a:xfrm flipH="1">
                            <a:off x="4332240" y="272676"/>
                            <a:ext cx="224647"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43607408" name="AutoShape 102"/>
                        <wps:cNvCnPr>
                          <a:cxnSpLocks noChangeShapeType="1"/>
                        </wps:cNvCnPr>
                        <wps:spPr bwMode="auto">
                          <a:xfrm flipH="1">
                            <a:off x="4339812" y="878998"/>
                            <a:ext cx="225489"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073706" name="AutoShape 103"/>
                        <wps:cNvCnPr>
                          <a:cxnSpLocks noChangeShapeType="1"/>
                        </wps:cNvCnPr>
                        <wps:spPr bwMode="auto">
                          <a:xfrm flipH="1">
                            <a:off x="4332240" y="1481933"/>
                            <a:ext cx="224647" cy="16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25443148" name="AutoShape 104"/>
                        <wps:cNvCnPr>
                          <a:cxnSpLocks noChangeShapeType="1"/>
                        </wps:cNvCnPr>
                        <wps:spPr bwMode="auto">
                          <a:xfrm flipH="1">
                            <a:off x="4339812" y="1966313"/>
                            <a:ext cx="225489"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38111808" name="AutoShape 105"/>
                        <wps:cNvCnPr>
                          <a:cxnSpLocks noChangeShapeType="1"/>
                        </wps:cNvCnPr>
                        <wps:spPr bwMode="auto">
                          <a:xfrm flipH="1">
                            <a:off x="4339812" y="2566708"/>
                            <a:ext cx="225489" cy="16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3809562" name="AutoShape 106"/>
                        <wps:cNvCnPr>
                          <a:cxnSpLocks noChangeShapeType="1"/>
                        </wps:cNvCnPr>
                        <wps:spPr bwMode="auto">
                          <a:xfrm flipH="1">
                            <a:off x="4339812" y="3261100"/>
                            <a:ext cx="225489" cy="16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9645069" name="AutoShape 107"/>
                        <wps:cNvCnPr>
                          <a:cxnSpLocks noChangeShapeType="1"/>
                        </wps:cNvCnPr>
                        <wps:spPr bwMode="auto">
                          <a:xfrm flipH="1">
                            <a:off x="4339812" y="3517686"/>
                            <a:ext cx="225489"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3130299" name="AutoShape 108"/>
                        <wps:cNvCnPr>
                          <a:cxnSpLocks noChangeShapeType="1"/>
                        </wps:cNvCnPr>
                        <wps:spPr bwMode="auto">
                          <a:xfrm flipH="1">
                            <a:off x="4329716" y="4146872"/>
                            <a:ext cx="225489" cy="16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28797466" name="AutoShape 109"/>
                        <wps:cNvCnPr>
                          <a:cxnSpLocks noChangeShapeType="1"/>
                        </wps:cNvCnPr>
                        <wps:spPr bwMode="auto">
                          <a:xfrm flipH="1">
                            <a:off x="4339812" y="5048734"/>
                            <a:ext cx="226330" cy="16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88642801" name="Rectangle 110"/>
                        <wps:cNvSpPr>
                          <a:spLocks noChangeArrowheads="1"/>
                        </wps:cNvSpPr>
                        <wps:spPr bwMode="auto">
                          <a:xfrm>
                            <a:off x="4555204" y="4076586"/>
                            <a:ext cx="1353772" cy="449661"/>
                          </a:xfrm>
                          <a:prstGeom prst="rect">
                            <a:avLst/>
                          </a:prstGeom>
                          <a:solidFill>
                            <a:srgbClr val="FFFFFF"/>
                          </a:solidFill>
                          <a:ln w="9525">
                            <a:solidFill>
                              <a:srgbClr val="000000"/>
                            </a:solidFill>
                            <a:miter lim="800000"/>
                            <a:headEnd/>
                            <a:tailEnd/>
                          </a:ln>
                        </wps:spPr>
                        <wps:txbx>
                          <w:txbxContent>
                            <w:p w14:paraId="79FDB3D4"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Суб</w:t>
                              </w:r>
                              <w:r w:rsidRPr="00832D11">
                                <w:rPr>
                                  <w:rFonts w:ascii="Times New Roman" w:hAnsi="Times New Roman" w:cs="Times New Roman"/>
                                  <w:lang w:val="en-US"/>
                                </w:rPr>
                                <w:t>’</w:t>
                              </w:r>
                              <w:r w:rsidRPr="00832D11">
                                <w:rPr>
                                  <w:rFonts w:ascii="Times New Roman" w:hAnsi="Times New Roman" w:cs="Times New Roman"/>
                                  <w:lang w:val="uk-UA"/>
                                </w:rPr>
                                <w:t>єкти господарювання</w:t>
                              </w:r>
                            </w:p>
                          </w:txbxContent>
                        </wps:txbx>
                        <wps:bodyPr rot="0" vert="horz" wrap="square" lIns="91440" tIns="45720" rIns="91440" bIns="45720" anchor="t" anchorCtr="0" upright="1">
                          <a:noAutofit/>
                        </wps:bodyPr>
                      </wps:wsp>
                      <wps:wsp>
                        <wps:cNvPr id="1862333829" name="AutoShape 111"/>
                        <wps:cNvCnPr>
                          <a:cxnSpLocks noChangeShapeType="1"/>
                        </wps:cNvCnPr>
                        <wps:spPr bwMode="auto">
                          <a:xfrm flipH="1">
                            <a:off x="4339812" y="3954644"/>
                            <a:ext cx="225489" cy="16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7426949" name="AutoShape 112"/>
                        <wps:cNvCnPr>
                          <a:cxnSpLocks noChangeShapeType="1"/>
                          <a:stCxn id="1636024695" idx="1"/>
                          <a:endCxn id="1835700712" idx="3"/>
                        </wps:cNvCnPr>
                        <wps:spPr bwMode="auto">
                          <a:xfrm flipH="1" flipV="1">
                            <a:off x="4333923" y="4202762"/>
                            <a:ext cx="221282" cy="519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0323431" name="AutoShape 113"/>
                        <wps:cNvCnPr>
                          <a:cxnSpLocks noChangeShapeType="1"/>
                          <a:stCxn id="32788306" idx="1"/>
                          <a:endCxn id="1362009610" idx="3"/>
                        </wps:cNvCnPr>
                        <wps:spPr bwMode="auto">
                          <a:xfrm flipH="1" flipV="1">
                            <a:off x="4339812" y="4991150"/>
                            <a:ext cx="225489" cy="5080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804320" name="Rectangle 114"/>
                        <wps:cNvSpPr>
                          <a:spLocks noChangeArrowheads="1"/>
                        </wps:cNvSpPr>
                        <wps:spPr bwMode="auto">
                          <a:xfrm>
                            <a:off x="4502198" y="5804097"/>
                            <a:ext cx="1406779" cy="257433"/>
                          </a:xfrm>
                          <a:prstGeom prst="rect">
                            <a:avLst/>
                          </a:prstGeom>
                          <a:solidFill>
                            <a:srgbClr val="FFFFFF"/>
                          </a:solidFill>
                          <a:ln w="9525">
                            <a:solidFill>
                              <a:srgbClr val="000000"/>
                            </a:solidFill>
                            <a:miter lim="800000"/>
                            <a:headEnd/>
                            <a:tailEnd/>
                          </a:ln>
                        </wps:spPr>
                        <wps:txbx>
                          <w:txbxContent>
                            <w:p w14:paraId="40D87EB6"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 регіон</w:t>
                              </w:r>
                            </w:p>
                          </w:txbxContent>
                        </wps:txbx>
                        <wps:bodyPr rot="0" vert="horz" wrap="square" lIns="91440" tIns="45720" rIns="91440" bIns="45720" anchor="t" anchorCtr="0" upright="1">
                          <a:noAutofit/>
                        </wps:bodyPr>
                      </wps:wsp>
                      <wps:wsp>
                        <wps:cNvPr id="221735858" name="AutoShape 115"/>
                        <wps:cNvCnPr>
                          <a:cxnSpLocks noChangeShapeType="1"/>
                        </wps:cNvCnPr>
                        <wps:spPr bwMode="auto">
                          <a:xfrm flipH="1">
                            <a:off x="4276709" y="5881157"/>
                            <a:ext cx="225489"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082" name="Rectangle 116"/>
                        <wps:cNvSpPr>
                          <a:spLocks noChangeArrowheads="1"/>
                        </wps:cNvSpPr>
                        <wps:spPr bwMode="auto">
                          <a:xfrm>
                            <a:off x="4502198" y="6128428"/>
                            <a:ext cx="1406779" cy="258280"/>
                          </a:xfrm>
                          <a:prstGeom prst="rect">
                            <a:avLst/>
                          </a:prstGeom>
                          <a:solidFill>
                            <a:srgbClr val="FFFFFF"/>
                          </a:solidFill>
                          <a:ln w="9525">
                            <a:solidFill>
                              <a:srgbClr val="000000"/>
                            </a:solidFill>
                            <a:miter lim="800000"/>
                            <a:headEnd/>
                            <a:tailEnd/>
                          </a:ln>
                        </wps:spPr>
                        <wps:txbx>
                          <w:txbxContent>
                            <w:p w14:paraId="2D0F68CF"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w:t>
                              </w:r>
                            </w:p>
                          </w:txbxContent>
                        </wps:txbx>
                        <wps:bodyPr rot="0" vert="horz" wrap="square" lIns="91440" tIns="45720" rIns="91440" bIns="45720" anchor="t" anchorCtr="0" upright="1">
                          <a:noAutofit/>
                        </wps:bodyPr>
                      </wps:wsp>
                      <wps:wsp>
                        <wps:cNvPr id="738683386" name="Rectangle 117"/>
                        <wps:cNvSpPr>
                          <a:spLocks noChangeArrowheads="1"/>
                        </wps:cNvSpPr>
                        <wps:spPr bwMode="auto">
                          <a:xfrm>
                            <a:off x="4500515" y="6519659"/>
                            <a:ext cx="1408462" cy="292999"/>
                          </a:xfrm>
                          <a:prstGeom prst="rect">
                            <a:avLst/>
                          </a:prstGeom>
                          <a:solidFill>
                            <a:srgbClr val="FFFFFF"/>
                          </a:solidFill>
                          <a:ln w="9525">
                            <a:solidFill>
                              <a:srgbClr val="000000"/>
                            </a:solidFill>
                            <a:miter lim="800000"/>
                            <a:headEnd/>
                            <a:tailEnd/>
                          </a:ln>
                        </wps:spPr>
                        <wps:txbx>
                          <w:txbxContent>
                            <w:p w14:paraId="536C79A9"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Регіон</w:t>
                              </w:r>
                            </w:p>
                          </w:txbxContent>
                        </wps:txbx>
                        <wps:bodyPr rot="0" vert="horz" wrap="square" lIns="91440" tIns="45720" rIns="91440" bIns="45720" anchor="t" anchorCtr="0" upright="1">
                          <a:noAutofit/>
                        </wps:bodyPr>
                      </wps:wsp>
                      <wps:wsp>
                        <wps:cNvPr id="541407370" name="AutoShape 118"/>
                        <wps:cNvCnPr>
                          <a:cxnSpLocks noChangeShapeType="1"/>
                        </wps:cNvCnPr>
                        <wps:spPr bwMode="auto">
                          <a:xfrm flipH="1">
                            <a:off x="4276709" y="6224119"/>
                            <a:ext cx="225489" cy="16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7085477" name="AutoShape 119"/>
                        <wps:cNvCnPr>
                          <a:cxnSpLocks noChangeShapeType="1"/>
                        </wps:cNvCnPr>
                        <wps:spPr bwMode="auto">
                          <a:xfrm flipH="1">
                            <a:off x="4276709" y="6604340"/>
                            <a:ext cx="225489"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8345134" name="Rectangle 120"/>
                        <wps:cNvSpPr>
                          <a:spLocks noChangeArrowheads="1"/>
                        </wps:cNvSpPr>
                        <wps:spPr bwMode="auto">
                          <a:xfrm>
                            <a:off x="4502198" y="6976094"/>
                            <a:ext cx="1406779" cy="449661"/>
                          </a:xfrm>
                          <a:prstGeom prst="rect">
                            <a:avLst/>
                          </a:prstGeom>
                          <a:solidFill>
                            <a:srgbClr val="FFFFFF"/>
                          </a:solidFill>
                          <a:ln w="9525">
                            <a:solidFill>
                              <a:srgbClr val="000000"/>
                            </a:solidFill>
                            <a:miter lim="800000"/>
                            <a:headEnd/>
                            <a:tailEnd/>
                          </a:ln>
                        </wps:spPr>
                        <wps:txbx>
                          <w:txbxContent>
                            <w:p w14:paraId="014730C6"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Суб</w:t>
                              </w:r>
                              <w:r w:rsidRPr="00832D11">
                                <w:rPr>
                                  <w:rFonts w:ascii="Times New Roman" w:hAnsi="Times New Roman" w:cs="Times New Roman"/>
                                  <w:lang w:val="en-US"/>
                                </w:rPr>
                                <w:t>’</w:t>
                              </w:r>
                              <w:r w:rsidRPr="00832D11">
                                <w:rPr>
                                  <w:rFonts w:ascii="Times New Roman" w:hAnsi="Times New Roman" w:cs="Times New Roman"/>
                                  <w:lang w:val="uk-UA"/>
                                </w:rPr>
                                <w:t>єкти господарювання</w:t>
                              </w:r>
                            </w:p>
                          </w:txbxContent>
                        </wps:txbx>
                        <wps:bodyPr rot="0" vert="horz" wrap="square" lIns="91440" tIns="45720" rIns="91440" bIns="45720" anchor="t" anchorCtr="0" upright="1">
                          <a:noAutofit/>
                        </wps:bodyPr>
                      </wps:wsp>
                      <wps:wsp>
                        <wps:cNvPr id="621352452" name="Rectangle 121"/>
                        <wps:cNvSpPr>
                          <a:spLocks noChangeArrowheads="1"/>
                        </wps:cNvSpPr>
                        <wps:spPr bwMode="auto">
                          <a:xfrm>
                            <a:off x="4492943" y="7481645"/>
                            <a:ext cx="1416034" cy="258280"/>
                          </a:xfrm>
                          <a:prstGeom prst="rect">
                            <a:avLst/>
                          </a:prstGeom>
                          <a:solidFill>
                            <a:srgbClr val="FFFFFF"/>
                          </a:solidFill>
                          <a:ln w="9525">
                            <a:solidFill>
                              <a:srgbClr val="000000"/>
                            </a:solidFill>
                            <a:miter lim="800000"/>
                            <a:headEnd/>
                            <a:tailEnd/>
                          </a:ln>
                        </wps:spPr>
                        <wps:txbx>
                          <w:txbxContent>
                            <w:p w14:paraId="1FE49D81"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 регіон</w:t>
                              </w:r>
                            </w:p>
                          </w:txbxContent>
                        </wps:txbx>
                        <wps:bodyPr rot="0" vert="horz" wrap="square" lIns="91440" tIns="45720" rIns="91440" bIns="45720" anchor="t" anchorCtr="0" upright="1">
                          <a:noAutofit/>
                        </wps:bodyPr>
                      </wps:wsp>
                      <wps:wsp>
                        <wps:cNvPr id="6284811" name="AutoShape 122"/>
                        <wps:cNvCnPr>
                          <a:cxnSpLocks noChangeShapeType="1"/>
                        </wps:cNvCnPr>
                        <wps:spPr bwMode="auto">
                          <a:xfrm flipH="1">
                            <a:off x="4276709" y="7137836"/>
                            <a:ext cx="225489"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61588832" name="AutoShape 123"/>
                        <wps:cNvCnPr>
                          <a:cxnSpLocks noChangeShapeType="1"/>
                        </wps:cNvCnPr>
                        <wps:spPr bwMode="auto">
                          <a:xfrm flipH="1">
                            <a:off x="4267454" y="7546850"/>
                            <a:ext cx="225489"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3659566" name="Rectangle 124"/>
                        <wps:cNvSpPr>
                          <a:spLocks noChangeArrowheads="1"/>
                        </wps:cNvSpPr>
                        <wps:spPr bwMode="auto">
                          <a:xfrm>
                            <a:off x="4492943" y="7812751"/>
                            <a:ext cx="1416034" cy="353970"/>
                          </a:xfrm>
                          <a:prstGeom prst="rect">
                            <a:avLst/>
                          </a:prstGeom>
                          <a:solidFill>
                            <a:srgbClr val="FFFFFF"/>
                          </a:solidFill>
                          <a:ln w="9525">
                            <a:solidFill>
                              <a:srgbClr val="000000"/>
                            </a:solidFill>
                            <a:miter lim="800000"/>
                            <a:headEnd/>
                            <a:tailEnd/>
                          </a:ln>
                        </wps:spPr>
                        <wps:txbx>
                          <w:txbxContent>
                            <w:p w14:paraId="2EA0DDD5"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Усі рівні суб</w:t>
                              </w:r>
                              <w:r w:rsidRPr="00832D11">
                                <w:rPr>
                                  <w:rFonts w:ascii="Times New Roman" w:hAnsi="Times New Roman" w:cs="Times New Roman"/>
                                  <w:lang w:val="en-US"/>
                                </w:rPr>
                                <w:t>’</w:t>
                              </w:r>
                              <w:r w:rsidRPr="00832D11">
                                <w:rPr>
                                  <w:rFonts w:ascii="Times New Roman" w:hAnsi="Times New Roman" w:cs="Times New Roman"/>
                                  <w:lang w:val="uk-UA"/>
                                </w:rPr>
                                <w:t>єктів</w:t>
                              </w:r>
                            </w:p>
                          </w:txbxContent>
                        </wps:txbx>
                        <wps:bodyPr rot="0" vert="horz" wrap="square" lIns="91440" tIns="45720" rIns="91440" bIns="45720" anchor="t" anchorCtr="0" upright="1">
                          <a:noAutofit/>
                        </wps:bodyPr>
                      </wps:wsp>
                      <wps:wsp>
                        <wps:cNvPr id="946800035" name="AutoShape 125"/>
                        <wps:cNvCnPr>
                          <a:cxnSpLocks noChangeShapeType="1"/>
                        </wps:cNvCnPr>
                        <wps:spPr bwMode="auto">
                          <a:xfrm flipH="1">
                            <a:off x="4276709" y="7890658"/>
                            <a:ext cx="226330" cy="8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5DFED413" id="Полотно 2" o:spid="_x0000_s1026" editas="canvas" style="width:477pt;height:649.05pt;mso-position-horizontal-relative:char;mso-position-vertical-relative:line" coordsize="60579,82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">
                <v:shape id="_x0000_s1027" type="#_x0000_t75" style="position:absolute;width:60579;height:82429;visibility:visible;mso-wrap-style:square">
                  <v:fill o:detectmouseclick="t"/>
                  <v:path o:connecttype="none"/>
                </v:shape>
                <v:rect id="Rectangle 51" o:spid="_x0000_s1028" style="position:absolute;left:3710;top:10229;width:13571;height:3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">
                  <v:textbox>
                    <w:txbxContent>
                      <w:p w14:paraId="09F5330B"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Законодавчі</w:t>
                        </w:r>
                      </w:p>
                    </w:txbxContent>
                  </v:textbox>
                </v:rect>
                <v:rect id="Rectangle 52" o:spid="_x0000_s1029" style="position:absolute;left:3710;top:550;width:12999;height:4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">
                  <v:textbox>
                    <w:txbxContent>
                      <w:p w14:paraId="7697898A"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Методи</w:t>
                        </w:r>
                      </w:p>
                    </w:txbxContent>
                  </v:textbox>
                </v:rect>
                <v:rect id="Rectangle 53" o:spid="_x0000_s1030" style="position:absolute;left:18905;top:6232;width:24417;height:6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">
                  <v:textbox>
                    <w:txbxContent>
                      <w:p w14:paraId="280A95DB"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lang w:val="uk-UA"/>
                          </w:rPr>
                          <w:t>Закріплення та законодавче регулювання нестандартних форм</w:t>
                        </w:r>
                        <w:r w:rsidRPr="00832D11">
                          <w:rPr>
                            <w:rFonts w:ascii="Times New Roman" w:hAnsi="Times New Roman" w:cs="Times New Roman"/>
                            <w:sz w:val="28"/>
                            <w:szCs w:val="28"/>
                            <w:lang w:val="uk-UA"/>
                          </w:rPr>
                          <w:t xml:space="preserve"> </w:t>
                        </w:r>
                        <w:r w:rsidRPr="00832D11">
                          <w:rPr>
                            <w:rFonts w:ascii="Times New Roman" w:hAnsi="Times New Roman" w:cs="Times New Roman"/>
                            <w:lang w:val="uk-UA"/>
                          </w:rPr>
                          <w:t xml:space="preserve">зайнятості </w:t>
                        </w:r>
                      </w:p>
                    </w:txbxContent>
                  </v:textbox>
                </v:rect>
                <v:rect id="Rectangle 54" o:spid="_x0000_s1031" style="position:absolute;left:45594;top:7172;width:13495;height:4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">
                  <v:textbox>
                    <w:txbxContent>
                      <w:p w14:paraId="2B686D9E"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w:t>
                        </w:r>
                      </w:p>
                    </w:txbxContent>
                  </v:textbox>
                </v:rect>
                <v:rect id="Rectangle 55" o:spid="_x0000_s1032" style="position:absolute;left:45577;top:18519;width:13512;height:3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">
                  <v:textbox>
                    <w:txbxContent>
                      <w:p w14:paraId="63DE75B3"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Регіон</w:t>
                        </w:r>
                      </w:p>
                    </w:txbxContent>
                  </v:textbox>
                </v:rect>
                <v:rect id="Rectangle 56" o:spid="_x0000_s1033" style="position:absolute;left:45627;top:37759;width:13462;height:2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">
                  <v:textbox>
                    <w:txbxContent>
                      <w:p w14:paraId="523AD4FE"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 регіон</w:t>
                        </w:r>
                      </w:p>
                    </w:txbxContent>
                  </v:textbox>
                </v:rect>
                <v:rect id="Rectangle 57" o:spid="_x0000_s1034" style="position:absolute;left:45552;top:45787;width:13537;height:2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">
                  <v:textbox>
                    <w:txbxContent>
                      <w:p w14:paraId="391CDC62"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Працівник</w:t>
                        </w:r>
                      </w:p>
                    </w:txbxContent>
                  </v:textbox>
                </v:rect>
                <v:shapetype id="_x0000_t32" coordsize="21600,21600" o:spt="32" o:oned="t" path="m,l21600,21600e" filled="f">
                  <v:path arrowok="t" fillok="f" o:connecttype="none"/>
                  <o:lock v:ext="edit" shapetype="t"/>
                </v:shapetype>
                <v:shape id="AutoShape 58" o:spid="_x0000_s1035" type="#_x0000_t32" style="position:absolute;left:706;top:2726;width:3004;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"/>
                <v:shape id="AutoShape 59" o:spid="_x0000_s1036" type="#_x0000_t32" style="position:absolute;left:706;top:2726;width:9;height:76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"/>
                <v:rect id="Rectangle 60" o:spid="_x0000_s1037" style="position:absolute;left:3710;top:23948;width:12991;height:3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">
                  <v:textbox>
                    <w:txbxContent>
                      <w:p w14:paraId="55DF5255"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Економічні</w:t>
                        </w:r>
                      </w:p>
                    </w:txbxContent>
                  </v:textbox>
                </v:rect>
                <v:rect id="Rectangle 61" o:spid="_x0000_s1038" style="position:absolute;left:3710;top:35955;width:12999;height:36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">
                  <v:textbox>
                    <w:txbxContent>
                      <w:p w14:paraId="3AC716F0"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Соціальні</w:t>
                        </w:r>
                      </w:p>
                    </w:txbxContent>
                  </v:textbox>
                </v:rect>
                <v:rect id="Rectangle 62" o:spid="_x0000_s1039" style="position:absolute;left:3710;top:46905;width:12991;height:35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">
                  <v:textbox>
                    <w:txbxContent>
                      <w:p w14:paraId="44B4A45B"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Освітні</w:t>
                        </w:r>
                      </w:p>
                    </w:txbxContent>
                  </v:textbox>
                </v:rect>
                <v:rect id="Rectangle 63" o:spid="_x0000_s1040" style="position:absolute;left:3710;top:55754;width:12999;height:3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">
                  <v:textbox>
                    <w:txbxContent>
                      <w:p w14:paraId="0C7877BC"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Інформаційні</w:t>
                        </w:r>
                      </w:p>
                    </w:txbxContent>
                  </v:textbox>
                </v:rect>
                <v:rect id="Rectangle 64" o:spid="_x0000_s1041" style="position:absolute;left:3676;top:77399;width:13025;height:3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">
                  <v:textbox>
                    <w:txbxContent>
                      <w:p w14:paraId="0D7410C5"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Аналітичні</w:t>
                        </w:r>
                      </w:p>
                    </w:txbxContent>
                  </v:textbox>
                </v:rect>
                <v:rect id="Rectangle 65" o:spid="_x0000_s1042" style="position:absolute;left:18905;top:13845;width:24417;height:8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">
                  <v:textbox>
                    <w:txbxContent>
                      <w:p w14:paraId="6D899FA4"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Нормативно-правове закріплення рівних можливостей соціального захисту працівників незалежно від форми зайнятості</w:t>
                        </w:r>
                      </w:p>
                    </w:txbxContent>
                  </v:textbox>
                </v:rect>
                <v:rect id="Rectangle 66" o:spid="_x0000_s1043" style="position:absolute;left:18922;top:31298;width:24417;height:6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">
                  <v:textbox>
                    <w:txbxContent>
                      <w:p w14:paraId="44F7CC4D"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Забезпечення соціального захисту зайнятих за умов нестандартної зайнятості</w:t>
                        </w:r>
                      </w:p>
                    </w:txbxContent>
                  </v:textbox>
                </v:rect>
                <v:shape id="AutoShape 67" o:spid="_x0000_s1044" type="#_x0000_t32" style="position:absolute;left:17281;top:9281;width:1624;height:276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">
                  <v:stroke endarrow="block"/>
                </v:shape>
                <v:shape id="AutoShape 68" o:spid="_x0000_s1045" type="#_x0000_t32" style="position:absolute;left:17281;top:12041;width:1624;height:59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">
                  <v:stroke endarrow="block"/>
                </v:shape>
                <v:shape id="AutoShape 69" o:spid="_x0000_s1046" type="#_x0000_t32" style="position:absolute;left:706;top:12041;width:300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">
                  <v:stroke endarrow="block"/>
                </v:shape>
                <v:rect id="Rectangle 70" o:spid="_x0000_s1047" style="position:absolute;left:18905;top:23948;width:24417;height:6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">
                  <v:textbox>
                    <w:txbxContent>
                      <w:p w14:paraId="5E83391F"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lang w:val="uk-UA"/>
                          </w:rPr>
                          <w:t>Стимулювання поширення нестандартних форм зайнятості за допомогою податкової політики</w:t>
                        </w:r>
                        <w:r w:rsidRPr="00832D11">
                          <w:rPr>
                            <w:rFonts w:ascii="Times New Roman" w:hAnsi="Times New Roman" w:cs="Times New Roman"/>
                            <w:sz w:val="28"/>
                            <w:szCs w:val="28"/>
                            <w:lang w:val="uk-UA"/>
                          </w:rPr>
                          <w:t xml:space="preserve"> </w:t>
                        </w:r>
                      </w:p>
                    </w:txbxContent>
                  </v:textbox>
                </v:rect>
                <v:rect id="Rectangle 71" o:spid="_x0000_s1048" style="position:absolute;left:18922;top:38801;width:24417;height:6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">
                  <v:textbox>
                    <w:txbxContent>
                      <w:p w14:paraId="26DB55B0"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Забезпечення соціальної справедливості в процесі соціально-трудових відносин</w:t>
                        </w:r>
                      </w:p>
                    </w:txbxContent>
                  </v:textbox>
                </v:rect>
                <v:shape id="AutoShape 72" o:spid="_x0000_s1049" type="#_x0000_t32" style="position:absolute;left:16709;top:34533;width:2213;height:322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">
                  <v:stroke endarrow="block"/>
                </v:shape>
                <v:shape id="AutoShape 73" o:spid="_x0000_s1050" type="#_x0000_t32" style="position:absolute;left:16709;top:37759;width:2213;height:42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">
                  <v:stroke endarrow="block"/>
                </v:shape>
                <v:rect id="Rectangle 74" o:spid="_x0000_s1051" style="position:absolute;left:18905;top:46905;width:24493;height:60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">
                  <v:textbox>
                    <w:txbxContent>
                      <w:p w14:paraId="22D4B8A0"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lang w:val="uk-UA"/>
                          </w:rPr>
                          <w:t>Навчання працівників, які працюють</w:t>
                        </w:r>
                        <w:r w:rsidRPr="00832D11">
                          <w:rPr>
                            <w:rFonts w:ascii="Times New Roman" w:hAnsi="Times New Roman" w:cs="Times New Roman"/>
                            <w:sz w:val="28"/>
                            <w:szCs w:val="28"/>
                            <w:lang w:val="uk-UA"/>
                          </w:rPr>
                          <w:t xml:space="preserve"> </w:t>
                        </w:r>
                        <w:r w:rsidRPr="00832D11">
                          <w:rPr>
                            <w:rFonts w:ascii="Times New Roman" w:hAnsi="Times New Roman" w:cs="Times New Roman"/>
                            <w:lang w:val="uk-UA"/>
                          </w:rPr>
                          <w:t>за нестандартними формами зайнятості</w:t>
                        </w:r>
                      </w:p>
                    </w:txbxContent>
                  </v:textbox>
                </v:rect>
                <v:rect id="Rectangle 75" o:spid="_x0000_s1052" style="position:absolute;left:18922;top:54043;width:23845;height:6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">
                  <v:textbox>
                    <w:txbxContent>
                      <w:p w14:paraId="1A794326"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Інформаційно-просвітницька робота щодо можливостей нестандартної зайнятості</w:t>
                        </w:r>
                      </w:p>
                    </w:txbxContent>
                  </v:textbox>
                </v:rect>
                <v:rect id="Rectangle 76" o:spid="_x0000_s1053" style="position:absolute;left:18905;top:61284;width:23845;height:7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">
                  <v:textbox>
                    <w:txbxContent>
                      <w:p w14:paraId="79C9D84E"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Інформаційно</w:t>
                        </w:r>
                        <w:r w:rsidRPr="00832D11">
                          <w:rPr>
                            <w:rFonts w:ascii="Times New Roman" w:hAnsi="Times New Roman" w:cs="Times New Roman"/>
                            <w:lang w:val="uk-UA"/>
                          </w:rPr>
                          <w:t>-консультаційна підтримка щодо організації та розвитку нестандартних форм зайнятості</w:t>
                        </w:r>
                      </w:p>
                    </w:txbxContent>
                  </v:textbox>
                </v:rect>
                <v:rect id="Rectangle 77" o:spid="_x0000_s1054" style="position:absolute;left:18922;top:69760;width:23845;height:3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">
                  <v:textbox>
                    <w:txbxContent>
                      <w:p w14:paraId="69BBC169"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lang w:val="uk-UA"/>
                          </w:rPr>
                          <w:t>Діджиталізація бізнес-процесів</w:t>
                        </w:r>
                      </w:p>
                    </w:txbxContent>
                  </v:textbox>
                </v:rect>
                <v:rect id="Rectangle 78" o:spid="_x0000_s1055" style="position:absolute;left:18922;top:73571;width:23845;height:3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">
                  <v:textbox>
                    <w:txbxContent>
                      <w:p w14:paraId="5831EA53"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lang w:val="uk-UA"/>
                          </w:rPr>
                          <w:t xml:space="preserve">Розвиток он-лайн платформ </w:t>
                        </w:r>
                      </w:p>
                    </w:txbxContent>
                  </v:textbox>
                </v:rect>
                <v:rect id="Rectangle 79" o:spid="_x0000_s1056" style="position:absolute;left:45577;top:13845;width:13512;height:4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">
                  <v:textbox>
                    <w:txbxContent>
                      <w:p w14:paraId="6378BD74"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w:t>
                        </w:r>
                      </w:p>
                    </w:txbxContent>
                  </v:textbox>
                </v:rect>
                <v:rect id="Rectangle 80" o:spid="_x0000_s1057" style="position:absolute;left:45594;top:23948;width:13495;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">
                  <v:textbox>
                    <w:txbxContent>
                      <w:p w14:paraId="32C69D09"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w:t>
                        </w:r>
                      </w:p>
                    </w:txbxContent>
                  </v:textbox>
                </v:rect>
                <v:rect id="Rectangle 81" o:spid="_x0000_s1058" style="position:absolute;left:45644;top:31298;width:13445;height:2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">
                  <v:textbox>
                    <w:txbxContent>
                      <w:p w14:paraId="2E88E5A1"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w:t>
                        </w:r>
                      </w:p>
                    </w:txbxContent>
                  </v:textbox>
                </v:rect>
                <v:rect id="Rectangle 82" o:spid="_x0000_s1059" style="position:absolute;left:45644;top:34533;width:13445;height:2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">
                  <v:textbox>
                    <w:txbxContent>
                      <w:p w14:paraId="6754082A"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Регіон</w:t>
                        </w:r>
                      </w:p>
                    </w:txbxContent>
                  </v:textbox>
                </v:rect>
                <v:rect id="Rectangle 83" o:spid="_x0000_s1060" style="position:absolute;left:45661;top:49471;width:13428;height:2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">
                  <v:textbox>
                    <w:txbxContent>
                      <w:p w14:paraId="6D95D088"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 регіон</w:t>
                        </w:r>
                      </w:p>
                    </w:txbxContent>
                  </v:textbox>
                </v:rect>
                <v:rect id="Rectangle 84" o:spid="_x0000_s1061" style="position:absolute;left:45653;top:52739;width:13436;height:4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">
                  <v:textbox>
                    <w:txbxContent>
                      <w:p w14:paraId="40171CA1"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Суб</w:t>
                        </w:r>
                        <w:r w:rsidRPr="00832D11">
                          <w:rPr>
                            <w:rFonts w:ascii="Times New Roman" w:hAnsi="Times New Roman" w:cs="Times New Roman"/>
                            <w:lang w:val="en-US"/>
                          </w:rPr>
                          <w:t>’</w:t>
                        </w:r>
                        <w:r w:rsidRPr="00832D11">
                          <w:rPr>
                            <w:rFonts w:ascii="Times New Roman" w:hAnsi="Times New Roman" w:cs="Times New Roman"/>
                            <w:lang w:val="uk-UA"/>
                          </w:rPr>
                          <w:t>єкти господарювання</w:t>
                        </w:r>
                      </w:p>
                    </w:txbxContent>
                  </v:textbox>
                </v:rect>
                <v:rect id="Rectangle 85" o:spid="_x0000_s1062" style="position:absolute;left:18888;top:550;width:24434;height:4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">
                  <v:textbox>
                    <w:txbxContent>
                      <w:p w14:paraId="38EB67E8"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 xml:space="preserve">Інструменти </w:t>
                        </w:r>
                      </w:p>
                    </w:txbxContent>
                  </v:textbox>
                </v:rect>
                <v:rect id="Rectangle 86" o:spid="_x0000_s1063" style="position:absolute;left:45568;top:550;width:13521;height:4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">
                  <v:textbox>
                    <w:txbxContent>
                      <w:p w14:paraId="5FFEAF76" w14:textId="77777777" w:rsidR="00571B42" w:rsidRPr="00832D11" w:rsidRDefault="00571B42" w:rsidP="0000167A">
                        <w:pPr>
                          <w:jc w:val="center"/>
                          <w:rPr>
                            <w:rFonts w:ascii="Times New Roman" w:hAnsi="Times New Roman" w:cs="Times New Roman"/>
                            <w:sz w:val="28"/>
                            <w:szCs w:val="28"/>
                            <w:lang w:val="uk-UA"/>
                          </w:rPr>
                        </w:pPr>
                        <w:r w:rsidRPr="00832D11">
                          <w:rPr>
                            <w:rFonts w:ascii="Times New Roman" w:hAnsi="Times New Roman" w:cs="Times New Roman"/>
                            <w:sz w:val="28"/>
                            <w:szCs w:val="28"/>
                            <w:lang w:val="uk-UA"/>
                          </w:rPr>
                          <w:t>Рівні суб</w:t>
                        </w:r>
                        <w:r w:rsidRPr="00832D11">
                          <w:rPr>
                            <w:rFonts w:ascii="Times New Roman" w:hAnsi="Times New Roman" w:cs="Times New Roman"/>
                            <w:sz w:val="28"/>
                            <w:szCs w:val="28"/>
                            <w:lang w:val="en-US"/>
                          </w:rPr>
                          <w:t>’</w:t>
                        </w:r>
                        <w:r w:rsidRPr="00832D11">
                          <w:rPr>
                            <w:rFonts w:ascii="Times New Roman" w:hAnsi="Times New Roman" w:cs="Times New Roman"/>
                            <w:sz w:val="28"/>
                            <w:szCs w:val="28"/>
                            <w:lang w:val="uk-UA"/>
                          </w:rPr>
                          <w:t xml:space="preserve">єктів </w:t>
                        </w:r>
                      </w:p>
                    </w:txbxContent>
                  </v:textbox>
                </v:rect>
                <v:shape id="AutoShape 87" o:spid="_x0000_s1064" type="#_x0000_t32" style="position:absolute;left:706;top:25658;width:3004;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">
                  <v:stroke endarrow="block"/>
                </v:shape>
                <v:shape id="AutoShape 88" o:spid="_x0000_s1065" type="#_x0000_t32" style="position:absolute;left:706;top:37759;width:3004;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">
                  <v:stroke endarrow="block"/>
                </v:shape>
                <v:shape id="AutoShape 89" o:spid="_x0000_s1066" type="#_x0000_t32" style="position:absolute;left:706;top:48624;width:3004;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">
                  <v:stroke endarrow="block"/>
                </v:shape>
                <v:shape id="AutoShape 90" o:spid="_x0000_s1067" type="#_x0000_t32" style="position:absolute;left:706;top:58040;width:3004;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">
                  <v:stroke endarrow="block"/>
                </v:shape>
                <v:shape id="AutoShape 91" o:spid="_x0000_s1068" type="#_x0000_t32" style="position:absolute;left:715;top:78889;width:3003;height: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">
                  <v:stroke endarrow="block"/>
                </v:shape>
                <v:rect id="Rectangle 92" o:spid="_x0000_s1069" style="position:absolute;left:18829;top:77399;width:23845;height:4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">
                  <v:textbox>
                    <w:txbxContent>
                      <w:p w14:paraId="75CD5296" w14:textId="77777777" w:rsidR="00571B42" w:rsidRPr="00832D11" w:rsidRDefault="00571B42" w:rsidP="0000167A">
                        <w:pPr>
                          <w:rPr>
                            <w:rFonts w:ascii="Times New Roman" w:hAnsi="Times New Roman" w:cs="Times New Roman"/>
                            <w:lang w:val="uk-UA"/>
                          </w:rPr>
                        </w:pPr>
                        <w:r w:rsidRPr="00832D11">
                          <w:rPr>
                            <w:rFonts w:ascii="Times New Roman" w:hAnsi="Times New Roman" w:cs="Times New Roman"/>
                            <w:spacing w:val="3"/>
                            <w:lang w:val="uk-UA"/>
                          </w:rPr>
                          <w:t>М</w:t>
                        </w:r>
                        <w:r w:rsidRPr="00832D11">
                          <w:rPr>
                            <w:rFonts w:ascii="Times New Roman" w:hAnsi="Times New Roman" w:cs="Times New Roman"/>
                            <w:spacing w:val="3"/>
                          </w:rPr>
                          <w:t>оніторинг</w:t>
                        </w:r>
                        <w:r w:rsidRPr="00832D11">
                          <w:rPr>
                            <w:rFonts w:ascii="Times New Roman" w:hAnsi="Times New Roman" w:cs="Times New Roman"/>
                            <w:spacing w:val="3"/>
                            <w:lang w:val="uk-UA"/>
                          </w:rPr>
                          <w:t xml:space="preserve"> </w:t>
                        </w:r>
                        <w:r w:rsidRPr="00832D11">
                          <w:rPr>
                            <w:rFonts w:ascii="Times New Roman" w:hAnsi="Times New Roman" w:cs="Times New Roman"/>
                            <w:spacing w:val="3"/>
                          </w:rPr>
                          <w:t>нестандарних форм зайнятості</w:t>
                        </w:r>
                      </w:p>
                    </w:txbxContent>
                  </v:textbox>
                </v:rect>
                <v:shape id="AutoShape 93" o:spid="_x0000_s1070" type="#_x0000_t32" style="position:absolute;left:16709;top:25650;width:2188;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">
                  <v:stroke endarrow="block"/>
                </v:shape>
                <v:shape id="AutoShape 94" o:spid="_x0000_s1071" type="#_x0000_t32" style="position:absolute;left:16701;top:48632;width:2187;height: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">
                  <v:stroke endarrow="block"/>
                </v:shape>
                <v:shape id="AutoShape 95" o:spid="_x0000_s1072" type="#_x0000_t32" style="position:absolute;left:16734;top:78872;width:2188;height: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">
                  <v:stroke endarrow="block"/>
                </v:shape>
                <v:shape id="AutoShape 96" o:spid="_x0000_s1073" type="#_x0000_t32" style="position:absolute;left:16709;top:57236;width:2213;height:33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">
                  <v:stroke endarrow="block"/>
                </v:shape>
                <v:shape id="AutoShape 97" o:spid="_x0000_s1074" type="#_x0000_t32" style="position:absolute;left:16709;top:57566;width:2196;height:76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">
                  <v:stroke endarrow="block"/>
                </v:shape>
                <v:shape id="AutoShape 98" o:spid="_x0000_s1075" type="#_x0000_t32" style="position:absolute;left:16709;top:57566;width:2213;height:138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">
                  <v:stroke endarrow="block"/>
                </v:shape>
                <v:shape id="AutoShape 99" o:spid="_x0000_s1076" type="#_x0000_t32" style="position:absolute;left:16709;top:57566;width:2213;height:177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">
                  <v:stroke endarrow="block"/>
                </v:shape>
                <v:shape id="AutoShape 100" o:spid="_x0000_s1077" type="#_x0000_t32" style="position:absolute;left:16701;top:2709;width:2187;height: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">
                  <v:stroke endarrow="block"/>
                </v:shape>
                <v:shape id="AutoShape 101" o:spid="_x0000_s1078" type="#_x0000_t32" style="position:absolute;left:43322;top:2726;width:2246;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">
                  <v:stroke endarrow="block"/>
                </v:shape>
                <v:shape id="AutoShape 102" o:spid="_x0000_s1079" type="#_x0000_t32" style="position:absolute;left:43398;top:8789;width:2255;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">
                  <v:stroke endarrow="block"/>
                </v:shape>
                <v:shape id="AutoShape 103" o:spid="_x0000_s1080" type="#_x0000_t32" style="position:absolute;left:43322;top:14819;width:2246;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">
                  <v:stroke endarrow="block"/>
                </v:shape>
                <v:shape id="AutoShape 104" o:spid="_x0000_s1081" type="#_x0000_t32" style="position:absolute;left:43398;top:19663;width:2255;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">
                  <v:stroke endarrow="block"/>
                </v:shape>
                <v:shape id="AutoShape 105" o:spid="_x0000_s1082" type="#_x0000_t32" style="position:absolute;left:43398;top:25667;width:2255;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">
                  <v:stroke endarrow="block"/>
                </v:shape>
                <v:shape id="AutoShape 106" o:spid="_x0000_s1083" type="#_x0000_t32" style="position:absolute;left:43398;top:32611;width:2255;height: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">
                  <v:stroke endarrow="block"/>
                </v:shape>
                <v:shape id="AutoShape 107" o:spid="_x0000_s1084" type="#_x0000_t32" style="position:absolute;left:43398;top:35176;width:2255;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">
                  <v:stroke endarrow="block"/>
                </v:shape>
                <v:shape id="AutoShape 108" o:spid="_x0000_s1085" type="#_x0000_t32" style="position:absolute;left:43297;top:41468;width:2255;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">
                  <v:stroke endarrow="block"/>
                </v:shape>
                <v:shape id="AutoShape 109" o:spid="_x0000_s1086" type="#_x0000_t32" style="position:absolute;left:43398;top:50487;width:2263;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">
                  <v:stroke endarrow="block"/>
                </v:shape>
                <v:rect id="Rectangle 110" o:spid="_x0000_s1087" style="position:absolute;left:45552;top:40765;width:13537;height:4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">
                  <v:textbox>
                    <w:txbxContent>
                      <w:p w14:paraId="79FDB3D4"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Суб</w:t>
                        </w:r>
                        <w:r w:rsidRPr="00832D11">
                          <w:rPr>
                            <w:rFonts w:ascii="Times New Roman" w:hAnsi="Times New Roman" w:cs="Times New Roman"/>
                            <w:lang w:val="en-US"/>
                          </w:rPr>
                          <w:t>’</w:t>
                        </w:r>
                        <w:r w:rsidRPr="00832D11">
                          <w:rPr>
                            <w:rFonts w:ascii="Times New Roman" w:hAnsi="Times New Roman" w:cs="Times New Roman"/>
                            <w:lang w:val="uk-UA"/>
                          </w:rPr>
                          <w:t>єкти господарювання</w:t>
                        </w:r>
                      </w:p>
                    </w:txbxContent>
                  </v:textbox>
                </v:rect>
                <v:shape id="AutoShape 111" o:spid="_x0000_s1088" type="#_x0000_t32" style="position:absolute;left:43398;top:39546;width:2255;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">
                  <v:stroke endarrow="block"/>
                </v:shape>
                <v:shape id="AutoShape 112" o:spid="_x0000_s1089" type="#_x0000_t32" style="position:absolute;left:43339;top:42027;width:2213;height:519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">
                  <v:stroke endarrow="block"/>
                </v:shape>
                <v:shape id="AutoShape 113" o:spid="_x0000_s1090" type="#_x0000_t32" style="position:absolute;left:43398;top:49911;width:2255;height:508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">
                  <v:stroke endarrow="block"/>
                </v:shape>
                <v:rect id="Rectangle 114" o:spid="_x0000_s1091" style="position:absolute;left:45021;top:58040;width:14068;height:2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">
                  <v:textbox>
                    <w:txbxContent>
                      <w:p w14:paraId="40D87EB6"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 регіон</w:t>
                        </w:r>
                      </w:p>
                    </w:txbxContent>
                  </v:textbox>
                </v:rect>
                <v:shape id="AutoShape 115" o:spid="_x0000_s1092" type="#_x0000_t32" style="position:absolute;left:42767;top:58811;width:2254;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">
                  <v:stroke endarrow="block"/>
                </v:shape>
                <v:rect id="Rectangle 116" o:spid="_x0000_s1093" style="position:absolute;left:45021;top:61284;width:14068;height:2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">
                  <v:textbox>
                    <w:txbxContent>
                      <w:p w14:paraId="2D0F68CF"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w:t>
                        </w:r>
                      </w:p>
                    </w:txbxContent>
                  </v:textbox>
                </v:rect>
                <v:rect id="Rectangle 117" o:spid="_x0000_s1094" style="position:absolute;left:45005;top:65196;width:14084;height:29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">
                  <v:textbox>
                    <w:txbxContent>
                      <w:p w14:paraId="536C79A9"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Регіон</w:t>
                        </w:r>
                      </w:p>
                    </w:txbxContent>
                  </v:textbox>
                </v:rect>
                <v:shape id="AutoShape 118" o:spid="_x0000_s1095" type="#_x0000_t32" style="position:absolute;left:42767;top:62241;width:2254;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">
                  <v:stroke endarrow="block"/>
                </v:shape>
                <v:shape id="AutoShape 119" o:spid="_x0000_s1096" type="#_x0000_t32" style="position:absolute;left:42767;top:66043;width:2254;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">
                  <v:stroke endarrow="block"/>
                </v:shape>
                <v:rect id="Rectangle 120" o:spid="_x0000_s1097" style="position:absolute;left:45021;top:69760;width:14068;height:44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">
                  <v:textbox>
                    <w:txbxContent>
                      <w:p w14:paraId="014730C6"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Суб</w:t>
                        </w:r>
                        <w:r w:rsidRPr="00832D11">
                          <w:rPr>
                            <w:rFonts w:ascii="Times New Roman" w:hAnsi="Times New Roman" w:cs="Times New Roman"/>
                            <w:lang w:val="en-US"/>
                          </w:rPr>
                          <w:t>’</w:t>
                        </w:r>
                        <w:r w:rsidRPr="00832D11">
                          <w:rPr>
                            <w:rFonts w:ascii="Times New Roman" w:hAnsi="Times New Roman" w:cs="Times New Roman"/>
                            <w:lang w:val="uk-UA"/>
                          </w:rPr>
                          <w:t>єкти господарювання</w:t>
                        </w:r>
                      </w:p>
                    </w:txbxContent>
                  </v:textbox>
                </v:rect>
                <v:rect id="Rectangle 121" o:spid="_x0000_s1098" style="position:absolute;left:44929;top:74816;width:14160;height:2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">
                  <v:textbox>
                    <w:txbxContent>
                      <w:p w14:paraId="1FE49D81"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Держава, регіон</w:t>
                        </w:r>
                      </w:p>
                    </w:txbxContent>
                  </v:textbox>
                </v:rect>
                <v:shape id="AutoShape 122" o:spid="_x0000_s1099" type="#_x0000_t32" style="position:absolute;left:42767;top:71378;width:2254;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">
                  <v:stroke endarrow="block"/>
                </v:shape>
                <v:shape id="AutoShape 123" o:spid="_x0000_s1100" type="#_x0000_t32" style="position:absolute;left:42674;top:75468;width:2255;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">
                  <v:stroke endarrow="block"/>
                </v:shape>
                <v:rect id="Rectangle 124" o:spid="_x0000_s1101" style="position:absolute;left:44929;top:78127;width:14160;height:3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">
                  <v:textbox>
                    <w:txbxContent>
                      <w:p w14:paraId="2EA0DDD5" w14:textId="77777777" w:rsidR="00571B42" w:rsidRPr="00832D11" w:rsidRDefault="00571B42" w:rsidP="0000167A">
                        <w:pPr>
                          <w:jc w:val="center"/>
                          <w:rPr>
                            <w:rFonts w:ascii="Times New Roman" w:hAnsi="Times New Roman" w:cs="Times New Roman"/>
                            <w:lang w:val="uk-UA"/>
                          </w:rPr>
                        </w:pPr>
                        <w:r w:rsidRPr="00832D11">
                          <w:rPr>
                            <w:rFonts w:ascii="Times New Roman" w:hAnsi="Times New Roman" w:cs="Times New Roman"/>
                            <w:lang w:val="uk-UA"/>
                          </w:rPr>
                          <w:t>Усі рівні суб</w:t>
                        </w:r>
                        <w:r w:rsidRPr="00832D11">
                          <w:rPr>
                            <w:rFonts w:ascii="Times New Roman" w:hAnsi="Times New Roman" w:cs="Times New Roman"/>
                            <w:lang w:val="en-US"/>
                          </w:rPr>
                          <w:t>’</w:t>
                        </w:r>
                        <w:r w:rsidRPr="00832D11">
                          <w:rPr>
                            <w:rFonts w:ascii="Times New Roman" w:hAnsi="Times New Roman" w:cs="Times New Roman"/>
                            <w:lang w:val="uk-UA"/>
                          </w:rPr>
                          <w:t>єктів</w:t>
                        </w:r>
                      </w:p>
                    </w:txbxContent>
                  </v:textbox>
                </v:rect>
                <v:shape id="AutoShape 125" o:spid="_x0000_s1102" type="#_x0000_t32" style="position:absolute;left:42767;top:78906;width:2263;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">
                  <v:stroke endarrow="block"/>
                </v:shape>
                <w10:anchorlock/>
              </v:group>
            </w:pict>
          </mc:Fallback>
        </mc:AlternateContent>
      </w:r>
    </w:p>
    <w:p w14:paraId="3CBEABB5" w14:textId="77777777" w:rsidR="0000167A" w:rsidRPr="005F0419" w:rsidRDefault="0000167A" w:rsidP="00C75819">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1. Концептуальні основи поширення нестандартних форм зайнятості в Україні</w:t>
      </w:r>
    </w:p>
    <w:p w14:paraId="79CE1D03" w14:textId="649FD11E"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iCs/>
          <w:sz w:val="28"/>
          <w:szCs w:val="28"/>
          <w:lang w:val="uk-UA"/>
        </w:rPr>
        <w:t>Джерело:</w:t>
      </w:r>
      <w:r w:rsidRPr="005F0419">
        <w:rPr>
          <w:rFonts w:ascii="Times New Roman" w:hAnsi="Times New Roman" w:cs="Times New Roman"/>
          <w:sz w:val="28"/>
          <w:szCs w:val="28"/>
          <w:lang w:val="uk-UA"/>
        </w:rPr>
        <w:t xml:space="preserve"> розробка автора [1]</w:t>
      </w:r>
      <w:r w:rsidR="00160308" w:rsidRPr="005F0419">
        <w:rPr>
          <w:rFonts w:ascii="Times New Roman" w:hAnsi="Times New Roman" w:cs="Times New Roman"/>
          <w:sz w:val="28"/>
          <w:szCs w:val="28"/>
          <w:lang w:val="uk-UA"/>
        </w:rPr>
        <w:t>.</w:t>
      </w:r>
    </w:p>
    <w:p w14:paraId="3B7068F1" w14:textId="716B42A4" w:rsidR="007D4366" w:rsidRPr="005F0419" w:rsidRDefault="00496B0B"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В залежності від використання того чи іншого інструмента доцільним є залучення різних суб’єктів впливу на процес розповсюдження нестандартних форм зайнятості в Україні.</w:t>
      </w:r>
      <w:r>
        <w:rPr>
          <w:rFonts w:ascii="Times New Roman" w:hAnsi="Times New Roman" w:cs="Times New Roman"/>
          <w:sz w:val="28"/>
          <w:szCs w:val="28"/>
          <w:lang w:val="uk-UA"/>
        </w:rPr>
        <w:t xml:space="preserve"> </w:t>
      </w:r>
      <w:r w:rsidR="007D4366" w:rsidRPr="005F0419">
        <w:rPr>
          <w:rFonts w:ascii="Times New Roman" w:hAnsi="Times New Roman" w:cs="Times New Roman"/>
          <w:sz w:val="28"/>
          <w:szCs w:val="28"/>
          <w:lang w:val="uk-UA"/>
        </w:rPr>
        <w:t>Якщо використання законодавчих та економічних методів стимулювання розвитку нетрадиційної зайнятості беруть на себе органи державної та місцевої влади, то застосування соціальних, інформаційних, освітніх та аналітичних методів може бути передбачене на усіх наведених рівнях, в тому числі і на корпоративному рівні. Важливою умовою ефективності процесу впровадження нетрадиційних форм зайнятості на вітчизняному ринку праці є комплексний підхід та залучення зусиль усіх його суб’єктів щодо досягнення результату, який буде виражатися у подоланні проблемних аспектів та недоліків функціонування нестандартної зайнятості у сучасних реаліях економічного середовища.</w:t>
      </w:r>
    </w:p>
    <w:p w14:paraId="6276C382"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Погоджуємося із дослідником А. Л. </w:t>
      </w:r>
      <w:proofErr w:type="spellStart"/>
      <w:r w:rsidRPr="005F0419">
        <w:rPr>
          <w:rFonts w:ascii="Times New Roman" w:hAnsi="Times New Roman" w:cs="Times New Roman"/>
          <w:sz w:val="28"/>
          <w:szCs w:val="28"/>
          <w:lang w:val="uk-UA"/>
        </w:rPr>
        <w:t>Красильщиковим</w:t>
      </w:r>
      <w:proofErr w:type="spellEnd"/>
      <w:r w:rsidRPr="005F0419">
        <w:rPr>
          <w:rFonts w:ascii="Times New Roman" w:hAnsi="Times New Roman" w:cs="Times New Roman"/>
          <w:sz w:val="28"/>
          <w:szCs w:val="28"/>
          <w:lang w:val="uk-UA"/>
        </w:rPr>
        <w:t xml:space="preserve"> щодо важливості </w:t>
      </w:r>
      <w:proofErr w:type="spellStart"/>
      <w:r w:rsidRPr="005F0419">
        <w:rPr>
          <w:rFonts w:ascii="Times New Roman" w:hAnsi="Times New Roman" w:cs="Times New Roman"/>
          <w:sz w:val="28"/>
          <w:szCs w:val="28"/>
          <w:lang w:val="uk-UA"/>
        </w:rPr>
        <w:t>законопроєкту</w:t>
      </w:r>
      <w:proofErr w:type="spellEnd"/>
      <w:r w:rsidRPr="005F0419">
        <w:rPr>
          <w:rFonts w:ascii="Times New Roman" w:hAnsi="Times New Roman" w:cs="Times New Roman"/>
          <w:sz w:val="28"/>
          <w:szCs w:val="28"/>
          <w:lang w:val="uk-UA"/>
        </w:rPr>
        <w:t xml:space="preserve"> стосовно захисту трудових прав працівників за нестандартними формами зайнятості, включення до чинних нормативно-правових актів гарантій зайнятості та оплати праці, що будуть регулювати особливості ведення соціально-трудових відносин у системі нетрадиційного працевлаштування, ратифікації Конвенцій МОП щодо соціального захисту працівників, які здійснюють свою діяльність в межах нестандартних форм зайнятості [5]. </w:t>
      </w:r>
    </w:p>
    <w:p w14:paraId="4A1FABEA" w14:textId="5D621131" w:rsidR="00160308" w:rsidRPr="005F0419" w:rsidRDefault="00160308" w:rsidP="00160308">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Позитивним аспектом у світлі подій сьогодення є ухвалення Верховною Радою України </w:t>
      </w:r>
      <w:proofErr w:type="spellStart"/>
      <w:r w:rsidRPr="005F0419">
        <w:rPr>
          <w:rFonts w:ascii="Times New Roman" w:hAnsi="Times New Roman" w:cs="Times New Roman"/>
          <w:sz w:val="28"/>
          <w:szCs w:val="28"/>
          <w:lang w:val="uk-UA"/>
        </w:rPr>
        <w:t>законопроєкту</w:t>
      </w:r>
      <w:proofErr w:type="spellEnd"/>
      <w:r w:rsidRPr="005F0419">
        <w:rPr>
          <w:rFonts w:ascii="Times New Roman" w:hAnsi="Times New Roman" w:cs="Times New Roman"/>
          <w:sz w:val="28"/>
          <w:szCs w:val="28"/>
          <w:lang w:val="uk-UA"/>
        </w:rPr>
        <w:t xml:space="preserve"> №5161 «Про </w:t>
      </w:r>
      <w:r w:rsidRPr="005F0419">
        <w:rPr>
          <w:rFonts w:ascii="Times New Roman" w:hAnsi="Times New Roman" w:cs="Times New Roman"/>
          <w:sz w:val="28"/>
          <w:szCs w:val="28"/>
          <w:shd w:val="clear" w:color="auto" w:fill="FFFFFF"/>
          <w:lang w:val="uk-UA"/>
        </w:rPr>
        <w:t>нестандартні форми зайнятості (фріланс)». Відтепер працівник зможе легально поєднувати трудову діяльність у декількох роботодавців і буде мати можливість отримання базових соціальних гарантій. При цьому трудовий договір з нефіксованим робочим часом впроваджують як альтернативу договору цивільно-правового характеру, що підходить для дистанційної роботи [6].</w:t>
      </w:r>
    </w:p>
    <w:p w14:paraId="733BE942"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Специфіка нетрадиційної зайнятості має бути врахована і на всіх рівнях договірного регулювання соціально-трудових відносин: генеральній угоді на наступний період, галузевих та регіональних угодах, колективний договорах підприємств. Все це забезпечуватиме міцний фундамент для соціального захисту </w:t>
      </w:r>
      <w:r w:rsidRPr="005F0419">
        <w:rPr>
          <w:rFonts w:ascii="Times New Roman" w:hAnsi="Times New Roman" w:cs="Times New Roman"/>
          <w:sz w:val="28"/>
          <w:szCs w:val="28"/>
          <w:lang w:val="uk-UA"/>
        </w:rPr>
        <w:lastRenderedPageBreak/>
        <w:t xml:space="preserve">працівників та широке використання можливостей нетрадиційних форм зайнятості, спрямованих на зміцнення соціальної безпеки. Безпечне застосування відповідного формату соціально-трудових відносин для держави стане можливим за допомогою оподаткування. Це, зокрема, використання знижених (пільгових) ставок ЄСВ для нетрадиційно зайнятих, що буде формувати соціальний захист таких працівників, а також рівні умови для усіх працюючих, незалежно від форми зайнятості, що відображатиме врахування принципу соціальної справедливості у соціально-трудових відносинах. Але даний інструмент можна буде застосовувати лише у майбутній перспективі, після закінчення війни в Україні та періоду післявоєнного відновлення.  </w:t>
      </w:r>
    </w:p>
    <w:p w14:paraId="5C707BD7"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Окрім вищенаведених пропозицій щодо поширення нестандартних форм зайнятості в Україні та їх законодавчого закріплення, окремим важливим напрямом є навчання працівників, які зайняті за таким форматом, на рівні суб’єктів господарювання. Тут мається на увазі надання працівникам права вибору гнучких графіків роботи, що також є різновидом нетрадиційної зайнятості, або дистанційної (віддаленої) роботи, з подальшим навчанням щодо особливостей виконання робочих функцій та посадових обов’язків у випадку застосування нестандартних форм зайнятості. Особливої актуальності вищенаведені формати роботи набувають для молоді, оскільки надають додаткові зручності та можливості ефективного використання власного часу, а також працівників старшого віку, враховуючи </w:t>
      </w:r>
      <w:proofErr w:type="spellStart"/>
      <w:r w:rsidRPr="005F0419">
        <w:rPr>
          <w:rFonts w:ascii="Times New Roman" w:hAnsi="Times New Roman" w:cs="Times New Roman"/>
          <w:sz w:val="28"/>
          <w:szCs w:val="28"/>
          <w:lang w:val="uk-UA"/>
        </w:rPr>
        <w:t>психо</w:t>
      </w:r>
      <w:proofErr w:type="spellEnd"/>
      <w:r w:rsidRPr="005F0419">
        <w:rPr>
          <w:rFonts w:ascii="Times New Roman" w:hAnsi="Times New Roman" w:cs="Times New Roman"/>
          <w:sz w:val="28"/>
          <w:szCs w:val="28"/>
          <w:lang w:val="uk-UA"/>
        </w:rPr>
        <w:t xml:space="preserve">-фізіологічні особливості їх віку та необхідність ощадливого використання трудового потенціалу. Важливе значення дистанційна зайнятість відіграє в умовах війни в Україні, коли більшість суб’єктів господарювання втрачають виробничі потужності, вимушені скорочувати працівників, здійснювати </w:t>
      </w:r>
      <w:proofErr w:type="spellStart"/>
      <w:r w:rsidRPr="005F0419">
        <w:rPr>
          <w:rFonts w:ascii="Times New Roman" w:hAnsi="Times New Roman" w:cs="Times New Roman"/>
          <w:sz w:val="28"/>
          <w:szCs w:val="28"/>
          <w:lang w:val="uk-UA"/>
        </w:rPr>
        <w:t>релокацію</w:t>
      </w:r>
      <w:proofErr w:type="spellEnd"/>
      <w:r w:rsidRPr="005F0419">
        <w:rPr>
          <w:rFonts w:ascii="Times New Roman" w:hAnsi="Times New Roman" w:cs="Times New Roman"/>
          <w:sz w:val="28"/>
          <w:szCs w:val="28"/>
          <w:lang w:val="uk-UA"/>
        </w:rPr>
        <w:t xml:space="preserve"> до відносно безпечних регіонів. Дистанційна (віддалена) робота є важливим інструментом продовження трудової діяльності не залежно від фактичного місцезнаходження працівника, що допомагає зберегти трудові відносини з роботодавцем, не втрачати робоче місце та отримувати заробітну плату за виконану роботу. Так, </w:t>
      </w:r>
      <w:r w:rsidRPr="005F0419">
        <w:rPr>
          <w:rFonts w:ascii="Times New Roman" w:hAnsi="Times New Roman" w:cs="Times New Roman"/>
          <w:b/>
          <w:bCs/>
          <w:sz w:val="28"/>
          <w:szCs w:val="28"/>
          <w:lang w:val="uk-UA"/>
        </w:rPr>
        <w:t>д</w:t>
      </w:r>
      <w:r w:rsidRPr="005F0419">
        <w:rPr>
          <w:rStyle w:val="a7"/>
          <w:rFonts w:ascii="Times New Roman" w:hAnsi="Times New Roman" w:cs="Times New Roman"/>
          <w:b w:val="0"/>
          <w:bCs w:val="0"/>
          <w:sz w:val="28"/>
          <w:szCs w:val="28"/>
          <w:shd w:val="clear" w:color="auto" w:fill="FFFFFF"/>
          <w:lang w:val="uk-UA"/>
        </w:rPr>
        <w:t>истанційна робота може застосовуватися</w:t>
      </w:r>
      <w:r w:rsidRPr="005F0419">
        <w:rPr>
          <w:rFonts w:ascii="Times New Roman" w:hAnsi="Times New Roman" w:cs="Times New Roman"/>
          <w:b/>
          <w:bCs/>
          <w:sz w:val="28"/>
          <w:szCs w:val="28"/>
          <w:shd w:val="clear" w:color="auto" w:fill="FFFFFF"/>
          <w:lang w:val="uk-UA"/>
        </w:rPr>
        <w:t>,</w:t>
      </w:r>
      <w:r w:rsidRPr="005F0419">
        <w:rPr>
          <w:rFonts w:ascii="Times New Roman" w:hAnsi="Times New Roman" w:cs="Times New Roman"/>
          <w:sz w:val="28"/>
          <w:szCs w:val="28"/>
          <w:shd w:val="clear" w:color="auto" w:fill="FFFFFF"/>
          <w:lang w:val="uk-UA"/>
        </w:rPr>
        <w:t xml:space="preserve"> якщо працівник має можливість виконувати </w:t>
      </w:r>
      <w:r w:rsidRPr="005F0419">
        <w:rPr>
          <w:rFonts w:ascii="Times New Roman" w:hAnsi="Times New Roman" w:cs="Times New Roman"/>
          <w:sz w:val="28"/>
          <w:szCs w:val="28"/>
          <w:shd w:val="clear" w:color="auto" w:fill="FFFFFF"/>
          <w:lang w:val="uk-UA"/>
        </w:rPr>
        <w:lastRenderedPageBreak/>
        <w:t>посадові обов’язки, проте не має змоги (або має труднощі) дістатися до свого постійного робочого місця; у той же час важливими умовами є наявність у роботодавця відповідних ресурсів та засобів для організації дистанційної діяльності, а також той факт, що характер посадових функцій дозволяє здійснювати роботу без обов’язкової присутності на робочому місці [7]</w:t>
      </w:r>
      <w:r w:rsidRPr="005F0419">
        <w:rPr>
          <w:rFonts w:ascii="Times New Roman" w:hAnsi="Times New Roman" w:cs="Times New Roman"/>
          <w:sz w:val="28"/>
          <w:szCs w:val="28"/>
          <w:lang w:val="uk-UA"/>
        </w:rPr>
        <w:t xml:space="preserve">. </w:t>
      </w:r>
    </w:p>
    <w:p w14:paraId="624BD27A"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Інформаційний блок заходів щодо поширення нестандартних форм зайнятості є найбільшим за своїм наповненням, оскільки включає </w:t>
      </w:r>
      <w:r w:rsidRPr="005F0419">
        <w:rPr>
          <w:rFonts w:ascii="Times New Roman" w:hAnsi="Times New Roman" w:cs="Times New Roman"/>
          <w:spacing w:val="3"/>
          <w:sz w:val="28"/>
          <w:szCs w:val="28"/>
          <w:lang w:val="uk-UA"/>
        </w:rPr>
        <w:t>інформаційно-просвітницьку роботу щодо можливостей нестандартної зайнятості та інформаційно</w:t>
      </w:r>
      <w:r w:rsidRPr="005F0419">
        <w:rPr>
          <w:rFonts w:ascii="Times New Roman" w:hAnsi="Times New Roman" w:cs="Times New Roman"/>
          <w:sz w:val="28"/>
          <w:szCs w:val="28"/>
          <w:lang w:val="uk-UA"/>
        </w:rPr>
        <w:t>-консультаційну підтримку щодо організації та розвитку нестандартних форм зайнятості, що може надаватися Державною службою зайнятості населення та регіональними центрами зайнятості; розвиток он-лайн платформ щодо пошуку вакансій нетрадиційного формату. Наразі в Україні та світі існує значна кількість бірж фрілансу – спеціальних сайтів, призначених для пошуку роботи фрілансерами, і навпаки, пошуку фрілансерів роботодавцями. У той же час слід відмітити певну стихійність цього процесу та необхідність включення до процесів працевлаштування за нестандартними формами Державної служби зайнятості. Враховуючи розвиток електронних послуг та інформатизацію діяльності центрів зайнятості, доцільно розширити їх функції у контексті нетрадиційного працевлаштування.</w:t>
      </w:r>
    </w:p>
    <w:p w14:paraId="11D67754"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Дистанційні форми роботи набувають свого поширення в Україні та формують новий тренд на ринку праці. Причинами даної тенденції стали такі виклики у сфері праці та зайнятості, як пандемія COVID-19 (з 2020 року) та війна в Україні (з 2022 року). Так, у другому кварталі 2020 року порівняно з відповідним періодом 2019 питома вага вакансій, що передбачали дистанційну роботу, зросла з 4% до 6,4%. Відповідна динаміка досягла свого піку у четвертому кварталі 2021 року (вакансії з дистанційною роботою становили 6,8 % від загальної кількості вакансій). </w:t>
      </w:r>
    </w:p>
    <w:p w14:paraId="0682C42F" w14:textId="77777777" w:rsidR="00496B0B"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 початку повномасштабного російського вторгнення суб’єкти господарювання, які мали досвід дистанційної роботи своїх працівників, засвідчили найбільшу стійкість: відповідно питома вага вакансій з дистанційною </w:t>
      </w:r>
      <w:r w:rsidRPr="005F0419">
        <w:rPr>
          <w:rFonts w:ascii="Times New Roman" w:hAnsi="Times New Roman" w:cs="Times New Roman"/>
          <w:sz w:val="28"/>
          <w:szCs w:val="28"/>
          <w:lang w:val="uk-UA"/>
        </w:rPr>
        <w:lastRenderedPageBreak/>
        <w:t xml:space="preserve">роботою зросла з 6,5% у другому кварталі 2021 року до 13,9% у другому кварталі 2022 року </w:t>
      </w:r>
      <w:r w:rsidRPr="005F0419">
        <w:rPr>
          <w:rFonts w:ascii="Times New Roman" w:hAnsi="Times New Roman" w:cs="Times New Roman"/>
          <w:sz w:val="28"/>
          <w:szCs w:val="28"/>
          <w:shd w:val="clear" w:color="auto" w:fill="FFFFFF"/>
          <w:lang w:val="uk-UA"/>
        </w:rPr>
        <w:t>[6]</w:t>
      </w:r>
      <w:r w:rsidRPr="005F0419">
        <w:rPr>
          <w:rFonts w:ascii="Times New Roman" w:hAnsi="Times New Roman" w:cs="Times New Roman"/>
          <w:sz w:val="28"/>
          <w:szCs w:val="28"/>
          <w:lang w:val="uk-UA"/>
        </w:rPr>
        <w:t xml:space="preserve">. </w:t>
      </w:r>
    </w:p>
    <w:p w14:paraId="539C5FC6" w14:textId="3AE88D55"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 результатами опитування порталу Work.ua, проведеному у липні 2022 року, у якому взяла участь 1708 респондентів, 61 % опитаних у різних формах мали досвід дистанційної роботи (рис. 2).</w:t>
      </w:r>
    </w:p>
    <w:p w14:paraId="31130EC4"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14:ligatures w14:val="standardContextual"/>
        </w:rPr>
        <w:drawing>
          <wp:inline distT="0" distB="0" distL="0" distR="0" wp14:anchorId="645F34F7" wp14:editId="5B67F9A9">
            <wp:extent cx="5440680" cy="2781300"/>
            <wp:effectExtent l="0" t="0" r="7620" b="0"/>
            <wp:docPr id="1181078792" name="Диаграмма 1">
              <a:extLst xmlns:a="http://schemas.openxmlformats.org/drawingml/2006/main">
                <a:ext uri="{FF2B5EF4-FFF2-40B4-BE49-F238E27FC236}">
                  <a16:creationId xmlns:a16="http://schemas.microsoft.com/office/drawing/2014/main" id="{22DE998E-74A2-37D3-5496-827DA56000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53BF7CD" w14:textId="5B3EA95E" w:rsidR="0000167A" w:rsidRPr="005F0419" w:rsidRDefault="0000167A" w:rsidP="00160308">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2 Структура відповідей респондентів щодо форм роботи, %</w:t>
      </w:r>
    </w:p>
    <w:p w14:paraId="289E5FAC" w14:textId="163A7246"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Джерело: побудовано за даними опитування порталу Work.ua </w:t>
      </w:r>
      <w:r w:rsidRPr="005F0419">
        <w:rPr>
          <w:rFonts w:ascii="Times New Roman" w:hAnsi="Times New Roman" w:cs="Times New Roman"/>
          <w:sz w:val="28"/>
          <w:szCs w:val="28"/>
          <w:shd w:val="clear" w:color="auto" w:fill="FFFFFF"/>
          <w:lang w:val="uk-UA"/>
        </w:rPr>
        <w:t>[6]</w:t>
      </w:r>
      <w:r w:rsidR="00160308" w:rsidRPr="005F0419">
        <w:rPr>
          <w:rFonts w:ascii="Times New Roman" w:hAnsi="Times New Roman" w:cs="Times New Roman"/>
          <w:sz w:val="28"/>
          <w:szCs w:val="28"/>
          <w:shd w:val="clear" w:color="auto" w:fill="FFFFFF"/>
          <w:lang w:val="uk-UA"/>
        </w:rPr>
        <w:t>.</w:t>
      </w:r>
    </w:p>
    <w:p w14:paraId="708749ED" w14:textId="77777777" w:rsidR="00160308" w:rsidRPr="005F0419" w:rsidRDefault="00160308" w:rsidP="00662012">
      <w:pPr>
        <w:spacing w:after="0" w:line="360" w:lineRule="auto"/>
        <w:ind w:firstLine="720"/>
        <w:jc w:val="both"/>
        <w:rPr>
          <w:rFonts w:ascii="Times New Roman" w:hAnsi="Times New Roman" w:cs="Times New Roman"/>
          <w:sz w:val="28"/>
          <w:szCs w:val="28"/>
          <w:lang w:val="uk-UA"/>
        </w:rPr>
      </w:pPr>
    </w:p>
    <w:p w14:paraId="249ABA6B" w14:textId="0DF44EFF"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Важливою умовою застосування гнучких та дистанційних форм роботи на корпоративному рівні є </w:t>
      </w:r>
      <w:proofErr w:type="spellStart"/>
      <w:r w:rsidRPr="005F0419">
        <w:rPr>
          <w:rFonts w:ascii="Times New Roman" w:hAnsi="Times New Roman" w:cs="Times New Roman"/>
          <w:sz w:val="28"/>
          <w:szCs w:val="28"/>
          <w:lang w:val="uk-UA"/>
        </w:rPr>
        <w:t>діджиталізація</w:t>
      </w:r>
      <w:proofErr w:type="spellEnd"/>
      <w:r w:rsidRPr="005F0419">
        <w:rPr>
          <w:rFonts w:ascii="Times New Roman" w:hAnsi="Times New Roman" w:cs="Times New Roman"/>
          <w:sz w:val="28"/>
          <w:szCs w:val="28"/>
          <w:lang w:val="uk-UA"/>
        </w:rPr>
        <w:t xml:space="preserve"> бізнес-процесів, що дозволить розширити можливості виконання працівниками своїх функцій у зручній для них та керівництва формі, а також підвищити результативність праці та ефективність використання робочого часу. </w:t>
      </w:r>
    </w:p>
    <w:p w14:paraId="5EEE5025"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той же час запорукою ефективності застосування нестандартних форм зайнятості є моніторинг їх впровадження, який має включати два основні напрями:</w:t>
      </w:r>
    </w:p>
    <w:p w14:paraId="77857AE6"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Порівняльну оцінку результативності діяльності працівників традиційних та нетрадиційних форм зайнятості.</w:t>
      </w:r>
    </w:p>
    <w:p w14:paraId="56C8B321"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Оцінку основних індикаторів ринку праці та соціальної безпеки на ньому (співвідношення попиту та пропозиції робочої сили, навантаження на </w:t>
      </w:r>
      <w:r w:rsidRPr="005F0419">
        <w:rPr>
          <w:rFonts w:ascii="Times New Roman" w:hAnsi="Times New Roman" w:cs="Times New Roman"/>
          <w:sz w:val="28"/>
          <w:szCs w:val="28"/>
          <w:lang w:val="uk-UA"/>
        </w:rPr>
        <w:lastRenderedPageBreak/>
        <w:t>одну вакансію, рівень участі в робочій силі, рівень зайнятості, рівень безробіття, у тому числі молодіжного, рівень неформальної зайнятості, показники оплати праці) до та після поширення нетрадиційних форм зайнятості.</w:t>
      </w:r>
    </w:p>
    <w:p w14:paraId="6C8CD047"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Наступним перспективним напрямом забезпечення соціальної безпеки на корпоративному рівні є удосконалення системи навчання та розвитку працівників, що </w:t>
      </w:r>
      <w:proofErr w:type="spellStart"/>
      <w:r w:rsidRPr="005F0419">
        <w:rPr>
          <w:rFonts w:ascii="Times New Roman" w:hAnsi="Times New Roman" w:cs="Times New Roman"/>
          <w:iCs/>
          <w:sz w:val="28"/>
          <w:szCs w:val="28"/>
          <w:shd w:val="clear" w:color="auto" w:fill="FFFFFF"/>
          <w:lang w:val="uk-UA"/>
        </w:rPr>
        <w:t>надасть</w:t>
      </w:r>
      <w:proofErr w:type="spellEnd"/>
      <w:r w:rsidRPr="005F0419">
        <w:rPr>
          <w:rFonts w:ascii="Times New Roman" w:hAnsi="Times New Roman" w:cs="Times New Roman"/>
          <w:iCs/>
          <w:sz w:val="28"/>
          <w:szCs w:val="28"/>
          <w:shd w:val="clear" w:color="auto" w:fill="FFFFFF"/>
          <w:lang w:val="uk-UA"/>
        </w:rPr>
        <w:t xml:space="preserve"> можливість підвищення їх конкурентоспроможності за рахунок збільшення рівня професіоналізму, зростання продуктивності та ефективності праці, що позитивно впливатиме на результативність діяльності підприємств. </w:t>
      </w:r>
    </w:p>
    <w:p w14:paraId="711F2515"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Так, одним із напрямів удосконалення системи навчання на підприємствах є активізація їх співробітництва із закладами освіти. Дієвий інструмент такої співпраці у контексті залучення молодих працівників до трудової діяльності, зокрема працевлаштування після закінчення закладів освіти – дуальна освіта, що передбачає укладання тристороннього договору між студентом, закладом освіти та підприємством на предмет надання освітніх послуг та виробничого навчання. </w:t>
      </w:r>
    </w:p>
    <w:p w14:paraId="52DE890B"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У той же час не слід випускати з уваги можливість проведення спільних навчальних і практичних заходів, спрямованих на поєднання теоретичного і виробничого навчання, як на базі закладів освіти, так і на базі підприємств, із використанням інноваційних освітніх технологій. </w:t>
      </w:r>
    </w:p>
    <w:p w14:paraId="3E3C52EC" w14:textId="5F067C65"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У жовтні 2020 року було проведено авторське експертне опитування «Загрози соціальній безпеці на ринку праці України та шляхи їх нейтралізації», у якому взяли участь провідні вітчизняні дослідники і науковці, які займаються проблематикою соціальної безпеки, працівники органів державної влади та місцевого самоврядування, Державної служби зайнятості та її регіональних представництв, представники бізнес-структур із різних регіонів України. Зокрема, учасниками експертного опитування стали респонденти з м. Київ, Дніпропетровської, Вінницької, Одеської, Полтавської, Запорізької, Волинської, Тернопільської, Черкаської областей. Відповіді на питання відкритого і закритого типів </w:t>
      </w:r>
      <w:proofErr w:type="spellStart"/>
      <w:r w:rsidRPr="005F0419">
        <w:rPr>
          <w:rFonts w:ascii="Times New Roman" w:hAnsi="Times New Roman" w:cs="Times New Roman"/>
          <w:iCs/>
          <w:sz w:val="28"/>
          <w:szCs w:val="28"/>
          <w:shd w:val="clear" w:color="auto" w:fill="FFFFFF"/>
          <w:lang w:val="uk-UA"/>
        </w:rPr>
        <w:t>ранжувалися</w:t>
      </w:r>
      <w:proofErr w:type="spellEnd"/>
      <w:r w:rsidRPr="005F0419">
        <w:rPr>
          <w:rFonts w:ascii="Times New Roman" w:hAnsi="Times New Roman" w:cs="Times New Roman"/>
          <w:iCs/>
          <w:sz w:val="28"/>
          <w:szCs w:val="28"/>
          <w:shd w:val="clear" w:color="auto" w:fill="FFFFFF"/>
          <w:lang w:val="uk-UA"/>
        </w:rPr>
        <w:t xml:space="preserve"> із використанням бальної шкали від 1 до 10 (1 бал – мінімальна, 10 балів – максимальна оцінка). У числі цілого ряду важливих </w:t>
      </w:r>
      <w:r w:rsidRPr="005F0419">
        <w:rPr>
          <w:rFonts w:ascii="Times New Roman" w:hAnsi="Times New Roman" w:cs="Times New Roman"/>
          <w:iCs/>
          <w:sz w:val="28"/>
          <w:szCs w:val="28"/>
          <w:shd w:val="clear" w:color="auto" w:fill="FFFFFF"/>
          <w:lang w:val="uk-UA"/>
        </w:rPr>
        <w:lastRenderedPageBreak/>
        <w:t>питань стосовно забезпечення соціальної безпеки експертами була проведена оцінка напрямів стимулювання молодіжної зайнятості, зокрема, через співробітництво сфер освіти та бізнесу. За результатами узагальнення відповідей респондентів першу позицію у числі напрямів стимулювання молодіжної зайнятості, на думку експертів, посідає розвиток молодіжного підприємництва та стартапів (табл.3).</w:t>
      </w:r>
    </w:p>
    <w:p w14:paraId="2B45FF1A" w14:textId="35561C19" w:rsidR="0000167A" w:rsidRPr="005F0419" w:rsidRDefault="0000167A" w:rsidP="00662012">
      <w:pPr>
        <w:spacing w:after="0" w:line="360" w:lineRule="auto"/>
        <w:ind w:firstLine="720"/>
        <w:jc w:val="right"/>
        <w:rPr>
          <w:rFonts w:ascii="Times New Roman" w:hAnsi="Times New Roman" w:cs="Times New Roman"/>
          <w:iCs/>
          <w:sz w:val="28"/>
          <w:szCs w:val="28"/>
          <w:lang w:val="uk-UA"/>
        </w:rPr>
      </w:pPr>
      <w:r w:rsidRPr="005F0419">
        <w:rPr>
          <w:rFonts w:ascii="Times New Roman" w:hAnsi="Times New Roman" w:cs="Times New Roman"/>
          <w:iCs/>
          <w:sz w:val="28"/>
          <w:szCs w:val="28"/>
          <w:lang w:val="uk-UA"/>
        </w:rPr>
        <w:t>Таблиця 3</w:t>
      </w:r>
    </w:p>
    <w:p w14:paraId="37585A58" w14:textId="77777777" w:rsidR="0000167A" w:rsidRPr="005F0419" w:rsidRDefault="0000167A" w:rsidP="00662012">
      <w:pPr>
        <w:spacing w:after="0" w:line="360" w:lineRule="auto"/>
        <w:ind w:firstLine="720"/>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Оцінювання напрямів стимулювання молодіжної зайнятості в Україні за ступенем їх впливу на ефективність ринку праці</w:t>
      </w:r>
    </w:p>
    <w:tbl>
      <w:tblPr>
        <w:tblW w:w="9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9"/>
        <w:gridCol w:w="1259"/>
        <w:gridCol w:w="1213"/>
        <w:gridCol w:w="761"/>
      </w:tblGrid>
      <w:tr w:rsidR="0000167A" w:rsidRPr="005F0419" w14:paraId="5EA2DA81" w14:textId="77777777" w:rsidTr="00A55004">
        <w:tc>
          <w:tcPr>
            <w:tcW w:w="6658" w:type="dxa"/>
            <w:shd w:val="clear" w:color="auto" w:fill="auto"/>
            <w:vAlign w:val="center"/>
          </w:tcPr>
          <w:p w14:paraId="538EA9E6" w14:textId="77777777" w:rsidR="0000167A" w:rsidRPr="005F0419" w:rsidRDefault="0000167A" w:rsidP="00160308">
            <w:pPr>
              <w:spacing w:after="0" w:line="240" w:lineRule="auto"/>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Напрями</w:t>
            </w:r>
          </w:p>
        </w:tc>
        <w:tc>
          <w:tcPr>
            <w:tcW w:w="1174" w:type="dxa"/>
            <w:shd w:val="clear" w:color="auto" w:fill="auto"/>
            <w:vAlign w:val="center"/>
          </w:tcPr>
          <w:p w14:paraId="2318C4C8" w14:textId="77777777" w:rsidR="0000167A" w:rsidRPr="005F0419" w:rsidRDefault="0000167A" w:rsidP="00160308">
            <w:pPr>
              <w:spacing w:after="0" w:line="240" w:lineRule="auto"/>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Сумарна оцінка, балів</w:t>
            </w:r>
          </w:p>
        </w:tc>
        <w:tc>
          <w:tcPr>
            <w:tcW w:w="1134" w:type="dxa"/>
            <w:shd w:val="clear" w:color="auto" w:fill="auto"/>
            <w:vAlign w:val="center"/>
          </w:tcPr>
          <w:p w14:paraId="0841F989" w14:textId="77777777" w:rsidR="0000167A" w:rsidRPr="005F0419" w:rsidRDefault="0000167A" w:rsidP="00160308">
            <w:pPr>
              <w:spacing w:after="0" w:line="240" w:lineRule="auto"/>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Середня оцінка, балів</w:t>
            </w:r>
          </w:p>
        </w:tc>
        <w:tc>
          <w:tcPr>
            <w:tcW w:w="676" w:type="dxa"/>
            <w:shd w:val="clear" w:color="auto" w:fill="auto"/>
            <w:vAlign w:val="center"/>
          </w:tcPr>
          <w:p w14:paraId="660EBE2E" w14:textId="77777777" w:rsidR="0000167A" w:rsidRPr="005F0419" w:rsidRDefault="0000167A" w:rsidP="00160308">
            <w:pPr>
              <w:spacing w:after="0" w:line="240" w:lineRule="auto"/>
              <w:jc w:val="center"/>
              <w:rPr>
                <w:rFonts w:ascii="Times New Roman" w:hAnsi="Times New Roman" w:cs="Times New Roman"/>
                <w:bCs/>
                <w:iCs/>
                <w:sz w:val="28"/>
                <w:szCs w:val="28"/>
                <w:lang w:val="uk-UA"/>
              </w:rPr>
            </w:pPr>
            <w:r w:rsidRPr="005F0419">
              <w:rPr>
                <w:rFonts w:ascii="Times New Roman" w:hAnsi="Times New Roman" w:cs="Times New Roman"/>
                <w:bCs/>
                <w:iCs/>
                <w:sz w:val="28"/>
                <w:szCs w:val="28"/>
                <w:lang w:val="uk-UA"/>
              </w:rPr>
              <w:t>Ранг</w:t>
            </w:r>
          </w:p>
        </w:tc>
      </w:tr>
      <w:tr w:rsidR="0000167A" w:rsidRPr="005F0419" w14:paraId="4446EAFF" w14:textId="77777777" w:rsidTr="00A55004">
        <w:tc>
          <w:tcPr>
            <w:tcW w:w="6658" w:type="dxa"/>
            <w:shd w:val="clear" w:color="auto" w:fill="auto"/>
          </w:tcPr>
          <w:p w14:paraId="28A56101" w14:textId="77777777" w:rsidR="0000167A" w:rsidRPr="005F0419" w:rsidRDefault="0000167A" w:rsidP="00160308">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Розвиток молодіжного підприємництва та стартапів</w:t>
            </w:r>
          </w:p>
        </w:tc>
        <w:tc>
          <w:tcPr>
            <w:tcW w:w="1174" w:type="dxa"/>
            <w:shd w:val="clear" w:color="auto" w:fill="auto"/>
            <w:vAlign w:val="bottom"/>
          </w:tcPr>
          <w:p w14:paraId="6B872A8B"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222</w:t>
            </w:r>
          </w:p>
        </w:tc>
        <w:tc>
          <w:tcPr>
            <w:tcW w:w="1134" w:type="dxa"/>
            <w:shd w:val="clear" w:color="auto" w:fill="auto"/>
            <w:vAlign w:val="bottom"/>
          </w:tcPr>
          <w:p w14:paraId="3B7805C4"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7,4</w:t>
            </w:r>
          </w:p>
        </w:tc>
        <w:tc>
          <w:tcPr>
            <w:tcW w:w="676" w:type="dxa"/>
            <w:shd w:val="clear" w:color="auto" w:fill="auto"/>
            <w:vAlign w:val="bottom"/>
          </w:tcPr>
          <w:p w14:paraId="06820001" w14:textId="77777777" w:rsidR="0000167A" w:rsidRPr="005F0419" w:rsidRDefault="0000167A" w:rsidP="00160308">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w:t>
            </w:r>
          </w:p>
        </w:tc>
      </w:tr>
      <w:tr w:rsidR="0000167A" w:rsidRPr="005F0419" w14:paraId="62163267" w14:textId="77777777" w:rsidTr="00A55004">
        <w:tc>
          <w:tcPr>
            <w:tcW w:w="6658" w:type="dxa"/>
            <w:shd w:val="clear" w:color="auto" w:fill="auto"/>
          </w:tcPr>
          <w:p w14:paraId="6FB22129" w14:textId="77777777" w:rsidR="0000167A" w:rsidRPr="005F0419" w:rsidRDefault="0000167A" w:rsidP="00160308">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Розвиток системи наставництва та професійного </w:t>
            </w:r>
            <w:proofErr w:type="spellStart"/>
            <w:r w:rsidRPr="005F0419">
              <w:rPr>
                <w:rFonts w:ascii="Times New Roman" w:hAnsi="Times New Roman" w:cs="Times New Roman"/>
                <w:sz w:val="28"/>
                <w:szCs w:val="28"/>
                <w:lang w:val="uk-UA"/>
              </w:rPr>
              <w:t>коучингу</w:t>
            </w:r>
            <w:proofErr w:type="spellEnd"/>
            <w:r w:rsidRPr="005F0419">
              <w:rPr>
                <w:rFonts w:ascii="Times New Roman" w:hAnsi="Times New Roman" w:cs="Times New Roman"/>
                <w:sz w:val="28"/>
                <w:szCs w:val="28"/>
                <w:lang w:val="uk-UA"/>
              </w:rPr>
              <w:t xml:space="preserve"> для молоді на рівні підприємств</w:t>
            </w:r>
          </w:p>
        </w:tc>
        <w:tc>
          <w:tcPr>
            <w:tcW w:w="1174" w:type="dxa"/>
            <w:shd w:val="clear" w:color="auto" w:fill="auto"/>
            <w:vAlign w:val="bottom"/>
          </w:tcPr>
          <w:p w14:paraId="1FAF0AA6"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218</w:t>
            </w:r>
          </w:p>
        </w:tc>
        <w:tc>
          <w:tcPr>
            <w:tcW w:w="1134" w:type="dxa"/>
            <w:shd w:val="clear" w:color="auto" w:fill="auto"/>
            <w:vAlign w:val="bottom"/>
          </w:tcPr>
          <w:p w14:paraId="19383363"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7,27</w:t>
            </w:r>
          </w:p>
        </w:tc>
        <w:tc>
          <w:tcPr>
            <w:tcW w:w="676" w:type="dxa"/>
            <w:shd w:val="clear" w:color="auto" w:fill="auto"/>
            <w:vAlign w:val="bottom"/>
          </w:tcPr>
          <w:p w14:paraId="1C180F78" w14:textId="77777777" w:rsidR="0000167A" w:rsidRPr="005F0419" w:rsidRDefault="0000167A" w:rsidP="00160308">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w:t>
            </w:r>
          </w:p>
        </w:tc>
      </w:tr>
      <w:tr w:rsidR="0000167A" w:rsidRPr="005F0419" w14:paraId="4E2FB146" w14:textId="77777777" w:rsidTr="00A55004">
        <w:tc>
          <w:tcPr>
            <w:tcW w:w="6658" w:type="dxa"/>
            <w:shd w:val="clear" w:color="auto" w:fill="auto"/>
          </w:tcPr>
          <w:p w14:paraId="08988206" w14:textId="77777777" w:rsidR="0000167A" w:rsidRPr="005F0419" w:rsidRDefault="0000167A" w:rsidP="00160308">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Податкове стимулювання підприємств, які працевлаштовують молодь</w:t>
            </w:r>
          </w:p>
        </w:tc>
        <w:tc>
          <w:tcPr>
            <w:tcW w:w="1174" w:type="dxa"/>
            <w:shd w:val="clear" w:color="auto" w:fill="auto"/>
            <w:vAlign w:val="bottom"/>
          </w:tcPr>
          <w:p w14:paraId="5DC0C32B"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210</w:t>
            </w:r>
          </w:p>
        </w:tc>
        <w:tc>
          <w:tcPr>
            <w:tcW w:w="1134" w:type="dxa"/>
            <w:shd w:val="clear" w:color="auto" w:fill="auto"/>
            <w:vAlign w:val="bottom"/>
          </w:tcPr>
          <w:p w14:paraId="470C4228"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7,0</w:t>
            </w:r>
          </w:p>
        </w:tc>
        <w:tc>
          <w:tcPr>
            <w:tcW w:w="676" w:type="dxa"/>
            <w:shd w:val="clear" w:color="auto" w:fill="auto"/>
            <w:vAlign w:val="bottom"/>
          </w:tcPr>
          <w:p w14:paraId="3C52C3D6" w14:textId="77777777" w:rsidR="0000167A" w:rsidRPr="005F0419" w:rsidRDefault="0000167A" w:rsidP="00160308">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3</w:t>
            </w:r>
          </w:p>
        </w:tc>
      </w:tr>
      <w:tr w:rsidR="0000167A" w:rsidRPr="005F0419" w14:paraId="14782590" w14:textId="77777777" w:rsidTr="00A55004">
        <w:tc>
          <w:tcPr>
            <w:tcW w:w="6658" w:type="dxa"/>
            <w:shd w:val="clear" w:color="auto" w:fill="auto"/>
          </w:tcPr>
          <w:p w14:paraId="16B09DAE" w14:textId="77777777" w:rsidR="0000167A" w:rsidRPr="005F0419" w:rsidRDefault="0000167A" w:rsidP="00160308">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Співпраця закладів освіти та бізнес-структур в процесі навчання: проведення спільних навчальних і практичних заходів</w:t>
            </w:r>
          </w:p>
        </w:tc>
        <w:tc>
          <w:tcPr>
            <w:tcW w:w="1174" w:type="dxa"/>
            <w:shd w:val="clear" w:color="auto" w:fill="auto"/>
            <w:vAlign w:val="bottom"/>
          </w:tcPr>
          <w:p w14:paraId="109DC81F"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203</w:t>
            </w:r>
          </w:p>
        </w:tc>
        <w:tc>
          <w:tcPr>
            <w:tcW w:w="1134" w:type="dxa"/>
            <w:shd w:val="clear" w:color="auto" w:fill="auto"/>
            <w:vAlign w:val="bottom"/>
          </w:tcPr>
          <w:p w14:paraId="101311AD"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6,77</w:t>
            </w:r>
          </w:p>
        </w:tc>
        <w:tc>
          <w:tcPr>
            <w:tcW w:w="676" w:type="dxa"/>
            <w:shd w:val="clear" w:color="auto" w:fill="auto"/>
            <w:vAlign w:val="bottom"/>
          </w:tcPr>
          <w:p w14:paraId="4699C71B" w14:textId="77777777" w:rsidR="0000167A" w:rsidRPr="005F0419" w:rsidRDefault="0000167A" w:rsidP="00160308">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4</w:t>
            </w:r>
          </w:p>
        </w:tc>
      </w:tr>
      <w:tr w:rsidR="0000167A" w:rsidRPr="005F0419" w14:paraId="70103887" w14:textId="77777777" w:rsidTr="00A55004">
        <w:tc>
          <w:tcPr>
            <w:tcW w:w="6658" w:type="dxa"/>
            <w:shd w:val="clear" w:color="auto" w:fill="auto"/>
          </w:tcPr>
          <w:p w14:paraId="6045B51D" w14:textId="77777777" w:rsidR="0000167A" w:rsidRPr="005F0419" w:rsidRDefault="0000167A" w:rsidP="00160308">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Посилення профорієнтаційної роботи серед молоді</w:t>
            </w:r>
          </w:p>
        </w:tc>
        <w:tc>
          <w:tcPr>
            <w:tcW w:w="1174" w:type="dxa"/>
            <w:shd w:val="clear" w:color="auto" w:fill="auto"/>
            <w:vAlign w:val="bottom"/>
          </w:tcPr>
          <w:p w14:paraId="6D421564"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w:t>
            </w:r>
          </w:p>
        </w:tc>
        <w:tc>
          <w:tcPr>
            <w:tcW w:w="1134" w:type="dxa"/>
            <w:shd w:val="clear" w:color="auto" w:fill="auto"/>
            <w:vAlign w:val="bottom"/>
          </w:tcPr>
          <w:p w14:paraId="1B3B80D6"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6,73</w:t>
            </w:r>
          </w:p>
        </w:tc>
        <w:tc>
          <w:tcPr>
            <w:tcW w:w="676" w:type="dxa"/>
            <w:shd w:val="clear" w:color="auto" w:fill="auto"/>
            <w:vAlign w:val="bottom"/>
          </w:tcPr>
          <w:p w14:paraId="54CA4D9C" w14:textId="77777777" w:rsidR="0000167A" w:rsidRPr="005F0419" w:rsidRDefault="0000167A" w:rsidP="00160308">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5</w:t>
            </w:r>
          </w:p>
        </w:tc>
      </w:tr>
      <w:tr w:rsidR="0000167A" w:rsidRPr="005F0419" w14:paraId="3E49AC37" w14:textId="77777777" w:rsidTr="00A55004">
        <w:tc>
          <w:tcPr>
            <w:tcW w:w="6658" w:type="dxa"/>
            <w:shd w:val="clear" w:color="auto" w:fill="auto"/>
          </w:tcPr>
          <w:p w14:paraId="39559199" w14:textId="77777777" w:rsidR="0000167A" w:rsidRPr="005F0419" w:rsidRDefault="0000167A" w:rsidP="00160308">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Впровадження дуальної освіти</w:t>
            </w:r>
          </w:p>
        </w:tc>
        <w:tc>
          <w:tcPr>
            <w:tcW w:w="1174" w:type="dxa"/>
            <w:shd w:val="clear" w:color="auto" w:fill="auto"/>
            <w:vAlign w:val="bottom"/>
          </w:tcPr>
          <w:p w14:paraId="22BF6C7B"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188</w:t>
            </w:r>
          </w:p>
        </w:tc>
        <w:tc>
          <w:tcPr>
            <w:tcW w:w="1134" w:type="dxa"/>
            <w:shd w:val="clear" w:color="auto" w:fill="auto"/>
            <w:vAlign w:val="bottom"/>
          </w:tcPr>
          <w:p w14:paraId="24B1729E"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6,27</w:t>
            </w:r>
          </w:p>
        </w:tc>
        <w:tc>
          <w:tcPr>
            <w:tcW w:w="676" w:type="dxa"/>
            <w:shd w:val="clear" w:color="auto" w:fill="auto"/>
            <w:vAlign w:val="bottom"/>
          </w:tcPr>
          <w:p w14:paraId="4686D943" w14:textId="77777777" w:rsidR="0000167A" w:rsidRPr="005F0419" w:rsidRDefault="0000167A" w:rsidP="00160308">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6</w:t>
            </w:r>
          </w:p>
        </w:tc>
      </w:tr>
      <w:tr w:rsidR="0000167A" w:rsidRPr="005F0419" w14:paraId="49C2F5C7" w14:textId="77777777" w:rsidTr="00A55004">
        <w:tc>
          <w:tcPr>
            <w:tcW w:w="6658" w:type="dxa"/>
            <w:shd w:val="clear" w:color="auto" w:fill="auto"/>
          </w:tcPr>
          <w:p w14:paraId="2B60A1C2" w14:textId="77777777" w:rsidR="0000167A" w:rsidRPr="005F0419" w:rsidRDefault="0000167A" w:rsidP="00160308">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Співпраця закладів освіти, організацій роботодавців, профспілок, громадських організацій: проведення спільних навчальних і практичних заходів</w:t>
            </w:r>
          </w:p>
        </w:tc>
        <w:tc>
          <w:tcPr>
            <w:tcW w:w="1174" w:type="dxa"/>
            <w:shd w:val="clear" w:color="auto" w:fill="auto"/>
            <w:vAlign w:val="bottom"/>
          </w:tcPr>
          <w:p w14:paraId="352A58E8"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186</w:t>
            </w:r>
          </w:p>
        </w:tc>
        <w:tc>
          <w:tcPr>
            <w:tcW w:w="1134" w:type="dxa"/>
            <w:shd w:val="clear" w:color="auto" w:fill="auto"/>
            <w:vAlign w:val="bottom"/>
          </w:tcPr>
          <w:p w14:paraId="34A1966C"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6,2</w:t>
            </w:r>
          </w:p>
        </w:tc>
        <w:tc>
          <w:tcPr>
            <w:tcW w:w="676" w:type="dxa"/>
            <w:shd w:val="clear" w:color="auto" w:fill="auto"/>
            <w:vAlign w:val="bottom"/>
          </w:tcPr>
          <w:p w14:paraId="3614746B" w14:textId="77777777" w:rsidR="0000167A" w:rsidRPr="005F0419" w:rsidRDefault="0000167A" w:rsidP="00160308">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7</w:t>
            </w:r>
          </w:p>
        </w:tc>
      </w:tr>
      <w:tr w:rsidR="0000167A" w:rsidRPr="005F0419" w14:paraId="3B498262" w14:textId="77777777" w:rsidTr="00A55004">
        <w:tc>
          <w:tcPr>
            <w:tcW w:w="6658" w:type="dxa"/>
            <w:shd w:val="clear" w:color="auto" w:fill="auto"/>
          </w:tcPr>
          <w:p w14:paraId="575BA304" w14:textId="77777777" w:rsidR="0000167A" w:rsidRPr="005F0419" w:rsidRDefault="0000167A" w:rsidP="00160308">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Законодавчі та адміністративні заходи з боку держави щодо обов’язкового працевлаштування вразливих на ринку праці категорій населення, в тому числі молоді</w:t>
            </w:r>
          </w:p>
        </w:tc>
        <w:tc>
          <w:tcPr>
            <w:tcW w:w="1174" w:type="dxa"/>
            <w:shd w:val="clear" w:color="auto" w:fill="auto"/>
            <w:vAlign w:val="bottom"/>
          </w:tcPr>
          <w:p w14:paraId="7189B47B"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172</w:t>
            </w:r>
          </w:p>
        </w:tc>
        <w:tc>
          <w:tcPr>
            <w:tcW w:w="1134" w:type="dxa"/>
            <w:shd w:val="clear" w:color="auto" w:fill="auto"/>
            <w:vAlign w:val="bottom"/>
          </w:tcPr>
          <w:p w14:paraId="4ADDBF54"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5,73</w:t>
            </w:r>
          </w:p>
        </w:tc>
        <w:tc>
          <w:tcPr>
            <w:tcW w:w="676" w:type="dxa"/>
            <w:shd w:val="clear" w:color="auto" w:fill="auto"/>
            <w:vAlign w:val="bottom"/>
          </w:tcPr>
          <w:p w14:paraId="3801E20B" w14:textId="77777777" w:rsidR="0000167A" w:rsidRPr="005F0419" w:rsidRDefault="0000167A" w:rsidP="00160308">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8</w:t>
            </w:r>
          </w:p>
        </w:tc>
      </w:tr>
      <w:tr w:rsidR="0000167A" w:rsidRPr="005F0419" w14:paraId="2DE4BA68" w14:textId="77777777" w:rsidTr="00A55004">
        <w:tc>
          <w:tcPr>
            <w:tcW w:w="6658" w:type="dxa"/>
            <w:shd w:val="clear" w:color="auto" w:fill="auto"/>
          </w:tcPr>
          <w:p w14:paraId="0E1BC0E5" w14:textId="77777777" w:rsidR="0000167A" w:rsidRPr="005F0419" w:rsidRDefault="0000167A" w:rsidP="00160308">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Інформування молоді щодо реального стану ринку праці та функціонування бізнес-сфери</w:t>
            </w:r>
          </w:p>
        </w:tc>
        <w:tc>
          <w:tcPr>
            <w:tcW w:w="1174" w:type="dxa"/>
            <w:shd w:val="clear" w:color="auto" w:fill="auto"/>
            <w:vAlign w:val="bottom"/>
          </w:tcPr>
          <w:p w14:paraId="59C3DC1E"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170</w:t>
            </w:r>
          </w:p>
        </w:tc>
        <w:tc>
          <w:tcPr>
            <w:tcW w:w="1134" w:type="dxa"/>
            <w:shd w:val="clear" w:color="auto" w:fill="auto"/>
            <w:vAlign w:val="bottom"/>
          </w:tcPr>
          <w:p w14:paraId="49E05D50"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5,67</w:t>
            </w:r>
          </w:p>
        </w:tc>
        <w:tc>
          <w:tcPr>
            <w:tcW w:w="676" w:type="dxa"/>
            <w:shd w:val="clear" w:color="auto" w:fill="auto"/>
            <w:vAlign w:val="bottom"/>
          </w:tcPr>
          <w:p w14:paraId="3F68ADEA" w14:textId="77777777" w:rsidR="0000167A" w:rsidRPr="005F0419" w:rsidRDefault="0000167A" w:rsidP="00160308">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9</w:t>
            </w:r>
          </w:p>
        </w:tc>
      </w:tr>
      <w:tr w:rsidR="0000167A" w:rsidRPr="005F0419" w14:paraId="6E21B2C3" w14:textId="77777777" w:rsidTr="00A55004">
        <w:tc>
          <w:tcPr>
            <w:tcW w:w="6658" w:type="dxa"/>
            <w:shd w:val="clear" w:color="auto" w:fill="auto"/>
          </w:tcPr>
          <w:p w14:paraId="3ACFFDCD" w14:textId="77777777" w:rsidR="0000167A" w:rsidRPr="005F0419" w:rsidRDefault="0000167A" w:rsidP="00160308">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Співпраця закладів освіти та органів Державної служби зайнятості: проведення спільних навчальних і практичних заходів</w:t>
            </w:r>
          </w:p>
        </w:tc>
        <w:tc>
          <w:tcPr>
            <w:tcW w:w="1174" w:type="dxa"/>
            <w:shd w:val="clear" w:color="auto" w:fill="auto"/>
            <w:vAlign w:val="bottom"/>
          </w:tcPr>
          <w:p w14:paraId="58486907"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160</w:t>
            </w:r>
          </w:p>
        </w:tc>
        <w:tc>
          <w:tcPr>
            <w:tcW w:w="1134" w:type="dxa"/>
            <w:shd w:val="clear" w:color="auto" w:fill="auto"/>
            <w:vAlign w:val="bottom"/>
          </w:tcPr>
          <w:p w14:paraId="6CF21D4A" w14:textId="77777777" w:rsidR="0000167A" w:rsidRPr="005F0419" w:rsidRDefault="0000167A" w:rsidP="00160308">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5,33</w:t>
            </w:r>
          </w:p>
        </w:tc>
        <w:tc>
          <w:tcPr>
            <w:tcW w:w="676" w:type="dxa"/>
            <w:shd w:val="clear" w:color="auto" w:fill="auto"/>
            <w:vAlign w:val="bottom"/>
          </w:tcPr>
          <w:p w14:paraId="1F5A815E" w14:textId="77777777" w:rsidR="0000167A" w:rsidRPr="005F0419" w:rsidRDefault="0000167A" w:rsidP="00160308">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10</w:t>
            </w:r>
          </w:p>
        </w:tc>
      </w:tr>
    </w:tbl>
    <w:p w14:paraId="1DD3C4D9" w14:textId="22DAD7CB" w:rsidR="0000167A" w:rsidRPr="005F0419" w:rsidRDefault="0000167A" w:rsidP="00160308">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w:t>
      </w:r>
      <w:r w:rsidRPr="005F0419">
        <w:rPr>
          <w:rFonts w:ascii="Times New Roman" w:hAnsi="Times New Roman" w:cs="Times New Roman"/>
          <w:i/>
          <w:iCs/>
          <w:sz w:val="28"/>
          <w:szCs w:val="28"/>
          <w:lang w:val="uk-UA"/>
        </w:rPr>
        <w:t>:</w:t>
      </w:r>
      <w:r w:rsidRPr="005F0419">
        <w:rPr>
          <w:rFonts w:ascii="Times New Roman" w:hAnsi="Times New Roman" w:cs="Times New Roman"/>
          <w:sz w:val="28"/>
          <w:szCs w:val="28"/>
          <w:lang w:val="uk-UA"/>
        </w:rPr>
        <w:t xml:space="preserve"> розробка автора на основі результатів експертного опитування [3]</w:t>
      </w:r>
      <w:r w:rsidR="00160308" w:rsidRPr="005F0419">
        <w:rPr>
          <w:rFonts w:ascii="Times New Roman" w:hAnsi="Times New Roman" w:cs="Times New Roman"/>
          <w:sz w:val="28"/>
          <w:szCs w:val="28"/>
          <w:lang w:val="uk-UA"/>
        </w:rPr>
        <w:t>.</w:t>
      </w:r>
    </w:p>
    <w:p w14:paraId="603382C9"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p>
    <w:p w14:paraId="4380C0A6"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Серед важливих напрямів стимулювання зайнятості у контексті партнерства суб’єктів господарювання із освітньою сферою експерти відзначили також співпрацю закладів освіти та бізнес-структур в процесі навчання (проведення спільних навчальних і практичних заходів), впровадження дуальної освіти, співпрацю закладів освіти, організацій роботодавців, профспілок, громадських організацій (проведення спільних навчальних і практичних заходів).</w:t>
      </w:r>
    </w:p>
    <w:p w14:paraId="3D6B8AC7"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Стосовно оцінювання напрямів удосконалення освітньої сфери у контексті співпраці із суб’єктами господарювання, результати були наступними (табл. 4). З метою конкретизації експертних оцінок респондентів було поділено їх на три рівні важливості згідно отриманих рангів: високий (з 1 по 3 ранг), середній (з 4 по 6 ранг), низький (з 7 по 8 ранг).</w:t>
      </w:r>
    </w:p>
    <w:p w14:paraId="3A570DF9" w14:textId="174AE23F"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Згідно результатів оцінювання напрямів удосконалення функціонування сфери освіти та співпраці університетів із суб’єктами господарювання було окреслено: проведення спільних з представниками бізнес-структур навчальних занять (при чому не лише на базі закладів освіти, а й на базі підприємств); формування шкіл стартапів та підприємництва із залученням представників роботодавців до безпосереднього навчання здобувачів освіти практичним навичкам розвитку власного бізнесу;  посилення практичної складової у рамках навчальних дисциплін в процесі викладання (зокрема, у даному напрямі можна відзначити застосування практичних кейсів на основі реальних прикладів діяльності підприємств, що буде сприяти не тільки формуванню важливих практичних навичок, а й зростанню рівня зацікавленості здобувачів освіти у навчанні).</w:t>
      </w:r>
    </w:p>
    <w:p w14:paraId="086AFBC7"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Серед напрямів формування взаємодії освіти і бізнесу особливого значення також набувають: удосконалення матеріально-технічної бази закладів освіти, що буде забезпечувати розширення можливостей співпраці за рахунок використання сучасного обладнання та технологій у процесі навчання; дуальна освіта, яка є пріоритетним напрямом </w:t>
      </w:r>
      <w:proofErr w:type="spellStart"/>
      <w:r w:rsidRPr="005F0419">
        <w:rPr>
          <w:rFonts w:ascii="Times New Roman" w:hAnsi="Times New Roman" w:cs="Times New Roman"/>
          <w:sz w:val="28"/>
          <w:szCs w:val="28"/>
          <w:lang w:val="uk-UA"/>
        </w:rPr>
        <w:t>освітньо</w:t>
      </w:r>
      <w:proofErr w:type="spellEnd"/>
      <w:r w:rsidRPr="005F0419">
        <w:rPr>
          <w:rFonts w:ascii="Times New Roman" w:hAnsi="Times New Roman" w:cs="Times New Roman"/>
          <w:sz w:val="28"/>
          <w:szCs w:val="28"/>
          <w:lang w:val="uk-UA"/>
        </w:rPr>
        <w:t xml:space="preserve">-бізнесового партнерства виходячи із передового зарубіжного досвіду; виконання викладачами разом зі здобувачами </w:t>
      </w:r>
      <w:r w:rsidRPr="005F0419">
        <w:rPr>
          <w:rFonts w:ascii="Times New Roman" w:hAnsi="Times New Roman" w:cs="Times New Roman"/>
          <w:sz w:val="28"/>
          <w:szCs w:val="28"/>
          <w:lang w:val="uk-UA"/>
        </w:rPr>
        <w:lastRenderedPageBreak/>
        <w:t xml:space="preserve">освіти спільних науково-дослідних та науково-практичних робіт на замовлення потенційних роботодавців, а також проведення відповідних конкурсів на кращий розроблений проект із матеріальним та/або нематеріальним заохоченням виконавців. </w:t>
      </w:r>
    </w:p>
    <w:p w14:paraId="21C249F0" w14:textId="77777777" w:rsidR="00160308" w:rsidRPr="005F0419" w:rsidRDefault="00160308" w:rsidP="00160308">
      <w:pPr>
        <w:spacing w:after="0" w:line="360" w:lineRule="auto"/>
        <w:ind w:firstLine="720"/>
        <w:jc w:val="right"/>
        <w:rPr>
          <w:rFonts w:ascii="Times New Roman" w:hAnsi="Times New Roman" w:cs="Times New Roman"/>
          <w:iCs/>
          <w:sz w:val="28"/>
          <w:szCs w:val="28"/>
          <w:lang w:val="uk-UA"/>
        </w:rPr>
      </w:pPr>
      <w:r w:rsidRPr="005F0419">
        <w:rPr>
          <w:rFonts w:ascii="Times New Roman" w:hAnsi="Times New Roman" w:cs="Times New Roman"/>
          <w:iCs/>
          <w:sz w:val="28"/>
          <w:szCs w:val="28"/>
          <w:lang w:val="uk-UA"/>
        </w:rPr>
        <w:t>Таблиця 4</w:t>
      </w:r>
    </w:p>
    <w:p w14:paraId="359B5368" w14:textId="77777777" w:rsidR="00160308" w:rsidRPr="005F0419" w:rsidRDefault="00160308" w:rsidP="00160308">
      <w:pPr>
        <w:spacing w:after="0" w:line="360" w:lineRule="auto"/>
        <w:ind w:firstLine="720"/>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Оцінювання напрямів удосконалення освітньої сфери у контексті співпраці з бізнес-структурами відповідно до ступеня їх важливості</w:t>
      </w:r>
    </w:p>
    <w:tbl>
      <w:tblPr>
        <w:tblW w:w="9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4"/>
        <w:gridCol w:w="1259"/>
        <w:gridCol w:w="1225"/>
        <w:gridCol w:w="761"/>
      </w:tblGrid>
      <w:tr w:rsidR="00160308" w:rsidRPr="005F0419" w14:paraId="6B1E97C2" w14:textId="77777777" w:rsidTr="00753C4F">
        <w:tc>
          <w:tcPr>
            <w:tcW w:w="6374" w:type="dxa"/>
            <w:shd w:val="clear" w:color="auto" w:fill="auto"/>
            <w:vAlign w:val="center"/>
          </w:tcPr>
          <w:p w14:paraId="22DB80BE" w14:textId="77777777" w:rsidR="00160308" w:rsidRPr="005F0419" w:rsidRDefault="00160308" w:rsidP="00753C4F">
            <w:pPr>
              <w:spacing w:after="0" w:line="240" w:lineRule="auto"/>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Напрями</w:t>
            </w:r>
          </w:p>
        </w:tc>
        <w:tc>
          <w:tcPr>
            <w:tcW w:w="1259" w:type="dxa"/>
            <w:shd w:val="clear" w:color="auto" w:fill="auto"/>
            <w:vAlign w:val="center"/>
          </w:tcPr>
          <w:p w14:paraId="59E6C932" w14:textId="77777777" w:rsidR="00160308" w:rsidRPr="005F0419" w:rsidRDefault="00160308" w:rsidP="00753C4F">
            <w:pPr>
              <w:spacing w:after="0" w:line="240" w:lineRule="auto"/>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Сумарна оцінка, балів</w:t>
            </w:r>
          </w:p>
        </w:tc>
        <w:tc>
          <w:tcPr>
            <w:tcW w:w="1225" w:type="dxa"/>
            <w:shd w:val="clear" w:color="auto" w:fill="auto"/>
            <w:vAlign w:val="center"/>
          </w:tcPr>
          <w:p w14:paraId="05C16AA5" w14:textId="77777777" w:rsidR="00160308" w:rsidRPr="005F0419" w:rsidRDefault="00160308" w:rsidP="00753C4F">
            <w:pPr>
              <w:spacing w:after="0" w:line="240" w:lineRule="auto"/>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Середня оцінка, балів</w:t>
            </w:r>
          </w:p>
        </w:tc>
        <w:tc>
          <w:tcPr>
            <w:tcW w:w="761" w:type="dxa"/>
            <w:shd w:val="clear" w:color="auto" w:fill="auto"/>
            <w:vAlign w:val="center"/>
          </w:tcPr>
          <w:p w14:paraId="6824E97F" w14:textId="77777777" w:rsidR="00160308" w:rsidRPr="005F0419" w:rsidRDefault="00160308" w:rsidP="00753C4F">
            <w:pPr>
              <w:spacing w:after="0" w:line="240" w:lineRule="auto"/>
              <w:jc w:val="center"/>
              <w:rPr>
                <w:rFonts w:ascii="Times New Roman" w:hAnsi="Times New Roman" w:cs="Times New Roman"/>
                <w:bCs/>
                <w:iCs/>
                <w:sz w:val="28"/>
                <w:szCs w:val="28"/>
                <w:lang w:val="uk-UA"/>
              </w:rPr>
            </w:pPr>
            <w:r w:rsidRPr="005F0419">
              <w:rPr>
                <w:rFonts w:ascii="Times New Roman" w:hAnsi="Times New Roman" w:cs="Times New Roman"/>
                <w:bCs/>
                <w:iCs/>
                <w:sz w:val="28"/>
                <w:szCs w:val="28"/>
                <w:lang w:val="uk-UA"/>
              </w:rPr>
              <w:t>Ранг</w:t>
            </w:r>
          </w:p>
        </w:tc>
      </w:tr>
      <w:tr w:rsidR="00160308" w:rsidRPr="005F0419" w14:paraId="0BBDADE7" w14:textId="77777777" w:rsidTr="00753C4F">
        <w:tc>
          <w:tcPr>
            <w:tcW w:w="6374" w:type="dxa"/>
            <w:shd w:val="clear" w:color="auto" w:fill="auto"/>
          </w:tcPr>
          <w:p w14:paraId="0FB0D987" w14:textId="77777777" w:rsidR="00160308" w:rsidRPr="005F0419" w:rsidRDefault="00160308" w:rsidP="00753C4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Проведення спільних з представниками підприємств навчальних занять та виробництві (на базі підприємств)</w:t>
            </w:r>
          </w:p>
        </w:tc>
        <w:tc>
          <w:tcPr>
            <w:tcW w:w="1259" w:type="dxa"/>
            <w:shd w:val="clear" w:color="auto" w:fill="auto"/>
            <w:vAlign w:val="bottom"/>
          </w:tcPr>
          <w:p w14:paraId="0E95C0D3"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217</w:t>
            </w:r>
          </w:p>
        </w:tc>
        <w:tc>
          <w:tcPr>
            <w:tcW w:w="1225" w:type="dxa"/>
            <w:shd w:val="clear" w:color="auto" w:fill="auto"/>
            <w:vAlign w:val="bottom"/>
          </w:tcPr>
          <w:p w14:paraId="22131BA5"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7,23</w:t>
            </w:r>
          </w:p>
        </w:tc>
        <w:tc>
          <w:tcPr>
            <w:tcW w:w="761" w:type="dxa"/>
            <w:shd w:val="clear" w:color="auto" w:fill="auto"/>
            <w:vAlign w:val="bottom"/>
          </w:tcPr>
          <w:p w14:paraId="52185D3C" w14:textId="77777777" w:rsidR="00160308" w:rsidRPr="005F0419" w:rsidRDefault="00160308" w:rsidP="00753C4F">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w:t>
            </w:r>
          </w:p>
        </w:tc>
      </w:tr>
      <w:tr w:rsidR="00160308" w:rsidRPr="005F0419" w14:paraId="1E5FA259" w14:textId="77777777" w:rsidTr="00753C4F">
        <w:tc>
          <w:tcPr>
            <w:tcW w:w="6374" w:type="dxa"/>
            <w:shd w:val="clear" w:color="auto" w:fill="auto"/>
          </w:tcPr>
          <w:p w14:paraId="06C52800" w14:textId="77777777" w:rsidR="00160308" w:rsidRPr="005F0419" w:rsidRDefault="00160308" w:rsidP="00753C4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Залучення провідних фахівців сфери бізнесу до проведення лекційних та семінарських занять в аудиторіях (на базі навчальних закладів)</w:t>
            </w:r>
          </w:p>
        </w:tc>
        <w:tc>
          <w:tcPr>
            <w:tcW w:w="1259" w:type="dxa"/>
            <w:shd w:val="clear" w:color="auto" w:fill="auto"/>
            <w:vAlign w:val="bottom"/>
          </w:tcPr>
          <w:p w14:paraId="549C3A80"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207</w:t>
            </w:r>
          </w:p>
        </w:tc>
        <w:tc>
          <w:tcPr>
            <w:tcW w:w="1225" w:type="dxa"/>
            <w:shd w:val="clear" w:color="auto" w:fill="auto"/>
            <w:vAlign w:val="bottom"/>
          </w:tcPr>
          <w:p w14:paraId="087D2AAD"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6,9</w:t>
            </w:r>
          </w:p>
        </w:tc>
        <w:tc>
          <w:tcPr>
            <w:tcW w:w="761" w:type="dxa"/>
            <w:shd w:val="clear" w:color="auto" w:fill="auto"/>
            <w:vAlign w:val="bottom"/>
          </w:tcPr>
          <w:p w14:paraId="44DAF116" w14:textId="77777777" w:rsidR="00160308" w:rsidRPr="005F0419" w:rsidRDefault="00160308" w:rsidP="00753C4F">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w:t>
            </w:r>
          </w:p>
        </w:tc>
      </w:tr>
      <w:tr w:rsidR="00160308" w:rsidRPr="005F0419" w14:paraId="2D2D70C8" w14:textId="77777777" w:rsidTr="00753C4F">
        <w:tc>
          <w:tcPr>
            <w:tcW w:w="6374" w:type="dxa"/>
            <w:shd w:val="clear" w:color="auto" w:fill="auto"/>
          </w:tcPr>
          <w:p w14:paraId="55E40380" w14:textId="77777777" w:rsidR="00160308" w:rsidRPr="005F0419" w:rsidRDefault="00160308" w:rsidP="00753C4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Спільне заснування шкіл стартапів та шкіл молодого підприємця</w:t>
            </w:r>
          </w:p>
        </w:tc>
        <w:tc>
          <w:tcPr>
            <w:tcW w:w="1259" w:type="dxa"/>
            <w:shd w:val="clear" w:color="auto" w:fill="auto"/>
            <w:vAlign w:val="bottom"/>
          </w:tcPr>
          <w:p w14:paraId="2767372B"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207</w:t>
            </w:r>
          </w:p>
        </w:tc>
        <w:tc>
          <w:tcPr>
            <w:tcW w:w="1225" w:type="dxa"/>
            <w:shd w:val="clear" w:color="auto" w:fill="auto"/>
            <w:vAlign w:val="bottom"/>
          </w:tcPr>
          <w:p w14:paraId="3DBC3527"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6,9</w:t>
            </w:r>
          </w:p>
        </w:tc>
        <w:tc>
          <w:tcPr>
            <w:tcW w:w="761" w:type="dxa"/>
            <w:shd w:val="clear" w:color="auto" w:fill="auto"/>
            <w:vAlign w:val="bottom"/>
          </w:tcPr>
          <w:p w14:paraId="784FEC69" w14:textId="77777777" w:rsidR="00160308" w:rsidRPr="005F0419" w:rsidRDefault="00160308" w:rsidP="00753C4F">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w:t>
            </w:r>
          </w:p>
        </w:tc>
      </w:tr>
      <w:tr w:rsidR="00160308" w:rsidRPr="005F0419" w14:paraId="773D0495" w14:textId="77777777" w:rsidTr="00753C4F">
        <w:tc>
          <w:tcPr>
            <w:tcW w:w="6374" w:type="dxa"/>
            <w:shd w:val="clear" w:color="auto" w:fill="auto"/>
          </w:tcPr>
          <w:p w14:paraId="434C6D37" w14:textId="77777777" w:rsidR="00160308" w:rsidRPr="005F0419" w:rsidRDefault="00160308" w:rsidP="00753C4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Удосконалення методики викладання навчальних дисциплін, що забезпечить поєднання з практичними реаліями та більшу зацікавленість у вивченні матеріалу</w:t>
            </w:r>
          </w:p>
        </w:tc>
        <w:tc>
          <w:tcPr>
            <w:tcW w:w="1259" w:type="dxa"/>
            <w:shd w:val="clear" w:color="auto" w:fill="auto"/>
            <w:vAlign w:val="bottom"/>
          </w:tcPr>
          <w:p w14:paraId="6606B889"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206</w:t>
            </w:r>
          </w:p>
        </w:tc>
        <w:tc>
          <w:tcPr>
            <w:tcW w:w="1225" w:type="dxa"/>
            <w:shd w:val="clear" w:color="auto" w:fill="auto"/>
            <w:vAlign w:val="bottom"/>
          </w:tcPr>
          <w:p w14:paraId="2AE24CA4"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6,87</w:t>
            </w:r>
          </w:p>
        </w:tc>
        <w:tc>
          <w:tcPr>
            <w:tcW w:w="761" w:type="dxa"/>
            <w:shd w:val="clear" w:color="auto" w:fill="auto"/>
            <w:vAlign w:val="bottom"/>
          </w:tcPr>
          <w:p w14:paraId="46A3067F" w14:textId="77777777" w:rsidR="00160308" w:rsidRPr="005F0419" w:rsidRDefault="00160308" w:rsidP="00753C4F">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3</w:t>
            </w:r>
          </w:p>
        </w:tc>
      </w:tr>
      <w:tr w:rsidR="00160308" w:rsidRPr="005F0419" w14:paraId="66B2A7F7" w14:textId="77777777" w:rsidTr="00753C4F">
        <w:tc>
          <w:tcPr>
            <w:tcW w:w="6374" w:type="dxa"/>
            <w:shd w:val="clear" w:color="auto" w:fill="auto"/>
          </w:tcPr>
          <w:p w14:paraId="7AE5CF25" w14:textId="77777777" w:rsidR="00160308" w:rsidRPr="005F0419" w:rsidRDefault="00160308" w:rsidP="00753C4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Оновлення матеріально-технічної бази навчальних закладів</w:t>
            </w:r>
          </w:p>
        </w:tc>
        <w:tc>
          <w:tcPr>
            <w:tcW w:w="1259" w:type="dxa"/>
            <w:shd w:val="clear" w:color="auto" w:fill="auto"/>
            <w:vAlign w:val="bottom"/>
          </w:tcPr>
          <w:p w14:paraId="5D48CAEE"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203</w:t>
            </w:r>
          </w:p>
        </w:tc>
        <w:tc>
          <w:tcPr>
            <w:tcW w:w="1225" w:type="dxa"/>
            <w:shd w:val="clear" w:color="auto" w:fill="auto"/>
            <w:vAlign w:val="bottom"/>
          </w:tcPr>
          <w:p w14:paraId="4C9DFC7A"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6,77</w:t>
            </w:r>
          </w:p>
        </w:tc>
        <w:tc>
          <w:tcPr>
            <w:tcW w:w="761" w:type="dxa"/>
            <w:shd w:val="clear" w:color="auto" w:fill="auto"/>
            <w:vAlign w:val="bottom"/>
          </w:tcPr>
          <w:p w14:paraId="63EBC35D" w14:textId="77777777" w:rsidR="00160308" w:rsidRPr="005F0419" w:rsidRDefault="00160308" w:rsidP="00753C4F">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4</w:t>
            </w:r>
          </w:p>
        </w:tc>
      </w:tr>
      <w:tr w:rsidR="00160308" w:rsidRPr="005F0419" w14:paraId="10DC2FDB" w14:textId="77777777" w:rsidTr="00753C4F">
        <w:tc>
          <w:tcPr>
            <w:tcW w:w="6374" w:type="dxa"/>
            <w:shd w:val="clear" w:color="auto" w:fill="auto"/>
          </w:tcPr>
          <w:p w14:paraId="6EE29F1F" w14:textId="77777777" w:rsidR="00160308" w:rsidRPr="005F0419" w:rsidRDefault="00160308" w:rsidP="00753C4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Набуття практичного досвіду роботи в процесі навчання у закладах освіти (наприклад, дуальна освіта)</w:t>
            </w:r>
          </w:p>
        </w:tc>
        <w:tc>
          <w:tcPr>
            <w:tcW w:w="1259" w:type="dxa"/>
            <w:shd w:val="clear" w:color="auto" w:fill="auto"/>
            <w:vAlign w:val="bottom"/>
          </w:tcPr>
          <w:p w14:paraId="06FF53CA"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198</w:t>
            </w:r>
          </w:p>
        </w:tc>
        <w:tc>
          <w:tcPr>
            <w:tcW w:w="1225" w:type="dxa"/>
            <w:shd w:val="clear" w:color="auto" w:fill="auto"/>
            <w:vAlign w:val="bottom"/>
          </w:tcPr>
          <w:p w14:paraId="0C3E12AD"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6,6</w:t>
            </w:r>
          </w:p>
        </w:tc>
        <w:tc>
          <w:tcPr>
            <w:tcW w:w="761" w:type="dxa"/>
            <w:shd w:val="clear" w:color="auto" w:fill="auto"/>
            <w:vAlign w:val="bottom"/>
          </w:tcPr>
          <w:p w14:paraId="445F235B" w14:textId="77777777" w:rsidR="00160308" w:rsidRPr="005F0419" w:rsidRDefault="00160308" w:rsidP="00753C4F">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5</w:t>
            </w:r>
          </w:p>
        </w:tc>
      </w:tr>
      <w:tr w:rsidR="00160308" w:rsidRPr="005F0419" w14:paraId="1616CBFD" w14:textId="77777777" w:rsidTr="00753C4F">
        <w:tc>
          <w:tcPr>
            <w:tcW w:w="6374" w:type="dxa"/>
            <w:shd w:val="clear" w:color="auto" w:fill="auto"/>
          </w:tcPr>
          <w:p w14:paraId="6A249735" w14:textId="77777777" w:rsidR="00160308" w:rsidRPr="005F0419" w:rsidRDefault="00160308" w:rsidP="00753C4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Виконання науково-дослідних проектів студентами, викладачами та науковцями на замовлення підприємств</w:t>
            </w:r>
          </w:p>
        </w:tc>
        <w:tc>
          <w:tcPr>
            <w:tcW w:w="1259" w:type="dxa"/>
            <w:shd w:val="clear" w:color="auto" w:fill="auto"/>
            <w:vAlign w:val="bottom"/>
          </w:tcPr>
          <w:p w14:paraId="18C9C45E"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188</w:t>
            </w:r>
          </w:p>
        </w:tc>
        <w:tc>
          <w:tcPr>
            <w:tcW w:w="1225" w:type="dxa"/>
            <w:shd w:val="clear" w:color="auto" w:fill="auto"/>
            <w:vAlign w:val="bottom"/>
          </w:tcPr>
          <w:p w14:paraId="0F7F0425"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6,27</w:t>
            </w:r>
          </w:p>
        </w:tc>
        <w:tc>
          <w:tcPr>
            <w:tcW w:w="761" w:type="dxa"/>
            <w:shd w:val="clear" w:color="auto" w:fill="auto"/>
            <w:vAlign w:val="bottom"/>
          </w:tcPr>
          <w:p w14:paraId="16CEC98C" w14:textId="77777777" w:rsidR="00160308" w:rsidRPr="005F0419" w:rsidRDefault="00160308" w:rsidP="00753C4F">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6</w:t>
            </w:r>
          </w:p>
        </w:tc>
      </w:tr>
      <w:tr w:rsidR="00160308" w:rsidRPr="005F0419" w14:paraId="41F31FD7" w14:textId="77777777" w:rsidTr="00753C4F">
        <w:tc>
          <w:tcPr>
            <w:tcW w:w="6374" w:type="dxa"/>
            <w:shd w:val="clear" w:color="auto" w:fill="auto"/>
          </w:tcPr>
          <w:p w14:paraId="039C715F" w14:textId="77777777" w:rsidR="00160308" w:rsidRPr="005F0419" w:rsidRDefault="00160308" w:rsidP="00753C4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Проведення конкурсів на кращу науково-практичну розробку студентів за заохочення з боку підприємств, в тому числі можливість стажування та (або) працевлаштування</w:t>
            </w:r>
          </w:p>
        </w:tc>
        <w:tc>
          <w:tcPr>
            <w:tcW w:w="1259" w:type="dxa"/>
            <w:shd w:val="clear" w:color="auto" w:fill="auto"/>
            <w:vAlign w:val="bottom"/>
          </w:tcPr>
          <w:p w14:paraId="23B5EF6D"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188</w:t>
            </w:r>
          </w:p>
        </w:tc>
        <w:tc>
          <w:tcPr>
            <w:tcW w:w="1225" w:type="dxa"/>
            <w:shd w:val="clear" w:color="auto" w:fill="auto"/>
            <w:vAlign w:val="bottom"/>
          </w:tcPr>
          <w:p w14:paraId="15AEFEFE"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6,27</w:t>
            </w:r>
          </w:p>
        </w:tc>
        <w:tc>
          <w:tcPr>
            <w:tcW w:w="761" w:type="dxa"/>
            <w:shd w:val="clear" w:color="auto" w:fill="auto"/>
            <w:vAlign w:val="bottom"/>
          </w:tcPr>
          <w:p w14:paraId="75791A4E" w14:textId="77777777" w:rsidR="00160308" w:rsidRPr="005F0419" w:rsidRDefault="00160308" w:rsidP="00753C4F">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6</w:t>
            </w:r>
          </w:p>
        </w:tc>
      </w:tr>
      <w:tr w:rsidR="00160308" w:rsidRPr="005F0419" w14:paraId="54DBB580" w14:textId="77777777" w:rsidTr="00753C4F">
        <w:tc>
          <w:tcPr>
            <w:tcW w:w="6374" w:type="dxa"/>
            <w:shd w:val="clear" w:color="auto" w:fill="auto"/>
          </w:tcPr>
          <w:p w14:paraId="27195E8A" w14:textId="77777777" w:rsidR="00160308" w:rsidRPr="005F0419" w:rsidRDefault="00160308" w:rsidP="00753C4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Моніторинг працевлаштування випускників закладів освіти та створення інформаційної бази випускників</w:t>
            </w:r>
          </w:p>
        </w:tc>
        <w:tc>
          <w:tcPr>
            <w:tcW w:w="1259" w:type="dxa"/>
            <w:shd w:val="clear" w:color="auto" w:fill="auto"/>
            <w:vAlign w:val="bottom"/>
          </w:tcPr>
          <w:p w14:paraId="134C8909"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187</w:t>
            </w:r>
          </w:p>
        </w:tc>
        <w:tc>
          <w:tcPr>
            <w:tcW w:w="1225" w:type="dxa"/>
            <w:shd w:val="clear" w:color="auto" w:fill="auto"/>
            <w:vAlign w:val="bottom"/>
          </w:tcPr>
          <w:p w14:paraId="7A31DAE2"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6,23</w:t>
            </w:r>
          </w:p>
        </w:tc>
        <w:tc>
          <w:tcPr>
            <w:tcW w:w="761" w:type="dxa"/>
            <w:shd w:val="clear" w:color="auto" w:fill="auto"/>
            <w:vAlign w:val="bottom"/>
          </w:tcPr>
          <w:p w14:paraId="65A70E47" w14:textId="77777777" w:rsidR="00160308" w:rsidRPr="005F0419" w:rsidRDefault="00160308" w:rsidP="00753C4F">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7</w:t>
            </w:r>
          </w:p>
        </w:tc>
      </w:tr>
      <w:tr w:rsidR="00160308" w:rsidRPr="005F0419" w14:paraId="7BB8BBB0" w14:textId="77777777" w:rsidTr="00753C4F">
        <w:tc>
          <w:tcPr>
            <w:tcW w:w="6374" w:type="dxa"/>
            <w:shd w:val="clear" w:color="auto" w:fill="auto"/>
          </w:tcPr>
          <w:p w14:paraId="0BCEC512" w14:textId="77777777" w:rsidR="00160308" w:rsidRPr="005F0419" w:rsidRDefault="00160308" w:rsidP="00753C4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Розширення переліку баз виробничої та переддипломної практик для студентів</w:t>
            </w:r>
          </w:p>
        </w:tc>
        <w:tc>
          <w:tcPr>
            <w:tcW w:w="1259" w:type="dxa"/>
            <w:shd w:val="clear" w:color="auto" w:fill="auto"/>
            <w:vAlign w:val="bottom"/>
          </w:tcPr>
          <w:p w14:paraId="166B07A7"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170</w:t>
            </w:r>
          </w:p>
        </w:tc>
        <w:tc>
          <w:tcPr>
            <w:tcW w:w="1225" w:type="dxa"/>
            <w:shd w:val="clear" w:color="auto" w:fill="auto"/>
            <w:vAlign w:val="bottom"/>
          </w:tcPr>
          <w:p w14:paraId="2311496B"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5,67</w:t>
            </w:r>
          </w:p>
        </w:tc>
        <w:tc>
          <w:tcPr>
            <w:tcW w:w="761" w:type="dxa"/>
            <w:shd w:val="clear" w:color="auto" w:fill="auto"/>
            <w:vAlign w:val="bottom"/>
          </w:tcPr>
          <w:p w14:paraId="693A46BD" w14:textId="77777777" w:rsidR="00160308" w:rsidRPr="005F0419" w:rsidRDefault="00160308" w:rsidP="00753C4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w:t>
            </w:r>
          </w:p>
        </w:tc>
      </w:tr>
    </w:tbl>
    <w:p w14:paraId="790558E1" w14:textId="5D2F9903" w:rsidR="00160308" w:rsidRPr="005F0419" w:rsidRDefault="00160308" w:rsidP="00160308">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розробка автора на основі результатів експертного опитування [3].</w:t>
      </w:r>
    </w:p>
    <w:p w14:paraId="5C1A6CB6" w14:textId="77777777" w:rsidR="00160308" w:rsidRPr="005F0419" w:rsidRDefault="00160308" w:rsidP="00662012">
      <w:pPr>
        <w:spacing w:after="0" w:line="360" w:lineRule="auto"/>
        <w:ind w:firstLine="720"/>
        <w:jc w:val="both"/>
        <w:rPr>
          <w:rFonts w:ascii="Times New Roman" w:hAnsi="Times New Roman" w:cs="Times New Roman"/>
          <w:iCs/>
          <w:sz w:val="28"/>
          <w:szCs w:val="28"/>
          <w:shd w:val="clear" w:color="auto" w:fill="FFFFFF"/>
          <w:lang w:val="uk-UA"/>
        </w:rPr>
      </w:pPr>
    </w:p>
    <w:p w14:paraId="45601356" w14:textId="77777777" w:rsidR="007D4366" w:rsidRPr="005F0419" w:rsidRDefault="007D4366" w:rsidP="007D4366">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 xml:space="preserve">Несуттєвий вплив на розвиток партнерства освіти і бізнесу, на думку експертів, мають такі напрями удосконалення освітньої сфери, як: розширення переліку баз практик для здобувачів освіти, а також проведення моніторингу працевлаштування випускників університетів та інших закладів освіти з метою формування відповідної інформаційної бази, що буде включати дані стосовно місць їх працевлаштування із конкретизацією за спеціальностями місць їх роботи у розрізі конкретних спеціальностей. У перспективі це стане актуальним інструментом визначення затребуваності підготовки за тими чи іншими освітніми програмами та спеціальностями. </w:t>
      </w:r>
    </w:p>
    <w:p w14:paraId="11D2ADD3" w14:textId="77777777" w:rsidR="007D4366" w:rsidRPr="005F0419" w:rsidRDefault="007D4366" w:rsidP="007D4366">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Варто відзначити, що співробітництво суб’єктів господарювання та закладів освіти може формуватися не лише виходячи з потреб залучення молодих працівників та оновлення кадрового складу, а й у напрямі професійного розвитку та підвищення кваліфікації працівників старшого віку. </w:t>
      </w:r>
    </w:p>
    <w:p w14:paraId="23EE0F28" w14:textId="7CC97B0C"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Відповідні навчальні заходи можуть відбуватися як у межах закладу освіти, так і на безпосередніх робочих місцях. Основними вимогами такого навчання, дотримання яких сприятиме його ефективності, є:</w:t>
      </w:r>
    </w:p>
    <w:p w14:paraId="7EC83962" w14:textId="77777777" w:rsidR="0000167A" w:rsidRPr="005F0419" w:rsidRDefault="0000167A" w:rsidP="00662012">
      <w:pPr>
        <w:numPr>
          <w:ilvl w:val="0"/>
          <w:numId w:val="1"/>
        </w:numPr>
        <w:tabs>
          <w:tab w:val="clear" w:pos="1728"/>
          <w:tab w:val="num" w:pos="709"/>
        </w:tabs>
        <w:spacing w:after="0" w:line="360" w:lineRule="auto"/>
        <w:ind w:left="0"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 високий професійний рівень особи, яка навчає (досвід не лише викладацької, а й практичної діяльності у визначеній сфері, а також володіння інтерактивними методами навчання);</w:t>
      </w:r>
    </w:p>
    <w:p w14:paraId="624E6C38" w14:textId="77777777" w:rsidR="0000167A" w:rsidRPr="005F0419" w:rsidRDefault="0000167A" w:rsidP="00662012">
      <w:pPr>
        <w:numPr>
          <w:ilvl w:val="0"/>
          <w:numId w:val="1"/>
        </w:numPr>
        <w:tabs>
          <w:tab w:val="clear" w:pos="1728"/>
          <w:tab w:val="num" w:pos="709"/>
        </w:tabs>
        <w:spacing w:after="0" w:line="360" w:lineRule="auto"/>
        <w:ind w:left="0"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наявність комфортних та сприятливих для навчальної діяльності умов;</w:t>
      </w:r>
    </w:p>
    <w:p w14:paraId="759A97DA" w14:textId="77777777" w:rsidR="0000167A" w:rsidRPr="005F0419" w:rsidRDefault="0000167A" w:rsidP="00662012">
      <w:pPr>
        <w:numPr>
          <w:ilvl w:val="0"/>
          <w:numId w:val="1"/>
        </w:numPr>
        <w:tabs>
          <w:tab w:val="clear" w:pos="1728"/>
          <w:tab w:val="num" w:pos="709"/>
        </w:tabs>
        <w:spacing w:after="0" w:line="360" w:lineRule="auto"/>
        <w:ind w:left="0"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наявність технічних засобів, які необхідні для проведення навчальних заходів.</w:t>
      </w:r>
    </w:p>
    <w:p w14:paraId="46C07B88"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Враховуючи специфіку професійного навчання, найоптимальнішим, на нашу думку, є використання тренінгової практики. Історичним початком її застосування можна вважати організацію власного тренінгового центру </w:t>
      </w:r>
      <w:proofErr w:type="spellStart"/>
      <w:r w:rsidRPr="005F0419">
        <w:rPr>
          <w:rFonts w:ascii="Times New Roman" w:hAnsi="Times New Roman" w:cs="Times New Roman"/>
          <w:sz w:val="28"/>
          <w:szCs w:val="28"/>
          <w:lang w:val="uk-UA"/>
        </w:rPr>
        <w:t>Д.Карнегі</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Dale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Carnegie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Training</w:t>
      </w:r>
      <w:proofErr w:type="spellEnd"/>
      <w:r w:rsidRPr="005F0419">
        <w:rPr>
          <w:rFonts w:ascii="Times New Roman" w:hAnsi="Times New Roman" w:cs="Times New Roman"/>
          <w:sz w:val="28"/>
          <w:szCs w:val="28"/>
          <w:lang w:val="uk-UA"/>
        </w:rPr>
        <w:t xml:space="preserve">», метою якого стало проведення тренінгів з формування навичок спілкування та комунікативної взаємодії. Дослідники </w:t>
      </w:r>
      <w:proofErr w:type="spellStart"/>
      <w:r w:rsidRPr="005F0419">
        <w:rPr>
          <w:rFonts w:ascii="Times New Roman" w:hAnsi="Times New Roman" w:cs="Times New Roman"/>
          <w:sz w:val="28"/>
          <w:szCs w:val="28"/>
          <w:lang w:val="uk-UA"/>
        </w:rPr>
        <w:t>Р.Барклі</w:t>
      </w:r>
      <w:proofErr w:type="spellEnd"/>
      <w:r w:rsidRPr="005F0419">
        <w:rPr>
          <w:rFonts w:ascii="Times New Roman" w:hAnsi="Times New Roman" w:cs="Times New Roman"/>
          <w:sz w:val="28"/>
          <w:szCs w:val="28"/>
          <w:lang w:val="uk-UA"/>
        </w:rPr>
        <w:t xml:space="preserve"> та </w:t>
      </w:r>
      <w:proofErr w:type="spellStart"/>
      <w:r w:rsidRPr="005F0419">
        <w:rPr>
          <w:rFonts w:ascii="Times New Roman" w:hAnsi="Times New Roman" w:cs="Times New Roman"/>
          <w:sz w:val="28"/>
          <w:szCs w:val="28"/>
          <w:lang w:val="uk-UA"/>
        </w:rPr>
        <w:t>Дж.Кейпл</w:t>
      </w:r>
      <w:proofErr w:type="spellEnd"/>
      <w:r w:rsidRPr="005F0419">
        <w:rPr>
          <w:rFonts w:ascii="Times New Roman" w:hAnsi="Times New Roman" w:cs="Times New Roman"/>
          <w:sz w:val="28"/>
          <w:szCs w:val="28"/>
          <w:lang w:val="uk-UA"/>
        </w:rPr>
        <w:t xml:space="preserve"> визначають тренінг як сплановані та систематизовані </w:t>
      </w:r>
      <w:r w:rsidRPr="005F0419">
        <w:rPr>
          <w:rFonts w:ascii="Times New Roman" w:hAnsi="Times New Roman" w:cs="Times New Roman"/>
          <w:sz w:val="28"/>
          <w:szCs w:val="28"/>
          <w:lang w:val="uk-UA"/>
        </w:rPr>
        <w:lastRenderedPageBreak/>
        <w:t xml:space="preserve">зусилля щодо модифікації чи розвитку знань, умінь, установок людини засобами навчання, завдяки яким можна досягнути ефективного виконання одного чи декількох видів діяльності [8]. Перевагою тренінгу у навчанні працівників старшого віку є те, що набуття </w:t>
      </w:r>
      <w:proofErr w:type="spellStart"/>
      <w:r w:rsidRPr="005F0419">
        <w:rPr>
          <w:rFonts w:ascii="Times New Roman" w:hAnsi="Times New Roman" w:cs="Times New Roman"/>
          <w:sz w:val="28"/>
          <w:szCs w:val="28"/>
          <w:lang w:val="uk-UA"/>
        </w:rPr>
        <w:t>компетентностей</w:t>
      </w:r>
      <w:proofErr w:type="spellEnd"/>
      <w:r w:rsidRPr="005F0419">
        <w:rPr>
          <w:rFonts w:ascii="Times New Roman" w:hAnsi="Times New Roman" w:cs="Times New Roman"/>
          <w:sz w:val="28"/>
          <w:szCs w:val="28"/>
          <w:lang w:val="uk-UA"/>
        </w:rPr>
        <w:t xml:space="preserve"> відбувається як шляхом використання теоретичних напрацювань з конкретного питання, так і прикладів практичного життєвого досвіду, що має на меті формування практичних навичок та умінь. </w:t>
      </w:r>
    </w:p>
    <w:p w14:paraId="614FFBA0"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Відмінною рисою тренінгових </w:t>
      </w:r>
      <w:proofErr w:type="spellStart"/>
      <w:r w:rsidRPr="005F0419">
        <w:rPr>
          <w:rFonts w:ascii="Times New Roman" w:hAnsi="Times New Roman" w:cs="Times New Roman"/>
          <w:sz w:val="28"/>
          <w:szCs w:val="28"/>
          <w:lang w:val="uk-UA"/>
        </w:rPr>
        <w:t>методик</w:t>
      </w:r>
      <w:proofErr w:type="spellEnd"/>
      <w:r w:rsidRPr="005F0419">
        <w:rPr>
          <w:rFonts w:ascii="Times New Roman" w:hAnsi="Times New Roman" w:cs="Times New Roman"/>
          <w:sz w:val="28"/>
          <w:szCs w:val="28"/>
          <w:lang w:val="uk-UA"/>
        </w:rPr>
        <w:t xml:space="preserve"> є наявність двох складових [9]: </w:t>
      </w:r>
    </w:p>
    <w:p w14:paraId="5475268E"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Великого професійного досвіду тренера (викладача), що орієнтується на власні життєві приклади або приклади професійного життя.</w:t>
      </w:r>
    </w:p>
    <w:p w14:paraId="2D54F1F9"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 Можливості використання отриманих знань одразу ж на практиці з метою напрацювання важливих навичок.</w:t>
      </w:r>
    </w:p>
    <w:p w14:paraId="2ED3B5E0"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Тренінги активізують весь потенціал особи, що навчається, включаючи не лише професійні, а й ділові та особисті якості. При цьому тренер є безпосереднім та активним учасником навчальної групи, тобто діє «на рівних», не забуваючи про необхідність координації та направлення всього процесу до означеної мети. Використання подібних інтерактивних освітніх технологій відіграє важливу роль у професійній підготовці працівників старшого віку. Зокрема, інтерактивне навчання сприяє ефективному засвоєнню навчального матеріалу шляхом відпрацювання теоретичних знань на практиці та формування нових (удосконалення наявних) професійних навичок; забезпечення зворотного зв’язку викладача з аудиторією; формування важливих навичок прийняття відповідальних рішень та розвитку особистих рис в процесі спілкування; підвищення рівня мотивації.</w:t>
      </w:r>
    </w:p>
    <w:p w14:paraId="0AF512BE"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На нашу думку, саме мотиваційна складова стратегії організації покликана сприяти забезпеченню соціальної безпеки працівників, оскільки мотивований працівник засвідчує високий рівень лояльності, що позитивно впливає на стабільність соціально-трудових відносин і захищеність персоналу в процесі їх формування. </w:t>
      </w:r>
    </w:p>
    <w:p w14:paraId="76DCB79F"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lastRenderedPageBreak/>
        <w:t xml:space="preserve">Визначаючи важливість ефективної системи мотивації праці як складової відповідної стратегії, доцільною є характеристика її </w:t>
      </w:r>
      <w:r w:rsidRPr="005F0419">
        <w:rPr>
          <w:rFonts w:ascii="Times New Roman" w:hAnsi="Times New Roman" w:cs="Times New Roman"/>
          <w:sz w:val="28"/>
          <w:szCs w:val="28"/>
          <w:shd w:val="clear" w:color="auto" w:fill="FFFFFF"/>
          <w:lang w:val="uk-UA"/>
        </w:rPr>
        <w:t>пріоритетних напрямів, включаючи як матеріальні, так і нематеріальні складові</w:t>
      </w:r>
      <w:r w:rsidRPr="005F0419">
        <w:rPr>
          <w:rFonts w:ascii="Times New Roman" w:hAnsi="Times New Roman" w:cs="Times New Roman"/>
          <w:iCs/>
          <w:sz w:val="28"/>
          <w:szCs w:val="28"/>
          <w:shd w:val="clear" w:color="auto" w:fill="FFFFFF"/>
          <w:lang w:val="uk-UA"/>
        </w:rPr>
        <w:t xml:space="preserve">. Матеріальні аспекти мотивації персоналу здійснюють безпосередній вплив на корпоративну соціальну безпеку. Їх ефективне використання забезпечує формування гідного рівня трудових доходів та відчуття соціальної справедливості у працівників. Однак в умовах воєнного стану є суттєві проблеми фінансової спроможності підприємств забезпечувати своєчасну та повну виплату заробітної плати. </w:t>
      </w:r>
    </w:p>
    <w:p w14:paraId="0C7D3C3C"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Важливим критерієм захищеності соціальних інтересів працівників є наявність повної і своєчасної виплати заробітної плати. Саме тому у контексті безпеки оплати праці на корпоративному рівні потрібно враховувати наявність чи відсутність заборгованості із заробітної плати (табл. 5).</w:t>
      </w:r>
    </w:p>
    <w:p w14:paraId="3A478C5D" w14:textId="77777777" w:rsidR="00E547A1"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Упродовж аналізованого періоду обсяг заборгованості із виплати заробітної плати в цілому по Україні збільшився майже у 2,5 рази (станом на 1 січня 2022 року становив 243,0% від рівня показника 2015 року), що відбулося за рахунок зростання заборгованості по більшості видів економічної діяльності. </w:t>
      </w:r>
    </w:p>
    <w:p w14:paraId="2C1F3794" w14:textId="77777777" w:rsidR="00E547A1" w:rsidRPr="005F0419" w:rsidRDefault="00E547A1" w:rsidP="00E547A1">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shd w:val="clear" w:color="auto" w:fill="FFFFFF"/>
          <w:lang w:val="uk-UA"/>
        </w:rPr>
        <w:t xml:space="preserve">Зокрема, дана тенденція стосується </w:t>
      </w:r>
      <w:r w:rsidRPr="005F0419">
        <w:rPr>
          <w:rFonts w:ascii="Times New Roman" w:hAnsi="Times New Roman" w:cs="Times New Roman"/>
          <w:sz w:val="28"/>
          <w:szCs w:val="28"/>
          <w:lang w:val="uk-UA"/>
        </w:rPr>
        <w:t xml:space="preserve">сільського, лісового та рибного господарства; промисловості; оптової, роздрібної торгівлі та ремонту;  </w:t>
      </w:r>
      <w:r w:rsidRPr="005F0419">
        <w:rPr>
          <w:rFonts w:ascii="Times New Roman" w:hAnsi="Times New Roman" w:cs="Times New Roman"/>
          <w:iCs/>
          <w:sz w:val="28"/>
          <w:szCs w:val="28"/>
          <w:shd w:val="clear" w:color="auto" w:fill="FFFFFF"/>
          <w:lang w:val="uk-UA"/>
        </w:rPr>
        <w:t>т</w:t>
      </w:r>
      <w:r w:rsidRPr="005F0419">
        <w:rPr>
          <w:rFonts w:ascii="Times New Roman" w:hAnsi="Times New Roman" w:cs="Times New Roman"/>
          <w:sz w:val="28"/>
          <w:szCs w:val="28"/>
          <w:lang w:val="uk-UA"/>
        </w:rPr>
        <w:t xml:space="preserve">имчасового розміщування й організації харчування; інформації та телекомунікацій; фінансової та страхової діяльності; операцій з нерухомим майном; професійної, наукової та технічної діяльності; охорони здоров’я. Зниження рівня заборгованості із заробітної плати спостерігалося лише у сфері  транспорту, складського господарства, поштової та кур’єрської діяльності; державного управління й оборони; освіти; мистецтва, спорту, розваг та відпочинку. </w:t>
      </w:r>
    </w:p>
    <w:p w14:paraId="710CC234" w14:textId="5FC7A047" w:rsidR="0000167A" w:rsidRPr="005F0419" w:rsidRDefault="00160308"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Станом на 1 січня 2022 року найвищий серед досліджених видів економічної діяльності рівень заборгованості наявний у галузі промисловості (75,1% від показника по Україні).</w:t>
      </w:r>
    </w:p>
    <w:p w14:paraId="5ED1EB6C" w14:textId="77777777" w:rsidR="00160308" w:rsidRPr="005F0419" w:rsidRDefault="00160308" w:rsidP="00160308">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Відповідні тенденції засвідчують значні проблеми у сфері дотримання інтересів працівників у процесі трудової діяльності, вкрай негативно впливають </w:t>
      </w:r>
      <w:r w:rsidRPr="005F0419">
        <w:rPr>
          <w:rFonts w:ascii="Times New Roman" w:hAnsi="Times New Roman" w:cs="Times New Roman"/>
          <w:sz w:val="28"/>
          <w:szCs w:val="28"/>
          <w:lang w:val="uk-UA"/>
        </w:rPr>
        <w:lastRenderedPageBreak/>
        <w:t>на рівень та якість життя населення, знижуючи загальний рівень захищеності у питаннях оплати праці.</w:t>
      </w:r>
    </w:p>
    <w:p w14:paraId="51E52D3F" w14:textId="77777777" w:rsidR="007D4366" w:rsidRPr="005F0419" w:rsidRDefault="007D4366" w:rsidP="007D4366">
      <w:pPr>
        <w:spacing w:after="0" w:line="360" w:lineRule="auto"/>
        <w:ind w:firstLine="720"/>
        <w:jc w:val="right"/>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Таблиця 5</w:t>
      </w:r>
    </w:p>
    <w:p w14:paraId="6005A5F9" w14:textId="77777777" w:rsidR="007D4366" w:rsidRPr="005F0419" w:rsidRDefault="007D4366" w:rsidP="007D4366">
      <w:pPr>
        <w:spacing w:after="0" w:line="360" w:lineRule="auto"/>
        <w:ind w:firstLine="720"/>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Заборгованість із виплати заробітної плати за окремими видами економічної діяльності в Україні</w:t>
      </w:r>
    </w:p>
    <w:p w14:paraId="53BD245D" w14:textId="77777777" w:rsidR="007D4366" w:rsidRPr="005F0419" w:rsidRDefault="007D4366" w:rsidP="007D4366">
      <w:pPr>
        <w:spacing w:after="0" w:line="360" w:lineRule="auto"/>
        <w:ind w:firstLine="720"/>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 (станом на 1 січня відповідного року, млн. грн.)</w:t>
      </w:r>
    </w:p>
    <w:tbl>
      <w:tblPr>
        <w:tblStyle w:val="ab"/>
        <w:tblW w:w="9661" w:type="dxa"/>
        <w:tblLook w:val="04A0" w:firstRow="1" w:lastRow="0" w:firstColumn="1" w:lastColumn="0" w:noHBand="0" w:noVBand="1"/>
      </w:tblPr>
      <w:tblGrid>
        <w:gridCol w:w="3256"/>
        <w:gridCol w:w="1019"/>
        <w:gridCol w:w="992"/>
        <w:gridCol w:w="992"/>
        <w:gridCol w:w="992"/>
        <w:gridCol w:w="1327"/>
        <w:gridCol w:w="1083"/>
      </w:tblGrid>
      <w:tr w:rsidR="007D4366" w:rsidRPr="005F0419" w14:paraId="60489A56" w14:textId="77777777" w:rsidTr="007715AB">
        <w:tc>
          <w:tcPr>
            <w:tcW w:w="3256" w:type="dxa"/>
            <w:vMerge w:val="restart"/>
          </w:tcPr>
          <w:p w14:paraId="1A28D4A3" w14:textId="77777777" w:rsidR="007D4366" w:rsidRPr="005F0419" w:rsidRDefault="007D4366" w:rsidP="007715AB">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Види економічної діяльності</w:t>
            </w:r>
          </w:p>
        </w:tc>
        <w:tc>
          <w:tcPr>
            <w:tcW w:w="1019" w:type="dxa"/>
            <w:vMerge w:val="restart"/>
          </w:tcPr>
          <w:p w14:paraId="2B722451"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2015</w:t>
            </w:r>
          </w:p>
        </w:tc>
        <w:tc>
          <w:tcPr>
            <w:tcW w:w="992" w:type="dxa"/>
            <w:vMerge w:val="restart"/>
          </w:tcPr>
          <w:p w14:paraId="54E80C9E"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2019</w:t>
            </w:r>
          </w:p>
        </w:tc>
        <w:tc>
          <w:tcPr>
            <w:tcW w:w="992" w:type="dxa"/>
            <w:vMerge w:val="restart"/>
          </w:tcPr>
          <w:p w14:paraId="6538F764"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2020</w:t>
            </w:r>
          </w:p>
        </w:tc>
        <w:tc>
          <w:tcPr>
            <w:tcW w:w="992" w:type="dxa"/>
            <w:vMerge w:val="restart"/>
          </w:tcPr>
          <w:p w14:paraId="5577AA0B"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2021</w:t>
            </w:r>
          </w:p>
        </w:tc>
        <w:tc>
          <w:tcPr>
            <w:tcW w:w="2410" w:type="dxa"/>
            <w:gridSpan w:val="2"/>
          </w:tcPr>
          <w:p w14:paraId="6AC3455B"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2022</w:t>
            </w:r>
          </w:p>
        </w:tc>
      </w:tr>
      <w:tr w:rsidR="007D4366" w:rsidRPr="005F0419" w14:paraId="2E991484" w14:textId="77777777" w:rsidTr="007715AB">
        <w:tc>
          <w:tcPr>
            <w:tcW w:w="3256" w:type="dxa"/>
            <w:vMerge/>
          </w:tcPr>
          <w:p w14:paraId="5C55ACC2" w14:textId="77777777" w:rsidR="007D4366" w:rsidRPr="005F0419" w:rsidRDefault="007D4366" w:rsidP="007715AB">
            <w:pPr>
              <w:spacing w:after="0" w:line="240" w:lineRule="auto"/>
              <w:jc w:val="both"/>
              <w:rPr>
                <w:rFonts w:ascii="Times New Roman" w:hAnsi="Times New Roman" w:cs="Times New Roman"/>
                <w:iCs/>
                <w:sz w:val="28"/>
                <w:szCs w:val="28"/>
                <w:shd w:val="clear" w:color="auto" w:fill="FFFFFF"/>
                <w:lang w:val="uk-UA"/>
              </w:rPr>
            </w:pPr>
          </w:p>
        </w:tc>
        <w:tc>
          <w:tcPr>
            <w:tcW w:w="1019" w:type="dxa"/>
            <w:vMerge/>
          </w:tcPr>
          <w:p w14:paraId="5DD16E4F"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p>
        </w:tc>
        <w:tc>
          <w:tcPr>
            <w:tcW w:w="992" w:type="dxa"/>
            <w:vMerge/>
          </w:tcPr>
          <w:p w14:paraId="4681B2C0"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p>
        </w:tc>
        <w:tc>
          <w:tcPr>
            <w:tcW w:w="992" w:type="dxa"/>
            <w:vMerge/>
          </w:tcPr>
          <w:p w14:paraId="78B358B9"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p>
        </w:tc>
        <w:tc>
          <w:tcPr>
            <w:tcW w:w="992" w:type="dxa"/>
            <w:vMerge/>
          </w:tcPr>
          <w:p w14:paraId="135F9D68"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p>
        </w:tc>
        <w:tc>
          <w:tcPr>
            <w:tcW w:w="1327" w:type="dxa"/>
          </w:tcPr>
          <w:p w14:paraId="56265D58"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млн. грн.</w:t>
            </w:r>
          </w:p>
        </w:tc>
        <w:tc>
          <w:tcPr>
            <w:tcW w:w="1083" w:type="dxa"/>
          </w:tcPr>
          <w:p w14:paraId="18D7EC83"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до 2015</w:t>
            </w:r>
          </w:p>
        </w:tc>
      </w:tr>
      <w:tr w:rsidR="007D4366" w:rsidRPr="005F0419" w14:paraId="414F22D1" w14:textId="77777777" w:rsidTr="007715AB">
        <w:tc>
          <w:tcPr>
            <w:tcW w:w="3256" w:type="dxa"/>
          </w:tcPr>
          <w:p w14:paraId="41B4C4E6" w14:textId="77777777" w:rsidR="007D4366" w:rsidRPr="005F0419" w:rsidRDefault="007D4366" w:rsidP="007715AB">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Усього</w:t>
            </w:r>
          </w:p>
        </w:tc>
        <w:tc>
          <w:tcPr>
            <w:tcW w:w="1019" w:type="dxa"/>
          </w:tcPr>
          <w:p w14:paraId="4EF28731" w14:textId="77777777" w:rsidR="007D4366" w:rsidRPr="005F0419" w:rsidRDefault="007D4366" w:rsidP="007715AB">
            <w:pPr>
              <w:spacing w:after="0" w:line="240" w:lineRule="auto"/>
              <w:ind w:right="-83" w:hanging="113"/>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1 320,0</w:t>
            </w:r>
          </w:p>
        </w:tc>
        <w:tc>
          <w:tcPr>
            <w:tcW w:w="992" w:type="dxa"/>
          </w:tcPr>
          <w:p w14:paraId="49394242" w14:textId="77777777" w:rsidR="007D4366" w:rsidRPr="005F0419" w:rsidRDefault="007D4366" w:rsidP="007715AB">
            <w:pPr>
              <w:spacing w:after="0" w:line="240" w:lineRule="auto"/>
              <w:ind w:right="-85" w:hanging="141"/>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2 645,1</w:t>
            </w:r>
          </w:p>
        </w:tc>
        <w:tc>
          <w:tcPr>
            <w:tcW w:w="992" w:type="dxa"/>
          </w:tcPr>
          <w:p w14:paraId="34AFC78D" w14:textId="77777777" w:rsidR="007D4366" w:rsidRPr="005F0419" w:rsidRDefault="007D4366" w:rsidP="007715AB">
            <w:pPr>
              <w:spacing w:after="0" w:line="240" w:lineRule="auto"/>
              <w:ind w:right="-87" w:hanging="139"/>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3 034,4</w:t>
            </w:r>
          </w:p>
        </w:tc>
        <w:tc>
          <w:tcPr>
            <w:tcW w:w="992" w:type="dxa"/>
          </w:tcPr>
          <w:p w14:paraId="56874370" w14:textId="77777777" w:rsidR="007D4366" w:rsidRPr="005F0419" w:rsidRDefault="007D4366" w:rsidP="007715AB">
            <w:pPr>
              <w:spacing w:after="0" w:line="240" w:lineRule="auto"/>
              <w:ind w:right="-75" w:hanging="137"/>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3 136,7</w:t>
            </w:r>
          </w:p>
        </w:tc>
        <w:tc>
          <w:tcPr>
            <w:tcW w:w="1327" w:type="dxa"/>
          </w:tcPr>
          <w:p w14:paraId="1E330A03"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3 207,1</w:t>
            </w:r>
          </w:p>
        </w:tc>
        <w:tc>
          <w:tcPr>
            <w:tcW w:w="1083" w:type="dxa"/>
          </w:tcPr>
          <w:p w14:paraId="2713E544"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243,0</w:t>
            </w:r>
          </w:p>
        </w:tc>
      </w:tr>
      <w:tr w:rsidR="007D4366" w:rsidRPr="005F0419" w14:paraId="7BB22580" w14:textId="77777777" w:rsidTr="007715AB">
        <w:tc>
          <w:tcPr>
            <w:tcW w:w="3256" w:type="dxa"/>
          </w:tcPr>
          <w:p w14:paraId="13F77FD9" w14:textId="77777777" w:rsidR="007D4366" w:rsidRPr="005F0419" w:rsidRDefault="007D4366" w:rsidP="007715AB">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Сільське господарство, лісове господарство та рибне господарство</w:t>
            </w:r>
          </w:p>
        </w:tc>
        <w:tc>
          <w:tcPr>
            <w:tcW w:w="1019" w:type="dxa"/>
          </w:tcPr>
          <w:p w14:paraId="18F06C18" w14:textId="77777777" w:rsidR="007D4366" w:rsidRPr="005F0419" w:rsidRDefault="007D4366" w:rsidP="007715AB">
            <w:pPr>
              <w:spacing w:after="0" w:line="240" w:lineRule="auto"/>
              <w:ind w:right="-83" w:hanging="113"/>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20,7</w:t>
            </w:r>
          </w:p>
        </w:tc>
        <w:tc>
          <w:tcPr>
            <w:tcW w:w="992" w:type="dxa"/>
          </w:tcPr>
          <w:p w14:paraId="5A6F9A67" w14:textId="77777777" w:rsidR="007D4366" w:rsidRPr="005F0419" w:rsidRDefault="007D4366" w:rsidP="007715AB">
            <w:pPr>
              <w:spacing w:after="0" w:line="240" w:lineRule="auto"/>
              <w:ind w:right="-85" w:hanging="141"/>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20,8</w:t>
            </w:r>
          </w:p>
        </w:tc>
        <w:tc>
          <w:tcPr>
            <w:tcW w:w="992" w:type="dxa"/>
          </w:tcPr>
          <w:p w14:paraId="0683386A" w14:textId="77777777" w:rsidR="007D4366" w:rsidRPr="005F0419" w:rsidRDefault="007D4366" w:rsidP="007715AB">
            <w:pPr>
              <w:spacing w:after="0" w:line="240" w:lineRule="auto"/>
              <w:ind w:right="-87" w:hanging="139"/>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29,5</w:t>
            </w:r>
          </w:p>
        </w:tc>
        <w:tc>
          <w:tcPr>
            <w:tcW w:w="992" w:type="dxa"/>
          </w:tcPr>
          <w:p w14:paraId="7317E98F" w14:textId="77777777" w:rsidR="007D4366" w:rsidRPr="005F0419" w:rsidRDefault="007D4366" w:rsidP="007715AB">
            <w:pPr>
              <w:spacing w:after="0" w:line="240" w:lineRule="auto"/>
              <w:ind w:right="-75" w:hanging="137"/>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54,1</w:t>
            </w:r>
          </w:p>
        </w:tc>
        <w:tc>
          <w:tcPr>
            <w:tcW w:w="1327" w:type="dxa"/>
          </w:tcPr>
          <w:p w14:paraId="776815D9"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45,3</w:t>
            </w:r>
          </w:p>
        </w:tc>
        <w:tc>
          <w:tcPr>
            <w:tcW w:w="1083" w:type="dxa"/>
          </w:tcPr>
          <w:p w14:paraId="6F1B0C42"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218,8</w:t>
            </w:r>
          </w:p>
        </w:tc>
      </w:tr>
      <w:tr w:rsidR="007D4366" w:rsidRPr="005F0419" w14:paraId="11D2BC77" w14:textId="77777777" w:rsidTr="007715AB">
        <w:tc>
          <w:tcPr>
            <w:tcW w:w="3256" w:type="dxa"/>
          </w:tcPr>
          <w:p w14:paraId="7C55A47F" w14:textId="77777777" w:rsidR="007D4366" w:rsidRPr="005F0419" w:rsidRDefault="007D4366" w:rsidP="007715AB">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Промисловість</w:t>
            </w:r>
          </w:p>
        </w:tc>
        <w:tc>
          <w:tcPr>
            <w:tcW w:w="1019" w:type="dxa"/>
          </w:tcPr>
          <w:p w14:paraId="7C9485DB" w14:textId="77777777" w:rsidR="007D4366" w:rsidRPr="005F0419" w:rsidRDefault="007D4366" w:rsidP="007715AB">
            <w:pPr>
              <w:spacing w:after="0" w:line="240" w:lineRule="auto"/>
              <w:ind w:right="-83" w:hanging="113"/>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789,3</w:t>
            </w:r>
          </w:p>
        </w:tc>
        <w:tc>
          <w:tcPr>
            <w:tcW w:w="992" w:type="dxa"/>
          </w:tcPr>
          <w:p w14:paraId="68E02E26" w14:textId="77777777" w:rsidR="007D4366" w:rsidRPr="005F0419" w:rsidRDefault="007D4366" w:rsidP="007715AB">
            <w:pPr>
              <w:spacing w:after="0" w:line="240" w:lineRule="auto"/>
              <w:ind w:right="-85" w:hanging="141"/>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2 090,2</w:t>
            </w:r>
          </w:p>
        </w:tc>
        <w:tc>
          <w:tcPr>
            <w:tcW w:w="992" w:type="dxa"/>
          </w:tcPr>
          <w:p w14:paraId="7B5750ED" w14:textId="77777777" w:rsidR="007D4366" w:rsidRPr="005F0419" w:rsidRDefault="007D4366" w:rsidP="007715AB">
            <w:pPr>
              <w:spacing w:after="0" w:line="240" w:lineRule="auto"/>
              <w:ind w:right="-87" w:hanging="139"/>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2 412,4</w:t>
            </w:r>
          </w:p>
        </w:tc>
        <w:tc>
          <w:tcPr>
            <w:tcW w:w="992" w:type="dxa"/>
          </w:tcPr>
          <w:p w14:paraId="5FC88E3B" w14:textId="77777777" w:rsidR="007D4366" w:rsidRPr="005F0419" w:rsidRDefault="007D4366" w:rsidP="007715AB">
            <w:pPr>
              <w:spacing w:after="0" w:line="240" w:lineRule="auto"/>
              <w:ind w:right="-75" w:hanging="137"/>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2 298,9</w:t>
            </w:r>
          </w:p>
        </w:tc>
        <w:tc>
          <w:tcPr>
            <w:tcW w:w="1327" w:type="dxa"/>
          </w:tcPr>
          <w:p w14:paraId="2C054A45"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2 409,8</w:t>
            </w:r>
          </w:p>
        </w:tc>
        <w:tc>
          <w:tcPr>
            <w:tcW w:w="1083" w:type="dxa"/>
          </w:tcPr>
          <w:p w14:paraId="61FF14ED"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305,3</w:t>
            </w:r>
          </w:p>
        </w:tc>
      </w:tr>
      <w:tr w:rsidR="007D4366" w:rsidRPr="005F0419" w14:paraId="690AE0CA" w14:textId="77777777" w:rsidTr="007715AB">
        <w:tc>
          <w:tcPr>
            <w:tcW w:w="3256" w:type="dxa"/>
          </w:tcPr>
          <w:p w14:paraId="5C94D814" w14:textId="77777777" w:rsidR="007D4366" w:rsidRPr="005F0419" w:rsidRDefault="007D4366" w:rsidP="007715AB">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Будівництво</w:t>
            </w:r>
          </w:p>
        </w:tc>
        <w:tc>
          <w:tcPr>
            <w:tcW w:w="1019" w:type="dxa"/>
          </w:tcPr>
          <w:p w14:paraId="55324F9B" w14:textId="77777777" w:rsidR="007D4366" w:rsidRPr="005F0419" w:rsidRDefault="007D4366" w:rsidP="007715AB">
            <w:pPr>
              <w:spacing w:after="0" w:line="240" w:lineRule="auto"/>
              <w:ind w:right="-83" w:hanging="113"/>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65,4</w:t>
            </w:r>
          </w:p>
        </w:tc>
        <w:tc>
          <w:tcPr>
            <w:tcW w:w="992" w:type="dxa"/>
          </w:tcPr>
          <w:p w14:paraId="0624CD12" w14:textId="77777777" w:rsidR="007D4366" w:rsidRPr="005F0419" w:rsidRDefault="007D4366" w:rsidP="007715AB">
            <w:pPr>
              <w:spacing w:after="0" w:line="240" w:lineRule="auto"/>
              <w:ind w:right="-85" w:hanging="141"/>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72,1</w:t>
            </w:r>
          </w:p>
        </w:tc>
        <w:tc>
          <w:tcPr>
            <w:tcW w:w="992" w:type="dxa"/>
          </w:tcPr>
          <w:p w14:paraId="4CDBE442" w14:textId="77777777" w:rsidR="007D4366" w:rsidRPr="005F0419" w:rsidRDefault="007D4366" w:rsidP="007715AB">
            <w:pPr>
              <w:spacing w:after="0" w:line="240" w:lineRule="auto"/>
              <w:ind w:right="-87" w:hanging="139"/>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43,3</w:t>
            </w:r>
          </w:p>
        </w:tc>
        <w:tc>
          <w:tcPr>
            <w:tcW w:w="992" w:type="dxa"/>
          </w:tcPr>
          <w:p w14:paraId="2AD0A513" w14:textId="77777777" w:rsidR="007D4366" w:rsidRPr="005F0419" w:rsidRDefault="007D4366" w:rsidP="007715AB">
            <w:pPr>
              <w:spacing w:after="0" w:line="240" w:lineRule="auto"/>
              <w:ind w:right="-75" w:hanging="137"/>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43,8</w:t>
            </w:r>
          </w:p>
        </w:tc>
        <w:tc>
          <w:tcPr>
            <w:tcW w:w="1327" w:type="dxa"/>
          </w:tcPr>
          <w:p w14:paraId="21598F5D"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94,7</w:t>
            </w:r>
          </w:p>
        </w:tc>
        <w:tc>
          <w:tcPr>
            <w:tcW w:w="1083" w:type="dxa"/>
          </w:tcPr>
          <w:p w14:paraId="03DDA4E0"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144,8</w:t>
            </w:r>
          </w:p>
        </w:tc>
      </w:tr>
      <w:tr w:rsidR="007D4366" w:rsidRPr="005F0419" w14:paraId="05163C1A" w14:textId="77777777" w:rsidTr="007715AB">
        <w:tc>
          <w:tcPr>
            <w:tcW w:w="3256" w:type="dxa"/>
          </w:tcPr>
          <w:p w14:paraId="615EA728" w14:textId="77777777" w:rsidR="007D4366" w:rsidRPr="005F0419" w:rsidRDefault="007D4366" w:rsidP="007715AB">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Оптова та роздрібна торгівля; ремонт</w:t>
            </w:r>
          </w:p>
        </w:tc>
        <w:tc>
          <w:tcPr>
            <w:tcW w:w="1019" w:type="dxa"/>
          </w:tcPr>
          <w:p w14:paraId="073F9A74" w14:textId="77777777" w:rsidR="007D4366" w:rsidRPr="005F0419" w:rsidRDefault="007D4366" w:rsidP="007715AB">
            <w:pPr>
              <w:spacing w:after="0" w:line="240" w:lineRule="auto"/>
              <w:ind w:right="-83" w:hanging="113"/>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17,4</w:t>
            </w:r>
          </w:p>
        </w:tc>
        <w:tc>
          <w:tcPr>
            <w:tcW w:w="992" w:type="dxa"/>
          </w:tcPr>
          <w:p w14:paraId="2E14FD5A" w14:textId="77777777" w:rsidR="007D4366" w:rsidRPr="005F0419" w:rsidRDefault="007D4366" w:rsidP="007715AB">
            <w:pPr>
              <w:spacing w:after="0" w:line="240" w:lineRule="auto"/>
              <w:ind w:right="-85" w:hanging="141"/>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28,6</w:t>
            </w:r>
          </w:p>
        </w:tc>
        <w:tc>
          <w:tcPr>
            <w:tcW w:w="992" w:type="dxa"/>
          </w:tcPr>
          <w:p w14:paraId="76483BC9" w14:textId="77777777" w:rsidR="007D4366" w:rsidRPr="005F0419" w:rsidRDefault="007D4366" w:rsidP="007715AB">
            <w:pPr>
              <w:spacing w:after="0" w:line="240" w:lineRule="auto"/>
              <w:ind w:right="-87" w:hanging="139"/>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40,8</w:t>
            </w:r>
          </w:p>
        </w:tc>
        <w:tc>
          <w:tcPr>
            <w:tcW w:w="992" w:type="dxa"/>
          </w:tcPr>
          <w:p w14:paraId="4C2A82E8"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38,2</w:t>
            </w:r>
          </w:p>
        </w:tc>
        <w:tc>
          <w:tcPr>
            <w:tcW w:w="1327" w:type="dxa"/>
          </w:tcPr>
          <w:p w14:paraId="15ECE5E9"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32,4</w:t>
            </w:r>
          </w:p>
        </w:tc>
        <w:tc>
          <w:tcPr>
            <w:tcW w:w="1083" w:type="dxa"/>
          </w:tcPr>
          <w:p w14:paraId="3C3CD723"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186,2</w:t>
            </w:r>
          </w:p>
        </w:tc>
      </w:tr>
      <w:tr w:rsidR="007D4366" w:rsidRPr="005F0419" w14:paraId="543D55D5" w14:textId="77777777" w:rsidTr="007715AB">
        <w:tc>
          <w:tcPr>
            <w:tcW w:w="3256" w:type="dxa"/>
          </w:tcPr>
          <w:p w14:paraId="410C5184" w14:textId="77777777" w:rsidR="007D4366" w:rsidRPr="005F0419" w:rsidRDefault="007D4366" w:rsidP="007715AB">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Транспорт, складське господарство, поштова та кур’єрська діяльність</w:t>
            </w:r>
          </w:p>
        </w:tc>
        <w:tc>
          <w:tcPr>
            <w:tcW w:w="1019" w:type="dxa"/>
          </w:tcPr>
          <w:p w14:paraId="10A004E8" w14:textId="77777777" w:rsidR="007D4366" w:rsidRPr="005F0419" w:rsidRDefault="007D4366" w:rsidP="007715AB">
            <w:pPr>
              <w:spacing w:after="0" w:line="240" w:lineRule="auto"/>
              <w:ind w:right="-83" w:hanging="113"/>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209,5</w:t>
            </w:r>
          </w:p>
        </w:tc>
        <w:tc>
          <w:tcPr>
            <w:tcW w:w="992" w:type="dxa"/>
          </w:tcPr>
          <w:p w14:paraId="65E8E47D" w14:textId="77777777" w:rsidR="007D4366" w:rsidRPr="005F0419" w:rsidRDefault="007D4366" w:rsidP="007715AB">
            <w:pPr>
              <w:spacing w:after="0" w:line="240" w:lineRule="auto"/>
              <w:ind w:right="-85" w:hanging="141"/>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186,9</w:t>
            </w:r>
          </w:p>
        </w:tc>
        <w:tc>
          <w:tcPr>
            <w:tcW w:w="992" w:type="dxa"/>
          </w:tcPr>
          <w:p w14:paraId="32926FB2" w14:textId="77777777" w:rsidR="007D4366" w:rsidRPr="005F0419" w:rsidRDefault="007D4366" w:rsidP="007715AB">
            <w:pPr>
              <w:spacing w:after="0" w:line="240" w:lineRule="auto"/>
              <w:ind w:right="-87" w:hanging="139"/>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210,2</w:t>
            </w:r>
          </w:p>
        </w:tc>
        <w:tc>
          <w:tcPr>
            <w:tcW w:w="992" w:type="dxa"/>
          </w:tcPr>
          <w:p w14:paraId="36D3C2CD"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277,4</w:t>
            </w:r>
          </w:p>
        </w:tc>
        <w:tc>
          <w:tcPr>
            <w:tcW w:w="1327" w:type="dxa"/>
          </w:tcPr>
          <w:p w14:paraId="74E502B8"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201,7</w:t>
            </w:r>
          </w:p>
        </w:tc>
        <w:tc>
          <w:tcPr>
            <w:tcW w:w="1083" w:type="dxa"/>
          </w:tcPr>
          <w:p w14:paraId="10A63B4B"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96,3</w:t>
            </w:r>
          </w:p>
        </w:tc>
      </w:tr>
      <w:tr w:rsidR="007D4366" w:rsidRPr="005F0419" w14:paraId="4FD29275" w14:textId="77777777" w:rsidTr="007715AB">
        <w:tc>
          <w:tcPr>
            <w:tcW w:w="3256" w:type="dxa"/>
          </w:tcPr>
          <w:p w14:paraId="50129EF3" w14:textId="77777777" w:rsidR="007D4366" w:rsidRPr="005F0419" w:rsidRDefault="007D4366" w:rsidP="007715AB">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Тимчасове розміщування й організація харчування</w:t>
            </w:r>
          </w:p>
        </w:tc>
        <w:tc>
          <w:tcPr>
            <w:tcW w:w="1019" w:type="dxa"/>
          </w:tcPr>
          <w:p w14:paraId="7568B08F"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1,9</w:t>
            </w:r>
          </w:p>
        </w:tc>
        <w:tc>
          <w:tcPr>
            <w:tcW w:w="992" w:type="dxa"/>
          </w:tcPr>
          <w:p w14:paraId="4C4A4773" w14:textId="77777777" w:rsidR="007D4366" w:rsidRPr="005F0419" w:rsidRDefault="007D4366" w:rsidP="007715AB">
            <w:pPr>
              <w:spacing w:after="0" w:line="240" w:lineRule="auto"/>
              <w:ind w:right="-85" w:hanging="141"/>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0,6</w:t>
            </w:r>
          </w:p>
        </w:tc>
        <w:tc>
          <w:tcPr>
            <w:tcW w:w="992" w:type="dxa"/>
          </w:tcPr>
          <w:p w14:paraId="58A3D706"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0,4</w:t>
            </w:r>
          </w:p>
        </w:tc>
        <w:tc>
          <w:tcPr>
            <w:tcW w:w="992" w:type="dxa"/>
          </w:tcPr>
          <w:p w14:paraId="207CEFA0"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7,9</w:t>
            </w:r>
          </w:p>
        </w:tc>
        <w:tc>
          <w:tcPr>
            <w:tcW w:w="1327" w:type="dxa"/>
          </w:tcPr>
          <w:p w14:paraId="74019CEC"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2,2</w:t>
            </w:r>
          </w:p>
        </w:tc>
        <w:tc>
          <w:tcPr>
            <w:tcW w:w="1083" w:type="dxa"/>
          </w:tcPr>
          <w:p w14:paraId="7CEDF4BB"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115,8</w:t>
            </w:r>
          </w:p>
        </w:tc>
      </w:tr>
      <w:tr w:rsidR="007D4366" w:rsidRPr="005F0419" w14:paraId="7ECC3869" w14:textId="77777777" w:rsidTr="007715AB">
        <w:tc>
          <w:tcPr>
            <w:tcW w:w="3256" w:type="dxa"/>
          </w:tcPr>
          <w:p w14:paraId="5C497B54"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Інформація та телекомунікації</w:t>
            </w:r>
          </w:p>
        </w:tc>
        <w:tc>
          <w:tcPr>
            <w:tcW w:w="1019" w:type="dxa"/>
          </w:tcPr>
          <w:p w14:paraId="0A0D23C7"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1,9</w:t>
            </w:r>
          </w:p>
        </w:tc>
        <w:tc>
          <w:tcPr>
            <w:tcW w:w="992" w:type="dxa"/>
          </w:tcPr>
          <w:p w14:paraId="3522501A"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8,7</w:t>
            </w:r>
          </w:p>
        </w:tc>
        <w:tc>
          <w:tcPr>
            <w:tcW w:w="992" w:type="dxa"/>
          </w:tcPr>
          <w:p w14:paraId="0067C1E0"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6,4</w:t>
            </w:r>
          </w:p>
        </w:tc>
        <w:tc>
          <w:tcPr>
            <w:tcW w:w="992" w:type="dxa"/>
          </w:tcPr>
          <w:p w14:paraId="27856C58"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9,4</w:t>
            </w:r>
          </w:p>
        </w:tc>
        <w:tc>
          <w:tcPr>
            <w:tcW w:w="1327" w:type="dxa"/>
          </w:tcPr>
          <w:p w14:paraId="449A27C3"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18,0</w:t>
            </w:r>
          </w:p>
        </w:tc>
        <w:tc>
          <w:tcPr>
            <w:tcW w:w="1083" w:type="dxa"/>
          </w:tcPr>
          <w:p w14:paraId="68F44A1D"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947,4</w:t>
            </w:r>
          </w:p>
        </w:tc>
      </w:tr>
      <w:tr w:rsidR="007D4366" w:rsidRPr="005F0419" w14:paraId="1CFB5C9E" w14:textId="77777777" w:rsidTr="007715AB">
        <w:tc>
          <w:tcPr>
            <w:tcW w:w="3256" w:type="dxa"/>
          </w:tcPr>
          <w:p w14:paraId="7B9D1A56"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Фінансова та страхова діяльність</w:t>
            </w:r>
          </w:p>
        </w:tc>
        <w:tc>
          <w:tcPr>
            <w:tcW w:w="1019" w:type="dxa"/>
          </w:tcPr>
          <w:p w14:paraId="550861BB"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5,8</w:t>
            </w:r>
          </w:p>
        </w:tc>
        <w:tc>
          <w:tcPr>
            <w:tcW w:w="992" w:type="dxa"/>
          </w:tcPr>
          <w:p w14:paraId="3D9A32F4"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20,7</w:t>
            </w:r>
          </w:p>
        </w:tc>
        <w:tc>
          <w:tcPr>
            <w:tcW w:w="992" w:type="dxa"/>
          </w:tcPr>
          <w:p w14:paraId="5FA18352"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11,0</w:t>
            </w:r>
          </w:p>
        </w:tc>
        <w:tc>
          <w:tcPr>
            <w:tcW w:w="992" w:type="dxa"/>
          </w:tcPr>
          <w:p w14:paraId="5237C1F8"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15,7</w:t>
            </w:r>
          </w:p>
        </w:tc>
        <w:tc>
          <w:tcPr>
            <w:tcW w:w="1327" w:type="dxa"/>
          </w:tcPr>
          <w:p w14:paraId="4019377D"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9,5</w:t>
            </w:r>
          </w:p>
        </w:tc>
        <w:tc>
          <w:tcPr>
            <w:tcW w:w="1083" w:type="dxa"/>
          </w:tcPr>
          <w:p w14:paraId="22727B92"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163,8</w:t>
            </w:r>
          </w:p>
        </w:tc>
      </w:tr>
      <w:tr w:rsidR="007D4366" w:rsidRPr="005F0419" w14:paraId="7F7C50C9" w14:textId="77777777" w:rsidTr="007715AB">
        <w:tc>
          <w:tcPr>
            <w:tcW w:w="3256" w:type="dxa"/>
          </w:tcPr>
          <w:p w14:paraId="721CE54C"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Операції з нерухомим майном</w:t>
            </w:r>
          </w:p>
        </w:tc>
        <w:tc>
          <w:tcPr>
            <w:tcW w:w="1019" w:type="dxa"/>
          </w:tcPr>
          <w:p w14:paraId="599594E3"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19,4</w:t>
            </w:r>
          </w:p>
        </w:tc>
        <w:tc>
          <w:tcPr>
            <w:tcW w:w="992" w:type="dxa"/>
          </w:tcPr>
          <w:p w14:paraId="5A7DA11B"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63,8</w:t>
            </w:r>
          </w:p>
        </w:tc>
        <w:tc>
          <w:tcPr>
            <w:tcW w:w="992" w:type="dxa"/>
          </w:tcPr>
          <w:p w14:paraId="209A5E14"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51,8</w:t>
            </w:r>
          </w:p>
        </w:tc>
        <w:tc>
          <w:tcPr>
            <w:tcW w:w="992" w:type="dxa"/>
          </w:tcPr>
          <w:p w14:paraId="5D17F3DD"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53,6</w:t>
            </w:r>
          </w:p>
        </w:tc>
        <w:tc>
          <w:tcPr>
            <w:tcW w:w="1327" w:type="dxa"/>
          </w:tcPr>
          <w:p w14:paraId="7AF353E0"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35,2</w:t>
            </w:r>
          </w:p>
        </w:tc>
        <w:tc>
          <w:tcPr>
            <w:tcW w:w="1083" w:type="dxa"/>
          </w:tcPr>
          <w:p w14:paraId="63E5BC79"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181,4</w:t>
            </w:r>
          </w:p>
        </w:tc>
      </w:tr>
      <w:tr w:rsidR="007D4366" w:rsidRPr="005F0419" w14:paraId="10AAF283" w14:textId="77777777" w:rsidTr="007715AB">
        <w:tc>
          <w:tcPr>
            <w:tcW w:w="3256" w:type="dxa"/>
          </w:tcPr>
          <w:p w14:paraId="5F341F43"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Професійна, наукова та технічна діяльність</w:t>
            </w:r>
          </w:p>
        </w:tc>
        <w:tc>
          <w:tcPr>
            <w:tcW w:w="1019" w:type="dxa"/>
          </w:tcPr>
          <w:p w14:paraId="6DA02B13"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99,5</w:t>
            </w:r>
          </w:p>
        </w:tc>
        <w:tc>
          <w:tcPr>
            <w:tcW w:w="992" w:type="dxa"/>
          </w:tcPr>
          <w:p w14:paraId="34A15AA9"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120,2</w:t>
            </w:r>
          </w:p>
        </w:tc>
        <w:tc>
          <w:tcPr>
            <w:tcW w:w="992" w:type="dxa"/>
          </w:tcPr>
          <w:p w14:paraId="2D1FC875"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182,7</w:t>
            </w:r>
          </w:p>
        </w:tc>
        <w:tc>
          <w:tcPr>
            <w:tcW w:w="992" w:type="dxa"/>
          </w:tcPr>
          <w:p w14:paraId="3759F9C9"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267,0</w:t>
            </w:r>
          </w:p>
        </w:tc>
        <w:tc>
          <w:tcPr>
            <w:tcW w:w="1327" w:type="dxa"/>
          </w:tcPr>
          <w:p w14:paraId="11D0603A"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274,3</w:t>
            </w:r>
          </w:p>
        </w:tc>
        <w:tc>
          <w:tcPr>
            <w:tcW w:w="1083" w:type="dxa"/>
          </w:tcPr>
          <w:p w14:paraId="02083A23"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275,7</w:t>
            </w:r>
          </w:p>
        </w:tc>
      </w:tr>
      <w:tr w:rsidR="007D4366" w:rsidRPr="005F0419" w14:paraId="4401F6DA" w14:textId="77777777" w:rsidTr="007715AB">
        <w:tc>
          <w:tcPr>
            <w:tcW w:w="3256" w:type="dxa"/>
          </w:tcPr>
          <w:p w14:paraId="09263C00"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Державне управління й оборона; обов’язкове соціальне страхування</w:t>
            </w:r>
          </w:p>
        </w:tc>
        <w:tc>
          <w:tcPr>
            <w:tcW w:w="1019" w:type="dxa"/>
          </w:tcPr>
          <w:p w14:paraId="1AD87D28"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26,5</w:t>
            </w:r>
          </w:p>
        </w:tc>
        <w:tc>
          <w:tcPr>
            <w:tcW w:w="992" w:type="dxa"/>
          </w:tcPr>
          <w:p w14:paraId="7E4620FF"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4,4</w:t>
            </w:r>
          </w:p>
        </w:tc>
        <w:tc>
          <w:tcPr>
            <w:tcW w:w="992" w:type="dxa"/>
          </w:tcPr>
          <w:p w14:paraId="636CE30D"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3,6</w:t>
            </w:r>
          </w:p>
        </w:tc>
        <w:tc>
          <w:tcPr>
            <w:tcW w:w="992" w:type="dxa"/>
          </w:tcPr>
          <w:p w14:paraId="634F52D8"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6,2</w:t>
            </w:r>
          </w:p>
        </w:tc>
        <w:tc>
          <w:tcPr>
            <w:tcW w:w="1327" w:type="dxa"/>
          </w:tcPr>
          <w:p w14:paraId="752A2299"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4,0</w:t>
            </w:r>
          </w:p>
        </w:tc>
        <w:tc>
          <w:tcPr>
            <w:tcW w:w="1083" w:type="dxa"/>
          </w:tcPr>
          <w:p w14:paraId="6C7E4AA1"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15,1</w:t>
            </w:r>
          </w:p>
        </w:tc>
      </w:tr>
      <w:tr w:rsidR="007D4366" w:rsidRPr="005F0419" w14:paraId="05D6A69C" w14:textId="77777777" w:rsidTr="007715AB">
        <w:tc>
          <w:tcPr>
            <w:tcW w:w="3256" w:type="dxa"/>
          </w:tcPr>
          <w:p w14:paraId="1A67E67C"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Освіта</w:t>
            </w:r>
          </w:p>
        </w:tc>
        <w:tc>
          <w:tcPr>
            <w:tcW w:w="1019" w:type="dxa"/>
          </w:tcPr>
          <w:p w14:paraId="1F01DBFF" w14:textId="77777777" w:rsidR="007D4366" w:rsidRPr="005F0419" w:rsidRDefault="007D4366" w:rsidP="007715AB">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29,3</w:t>
            </w:r>
          </w:p>
        </w:tc>
        <w:tc>
          <w:tcPr>
            <w:tcW w:w="992" w:type="dxa"/>
          </w:tcPr>
          <w:p w14:paraId="25617AEA"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5,3</w:t>
            </w:r>
          </w:p>
        </w:tc>
        <w:tc>
          <w:tcPr>
            <w:tcW w:w="992" w:type="dxa"/>
          </w:tcPr>
          <w:p w14:paraId="27B51C1B"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13,3</w:t>
            </w:r>
          </w:p>
        </w:tc>
        <w:tc>
          <w:tcPr>
            <w:tcW w:w="992" w:type="dxa"/>
          </w:tcPr>
          <w:p w14:paraId="6A03FB04"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16,6</w:t>
            </w:r>
          </w:p>
        </w:tc>
        <w:tc>
          <w:tcPr>
            <w:tcW w:w="1327" w:type="dxa"/>
          </w:tcPr>
          <w:p w14:paraId="35C1C609"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8,4</w:t>
            </w:r>
          </w:p>
        </w:tc>
        <w:tc>
          <w:tcPr>
            <w:tcW w:w="1083" w:type="dxa"/>
          </w:tcPr>
          <w:p w14:paraId="65D70B3A"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28,7</w:t>
            </w:r>
          </w:p>
        </w:tc>
      </w:tr>
      <w:tr w:rsidR="007D4366" w:rsidRPr="005F0419" w14:paraId="3A50E487" w14:textId="77777777" w:rsidTr="007715AB">
        <w:tc>
          <w:tcPr>
            <w:tcW w:w="3256" w:type="dxa"/>
          </w:tcPr>
          <w:p w14:paraId="16C26FCA"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Охорона здоров’я та надання соціальної допомоги</w:t>
            </w:r>
          </w:p>
        </w:tc>
        <w:tc>
          <w:tcPr>
            <w:tcW w:w="1019" w:type="dxa"/>
          </w:tcPr>
          <w:p w14:paraId="3C4745F1"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10,7</w:t>
            </w:r>
          </w:p>
        </w:tc>
        <w:tc>
          <w:tcPr>
            <w:tcW w:w="992" w:type="dxa"/>
          </w:tcPr>
          <w:p w14:paraId="1552F2D0"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14,1</w:t>
            </w:r>
          </w:p>
        </w:tc>
        <w:tc>
          <w:tcPr>
            <w:tcW w:w="992" w:type="dxa"/>
          </w:tcPr>
          <w:p w14:paraId="2A39DB3F"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17,6</w:t>
            </w:r>
          </w:p>
        </w:tc>
        <w:tc>
          <w:tcPr>
            <w:tcW w:w="992" w:type="dxa"/>
          </w:tcPr>
          <w:p w14:paraId="089CD6E2"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31,7</w:t>
            </w:r>
          </w:p>
        </w:tc>
        <w:tc>
          <w:tcPr>
            <w:tcW w:w="1327" w:type="dxa"/>
          </w:tcPr>
          <w:p w14:paraId="03EC4B29"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50,8</w:t>
            </w:r>
          </w:p>
        </w:tc>
        <w:tc>
          <w:tcPr>
            <w:tcW w:w="1083" w:type="dxa"/>
          </w:tcPr>
          <w:p w14:paraId="1B0C1A12"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474,8</w:t>
            </w:r>
          </w:p>
        </w:tc>
      </w:tr>
      <w:tr w:rsidR="007D4366" w:rsidRPr="005F0419" w14:paraId="2E519254" w14:textId="77777777" w:rsidTr="007715AB">
        <w:tc>
          <w:tcPr>
            <w:tcW w:w="3256" w:type="dxa"/>
          </w:tcPr>
          <w:p w14:paraId="4C5BED87"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Мистецтво, спорт, розваги та відпочинок</w:t>
            </w:r>
          </w:p>
        </w:tc>
        <w:tc>
          <w:tcPr>
            <w:tcW w:w="1019" w:type="dxa"/>
          </w:tcPr>
          <w:p w14:paraId="7DB42FC0"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11,8</w:t>
            </w:r>
          </w:p>
        </w:tc>
        <w:tc>
          <w:tcPr>
            <w:tcW w:w="992" w:type="dxa"/>
          </w:tcPr>
          <w:p w14:paraId="0498E58B"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0,6</w:t>
            </w:r>
          </w:p>
        </w:tc>
        <w:tc>
          <w:tcPr>
            <w:tcW w:w="992" w:type="dxa"/>
          </w:tcPr>
          <w:p w14:paraId="78AAC4A8"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w:t>
            </w:r>
          </w:p>
        </w:tc>
        <w:tc>
          <w:tcPr>
            <w:tcW w:w="992" w:type="dxa"/>
          </w:tcPr>
          <w:p w14:paraId="4A4765F4"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0,7</w:t>
            </w:r>
          </w:p>
        </w:tc>
        <w:tc>
          <w:tcPr>
            <w:tcW w:w="1327" w:type="dxa"/>
          </w:tcPr>
          <w:p w14:paraId="301F2479"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1,4</w:t>
            </w:r>
          </w:p>
        </w:tc>
        <w:tc>
          <w:tcPr>
            <w:tcW w:w="1083" w:type="dxa"/>
          </w:tcPr>
          <w:p w14:paraId="35C6FFD6" w14:textId="77777777" w:rsidR="007D4366" w:rsidRPr="005F0419" w:rsidRDefault="007D4366" w:rsidP="007715AB">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11,9</w:t>
            </w:r>
          </w:p>
        </w:tc>
      </w:tr>
    </w:tbl>
    <w:p w14:paraId="0A677557" w14:textId="01C2CAF9" w:rsidR="007D4366" w:rsidRDefault="007D4366" w:rsidP="007D4366">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Джерело: розраховано автором за даними [2].</w:t>
      </w:r>
    </w:p>
    <w:p w14:paraId="4E8D22C2" w14:textId="77777777" w:rsidR="00496B0B" w:rsidRDefault="00496B0B" w:rsidP="00496B0B">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Показник співвідношення заборгованості із виплати заробітної плати та фонду оплати праці протягом досліджуваних років мав дещо нерівномірну динаміку, однак в цілому знизився станом на 1 січня 2022 року у порівнянні з відповідним періодом 2015 року (рис. 3).</w:t>
      </w:r>
    </w:p>
    <w:p w14:paraId="2EB5EBA4" w14:textId="77777777" w:rsidR="0000167A" w:rsidRPr="005F0419" w:rsidRDefault="0000167A" w:rsidP="00E547A1">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14:ligatures w14:val="standardContextual"/>
        </w:rPr>
        <w:drawing>
          <wp:inline distT="0" distB="0" distL="0" distR="0" wp14:anchorId="474E8E6B" wp14:editId="3EE1AB27">
            <wp:extent cx="5934075" cy="2095500"/>
            <wp:effectExtent l="0" t="0" r="9525" b="0"/>
            <wp:docPr id="889901611" name="Диаграмма 1">
              <a:extLst xmlns:a="http://schemas.openxmlformats.org/drawingml/2006/main">
                <a:ext uri="{FF2B5EF4-FFF2-40B4-BE49-F238E27FC236}">
                  <a16:creationId xmlns:a16="http://schemas.microsoft.com/office/drawing/2014/main" id="{9087D1B2-FBF0-231E-A5B4-2C90F14718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52F8271" w14:textId="52BB2BD4" w:rsidR="0000167A" w:rsidRPr="005F0419" w:rsidRDefault="0000167A" w:rsidP="00E547A1">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3. Співвідношення заборгованості із виплати заробітної плати та фонду оплати праці станом на 1 січня відповідного року, у % до фонду оплати праці за грудень попереднього року</w:t>
      </w:r>
      <w:r w:rsidR="00E547A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w:t>
      </w:r>
    </w:p>
    <w:p w14:paraId="1AE016A7" w14:textId="77777777" w:rsidR="007D4366" w:rsidRDefault="007D4366" w:rsidP="00662012">
      <w:pPr>
        <w:spacing w:after="0" w:line="360" w:lineRule="auto"/>
        <w:ind w:firstLine="720"/>
        <w:jc w:val="both"/>
        <w:rPr>
          <w:rFonts w:ascii="Times New Roman" w:hAnsi="Times New Roman" w:cs="Times New Roman"/>
          <w:sz w:val="28"/>
          <w:szCs w:val="28"/>
          <w:lang w:val="uk-UA"/>
        </w:rPr>
      </w:pPr>
    </w:p>
    <w:p w14:paraId="5339FF09" w14:textId="3E0D2F65"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Станом на 1 січня 2022 року досліджуваний показник знизився і становив 2,5 %, що було пов’язане з об’єктивним збільшенням фонду оплати праці, яке певним чином компенсувало зростання обсягів заборгованості із заробітної плати. Однак це, на жаль, жодним чином не нейтралізує наявних негативних тенденцій стосовно несвоєчасної виплати заробітної плати, які склалися ще до погіршення соціально-економічної ситуації в країні, спричиненого наслідками пандемії COVID-19 та повномасштабним російським вторгненням на територію України у 2022 році. </w:t>
      </w:r>
    </w:p>
    <w:p w14:paraId="72F9D91A"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З початку війни вітчизняні підприємства намагалися виплачувати заробітну плату в повному обсязі, але у зв’язку з продовженням бойових дій і погіршенням фінансово-економічного становища більшість підприємств не в змозі забезпечити довоєнний рівень оплати праці. Зокрема, згідно з опитуванням Європейської Бізнес Асоціації (EBA) серед компаній-учасниць Асоціації у березні 2022 року 43% компаній мали фінансові резерви на кілька місяців, 28% на 6 місяців, 17% на рік і більше, 6% повідомили, що фінансові резерви компанії </w:t>
      </w:r>
      <w:r w:rsidRPr="005F0419">
        <w:rPr>
          <w:rFonts w:ascii="Times New Roman" w:hAnsi="Times New Roman" w:cs="Times New Roman"/>
          <w:iCs/>
          <w:sz w:val="28"/>
          <w:szCs w:val="28"/>
          <w:shd w:val="clear" w:color="auto" w:fill="FFFFFF"/>
          <w:lang w:val="uk-UA"/>
        </w:rPr>
        <w:lastRenderedPageBreak/>
        <w:t>вичерпані [10]. Тому з перших днів війни підприємства намагалися максимально оптимізувати витрати, вдаючись до скорочення персоналу, надання відпусток без збереження вихідної допомоги, призупинення трудових відносин за контрактами, зниження рівня заробітної плати тощо (табл.6).</w:t>
      </w:r>
    </w:p>
    <w:p w14:paraId="2FC53B7B" w14:textId="77777777" w:rsidR="0000167A" w:rsidRPr="005F0419" w:rsidRDefault="0000167A" w:rsidP="00662012">
      <w:pPr>
        <w:spacing w:after="0" w:line="360" w:lineRule="auto"/>
        <w:ind w:firstLine="720"/>
        <w:jc w:val="right"/>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Таблиця 6</w:t>
      </w:r>
    </w:p>
    <w:p w14:paraId="66F05612" w14:textId="77777777" w:rsidR="00E547A1" w:rsidRPr="005F0419" w:rsidRDefault="0000167A" w:rsidP="00662012">
      <w:pPr>
        <w:spacing w:after="0" w:line="360" w:lineRule="auto"/>
        <w:ind w:firstLine="720"/>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Корпоративні тенденції у сфері зайнятості та оплати праці </w:t>
      </w:r>
    </w:p>
    <w:p w14:paraId="3C87B619" w14:textId="7DC0C271" w:rsidR="0000167A" w:rsidRPr="005F0419" w:rsidRDefault="0000167A" w:rsidP="00662012">
      <w:pPr>
        <w:spacing w:after="0" w:line="360" w:lineRule="auto"/>
        <w:ind w:firstLine="720"/>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у березні-травні 2022 року</w:t>
      </w:r>
    </w:p>
    <w:tbl>
      <w:tblPr>
        <w:tblStyle w:val="ab"/>
        <w:tblW w:w="0" w:type="auto"/>
        <w:tblLook w:val="04A0" w:firstRow="1" w:lastRow="0" w:firstColumn="1" w:lastColumn="0" w:noHBand="0" w:noVBand="1"/>
      </w:tblPr>
      <w:tblGrid>
        <w:gridCol w:w="4531"/>
        <w:gridCol w:w="1557"/>
        <w:gridCol w:w="1560"/>
        <w:gridCol w:w="1559"/>
      </w:tblGrid>
      <w:tr w:rsidR="0000167A" w:rsidRPr="005F0419" w14:paraId="29387B4D" w14:textId="77777777" w:rsidTr="00A55004">
        <w:tc>
          <w:tcPr>
            <w:tcW w:w="4531" w:type="dxa"/>
          </w:tcPr>
          <w:p w14:paraId="3D61C3CF" w14:textId="77777777" w:rsidR="0000167A" w:rsidRPr="005F0419" w:rsidRDefault="0000167A" w:rsidP="00E547A1">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Питома вага підприємств, які:</w:t>
            </w:r>
          </w:p>
        </w:tc>
        <w:tc>
          <w:tcPr>
            <w:tcW w:w="1557" w:type="dxa"/>
          </w:tcPr>
          <w:p w14:paraId="6AA1B729"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Березень </w:t>
            </w:r>
          </w:p>
          <w:p w14:paraId="58FC8D5D"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2022 року</w:t>
            </w:r>
          </w:p>
        </w:tc>
        <w:tc>
          <w:tcPr>
            <w:tcW w:w="1560" w:type="dxa"/>
          </w:tcPr>
          <w:p w14:paraId="6BC81115"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Квітень </w:t>
            </w:r>
          </w:p>
          <w:p w14:paraId="75444CD6"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2022 року</w:t>
            </w:r>
          </w:p>
        </w:tc>
        <w:tc>
          <w:tcPr>
            <w:tcW w:w="1559" w:type="dxa"/>
          </w:tcPr>
          <w:p w14:paraId="58449178"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Травень </w:t>
            </w:r>
          </w:p>
          <w:p w14:paraId="598D9FCE"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2022 року</w:t>
            </w:r>
          </w:p>
        </w:tc>
      </w:tr>
      <w:tr w:rsidR="0000167A" w:rsidRPr="005F0419" w14:paraId="141031A3" w14:textId="77777777" w:rsidTr="00A55004">
        <w:tc>
          <w:tcPr>
            <w:tcW w:w="4531" w:type="dxa"/>
          </w:tcPr>
          <w:p w14:paraId="76DF0E2A" w14:textId="77777777" w:rsidR="0000167A" w:rsidRPr="005F0419" w:rsidRDefault="0000167A" w:rsidP="00E547A1">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Здійснювали оплату праці у повному обсязі, %</w:t>
            </w:r>
          </w:p>
        </w:tc>
        <w:tc>
          <w:tcPr>
            <w:tcW w:w="1557" w:type="dxa"/>
          </w:tcPr>
          <w:p w14:paraId="662F4F40"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27</w:t>
            </w:r>
          </w:p>
        </w:tc>
        <w:tc>
          <w:tcPr>
            <w:tcW w:w="1560" w:type="dxa"/>
          </w:tcPr>
          <w:p w14:paraId="40003CF7"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25</w:t>
            </w:r>
          </w:p>
        </w:tc>
        <w:tc>
          <w:tcPr>
            <w:tcW w:w="1559" w:type="dxa"/>
          </w:tcPr>
          <w:p w14:paraId="642FAD17"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23</w:t>
            </w:r>
          </w:p>
        </w:tc>
      </w:tr>
      <w:tr w:rsidR="0000167A" w:rsidRPr="005F0419" w14:paraId="37EA7ED7" w14:textId="77777777" w:rsidTr="00A55004">
        <w:tc>
          <w:tcPr>
            <w:tcW w:w="4531" w:type="dxa"/>
          </w:tcPr>
          <w:p w14:paraId="4C4CEB5E" w14:textId="77777777" w:rsidR="0000167A" w:rsidRPr="005F0419" w:rsidRDefault="0000167A" w:rsidP="00E547A1">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Знизили рівень оплати праці, %</w:t>
            </w:r>
          </w:p>
        </w:tc>
        <w:tc>
          <w:tcPr>
            <w:tcW w:w="1557" w:type="dxa"/>
          </w:tcPr>
          <w:p w14:paraId="3DEE54FB"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19</w:t>
            </w:r>
          </w:p>
        </w:tc>
        <w:tc>
          <w:tcPr>
            <w:tcW w:w="1560" w:type="dxa"/>
          </w:tcPr>
          <w:p w14:paraId="7B3F073C"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27</w:t>
            </w:r>
          </w:p>
        </w:tc>
        <w:tc>
          <w:tcPr>
            <w:tcW w:w="1559" w:type="dxa"/>
          </w:tcPr>
          <w:p w14:paraId="3C0571C6"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32</w:t>
            </w:r>
          </w:p>
        </w:tc>
      </w:tr>
      <w:tr w:rsidR="0000167A" w:rsidRPr="005F0419" w14:paraId="71F2FC58" w14:textId="77777777" w:rsidTr="00A55004">
        <w:tc>
          <w:tcPr>
            <w:tcW w:w="4531" w:type="dxa"/>
          </w:tcPr>
          <w:p w14:paraId="3A10C3A4" w14:textId="77777777" w:rsidR="0000167A" w:rsidRPr="005F0419" w:rsidRDefault="0000167A" w:rsidP="00E547A1">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Не здійснювали виплату заробітної плати, %</w:t>
            </w:r>
          </w:p>
        </w:tc>
        <w:tc>
          <w:tcPr>
            <w:tcW w:w="1557" w:type="dxa"/>
          </w:tcPr>
          <w:p w14:paraId="302E33A2"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21</w:t>
            </w:r>
          </w:p>
        </w:tc>
        <w:tc>
          <w:tcPr>
            <w:tcW w:w="1560" w:type="dxa"/>
          </w:tcPr>
          <w:p w14:paraId="777FAB82"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22</w:t>
            </w:r>
          </w:p>
        </w:tc>
        <w:tc>
          <w:tcPr>
            <w:tcW w:w="1559" w:type="dxa"/>
          </w:tcPr>
          <w:p w14:paraId="77E39C60"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21</w:t>
            </w:r>
          </w:p>
        </w:tc>
      </w:tr>
      <w:tr w:rsidR="0000167A" w:rsidRPr="005F0419" w14:paraId="041B6B7C" w14:textId="77777777" w:rsidTr="00A55004">
        <w:tc>
          <w:tcPr>
            <w:tcW w:w="4531" w:type="dxa"/>
          </w:tcPr>
          <w:p w14:paraId="11C7A459" w14:textId="77777777" w:rsidR="0000167A" w:rsidRPr="005F0419" w:rsidRDefault="0000167A" w:rsidP="00E547A1">
            <w:pPr>
              <w:spacing w:after="0" w:line="240" w:lineRule="auto"/>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Скоротили кількість штатних працівників, %</w:t>
            </w:r>
          </w:p>
        </w:tc>
        <w:tc>
          <w:tcPr>
            <w:tcW w:w="1557" w:type="dxa"/>
          </w:tcPr>
          <w:p w14:paraId="32F89EDC"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8</w:t>
            </w:r>
          </w:p>
        </w:tc>
        <w:tc>
          <w:tcPr>
            <w:tcW w:w="1560" w:type="dxa"/>
          </w:tcPr>
          <w:p w14:paraId="06F31E10"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9</w:t>
            </w:r>
          </w:p>
        </w:tc>
        <w:tc>
          <w:tcPr>
            <w:tcW w:w="1559" w:type="dxa"/>
          </w:tcPr>
          <w:p w14:paraId="37D511DF" w14:textId="77777777" w:rsidR="0000167A" w:rsidRPr="005F0419" w:rsidRDefault="0000167A" w:rsidP="00E547A1">
            <w:pPr>
              <w:spacing w:after="0" w:line="240" w:lineRule="auto"/>
              <w:jc w:val="center"/>
              <w:rPr>
                <w:rFonts w:ascii="Times New Roman" w:hAnsi="Times New Roman" w:cs="Times New Roman"/>
                <w:iCs/>
                <w:sz w:val="28"/>
                <w:szCs w:val="28"/>
                <w:shd w:val="clear" w:color="auto" w:fill="FFFFFF"/>
                <w:lang w:val="uk-UA"/>
              </w:rPr>
            </w:pPr>
            <w:r w:rsidRPr="005F0419">
              <w:rPr>
                <w:rFonts w:ascii="Times New Roman" w:hAnsi="Times New Roman" w:cs="Times New Roman"/>
                <w:sz w:val="28"/>
                <w:szCs w:val="28"/>
                <w:lang w:val="uk-UA"/>
              </w:rPr>
              <w:t>12</w:t>
            </w:r>
          </w:p>
        </w:tc>
      </w:tr>
    </w:tbl>
    <w:p w14:paraId="2AF734DD" w14:textId="2D22D578"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Джерело: за даними опитування кадрового порталу grc.ua [10]</w:t>
      </w:r>
      <w:r w:rsidR="00E547A1" w:rsidRPr="005F0419">
        <w:rPr>
          <w:rFonts w:ascii="Times New Roman" w:hAnsi="Times New Roman" w:cs="Times New Roman"/>
          <w:iCs/>
          <w:sz w:val="28"/>
          <w:szCs w:val="28"/>
          <w:shd w:val="clear" w:color="auto" w:fill="FFFFFF"/>
          <w:lang w:val="uk-UA"/>
        </w:rPr>
        <w:t>.</w:t>
      </w:r>
    </w:p>
    <w:p w14:paraId="68B3BA54"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p>
    <w:p w14:paraId="5200239F" w14:textId="3D3D3AF6"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shd w:val="clear" w:color="auto" w:fill="FFFFFF"/>
          <w:lang w:val="uk-UA"/>
        </w:rPr>
        <w:t xml:space="preserve">Так, частка підприємств, які здійснюють оплату праці в повному обсязі, становила 23%, питома вага підприємств, які були вимушені знизити рівень оплати праці, – 32%. Серед суб’єктів господарювання, які упродовж березня-травня 2022 року не виплачували заробітну плану було зафіксовано 21% респондентів. При цьому, частка підприємств, які скоротили кількість штатних працівників, становила 12%. Все це пов’язане із проблемами фінансового забезпечення підприємств, особливо у сфері малого та середнього бізнесу, які на початку війни зіткнулися із об’єктивним зниженням купівельної спроможності споживачів товарів і послуг, логістичними проблемами та пошкодженням енергетичної інфраструктури. За даними </w:t>
      </w:r>
      <w:r w:rsidRPr="005F0419">
        <w:rPr>
          <w:rFonts w:ascii="Times New Roman" w:hAnsi="Times New Roman" w:cs="Times New Roman"/>
          <w:sz w:val="28"/>
          <w:szCs w:val="28"/>
          <w:lang w:val="uk-UA"/>
        </w:rPr>
        <w:t xml:space="preserve">Європейської Бізнес Асоціації (ЄБА) серед компаній-членів Асоціації у березні 2022р., 43% компаній мали фінансові резерви на кілька місяців, 28% </w:t>
      </w:r>
      <w:r w:rsidR="00E547A1" w:rsidRPr="005F0419">
        <w:rPr>
          <w:rFonts w:ascii="Times New Roman" w:hAnsi="Times New Roman" w:cs="Times New Roman"/>
          <w:iCs/>
          <w:sz w:val="28"/>
          <w:szCs w:val="28"/>
          <w:shd w:val="clear" w:color="auto" w:fill="FFFFFF"/>
          <w:lang w:val="uk-UA"/>
        </w:rPr>
        <w:t>–</w:t>
      </w:r>
      <w:r w:rsidRPr="005F0419">
        <w:rPr>
          <w:rFonts w:ascii="Times New Roman" w:hAnsi="Times New Roman" w:cs="Times New Roman"/>
          <w:sz w:val="28"/>
          <w:szCs w:val="28"/>
          <w:lang w:val="uk-UA"/>
        </w:rPr>
        <w:t xml:space="preserve"> на 6 місяців, 17% </w:t>
      </w:r>
      <w:r w:rsidR="00E547A1" w:rsidRPr="005F0419">
        <w:rPr>
          <w:rFonts w:ascii="Times New Roman" w:hAnsi="Times New Roman" w:cs="Times New Roman"/>
          <w:iCs/>
          <w:sz w:val="28"/>
          <w:szCs w:val="28"/>
          <w:shd w:val="clear" w:color="auto" w:fill="FFFFFF"/>
          <w:lang w:val="uk-UA"/>
        </w:rPr>
        <w:t>–</w:t>
      </w:r>
      <w:r w:rsidRPr="005F0419">
        <w:rPr>
          <w:rFonts w:ascii="Times New Roman" w:hAnsi="Times New Roman" w:cs="Times New Roman"/>
          <w:sz w:val="28"/>
          <w:szCs w:val="28"/>
          <w:lang w:val="uk-UA"/>
        </w:rPr>
        <w:t xml:space="preserve"> на рік або більше, 6% повідомили, що фінансові резерви компанії вичерпані </w:t>
      </w:r>
      <w:r w:rsidRPr="005F0419">
        <w:rPr>
          <w:rFonts w:ascii="Times New Roman" w:hAnsi="Times New Roman" w:cs="Times New Roman"/>
          <w:iCs/>
          <w:sz w:val="28"/>
          <w:szCs w:val="28"/>
          <w:shd w:val="clear" w:color="auto" w:fill="FFFFFF"/>
          <w:lang w:val="uk-UA"/>
        </w:rPr>
        <w:t>[10]</w:t>
      </w:r>
      <w:r w:rsidRPr="005F0419">
        <w:rPr>
          <w:rFonts w:ascii="Times New Roman" w:hAnsi="Times New Roman" w:cs="Times New Roman"/>
          <w:sz w:val="28"/>
          <w:szCs w:val="28"/>
          <w:lang w:val="uk-UA"/>
        </w:rPr>
        <w:t xml:space="preserve"> . Серед заходів оптимізації витрат, до яких вдавалися суб’єкти господарювання на початку війни – не лише скорочення працівників, а й зниження обсягів виплати заробітної </w:t>
      </w:r>
      <w:r w:rsidRPr="005F0419">
        <w:rPr>
          <w:rFonts w:ascii="Times New Roman" w:hAnsi="Times New Roman" w:cs="Times New Roman"/>
          <w:sz w:val="28"/>
          <w:szCs w:val="28"/>
          <w:lang w:val="uk-UA"/>
        </w:rPr>
        <w:lastRenderedPageBreak/>
        <w:t xml:space="preserve">плати, призупинення преміювання, надання відпусток співробітникам за власний рахунок та пошук інших можливостей економії фонду оплати праці. </w:t>
      </w:r>
    </w:p>
    <w:p w14:paraId="6A63754F"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Проблеми матеріального забезпечення системи заохочення працівників вкрай негативно впливає на стан захищеності соціальних інтересів працівників, знижуючи результативність та якість роботи. У таких умовах важливого значення набуває застосування нематеріальних інструментів мотивації, що здійснюють позитивний вплив на стан корпоративної соціальної безпеки. Особливої уваги заслуговують наступні:</w:t>
      </w:r>
    </w:p>
    <w:p w14:paraId="04983CC8" w14:textId="77777777" w:rsidR="0000167A" w:rsidRPr="005F0419" w:rsidRDefault="0000167A" w:rsidP="00662012">
      <w:pPr>
        <w:numPr>
          <w:ilvl w:val="0"/>
          <w:numId w:val="1"/>
        </w:numPr>
        <w:tabs>
          <w:tab w:val="clear" w:pos="1728"/>
          <w:tab w:val="num" w:pos="567"/>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управління кар’єрним зростанням (розробка індивідуальних планів розвитку працівника, обов’язкова наявність кадрового резерву тощо), що спрямоване на формування статусних мотивів та задоволення потреб співробітників у зростанні та самореалізації;</w:t>
      </w:r>
    </w:p>
    <w:p w14:paraId="5F607967" w14:textId="77777777" w:rsidR="0000167A" w:rsidRPr="005F0419" w:rsidRDefault="0000167A" w:rsidP="00662012">
      <w:pPr>
        <w:numPr>
          <w:ilvl w:val="0"/>
          <w:numId w:val="1"/>
        </w:numPr>
        <w:tabs>
          <w:tab w:val="clear" w:pos="1728"/>
          <w:tab w:val="num" w:pos="567"/>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корпоративне навчання та підвищення кваліфікації (як на базі підприємств, так і на базі закладів освіти), в тому числі організація семінарів та тренінгів спільно з іншими підприємствами галузі з метою обміну досвідом, що покликане сприяти забезпеченню соціальних (комунікативних) потреб та потреб працівників у досягненні успіху, а також є основним напрямом інвестування у персонал задля зростання ефективності його праці;</w:t>
      </w:r>
    </w:p>
    <w:p w14:paraId="131E5FD4" w14:textId="77777777" w:rsidR="0000167A" w:rsidRPr="005F0419" w:rsidRDefault="0000167A" w:rsidP="00662012">
      <w:pPr>
        <w:numPr>
          <w:ilvl w:val="0"/>
          <w:numId w:val="1"/>
        </w:numPr>
        <w:tabs>
          <w:tab w:val="clear" w:pos="1728"/>
          <w:tab w:val="num" w:pos="567"/>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застосування </w:t>
      </w:r>
      <w:proofErr w:type="spellStart"/>
      <w:r w:rsidRPr="005F0419">
        <w:rPr>
          <w:rFonts w:ascii="Times New Roman" w:hAnsi="Times New Roman" w:cs="Times New Roman"/>
          <w:sz w:val="28"/>
          <w:szCs w:val="28"/>
          <w:lang w:val="uk-UA"/>
        </w:rPr>
        <w:t>тімбілдінгу</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командоутворення</w:t>
      </w:r>
      <w:proofErr w:type="spellEnd"/>
      <w:r w:rsidRPr="005F0419">
        <w:rPr>
          <w:rFonts w:ascii="Times New Roman" w:hAnsi="Times New Roman" w:cs="Times New Roman"/>
          <w:sz w:val="28"/>
          <w:szCs w:val="28"/>
          <w:lang w:val="uk-UA"/>
        </w:rPr>
        <w:t>) у якості мотиваційного інструменту та чинника досягнення цілей організації, що включає комплекс заходів з приводу формування навичок командної роботи, командного духу та безпосередньої організації роботи колективу (команди) в процесі виконання конкретної роботи (завдання). Даний напрям формує мотиви соціального характеру та задовольняє потреби працівників у причетності до колективу;</w:t>
      </w:r>
    </w:p>
    <w:p w14:paraId="0F4F01B7" w14:textId="77777777" w:rsidR="0000167A" w:rsidRPr="005F0419" w:rsidRDefault="0000167A" w:rsidP="00662012">
      <w:pPr>
        <w:numPr>
          <w:ilvl w:val="0"/>
          <w:numId w:val="1"/>
        </w:numPr>
        <w:tabs>
          <w:tab w:val="clear" w:pos="1728"/>
          <w:tab w:val="num" w:pos="567"/>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створення сприятливих умов праці та формування комфортного робочого середовища, включаючи соціально-психологічний клімат у колективі, що має на меті формування трудових мотивів та сприяє покращенню результативності роботи працівників;</w:t>
      </w:r>
    </w:p>
    <w:p w14:paraId="650177B6" w14:textId="77777777" w:rsidR="0000167A" w:rsidRPr="005F0419" w:rsidRDefault="0000167A" w:rsidP="00662012">
      <w:pPr>
        <w:numPr>
          <w:ilvl w:val="0"/>
          <w:numId w:val="1"/>
        </w:numPr>
        <w:tabs>
          <w:tab w:val="clear" w:pos="1728"/>
          <w:tab w:val="num" w:pos="567"/>
        </w:tabs>
        <w:spacing w:after="0" w:line="360" w:lineRule="auto"/>
        <w:ind w:left="0" w:firstLine="720"/>
        <w:jc w:val="both"/>
        <w:rPr>
          <w:rFonts w:ascii="Times New Roman" w:hAnsi="Times New Roman" w:cs="Times New Roman"/>
          <w:spacing w:val="4"/>
          <w:sz w:val="28"/>
          <w:szCs w:val="28"/>
          <w:lang w:val="uk-UA"/>
        </w:rPr>
      </w:pPr>
      <w:r w:rsidRPr="005F0419">
        <w:rPr>
          <w:rFonts w:ascii="Times New Roman" w:hAnsi="Times New Roman" w:cs="Times New Roman"/>
          <w:spacing w:val="4"/>
          <w:sz w:val="28"/>
          <w:szCs w:val="28"/>
          <w:lang w:val="uk-UA"/>
        </w:rPr>
        <w:lastRenderedPageBreak/>
        <w:t>розвиток корпоративної культури у якості інструменту нематеріальної мотивації, що формує систему цінностей, традицій, відносин, які притаманні конкретно взятому підприємству або організації, відображають її іміджеві характеристики, забезпечують посилення лояльності персоналу та відчуття приналежності працівників до організації;</w:t>
      </w:r>
    </w:p>
    <w:p w14:paraId="045A5DBC" w14:textId="77777777" w:rsidR="0000167A" w:rsidRPr="005F0419" w:rsidRDefault="0000167A" w:rsidP="00662012">
      <w:pPr>
        <w:numPr>
          <w:ilvl w:val="0"/>
          <w:numId w:val="1"/>
        </w:numPr>
        <w:tabs>
          <w:tab w:val="clear" w:pos="1728"/>
          <w:tab w:val="num" w:pos="567"/>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розширення стандартного соціального пакету та включення до нього додаткових негрошових бонусів та пільг для працівників, зокрема медичного страхування, санаторно-курортного лікування, спортивно-оздоровчих заходів, компенсації транспортних витрат та витрат на послуги зв’язку у випадку необхідності тощо;</w:t>
      </w:r>
    </w:p>
    <w:p w14:paraId="19CA95E5" w14:textId="77777777" w:rsidR="0000167A" w:rsidRPr="005F0419" w:rsidRDefault="0000167A" w:rsidP="00662012">
      <w:pPr>
        <w:numPr>
          <w:ilvl w:val="0"/>
          <w:numId w:val="1"/>
        </w:numPr>
        <w:tabs>
          <w:tab w:val="clear" w:pos="1728"/>
          <w:tab w:val="num" w:pos="567"/>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використання нестандартних форм зайнятості працівника у якості заохочувального інструменту, зокрема елементів дистанційної роботи, гнучкого робочого графіку, надання оплачуваних вихідних за досягнення високих результатів;</w:t>
      </w:r>
    </w:p>
    <w:p w14:paraId="0BE52632" w14:textId="77777777" w:rsidR="0000167A" w:rsidRPr="005F0419" w:rsidRDefault="0000167A" w:rsidP="00662012">
      <w:pPr>
        <w:numPr>
          <w:ilvl w:val="0"/>
          <w:numId w:val="1"/>
        </w:numPr>
        <w:tabs>
          <w:tab w:val="clear" w:pos="1728"/>
          <w:tab w:val="num" w:pos="567"/>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застосування додаткових варіантів нематеріального заохочення працівників, серед яких публічна похвала з боку керівництва, нагородження грамотами, подяками, цінними подарунками, використання «дошок пошани» тощо. </w:t>
      </w:r>
    </w:p>
    <w:p w14:paraId="70F701E3" w14:textId="68CEAEFB"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Погоджуємося із вченими К. С. </w:t>
      </w:r>
      <w:proofErr w:type="spellStart"/>
      <w:r w:rsidRPr="005F0419">
        <w:rPr>
          <w:rFonts w:ascii="Times New Roman" w:hAnsi="Times New Roman" w:cs="Times New Roman"/>
          <w:sz w:val="28"/>
          <w:szCs w:val="28"/>
          <w:lang w:val="uk-UA"/>
        </w:rPr>
        <w:t>Безгіним</w:t>
      </w:r>
      <w:proofErr w:type="spellEnd"/>
      <w:r w:rsidRPr="005F0419">
        <w:rPr>
          <w:rFonts w:ascii="Times New Roman" w:hAnsi="Times New Roman" w:cs="Times New Roman"/>
          <w:sz w:val="28"/>
          <w:szCs w:val="28"/>
          <w:lang w:val="uk-UA"/>
        </w:rPr>
        <w:t>, І. В. Гришиною, В. В. </w:t>
      </w:r>
      <w:proofErr w:type="spellStart"/>
      <w:r w:rsidRPr="005F0419">
        <w:rPr>
          <w:rFonts w:ascii="Times New Roman" w:hAnsi="Times New Roman" w:cs="Times New Roman"/>
          <w:sz w:val="28"/>
          <w:szCs w:val="28"/>
          <w:lang w:val="uk-UA"/>
        </w:rPr>
        <w:t>Ушкальовим</w:t>
      </w:r>
      <w:proofErr w:type="spellEnd"/>
      <w:r w:rsidRPr="005F0419">
        <w:rPr>
          <w:rFonts w:ascii="Times New Roman" w:hAnsi="Times New Roman" w:cs="Times New Roman"/>
          <w:sz w:val="28"/>
          <w:szCs w:val="28"/>
          <w:lang w:val="uk-UA"/>
        </w:rPr>
        <w:t xml:space="preserve">, які вважають, що «специфічною особливістю мотивації сучасного працівника є інтелектуальна активність, що може розглядатися як інтегральна властивість особистості, яка забезпечує її здатність до ситуативно нестимульованої продуктивної діяльності» [11, с. 3]. Таким чином, за допомогою стимулювання активності персоналу є можливим спрямування трудової поведінки працівників у інноваційне русло, що відображає можливість створення ними інноваційної цінності, яке є одним із чинників формування стану захищеності їх інтересів у сфері зайнятості та оплати праці. Враховуючи трансформацію управлінських підходів в умовах становлення економіки знань важливим є застосування таких мотиваційних інструментів, які сприятимуть підвищенню </w:t>
      </w:r>
      <w:proofErr w:type="spellStart"/>
      <w:r w:rsidRPr="005F0419">
        <w:rPr>
          <w:rFonts w:ascii="Times New Roman" w:hAnsi="Times New Roman" w:cs="Times New Roman"/>
          <w:sz w:val="28"/>
          <w:szCs w:val="28"/>
          <w:lang w:val="uk-UA"/>
        </w:rPr>
        <w:t>інноваційності</w:t>
      </w:r>
      <w:proofErr w:type="spellEnd"/>
      <w:r w:rsidRPr="005F0419">
        <w:rPr>
          <w:rFonts w:ascii="Times New Roman" w:hAnsi="Times New Roman" w:cs="Times New Roman"/>
          <w:sz w:val="28"/>
          <w:szCs w:val="28"/>
          <w:lang w:val="uk-UA"/>
        </w:rPr>
        <w:t xml:space="preserve"> праці. Зокрема, це можливість безперервного </w:t>
      </w:r>
      <w:r w:rsidRPr="005F0419">
        <w:rPr>
          <w:rFonts w:ascii="Times New Roman" w:hAnsi="Times New Roman" w:cs="Times New Roman"/>
          <w:sz w:val="28"/>
          <w:szCs w:val="28"/>
          <w:lang w:val="uk-UA"/>
        </w:rPr>
        <w:lastRenderedPageBreak/>
        <w:t xml:space="preserve">навчання, підтримка професійного та </w:t>
      </w:r>
      <w:r w:rsidR="00E547A1" w:rsidRPr="005F0419">
        <w:rPr>
          <w:rFonts w:ascii="Times New Roman" w:hAnsi="Times New Roman" w:cs="Times New Roman"/>
          <w:sz w:val="28"/>
          <w:szCs w:val="28"/>
          <w:lang w:val="uk-UA"/>
        </w:rPr>
        <w:t>особистісного</w:t>
      </w:r>
      <w:r w:rsidRPr="005F0419">
        <w:rPr>
          <w:rFonts w:ascii="Times New Roman" w:hAnsi="Times New Roman" w:cs="Times New Roman"/>
          <w:sz w:val="28"/>
          <w:szCs w:val="28"/>
          <w:lang w:val="uk-UA"/>
        </w:rPr>
        <w:t xml:space="preserve"> розвитку, формування команди однодумців, створення сприятливих умов для інновацій, налагодження зворотного  зв’язку, забезпечення балансу між роботою та відпочинком, визнання, гнучкі режими зайнятості, надання можливості самостійної постановки завдань та його виконання, заохочення ініціативи, прозорість цілей [12]. </w:t>
      </w:r>
    </w:p>
    <w:p w14:paraId="4F10445F" w14:textId="77777777" w:rsidR="0000167A" w:rsidRPr="005F0419" w:rsidRDefault="0000167A" w:rsidP="00662012">
      <w:pPr>
        <w:spacing w:after="0" w:line="360" w:lineRule="auto"/>
        <w:ind w:firstLine="720"/>
        <w:jc w:val="both"/>
        <w:rPr>
          <w:rFonts w:ascii="Times New Roman" w:hAnsi="Times New Roman" w:cs="Times New Roman"/>
          <w:b/>
          <w:i/>
          <w:sz w:val="28"/>
          <w:szCs w:val="28"/>
          <w:lang w:val="uk-UA"/>
        </w:rPr>
      </w:pPr>
      <w:r w:rsidRPr="005F0419">
        <w:rPr>
          <w:rFonts w:ascii="Times New Roman" w:hAnsi="Times New Roman" w:cs="Times New Roman"/>
          <w:sz w:val="28"/>
          <w:szCs w:val="28"/>
          <w:lang w:val="uk-UA"/>
        </w:rPr>
        <w:t>Дотримуємося схожої точки зору із проф. Л. </w:t>
      </w:r>
      <w:proofErr w:type="spellStart"/>
      <w:r w:rsidRPr="005F0419">
        <w:rPr>
          <w:rFonts w:ascii="Times New Roman" w:hAnsi="Times New Roman" w:cs="Times New Roman"/>
          <w:sz w:val="28"/>
          <w:szCs w:val="28"/>
          <w:lang w:val="uk-UA"/>
        </w:rPr>
        <w:t>Лісогор</w:t>
      </w:r>
      <w:proofErr w:type="spellEnd"/>
      <w:r w:rsidRPr="005F0419">
        <w:rPr>
          <w:rFonts w:ascii="Times New Roman" w:hAnsi="Times New Roman" w:cs="Times New Roman"/>
          <w:sz w:val="28"/>
          <w:szCs w:val="28"/>
          <w:lang w:val="uk-UA"/>
        </w:rPr>
        <w:t xml:space="preserve">, що «стимулювання розвитку інноваційних процесів у сучасних економічних системах призводить до поширення інноваційної зайнятості», що у свою чергу забезпечує конкурентоспроможність робочої сили та її відповідність умовам інноваційної економіки [13, с. 89]. Все це є важливим джерелом формування стану захищеності соціальних інтересів працівників, яке може застосовувати підприємство з метою заохочення </w:t>
      </w:r>
      <w:proofErr w:type="spellStart"/>
      <w:r w:rsidRPr="005F0419">
        <w:rPr>
          <w:rFonts w:ascii="Times New Roman" w:hAnsi="Times New Roman" w:cs="Times New Roman"/>
          <w:sz w:val="28"/>
          <w:szCs w:val="28"/>
          <w:lang w:val="uk-UA"/>
        </w:rPr>
        <w:t>інноваційності</w:t>
      </w:r>
      <w:proofErr w:type="spellEnd"/>
      <w:r w:rsidRPr="005F0419">
        <w:rPr>
          <w:rFonts w:ascii="Times New Roman" w:hAnsi="Times New Roman" w:cs="Times New Roman"/>
          <w:sz w:val="28"/>
          <w:szCs w:val="28"/>
          <w:lang w:val="uk-UA"/>
        </w:rPr>
        <w:t xml:space="preserve"> та забезпечення соціальної безпеки персоналу. </w:t>
      </w:r>
    </w:p>
    <w:p w14:paraId="3E1BC15C"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Наразі існує велика кількість варіантів щодо нематеріального заохочення персоналу, які успішно використовуються, а також сприяють не лише досягненню очікуваних результатів діяльності, а й забезпеченню соціальної безпеки працівників. В той же час нами було узагальнено та визначено пріоритетні напрями нематеріальної мотивації, які доцільно використовувати в рамках забезпечення корпоративної соціальної безпеки. Важливими умовами успішності їх застосування на сучасних підприємствах є:</w:t>
      </w:r>
    </w:p>
    <w:p w14:paraId="49D5BFE3" w14:textId="77777777" w:rsidR="0000167A" w:rsidRPr="005F0419" w:rsidRDefault="0000167A" w:rsidP="00662012">
      <w:pPr>
        <w:numPr>
          <w:ilvl w:val="0"/>
          <w:numId w:val="1"/>
        </w:numPr>
        <w:tabs>
          <w:tab w:val="clear" w:pos="1728"/>
          <w:tab w:val="num" w:pos="567"/>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обов’язкова діагностика та періодичний моніторинг першочергових потреб працівників з метою формування дієвої мотиваційної системи;</w:t>
      </w:r>
    </w:p>
    <w:p w14:paraId="282F3CA9" w14:textId="77777777" w:rsidR="0000167A" w:rsidRPr="005F0419" w:rsidRDefault="0000167A" w:rsidP="00662012">
      <w:pPr>
        <w:numPr>
          <w:ilvl w:val="0"/>
          <w:numId w:val="1"/>
        </w:numPr>
        <w:tabs>
          <w:tab w:val="clear" w:pos="1728"/>
          <w:tab w:val="num" w:pos="567"/>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зрозумілість та прозорість системи заохочення працівників, що виключає непорозуміння та неконструктивну конкуренцію між співробітниками;</w:t>
      </w:r>
    </w:p>
    <w:p w14:paraId="3736E707" w14:textId="77777777" w:rsidR="0000167A" w:rsidRPr="005F0419" w:rsidRDefault="0000167A" w:rsidP="00662012">
      <w:pPr>
        <w:numPr>
          <w:ilvl w:val="0"/>
          <w:numId w:val="1"/>
        </w:numPr>
        <w:tabs>
          <w:tab w:val="clear" w:pos="1728"/>
          <w:tab w:val="num" w:pos="567"/>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формування взаємозалежності між системою мотивації та системою оцінювання персоналу, що забезпечуватиме не лише зв’язок результатів праці та винагороди співробітників, а й врахування принципу справедливості у соціально-трудових відносинах, а отже, сприятиме соціальній безпеці працівників. </w:t>
      </w:r>
    </w:p>
    <w:p w14:paraId="5049C3E5"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Таким чином, з метою орієнтації працівників на досягнення результату, справедливого винагородження кожного співробітника та заохочення подальшого зростання ефективності праці, важливим є формування такої мотиваційної системи, яка у кінцевому підсумку сприятиме забезпеченню безпеки у сфері зайнятості та оплати праці. </w:t>
      </w:r>
    </w:p>
    <w:p w14:paraId="38ED058E"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У процесі прагнення до забезпечення корпоративної соціальної безпеки важливо проводити періодичну діагностику її стану, що </w:t>
      </w:r>
      <w:r w:rsidRPr="005F0419">
        <w:rPr>
          <w:rFonts w:ascii="Times New Roman" w:hAnsi="Times New Roman" w:cs="Times New Roman"/>
          <w:sz w:val="28"/>
          <w:szCs w:val="28"/>
          <w:lang w:val="uk-UA"/>
        </w:rPr>
        <w:t>має забезпечуватися моніторинговим механізмом. Практичне впровадження системи моніторингу стану корпоративної соціальної безпеки, на нашу думку, сприятиме не лише виявленню проблемних аспектів – викликів, загроз і небезпек – а й визначенню напрямів удосконалення діючої корпоративної політики у сфері соціально-трудових відносин. У свою чергу дані, отримані у результаті моніторингу, доцільно використовувати не лише з метою оцінки поточної ситуації, а й прогнозування подальших перспектив.</w:t>
      </w:r>
    </w:p>
    <w:p w14:paraId="77FAD87F" w14:textId="77777777" w:rsidR="0000167A" w:rsidRPr="005F0419" w:rsidRDefault="0000167A" w:rsidP="00662012">
      <w:pPr>
        <w:spacing w:after="0" w:line="360" w:lineRule="auto"/>
        <w:ind w:firstLine="720"/>
        <w:jc w:val="both"/>
        <w:rPr>
          <w:rFonts w:ascii="Times New Roman" w:hAnsi="Times New Roman" w:cs="Times New Roman"/>
          <w:iCs/>
          <w:spacing w:val="-2"/>
          <w:sz w:val="28"/>
          <w:szCs w:val="28"/>
          <w:shd w:val="clear" w:color="auto" w:fill="FFFFFF"/>
          <w:lang w:val="uk-UA"/>
        </w:rPr>
      </w:pPr>
      <w:r w:rsidRPr="005F0419">
        <w:rPr>
          <w:rFonts w:ascii="Times New Roman" w:hAnsi="Times New Roman" w:cs="Times New Roman"/>
          <w:iCs/>
          <w:spacing w:val="-2"/>
          <w:sz w:val="28"/>
          <w:szCs w:val="28"/>
          <w:shd w:val="clear" w:color="auto" w:fill="FFFFFF"/>
          <w:lang w:val="uk-UA"/>
        </w:rPr>
        <w:t xml:space="preserve">Механізм проведення моніторингу корпоративної соціальної безпеки являє собою поєднання основних принципів, інструментів, необхідних ресурсів, критеріїв та індикаторів, що реалізується у рамках визначених етапів моніторингу задля досягнення поставленої мети [14]. Концептуальне бачення механізму проведення моніторингу корпоративної безпеки наведено на рисунку 4.  </w:t>
      </w:r>
    </w:p>
    <w:p w14:paraId="6D507E04"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 xml:space="preserve">Варто зауважити, що в умовах здійснення процесу діагностики, виходячи із запланованих критеріїв та індикаторів соціальної безпеки на рівні суб’єктів господарювання (табл. 1), моніторинг безпеки зайнятості та моніторинг безпеки оплати праці у своєму комплексному поєднанні забезпечують діагностику корпоративного ринку праці. Серед основних цілей проведення моніторингу – </w:t>
      </w:r>
      <w:r w:rsidRPr="005F0419">
        <w:rPr>
          <w:rFonts w:ascii="Times New Roman" w:hAnsi="Times New Roman" w:cs="Times New Roman"/>
          <w:sz w:val="28"/>
          <w:szCs w:val="28"/>
          <w:lang w:val="uk-UA"/>
        </w:rPr>
        <w:t xml:space="preserve">діагностика стану безпеки зайнятості та безпеки оплати праці, у тому числі оцінка ключових загроз та напрямів їх нейтралізації, що, в свою чергу </w:t>
      </w:r>
      <w:proofErr w:type="spellStart"/>
      <w:r w:rsidRPr="005F0419">
        <w:rPr>
          <w:rFonts w:ascii="Times New Roman" w:hAnsi="Times New Roman" w:cs="Times New Roman"/>
          <w:sz w:val="28"/>
          <w:szCs w:val="28"/>
          <w:lang w:val="uk-UA"/>
        </w:rPr>
        <w:t>надасть</w:t>
      </w:r>
      <w:proofErr w:type="spellEnd"/>
      <w:r w:rsidRPr="005F0419">
        <w:rPr>
          <w:rFonts w:ascii="Times New Roman" w:hAnsi="Times New Roman" w:cs="Times New Roman"/>
          <w:sz w:val="28"/>
          <w:szCs w:val="28"/>
          <w:lang w:val="uk-UA"/>
        </w:rPr>
        <w:t xml:space="preserve"> можливість визначення стану корпоративного ринку праці, наявність загроз та перспектив їх подолання.  </w:t>
      </w:r>
    </w:p>
    <w:p w14:paraId="402EDFA7"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p>
    <w:p w14:paraId="6146D352"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p>
    <w:p w14:paraId="7525DFD4" w14:textId="77777777" w:rsidR="0000167A" w:rsidRPr="005F0419" w:rsidRDefault="0000167A" w:rsidP="00E547A1">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rPr>
        <w:lastRenderedPageBreak/>
        <mc:AlternateContent>
          <mc:Choice Requires="wpc">
            <w:drawing>
              <wp:inline distT="0" distB="0" distL="0" distR="0" wp14:anchorId="2B37357B" wp14:editId="726FBA14">
                <wp:extent cx="6057900" cy="8147685"/>
                <wp:effectExtent l="0" t="0" r="19050" b="24765"/>
                <wp:docPr id="579720626"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87653381" name="Rectangle 4"/>
                        <wps:cNvSpPr>
                          <a:spLocks noChangeArrowheads="1"/>
                        </wps:cNvSpPr>
                        <wps:spPr bwMode="auto">
                          <a:xfrm>
                            <a:off x="509873" y="3456671"/>
                            <a:ext cx="5300663" cy="1654258"/>
                          </a:xfrm>
                          <a:prstGeom prst="rect">
                            <a:avLst/>
                          </a:prstGeom>
                          <a:solidFill>
                            <a:srgbClr val="FFFFFF"/>
                          </a:solidFill>
                          <a:ln w="9525">
                            <a:solidFill>
                              <a:srgbClr val="000000"/>
                            </a:solidFill>
                            <a:prstDash val="lgDashDotDot"/>
                            <a:miter lim="800000"/>
                            <a:headEnd/>
                            <a:tailEnd/>
                          </a:ln>
                        </wps:spPr>
                        <wps:bodyPr rot="0" vert="horz" wrap="square" lIns="91440" tIns="45720" rIns="91440" bIns="45720" anchor="t" anchorCtr="0" upright="1">
                          <a:noAutofit/>
                        </wps:bodyPr>
                      </wps:wsp>
                      <wps:wsp>
                        <wps:cNvPr id="1252094331" name="Rectangle 5"/>
                        <wps:cNvSpPr>
                          <a:spLocks noChangeArrowheads="1"/>
                        </wps:cNvSpPr>
                        <wps:spPr bwMode="auto">
                          <a:xfrm>
                            <a:off x="2719324" y="62648"/>
                            <a:ext cx="1364996" cy="912712"/>
                          </a:xfrm>
                          <a:prstGeom prst="rect">
                            <a:avLst/>
                          </a:prstGeom>
                          <a:solidFill>
                            <a:srgbClr val="FFFFFF"/>
                          </a:solidFill>
                          <a:ln w="9525">
                            <a:solidFill>
                              <a:srgbClr val="000000"/>
                            </a:solidFill>
                            <a:miter lim="800000"/>
                            <a:headEnd/>
                            <a:tailEnd/>
                          </a:ln>
                        </wps:spPr>
                        <wps:txbx>
                          <w:txbxContent>
                            <w:p w14:paraId="5F4B9BC3" w14:textId="77777777" w:rsidR="00571B42" w:rsidRPr="00EB431E" w:rsidRDefault="00571B42" w:rsidP="0000167A">
                              <w:pPr>
                                <w:jc w:val="center"/>
                                <w:rPr>
                                  <w:rFonts w:ascii="Times New Roman" w:hAnsi="Times New Roman" w:cs="Times New Roman"/>
                                  <w:lang w:val="uk-UA"/>
                                </w:rPr>
                              </w:pPr>
                              <w:r>
                                <w:rPr>
                                  <w:rFonts w:ascii="Times New Roman" w:hAnsi="Times New Roman" w:cs="Times New Roman"/>
                                  <w:b/>
                                  <w:lang w:val="uk-UA"/>
                                </w:rPr>
                                <w:t>Моніторинг корпоративної соціальної безпеки</w:t>
                              </w:r>
                            </w:p>
                          </w:txbxContent>
                        </wps:txbx>
                        <wps:bodyPr rot="0" vert="horz" wrap="square" lIns="91440" tIns="45720" rIns="91440" bIns="45720" anchor="t" anchorCtr="0" upright="1">
                          <a:noAutofit/>
                        </wps:bodyPr>
                      </wps:wsp>
                      <wps:wsp>
                        <wps:cNvPr id="1236101105" name="AutoShape 6"/>
                        <wps:cNvSpPr>
                          <a:spLocks noChangeArrowheads="1"/>
                        </wps:cNvSpPr>
                        <wps:spPr bwMode="auto">
                          <a:xfrm>
                            <a:off x="2426526" y="502034"/>
                            <a:ext cx="292799" cy="241281"/>
                          </a:xfrm>
                          <a:prstGeom prst="stripedRightArrow">
                            <a:avLst>
                              <a:gd name="adj1" fmla="val 50000"/>
                              <a:gd name="adj2" fmla="val 3052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93938237" name="AutoShape 7"/>
                        <wps:cNvSpPr>
                          <a:spLocks noChangeArrowheads="1"/>
                        </wps:cNvSpPr>
                        <wps:spPr bwMode="auto">
                          <a:xfrm>
                            <a:off x="4091940" y="502034"/>
                            <a:ext cx="440547" cy="275206"/>
                          </a:xfrm>
                          <a:prstGeom prst="stripedRightArrow">
                            <a:avLst>
                              <a:gd name="adj1" fmla="val 50000"/>
                              <a:gd name="adj2" fmla="val 3070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47706901" name="AutoShape 8"/>
                        <wps:cNvSpPr>
                          <a:spLocks noChangeArrowheads="1"/>
                        </wps:cNvSpPr>
                        <wps:spPr bwMode="auto">
                          <a:xfrm rot="3476876">
                            <a:off x="2149891" y="793111"/>
                            <a:ext cx="259060" cy="743510"/>
                          </a:xfrm>
                          <a:prstGeom prst="downArrow">
                            <a:avLst>
                              <a:gd name="adj1" fmla="val 50000"/>
                              <a:gd name="adj2" fmla="val 60866"/>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607189478" name="AutoShape 9"/>
                        <wps:cNvSpPr>
                          <a:spLocks noChangeArrowheads="1"/>
                        </wps:cNvSpPr>
                        <wps:spPr bwMode="auto">
                          <a:xfrm>
                            <a:off x="999554" y="1970886"/>
                            <a:ext cx="262509" cy="154081"/>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443645253" name="AutoShape 10"/>
                        <wps:cNvSpPr>
                          <a:spLocks noChangeArrowheads="1"/>
                        </wps:cNvSpPr>
                        <wps:spPr bwMode="auto">
                          <a:xfrm>
                            <a:off x="3121501" y="5110928"/>
                            <a:ext cx="263350" cy="182019"/>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834336403" name="Oval 11"/>
                        <wps:cNvSpPr>
                          <a:spLocks noChangeArrowheads="1"/>
                        </wps:cNvSpPr>
                        <wps:spPr bwMode="auto">
                          <a:xfrm>
                            <a:off x="0" y="121064"/>
                            <a:ext cx="2426526" cy="977824"/>
                          </a:xfrm>
                          <a:prstGeom prst="ellipse">
                            <a:avLst/>
                          </a:prstGeom>
                          <a:solidFill>
                            <a:srgbClr val="FFFFFF"/>
                          </a:solidFill>
                          <a:ln w="9525">
                            <a:solidFill>
                              <a:srgbClr val="000000"/>
                            </a:solidFill>
                            <a:round/>
                            <a:headEnd/>
                            <a:tailEnd/>
                          </a:ln>
                        </wps:spPr>
                        <wps:txbx>
                          <w:txbxContent>
                            <w:p w14:paraId="05DDA8BA"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Керівництво організації, служби (відділи) з управління персоналом, профспілки</w:t>
                              </w:r>
                            </w:p>
                            <w:p w14:paraId="239E882B" w14:textId="77777777" w:rsidR="00571B42" w:rsidRPr="00EB431E" w:rsidRDefault="00571B42" w:rsidP="0000167A">
                              <w:pPr>
                                <w:rPr>
                                  <w:rFonts w:ascii="Times New Roman" w:hAnsi="Times New Roman" w:cs="Times New Roman"/>
                                  <w:lang w:val="uk-UA"/>
                                </w:rPr>
                              </w:pPr>
                            </w:p>
                          </w:txbxContent>
                        </wps:txbx>
                        <wps:bodyPr rot="0" vert="horz" wrap="square" lIns="91440" tIns="45720" rIns="91440" bIns="45720" anchor="t" anchorCtr="0" upright="1">
                          <a:noAutofit/>
                        </wps:bodyPr>
                      </wps:wsp>
                      <wps:wsp>
                        <wps:cNvPr id="1601814000" name="Oval 12"/>
                        <wps:cNvSpPr>
                          <a:spLocks noChangeArrowheads="1"/>
                        </wps:cNvSpPr>
                        <wps:spPr bwMode="auto">
                          <a:xfrm>
                            <a:off x="4532487" y="62648"/>
                            <a:ext cx="1525413" cy="1179412"/>
                          </a:xfrm>
                          <a:prstGeom prst="ellipse">
                            <a:avLst/>
                          </a:prstGeom>
                          <a:solidFill>
                            <a:srgbClr val="FFFFFF"/>
                          </a:solidFill>
                          <a:ln w="9525">
                            <a:solidFill>
                              <a:srgbClr val="000000"/>
                            </a:solidFill>
                            <a:round/>
                            <a:headEnd/>
                            <a:tailEnd/>
                          </a:ln>
                        </wps:spPr>
                        <wps:txbx>
                          <w:txbxContent>
                            <w:p w14:paraId="4277E8D9"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Безпека зайнятості та безпека оплати праці</w:t>
                              </w:r>
                            </w:p>
                          </w:txbxContent>
                        </wps:txbx>
                        <wps:bodyPr rot="0" vert="horz" wrap="square" lIns="91440" tIns="45720" rIns="91440" bIns="45720" anchor="t" anchorCtr="0" upright="1">
                          <a:noAutofit/>
                        </wps:bodyPr>
                      </wps:wsp>
                      <wps:wsp>
                        <wps:cNvPr id="1587303743" name="AutoShape 13"/>
                        <wps:cNvSpPr>
                          <a:spLocks noChangeArrowheads="1"/>
                        </wps:cNvSpPr>
                        <wps:spPr bwMode="auto">
                          <a:xfrm rot="17661303">
                            <a:off x="4328354" y="864495"/>
                            <a:ext cx="237206" cy="587932"/>
                          </a:xfrm>
                          <a:prstGeom prst="downArrow">
                            <a:avLst>
                              <a:gd name="adj1" fmla="val 50000"/>
                              <a:gd name="adj2" fmla="val 48058"/>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899770778" name="Rectangle 14"/>
                        <wps:cNvSpPr>
                          <a:spLocks noChangeArrowheads="1"/>
                        </wps:cNvSpPr>
                        <wps:spPr bwMode="auto">
                          <a:xfrm>
                            <a:off x="509873" y="1314771"/>
                            <a:ext cx="1289828" cy="657809"/>
                          </a:xfrm>
                          <a:prstGeom prst="rect">
                            <a:avLst/>
                          </a:prstGeom>
                          <a:solidFill>
                            <a:srgbClr val="FFFFFF"/>
                          </a:solidFill>
                          <a:ln w="9525">
                            <a:solidFill>
                              <a:srgbClr val="000000"/>
                            </a:solidFill>
                            <a:miter lim="800000"/>
                            <a:headEnd/>
                            <a:tailEnd/>
                          </a:ln>
                        </wps:spPr>
                        <wps:txbx>
                          <w:txbxContent>
                            <w:p w14:paraId="065EB683"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Моніторинг безпеки зайнятості</w:t>
                              </w:r>
                            </w:p>
                          </w:txbxContent>
                        </wps:txbx>
                        <wps:bodyPr rot="0" vert="horz" wrap="square" lIns="91440" tIns="45720" rIns="91440" bIns="45720" anchor="t" anchorCtr="0" upright="1">
                          <a:noAutofit/>
                        </wps:bodyPr>
                      </wps:wsp>
                      <wps:wsp>
                        <wps:cNvPr id="161239006" name="Rectangle 15"/>
                        <wps:cNvSpPr>
                          <a:spLocks noChangeArrowheads="1"/>
                        </wps:cNvSpPr>
                        <wps:spPr bwMode="auto">
                          <a:xfrm>
                            <a:off x="4707493" y="1314771"/>
                            <a:ext cx="1289828" cy="657809"/>
                          </a:xfrm>
                          <a:prstGeom prst="rect">
                            <a:avLst/>
                          </a:prstGeom>
                          <a:solidFill>
                            <a:srgbClr val="FFFFFF"/>
                          </a:solidFill>
                          <a:ln w="9525">
                            <a:solidFill>
                              <a:srgbClr val="000000"/>
                            </a:solidFill>
                            <a:miter lim="800000"/>
                            <a:headEnd/>
                            <a:tailEnd/>
                          </a:ln>
                        </wps:spPr>
                        <wps:txbx>
                          <w:txbxContent>
                            <w:p w14:paraId="7918C57E"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Моніторинг безпеки оплати праці</w:t>
                              </w:r>
                            </w:p>
                          </w:txbxContent>
                        </wps:txbx>
                        <wps:bodyPr rot="0" vert="horz" wrap="square" lIns="91440" tIns="45720" rIns="91440" bIns="45720" anchor="t" anchorCtr="0" upright="1">
                          <a:noAutofit/>
                        </wps:bodyPr>
                      </wps:wsp>
                      <wps:wsp>
                        <wps:cNvPr id="1820847098" name="AutoShape 16"/>
                        <wps:cNvSpPr>
                          <a:spLocks noChangeArrowheads="1"/>
                        </wps:cNvSpPr>
                        <wps:spPr bwMode="auto">
                          <a:xfrm>
                            <a:off x="1799701" y="1517955"/>
                            <a:ext cx="530908" cy="241281"/>
                          </a:xfrm>
                          <a:prstGeom prst="stripedRightArrow">
                            <a:avLst>
                              <a:gd name="adj1" fmla="val 50000"/>
                              <a:gd name="adj2" fmla="val 5535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67317645" name="AutoShape 17"/>
                        <wps:cNvSpPr>
                          <a:spLocks noChangeArrowheads="1"/>
                        </wps:cNvSpPr>
                        <wps:spPr bwMode="auto">
                          <a:xfrm rot="10800000">
                            <a:off x="4176586" y="1517955"/>
                            <a:ext cx="530908" cy="241281"/>
                          </a:xfrm>
                          <a:prstGeom prst="stripedRightArrow">
                            <a:avLst>
                              <a:gd name="adj1" fmla="val 50000"/>
                              <a:gd name="adj2" fmla="val 55351"/>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84911828" name="Rectangle 18"/>
                        <wps:cNvSpPr>
                          <a:spLocks noChangeArrowheads="1"/>
                        </wps:cNvSpPr>
                        <wps:spPr bwMode="auto">
                          <a:xfrm>
                            <a:off x="2330609" y="1314771"/>
                            <a:ext cx="1858597" cy="657809"/>
                          </a:xfrm>
                          <a:prstGeom prst="rect">
                            <a:avLst/>
                          </a:prstGeom>
                          <a:solidFill>
                            <a:srgbClr val="FFFFFF"/>
                          </a:solidFill>
                          <a:ln w="9525">
                            <a:solidFill>
                              <a:srgbClr val="000000"/>
                            </a:solidFill>
                            <a:miter lim="800000"/>
                            <a:headEnd/>
                            <a:tailEnd/>
                          </a:ln>
                        </wps:spPr>
                        <wps:txbx>
                          <w:txbxContent>
                            <w:p w14:paraId="075911DE"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 xml:space="preserve">Моніторинг </w:t>
                              </w:r>
                              <w:r>
                                <w:rPr>
                                  <w:rFonts w:ascii="Times New Roman" w:hAnsi="Times New Roman" w:cs="Times New Roman"/>
                                  <w:b/>
                                  <w:lang w:val="uk-UA"/>
                                </w:rPr>
                                <w:t>корпоративного</w:t>
                              </w:r>
                              <w:r w:rsidRPr="00EB431E">
                                <w:rPr>
                                  <w:rFonts w:ascii="Times New Roman" w:hAnsi="Times New Roman" w:cs="Times New Roman"/>
                                  <w:b/>
                                  <w:lang w:val="uk-UA"/>
                                </w:rPr>
                                <w:t xml:space="preserve"> ринку праці</w:t>
                              </w:r>
                            </w:p>
                          </w:txbxContent>
                        </wps:txbx>
                        <wps:bodyPr rot="0" vert="horz" wrap="square" lIns="91440" tIns="45720" rIns="91440" bIns="45720" anchor="t" anchorCtr="0" upright="1">
                          <a:noAutofit/>
                        </wps:bodyPr>
                      </wps:wsp>
                      <wps:wsp>
                        <wps:cNvPr id="1841033488" name="Rectangle 19"/>
                        <wps:cNvSpPr>
                          <a:spLocks noChangeArrowheads="1"/>
                        </wps:cNvSpPr>
                        <wps:spPr bwMode="auto">
                          <a:xfrm>
                            <a:off x="9255" y="2124968"/>
                            <a:ext cx="1967976" cy="1002375"/>
                          </a:xfrm>
                          <a:prstGeom prst="rect">
                            <a:avLst/>
                          </a:prstGeom>
                          <a:solidFill>
                            <a:srgbClr val="FFFFFF"/>
                          </a:solidFill>
                          <a:ln w="9525">
                            <a:solidFill>
                              <a:srgbClr val="000000"/>
                            </a:solidFill>
                            <a:miter lim="800000"/>
                            <a:headEnd/>
                            <a:tailEnd/>
                          </a:ln>
                        </wps:spPr>
                        <wps:txbx>
                          <w:txbxContent>
                            <w:p w14:paraId="0404634F" w14:textId="77777777" w:rsidR="00571B42" w:rsidRPr="00EB431E" w:rsidRDefault="00571B42" w:rsidP="0000167A">
                              <w:pPr>
                                <w:jc w:val="both"/>
                                <w:rPr>
                                  <w:rFonts w:ascii="Times New Roman" w:hAnsi="Times New Roman" w:cs="Times New Roman"/>
                                  <w:u w:val="single"/>
                                  <w:lang w:val="uk-UA"/>
                                </w:rPr>
                              </w:pPr>
                              <w:r w:rsidRPr="00EB431E">
                                <w:rPr>
                                  <w:rFonts w:ascii="Times New Roman" w:hAnsi="Times New Roman" w:cs="Times New Roman"/>
                                  <w:b/>
                                  <w:u w:val="single"/>
                                  <w:lang w:val="uk-UA"/>
                                </w:rPr>
                                <w:t xml:space="preserve">Мета: </w:t>
                              </w:r>
                              <w:r w:rsidRPr="00EB431E">
                                <w:rPr>
                                  <w:rFonts w:ascii="Times New Roman" w:hAnsi="Times New Roman" w:cs="Times New Roman"/>
                                  <w:lang w:val="uk-UA"/>
                                </w:rPr>
                                <w:t>діагностика стану безпеки зайнятості, оцінка ключових загроз та напрямів їх нейтралізації</w:t>
                              </w:r>
                            </w:p>
                          </w:txbxContent>
                        </wps:txbx>
                        <wps:bodyPr rot="0" vert="horz" wrap="square" lIns="91440" tIns="45720" rIns="91440" bIns="45720" anchor="t" anchorCtr="0" upright="1">
                          <a:noAutofit/>
                        </wps:bodyPr>
                      </wps:wsp>
                      <wps:wsp>
                        <wps:cNvPr id="446071480" name="Rectangle 20"/>
                        <wps:cNvSpPr>
                          <a:spLocks noChangeArrowheads="1"/>
                        </wps:cNvSpPr>
                        <wps:spPr bwMode="auto">
                          <a:xfrm>
                            <a:off x="2026031" y="2124968"/>
                            <a:ext cx="2031079" cy="1002375"/>
                          </a:xfrm>
                          <a:prstGeom prst="rect">
                            <a:avLst/>
                          </a:prstGeom>
                          <a:solidFill>
                            <a:srgbClr val="FFFFFF"/>
                          </a:solidFill>
                          <a:ln w="9525">
                            <a:solidFill>
                              <a:srgbClr val="000000"/>
                            </a:solidFill>
                            <a:miter lim="800000"/>
                            <a:headEnd/>
                            <a:tailEnd/>
                          </a:ln>
                        </wps:spPr>
                        <wps:txbx>
                          <w:txbxContent>
                            <w:p w14:paraId="58337654" w14:textId="77777777" w:rsidR="00571B42" w:rsidRPr="00EB431E" w:rsidRDefault="00571B42" w:rsidP="0000167A">
                              <w:pPr>
                                <w:jc w:val="both"/>
                                <w:rPr>
                                  <w:rFonts w:ascii="Times New Roman" w:hAnsi="Times New Roman" w:cs="Times New Roman"/>
                                  <w:u w:val="single"/>
                                  <w:lang w:val="uk-UA"/>
                                </w:rPr>
                              </w:pPr>
                              <w:r w:rsidRPr="00EB431E">
                                <w:rPr>
                                  <w:rFonts w:ascii="Times New Roman" w:hAnsi="Times New Roman" w:cs="Times New Roman"/>
                                  <w:b/>
                                  <w:u w:val="single"/>
                                  <w:lang w:val="uk-UA"/>
                                </w:rPr>
                                <w:t xml:space="preserve">Мета: </w:t>
                              </w:r>
                              <w:r w:rsidRPr="00EB431E">
                                <w:rPr>
                                  <w:rFonts w:ascii="Times New Roman" w:hAnsi="Times New Roman" w:cs="Times New Roman"/>
                                  <w:lang w:val="uk-UA"/>
                                </w:rPr>
                                <w:t xml:space="preserve">діагностика стану </w:t>
                              </w:r>
                              <w:r>
                                <w:rPr>
                                  <w:rFonts w:ascii="Times New Roman" w:hAnsi="Times New Roman" w:cs="Times New Roman"/>
                                  <w:lang w:val="uk-UA"/>
                                </w:rPr>
                                <w:t>корпоративного</w:t>
                              </w:r>
                              <w:r w:rsidRPr="00EB431E">
                                <w:rPr>
                                  <w:rFonts w:ascii="Times New Roman" w:hAnsi="Times New Roman" w:cs="Times New Roman"/>
                                  <w:lang w:val="uk-UA"/>
                                </w:rPr>
                                <w:t xml:space="preserve"> ринку праці, оцінка ключових загроз та напрямів їх нейтралізації</w:t>
                              </w:r>
                            </w:p>
                          </w:txbxContent>
                        </wps:txbx>
                        <wps:bodyPr rot="0" vert="horz" wrap="square" lIns="91440" tIns="45720" rIns="91440" bIns="45720" anchor="t" anchorCtr="0" upright="1">
                          <a:noAutofit/>
                        </wps:bodyPr>
                      </wps:wsp>
                      <wps:wsp>
                        <wps:cNvPr id="930808156" name="AutoShape 21"/>
                        <wps:cNvSpPr>
                          <a:spLocks noChangeArrowheads="1"/>
                        </wps:cNvSpPr>
                        <wps:spPr bwMode="auto">
                          <a:xfrm>
                            <a:off x="3240135" y="1972580"/>
                            <a:ext cx="263350" cy="15323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699311131" name="AutoShape 22"/>
                        <wps:cNvSpPr>
                          <a:spLocks noChangeArrowheads="1"/>
                        </wps:cNvSpPr>
                        <wps:spPr bwMode="auto">
                          <a:xfrm>
                            <a:off x="5220732" y="1972580"/>
                            <a:ext cx="263350" cy="15323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189997526" name="Rectangle 23"/>
                        <wps:cNvSpPr>
                          <a:spLocks noChangeArrowheads="1"/>
                        </wps:cNvSpPr>
                        <wps:spPr bwMode="auto">
                          <a:xfrm>
                            <a:off x="4135358" y="2124968"/>
                            <a:ext cx="1922542" cy="1002375"/>
                          </a:xfrm>
                          <a:prstGeom prst="rect">
                            <a:avLst/>
                          </a:prstGeom>
                          <a:solidFill>
                            <a:srgbClr val="FFFFFF"/>
                          </a:solidFill>
                          <a:ln w="9525">
                            <a:solidFill>
                              <a:srgbClr val="000000"/>
                            </a:solidFill>
                            <a:miter lim="800000"/>
                            <a:headEnd/>
                            <a:tailEnd/>
                          </a:ln>
                        </wps:spPr>
                        <wps:txbx>
                          <w:txbxContent>
                            <w:p w14:paraId="06A55AE2" w14:textId="77777777" w:rsidR="00571B42" w:rsidRPr="00EB431E" w:rsidRDefault="00571B42" w:rsidP="0000167A">
                              <w:pPr>
                                <w:jc w:val="both"/>
                                <w:rPr>
                                  <w:rFonts w:ascii="Times New Roman" w:hAnsi="Times New Roman" w:cs="Times New Roman"/>
                                  <w:u w:val="single"/>
                                  <w:lang w:val="uk-UA"/>
                                </w:rPr>
                              </w:pPr>
                              <w:r w:rsidRPr="00EB431E">
                                <w:rPr>
                                  <w:rFonts w:ascii="Times New Roman" w:hAnsi="Times New Roman" w:cs="Times New Roman"/>
                                  <w:b/>
                                  <w:u w:val="single"/>
                                  <w:lang w:val="uk-UA"/>
                                </w:rPr>
                                <w:t>Мета:</w:t>
                              </w:r>
                              <w:r w:rsidRPr="00EB431E">
                                <w:rPr>
                                  <w:rFonts w:ascii="Times New Roman" w:hAnsi="Times New Roman" w:cs="Times New Roman"/>
                                  <w:b/>
                                  <w:lang w:val="uk-UA"/>
                                </w:rPr>
                                <w:t xml:space="preserve"> </w:t>
                              </w:r>
                              <w:r w:rsidRPr="00EB431E">
                                <w:rPr>
                                  <w:rFonts w:ascii="Times New Roman" w:hAnsi="Times New Roman" w:cs="Times New Roman"/>
                                  <w:lang w:val="uk-UA"/>
                                </w:rPr>
                                <w:t>діагностика стану безпеки оплати праці, оцінка ключових загроз та напрямів їх нейтралізації</w:t>
                              </w:r>
                            </w:p>
                          </w:txbxContent>
                        </wps:txbx>
                        <wps:bodyPr rot="0" vert="horz" wrap="square" lIns="91440" tIns="45720" rIns="91440" bIns="45720" anchor="t" anchorCtr="0" upright="1">
                          <a:noAutofit/>
                        </wps:bodyPr>
                      </wps:wsp>
                      <wps:wsp>
                        <wps:cNvPr id="701558561" name="AutoShape 24"/>
                        <wps:cNvSpPr>
                          <a:spLocks noChangeArrowheads="1"/>
                        </wps:cNvSpPr>
                        <wps:spPr bwMode="auto">
                          <a:xfrm rot="18508335">
                            <a:off x="1149347" y="3168873"/>
                            <a:ext cx="263293" cy="287750"/>
                          </a:xfrm>
                          <a:prstGeom prst="downArrow">
                            <a:avLst>
                              <a:gd name="adj1" fmla="val 50000"/>
                              <a:gd name="adj2" fmla="val 2749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316920877" name="AutoShape 25"/>
                        <wps:cNvSpPr>
                          <a:spLocks noChangeArrowheads="1"/>
                        </wps:cNvSpPr>
                        <wps:spPr bwMode="auto">
                          <a:xfrm>
                            <a:off x="3121501" y="3168826"/>
                            <a:ext cx="263350" cy="287844"/>
                          </a:xfrm>
                          <a:prstGeom prst="downArrow">
                            <a:avLst>
                              <a:gd name="adj1" fmla="val 50000"/>
                              <a:gd name="adj2" fmla="val 27157"/>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502867098" name="AutoShape 26"/>
                        <wps:cNvSpPr>
                          <a:spLocks noChangeArrowheads="1"/>
                        </wps:cNvSpPr>
                        <wps:spPr bwMode="auto">
                          <a:xfrm rot="2951117">
                            <a:off x="5044075" y="3168029"/>
                            <a:ext cx="262446" cy="288592"/>
                          </a:xfrm>
                          <a:prstGeom prst="downArrow">
                            <a:avLst>
                              <a:gd name="adj1" fmla="val 50000"/>
                              <a:gd name="adj2" fmla="val 2766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816987631" name="Oval 27"/>
                        <wps:cNvSpPr>
                          <a:spLocks noChangeArrowheads="1"/>
                        </wps:cNvSpPr>
                        <wps:spPr bwMode="auto">
                          <a:xfrm>
                            <a:off x="668893" y="3938386"/>
                            <a:ext cx="1468199" cy="500341"/>
                          </a:xfrm>
                          <a:prstGeom prst="ellipse">
                            <a:avLst/>
                          </a:prstGeom>
                          <a:solidFill>
                            <a:srgbClr val="FFFFFF"/>
                          </a:solidFill>
                          <a:ln w="9525">
                            <a:solidFill>
                              <a:srgbClr val="000000"/>
                            </a:solidFill>
                            <a:round/>
                            <a:headEnd/>
                            <a:tailEnd/>
                          </a:ln>
                        </wps:spPr>
                        <wps:txbx>
                          <w:txbxContent>
                            <w:p w14:paraId="573DC666" w14:textId="77777777" w:rsidR="00571B42" w:rsidRPr="00EB431E" w:rsidRDefault="00571B42" w:rsidP="0000167A">
                              <w:pPr>
                                <w:rPr>
                                  <w:rFonts w:ascii="Times New Roman" w:hAnsi="Times New Roman" w:cs="Times New Roman"/>
                                  <w:b/>
                                  <w:lang w:val="uk-UA"/>
                                </w:rPr>
                              </w:pPr>
                              <w:r w:rsidRPr="00EB431E">
                                <w:rPr>
                                  <w:rFonts w:ascii="Times New Roman" w:hAnsi="Times New Roman" w:cs="Times New Roman"/>
                                  <w:b/>
                                  <w:lang w:val="uk-UA"/>
                                </w:rPr>
                                <w:t>Інструменти</w:t>
                              </w:r>
                            </w:p>
                          </w:txbxContent>
                        </wps:txbx>
                        <wps:bodyPr rot="0" vert="horz" wrap="square" lIns="91440" tIns="45720" rIns="91440" bIns="45720" anchor="t" anchorCtr="0" upright="1">
                          <a:noAutofit/>
                        </wps:bodyPr>
                      </wps:wsp>
                      <wps:wsp>
                        <wps:cNvPr id="740404753" name="Oval 28"/>
                        <wps:cNvSpPr>
                          <a:spLocks noChangeArrowheads="1"/>
                        </wps:cNvSpPr>
                        <wps:spPr bwMode="auto">
                          <a:xfrm>
                            <a:off x="2537587" y="3568422"/>
                            <a:ext cx="1466517" cy="499494"/>
                          </a:xfrm>
                          <a:prstGeom prst="ellipse">
                            <a:avLst/>
                          </a:prstGeom>
                          <a:solidFill>
                            <a:srgbClr val="FFFFFF"/>
                          </a:solidFill>
                          <a:ln w="9525">
                            <a:solidFill>
                              <a:srgbClr val="000000"/>
                            </a:solidFill>
                            <a:round/>
                            <a:headEnd/>
                            <a:tailEnd/>
                          </a:ln>
                        </wps:spPr>
                        <wps:txbx>
                          <w:txbxContent>
                            <w:p w14:paraId="79F906A1"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Принципи</w:t>
                              </w:r>
                            </w:p>
                          </w:txbxContent>
                        </wps:txbx>
                        <wps:bodyPr rot="0" vert="horz" wrap="square" lIns="91440" tIns="45720" rIns="91440" bIns="45720" anchor="t" anchorCtr="0" upright="1">
                          <a:noAutofit/>
                        </wps:bodyPr>
                      </wps:wsp>
                      <wps:wsp>
                        <wps:cNvPr id="1151118087" name="Oval 29"/>
                        <wps:cNvSpPr>
                          <a:spLocks noChangeArrowheads="1"/>
                        </wps:cNvSpPr>
                        <wps:spPr bwMode="auto">
                          <a:xfrm>
                            <a:off x="4243054" y="3939233"/>
                            <a:ext cx="1466517" cy="499494"/>
                          </a:xfrm>
                          <a:prstGeom prst="ellipse">
                            <a:avLst/>
                          </a:prstGeom>
                          <a:solidFill>
                            <a:srgbClr val="FFFFFF"/>
                          </a:solidFill>
                          <a:ln w="9525">
                            <a:solidFill>
                              <a:srgbClr val="000000"/>
                            </a:solidFill>
                            <a:round/>
                            <a:headEnd/>
                            <a:tailEnd/>
                          </a:ln>
                        </wps:spPr>
                        <wps:txbx>
                          <w:txbxContent>
                            <w:p w14:paraId="13C79D7F"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Ресурси</w:t>
                              </w:r>
                            </w:p>
                          </w:txbxContent>
                        </wps:txbx>
                        <wps:bodyPr rot="0" vert="horz" wrap="square" lIns="91440" tIns="45720" rIns="91440" bIns="45720" anchor="t" anchorCtr="0" upright="1">
                          <a:noAutofit/>
                        </wps:bodyPr>
                      </wps:wsp>
                      <wps:wsp>
                        <wps:cNvPr id="266208899" name="Oval 30"/>
                        <wps:cNvSpPr>
                          <a:spLocks noChangeArrowheads="1"/>
                        </wps:cNvSpPr>
                        <wps:spPr bwMode="auto">
                          <a:xfrm>
                            <a:off x="2537587" y="4438727"/>
                            <a:ext cx="1465675" cy="612092"/>
                          </a:xfrm>
                          <a:prstGeom prst="ellipse">
                            <a:avLst/>
                          </a:prstGeom>
                          <a:solidFill>
                            <a:srgbClr val="FFFFFF"/>
                          </a:solidFill>
                          <a:ln w="9525">
                            <a:solidFill>
                              <a:srgbClr val="000000"/>
                            </a:solidFill>
                            <a:round/>
                            <a:headEnd/>
                            <a:tailEnd/>
                          </a:ln>
                        </wps:spPr>
                        <wps:txbx>
                          <w:txbxContent>
                            <w:p w14:paraId="377A90E7"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Критерії та індикатори</w:t>
                              </w:r>
                            </w:p>
                          </w:txbxContent>
                        </wps:txbx>
                        <wps:bodyPr rot="0" vert="horz" wrap="square" lIns="91440" tIns="45720" rIns="91440" bIns="45720" anchor="t" anchorCtr="0" upright="1">
                          <a:noAutofit/>
                        </wps:bodyPr>
                      </wps:wsp>
                      <wps:wsp>
                        <wps:cNvPr id="1387928357" name="AutoShape 31"/>
                        <wps:cNvSpPr>
                          <a:spLocks noChangeArrowheads="1"/>
                        </wps:cNvSpPr>
                        <wps:spPr bwMode="auto">
                          <a:xfrm>
                            <a:off x="2082403" y="3739435"/>
                            <a:ext cx="344122" cy="328481"/>
                          </a:xfrm>
                          <a:prstGeom prst="plus">
                            <a:avLst>
                              <a:gd name="adj" fmla="val 372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36686299" name="AutoShape 32"/>
                        <wps:cNvSpPr>
                          <a:spLocks noChangeArrowheads="1"/>
                        </wps:cNvSpPr>
                        <wps:spPr bwMode="auto">
                          <a:xfrm>
                            <a:off x="4004104" y="3739435"/>
                            <a:ext cx="344122" cy="329328"/>
                          </a:xfrm>
                          <a:prstGeom prst="plus">
                            <a:avLst>
                              <a:gd name="adj" fmla="val 372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99857679" name="AutoShape 33"/>
                        <wps:cNvSpPr>
                          <a:spLocks noChangeArrowheads="1"/>
                        </wps:cNvSpPr>
                        <wps:spPr bwMode="auto">
                          <a:xfrm>
                            <a:off x="2082403" y="4438727"/>
                            <a:ext cx="344122" cy="328481"/>
                          </a:xfrm>
                          <a:prstGeom prst="plus">
                            <a:avLst>
                              <a:gd name="adj" fmla="val 372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93634888" name="AutoShape 34"/>
                        <wps:cNvSpPr>
                          <a:spLocks noChangeArrowheads="1"/>
                        </wps:cNvSpPr>
                        <wps:spPr bwMode="auto">
                          <a:xfrm>
                            <a:off x="4057110" y="4438727"/>
                            <a:ext cx="344122" cy="328481"/>
                          </a:xfrm>
                          <a:prstGeom prst="plus">
                            <a:avLst>
                              <a:gd name="adj" fmla="val 372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11307538" name="Rectangle 35"/>
                        <wps:cNvSpPr>
                          <a:spLocks noChangeArrowheads="1"/>
                        </wps:cNvSpPr>
                        <wps:spPr bwMode="auto">
                          <a:xfrm>
                            <a:off x="2330609" y="5292947"/>
                            <a:ext cx="1726502" cy="276838"/>
                          </a:xfrm>
                          <a:prstGeom prst="rect">
                            <a:avLst/>
                          </a:prstGeom>
                          <a:solidFill>
                            <a:srgbClr val="FFFFFF"/>
                          </a:solidFill>
                          <a:ln w="9525">
                            <a:solidFill>
                              <a:srgbClr val="000000"/>
                            </a:solidFill>
                            <a:miter lim="800000"/>
                            <a:headEnd/>
                            <a:tailEnd/>
                          </a:ln>
                        </wps:spPr>
                        <wps:txbx>
                          <w:txbxContent>
                            <w:p w14:paraId="0201F623"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Етапи моніторингу</w:t>
                              </w:r>
                            </w:p>
                          </w:txbxContent>
                        </wps:txbx>
                        <wps:bodyPr rot="0" vert="horz" wrap="square" lIns="91440" tIns="45720" rIns="91440" bIns="45720" anchor="t" anchorCtr="0" upright="1">
                          <a:noAutofit/>
                        </wps:bodyPr>
                      </wps:wsp>
                      <wps:wsp>
                        <wps:cNvPr id="415984181" name="AutoShape 36"/>
                        <wps:cNvCnPr>
                          <a:cxnSpLocks noChangeShapeType="1"/>
                          <a:stCxn id="1011307538" idx="1"/>
                        </wps:cNvCnPr>
                        <wps:spPr bwMode="auto">
                          <a:xfrm flipH="1">
                            <a:off x="509873" y="5430943"/>
                            <a:ext cx="1820736" cy="169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03798932" name="AutoShape 37"/>
                        <wps:cNvCnPr>
                          <a:cxnSpLocks noChangeShapeType="1"/>
                          <a:endCxn id="509512781" idx="1"/>
                        </wps:cNvCnPr>
                        <wps:spPr bwMode="auto">
                          <a:xfrm>
                            <a:off x="510715" y="5432637"/>
                            <a:ext cx="841" cy="237132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615556" name="AutoShape 38"/>
                        <wps:cNvSpPr>
                          <a:spLocks noChangeArrowheads="1"/>
                        </wps:cNvSpPr>
                        <wps:spPr bwMode="auto">
                          <a:xfrm>
                            <a:off x="511556" y="5844931"/>
                            <a:ext cx="275971" cy="28445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61060504" name="Rectangle 39"/>
                        <wps:cNvSpPr>
                          <a:spLocks noChangeArrowheads="1"/>
                        </wps:cNvSpPr>
                        <wps:spPr bwMode="auto">
                          <a:xfrm>
                            <a:off x="787527" y="5663759"/>
                            <a:ext cx="5147532" cy="465630"/>
                          </a:xfrm>
                          <a:prstGeom prst="rect">
                            <a:avLst/>
                          </a:prstGeom>
                          <a:solidFill>
                            <a:srgbClr val="FFFFFF"/>
                          </a:solidFill>
                          <a:ln w="9525">
                            <a:solidFill>
                              <a:srgbClr val="000000"/>
                            </a:solidFill>
                            <a:miter lim="800000"/>
                            <a:headEnd/>
                            <a:tailEnd/>
                          </a:ln>
                        </wps:spPr>
                        <wps:txbx>
                          <w:txbxContent>
                            <w:p w14:paraId="2976C772" w14:textId="77777777" w:rsidR="00571B42" w:rsidRPr="00EB431E" w:rsidRDefault="00571B42" w:rsidP="0000167A">
                              <w:pPr>
                                <w:jc w:val="both"/>
                                <w:rPr>
                                  <w:rFonts w:ascii="Times New Roman" w:hAnsi="Times New Roman" w:cs="Times New Roman"/>
                                  <w:lang w:val="uk-UA"/>
                                </w:rPr>
                              </w:pPr>
                              <w:r w:rsidRPr="00EB431E">
                                <w:rPr>
                                  <w:rFonts w:ascii="Times New Roman" w:hAnsi="Times New Roman" w:cs="Times New Roman"/>
                                  <w:b/>
                                  <w:u w:val="single"/>
                                  <w:lang w:val="uk-UA"/>
                                </w:rPr>
                                <w:t>Підготовчий:</w:t>
                              </w:r>
                              <w:r w:rsidRPr="00EB431E">
                                <w:rPr>
                                  <w:rFonts w:ascii="Times New Roman" w:hAnsi="Times New Roman" w:cs="Times New Roman"/>
                                  <w:lang w:val="uk-UA"/>
                                </w:rPr>
                                <w:t xml:space="preserve"> вибір інструментів, планування ресурсів, призначення виконавців, врахування принципів, визначення критеріїв та індикаторів</w:t>
                              </w:r>
                            </w:p>
                          </w:txbxContent>
                        </wps:txbx>
                        <wps:bodyPr rot="0" vert="horz" wrap="square" lIns="91440" tIns="45720" rIns="91440" bIns="45720" anchor="t" anchorCtr="0" upright="1">
                          <a:noAutofit/>
                        </wps:bodyPr>
                      </wps:wsp>
                      <wps:wsp>
                        <wps:cNvPr id="829217250" name="Rectangle 40"/>
                        <wps:cNvSpPr>
                          <a:spLocks noChangeArrowheads="1"/>
                        </wps:cNvSpPr>
                        <wps:spPr bwMode="auto">
                          <a:xfrm>
                            <a:off x="787527" y="6284317"/>
                            <a:ext cx="5147532" cy="457164"/>
                          </a:xfrm>
                          <a:prstGeom prst="rect">
                            <a:avLst/>
                          </a:prstGeom>
                          <a:solidFill>
                            <a:srgbClr val="FFFFFF"/>
                          </a:solidFill>
                          <a:ln w="9525">
                            <a:solidFill>
                              <a:srgbClr val="000000"/>
                            </a:solidFill>
                            <a:miter lim="800000"/>
                            <a:headEnd/>
                            <a:tailEnd/>
                          </a:ln>
                        </wps:spPr>
                        <wps:txbx>
                          <w:txbxContent>
                            <w:p w14:paraId="19F4B6F5" w14:textId="77777777" w:rsidR="00571B42" w:rsidRPr="00EB431E" w:rsidRDefault="00571B42" w:rsidP="0000167A">
                              <w:pPr>
                                <w:jc w:val="both"/>
                                <w:rPr>
                                  <w:rFonts w:ascii="Times New Roman" w:hAnsi="Times New Roman" w:cs="Times New Roman"/>
                                  <w:lang w:val="uk-UA"/>
                                </w:rPr>
                              </w:pPr>
                              <w:r w:rsidRPr="00EB431E">
                                <w:rPr>
                                  <w:rFonts w:ascii="Times New Roman" w:hAnsi="Times New Roman" w:cs="Times New Roman"/>
                                  <w:b/>
                                  <w:u w:val="single"/>
                                  <w:lang w:val="uk-UA"/>
                                </w:rPr>
                                <w:t xml:space="preserve">Проведення спостереження: </w:t>
                              </w:r>
                              <w:r w:rsidRPr="00EB431E">
                                <w:rPr>
                                  <w:rFonts w:ascii="Times New Roman" w:hAnsi="Times New Roman" w:cs="Times New Roman"/>
                                  <w:lang w:val="uk-UA"/>
                                </w:rPr>
                                <w:t>збір інформації для подальшого аналізу та діагностики</w:t>
                              </w:r>
                            </w:p>
                          </w:txbxContent>
                        </wps:txbx>
                        <wps:bodyPr rot="0" vert="horz" wrap="square" lIns="91440" tIns="45720" rIns="91440" bIns="45720" anchor="t" anchorCtr="0" upright="1">
                          <a:noAutofit/>
                        </wps:bodyPr>
                      </wps:wsp>
                      <wps:wsp>
                        <wps:cNvPr id="654597387" name="AutoShape 41"/>
                        <wps:cNvSpPr>
                          <a:spLocks noChangeArrowheads="1"/>
                        </wps:cNvSpPr>
                        <wps:spPr bwMode="auto">
                          <a:xfrm>
                            <a:off x="509873" y="6402841"/>
                            <a:ext cx="275130" cy="284458"/>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61807982" name="AutoShape 42"/>
                        <wps:cNvSpPr>
                          <a:spLocks noChangeArrowheads="1"/>
                        </wps:cNvSpPr>
                        <wps:spPr bwMode="auto">
                          <a:xfrm>
                            <a:off x="511556" y="6976836"/>
                            <a:ext cx="277654" cy="282765"/>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4053" name="Rectangle 43"/>
                        <wps:cNvSpPr>
                          <a:spLocks noChangeArrowheads="1"/>
                        </wps:cNvSpPr>
                        <wps:spPr bwMode="auto">
                          <a:xfrm>
                            <a:off x="785003" y="6896409"/>
                            <a:ext cx="5150056" cy="457164"/>
                          </a:xfrm>
                          <a:prstGeom prst="rect">
                            <a:avLst/>
                          </a:prstGeom>
                          <a:solidFill>
                            <a:srgbClr val="FFFFFF"/>
                          </a:solidFill>
                          <a:ln w="9525">
                            <a:solidFill>
                              <a:srgbClr val="000000"/>
                            </a:solidFill>
                            <a:miter lim="800000"/>
                            <a:headEnd/>
                            <a:tailEnd/>
                          </a:ln>
                        </wps:spPr>
                        <wps:txbx>
                          <w:txbxContent>
                            <w:p w14:paraId="2A9422B9" w14:textId="77777777" w:rsidR="00571B42" w:rsidRPr="00EB431E" w:rsidRDefault="00571B42" w:rsidP="0000167A">
                              <w:pPr>
                                <w:jc w:val="both"/>
                                <w:rPr>
                                  <w:rFonts w:ascii="Times New Roman" w:hAnsi="Times New Roman" w:cs="Times New Roman"/>
                                  <w:lang w:val="uk-UA"/>
                                </w:rPr>
                              </w:pPr>
                              <w:r w:rsidRPr="00EB431E">
                                <w:rPr>
                                  <w:rFonts w:ascii="Times New Roman" w:hAnsi="Times New Roman" w:cs="Times New Roman"/>
                                  <w:b/>
                                  <w:u w:val="single"/>
                                  <w:lang w:val="uk-UA"/>
                                </w:rPr>
                                <w:t>Обробка результатів:</w:t>
                              </w:r>
                              <w:r w:rsidRPr="00EB431E">
                                <w:rPr>
                                  <w:rFonts w:ascii="Times New Roman" w:hAnsi="Times New Roman" w:cs="Times New Roman"/>
                                  <w:b/>
                                  <w:lang w:val="uk-UA"/>
                                </w:rPr>
                                <w:t xml:space="preserve"> </w:t>
                              </w:r>
                              <w:r w:rsidRPr="00EB431E">
                                <w:rPr>
                                  <w:rFonts w:ascii="Times New Roman" w:hAnsi="Times New Roman" w:cs="Times New Roman"/>
                                  <w:lang w:val="uk-UA"/>
                                </w:rPr>
                                <w:t>аналіз отриманих даних, оцінка виявлених загроз безпеці зайнятості та безпеці оплати праці</w:t>
                              </w:r>
                            </w:p>
                          </w:txbxContent>
                        </wps:txbx>
                        <wps:bodyPr rot="0" vert="horz" wrap="square" lIns="91440" tIns="45720" rIns="91440" bIns="45720" anchor="t" anchorCtr="0" upright="1">
                          <a:noAutofit/>
                        </wps:bodyPr>
                      </wps:wsp>
                      <wps:wsp>
                        <wps:cNvPr id="255697696" name="Rectangle 44"/>
                        <wps:cNvSpPr>
                          <a:spLocks noChangeArrowheads="1"/>
                        </wps:cNvSpPr>
                        <wps:spPr bwMode="auto">
                          <a:xfrm>
                            <a:off x="789210" y="7507655"/>
                            <a:ext cx="5150898" cy="640030"/>
                          </a:xfrm>
                          <a:prstGeom prst="rect">
                            <a:avLst/>
                          </a:prstGeom>
                          <a:solidFill>
                            <a:srgbClr val="FFFFFF"/>
                          </a:solidFill>
                          <a:ln w="9525">
                            <a:solidFill>
                              <a:srgbClr val="000000"/>
                            </a:solidFill>
                            <a:miter lim="800000"/>
                            <a:headEnd/>
                            <a:tailEnd/>
                          </a:ln>
                        </wps:spPr>
                        <wps:txbx>
                          <w:txbxContent>
                            <w:p w14:paraId="26772902" w14:textId="77777777" w:rsidR="00571B42" w:rsidRPr="00EB431E" w:rsidRDefault="00571B42" w:rsidP="0000167A">
                              <w:pPr>
                                <w:jc w:val="both"/>
                                <w:rPr>
                                  <w:rFonts w:ascii="Times New Roman" w:hAnsi="Times New Roman" w:cs="Times New Roman"/>
                                  <w:lang w:val="uk-UA"/>
                                </w:rPr>
                              </w:pPr>
                              <w:r w:rsidRPr="00EB431E">
                                <w:rPr>
                                  <w:rFonts w:ascii="Times New Roman" w:hAnsi="Times New Roman" w:cs="Times New Roman"/>
                                  <w:b/>
                                  <w:u w:val="single"/>
                                  <w:lang w:val="uk-UA"/>
                                </w:rPr>
                                <w:t>Підведення підсумків:</w:t>
                              </w:r>
                              <w:r w:rsidRPr="00EB431E">
                                <w:rPr>
                                  <w:rFonts w:ascii="Times New Roman" w:hAnsi="Times New Roman" w:cs="Times New Roman"/>
                                  <w:b/>
                                  <w:lang w:val="uk-UA"/>
                                </w:rPr>
                                <w:t xml:space="preserve"> </w:t>
                              </w:r>
                              <w:r w:rsidRPr="00EB431E">
                                <w:rPr>
                                  <w:rFonts w:ascii="Times New Roman" w:hAnsi="Times New Roman" w:cs="Times New Roman"/>
                                  <w:lang w:val="uk-UA"/>
                                </w:rPr>
                                <w:t>оцінка ступеня досягнення поставленої мети моніторингу, визначення напрямів нейтралізації виявлених загроз та оцінка перспектив їх реалізації</w:t>
                              </w:r>
                            </w:p>
                          </w:txbxContent>
                        </wps:txbx>
                        <wps:bodyPr rot="0" vert="horz" wrap="square" lIns="91440" tIns="45720" rIns="91440" bIns="45720" anchor="t" anchorCtr="0" upright="1">
                          <a:noAutofit/>
                        </wps:bodyPr>
                      </wps:wsp>
                      <wps:wsp>
                        <wps:cNvPr id="509512781" name="AutoShape 45"/>
                        <wps:cNvSpPr>
                          <a:spLocks noChangeArrowheads="1"/>
                        </wps:cNvSpPr>
                        <wps:spPr bwMode="auto">
                          <a:xfrm>
                            <a:off x="511556" y="7662583"/>
                            <a:ext cx="278495" cy="282765"/>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12935534" name="AutoShape 46"/>
                        <wps:cNvSpPr>
                          <a:spLocks noChangeArrowheads="1"/>
                        </wps:cNvSpPr>
                        <wps:spPr bwMode="auto">
                          <a:xfrm>
                            <a:off x="3170301" y="6129389"/>
                            <a:ext cx="262509" cy="15492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555622014" name="AutoShape 47"/>
                        <wps:cNvSpPr>
                          <a:spLocks noChangeArrowheads="1"/>
                        </wps:cNvSpPr>
                        <wps:spPr bwMode="auto">
                          <a:xfrm>
                            <a:off x="3170301" y="6741481"/>
                            <a:ext cx="263350" cy="154928"/>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678893523" name="AutoShape 48"/>
                        <wps:cNvSpPr>
                          <a:spLocks noChangeArrowheads="1"/>
                        </wps:cNvSpPr>
                        <wps:spPr bwMode="auto">
                          <a:xfrm>
                            <a:off x="3169460" y="7353574"/>
                            <a:ext cx="263350" cy="154081"/>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2B37357B" id="Полотно 1" o:spid="_x0000_s1103" editas="canvas" style="width:477pt;height:641.55pt;mso-position-horizontal-relative:char;mso-position-vertical-relative:line" coordsize="60579,81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">
                <v:shape id="_x0000_s1104" type="#_x0000_t75" style="position:absolute;width:60579;height:81476;visibility:visible;mso-wrap-style:square">
                  <v:fill o:detectmouseclick="t"/>
                  <v:path o:connecttype="none"/>
                </v:shape>
                <v:rect id="Rectangle 4" o:spid="_x0000_s1105" style="position:absolute;left:5098;top:34566;width:53007;height:16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">
                  <v:stroke dashstyle="longDashDotDot"/>
                </v:rect>
                <v:rect id="Rectangle 5" o:spid="_x0000_s1106" style="position:absolute;left:27193;top:626;width:13650;height:9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">
                  <v:textbox>
                    <w:txbxContent>
                      <w:p w14:paraId="5F4B9BC3" w14:textId="77777777" w:rsidR="00571B42" w:rsidRPr="00EB431E" w:rsidRDefault="00571B42" w:rsidP="0000167A">
                        <w:pPr>
                          <w:jc w:val="center"/>
                          <w:rPr>
                            <w:rFonts w:ascii="Times New Roman" w:hAnsi="Times New Roman" w:cs="Times New Roman"/>
                            <w:lang w:val="uk-UA"/>
                          </w:rPr>
                        </w:pPr>
                        <w:r>
                          <w:rPr>
                            <w:rFonts w:ascii="Times New Roman" w:hAnsi="Times New Roman" w:cs="Times New Roman"/>
                            <w:b/>
                            <w:lang w:val="uk-UA"/>
                          </w:rPr>
                          <w:t>Моніторинг корпоративної соціальної безпеки</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6" o:spid="_x0000_s1107" type="#_x0000_t93" style="position:absolute;left:24265;top:5020;width:2928;height:2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" adj="16167"/>
                <v:shape id="AutoShape 7" o:spid="_x0000_s1108" type="#_x0000_t93" style="position:absolute;left:40919;top:5020;width:4405;height:2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" adj="17457"/>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8" o:spid="_x0000_s1109" type="#_x0000_t67" style="position:absolute;left:21499;top:7930;width:2590;height:7435;rotation:379767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" adj="17019">
                  <v:textbox style="layout-flow:vertical-ideographic"/>
                </v:shape>
                <v:shape id="AutoShape 9" o:spid="_x0000_s1110" type="#_x0000_t67" style="position:absolute;left:9995;top:19708;width:2625;height:1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">
                  <v:textbox style="layout-flow:vertical-ideographic"/>
                </v:shape>
                <v:shape id="AutoShape 10" o:spid="_x0000_s1111" type="#_x0000_t67" style="position:absolute;left:31215;top:51109;width:2633;height:1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">
                  <v:textbox style="layout-flow:vertical-ideographic"/>
                </v:shape>
                <v:oval id="Oval 11" o:spid="_x0000_s1112" style="position:absolute;top:1210;width:24265;height:9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">
                  <v:textbox>
                    <w:txbxContent>
                      <w:p w14:paraId="05DDA8BA"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Керівництво організації, служби (відділи) з управління персоналом, профспілки</w:t>
                        </w:r>
                      </w:p>
                      <w:p w14:paraId="239E882B" w14:textId="77777777" w:rsidR="00571B42" w:rsidRPr="00EB431E" w:rsidRDefault="00571B42" w:rsidP="0000167A">
                        <w:pPr>
                          <w:rPr>
                            <w:rFonts w:ascii="Times New Roman" w:hAnsi="Times New Roman" w:cs="Times New Roman"/>
                            <w:lang w:val="uk-UA"/>
                          </w:rPr>
                        </w:pPr>
                      </w:p>
                    </w:txbxContent>
                  </v:textbox>
                </v:oval>
                <v:oval id="Oval 12" o:spid="_x0000_s1113" style="position:absolute;left:45324;top:626;width:15255;height:11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">
                  <v:textbox>
                    <w:txbxContent>
                      <w:p w14:paraId="4277E8D9"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Безпека зайнятості та безпека оплати праці</w:t>
                        </w:r>
                      </w:p>
                    </w:txbxContent>
                  </v:textbox>
                </v:oval>
                <v:shape id="AutoShape 13" o:spid="_x0000_s1114" type="#_x0000_t67" style="position:absolute;left:43283;top:8644;width:2372;height:5880;rotation:-430210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" adj="17412">
                  <v:textbox style="layout-flow:vertical-ideographic"/>
                </v:shape>
                <v:rect id="Rectangle 14" o:spid="_x0000_s1115" style="position:absolute;left:5098;top:13147;width:12899;height:6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">
                  <v:textbox>
                    <w:txbxContent>
                      <w:p w14:paraId="065EB683"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Моніторинг безпеки зайнятості</w:t>
                        </w:r>
                      </w:p>
                    </w:txbxContent>
                  </v:textbox>
                </v:rect>
                <v:rect id="Rectangle 15" o:spid="_x0000_s1116" style="position:absolute;left:47074;top:13147;width:12899;height:6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">
                  <v:textbox>
                    <w:txbxContent>
                      <w:p w14:paraId="7918C57E"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Моніторинг безпеки оплати праці</w:t>
                        </w:r>
                      </w:p>
                    </w:txbxContent>
                  </v:textbox>
                </v:rect>
                <v:shape id="AutoShape 16" o:spid="_x0000_s1117" type="#_x0000_t93" style="position:absolute;left:17997;top:15179;width:5309;height:2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" adj="16166"/>
                <v:shape id="AutoShape 17" o:spid="_x0000_s1118" type="#_x0000_t93" style="position:absolute;left:41765;top:15179;width:5309;height:2413;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" adj="16166"/>
                <v:rect id="Rectangle 18" o:spid="_x0000_s1119" style="position:absolute;left:23306;top:13147;width:18586;height:6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">
                  <v:textbox>
                    <w:txbxContent>
                      <w:p w14:paraId="075911DE"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 xml:space="preserve">Моніторинг </w:t>
                        </w:r>
                        <w:r>
                          <w:rPr>
                            <w:rFonts w:ascii="Times New Roman" w:hAnsi="Times New Roman" w:cs="Times New Roman"/>
                            <w:b/>
                            <w:lang w:val="uk-UA"/>
                          </w:rPr>
                          <w:t>корпоративного</w:t>
                        </w:r>
                        <w:r w:rsidRPr="00EB431E">
                          <w:rPr>
                            <w:rFonts w:ascii="Times New Roman" w:hAnsi="Times New Roman" w:cs="Times New Roman"/>
                            <w:b/>
                            <w:lang w:val="uk-UA"/>
                          </w:rPr>
                          <w:t xml:space="preserve"> ринку праці</w:t>
                        </w:r>
                      </w:p>
                    </w:txbxContent>
                  </v:textbox>
                </v:rect>
                <v:rect id="Rectangle 19" o:spid="_x0000_s1120" style="position:absolute;left:92;top:21249;width:19680;height:100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">
                  <v:textbox>
                    <w:txbxContent>
                      <w:p w14:paraId="0404634F" w14:textId="77777777" w:rsidR="00571B42" w:rsidRPr="00EB431E" w:rsidRDefault="00571B42" w:rsidP="0000167A">
                        <w:pPr>
                          <w:jc w:val="both"/>
                          <w:rPr>
                            <w:rFonts w:ascii="Times New Roman" w:hAnsi="Times New Roman" w:cs="Times New Roman"/>
                            <w:u w:val="single"/>
                            <w:lang w:val="uk-UA"/>
                          </w:rPr>
                        </w:pPr>
                        <w:r w:rsidRPr="00EB431E">
                          <w:rPr>
                            <w:rFonts w:ascii="Times New Roman" w:hAnsi="Times New Roman" w:cs="Times New Roman"/>
                            <w:b/>
                            <w:u w:val="single"/>
                            <w:lang w:val="uk-UA"/>
                          </w:rPr>
                          <w:t xml:space="preserve">Мета: </w:t>
                        </w:r>
                        <w:r w:rsidRPr="00EB431E">
                          <w:rPr>
                            <w:rFonts w:ascii="Times New Roman" w:hAnsi="Times New Roman" w:cs="Times New Roman"/>
                            <w:lang w:val="uk-UA"/>
                          </w:rPr>
                          <w:t>діагностика стану безпеки зайнятості, оцінка ключових загроз та напрямів їх нейтралізації</w:t>
                        </w:r>
                      </w:p>
                    </w:txbxContent>
                  </v:textbox>
                </v:rect>
                <v:rect id="Rectangle 20" o:spid="_x0000_s1121" style="position:absolute;left:20260;top:21249;width:20311;height:100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">
                  <v:textbox>
                    <w:txbxContent>
                      <w:p w14:paraId="58337654" w14:textId="77777777" w:rsidR="00571B42" w:rsidRPr="00EB431E" w:rsidRDefault="00571B42" w:rsidP="0000167A">
                        <w:pPr>
                          <w:jc w:val="both"/>
                          <w:rPr>
                            <w:rFonts w:ascii="Times New Roman" w:hAnsi="Times New Roman" w:cs="Times New Roman"/>
                            <w:u w:val="single"/>
                            <w:lang w:val="uk-UA"/>
                          </w:rPr>
                        </w:pPr>
                        <w:r w:rsidRPr="00EB431E">
                          <w:rPr>
                            <w:rFonts w:ascii="Times New Roman" w:hAnsi="Times New Roman" w:cs="Times New Roman"/>
                            <w:b/>
                            <w:u w:val="single"/>
                            <w:lang w:val="uk-UA"/>
                          </w:rPr>
                          <w:t xml:space="preserve">Мета: </w:t>
                        </w:r>
                        <w:r w:rsidRPr="00EB431E">
                          <w:rPr>
                            <w:rFonts w:ascii="Times New Roman" w:hAnsi="Times New Roman" w:cs="Times New Roman"/>
                            <w:lang w:val="uk-UA"/>
                          </w:rPr>
                          <w:t xml:space="preserve">діагностика стану </w:t>
                        </w:r>
                        <w:r>
                          <w:rPr>
                            <w:rFonts w:ascii="Times New Roman" w:hAnsi="Times New Roman" w:cs="Times New Roman"/>
                            <w:lang w:val="uk-UA"/>
                          </w:rPr>
                          <w:t>корпоративного</w:t>
                        </w:r>
                        <w:r w:rsidRPr="00EB431E">
                          <w:rPr>
                            <w:rFonts w:ascii="Times New Roman" w:hAnsi="Times New Roman" w:cs="Times New Roman"/>
                            <w:lang w:val="uk-UA"/>
                          </w:rPr>
                          <w:t xml:space="preserve"> ринку праці, оцінка ключових загроз та напрямів їх нейтралізації</w:t>
                        </w:r>
                      </w:p>
                    </w:txbxContent>
                  </v:textbox>
                </v:rect>
                <v:shape id="AutoShape 21" o:spid="_x0000_s1122" type="#_x0000_t67" style="position:absolute;left:32401;top:19725;width:2633;height:1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">
                  <v:textbox style="layout-flow:vertical-ideographic"/>
                </v:shape>
                <v:shape id="AutoShape 22" o:spid="_x0000_s1123" type="#_x0000_t67" style="position:absolute;left:52207;top:19725;width:2633;height:1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">
                  <v:textbox style="layout-flow:vertical-ideographic"/>
                </v:shape>
                <v:rect id="Rectangle 23" o:spid="_x0000_s1124" style="position:absolute;left:41353;top:21249;width:19226;height:100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">
                  <v:textbox>
                    <w:txbxContent>
                      <w:p w14:paraId="06A55AE2" w14:textId="77777777" w:rsidR="00571B42" w:rsidRPr="00EB431E" w:rsidRDefault="00571B42" w:rsidP="0000167A">
                        <w:pPr>
                          <w:jc w:val="both"/>
                          <w:rPr>
                            <w:rFonts w:ascii="Times New Roman" w:hAnsi="Times New Roman" w:cs="Times New Roman"/>
                            <w:u w:val="single"/>
                            <w:lang w:val="uk-UA"/>
                          </w:rPr>
                        </w:pPr>
                        <w:r w:rsidRPr="00EB431E">
                          <w:rPr>
                            <w:rFonts w:ascii="Times New Roman" w:hAnsi="Times New Roman" w:cs="Times New Roman"/>
                            <w:b/>
                            <w:u w:val="single"/>
                            <w:lang w:val="uk-UA"/>
                          </w:rPr>
                          <w:t>Мета:</w:t>
                        </w:r>
                        <w:r w:rsidRPr="00EB431E">
                          <w:rPr>
                            <w:rFonts w:ascii="Times New Roman" w:hAnsi="Times New Roman" w:cs="Times New Roman"/>
                            <w:b/>
                            <w:lang w:val="uk-UA"/>
                          </w:rPr>
                          <w:t xml:space="preserve"> </w:t>
                        </w:r>
                        <w:r w:rsidRPr="00EB431E">
                          <w:rPr>
                            <w:rFonts w:ascii="Times New Roman" w:hAnsi="Times New Roman" w:cs="Times New Roman"/>
                            <w:lang w:val="uk-UA"/>
                          </w:rPr>
                          <w:t>діагностика стану безпеки оплати праці, оцінка ключових загроз та напрямів їх нейтралізації</w:t>
                        </w:r>
                      </w:p>
                    </w:txbxContent>
                  </v:textbox>
                </v:rect>
                <v:shape id="AutoShape 24" o:spid="_x0000_s1125" type="#_x0000_t67" style="position:absolute;left:11494;top:31688;width:2632;height:2877;rotation:-337692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" adj="16166">
                  <v:textbox style="layout-flow:vertical-ideographic"/>
                </v:shape>
                <v:shape id="AutoShape 25" o:spid="_x0000_s1126" type="#_x0000_t67" style="position:absolute;left:31215;top:31688;width:2633;height:2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" adj="16233">
                  <v:textbox style="layout-flow:vertical-ideographic"/>
                </v:shape>
                <v:shape id="AutoShape 26" o:spid="_x0000_s1127" type="#_x0000_t67" style="position:absolute;left:50441;top:31680;width:2624;height:2885;rotation:322340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" adj="16167">
                  <v:textbox style="layout-flow:vertical-ideographic"/>
                </v:shape>
                <v:oval id="Oval 27" o:spid="_x0000_s1128" style="position:absolute;left:6688;top:39383;width:14682;height:50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">
                  <v:textbox>
                    <w:txbxContent>
                      <w:p w14:paraId="573DC666" w14:textId="77777777" w:rsidR="00571B42" w:rsidRPr="00EB431E" w:rsidRDefault="00571B42" w:rsidP="0000167A">
                        <w:pPr>
                          <w:rPr>
                            <w:rFonts w:ascii="Times New Roman" w:hAnsi="Times New Roman" w:cs="Times New Roman"/>
                            <w:b/>
                            <w:lang w:val="uk-UA"/>
                          </w:rPr>
                        </w:pPr>
                        <w:r w:rsidRPr="00EB431E">
                          <w:rPr>
                            <w:rFonts w:ascii="Times New Roman" w:hAnsi="Times New Roman" w:cs="Times New Roman"/>
                            <w:b/>
                            <w:lang w:val="uk-UA"/>
                          </w:rPr>
                          <w:t>Інструменти</w:t>
                        </w:r>
                      </w:p>
                    </w:txbxContent>
                  </v:textbox>
                </v:oval>
                <v:oval id="Oval 28" o:spid="_x0000_s1129" style="position:absolute;left:25375;top:35684;width:14666;height:4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">
                  <v:textbox>
                    <w:txbxContent>
                      <w:p w14:paraId="79F906A1"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Принципи</w:t>
                        </w:r>
                      </w:p>
                    </w:txbxContent>
                  </v:textbox>
                </v:oval>
                <v:oval id="Oval 29" o:spid="_x0000_s1130" style="position:absolute;left:42430;top:39392;width:14665;height:49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">
                  <v:textbox>
                    <w:txbxContent>
                      <w:p w14:paraId="13C79D7F"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Ресурси</w:t>
                        </w:r>
                      </w:p>
                    </w:txbxContent>
                  </v:textbox>
                </v:oval>
                <v:oval id="Oval 30" o:spid="_x0000_s1131" style="position:absolute;left:25375;top:44387;width:14657;height:6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">
                  <v:textbox>
                    <w:txbxContent>
                      <w:p w14:paraId="377A90E7"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Критерії та індикатори</w:t>
                        </w:r>
                      </w:p>
                    </w:txbxContent>
                  </v:textbox>
                </v:oval>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AutoShape 31" o:spid="_x0000_s1132" type="#_x0000_t11" style="position:absolute;left:20824;top:37394;width:3441;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" adj="8040"/>
                <v:shape id="AutoShape 32" o:spid="_x0000_s1133" type="#_x0000_t11" style="position:absolute;left:40041;top:37394;width:3441;height:3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" adj="8040"/>
                <v:shape id="AutoShape 33" o:spid="_x0000_s1134" type="#_x0000_t11" style="position:absolute;left:20824;top:44387;width:3441;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" adj="8040"/>
                <v:shape id="AutoShape 34" o:spid="_x0000_s1135" type="#_x0000_t11" style="position:absolute;left:40571;top:44387;width:3441;height:3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" adj="8040"/>
                <v:rect id="Rectangle 35" o:spid="_x0000_s1136" style="position:absolute;left:23306;top:52929;width:17265;height:2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">
                  <v:textbox>
                    <w:txbxContent>
                      <w:p w14:paraId="0201F623" w14:textId="77777777" w:rsidR="00571B42" w:rsidRPr="00EB431E" w:rsidRDefault="00571B42" w:rsidP="0000167A">
                        <w:pPr>
                          <w:jc w:val="center"/>
                          <w:rPr>
                            <w:rFonts w:ascii="Times New Roman" w:hAnsi="Times New Roman" w:cs="Times New Roman"/>
                            <w:b/>
                            <w:lang w:val="uk-UA"/>
                          </w:rPr>
                        </w:pPr>
                        <w:r w:rsidRPr="00EB431E">
                          <w:rPr>
                            <w:rFonts w:ascii="Times New Roman" w:hAnsi="Times New Roman" w:cs="Times New Roman"/>
                            <w:b/>
                            <w:lang w:val="uk-UA"/>
                          </w:rPr>
                          <w:t>Етапи моніторингу</w:t>
                        </w:r>
                      </w:p>
                    </w:txbxContent>
                  </v:textbox>
                </v:rect>
                <v:shape id="AutoShape 36" o:spid="_x0000_s1137" type="#_x0000_t32" style="position:absolute;left:5098;top:54309;width:18208;height:1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"/>
                <v:shape id="AutoShape 37" o:spid="_x0000_s1138" type="#_x0000_t32" style="position:absolute;left:5107;top:54326;width:8;height:237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38" o:spid="_x0000_s1139" type="#_x0000_t13" style="position:absolute;left:5115;top:58449;width:2760;height:2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"/>
                <v:rect id="Rectangle 39" o:spid="_x0000_s1140" style="position:absolute;left:7875;top:56637;width:51475;height:4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">
                  <v:textbox>
                    <w:txbxContent>
                      <w:p w14:paraId="2976C772" w14:textId="77777777" w:rsidR="00571B42" w:rsidRPr="00EB431E" w:rsidRDefault="00571B42" w:rsidP="0000167A">
                        <w:pPr>
                          <w:jc w:val="both"/>
                          <w:rPr>
                            <w:rFonts w:ascii="Times New Roman" w:hAnsi="Times New Roman" w:cs="Times New Roman"/>
                            <w:lang w:val="uk-UA"/>
                          </w:rPr>
                        </w:pPr>
                        <w:r w:rsidRPr="00EB431E">
                          <w:rPr>
                            <w:rFonts w:ascii="Times New Roman" w:hAnsi="Times New Roman" w:cs="Times New Roman"/>
                            <w:b/>
                            <w:u w:val="single"/>
                            <w:lang w:val="uk-UA"/>
                          </w:rPr>
                          <w:t>Підготовчий:</w:t>
                        </w:r>
                        <w:r w:rsidRPr="00EB431E">
                          <w:rPr>
                            <w:rFonts w:ascii="Times New Roman" w:hAnsi="Times New Roman" w:cs="Times New Roman"/>
                            <w:lang w:val="uk-UA"/>
                          </w:rPr>
                          <w:t xml:space="preserve"> вибір інструментів, планування ресурсів, призначення виконавців, врахування принципів, визначення критеріїв та індикаторів</w:t>
                        </w:r>
                      </w:p>
                    </w:txbxContent>
                  </v:textbox>
                </v:rect>
                <v:rect id="Rectangle 40" o:spid="_x0000_s1141" style="position:absolute;left:7875;top:62843;width:51475;height:4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">
                  <v:textbox>
                    <w:txbxContent>
                      <w:p w14:paraId="19F4B6F5" w14:textId="77777777" w:rsidR="00571B42" w:rsidRPr="00EB431E" w:rsidRDefault="00571B42" w:rsidP="0000167A">
                        <w:pPr>
                          <w:jc w:val="both"/>
                          <w:rPr>
                            <w:rFonts w:ascii="Times New Roman" w:hAnsi="Times New Roman" w:cs="Times New Roman"/>
                            <w:lang w:val="uk-UA"/>
                          </w:rPr>
                        </w:pPr>
                        <w:r w:rsidRPr="00EB431E">
                          <w:rPr>
                            <w:rFonts w:ascii="Times New Roman" w:hAnsi="Times New Roman" w:cs="Times New Roman"/>
                            <w:b/>
                            <w:u w:val="single"/>
                            <w:lang w:val="uk-UA"/>
                          </w:rPr>
                          <w:t xml:space="preserve">Проведення спостереження: </w:t>
                        </w:r>
                        <w:r w:rsidRPr="00EB431E">
                          <w:rPr>
                            <w:rFonts w:ascii="Times New Roman" w:hAnsi="Times New Roman" w:cs="Times New Roman"/>
                            <w:lang w:val="uk-UA"/>
                          </w:rPr>
                          <w:t>збір інформації для подальшого аналізу та діагностики</w:t>
                        </w:r>
                      </w:p>
                    </w:txbxContent>
                  </v:textbox>
                </v:rect>
                <v:shape id="AutoShape 41" o:spid="_x0000_s1142" type="#_x0000_t13" style="position:absolute;left:5098;top:64028;width:2752;height:2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"/>
                <v:shape id="AutoShape 42" o:spid="_x0000_s1143" type="#_x0000_t13" style="position:absolute;left:5115;top:69768;width:2777;height:2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"/>
                <v:rect id="Rectangle 43" o:spid="_x0000_s1144" style="position:absolute;left:7850;top:68964;width:51500;height:4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">
                  <v:textbox>
                    <w:txbxContent>
                      <w:p w14:paraId="2A9422B9" w14:textId="77777777" w:rsidR="00571B42" w:rsidRPr="00EB431E" w:rsidRDefault="00571B42" w:rsidP="0000167A">
                        <w:pPr>
                          <w:jc w:val="both"/>
                          <w:rPr>
                            <w:rFonts w:ascii="Times New Roman" w:hAnsi="Times New Roman" w:cs="Times New Roman"/>
                            <w:lang w:val="uk-UA"/>
                          </w:rPr>
                        </w:pPr>
                        <w:r w:rsidRPr="00EB431E">
                          <w:rPr>
                            <w:rFonts w:ascii="Times New Roman" w:hAnsi="Times New Roman" w:cs="Times New Roman"/>
                            <w:b/>
                            <w:u w:val="single"/>
                            <w:lang w:val="uk-UA"/>
                          </w:rPr>
                          <w:t>Обробка результатів:</w:t>
                        </w:r>
                        <w:r w:rsidRPr="00EB431E">
                          <w:rPr>
                            <w:rFonts w:ascii="Times New Roman" w:hAnsi="Times New Roman" w:cs="Times New Roman"/>
                            <w:b/>
                            <w:lang w:val="uk-UA"/>
                          </w:rPr>
                          <w:t xml:space="preserve"> </w:t>
                        </w:r>
                        <w:r w:rsidRPr="00EB431E">
                          <w:rPr>
                            <w:rFonts w:ascii="Times New Roman" w:hAnsi="Times New Roman" w:cs="Times New Roman"/>
                            <w:lang w:val="uk-UA"/>
                          </w:rPr>
                          <w:t>аналіз отриманих даних, оцінка виявлених загроз безпеці зайнятості та безпеці оплати праці</w:t>
                        </w:r>
                      </w:p>
                    </w:txbxContent>
                  </v:textbox>
                </v:rect>
                <v:rect id="Rectangle 44" o:spid="_x0000_s1145" style="position:absolute;left:7892;top:75076;width:51509;height:6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">
                  <v:textbox>
                    <w:txbxContent>
                      <w:p w14:paraId="26772902" w14:textId="77777777" w:rsidR="00571B42" w:rsidRPr="00EB431E" w:rsidRDefault="00571B42" w:rsidP="0000167A">
                        <w:pPr>
                          <w:jc w:val="both"/>
                          <w:rPr>
                            <w:rFonts w:ascii="Times New Roman" w:hAnsi="Times New Roman" w:cs="Times New Roman"/>
                            <w:lang w:val="uk-UA"/>
                          </w:rPr>
                        </w:pPr>
                        <w:r w:rsidRPr="00EB431E">
                          <w:rPr>
                            <w:rFonts w:ascii="Times New Roman" w:hAnsi="Times New Roman" w:cs="Times New Roman"/>
                            <w:b/>
                            <w:u w:val="single"/>
                            <w:lang w:val="uk-UA"/>
                          </w:rPr>
                          <w:t>Підведення підсумків:</w:t>
                        </w:r>
                        <w:r w:rsidRPr="00EB431E">
                          <w:rPr>
                            <w:rFonts w:ascii="Times New Roman" w:hAnsi="Times New Roman" w:cs="Times New Roman"/>
                            <w:b/>
                            <w:lang w:val="uk-UA"/>
                          </w:rPr>
                          <w:t xml:space="preserve"> </w:t>
                        </w:r>
                        <w:r w:rsidRPr="00EB431E">
                          <w:rPr>
                            <w:rFonts w:ascii="Times New Roman" w:hAnsi="Times New Roman" w:cs="Times New Roman"/>
                            <w:lang w:val="uk-UA"/>
                          </w:rPr>
                          <w:t>оцінка ступеня досягнення поставленої мети моніторингу, визначення напрямів нейтралізації виявлених загроз та оцінка перспектив їх реалізації</w:t>
                        </w:r>
                      </w:p>
                    </w:txbxContent>
                  </v:textbox>
                </v:rect>
                <v:shape id="AutoShape 45" o:spid="_x0000_s1146" type="#_x0000_t13" style="position:absolute;left:5115;top:76625;width:2785;height:28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"/>
                <v:shape id="AutoShape 46" o:spid="_x0000_s1147" type="#_x0000_t67" style="position:absolute;left:31703;top:61293;width:2625;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">
                  <v:textbox style="layout-flow:vertical-ideographic"/>
                </v:shape>
                <v:shape id="AutoShape 47" o:spid="_x0000_s1148" type="#_x0000_t67" style="position:absolute;left:31703;top:67414;width:2633;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">
                  <v:textbox style="layout-flow:vertical-ideographic"/>
                </v:shape>
                <v:shape id="AutoShape 48" o:spid="_x0000_s1149" type="#_x0000_t67" style="position:absolute;left:31694;top:73535;width:2634;height:1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">
                  <v:textbox style="layout-flow:vertical-ideographic"/>
                </v:shape>
                <w10:anchorlock/>
              </v:group>
            </w:pict>
          </mc:Fallback>
        </mc:AlternateContent>
      </w:r>
    </w:p>
    <w:p w14:paraId="4908CF90" w14:textId="5C1BBD81" w:rsidR="0000167A" w:rsidRPr="005F0419" w:rsidRDefault="0000167A" w:rsidP="00E547A1">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4. Механізм проведення моніторингу корпоративної безпеки</w:t>
      </w:r>
    </w:p>
    <w:p w14:paraId="720F916A" w14:textId="2F41F46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iCs/>
          <w:sz w:val="28"/>
          <w:szCs w:val="28"/>
          <w:lang w:val="uk-UA"/>
        </w:rPr>
        <w:t>Джерело:</w:t>
      </w:r>
      <w:r w:rsidRPr="005F0419">
        <w:rPr>
          <w:rFonts w:ascii="Times New Roman" w:hAnsi="Times New Roman" w:cs="Times New Roman"/>
          <w:sz w:val="28"/>
          <w:szCs w:val="28"/>
          <w:lang w:val="uk-UA"/>
        </w:rPr>
        <w:t xml:space="preserve"> розробка автора [1]</w:t>
      </w:r>
      <w:r w:rsidR="00E547A1" w:rsidRPr="005F0419">
        <w:rPr>
          <w:rFonts w:ascii="Times New Roman" w:hAnsi="Times New Roman" w:cs="Times New Roman"/>
          <w:sz w:val="28"/>
          <w:szCs w:val="28"/>
          <w:lang w:val="uk-UA"/>
        </w:rPr>
        <w:t>.</w:t>
      </w:r>
    </w:p>
    <w:p w14:paraId="5A4A81FF" w14:textId="77777777" w:rsidR="0000167A" w:rsidRPr="005F0419" w:rsidRDefault="0000167A" w:rsidP="00662012">
      <w:pPr>
        <w:spacing w:after="0" w:line="360" w:lineRule="auto"/>
        <w:ind w:firstLine="720"/>
        <w:jc w:val="both"/>
        <w:rPr>
          <w:rFonts w:ascii="Times New Roman" w:hAnsi="Times New Roman" w:cs="Times New Roman"/>
          <w:iCs/>
          <w:sz w:val="28"/>
          <w:szCs w:val="28"/>
          <w:shd w:val="clear" w:color="auto" w:fill="FFFFFF"/>
          <w:lang w:val="uk-UA"/>
        </w:rPr>
      </w:pPr>
    </w:p>
    <w:p w14:paraId="70C971A3" w14:textId="77777777" w:rsidR="00496B0B" w:rsidRDefault="00496B0B" w:rsidP="00496B0B">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lastRenderedPageBreak/>
        <w:t xml:space="preserve">З метою проведення ефективного моніторингу важливим є врахування усіх його етапів, серед яких: підготовка до спостереження, проведення моніторингу, обробка результатів та підведення підсумків. </w:t>
      </w:r>
    </w:p>
    <w:p w14:paraId="76AE5B32" w14:textId="77777777" w:rsidR="007D4366" w:rsidRPr="005F0419" w:rsidRDefault="007D4366" w:rsidP="007D4366">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Саме на останньому етапі  проводиться оцінка досягнутого результату, що має своє вираження у виявлених загрозах безпеці зайнятості та оплати праці, які потребують свого подолання, а також подальшому обґрунтуванні шляхів їх нейтралізації.</w:t>
      </w:r>
    </w:p>
    <w:p w14:paraId="19ED9742" w14:textId="77777777" w:rsidR="007D4366" w:rsidRPr="005F0419" w:rsidRDefault="007D4366" w:rsidP="007D4366">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Окремо варто зупинитися на обґрунтуванні вибору критеріїв та індикаторів, необхідних для проведення корпоративного моніторингу. Задля виявлення та діагностики масштабів тих чи інших загроз, пропонуємо проведення оцінки трьох складових моніторингу за відповідними критеріями:</w:t>
      </w:r>
    </w:p>
    <w:p w14:paraId="4AD08FD3" w14:textId="77777777" w:rsidR="007D4366" w:rsidRPr="005F0419" w:rsidRDefault="007D4366" w:rsidP="007D4366">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1. Збалансованість корпоративного ринку праці доцільно оцінювати за допомогою індикаторів плинності персоналу та співвідношення прийнятих і звільнених працівників, оскільки саме ці показники, на нашу думку, відображають наявність загрозливого явища втрати трудових ресурсів підприємства, що створює дисбаланс між кількістю вакансій та кількістю бажаючих працювати у конкретній організації.</w:t>
      </w:r>
    </w:p>
    <w:p w14:paraId="6F20E79A" w14:textId="77777777" w:rsidR="00E547A1" w:rsidRPr="005F0419" w:rsidRDefault="00E547A1" w:rsidP="00E547A1">
      <w:pPr>
        <w:spacing w:after="0" w:line="360" w:lineRule="auto"/>
        <w:ind w:firstLine="720"/>
        <w:jc w:val="both"/>
        <w:rPr>
          <w:rFonts w:ascii="Times New Roman" w:hAnsi="Times New Roman" w:cs="Times New Roman"/>
          <w:iCs/>
          <w:sz w:val="28"/>
          <w:szCs w:val="28"/>
          <w:shd w:val="clear" w:color="auto" w:fill="FFFFFF"/>
          <w:lang w:val="uk-UA"/>
        </w:rPr>
      </w:pPr>
      <w:r w:rsidRPr="005F0419">
        <w:rPr>
          <w:rFonts w:ascii="Times New Roman" w:hAnsi="Times New Roman" w:cs="Times New Roman"/>
          <w:iCs/>
          <w:sz w:val="28"/>
          <w:szCs w:val="28"/>
          <w:shd w:val="clear" w:color="auto" w:fill="FFFFFF"/>
          <w:lang w:val="uk-UA"/>
        </w:rPr>
        <w:t>2. Критерій зміни стану зайнятості персоналу у бік його покращення або погіршення може бути виміряний шляхом оцінки коефіцієнтів стабільності кадрів, постійності кадрового складу, а також питомої ваги молоді/осіб старшого віку в структурі персоналу. Саме ці показники засвідчують ефективність відносин зайнятості та відображають стан захищеності відповідних інтересів працівників. Крім того, задля створення сприятливих умов ведення трудової діяльності для вразливих груп персоналу – молодих та «старших» працівників – необхідною є оцінка їх кількості у загальній структурі кадрів.</w:t>
      </w:r>
    </w:p>
    <w:p w14:paraId="795CE532" w14:textId="77777777" w:rsidR="0000167A" w:rsidRPr="005F0419" w:rsidRDefault="0000167A" w:rsidP="00662012">
      <w:pPr>
        <w:spacing w:after="0" w:line="360" w:lineRule="auto"/>
        <w:ind w:firstLine="720"/>
        <w:jc w:val="both"/>
        <w:rPr>
          <w:rFonts w:ascii="Times New Roman" w:hAnsi="Times New Roman" w:cs="Times New Roman"/>
          <w:spacing w:val="4"/>
          <w:sz w:val="28"/>
          <w:szCs w:val="28"/>
          <w:lang w:val="uk-UA"/>
        </w:rPr>
      </w:pPr>
      <w:r w:rsidRPr="005F0419">
        <w:rPr>
          <w:rFonts w:ascii="Times New Roman" w:hAnsi="Times New Roman" w:cs="Times New Roman"/>
          <w:iCs/>
          <w:spacing w:val="4"/>
          <w:sz w:val="28"/>
          <w:szCs w:val="28"/>
          <w:shd w:val="clear" w:color="auto" w:fill="FFFFFF"/>
          <w:lang w:val="uk-UA"/>
        </w:rPr>
        <w:t xml:space="preserve">3. Критерій зміни організації оплати праці у бік її покращення або погіршення відображає стан безпеки оплати праці, та забезпечується оцінкою рівня та динаміки середньомісячної заробітної плати; співвідношення </w:t>
      </w:r>
      <w:r w:rsidRPr="005F0419">
        <w:rPr>
          <w:rFonts w:ascii="Times New Roman" w:hAnsi="Times New Roman" w:cs="Times New Roman"/>
          <w:spacing w:val="4"/>
          <w:sz w:val="28"/>
          <w:szCs w:val="28"/>
          <w:lang w:val="uk-UA"/>
        </w:rPr>
        <w:t xml:space="preserve">заборгованості із виплати заробітної плати та фонду оплати праці (за умови досягнення безпеки оплати праці даний показник не повинен бути наявним на </w:t>
      </w:r>
      <w:r w:rsidRPr="005F0419">
        <w:rPr>
          <w:rFonts w:ascii="Times New Roman" w:hAnsi="Times New Roman" w:cs="Times New Roman"/>
          <w:spacing w:val="4"/>
          <w:sz w:val="28"/>
          <w:szCs w:val="28"/>
          <w:lang w:val="uk-UA"/>
        </w:rPr>
        <w:lastRenderedPageBreak/>
        <w:t xml:space="preserve">підприємстві); співвідношення темпів зміни продуктивності праці та середньої заробітної плати, що є важливим індикатором розвитку підприємства у контексті його резервів щодо збільшення фонду оплати праці. Крім того, варто відзначити необхідність визначення та моніторингу </w:t>
      </w:r>
      <w:r w:rsidRPr="005F0419">
        <w:rPr>
          <w:rFonts w:ascii="Times New Roman" w:hAnsi="Times New Roman" w:cs="Times New Roman"/>
          <w:spacing w:val="4"/>
          <w:sz w:val="28"/>
          <w:szCs w:val="28"/>
          <w:lang w:val="uk-UA"/>
        </w:rPr>
        <w:br/>
        <w:t>частки працівників, які отримують зарплату нижче середнього рівня, та частки персоналу, що отримує мінімальну заробітну плату, задля формування корпоративних механізмів соціального захисту таких співробітників [</w:t>
      </w:r>
      <w:r w:rsidRPr="005F0419">
        <w:rPr>
          <w:rFonts w:ascii="Times New Roman" w:hAnsi="Times New Roman" w:cs="Times New Roman"/>
          <w:spacing w:val="3"/>
          <w:sz w:val="28"/>
          <w:szCs w:val="28"/>
          <w:lang w:val="uk-UA"/>
        </w:rPr>
        <w:t>14</w:t>
      </w:r>
      <w:r w:rsidRPr="005F0419">
        <w:rPr>
          <w:rFonts w:ascii="Times New Roman" w:hAnsi="Times New Roman" w:cs="Times New Roman"/>
          <w:spacing w:val="4"/>
          <w:sz w:val="28"/>
          <w:szCs w:val="28"/>
          <w:lang w:val="uk-UA"/>
        </w:rPr>
        <w:t>].</w:t>
      </w:r>
    </w:p>
    <w:p w14:paraId="7BD1A77F" w14:textId="77777777" w:rsidR="0000167A" w:rsidRPr="005F0419" w:rsidRDefault="0000167A" w:rsidP="00662012">
      <w:pPr>
        <w:spacing w:after="0" w:line="360" w:lineRule="auto"/>
        <w:ind w:firstLine="720"/>
        <w:jc w:val="both"/>
        <w:rPr>
          <w:rFonts w:ascii="Times New Roman" w:hAnsi="Times New Roman" w:cs="Times New Roman"/>
          <w:spacing w:val="4"/>
          <w:sz w:val="28"/>
          <w:szCs w:val="28"/>
          <w:lang w:val="uk-UA"/>
        </w:rPr>
      </w:pPr>
      <w:r w:rsidRPr="005F0419">
        <w:rPr>
          <w:rFonts w:ascii="Times New Roman" w:hAnsi="Times New Roman" w:cs="Times New Roman"/>
          <w:spacing w:val="4"/>
          <w:sz w:val="28"/>
          <w:szCs w:val="28"/>
          <w:lang w:val="uk-UA"/>
        </w:rPr>
        <w:t xml:space="preserve">На нашу думку, впровадження системи моніторингу корпоративної соціальної безпеки сприятиме не лише покращенню стану відповідних сфер безпеки, а й забезпечуватиме оцінку ефективності впроваджених заходів щодо їх удосконалення. Все це у кінцевому підсумку буде формувати стан </w:t>
      </w:r>
      <w:r w:rsidRPr="005F0419">
        <w:rPr>
          <w:rFonts w:ascii="Times New Roman" w:hAnsi="Times New Roman" w:cs="Times New Roman"/>
          <w:spacing w:val="4"/>
          <w:sz w:val="28"/>
          <w:szCs w:val="28"/>
          <w:lang w:val="uk-UA"/>
        </w:rPr>
        <w:br/>
        <w:t xml:space="preserve">захищеності соціальних інтересів персоналу організації у відносинах «роботодавець-найманий працівник», а також сприятиме забезпеченню </w:t>
      </w:r>
      <w:r w:rsidRPr="005F0419">
        <w:rPr>
          <w:rFonts w:ascii="Times New Roman" w:hAnsi="Times New Roman" w:cs="Times New Roman"/>
          <w:iCs/>
          <w:spacing w:val="4"/>
          <w:sz w:val="28"/>
          <w:szCs w:val="28"/>
          <w:lang w:val="uk-UA"/>
        </w:rPr>
        <w:t>соціальної безпеки на рівні кожного окремого працівника.</w:t>
      </w:r>
      <w:r w:rsidRPr="005F0419">
        <w:rPr>
          <w:rFonts w:ascii="Times New Roman" w:hAnsi="Times New Roman" w:cs="Times New Roman"/>
          <w:spacing w:val="4"/>
          <w:sz w:val="28"/>
          <w:szCs w:val="28"/>
          <w:lang w:val="uk-UA"/>
        </w:rPr>
        <w:t xml:space="preserve"> </w:t>
      </w:r>
    </w:p>
    <w:p w14:paraId="3513A88D" w14:textId="77777777" w:rsidR="0000167A" w:rsidRPr="005F0419" w:rsidRDefault="0000167A" w:rsidP="00662012">
      <w:pPr>
        <w:spacing w:after="0" w:line="360" w:lineRule="auto"/>
        <w:ind w:firstLine="720"/>
        <w:jc w:val="both"/>
        <w:rPr>
          <w:rFonts w:ascii="Times New Roman" w:hAnsi="Times New Roman" w:cs="Times New Roman"/>
          <w:spacing w:val="3"/>
          <w:sz w:val="28"/>
          <w:szCs w:val="28"/>
          <w:lang w:val="uk-UA"/>
        </w:rPr>
      </w:pPr>
      <w:r w:rsidRPr="005F0419">
        <w:rPr>
          <w:rFonts w:ascii="Times New Roman" w:hAnsi="Times New Roman" w:cs="Times New Roman"/>
          <w:spacing w:val="3"/>
          <w:sz w:val="28"/>
          <w:szCs w:val="28"/>
          <w:lang w:val="uk-UA"/>
        </w:rPr>
        <w:t xml:space="preserve">У процесі формування стратегічних пріоритетів забезпечення корпоративної соціальної безпеки прослідковується наявність тісного зв’язку відповідних процесів на рівні суб’єктів господарювання та на рівні індивіда. Так, запропоновані напрями щодо забезпечення безпеки зайнятості в організації сприяють формуванню стану захищеності </w:t>
      </w:r>
      <w:r w:rsidRPr="005F0419">
        <w:rPr>
          <w:rFonts w:ascii="Times New Roman" w:hAnsi="Times New Roman" w:cs="Times New Roman"/>
          <w:iCs/>
          <w:spacing w:val="3"/>
          <w:sz w:val="28"/>
          <w:szCs w:val="28"/>
          <w:lang w:val="uk-UA"/>
        </w:rPr>
        <w:t>індивіда</w:t>
      </w:r>
      <w:r w:rsidRPr="005F0419">
        <w:rPr>
          <w:rFonts w:ascii="Times New Roman" w:hAnsi="Times New Roman" w:cs="Times New Roman"/>
          <w:spacing w:val="3"/>
          <w:sz w:val="28"/>
          <w:szCs w:val="28"/>
          <w:lang w:val="uk-UA"/>
        </w:rPr>
        <w:t xml:space="preserve"> у сфері працевлаштування, зокрема в контексті наявності робочого місця, що відповідає </w:t>
      </w:r>
      <w:proofErr w:type="spellStart"/>
      <w:r w:rsidRPr="005F0419">
        <w:rPr>
          <w:rFonts w:ascii="Times New Roman" w:hAnsi="Times New Roman" w:cs="Times New Roman"/>
          <w:spacing w:val="3"/>
          <w:sz w:val="28"/>
          <w:szCs w:val="28"/>
          <w:lang w:val="uk-UA"/>
        </w:rPr>
        <w:t>професійно</w:t>
      </w:r>
      <w:proofErr w:type="spellEnd"/>
      <w:r w:rsidRPr="005F0419">
        <w:rPr>
          <w:rFonts w:ascii="Times New Roman" w:hAnsi="Times New Roman" w:cs="Times New Roman"/>
          <w:spacing w:val="3"/>
          <w:sz w:val="28"/>
          <w:szCs w:val="28"/>
          <w:lang w:val="uk-UA"/>
        </w:rPr>
        <w:t>-кваліфікаційним характеристикам працівника, а також мотивує до ведення результативної трудової діяльності (</w:t>
      </w:r>
      <w:r w:rsidRPr="005F0419">
        <w:rPr>
          <w:rFonts w:ascii="Times New Roman" w:hAnsi="Times New Roman" w:cs="Times New Roman"/>
          <w:iCs/>
          <w:spacing w:val="3"/>
          <w:sz w:val="28"/>
          <w:szCs w:val="28"/>
          <w:lang w:val="uk-UA"/>
        </w:rPr>
        <w:t>безпеки працевлаштування</w:t>
      </w:r>
      <w:r w:rsidRPr="005F0419">
        <w:rPr>
          <w:rFonts w:ascii="Times New Roman" w:hAnsi="Times New Roman" w:cs="Times New Roman"/>
          <w:spacing w:val="3"/>
          <w:sz w:val="28"/>
          <w:szCs w:val="28"/>
          <w:lang w:val="uk-UA"/>
        </w:rPr>
        <w:t xml:space="preserve">). Другою, не менш важливою складовою соціальної безпеки людини у сфері соціально-трудових відносин є </w:t>
      </w:r>
      <w:r w:rsidRPr="005F0419">
        <w:rPr>
          <w:rFonts w:ascii="Times New Roman" w:hAnsi="Times New Roman" w:cs="Times New Roman"/>
          <w:iCs/>
          <w:spacing w:val="3"/>
          <w:sz w:val="28"/>
          <w:szCs w:val="28"/>
          <w:lang w:val="uk-UA"/>
        </w:rPr>
        <w:t>безпека трудових доходів</w:t>
      </w:r>
      <w:r w:rsidRPr="005F0419">
        <w:rPr>
          <w:rFonts w:ascii="Times New Roman" w:hAnsi="Times New Roman" w:cs="Times New Roman"/>
          <w:spacing w:val="3"/>
          <w:sz w:val="28"/>
          <w:szCs w:val="28"/>
          <w:lang w:val="uk-UA"/>
        </w:rPr>
        <w:t xml:space="preserve"> (безпека доходів від трудової діяльності), яка забезпечується шляхом впровадження заходів стратегічного характеру, спрямованих на встановлення відповідності результату і оплати праці, врахування витрачених зусиль, професійних та ділових якостей індивіда, рівня складності, відповідальності здійснюваних робіт та умов праці на принципах соціальної справедливості. </w:t>
      </w:r>
    </w:p>
    <w:p w14:paraId="4E35F4FA"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shd w:val="clear" w:color="auto" w:fill="FFFFFF"/>
          <w:lang w:val="uk-UA"/>
        </w:rPr>
        <w:lastRenderedPageBreak/>
        <w:t>Таким чином, на підприємство (організацію) має бути покладена функція забезпечення соціальної безпеки як усього персоналу, так і кожного окремо взятого працівника. Відтак, п</w:t>
      </w:r>
      <w:r w:rsidRPr="005F0419">
        <w:rPr>
          <w:rFonts w:ascii="Times New Roman" w:hAnsi="Times New Roman" w:cs="Times New Roman"/>
          <w:sz w:val="28"/>
          <w:szCs w:val="28"/>
          <w:lang w:val="uk-UA"/>
        </w:rPr>
        <w:t xml:space="preserve">роцеси розвитку індивіда та задоволення його першочергових потреб мають бути покладені в основу корпоративної стратегії соціальної безпеки будь-якої організації, що визначатиме формування стану захищеності його інтересів як на рівні суб’єктів господарювання, так і на індивідуальному рівні. Забезпечення соціальної безпеки працівника зусиллями організації є важливим фундаментом формування відчуття задоволеності роботою та забезпечення гідної праці, що сприятиме підвищенню ефективності діяльності підприємства та самореалізації індивіда у процесі праці. Враховуючи ієрархічну будову потреб людини, саме потреби у безпеці відносяться до того набору першочергових потреб, без задоволення яких працівник не може ефективно працювати та </w:t>
      </w:r>
      <w:proofErr w:type="spellStart"/>
      <w:r w:rsidRPr="005F0419">
        <w:rPr>
          <w:rFonts w:ascii="Times New Roman" w:hAnsi="Times New Roman" w:cs="Times New Roman"/>
          <w:sz w:val="28"/>
          <w:szCs w:val="28"/>
          <w:lang w:val="uk-UA"/>
        </w:rPr>
        <w:t>професійно</w:t>
      </w:r>
      <w:proofErr w:type="spellEnd"/>
      <w:r w:rsidRPr="005F0419">
        <w:rPr>
          <w:rFonts w:ascii="Times New Roman" w:hAnsi="Times New Roman" w:cs="Times New Roman"/>
          <w:sz w:val="28"/>
          <w:szCs w:val="28"/>
          <w:lang w:val="uk-UA"/>
        </w:rPr>
        <w:t xml:space="preserve"> розвиватися. </w:t>
      </w:r>
    </w:p>
    <w:p w14:paraId="0703E6CD" w14:textId="5AE6DB25"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 xml:space="preserve">Особлива роль у забезпеченні соціальної безпеки індивіда у процесі трудової діяльності в умовах динамічних змін соціально-економічного середовища має бути покладена на профспілки, які не лише представляють та захищають інтереси найманих працівників, а й здатні сприяти формуванню громадянського суспільства. На жаль, профспілковий рух в Україні на сучасному етапі свого функціонування не в повній мірі виконує функції щодо </w:t>
      </w:r>
      <w:proofErr w:type="spellStart"/>
      <w:r w:rsidRPr="005F0419">
        <w:rPr>
          <w:rFonts w:ascii="Times New Roman" w:hAnsi="Times New Roman" w:cs="Times New Roman"/>
          <w:sz w:val="28"/>
          <w:szCs w:val="28"/>
          <w:lang w:val="uk-UA"/>
        </w:rPr>
        <w:t>забепечення</w:t>
      </w:r>
      <w:proofErr w:type="spellEnd"/>
      <w:r w:rsidRPr="005F0419">
        <w:rPr>
          <w:rFonts w:ascii="Times New Roman" w:hAnsi="Times New Roman" w:cs="Times New Roman"/>
          <w:sz w:val="28"/>
          <w:szCs w:val="28"/>
          <w:lang w:val="uk-UA"/>
        </w:rPr>
        <w:t xml:space="preserve"> гідної праці та формування стану захищеності соціальних інтересів найманих працівників. З часу набуття Україною незалежності фактична роль профспілок у функціонуванні соціально-трудових відносин знижувалася через недостатню увагу проблемам колективно-договірного регулювання з боку держави та недосконалість законодавчих ініціатив. </w:t>
      </w:r>
      <w:r w:rsidRPr="005F0419">
        <w:rPr>
          <w:rFonts w:ascii="Times New Roman" w:eastAsia="Times New Roman" w:hAnsi="Times New Roman" w:cs="Times New Roman"/>
          <w:sz w:val="28"/>
          <w:szCs w:val="28"/>
          <w:lang w:val="uk-UA"/>
        </w:rPr>
        <w:t>Деталізація показників колективно-договірного регулювання за даними Державної служби статистики України наведена у таблиці 7.</w:t>
      </w:r>
    </w:p>
    <w:p w14:paraId="21C636E9" w14:textId="77777777" w:rsidR="00E547A1" w:rsidRPr="005F0419" w:rsidRDefault="00E547A1" w:rsidP="00662012">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 xml:space="preserve">Крім того, спостерігається загальна тенденція щодо зменшення кількості укладених колективних договорів з 2012 року. Зокрема, у 2021 році </w:t>
      </w:r>
      <w:r w:rsidRPr="005F0419">
        <w:rPr>
          <w:rFonts w:ascii="Times New Roman" w:eastAsia="Times New Roman" w:hAnsi="Times New Roman" w:cs="Times New Roman"/>
          <w:sz w:val="28"/>
          <w:szCs w:val="28"/>
          <w:lang w:val="uk-UA"/>
        </w:rPr>
        <w:t>укладено 43154 колективних договорів, що складає 84,4% до відповідного показника 2020 року (51125 колективних договорів). Такий показник ефективності колективно-</w:t>
      </w:r>
      <w:r w:rsidRPr="005F0419">
        <w:rPr>
          <w:rFonts w:ascii="Times New Roman" w:eastAsia="Times New Roman" w:hAnsi="Times New Roman" w:cs="Times New Roman"/>
          <w:sz w:val="28"/>
          <w:szCs w:val="28"/>
          <w:lang w:val="uk-UA"/>
        </w:rPr>
        <w:lastRenderedPageBreak/>
        <w:t xml:space="preserve">договірного регулювання, як кількість працівників, охоплених колективними договорами, у 2021 році становив 5064,4 тис. осіб, що складає 94,3% від показника 2020 року [15]. </w:t>
      </w:r>
    </w:p>
    <w:p w14:paraId="3B4903BB" w14:textId="77777777" w:rsidR="007D4366" w:rsidRPr="005F0419" w:rsidRDefault="007D4366" w:rsidP="007D4366">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Таблиця 7</w:t>
      </w:r>
    </w:p>
    <w:p w14:paraId="7B20F485" w14:textId="77777777" w:rsidR="007D4366" w:rsidRPr="005F0419" w:rsidRDefault="007D4366" w:rsidP="007D4366">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Показники колективно-договірного регулювання в Україні </w:t>
      </w:r>
    </w:p>
    <w:p w14:paraId="3A519F7B" w14:textId="77777777" w:rsidR="007D4366" w:rsidRPr="005F0419" w:rsidRDefault="007D4366" w:rsidP="007D4366">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за 2015-2021 рр.</w:t>
      </w:r>
    </w:p>
    <w:tbl>
      <w:tblPr>
        <w:tblStyle w:val="ab"/>
        <w:tblW w:w="0" w:type="auto"/>
        <w:tblLook w:val="04A0" w:firstRow="1" w:lastRow="0" w:firstColumn="1" w:lastColumn="0" w:noHBand="0" w:noVBand="1"/>
      </w:tblPr>
      <w:tblGrid>
        <w:gridCol w:w="2392"/>
        <w:gridCol w:w="1038"/>
        <w:gridCol w:w="1039"/>
        <w:gridCol w:w="1038"/>
        <w:gridCol w:w="1039"/>
        <w:gridCol w:w="1039"/>
        <w:gridCol w:w="1039"/>
        <w:gridCol w:w="877"/>
      </w:tblGrid>
      <w:tr w:rsidR="007D4366" w:rsidRPr="005F0419" w14:paraId="70FC6D2A" w14:textId="77777777" w:rsidTr="007715AB">
        <w:tc>
          <w:tcPr>
            <w:tcW w:w="2384" w:type="dxa"/>
            <w:vMerge w:val="restart"/>
          </w:tcPr>
          <w:p w14:paraId="6860139D"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Показники </w:t>
            </w:r>
          </w:p>
        </w:tc>
        <w:tc>
          <w:tcPr>
            <w:tcW w:w="1038" w:type="dxa"/>
            <w:vMerge w:val="restart"/>
          </w:tcPr>
          <w:p w14:paraId="48DD5762"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2015</w:t>
            </w:r>
          </w:p>
        </w:tc>
        <w:tc>
          <w:tcPr>
            <w:tcW w:w="1039" w:type="dxa"/>
            <w:vMerge w:val="restart"/>
          </w:tcPr>
          <w:p w14:paraId="6E6E3346"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2017</w:t>
            </w:r>
          </w:p>
        </w:tc>
        <w:tc>
          <w:tcPr>
            <w:tcW w:w="1038" w:type="dxa"/>
            <w:vMerge w:val="restart"/>
          </w:tcPr>
          <w:p w14:paraId="14B1FB1E"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2018</w:t>
            </w:r>
          </w:p>
        </w:tc>
        <w:tc>
          <w:tcPr>
            <w:tcW w:w="1039" w:type="dxa"/>
            <w:vMerge w:val="restart"/>
          </w:tcPr>
          <w:p w14:paraId="0AFB7CF4"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2019</w:t>
            </w:r>
          </w:p>
        </w:tc>
        <w:tc>
          <w:tcPr>
            <w:tcW w:w="1039" w:type="dxa"/>
            <w:vMerge w:val="restart"/>
          </w:tcPr>
          <w:p w14:paraId="6CF541F4"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w:t>
            </w:r>
          </w:p>
        </w:tc>
        <w:tc>
          <w:tcPr>
            <w:tcW w:w="1916" w:type="dxa"/>
            <w:gridSpan w:val="2"/>
          </w:tcPr>
          <w:p w14:paraId="17F01904"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w:t>
            </w:r>
          </w:p>
        </w:tc>
      </w:tr>
      <w:tr w:rsidR="007D4366" w:rsidRPr="005F0419" w14:paraId="5C0904F0" w14:textId="77777777" w:rsidTr="007715AB">
        <w:tc>
          <w:tcPr>
            <w:tcW w:w="2384" w:type="dxa"/>
            <w:vMerge/>
          </w:tcPr>
          <w:p w14:paraId="1EF4E5BC"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p>
        </w:tc>
        <w:tc>
          <w:tcPr>
            <w:tcW w:w="1038" w:type="dxa"/>
            <w:vMerge/>
          </w:tcPr>
          <w:p w14:paraId="341E3257"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p>
        </w:tc>
        <w:tc>
          <w:tcPr>
            <w:tcW w:w="1039" w:type="dxa"/>
            <w:vMerge/>
          </w:tcPr>
          <w:p w14:paraId="057E13AB"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p>
        </w:tc>
        <w:tc>
          <w:tcPr>
            <w:tcW w:w="1038" w:type="dxa"/>
            <w:vMerge/>
          </w:tcPr>
          <w:p w14:paraId="50C5355A"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p>
        </w:tc>
        <w:tc>
          <w:tcPr>
            <w:tcW w:w="1039" w:type="dxa"/>
            <w:vMerge/>
          </w:tcPr>
          <w:p w14:paraId="389C9A4F"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p>
        </w:tc>
        <w:tc>
          <w:tcPr>
            <w:tcW w:w="1039" w:type="dxa"/>
            <w:vMerge/>
          </w:tcPr>
          <w:p w14:paraId="6AD88FA7"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p>
        </w:tc>
        <w:tc>
          <w:tcPr>
            <w:tcW w:w="1039" w:type="dxa"/>
          </w:tcPr>
          <w:p w14:paraId="110BFA66"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од.</w:t>
            </w:r>
          </w:p>
        </w:tc>
        <w:tc>
          <w:tcPr>
            <w:tcW w:w="877" w:type="dxa"/>
          </w:tcPr>
          <w:p w14:paraId="1391D0EE"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до 2015</w:t>
            </w:r>
          </w:p>
        </w:tc>
      </w:tr>
      <w:tr w:rsidR="007D4366" w:rsidRPr="005F0419" w14:paraId="16E8E78E" w14:textId="77777777" w:rsidTr="007715AB">
        <w:tc>
          <w:tcPr>
            <w:tcW w:w="2384" w:type="dxa"/>
          </w:tcPr>
          <w:p w14:paraId="610F5A28"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Кількість зареєстрованих колективних договорів, од.</w:t>
            </w:r>
          </w:p>
        </w:tc>
        <w:tc>
          <w:tcPr>
            <w:tcW w:w="1038" w:type="dxa"/>
          </w:tcPr>
          <w:p w14:paraId="25028ABF"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69 602</w:t>
            </w:r>
          </w:p>
        </w:tc>
        <w:tc>
          <w:tcPr>
            <w:tcW w:w="1039" w:type="dxa"/>
          </w:tcPr>
          <w:p w14:paraId="6D918F89"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63 359</w:t>
            </w:r>
          </w:p>
        </w:tc>
        <w:tc>
          <w:tcPr>
            <w:tcW w:w="1038" w:type="dxa"/>
          </w:tcPr>
          <w:p w14:paraId="043C65EC"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59 622</w:t>
            </w:r>
          </w:p>
        </w:tc>
        <w:tc>
          <w:tcPr>
            <w:tcW w:w="1039" w:type="dxa"/>
          </w:tcPr>
          <w:p w14:paraId="1C1EB89F"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51 408</w:t>
            </w:r>
          </w:p>
        </w:tc>
        <w:tc>
          <w:tcPr>
            <w:tcW w:w="1039" w:type="dxa"/>
          </w:tcPr>
          <w:p w14:paraId="619D73D7"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51 125</w:t>
            </w:r>
          </w:p>
        </w:tc>
        <w:tc>
          <w:tcPr>
            <w:tcW w:w="1039" w:type="dxa"/>
          </w:tcPr>
          <w:p w14:paraId="7071F544"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43 154</w:t>
            </w:r>
          </w:p>
        </w:tc>
        <w:tc>
          <w:tcPr>
            <w:tcW w:w="877" w:type="dxa"/>
          </w:tcPr>
          <w:p w14:paraId="5EDB1CB3"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62,0</w:t>
            </w:r>
          </w:p>
        </w:tc>
      </w:tr>
      <w:tr w:rsidR="007D4366" w:rsidRPr="005F0419" w14:paraId="719A2739" w14:textId="77777777" w:rsidTr="007715AB">
        <w:tc>
          <w:tcPr>
            <w:tcW w:w="2384" w:type="dxa"/>
          </w:tcPr>
          <w:p w14:paraId="0007F4FA"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Середньооблікова кількість штатних працівників, тис. осіб</w:t>
            </w:r>
          </w:p>
        </w:tc>
        <w:tc>
          <w:tcPr>
            <w:tcW w:w="1038" w:type="dxa"/>
          </w:tcPr>
          <w:p w14:paraId="4C4DCBC0"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eastAsia="Times New Roman" w:hAnsi="Times New Roman" w:cs="Times New Roman"/>
                <w:sz w:val="28"/>
                <w:szCs w:val="28"/>
                <w:lang w:val="uk-UA"/>
              </w:rPr>
              <w:t>8 065</w:t>
            </w:r>
          </w:p>
        </w:tc>
        <w:tc>
          <w:tcPr>
            <w:tcW w:w="1039" w:type="dxa"/>
          </w:tcPr>
          <w:p w14:paraId="5F8E4FAE"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7 679</w:t>
            </w:r>
          </w:p>
        </w:tc>
        <w:tc>
          <w:tcPr>
            <w:tcW w:w="1038" w:type="dxa"/>
          </w:tcPr>
          <w:p w14:paraId="71939FE6"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7 662</w:t>
            </w:r>
          </w:p>
        </w:tc>
        <w:tc>
          <w:tcPr>
            <w:tcW w:w="1039" w:type="dxa"/>
          </w:tcPr>
          <w:p w14:paraId="476A24A7"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7 443</w:t>
            </w:r>
          </w:p>
        </w:tc>
        <w:tc>
          <w:tcPr>
            <w:tcW w:w="1039" w:type="dxa"/>
          </w:tcPr>
          <w:p w14:paraId="4E0CFC4D"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7 345</w:t>
            </w:r>
          </w:p>
        </w:tc>
        <w:tc>
          <w:tcPr>
            <w:tcW w:w="1039" w:type="dxa"/>
          </w:tcPr>
          <w:p w14:paraId="6337E372" w14:textId="77777777" w:rsidR="007D4366" w:rsidRPr="005F0419" w:rsidRDefault="007D4366" w:rsidP="007715AB">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7 096</w:t>
            </w:r>
          </w:p>
        </w:tc>
        <w:tc>
          <w:tcPr>
            <w:tcW w:w="877" w:type="dxa"/>
          </w:tcPr>
          <w:p w14:paraId="721D8592"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88,0</w:t>
            </w:r>
          </w:p>
        </w:tc>
      </w:tr>
      <w:tr w:rsidR="007D4366" w:rsidRPr="005F0419" w14:paraId="13E1C75C" w14:textId="77777777" w:rsidTr="007715AB">
        <w:tc>
          <w:tcPr>
            <w:tcW w:w="2384" w:type="dxa"/>
          </w:tcPr>
          <w:p w14:paraId="41DFB935"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Кількість працівників, охоплених колективними договорами, тис. осіб</w:t>
            </w:r>
          </w:p>
        </w:tc>
        <w:tc>
          <w:tcPr>
            <w:tcW w:w="1038" w:type="dxa"/>
          </w:tcPr>
          <w:p w14:paraId="3ED0F7B4" w14:textId="77777777" w:rsidR="007D4366" w:rsidRPr="005F0419" w:rsidRDefault="007D4366" w:rsidP="007715AB">
            <w:pPr>
              <w:spacing w:after="0" w:line="240" w:lineRule="auto"/>
              <w:ind w:right="-87"/>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6 343,3</w:t>
            </w:r>
          </w:p>
        </w:tc>
        <w:tc>
          <w:tcPr>
            <w:tcW w:w="1039" w:type="dxa"/>
          </w:tcPr>
          <w:p w14:paraId="71BB78DF"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6 007,3</w:t>
            </w:r>
          </w:p>
        </w:tc>
        <w:tc>
          <w:tcPr>
            <w:tcW w:w="1038" w:type="dxa"/>
          </w:tcPr>
          <w:p w14:paraId="401903F7" w14:textId="77777777" w:rsidR="007D4366" w:rsidRPr="005F0419" w:rsidRDefault="007D4366" w:rsidP="007715AB">
            <w:pPr>
              <w:spacing w:after="0" w:line="240" w:lineRule="auto"/>
              <w:ind w:right="-129"/>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5 899,6</w:t>
            </w:r>
          </w:p>
        </w:tc>
        <w:tc>
          <w:tcPr>
            <w:tcW w:w="1039" w:type="dxa"/>
          </w:tcPr>
          <w:p w14:paraId="1AB9E570"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5 512,1</w:t>
            </w:r>
          </w:p>
        </w:tc>
        <w:tc>
          <w:tcPr>
            <w:tcW w:w="1039" w:type="dxa"/>
          </w:tcPr>
          <w:p w14:paraId="68A3B0D5"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5 367,5</w:t>
            </w:r>
          </w:p>
        </w:tc>
        <w:tc>
          <w:tcPr>
            <w:tcW w:w="1039" w:type="dxa"/>
          </w:tcPr>
          <w:p w14:paraId="6AC3CF97" w14:textId="77777777" w:rsidR="007D4366" w:rsidRPr="005F0419" w:rsidRDefault="007D4366" w:rsidP="007715AB">
            <w:pPr>
              <w:spacing w:after="0" w:line="24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5 064,4</w:t>
            </w:r>
          </w:p>
        </w:tc>
        <w:tc>
          <w:tcPr>
            <w:tcW w:w="877" w:type="dxa"/>
          </w:tcPr>
          <w:p w14:paraId="74FFC97D"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79,8</w:t>
            </w:r>
          </w:p>
        </w:tc>
      </w:tr>
      <w:tr w:rsidR="007D4366" w:rsidRPr="005F0419" w14:paraId="52D86212" w14:textId="77777777" w:rsidTr="007715AB">
        <w:tc>
          <w:tcPr>
            <w:tcW w:w="2384" w:type="dxa"/>
          </w:tcPr>
          <w:p w14:paraId="57A9CD24" w14:textId="77777777" w:rsidR="007D4366" w:rsidRPr="005F0419" w:rsidRDefault="007D4366" w:rsidP="007715AB">
            <w:pPr>
              <w:spacing w:after="0" w:line="240" w:lineRule="auto"/>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до середньооблікової кількості штатних працівників</w:t>
            </w:r>
          </w:p>
        </w:tc>
        <w:tc>
          <w:tcPr>
            <w:tcW w:w="1038" w:type="dxa"/>
          </w:tcPr>
          <w:p w14:paraId="282FCB2D"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78,7</w:t>
            </w:r>
          </w:p>
        </w:tc>
        <w:tc>
          <w:tcPr>
            <w:tcW w:w="1039" w:type="dxa"/>
          </w:tcPr>
          <w:p w14:paraId="4C9242CE"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78,2</w:t>
            </w:r>
          </w:p>
        </w:tc>
        <w:tc>
          <w:tcPr>
            <w:tcW w:w="1038" w:type="dxa"/>
          </w:tcPr>
          <w:p w14:paraId="2219C14A"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77,0</w:t>
            </w:r>
          </w:p>
        </w:tc>
        <w:tc>
          <w:tcPr>
            <w:tcW w:w="1039" w:type="dxa"/>
          </w:tcPr>
          <w:p w14:paraId="5118EF4D"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74,0</w:t>
            </w:r>
          </w:p>
        </w:tc>
        <w:tc>
          <w:tcPr>
            <w:tcW w:w="1039" w:type="dxa"/>
          </w:tcPr>
          <w:p w14:paraId="44A13863"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73,1</w:t>
            </w:r>
          </w:p>
        </w:tc>
        <w:tc>
          <w:tcPr>
            <w:tcW w:w="1039" w:type="dxa"/>
          </w:tcPr>
          <w:p w14:paraId="77FCF884"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71,4</w:t>
            </w:r>
          </w:p>
        </w:tc>
        <w:tc>
          <w:tcPr>
            <w:tcW w:w="877" w:type="dxa"/>
          </w:tcPr>
          <w:p w14:paraId="3ED6D5E4" w14:textId="77777777" w:rsidR="007D4366" w:rsidRPr="005F0419" w:rsidRDefault="007D4366" w:rsidP="007715AB">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p>
        </w:tc>
      </w:tr>
    </w:tbl>
    <w:p w14:paraId="52372900" w14:textId="77777777" w:rsidR="007D4366" w:rsidRPr="005F0419" w:rsidRDefault="007D4366" w:rsidP="007D4366">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Джерело: розраховано автором за даними [2].</w:t>
      </w:r>
    </w:p>
    <w:p w14:paraId="3576C635" w14:textId="77777777" w:rsidR="007D4366" w:rsidRDefault="007D4366" w:rsidP="00662012">
      <w:pPr>
        <w:shd w:val="clear" w:color="auto" w:fill="FFFFFF"/>
        <w:spacing w:after="0" w:line="360" w:lineRule="auto"/>
        <w:ind w:firstLine="720"/>
        <w:jc w:val="both"/>
        <w:rPr>
          <w:rFonts w:ascii="Times New Roman" w:eastAsia="Times New Roman" w:hAnsi="Times New Roman" w:cs="Times New Roman"/>
          <w:sz w:val="28"/>
          <w:szCs w:val="28"/>
          <w:lang w:val="uk-UA"/>
        </w:rPr>
      </w:pPr>
    </w:p>
    <w:p w14:paraId="78ABADCA" w14:textId="292CC463" w:rsidR="0000167A" w:rsidRPr="005F0419" w:rsidRDefault="0000167A" w:rsidP="00662012">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Аналізуючи тенденції у сфері колективно-договірного регулювання, які створюють передумови для ефективної діяльності профспілок, можна зробити висновок щодо зниження кількості зареєстрованих колективних договорів та кількості працівників, охоплених колективними договорами, упродовж 2015-2021 років. Так, кількість зареєстрованих колективних договорів у 2021 році становила лише 62 % від рівня 2015 року. Такий показник, як кількість працівників, охоплених колективними договорами, також знизився, і у 2021 році становив 79,8% від рівня 2015 року, що корелює із загальним зниженням </w:t>
      </w:r>
      <w:r w:rsidRPr="005F0419">
        <w:rPr>
          <w:rFonts w:ascii="Times New Roman" w:eastAsia="Times New Roman" w:hAnsi="Times New Roman" w:cs="Times New Roman"/>
          <w:sz w:val="28"/>
          <w:szCs w:val="28"/>
          <w:lang w:val="uk-UA"/>
        </w:rPr>
        <w:lastRenderedPageBreak/>
        <w:t>середньооблікової чисельності штатних працівників. Але варто зазначити, що рівень охоплення персоналу підприємств, організацій та установ залишається невисоким та має тенденцію до зниження (упродовж аналізованого періоду зменшення становило 7,3 пунктів). Так, у 2021 кількість працівників, охоплених колективними договорами, становила лише 71,4% до середньооблікової кількості штатних працівників. Все це засвідчує недостатність та, відповідно, недостатню неефективність системи колективно-договірного регулювання.</w:t>
      </w:r>
    </w:p>
    <w:p w14:paraId="6D3707F4" w14:textId="77777777" w:rsidR="0000167A" w:rsidRPr="005F0419" w:rsidRDefault="0000167A" w:rsidP="00662012">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 умовах війни в Україні низку положень колективних договорів до кінця дії воєнного стану призупинено за ініціативою роботодавців (після прийняття Закону України від 15 березня 2022 р. № 2136 «Про організацію трудових відносин в умовах воєнного стану»), що значно погіршило соціально-економічний стан працівників [15]. </w:t>
      </w:r>
    </w:p>
    <w:p w14:paraId="7339194B"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Згідно Закону України «Про організацію трудових відносин в умовах воєнного стану» від 15 березня 2022 року №2136-ІХ, на профспілки та їх об’єднання покладено завдання максимального сприяння забезпеченню </w:t>
      </w:r>
      <w:r w:rsidRPr="005F0419">
        <w:rPr>
          <w:rFonts w:ascii="Times New Roman" w:hAnsi="Times New Roman" w:cs="Times New Roman"/>
          <w:sz w:val="28"/>
          <w:szCs w:val="28"/>
          <w:shd w:val="clear" w:color="auto" w:fill="FFFFFF"/>
          <w:lang w:val="uk-UA"/>
        </w:rPr>
        <w:t xml:space="preserve">обороноздатності держави та громадському контролю за мінімальними трудовими гарантіями [16]. У той же час функція сприяння обороноздатності держави є у певній мірі </w:t>
      </w:r>
      <w:r w:rsidRPr="005F0419">
        <w:rPr>
          <w:rFonts w:ascii="Times New Roman" w:hAnsi="Times New Roman" w:cs="Times New Roman"/>
          <w:sz w:val="28"/>
          <w:szCs w:val="28"/>
          <w:lang w:val="uk-UA"/>
        </w:rPr>
        <w:t xml:space="preserve">декларативною, оскільки зазначеним Законом не передбачені конкретні повноваження профспілок з її реалізації за аналогією з іншими основними функціями (представницькою, захисною, громадського контролю за додержанням законодавства про працю та про охорону праці, додержанням мінімальних трудових гарантій, передбачених Законом України «Про організацію трудових відносин в умовах воєнного стану») [17]. </w:t>
      </w:r>
    </w:p>
    <w:p w14:paraId="708C439C"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 метою покращення ситуації важливою є взаємодія профспілок з урядом та роботодавцями, спрямована на звуження </w:t>
      </w:r>
      <w:proofErr w:type="spellStart"/>
      <w:r w:rsidRPr="005F0419">
        <w:rPr>
          <w:rFonts w:ascii="Times New Roman" w:hAnsi="Times New Roman" w:cs="Times New Roman"/>
          <w:sz w:val="28"/>
          <w:szCs w:val="28"/>
          <w:lang w:val="uk-UA"/>
        </w:rPr>
        <w:t>безпрофслікового</w:t>
      </w:r>
      <w:proofErr w:type="spellEnd"/>
      <w:r w:rsidRPr="005F0419">
        <w:rPr>
          <w:rFonts w:ascii="Times New Roman" w:hAnsi="Times New Roman" w:cs="Times New Roman"/>
          <w:sz w:val="28"/>
          <w:szCs w:val="28"/>
          <w:lang w:val="uk-UA"/>
        </w:rPr>
        <w:t xml:space="preserve"> сектора економіки; включення до колективних угод (договорів) положень, що сприяють поширенню гідної праці, протидія використанню схем нестійких трудових відносин, що перешкоджають розповсюдженню гідних умов праці, відстоювання соціальних стандартів, що відповідають гідним умовам життя, формування компетентного та мотивованого кадрового потенціалу профспілкових </w:t>
      </w:r>
      <w:r w:rsidRPr="005F0419">
        <w:rPr>
          <w:rFonts w:ascii="Times New Roman" w:hAnsi="Times New Roman" w:cs="Times New Roman"/>
          <w:sz w:val="28"/>
          <w:szCs w:val="28"/>
          <w:lang w:val="uk-UA"/>
        </w:rPr>
        <w:lastRenderedPageBreak/>
        <w:t xml:space="preserve">працівників, здійснення громадського контролю за дотриманням стандартів гідної праці, сприяння розвитку соціальної відповідальності бізнесу [18]. Вважаємо, що всі ці напрями сприятимуть формуванню засад соціальної безпеки працівників не лише на рівні суб’єктів господарювання, а й на державному та місцевому рівнях. </w:t>
      </w:r>
    </w:p>
    <w:p w14:paraId="500AB121"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Однією з необхідних умов ефективного соціального діалогу є посилення ролі та авторитету профспілок у вирішенні нагальних соціально-трудових питань, що може мати своє вираження у проведенні спільних із представницькими органами роботодавців та державної влади проектів щодо захисту інтересів найманих працівників; популяризації профспілкового руху; активізації їх діяльності щодо впровадження концепції гідної праці в Україні. Все це, у кінцевому підсумку, здійснюватиме позитивний вплив на стан та рівень соціальної безпеки на ринку праці на всіх її рівнях. </w:t>
      </w:r>
    </w:p>
    <w:p w14:paraId="453A29C3"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 жаль, отримати точну статистичну інформацію про зайнятість та оплату праці в умовах активних бойових дій та тимчасової окупації частини територій України неможливо. Проте вже зараз необхідно визначити пріоритети та можливості забезпечення корпоративної соціальної безпеки на майбутнє. Дане завдання покликана вирішити стратегія корпоративної соціальної безпеки на рівні суб’єктів господарювання, яка по суті має стати частиною HR-стратегії організації (кадрової стратегії, стратегії управління персоналом). На нашу думку, стратегія забезпечення корпоративної соціальної безпеки являє собою довгострокову конкретизовану програму дій у сфері соціально-трудових відносин, покликану сприяти формуванню стану захищеності соціальних інтересів працівників (зокрема, у сфері дотримання гарантій зайнятості та оплати праці) з урахуванням необхідності подолання викликів та загроз як </w:t>
      </w:r>
      <w:proofErr w:type="spellStart"/>
      <w:r w:rsidRPr="005F0419">
        <w:rPr>
          <w:rFonts w:ascii="Times New Roman" w:hAnsi="Times New Roman" w:cs="Times New Roman"/>
          <w:sz w:val="28"/>
          <w:szCs w:val="28"/>
          <w:lang w:val="uk-UA"/>
        </w:rPr>
        <w:t>внутрішньокорпоративного</w:t>
      </w:r>
      <w:proofErr w:type="spellEnd"/>
      <w:r w:rsidRPr="005F0419">
        <w:rPr>
          <w:rFonts w:ascii="Times New Roman" w:hAnsi="Times New Roman" w:cs="Times New Roman"/>
          <w:sz w:val="28"/>
          <w:szCs w:val="28"/>
          <w:lang w:val="uk-UA"/>
        </w:rPr>
        <w:t xml:space="preserve">, так і зовнішнього середовища організації. Кінцевою метою стратегії є забезпечення продуктивності та ефективності праці, а також добробуту працівників. </w:t>
      </w:r>
    </w:p>
    <w:p w14:paraId="34F678E7" w14:textId="77777777" w:rsidR="00E547A1"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Розробка та реалізація стратегії забезпечення корпоративної соціальної безпеки передбачає застосування механізму, який враховує цілеспрямований </w:t>
      </w:r>
      <w:r w:rsidRPr="005F0419">
        <w:rPr>
          <w:rFonts w:ascii="Times New Roman" w:hAnsi="Times New Roman" w:cs="Times New Roman"/>
          <w:sz w:val="28"/>
          <w:szCs w:val="28"/>
          <w:lang w:val="uk-UA"/>
        </w:rPr>
        <w:lastRenderedPageBreak/>
        <w:t xml:space="preserve">вплив її суб’єктів на визначений об’єкт з метою досягнення результату. Саме тому варто визначити основні структурні елементи та їх взаємозв’язки, що мають місце як на етапі створення, так і на етапі впровадження стратегії (рис. 5). </w:t>
      </w:r>
    </w:p>
    <w:p w14:paraId="508E6A46" w14:textId="77777777" w:rsidR="00E547A1" w:rsidRPr="005F0419" w:rsidRDefault="00E547A1" w:rsidP="00E547A1">
      <w:pPr>
        <w:autoSpaceDE w:val="0"/>
        <w:autoSpaceDN w:val="0"/>
        <w:adjustRightInd w:val="0"/>
        <w:spacing w:after="0" w:line="360" w:lineRule="auto"/>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rPr>
        <mc:AlternateContent>
          <mc:Choice Requires="wpc">
            <w:drawing>
              <wp:inline distT="0" distB="0" distL="0" distR="0" wp14:anchorId="506F3921" wp14:editId="434272F9">
                <wp:extent cx="6057900" cy="6598920"/>
                <wp:effectExtent l="0" t="0" r="19050" b="0"/>
                <wp:docPr id="2097794234"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07450483" name="Oval 4"/>
                        <wps:cNvSpPr>
                          <a:spLocks noChangeArrowheads="1"/>
                        </wps:cNvSpPr>
                        <wps:spPr bwMode="auto">
                          <a:xfrm>
                            <a:off x="2173272" y="0"/>
                            <a:ext cx="1628902" cy="440267"/>
                          </a:xfrm>
                          <a:prstGeom prst="ellipse">
                            <a:avLst/>
                          </a:prstGeom>
                          <a:solidFill>
                            <a:srgbClr val="FFFFFF"/>
                          </a:solidFill>
                          <a:ln w="9525">
                            <a:solidFill>
                              <a:srgbClr val="000000"/>
                            </a:solidFill>
                            <a:round/>
                            <a:headEnd/>
                            <a:tailEnd/>
                          </a:ln>
                        </wps:spPr>
                        <wps:txbx>
                          <w:txbxContent>
                            <w:p w14:paraId="4D5E467A" w14:textId="77777777" w:rsidR="00571B42" w:rsidRPr="00301216" w:rsidRDefault="00571B42" w:rsidP="00E547A1">
                              <w:pPr>
                                <w:jc w:val="center"/>
                                <w:rPr>
                                  <w:rFonts w:ascii="Times New Roman" w:hAnsi="Times New Roman" w:cs="Times New Roman"/>
                                  <w:sz w:val="28"/>
                                  <w:szCs w:val="28"/>
                                  <w:lang w:val="uk-UA"/>
                                </w:rPr>
                              </w:pPr>
                              <w:r w:rsidRPr="00301216">
                                <w:rPr>
                                  <w:rFonts w:ascii="Times New Roman" w:hAnsi="Times New Roman" w:cs="Times New Roman"/>
                                  <w:sz w:val="28"/>
                                  <w:szCs w:val="28"/>
                                </w:rPr>
                                <w:t xml:space="preserve">Суб'єкти </w:t>
                              </w:r>
                            </w:p>
                          </w:txbxContent>
                        </wps:txbx>
                        <wps:bodyPr rot="0" vert="horz" wrap="square" lIns="91440" tIns="45720" rIns="91440" bIns="45720" anchor="t" anchorCtr="0" upright="1">
                          <a:noAutofit/>
                        </wps:bodyPr>
                      </wps:wsp>
                      <wps:wsp>
                        <wps:cNvPr id="737337545" name="Rectangle 5"/>
                        <wps:cNvSpPr>
                          <a:spLocks noChangeArrowheads="1"/>
                        </wps:cNvSpPr>
                        <wps:spPr bwMode="auto">
                          <a:xfrm>
                            <a:off x="1440434" y="1921933"/>
                            <a:ext cx="3178715" cy="342900"/>
                          </a:xfrm>
                          <a:prstGeom prst="rect">
                            <a:avLst/>
                          </a:prstGeom>
                          <a:solidFill>
                            <a:srgbClr val="FFFFFF"/>
                          </a:solidFill>
                          <a:ln w="9525">
                            <a:solidFill>
                              <a:srgbClr val="000000"/>
                            </a:solidFill>
                            <a:miter lim="800000"/>
                            <a:headEnd/>
                            <a:tailEnd/>
                          </a:ln>
                        </wps:spPr>
                        <wps:txbx>
                          <w:txbxContent>
                            <w:p w14:paraId="34C29029"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Процес розробки та реалізації стратегії</w:t>
                              </w:r>
                            </w:p>
                          </w:txbxContent>
                        </wps:txbx>
                        <wps:bodyPr rot="0" vert="horz" wrap="square" lIns="91440" tIns="45720" rIns="91440" bIns="45720" anchor="t" anchorCtr="0" upright="1">
                          <a:noAutofit/>
                        </wps:bodyPr>
                      </wps:wsp>
                      <wps:wsp>
                        <wps:cNvPr id="512837427" name="AutoShape 7"/>
                        <wps:cNvSpPr>
                          <a:spLocks/>
                        </wps:cNvSpPr>
                        <wps:spPr bwMode="auto">
                          <a:xfrm rot="16200000">
                            <a:off x="2845199" y="-1107136"/>
                            <a:ext cx="276013" cy="5750798"/>
                          </a:xfrm>
                          <a:prstGeom prst="leftBrace">
                            <a:avLst>
                              <a:gd name="adj1" fmla="val 209663"/>
                              <a:gd name="adj2" fmla="val 491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737510" name="Rectangle 8"/>
                        <wps:cNvSpPr>
                          <a:spLocks noChangeArrowheads="1"/>
                        </wps:cNvSpPr>
                        <wps:spPr bwMode="auto">
                          <a:xfrm>
                            <a:off x="447246" y="6025727"/>
                            <a:ext cx="5257752" cy="457200"/>
                          </a:xfrm>
                          <a:prstGeom prst="rect">
                            <a:avLst/>
                          </a:prstGeom>
                          <a:solidFill>
                            <a:srgbClr val="FFFFFF"/>
                          </a:solidFill>
                          <a:ln w="9525">
                            <a:solidFill>
                              <a:srgbClr val="000000"/>
                            </a:solidFill>
                            <a:miter lim="800000"/>
                            <a:headEnd/>
                            <a:tailEnd/>
                          </a:ln>
                        </wps:spPr>
                        <wps:txbx>
                          <w:txbxContent>
                            <w:p w14:paraId="27214691"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 xml:space="preserve">Результат: створено та впроваджено </w:t>
                              </w:r>
                              <w:r>
                                <w:rPr>
                                  <w:rFonts w:ascii="Times New Roman" w:hAnsi="Times New Roman" w:cs="Times New Roman"/>
                                  <w:lang w:val="uk-UA"/>
                                </w:rPr>
                                <w:t>стратегію забезпечення корпоративної соціальної безпеки</w:t>
                              </w:r>
                            </w:p>
                          </w:txbxContent>
                        </wps:txbx>
                        <wps:bodyPr rot="0" vert="horz" wrap="square" lIns="91440" tIns="45720" rIns="91440" bIns="45720" anchor="t" anchorCtr="0" upright="1">
                          <a:noAutofit/>
                        </wps:bodyPr>
                      </wps:wsp>
                      <wps:wsp>
                        <wps:cNvPr id="373008269" name="Oval 9"/>
                        <wps:cNvSpPr>
                          <a:spLocks noChangeArrowheads="1"/>
                        </wps:cNvSpPr>
                        <wps:spPr bwMode="auto">
                          <a:xfrm>
                            <a:off x="4572032" y="0"/>
                            <a:ext cx="1360503" cy="440267"/>
                          </a:xfrm>
                          <a:prstGeom prst="ellipse">
                            <a:avLst/>
                          </a:prstGeom>
                          <a:solidFill>
                            <a:srgbClr val="FFFFFF"/>
                          </a:solidFill>
                          <a:ln w="9525">
                            <a:solidFill>
                              <a:srgbClr val="000000"/>
                            </a:solidFill>
                            <a:round/>
                            <a:headEnd/>
                            <a:tailEnd/>
                          </a:ln>
                        </wps:spPr>
                        <wps:txbx>
                          <w:txbxContent>
                            <w:p w14:paraId="429D0211" w14:textId="77777777" w:rsidR="00571B42" w:rsidRPr="00301216" w:rsidRDefault="00571B42" w:rsidP="00E547A1">
                              <w:pPr>
                                <w:jc w:val="center"/>
                                <w:rPr>
                                  <w:rFonts w:ascii="Times New Roman" w:hAnsi="Times New Roman" w:cs="Times New Roman"/>
                                  <w:sz w:val="28"/>
                                  <w:szCs w:val="28"/>
                                  <w:lang w:val="uk-UA"/>
                                </w:rPr>
                              </w:pPr>
                              <w:r w:rsidRPr="00301216">
                                <w:rPr>
                                  <w:rFonts w:ascii="Times New Roman" w:hAnsi="Times New Roman" w:cs="Times New Roman"/>
                                  <w:sz w:val="28"/>
                                  <w:szCs w:val="28"/>
                                  <w:lang w:val="uk-UA"/>
                                </w:rPr>
                                <w:t>Рів</w:t>
                              </w:r>
                              <w:r>
                                <w:rPr>
                                  <w:rFonts w:ascii="Times New Roman" w:hAnsi="Times New Roman" w:cs="Times New Roman"/>
                                  <w:sz w:val="28"/>
                                  <w:szCs w:val="28"/>
                                  <w:lang w:val="uk-UA"/>
                                </w:rPr>
                                <w:t>ень</w:t>
                              </w:r>
                              <w:r w:rsidRPr="00301216">
                                <w:rPr>
                                  <w:rFonts w:ascii="Times New Roman" w:hAnsi="Times New Roman" w:cs="Times New Roman"/>
                                  <w:sz w:val="28"/>
                                  <w:szCs w:val="28"/>
                                </w:rPr>
                                <w:t xml:space="preserve"> </w:t>
                              </w:r>
                            </w:p>
                          </w:txbxContent>
                        </wps:txbx>
                        <wps:bodyPr rot="0" vert="horz" wrap="square" lIns="91440" tIns="45720" rIns="91440" bIns="45720" anchor="t" anchorCtr="0" upright="1">
                          <a:noAutofit/>
                        </wps:bodyPr>
                      </wps:wsp>
                      <wps:wsp>
                        <wps:cNvPr id="1401789246" name="Oval 10"/>
                        <wps:cNvSpPr>
                          <a:spLocks noChangeArrowheads="1"/>
                        </wps:cNvSpPr>
                        <wps:spPr bwMode="auto">
                          <a:xfrm>
                            <a:off x="121999" y="0"/>
                            <a:ext cx="1295718" cy="440267"/>
                          </a:xfrm>
                          <a:prstGeom prst="ellipse">
                            <a:avLst/>
                          </a:prstGeom>
                          <a:solidFill>
                            <a:srgbClr val="FFFFFF"/>
                          </a:solidFill>
                          <a:ln w="9525">
                            <a:solidFill>
                              <a:srgbClr val="000000"/>
                            </a:solidFill>
                            <a:round/>
                            <a:headEnd/>
                            <a:tailEnd/>
                          </a:ln>
                        </wps:spPr>
                        <wps:txbx>
                          <w:txbxContent>
                            <w:p w14:paraId="1C651467" w14:textId="77777777" w:rsidR="00571B42" w:rsidRPr="00301216" w:rsidRDefault="00571B42" w:rsidP="00E547A1">
                              <w:pPr>
                                <w:jc w:val="center"/>
                                <w:rPr>
                                  <w:rFonts w:ascii="Times New Roman" w:hAnsi="Times New Roman" w:cs="Times New Roman"/>
                                  <w:sz w:val="28"/>
                                  <w:szCs w:val="28"/>
                                  <w:lang w:val="uk-UA"/>
                                </w:rPr>
                              </w:pPr>
                              <w:r w:rsidRPr="00301216">
                                <w:rPr>
                                  <w:rFonts w:ascii="Times New Roman" w:hAnsi="Times New Roman" w:cs="Times New Roman"/>
                                  <w:sz w:val="28"/>
                                  <w:szCs w:val="28"/>
                                  <w:lang w:val="uk-UA"/>
                                </w:rPr>
                                <w:t>Інститути</w:t>
                              </w:r>
                            </w:p>
                          </w:txbxContent>
                        </wps:txbx>
                        <wps:bodyPr rot="0" vert="horz" wrap="square" lIns="91440" tIns="45720" rIns="91440" bIns="45720" anchor="t" anchorCtr="0" upright="1">
                          <a:noAutofit/>
                        </wps:bodyPr>
                      </wps:wsp>
                      <wps:wsp>
                        <wps:cNvPr id="2066100311" name="AutoShape 11"/>
                        <wps:cNvSpPr>
                          <a:spLocks noChangeArrowheads="1"/>
                        </wps:cNvSpPr>
                        <wps:spPr bwMode="auto">
                          <a:xfrm>
                            <a:off x="3886311" y="84667"/>
                            <a:ext cx="616728" cy="285327"/>
                          </a:xfrm>
                          <a:prstGeom prst="rightArrow">
                            <a:avLst>
                              <a:gd name="adj1" fmla="val 50000"/>
                              <a:gd name="adj2" fmla="val 5437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77650042" name="AutoShape 12"/>
                        <wps:cNvSpPr>
                          <a:spLocks noChangeArrowheads="1"/>
                        </wps:cNvSpPr>
                        <wps:spPr bwMode="auto">
                          <a:xfrm rot="10800000">
                            <a:off x="1440434" y="84667"/>
                            <a:ext cx="616728" cy="285327"/>
                          </a:xfrm>
                          <a:prstGeom prst="rightArrow">
                            <a:avLst>
                              <a:gd name="adj1" fmla="val 50000"/>
                              <a:gd name="adj2" fmla="val 5437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12224857" name="AutoShape 13"/>
                        <wps:cNvSpPr>
                          <a:spLocks noChangeArrowheads="1"/>
                        </wps:cNvSpPr>
                        <wps:spPr bwMode="auto">
                          <a:xfrm>
                            <a:off x="5092843" y="530013"/>
                            <a:ext cx="266716" cy="25654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719069392" name="AutoShape 14"/>
                        <wps:cNvSpPr>
                          <a:spLocks noChangeArrowheads="1"/>
                        </wps:cNvSpPr>
                        <wps:spPr bwMode="auto">
                          <a:xfrm>
                            <a:off x="2867406" y="530013"/>
                            <a:ext cx="281861" cy="25654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785050474" name="AutoShape 21"/>
                        <wps:cNvSpPr>
                          <a:spLocks noChangeArrowheads="1"/>
                        </wps:cNvSpPr>
                        <wps:spPr bwMode="auto">
                          <a:xfrm>
                            <a:off x="3741404" y="909321"/>
                            <a:ext cx="502301" cy="286173"/>
                          </a:xfrm>
                          <a:prstGeom prst="rightArrow">
                            <a:avLst>
                              <a:gd name="adj1" fmla="val 50000"/>
                              <a:gd name="adj2" fmla="val 4415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6710056" name="AutoShape 24"/>
                        <wps:cNvSpPr>
                          <a:spLocks noChangeArrowheads="1"/>
                        </wps:cNvSpPr>
                        <wps:spPr bwMode="auto">
                          <a:xfrm rot="10800000">
                            <a:off x="1975088" y="908473"/>
                            <a:ext cx="371888" cy="287020"/>
                          </a:xfrm>
                          <a:prstGeom prst="rightArrow">
                            <a:avLst>
                              <a:gd name="adj1" fmla="val 50000"/>
                              <a:gd name="adj2" fmla="val 3259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02507057" name="Rectangle 27"/>
                        <wps:cNvSpPr>
                          <a:spLocks noChangeArrowheads="1"/>
                        </wps:cNvSpPr>
                        <wps:spPr bwMode="auto">
                          <a:xfrm>
                            <a:off x="2423208" y="827193"/>
                            <a:ext cx="1194753" cy="628227"/>
                          </a:xfrm>
                          <a:prstGeom prst="rect">
                            <a:avLst/>
                          </a:prstGeom>
                          <a:solidFill>
                            <a:srgbClr val="FFFFFF"/>
                          </a:solidFill>
                          <a:ln w="9525">
                            <a:solidFill>
                              <a:srgbClr val="000000"/>
                            </a:solidFill>
                            <a:miter lim="800000"/>
                            <a:headEnd/>
                            <a:tailEnd/>
                          </a:ln>
                        </wps:spPr>
                        <wps:txbx>
                          <w:txbxContent>
                            <w:p w14:paraId="6CCC7F2B"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Підприємства, організації, установи</w:t>
                              </w:r>
                            </w:p>
                          </w:txbxContent>
                        </wps:txbx>
                        <wps:bodyPr rot="0" vert="horz" wrap="square" lIns="91440" tIns="45720" rIns="91440" bIns="45720" anchor="t" anchorCtr="0" upright="1">
                          <a:noAutofit/>
                        </wps:bodyPr>
                      </wps:wsp>
                      <wps:wsp>
                        <wps:cNvPr id="1201765499" name="Rectangle 30"/>
                        <wps:cNvSpPr>
                          <a:spLocks noChangeArrowheads="1"/>
                        </wps:cNvSpPr>
                        <wps:spPr bwMode="auto">
                          <a:xfrm>
                            <a:off x="4503039" y="842433"/>
                            <a:ext cx="1429496" cy="628227"/>
                          </a:xfrm>
                          <a:prstGeom prst="rect">
                            <a:avLst/>
                          </a:prstGeom>
                          <a:solidFill>
                            <a:srgbClr val="FFFFFF"/>
                          </a:solidFill>
                          <a:ln w="9525">
                            <a:solidFill>
                              <a:srgbClr val="000000"/>
                            </a:solidFill>
                            <a:miter lim="800000"/>
                            <a:headEnd/>
                            <a:tailEnd/>
                          </a:ln>
                        </wps:spPr>
                        <wps:txbx>
                          <w:txbxContent>
                            <w:p w14:paraId="7C3786F5"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Суб</w:t>
                              </w:r>
                              <w:r w:rsidRPr="00301216">
                                <w:rPr>
                                  <w:rFonts w:ascii="Times New Roman" w:hAnsi="Times New Roman" w:cs="Times New Roman"/>
                                  <w:lang w:val="en-US"/>
                                </w:rPr>
                                <w:t>’</w:t>
                              </w:r>
                              <w:r w:rsidRPr="00301216">
                                <w:rPr>
                                  <w:rFonts w:ascii="Times New Roman" w:hAnsi="Times New Roman" w:cs="Times New Roman"/>
                                  <w:lang w:val="uk-UA"/>
                                </w:rPr>
                                <w:t>єктів господарювання (мікрорівень)</w:t>
                              </w:r>
                            </w:p>
                          </w:txbxContent>
                        </wps:txbx>
                        <wps:bodyPr rot="0" vert="horz" wrap="square" lIns="91440" tIns="45720" rIns="91440" bIns="45720" anchor="t" anchorCtr="0" upright="1">
                          <a:noAutofit/>
                        </wps:bodyPr>
                      </wps:wsp>
                      <wps:wsp>
                        <wps:cNvPr id="1255336402" name="Rectangle 32"/>
                        <wps:cNvSpPr>
                          <a:spLocks noChangeArrowheads="1"/>
                        </wps:cNvSpPr>
                        <wps:spPr bwMode="auto">
                          <a:xfrm>
                            <a:off x="99559" y="728133"/>
                            <a:ext cx="1792129" cy="780627"/>
                          </a:xfrm>
                          <a:prstGeom prst="rect">
                            <a:avLst/>
                          </a:prstGeom>
                          <a:solidFill>
                            <a:srgbClr val="FFFFFF"/>
                          </a:solidFill>
                          <a:ln w="9525">
                            <a:solidFill>
                              <a:srgbClr val="000000"/>
                            </a:solidFill>
                            <a:miter lim="800000"/>
                            <a:headEnd/>
                            <a:tailEnd/>
                          </a:ln>
                        </wps:spPr>
                        <wps:txbx>
                          <w:txbxContent>
                            <w:p w14:paraId="79416C65" w14:textId="77777777" w:rsidR="00571B42" w:rsidRPr="00301216" w:rsidRDefault="00571B42" w:rsidP="00E547A1">
                              <w:pPr>
                                <w:jc w:val="center"/>
                                <w:rPr>
                                  <w:rFonts w:ascii="Times New Roman" w:hAnsi="Times New Roman" w:cs="Times New Roman"/>
                                </w:rPr>
                              </w:pPr>
                              <w:r w:rsidRPr="00301216">
                                <w:rPr>
                                  <w:rFonts w:ascii="Times New Roman" w:hAnsi="Times New Roman" w:cs="Times New Roman"/>
                                  <w:lang w:val="uk-UA"/>
                                </w:rPr>
                                <w:t>Роботодавці, спілки роботодавців, наймані працівники, профспілки</w:t>
                              </w:r>
                            </w:p>
                          </w:txbxContent>
                        </wps:txbx>
                        <wps:bodyPr rot="0" vert="horz" wrap="square" lIns="91440" tIns="45720" rIns="91440" bIns="45720" anchor="t" anchorCtr="0" upright="1">
                          <a:noAutofit/>
                        </wps:bodyPr>
                      </wps:wsp>
                      <wps:wsp>
                        <wps:cNvPr id="350152154" name="Rectangle 33"/>
                        <wps:cNvSpPr>
                          <a:spLocks noChangeArrowheads="1"/>
                        </wps:cNvSpPr>
                        <wps:spPr bwMode="auto">
                          <a:xfrm>
                            <a:off x="81842" y="2485813"/>
                            <a:ext cx="1444641" cy="342900"/>
                          </a:xfrm>
                          <a:prstGeom prst="rect">
                            <a:avLst/>
                          </a:prstGeom>
                          <a:solidFill>
                            <a:srgbClr val="FFFFFF"/>
                          </a:solidFill>
                          <a:ln w="9525">
                            <a:solidFill>
                              <a:srgbClr val="000000"/>
                            </a:solidFill>
                            <a:miter lim="800000"/>
                            <a:headEnd/>
                            <a:tailEnd/>
                          </a:ln>
                        </wps:spPr>
                        <wps:txbx>
                          <w:txbxContent>
                            <w:p w14:paraId="5DE86795"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Розробка</w:t>
                              </w:r>
                            </w:p>
                          </w:txbxContent>
                        </wps:txbx>
                        <wps:bodyPr rot="0" vert="horz" wrap="square" lIns="91440" tIns="45720" rIns="91440" bIns="45720" anchor="t" anchorCtr="0" upright="1">
                          <a:noAutofit/>
                        </wps:bodyPr>
                      </wps:wsp>
                      <wps:wsp>
                        <wps:cNvPr id="1200563189" name="AutoShape 34"/>
                        <wps:cNvSpPr>
                          <a:spLocks noChangeArrowheads="1"/>
                        </wps:cNvSpPr>
                        <wps:spPr bwMode="auto">
                          <a:xfrm rot="3437811">
                            <a:off x="1072841" y="2046833"/>
                            <a:ext cx="266700" cy="408908"/>
                          </a:xfrm>
                          <a:prstGeom prst="downArrow">
                            <a:avLst>
                              <a:gd name="adj1" fmla="val 50000"/>
                              <a:gd name="adj2" fmla="val 38571"/>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668565095" name="AutoShape 35"/>
                        <wps:cNvSpPr>
                          <a:spLocks noChangeArrowheads="1"/>
                        </wps:cNvSpPr>
                        <wps:spPr bwMode="auto">
                          <a:xfrm>
                            <a:off x="718455" y="2909147"/>
                            <a:ext cx="321405" cy="952500"/>
                          </a:xfrm>
                          <a:prstGeom prst="downArrow">
                            <a:avLst>
                              <a:gd name="adj1" fmla="val 50000"/>
                              <a:gd name="adj2" fmla="val 73626"/>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635148630" name="Rectangle 36"/>
                        <wps:cNvSpPr>
                          <a:spLocks noChangeArrowheads="1"/>
                        </wps:cNvSpPr>
                        <wps:spPr bwMode="auto">
                          <a:xfrm>
                            <a:off x="162386" y="4225713"/>
                            <a:ext cx="1368076" cy="342900"/>
                          </a:xfrm>
                          <a:prstGeom prst="rect">
                            <a:avLst/>
                          </a:prstGeom>
                          <a:solidFill>
                            <a:srgbClr val="FFFFFF"/>
                          </a:solidFill>
                          <a:ln w="9525">
                            <a:solidFill>
                              <a:srgbClr val="000000"/>
                            </a:solidFill>
                            <a:miter lim="800000"/>
                            <a:headEnd/>
                            <a:tailEnd/>
                          </a:ln>
                        </wps:spPr>
                        <wps:txbx>
                          <w:txbxContent>
                            <w:p w14:paraId="37DAB9F0"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Реалізація</w:t>
                              </w:r>
                            </w:p>
                          </w:txbxContent>
                        </wps:txbx>
                        <wps:bodyPr rot="0" vert="horz" wrap="square" lIns="91440" tIns="45720" rIns="91440" bIns="45720" anchor="t" anchorCtr="0" upright="1">
                          <a:noAutofit/>
                        </wps:bodyPr>
                      </wps:wsp>
                      <wps:wsp>
                        <wps:cNvPr id="1300027686" name="AutoShape 37"/>
                        <wps:cNvSpPr>
                          <a:spLocks noChangeArrowheads="1"/>
                        </wps:cNvSpPr>
                        <wps:spPr bwMode="auto">
                          <a:xfrm>
                            <a:off x="672735" y="4779433"/>
                            <a:ext cx="391239" cy="1174327"/>
                          </a:xfrm>
                          <a:prstGeom prst="downArrow">
                            <a:avLst>
                              <a:gd name="adj1" fmla="val 50000"/>
                              <a:gd name="adj2" fmla="val 7457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8461319" name="Rectangle 38"/>
                        <wps:cNvSpPr>
                          <a:spLocks noChangeArrowheads="1"/>
                        </wps:cNvSpPr>
                        <wps:spPr bwMode="auto">
                          <a:xfrm>
                            <a:off x="1739075" y="2493433"/>
                            <a:ext cx="1402572" cy="342900"/>
                          </a:xfrm>
                          <a:prstGeom prst="rect">
                            <a:avLst/>
                          </a:prstGeom>
                          <a:solidFill>
                            <a:srgbClr val="FFFFFF"/>
                          </a:solidFill>
                          <a:ln w="9525">
                            <a:solidFill>
                              <a:srgbClr val="000000"/>
                            </a:solidFill>
                            <a:miter lim="800000"/>
                            <a:headEnd/>
                            <a:tailEnd/>
                          </a:ln>
                        </wps:spPr>
                        <wps:txbx>
                          <w:txbxContent>
                            <w:p w14:paraId="5D1BFADC" w14:textId="77777777" w:rsidR="00571B42" w:rsidRPr="00301216" w:rsidRDefault="00571B42" w:rsidP="00E547A1">
                              <w:pPr>
                                <w:rPr>
                                  <w:rFonts w:ascii="Times New Roman" w:hAnsi="Times New Roman" w:cs="Times New Roman"/>
                                  <w:lang w:val="uk-UA"/>
                                </w:rPr>
                              </w:pPr>
                              <w:r w:rsidRPr="00301216">
                                <w:rPr>
                                  <w:rFonts w:ascii="Times New Roman" w:hAnsi="Times New Roman" w:cs="Times New Roman"/>
                                  <w:lang w:val="uk-UA"/>
                                </w:rPr>
                                <w:t>Підготовчий етап</w:t>
                              </w:r>
                            </w:p>
                          </w:txbxContent>
                        </wps:txbx>
                        <wps:bodyPr rot="0" vert="horz" wrap="square" lIns="91440" tIns="45720" rIns="91440" bIns="45720" anchor="t" anchorCtr="0" upright="1">
                          <a:noAutofit/>
                        </wps:bodyPr>
                      </wps:wsp>
                      <wps:wsp>
                        <wps:cNvPr id="518520292" name="AutoShape 39"/>
                        <wps:cNvSpPr>
                          <a:spLocks noChangeArrowheads="1"/>
                        </wps:cNvSpPr>
                        <wps:spPr bwMode="auto">
                          <a:xfrm>
                            <a:off x="1532144" y="2526453"/>
                            <a:ext cx="194358" cy="22098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53157618" name="AutoShape 40"/>
                        <wps:cNvSpPr>
                          <a:spLocks noChangeArrowheads="1"/>
                        </wps:cNvSpPr>
                        <wps:spPr bwMode="auto">
                          <a:xfrm>
                            <a:off x="3149267" y="2564553"/>
                            <a:ext cx="217075" cy="22098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11403969" name="Rectangle 41"/>
                        <wps:cNvSpPr>
                          <a:spLocks noChangeArrowheads="1"/>
                        </wps:cNvSpPr>
                        <wps:spPr bwMode="auto">
                          <a:xfrm>
                            <a:off x="3366341" y="2501053"/>
                            <a:ext cx="1362186" cy="342900"/>
                          </a:xfrm>
                          <a:prstGeom prst="rect">
                            <a:avLst/>
                          </a:prstGeom>
                          <a:solidFill>
                            <a:srgbClr val="FFFFFF"/>
                          </a:solidFill>
                          <a:ln w="9525">
                            <a:solidFill>
                              <a:srgbClr val="000000"/>
                            </a:solidFill>
                            <a:miter lim="800000"/>
                            <a:headEnd/>
                            <a:tailEnd/>
                          </a:ln>
                        </wps:spPr>
                        <wps:txbx>
                          <w:txbxContent>
                            <w:p w14:paraId="1573BF7D"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Аналітичний етап</w:t>
                              </w:r>
                            </w:p>
                          </w:txbxContent>
                        </wps:txbx>
                        <wps:bodyPr rot="0" vert="horz" wrap="square" lIns="91440" tIns="45720" rIns="91440" bIns="45720" anchor="t" anchorCtr="0" upright="1">
                          <a:noAutofit/>
                        </wps:bodyPr>
                      </wps:wsp>
                      <wps:wsp>
                        <wps:cNvPr id="1411168808" name="AutoShape 42"/>
                        <wps:cNvSpPr>
                          <a:spLocks noChangeArrowheads="1"/>
                        </wps:cNvSpPr>
                        <wps:spPr bwMode="auto">
                          <a:xfrm>
                            <a:off x="4728527" y="2549313"/>
                            <a:ext cx="275971" cy="220980"/>
                          </a:xfrm>
                          <a:prstGeom prst="rightArrow">
                            <a:avLst>
                              <a:gd name="adj1" fmla="val 50000"/>
                              <a:gd name="adj2" fmla="val 3141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01178423" name="Rectangle 43"/>
                        <wps:cNvSpPr>
                          <a:spLocks noChangeArrowheads="1"/>
                        </wps:cNvSpPr>
                        <wps:spPr bwMode="auto">
                          <a:xfrm>
                            <a:off x="5004498" y="2508673"/>
                            <a:ext cx="1053402" cy="1118447"/>
                          </a:xfrm>
                          <a:prstGeom prst="rect">
                            <a:avLst/>
                          </a:prstGeom>
                          <a:solidFill>
                            <a:srgbClr val="FFFFFF"/>
                          </a:solidFill>
                          <a:ln w="9525">
                            <a:solidFill>
                              <a:srgbClr val="000000"/>
                            </a:solidFill>
                            <a:miter lim="800000"/>
                            <a:headEnd/>
                            <a:tailEnd/>
                          </a:ln>
                        </wps:spPr>
                        <wps:txbx>
                          <w:txbxContent>
                            <w:p w14:paraId="1485D1AA"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Розробка та опис структурних елементів стратегії</w:t>
                              </w:r>
                            </w:p>
                          </w:txbxContent>
                        </wps:txbx>
                        <wps:bodyPr rot="0" vert="horz" wrap="square" lIns="91440" tIns="45720" rIns="91440" bIns="45720" anchor="t" anchorCtr="0" upright="1">
                          <a:noAutofit/>
                        </wps:bodyPr>
                      </wps:wsp>
                      <wps:wsp>
                        <wps:cNvPr id="1282998325" name="AutoShape 44"/>
                        <wps:cNvSpPr>
                          <a:spLocks noChangeArrowheads="1"/>
                        </wps:cNvSpPr>
                        <wps:spPr bwMode="auto">
                          <a:xfrm rot="10800000">
                            <a:off x="4728527" y="3269827"/>
                            <a:ext cx="275130" cy="220980"/>
                          </a:xfrm>
                          <a:prstGeom prst="rightArrow">
                            <a:avLst>
                              <a:gd name="adj1" fmla="val 50000"/>
                              <a:gd name="adj2" fmla="val 313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52680452" name="Rectangle 45"/>
                        <wps:cNvSpPr>
                          <a:spLocks noChangeArrowheads="1"/>
                        </wps:cNvSpPr>
                        <wps:spPr bwMode="auto">
                          <a:xfrm>
                            <a:off x="3365499" y="2926080"/>
                            <a:ext cx="1363028" cy="1036320"/>
                          </a:xfrm>
                          <a:prstGeom prst="rect">
                            <a:avLst/>
                          </a:prstGeom>
                          <a:solidFill>
                            <a:srgbClr val="FFFFFF"/>
                          </a:solidFill>
                          <a:ln w="9525">
                            <a:solidFill>
                              <a:srgbClr val="000000"/>
                            </a:solidFill>
                            <a:miter lim="800000"/>
                            <a:headEnd/>
                            <a:tailEnd/>
                          </a:ln>
                        </wps:spPr>
                        <wps:txbx>
                          <w:txbxContent>
                            <w:p w14:paraId="6CC92386"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Планування термінів, виконавців, ресурсів та результатів</w:t>
                              </w:r>
                            </w:p>
                          </w:txbxContent>
                        </wps:txbx>
                        <wps:bodyPr rot="0" vert="horz" wrap="square" lIns="91440" tIns="45720" rIns="91440" bIns="45720" anchor="t" anchorCtr="0" upright="1">
                          <a:noAutofit/>
                        </wps:bodyPr>
                      </wps:wsp>
                      <wps:wsp>
                        <wps:cNvPr id="1495378596" name="AutoShape 46"/>
                        <wps:cNvSpPr>
                          <a:spLocks noChangeArrowheads="1"/>
                        </wps:cNvSpPr>
                        <wps:spPr bwMode="auto">
                          <a:xfrm rot="10800000">
                            <a:off x="3091212" y="3302000"/>
                            <a:ext cx="275130" cy="220980"/>
                          </a:xfrm>
                          <a:prstGeom prst="rightArrow">
                            <a:avLst>
                              <a:gd name="adj1" fmla="val 50000"/>
                              <a:gd name="adj2" fmla="val 31322"/>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42489043" name="Rectangle 47"/>
                        <wps:cNvSpPr>
                          <a:spLocks noChangeArrowheads="1"/>
                        </wps:cNvSpPr>
                        <wps:spPr bwMode="auto">
                          <a:xfrm>
                            <a:off x="1718882" y="3000587"/>
                            <a:ext cx="1363869" cy="952500"/>
                          </a:xfrm>
                          <a:prstGeom prst="rect">
                            <a:avLst/>
                          </a:prstGeom>
                          <a:solidFill>
                            <a:srgbClr val="FFFFFF"/>
                          </a:solidFill>
                          <a:ln w="9525">
                            <a:solidFill>
                              <a:srgbClr val="000000"/>
                            </a:solidFill>
                            <a:miter lim="800000"/>
                            <a:headEnd/>
                            <a:tailEnd/>
                          </a:ln>
                        </wps:spPr>
                        <wps:txbx>
                          <w:txbxContent>
                            <w:p w14:paraId="7B64B16E"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Планування заходів та механізмів їх реалізації</w:t>
                              </w:r>
                            </w:p>
                          </w:txbxContent>
                        </wps:txbx>
                        <wps:bodyPr rot="0" vert="horz" wrap="square" lIns="91440" tIns="45720" rIns="91440" bIns="45720" anchor="t" anchorCtr="0" upright="1">
                          <a:noAutofit/>
                        </wps:bodyPr>
                      </wps:wsp>
                      <wps:wsp>
                        <wps:cNvPr id="1441616559" name="AutoShape 48"/>
                        <wps:cNvSpPr>
                          <a:spLocks noChangeArrowheads="1"/>
                        </wps:cNvSpPr>
                        <wps:spPr bwMode="auto">
                          <a:xfrm>
                            <a:off x="2263156" y="3953087"/>
                            <a:ext cx="232220" cy="158327"/>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252729101" name="Rectangle 49"/>
                        <wps:cNvSpPr>
                          <a:spLocks noChangeArrowheads="1"/>
                        </wps:cNvSpPr>
                        <wps:spPr bwMode="auto">
                          <a:xfrm>
                            <a:off x="1726502" y="4141893"/>
                            <a:ext cx="1686957" cy="637540"/>
                          </a:xfrm>
                          <a:prstGeom prst="rect">
                            <a:avLst/>
                          </a:prstGeom>
                          <a:solidFill>
                            <a:srgbClr val="FFFFFF"/>
                          </a:solidFill>
                          <a:ln w="9525">
                            <a:solidFill>
                              <a:srgbClr val="000000"/>
                            </a:solidFill>
                            <a:miter lim="800000"/>
                            <a:headEnd/>
                            <a:tailEnd/>
                          </a:ln>
                        </wps:spPr>
                        <wps:txbx>
                          <w:txbxContent>
                            <w:p w14:paraId="60F7BC93"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Затвердження плану заходів щодо реалізації стратегії</w:t>
                              </w:r>
                            </w:p>
                          </w:txbxContent>
                        </wps:txbx>
                        <wps:bodyPr rot="0" vert="horz" wrap="square" lIns="91440" tIns="45720" rIns="91440" bIns="45720" anchor="t" anchorCtr="0" upright="1">
                          <a:noAutofit/>
                        </wps:bodyPr>
                      </wps:wsp>
                      <wps:wsp>
                        <wps:cNvPr id="217815181" name="AutoShape 50"/>
                        <wps:cNvSpPr>
                          <a:spLocks noChangeArrowheads="1"/>
                        </wps:cNvSpPr>
                        <wps:spPr bwMode="auto">
                          <a:xfrm>
                            <a:off x="1530462" y="4313767"/>
                            <a:ext cx="196040" cy="22098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21915231" name="AutoShape 51"/>
                        <wps:cNvSpPr>
                          <a:spLocks noChangeArrowheads="1"/>
                        </wps:cNvSpPr>
                        <wps:spPr bwMode="auto">
                          <a:xfrm>
                            <a:off x="3413458" y="4306147"/>
                            <a:ext cx="217075" cy="22098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09726900" name="Rectangle 52"/>
                        <wps:cNvSpPr>
                          <a:spLocks noChangeArrowheads="1"/>
                        </wps:cNvSpPr>
                        <wps:spPr bwMode="auto">
                          <a:xfrm>
                            <a:off x="3642360" y="4141893"/>
                            <a:ext cx="2305416" cy="637540"/>
                          </a:xfrm>
                          <a:prstGeom prst="rect">
                            <a:avLst/>
                          </a:prstGeom>
                          <a:solidFill>
                            <a:srgbClr val="FFFFFF"/>
                          </a:solidFill>
                          <a:ln w="9525">
                            <a:solidFill>
                              <a:srgbClr val="000000"/>
                            </a:solidFill>
                            <a:miter lim="800000"/>
                            <a:headEnd/>
                            <a:tailEnd/>
                          </a:ln>
                        </wps:spPr>
                        <wps:txbx>
                          <w:txbxContent>
                            <w:p w14:paraId="1B0A37BC"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Затвердження програм та проектів в рамках стратегії</w:t>
                              </w:r>
                            </w:p>
                          </w:txbxContent>
                        </wps:txbx>
                        <wps:bodyPr rot="0" vert="horz" wrap="square" lIns="91440" tIns="45720" rIns="91440" bIns="45720" anchor="t" anchorCtr="0" upright="1">
                          <a:noAutofit/>
                        </wps:bodyPr>
                      </wps:wsp>
                      <wps:wsp>
                        <wps:cNvPr id="205774925" name="Rectangle 53"/>
                        <wps:cNvSpPr>
                          <a:spLocks noChangeArrowheads="1"/>
                        </wps:cNvSpPr>
                        <wps:spPr bwMode="auto">
                          <a:xfrm>
                            <a:off x="3678682" y="4947073"/>
                            <a:ext cx="2284333" cy="637540"/>
                          </a:xfrm>
                          <a:prstGeom prst="rect">
                            <a:avLst/>
                          </a:prstGeom>
                          <a:solidFill>
                            <a:srgbClr val="FFFFFF"/>
                          </a:solidFill>
                          <a:ln w="9525">
                            <a:solidFill>
                              <a:srgbClr val="000000"/>
                            </a:solidFill>
                            <a:miter lim="800000"/>
                            <a:headEnd/>
                            <a:tailEnd/>
                          </a:ln>
                        </wps:spPr>
                        <wps:txbx>
                          <w:txbxContent>
                            <w:p w14:paraId="7208E316"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Виконання запланованих заходів</w:t>
                              </w:r>
                            </w:p>
                          </w:txbxContent>
                        </wps:txbx>
                        <wps:bodyPr rot="0" vert="horz" wrap="square" lIns="91440" tIns="45720" rIns="91440" bIns="45720" anchor="t" anchorCtr="0" upright="1">
                          <a:noAutofit/>
                        </wps:bodyPr>
                      </wps:wsp>
                      <wps:wsp>
                        <wps:cNvPr id="1765420628" name="Rectangle 54"/>
                        <wps:cNvSpPr>
                          <a:spLocks noChangeArrowheads="1"/>
                        </wps:cNvSpPr>
                        <wps:spPr bwMode="auto">
                          <a:xfrm>
                            <a:off x="1739075" y="4947073"/>
                            <a:ext cx="1686116" cy="637540"/>
                          </a:xfrm>
                          <a:prstGeom prst="rect">
                            <a:avLst/>
                          </a:prstGeom>
                          <a:solidFill>
                            <a:srgbClr val="FFFFFF"/>
                          </a:solidFill>
                          <a:ln w="9525">
                            <a:solidFill>
                              <a:srgbClr val="000000"/>
                            </a:solidFill>
                            <a:miter lim="800000"/>
                            <a:headEnd/>
                            <a:tailEnd/>
                          </a:ln>
                        </wps:spPr>
                        <wps:txbx>
                          <w:txbxContent>
                            <w:p w14:paraId="59FCC13F"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Моніторинг та контроль виконання заходів</w:t>
                              </w:r>
                            </w:p>
                          </w:txbxContent>
                        </wps:txbx>
                        <wps:bodyPr rot="0" vert="horz" wrap="square" lIns="91440" tIns="45720" rIns="91440" bIns="45720" anchor="t" anchorCtr="0" upright="1">
                          <a:noAutofit/>
                        </wps:bodyPr>
                      </wps:wsp>
                      <wps:wsp>
                        <wps:cNvPr id="994977317" name="AutoShape 55"/>
                        <wps:cNvSpPr>
                          <a:spLocks noChangeArrowheads="1"/>
                        </wps:cNvSpPr>
                        <wps:spPr bwMode="auto">
                          <a:xfrm>
                            <a:off x="4650073" y="4787053"/>
                            <a:ext cx="314674" cy="152400"/>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708502709" name="AutoShape 56"/>
                        <wps:cNvSpPr>
                          <a:spLocks noChangeArrowheads="1"/>
                        </wps:cNvSpPr>
                        <wps:spPr bwMode="auto">
                          <a:xfrm rot="10800000">
                            <a:off x="3443938" y="5179907"/>
                            <a:ext cx="234744" cy="220980"/>
                          </a:xfrm>
                          <a:prstGeom prst="rightArrow">
                            <a:avLst>
                              <a:gd name="adj1" fmla="val 50000"/>
                              <a:gd name="adj2" fmla="val 2672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633592" name="AutoShape 57"/>
                        <wps:cNvSpPr>
                          <a:spLocks noChangeArrowheads="1"/>
                        </wps:cNvSpPr>
                        <wps:spPr bwMode="auto">
                          <a:xfrm>
                            <a:off x="2423209" y="5576993"/>
                            <a:ext cx="220932" cy="404707"/>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914469323" name="AutoShape 58"/>
                        <wps:cNvSpPr>
                          <a:spLocks noChangeArrowheads="1"/>
                        </wps:cNvSpPr>
                        <wps:spPr bwMode="auto">
                          <a:xfrm>
                            <a:off x="596535" y="440267"/>
                            <a:ext cx="266716" cy="165947"/>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506F3921" id="_x0000_s1150" editas="canvas" style="width:477pt;height:519.6pt;mso-position-horizontal-relative:char;mso-position-vertical-relative:line" coordsize="60579,659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">
                <v:shape id="_x0000_s1151" type="#_x0000_t75" style="position:absolute;width:60579;height:65989;visibility:visible;mso-wrap-style:square">
                  <v:fill o:detectmouseclick="t"/>
                  <v:path o:connecttype="none"/>
                </v:shape>
                <v:oval id="Oval 4" o:spid="_x0000_s1152" style="position:absolute;left:21732;width:16289;height:4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">
                  <v:textbox>
                    <w:txbxContent>
                      <w:p w14:paraId="4D5E467A" w14:textId="77777777" w:rsidR="00571B42" w:rsidRPr="00301216" w:rsidRDefault="00571B42" w:rsidP="00E547A1">
                        <w:pPr>
                          <w:jc w:val="center"/>
                          <w:rPr>
                            <w:rFonts w:ascii="Times New Roman" w:hAnsi="Times New Roman" w:cs="Times New Roman"/>
                            <w:sz w:val="28"/>
                            <w:szCs w:val="28"/>
                            <w:lang w:val="uk-UA"/>
                          </w:rPr>
                        </w:pPr>
                        <w:r w:rsidRPr="00301216">
                          <w:rPr>
                            <w:rFonts w:ascii="Times New Roman" w:hAnsi="Times New Roman" w:cs="Times New Roman"/>
                            <w:sz w:val="28"/>
                            <w:szCs w:val="28"/>
                          </w:rPr>
                          <w:t xml:space="preserve">Суб'єкти </w:t>
                        </w:r>
                      </w:p>
                    </w:txbxContent>
                  </v:textbox>
                </v:oval>
                <v:rect id="Rectangle 5" o:spid="_x0000_s1153" style="position:absolute;left:14404;top:19219;width:3178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">
                  <v:textbox>
                    <w:txbxContent>
                      <w:p w14:paraId="34C29029"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Процес розробки та реалізації стратегії</w:t>
                        </w:r>
                      </w:p>
                    </w:txbxContent>
                  </v:textbox>
                </v: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7" o:spid="_x0000_s1154" type="#_x0000_t87" style="position:absolute;left:28452;top:-11072;width:2760;height:5750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" adj="2174,10620"/>
                <v:rect id="Rectangle 8" o:spid="_x0000_s1155" style="position:absolute;left:4472;top:60257;width:52577;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">
                  <v:textbox>
                    <w:txbxContent>
                      <w:p w14:paraId="27214691"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 xml:space="preserve">Результат: створено та впроваджено </w:t>
                        </w:r>
                        <w:r>
                          <w:rPr>
                            <w:rFonts w:ascii="Times New Roman" w:hAnsi="Times New Roman" w:cs="Times New Roman"/>
                            <w:lang w:val="uk-UA"/>
                          </w:rPr>
                          <w:t>стратегію забезпечення корпоративної соціальної безпеки</w:t>
                        </w:r>
                      </w:p>
                    </w:txbxContent>
                  </v:textbox>
                </v:rect>
                <v:oval id="Oval 9" o:spid="_x0000_s1156" style="position:absolute;left:45720;width:13605;height:4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">
                  <v:textbox>
                    <w:txbxContent>
                      <w:p w14:paraId="429D0211" w14:textId="77777777" w:rsidR="00571B42" w:rsidRPr="00301216" w:rsidRDefault="00571B42" w:rsidP="00E547A1">
                        <w:pPr>
                          <w:jc w:val="center"/>
                          <w:rPr>
                            <w:rFonts w:ascii="Times New Roman" w:hAnsi="Times New Roman" w:cs="Times New Roman"/>
                            <w:sz w:val="28"/>
                            <w:szCs w:val="28"/>
                            <w:lang w:val="uk-UA"/>
                          </w:rPr>
                        </w:pPr>
                        <w:r w:rsidRPr="00301216">
                          <w:rPr>
                            <w:rFonts w:ascii="Times New Roman" w:hAnsi="Times New Roman" w:cs="Times New Roman"/>
                            <w:sz w:val="28"/>
                            <w:szCs w:val="28"/>
                            <w:lang w:val="uk-UA"/>
                          </w:rPr>
                          <w:t>Рів</w:t>
                        </w:r>
                        <w:r>
                          <w:rPr>
                            <w:rFonts w:ascii="Times New Roman" w:hAnsi="Times New Roman" w:cs="Times New Roman"/>
                            <w:sz w:val="28"/>
                            <w:szCs w:val="28"/>
                            <w:lang w:val="uk-UA"/>
                          </w:rPr>
                          <w:t>ень</w:t>
                        </w:r>
                        <w:r w:rsidRPr="00301216">
                          <w:rPr>
                            <w:rFonts w:ascii="Times New Roman" w:hAnsi="Times New Roman" w:cs="Times New Roman"/>
                            <w:sz w:val="28"/>
                            <w:szCs w:val="28"/>
                          </w:rPr>
                          <w:t xml:space="preserve"> </w:t>
                        </w:r>
                      </w:p>
                    </w:txbxContent>
                  </v:textbox>
                </v:oval>
                <v:oval id="Oval 10" o:spid="_x0000_s1157" style="position:absolute;left:1219;width:12958;height:4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">
                  <v:textbox>
                    <w:txbxContent>
                      <w:p w14:paraId="1C651467" w14:textId="77777777" w:rsidR="00571B42" w:rsidRPr="00301216" w:rsidRDefault="00571B42" w:rsidP="00E547A1">
                        <w:pPr>
                          <w:jc w:val="center"/>
                          <w:rPr>
                            <w:rFonts w:ascii="Times New Roman" w:hAnsi="Times New Roman" w:cs="Times New Roman"/>
                            <w:sz w:val="28"/>
                            <w:szCs w:val="28"/>
                            <w:lang w:val="uk-UA"/>
                          </w:rPr>
                        </w:pPr>
                        <w:r w:rsidRPr="00301216">
                          <w:rPr>
                            <w:rFonts w:ascii="Times New Roman" w:hAnsi="Times New Roman" w:cs="Times New Roman"/>
                            <w:sz w:val="28"/>
                            <w:szCs w:val="28"/>
                            <w:lang w:val="uk-UA"/>
                          </w:rPr>
                          <w:t>Інститути</w:t>
                        </w:r>
                      </w:p>
                    </w:txbxContent>
                  </v:textbox>
                </v:oval>
                <v:shape id="AutoShape 11" o:spid="_x0000_s1158" type="#_x0000_t13" style="position:absolute;left:38863;top:846;width:6167;height:28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" adj="16166"/>
                <v:shape id="AutoShape 12" o:spid="_x0000_s1159" type="#_x0000_t13" style="position:absolute;left:14404;top:846;width:6167;height:2853;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" adj="16166"/>
                <v:shape id="AutoShape 13" o:spid="_x0000_s1160" type="#_x0000_t67" style="position:absolute;left:50928;top:5300;width:2667;height:2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">
                  <v:textbox style="layout-flow:vertical-ideographic"/>
                </v:shape>
                <v:shape id="AutoShape 14" o:spid="_x0000_s1161" type="#_x0000_t67" style="position:absolute;left:28674;top:5300;width:2818;height:2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">
                  <v:textbox style="layout-flow:vertical-ideographic"/>
                </v:shape>
                <v:shape id="AutoShape 21" o:spid="_x0000_s1162" type="#_x0000_t13" style="position:absolute;left:37414;top:9093;width:5023;height:2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" adj="16166"/>
                <v:shape id="AutoShape 24" o:spid="_x0000_s1163" type="#_x0000_t13" style="position:absolute;left:19750;top:9084;width:3719;height:2870;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" adj="16166"/>
                <v:rect id="Rectangle 27" o:spid="_x0000_s1164" style="position:absolute;left:24232;top:8271;width:11947;height:6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">
                  <v:textbox>
                    <w:txbxContent>
                      <w:p w14:paraId="6CCC7F2B"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Підприємства, організації, установи</w:t>
                        </w:r>
                      </w:p>
                    </w:txbxContent>
                  </v:textbox>
                </v:rect>
                <v:rect id="Rectangle 30" o:spid="_x0000_s1165" style="position:absolute;left:45030;top:8424;width:14295;height:6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">
                  <v:textbox>
                    <w:txbxContent>
                      <w:p w14:paraId="7C3786F5"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Суб</w:t>
                        </w:r>
                        <w:r w:rsidRPr="00301216">
                          <w:rPr>
                            <w:rFonts w:ascii="Times New Roman" w:hAnsi="Times New Roman" w:cs="Times New Roman"/>
                            <w:lang w:val="en-US"/>
                          </w:rPr>
                          <w:t>’</w:t>
                        </w:r>
                        <w:r w:rsidRPr="00301216">
                          <w:rPr>
                            <w:rFonts w:ascii="Times New Roman" w:hAnsi="Times New Roman" w:cs="Times New Roman"/>
                            <w:lang w:val="uk-UA"/>
                          </w:rPr>
                          <w:t>єктів господарювання (мікрорівень)</w:t>
                        </w:r>
                      </w:p>
                    </w:txbxContent>
                  </v:textbox>
                </v:rect>
                <v:rect id="Rectangle 32" o:spid="_x0000_s1166" style="position:absolute;left:995;top:7281;width:17921;height:7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">
                  <v:textbox>
                    <w:txbxContent>
                      <w:p w14:paraId="79416C65" w14:textId="77777777" w:rsidR="00571B42" w:rsidRPr="00301216" w:rsidRDefault="00571B42" w:rsidP="00E547A1">
                        <w:pPr>
                          <w:jc w:val="center"/>
                          <w:rPr>
                            <w:rFonts w:ascii="Times New Roman" w:hAnsi="Times New Roman" w:cs="Times New Roman"/>
                          </w:rPr>
                        </w:pPr>
                        <w:r w:rsidRPr="00301216">
                          <w:rPr>
                            <w:rFonts w:ascii="Times New Roman" w:hAnsi="Times New Roman" w:cs="Times New Roman"/>
                            <w:lang w:val="uk-UA"/>
                          </w:rPr>
                          <w:t>Роботодавці, спілки роботодавців, наймані працівники, профспілки</w:t>
                        </w:r>
                      </w:p>
                    </w:txbxContent>
                  </v:textbox>
                </v:rect>
                <v:rect id="Rectangle 33" o:spid="_x0000_s1167" style="position:absolute;left:818;top:24858;width:1444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">
                  <v:textbox>
                    <w:txbxContent>
                      <w:p w14:paraId="5DE86795"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Розробка</w:t>
                        </w:r>
                      </w:p>
                    </w:txbxContent>
                  </v:textbox>
                </v:rect>
                <v:shape id="AutoShape 34" o:spid="_x0000_s1168" type="#_x0000_t67" style="position:absolute;left:10728;top:20468;width:2667;height:4089;rotation:375500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" adj="16166">
                  <v:textbox style="layout-flow:vertical-ideographic"/>
                </v:shape>
                <v:shape id="AutoShape 35" o:spid="_x0000_s1169" type="#_x0000_t67" style="position:absolute;left:7184;top:29091;width:3214;height:9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" adj="16234">
                  <v:textbox style="layout-flow:vertical-ideographic"/>
                </v:shape>
                <v:rect id="Rectangle 36" o:spid="_x0000_s1170" style="position:absolute;left:1623;top:42257;width:1368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">
                  <v:textbox>
                    <w:txbxContent>
                      <w:p w14:paraId="37DAB9F0"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Реалізація</w:t>
                        </w:r>
                      </w:p>
                    </w:txbxContent>
                  </v:textbox>
                </v:rect>
                <v:shape id="AutoShape 37" o:spid="_x0000_s1171" type="#_x0000_t67" style="position:absolute;left:6727;top:47794;width:3912;height:11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" adj="16234">
                  <v:textbox style="layout-flow:vertical-ideographic"/>
                </v:shape>
                <v:rect id="Rectangle 38" o:spid="_x0000_s1172" style="position:absolute;left:17390;top:24934;width:1402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">
                  <v:textbox>
                    <w:txbxContent>
                      <w:p w14:paraId="5D1BFADC" w14:textId="77777777" w:rsidR="00571B42" w:rsidRPr="00301216" w:rsidRDefault="00571B42" w:rsidP="00E547A1">
                        <w:pPr>
                          <w:rPr>
                            <w:rFonts w:ascii="Times New Roman" w:hAnsi="Times New Roman" w:cs="Times New Roman"/>
                            <w:lang w:val="uk-UA"/>
                          </w:rPr>
                        </w:pPr>
                        <w:r w:rsidRPr="00301216">
                          <w:rPr>
                            <w:rFonts w:ascii="Times New Roman" w:hAnsi="Times New Roman" w:cs="Times New Roman"/>
                            <w:lang w:val="uk-UA"/>
                          </w:rPr>
                          <w:t>Підготовчий етап</w:t>
                        </w:r>
                      </w:p>
                    </w:txbxContent>
                  </v:textbox>
                </v:rect>
                <v:shape id="AutoShape 39" o:spid="_x0000_s1173" type="#_x0000_t13" style="position:absolute;left:15321;top:25264;width:1944;height:2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"/>
                <v:shape id="AutoShape 40" o:spid="_x0000_s1174" type="#_x0000_t13" style="position:absolute;left:31492;top:25645;width:2171;height:2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"/>
                <v:rect id="Rectangle 41" o:spid="_x0000_s1175" style="position:absolute;left:33663;top:25010;width:1362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">
                  <v:textbox>
                    <w:txbxContent>
                      <w:p w14:paraId="1573BF7D"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Аналітичний етап</w:t>
                        </w:r>
                      </w:p>
                    </w:txbxContent>
                  </v:textbox>
                </v:rect>
                <v:shape id="AutoShape 42" o:spid="_x0000_s1176" type="#_x0000_t13" style="position:absolute;left:47285;top:25493;width:2759;height:22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" adj="16166"/>
                <v:rect id="Rectangle 43" o:spid="_x0000_s1177" style="position:absolute;left:50044;top:25086;width:10535;height:11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">
                  <v:textbox>
                    <w:txbxContent>
                      <w:p w14:paraId="1485D1AA"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Розробка та опис структурних елементів стратегії</w:t>
                        </w:r>
                      </w:p>
                    </w:txbxContent>
                  </v:textbox>
                </v:rect>
                <v:shape id="AutoShape 44" o:spid="_x0000_s1178" type="#_x0000_t13" style="position:absolute;left:47285;top:32698;width:2751;height:2210;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" adj="16166"/>
                <v:rect id="Rectangle 45" o:spid="_x0000_s1179" style="position:absolute;left:33654;top:29260;width:13631;height:103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">
                  <v:textbox>
                    <w:txbxContent>
                      <w:p w14:paraId="6CC92386"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Планування термінів, виконавців, ресурсів та результатів</w:t>
                        </w:r>
                      </w:p>
                    </w:txbxContent>
                  </v:textbox>
                </v:rect>
                <v:shape id="AutoShape 46" o:spid="_x0000_s1180" type="#_x0000_t13" style="position:absolute;left:30912;top:33020;width:2751;height:2209;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" adj="16166"/>
                <v:rect id="Rectangle 47" o:spid="_x0000_s1181" style="position:absolute;left:17188;top:30005;width:13639;height:9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">
                  <v:textbox>
                    <w:txbxContent>
                      <w:p w14:paraId="7B64B16E"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Планування заходів та механізмів їх реалізації</w:t>
                        </w:r>
                      </w:p>
                    </w:txbxContent>
                  </v:textbox>
                </v:rect>
                <v:shape id="AutoShape 48" o:spid="_x0000_s1182" type="#_x0000_t67" style="position:absolute;left:22631;top:39530;width:2322;height:1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">
                  <v:textbox style="layout-flow:vertical-ideographic"/>
                </v:shape>
                <v:rect id="Rectangle 49" o:spid="_x0000_s1183" style="position:absolute;left:17265;top:41418;width:16869;height:6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">
                  <v:textbox>
                    <w:txbxContent>
                      <w:p w14:paraId="60F7BC93"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Затвердження плану заходів щодо реалізації стратегії</w:t>
                        </w:r>
                      </w:p>
                    </w:txbxContent>
                  </v:textbox>
                </v:rect>
                <v:shape id="AutoShape 50" o:spid="_x0000_s1184" type="#_x0000_t13" style="position:absolute;left:15304;top:43137;width:1961;height:2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"/>
                <v:shape id="AutoShape 51" o:spid="_x0000_s1185" type="#_x0000_t13" style="position:absolute;left:34134;top:43061;width:2171;height:22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"/>
                <v:rect id="Rectangle 52" o:spid="_x0000_s1186" style="position:absolute;left:36423;top:41418;width:23054;height:6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">
                  <v:textbox>
                    <w:txbxContent>
                      <w:p w14:paraId="1B0A37BC"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Затвердження програм та проектів в рамках стратегії</w:t>
                        </w:r>
                      </w:p>
                    </w:txbxContent>
                  </v:textbox>
                </v:rect>
                <v:rect id="Rectangle 53" o:spid="_x0000_s1187" style="position:absolute;left:36786;top:49470;width:22844;height:6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">
                  <v:textbox>
                    <w:txbxContent>
                      <w:p w14:paraId="7208E316"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Виконання запланованих заходів</w:t>
                        </w:r>
                      </w:p>
                    </w:txbxContent>
                  </v:textbox>
                </v:rect>
                <v:rect id="Rectangle 54" o:spid="_x0000_s1188" style="position:absolute;left:17390;top:49470;width:16861;height:6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">
                  <v:textbox>
                    <w:txbxContent>
                      <w:p w14:paraId="59FCC13F" w14:textId="77777777" w:rsidR="00571B42" w:rsidRPr="00301216" w:rsidRDefault="00571B42" w:rsidP="00E547A1">
                        <w:pPr>
                          <w:jc w:val="center"/>
                          <w:rPr>
                            <w:rFonts w:ascii="Times New Roman" w:hAnsi="Times New Roman" w:cs="Times New Roman"/>
                            <w:lang w:val="uk-UA"/>
                          </w:rPr>
                        </w:pPr>
                        <w:r w:rsidRPr="00301216">
                          <w:rPr>
                            <w:rFonts w:ascii="Times New Roman" w:hAnsi="Times New Roman" w:cs="Times New Roman"/>
                            <w:lang w:val="uk-UA"/>
                          </w:rPr>
                          <w:t>Моніторинг та контроль виконання заходів</w:t>
                        </w:r>
                      </w:p>
                    </w:txbxContent>
                  </v:textbox>
                </v:rect>
                <v:shape id="AutoShape 55" o:spid="_x0000_s1189" type="#_x0000_t67" style="position:absolute;left:46500;top:47870;width:3147;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">
                  <v:textbox style="layout-flow:vertical-ideographic"/>
                </v:shape>
                <v:shape id="AutoShape 56" o:spid="_x0000_s1190" type="#_x0000_t13" style="position:absolute;left:34439;top:51799;width:2347;height:2209;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" adj="16166"/>
                <v:shape id="AutoShape 57" o:spid="_x0000_s1191" type="#_x0000_t67" style="position:absolute;left:24232;top:55769;width:2209;height:4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" adj="18652">
                  <v:textbox style="layout-flow:vertical-ideographic"/>
                </v:shape>
                <v:shape id="AutoShape 58" o:spid="_x0000_s1192" type="#_x0000_t67" style="position:absolute;left:5965;top:4402;width:2667;height:1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">
                  <v:textbox style="layout-flow:vertical-ideographic"/>
                </v:shape>
                <w10:anchorlock/>
              </v:group>
            </w:pict>
          </mc:Fallback>
        </mc:AlternateContent>
      </w:r>
    </w:p>
    <w:p w14:paraId="028FD7D9" w14:textId="77777777" w:rsidR="00E547A1" w:rsidRPr="005F0419" w:rsidRDefault="00E547A1" w:rsidP="00E547A1">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5. Механізм розробки та реалізації стратегії забезпечення корпоративної соціальної безпеки</w:t>
      </w:r>
    </w:p>
    <w:p w14:paraId="63586032" w14:textId="77777777" w:rsidR="00E547A1" w:rsidRPr="005F0419" w:rsidRDefault="00E547A1" w:rsidP="00E547A1">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розробка автора.</w:t>
      </w:r>
    </w:p>
    <w:p w14:paraId="0660D7A3"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p>
    <w:p w14:paraId="1782DE89" w14:textId="77777777" w:rsidR="007D4366" w:rsidRPr="005F0419" w:rsidRDefault="007D4366" w:rsidP="007D4366">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Враховуючи комплексний характер стратегії, варто зауважити, що необхідною умовою успішності її імплементації є визначення суб’єктів розробки та реалізації на рівні суб’єктів господарювання (роботодавці та їх представницькі органи, наймані працівники та їх представницькі органи), які здійснюють безпосередній вплив на процес розробки та реалізації стратегічних напрямів та запланованих завдань. Таким чином, процедура формування та впровадження стратегії передбачає послідовність певних етапів, серед яких:</w:t>
      </w:r>
    </w:p>
    <w:p w14:paraId="129FDD34" w14:textId="77777777" w:rsidR="007D4366" w:rsidRPr="005F0419" w:rsidRDefault="007D4366" w:rsidP="007D4366">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Підготовчий етап передбачає ідентифікацію певної проблеми організації у сфері соціальних інтересів працівників або визначення конкретної мети (це може бути і покращення організаційних процесів у контексті соціально-трудових відносин). До підготовчого етапу також відноситься процес формування робочої команди, яка буде працювати над стратегією. До робочої групи обов’язково має увійти не лише керівництво організації та ключових структурних підрозділів, а й керівник профспілкової організації.</w:t>
      </w:r>
    </w:p>
    <w:p w14:paraId="4C3D492D"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 Аналітичний етап є одним з найбільш трудомістких у плані необхідності збору та обробки значних обсягів інформації задля комплексної діагностики проблемних питань, наявних викликів та загроз. Корисним на даному етапі інструментом може стати SWOT-аналіз, що має на меті визначення та узагальнення не лише сильних і слабких сторін діяльності, а й можливостей та загроз принципового характеру, які можуть сприяти/перешкоджати дотриманню соціальних інтересів працівників.</w:t>
      </w:r>
    </w:p>
    <w:p w14:paraId="662D2FB1"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 Розробка, а також деталізація структурних елементів стратегії має відбуватися на третьому етапі, оскільки передбачає ідентифікацію  ключової мети, пріоритетних завдань, суб’єктів, об’єкту та предмету стратегії, принципів, критеріїв та індикаторів, набору інструментів, що будуть застосовуватися, опису наявних ресурсів та очікуваних результатів.</w:t>
      </w:r>
    </w:p>
    <w:p w14:paraId="6E8B8C2A"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 Четвертий етап являє собою планування термінів та виконавців, ресурсів і результатів. Таким чином, на основі описової частини структурних елементів стратегії, на даному етапі визначається часовий період стратегії, необхідне ресурсне забезпечення у кількісному вимірі, відбувається закріплення </w:t>
      </w:r>
      <w:r w:rsidRPr="005F0419">
        <w:rPr>
          <w:rFonts w:ascii="Times New Roman" w:hAnsi="Times New Roman" w:cs="Times New Roman"/>
          <w:sz w:val="28"/>
          <w:szCs w:val="28"/>
          <w:lang w:val="uk-UA"/>
        </w:rPr>
        <w:lastRenderedPageBreak/>
        <w:t>виконавців, конкретизується запланований результат у кількісних та якісних показниках.</w:t>
      </w:r>
    </w:p>
    <w:p w14:paraId="7A8D128D"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5. Етап планування заходів та механізмів їх реалізації передбачає конкретний план заходів, які будуть сприяти реалізації стратегії. Важливим на даному етапі є опис конкретних механізмів щодо практичної імплементації стратегії.</w:t>
      </w:r>
    </w:p>
    <w:p w14:paraId="110DAFA0"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 На шостому етапі відбувається затвердження плану заходів, що є першим кроком до практичної реалізації стратегії забезпечення корпоративної соціальної безпеки. Затвердження заходів є відправною точкою до виконання поставлених завдань, яке, в свою чергу, буде сприяти реалізації мети і досягненню запланованих результатів. </w:t>
      </w:r>
    </w:p>
    <w:p w14:paraId="55173F1A"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7. Сьомий етап певним чином є продовженням попереднього. Зокрема, передбачає  затвердження програм чи проектів, які були розроблені і заплановані в межах стратегії. До речі, в межах однієї корпоративної програми може бути розроблено та впроваджено декілька проектів, які будуть сприяти досягненню поставленої в рамках стратегії мети. Характерною особливістю проектів є затвердження чітких термінів, ресурсів та місії. Ядром </w:t>
      </w:r>
      <w:proofErr w:type="spellStart"/>
      <w:r w:rsidRPr="005F0419">
        <w:rPr>
          <w:rFonts w:ascii="Times New Roman" w:hAnsi="Times New Roman" w:cs="Times New Roman"/>
          <w:sz w:val="28"/>
          <w:szCs w:val="28"/>
          <w:lang w:val="uk-UA"/>
        </w:rPr>
        <w:t>проєкту</w:t>
      </w:r>
      <w:proofErr w:type="spellEnd"/>
      <w:r w:rsidRPr="005F0419">
        <w:rPr>
          <w:rFonts w:ascii="Times New Roman" w:hAnsi="Times New Roman" w:cs="Times New Roman"/>
          <w:sz w:val="28"/>
          <w:szCs w:val="28"/>
          <w:lang w:val="uk-UA"/>
        </w:rPr>
        <w:t xml:space="preserve"> є проблема, яку необхідно вирішити, саме тому проводиться аналіз її причин, визначається мета проекту, здійснюється порівняння різних варіантів щодо вирішення проблеми та обирається найбільш оптимальний серед них, висвітлюються конкретні заходи в межах проекту з обов’язковим співставленням ресурсів (часових, фінансових, трудових, матеріально-технічних, інформаційних) та отриманого ефекту (як економічного, так і соціального). Важливо зазначити, що лише після детального планування витрат і результату проект може бути впроваджений у життя. Отже, проект в ході імплементації проходить через такі стадії, як: ініціація, розробка, виконання та завершення, і допомагає досягненню програмних цілей, оскільки є практичним вираженням необхідних витрат та очікуваного результату в межах розробленої стратегії. Додаткові корпоративні програми чи проекти можуть бути спрямовані на подолання конкретної загрози корпоративній соціальній безпеці (наприклад, висока плинність кадрів, низька продуктивність праці, соціально-</w:t>
      </w:r>
      <w:r w:rsidRPr="005F0419">
        <w:rPr>
          <w:rFonts w:ascii="Times New Roman" w:hAnsi="Times New Roman" w:cs="Times New Roman"/>
          <w:sz w:val="28"/>
          <w:szCs w:val="28"/>
          <w:lang w:val="uk-UA"/>
        </w:rPr>
        <w:lastRenderedPageBreak/>
        <w:t xml:space="preserve">трудові конфлікти тощо) або проводитися в межах визначених стратегією пріоритетів (наприклад, безпека зайнятості, безпека оплати праці тощо). </w:t>
      </w:r>
    </w:p>
    <w:p w14:paraId="77DCA833"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8. Восьмий етап присвячений практичному виконанню запланованих заходів та передбачає реалізацію затверджених напрямів дій задля досягнення стратегічних результатів.</w:t>
      </w:r>
    </w:p>
    <w:p w14:paraId="672DB1F9"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9. Моніторинг та контроль виконання заходів є важливим етапом практичної реалізації стратегії та умовою її ефективності; визначає необхідність порівняння критеріїв та індикаторів корпоративної соціальної безпеки до та після проведених заходів (у тому числі реалізації корпоративних програм та проектів), в межах визначеного періоду дії стратегії та її етапів.  </w:t>
      </w:r>
    </w:p>
    <w:p w14:paraId="5F118AA0" w14:textId="77777777" w:rsidR="0000167A" w:rsidRPr="005F0419" w:rsidRDefault="0000167A" w:rsidP="00662012">
      <w:pPr>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Отже, сама процедура створення та впровадження стратегії забезпечення корпоративної соціальної безпеки враховує послідовність із дев’яти етапів: при цьому етапи 1–5 характеризують процес її розробки, етапи 6–9 – реалізацію. </w:t>
      </w:r>
    </w:p>
    <w:p w14:paraId="3F000EEA"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Фундаментом будь-якої стратегії (і стратегія забезпечення корпоративної соціальної безпеки не є виключенням) має стати обґрунтування пріоритетних напрямів та заходів, впровадження яких буде забезпечувати підвищення рівня захищеності соціальних інтересів працівників підприємств, організацій, установ, зокрема у питаннях зайнятості та оплати праці. Відповідні заходи мають визначатися та проводитися на усіх рівнях корпоративного управління, що враховує необхідність комплексного характеру дій і можливість отримання синергетичного ефекту.</w:t>
      </w:r>
    </w:p>
    <w:p w14:paraId="00490B57"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 основі проведеного дослідження було визначено необхідність покращення корпоративної соціальної безпеки з урахуванням складних умов воєнного часу, вирішення проблеми плинності кадрів, нейтралізації соціальних ризиків та підвищення кадрової стійкості. Таким чином, ключовими пріоритетами стратегії корпоративної соціальної безпеки є наступні (рис. 6).</w:t>
      </w:r>
    </w:p>
    <w:p w14:paraId="0D44C467"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Відтак, серед пріоритетних напрямів, які будуть здійснювати сприятливий вплив на рівень захищеності соціальних інтересів працівників доцільно визначити ті, які забезпечують стабільність та безпеку зайнятості, а також ті, що будуть сприяти дотриманню інтересів персоналу у питаннях оплати праці. При </w:t>
      </w:r>
      <w:r w:rsidRPr="005F0419">
        <w:rPr>
          <w:rFonts w:ascii="Times New Roman" w:hAnsi="Times New Roman" w:cs="Times New Roman"/>
          <w:sz w:val="28"/>
          <w:szCs w:val="28"/>
          <w:lang w:val="uk-UA"/>
        </w:rPr>
        <w:lastRenderedPageBreak/>
        <w:t xml:space="preserve">цьому спільний вплив на обидві сфери соціальної безпеки формуватиме система корпоративного моніторингу.  </w:t>
      </w:r>
    </w:p>
    <w:p w14:paraId="1A28C607" w14:textId="77777777" w:rsidR="00FA0895" w:rsidRPr="005F0419" w:rsidRDefault="00FA0895" w:rsidP="00FA0895">
      <w:pPr>
        <w:shd w:val="clear" w:color="auto" w:fill="FFFFFF"/>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rPr>
        <mc:AlternateContent>
          <mc:Choice Requires="wpc">
            <w:drawing>
              <wp:inline distT="0" distB="0" distL="0" distR="0" wp14:anchorId="2A498AD2" wp14:editId="67418EE6">
                <wp:extent cx="6057900" cy="6560820"/>
                <wp:effectExtent l="0" t="0" r="19050" b="0"/>
                <wp:docPr id="194963912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143379022" name="Rectangle 4"/>
                        <wps:cNvSpPr>
                          <a:spLocks noChangeArrowheads="1"/>
                        </wps:cNvSpPr>
                        <wps:spPr bwMode="auto">
                          <a:xfrm>
                            <a:off x="22860" y="943611"/>
                            <a:ext cx="5970270" cy="4908550"/>
                          </a:xfrm>
                          <a:prstGeom prst="rect">
                            <a:avLst/>
                          </a:prstGeom>
                          <a:solidFill>
                            <a:srgbClr val="FFFFFF"/>
                          </a:solidFill>
                          <a:ln w="9525">
                            <a:solidFill>
                              <a:srgbClr val="000000"/>
                            </a:solidFill>
                            <a:prstDash val="lgDashDotDot"/>
                            <a:miter lim="800000"/>
                            <a:headEnd/>
                            <a:tailEnd/>
                          </a:ln>
                        </wps:spPr>
                        <wps:bodyPr rot="0" vert="horz" wrap="square" lIns="91440" tIns="45720" rIns="91440" bIns="45720" anchor="t" anchorCtr="0" upright="1">
                          <a:noAutofit/>
                        </wps:bodyPr>
                      </wps:wsp>
                      <wps:wsp>
                        <wps:cNvPr id="675354542" name="Rectangle 6"/>
                        <wps:cNvSpPr>
                          <a:spLocks noChangeArrowheads="1"/>
                        </wps:cNvSpPr>
                        <wps:spPr bwMode="auto">
                          <a:xfrm>
                            <a:off x="531495" y="79375"/>
                            <a:ext cx="4937760" cy="342900"/>
                          </a:xfrm>
                          <a:prstGeom prst="rect">
                            <a:avLst/>
                          </a:prstGeom>
                          <a:solidFill>
                            <a:srgbClr val="FFFFFF"/>
                          </a:solidFill>
                          <a:ln w="9525">
                            <a:solidFill>
                              <a:srgbClr val="000000"/>
                            </a:solidFill>
                            <a:miter lim="800000"/>
                            <a:headEnd/>
                            <a:tailEnd/>
                          </a:ln>
                        </wps:spPr>
                        <wps:txbx>
                          <w:txbxContent>
                            <w:p w14:paraId="17632645" w14:textId="77777777" w:rsidR="00571B42" w:rsidRPr="00140A0F" w:rsidRDefault="00571B42" w:rsidP="00FA0895">
                              <w:pPr>
                                <w:jc w:val="center"/>
                                <w:rPr>
                                  <w:rFonts w:ascii="Times New Roman" w:hAnsi="Times New Roman" w:cs="Times New Roman"/>
                                  <w:sz w:val="28"/>
                                  <w:szCs w:val="28"/>
                                  <w:lang w:val="uk-UA"/>
                                </w:rPr>
                              </w:pPr>
                              <w:r w:rsidRPr="00140A0F">
                                <w:rPr>
                                  <w:rFonts w:ascii="Times New Roman" w:hAnsi="Times New Roman" w:cs="Times New Roman"/>
                                  <w:sz w:val="28"/>
                                  <w:szCs w:val="28"/>
                                  <w:lang w:val="uk-UA"/>
                                </w:rPr>
                                <w:t>Пріорите</w:t>
                              </w:r>
                              <w:r>
                                <w:rPr>
                                  <w:rFonts w:ascii="Times New Roman" w:hAnsi="Times New Roman" w:cs="Times New Roman"/>
                                  <w:sz w:val="28"/>
                                  <w:szCs w:val="28"/>
                                  <w:lang w:val="uk-UA"/>
                                </w:rPr>
                                <w:t>ти</w:t>
                              </w:r>
                              <w:r w:rsidRPr="00140A0F">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забезпечення корпоративної соціальної безпеки</w:t>
                              </w:r>
                            </w:p>
                          </w:txbxContent>
                        </wps:txbx>
                        <wps:bodyPr rot="0" vert="horz" wrap="square" lIns="91440" tIns="45720" rIns="91440" bIns="45720" anchor="t" anchorCtr="0" upright="1">
                          <a:noAutofit/>
                        </wps:bodyPr>
                      </wps:wsp>
                      <wps:wsp>
                        <wps:cNvPr id="1673173166" name="AutoShape 7"/>
                        <wps:cNvSpPr>
                          <a:spLocks/>
                        </wps:cNvSpPr>
                        <wps:spPr bwMode="auto">
                          <a:xfrm rot="16200000">
                            <a:off x="2905125" y="3028950"/>
                            <a:ext cx="247650" cy="6057900"/>
                          </a:xfrm>
                          <a:prstGeom prst="leftBrace">
                            <a:avLst>
                              <a:gd name="adj1" fmla="val 244615"/>
                              <a:gd name="adj2" fmla="val 4884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0844858" name="Rectangle 8"/>
                        <wps:cNvSpPr>
                          <a:spLocks noChangeArrowheads="1"/>
                        </wps:cNvSpPr>
                        <wps:spPr bwMode="auto">
                          <a:xfrm>
                            <a:off x="144780" y="6209030"/>
                            <a:ext cx="5888355" cy="257810"/>
                          </a:xfrm>
                          <a:prstGeom prst="rect">
                            <a:avLst/>
                          </a:prstGeom>
                          <a:solidFill>
                            <a:srgbClr val="FFFFFF"/>
                          </a:solidFill>
                          <a:ln w="9525">
                            <a:solidFill>
                              <a:srgbClr val="000000"/>
                            </a:solidFill>
                            <a:miter lim="800000"/>
                            <a:headEnd/>
                            <a:tailEnd/>
                          </a:ln>
                        </wps:spPr>
                        <wps:txbx>
                          <w:txbxContent>
                            <w:p w14:paraId="51BFD8B1" w14:textId="77777777" w:rsidR="00571B42" w:rsidRPr="00140A0F" w:rsidRDefault="00571B42" w:rsidP="00FA0895">
                              <w:pPr>
                                <w:jc w:val="center"/>
                                <w:rPr>
                                  <w:rFonts w:ascii="Times New Roman" w:hAnsi="Times New Roman" w:cs="Times New Roman"/>
                                  <w:sz w:val="28"/>
                                  <w:szCs w:val="28"/>
                                  <w:lang w:val="uk-UA"/>
                                </w:rPr>
                              </w:pPr>
                              <w:r w:rsidRPr="00140A0F">
                                <w:rPr>
                                  <w:rFonts w:ascii="Times New Roman" w:hAnsi="Times New Roman" w:cs="Times New Roman"/>
                                  <w:sz w:val="28"/>
                                  <w:szCs w:val="28"/>
                                  <w:lang w:val="uk-UA"/>
                                </w:rPr>
                                <w:t xml:space="preserve">Стратегія забезпечення </w:t>
                              </w:r>
                              <w:r>
                                <w:rPr>
                                  <w:rFonts w:ascii="Times New Roman" w:hAnsi="Times New Roman" w:cs="Times New Roman"/>
                                  <w:sz w:val="28"/>
                                  <w:szCs w:val="28"/>
                                  <w:lang w:val="uk-UA"/>
                                </w:rPr>
                                <w:t>корпоративної соціальної безпеки</w:t>
                              </w:r>
                            </w:p>
                          </w:txbxContent>
                        </wps:txbx>
                        <wps:bodyPr rot="0" vert="horz" wrap="square" lIns="91440" tIns="10800" rIns="91440" bIns="10800" anchor="t" anchorCtr="0" upright="1">
                          <a:noAutofit/>
                        </wps:bodyPr>
                      </wps:wsp>
                      <wps:wsp>
                        <wps:cNvPr id="199138850" name="Rectangle 9"/>
                        <wps:cNvSpPr>
                          <a:spLocks noChangeArrowheads="1"/>
                        </wps:cNvSpPr>
                        <wps:spPr bwMode="auto">
                          <a:xfrm>
                            <a:off x="354330" y="1009650"/>
                            <a:ext cx="2376805" cy="371475"/>
                          </a:xfrm>
                          <a:prstGeom prst="rect">
                            <a:avLst/>
                          </a:prstGeom>
                          <a:solidFill>
                            <a:srgbClr val="FFFFFF"/>
                          </a:solidFill>
                          <a:ln w="9525">
                            <a:solidFill>
                              <a:srgbClr val="000000"/>
                            </a:solidFill>
                            <a:miter lim="800000"/>
                            <a:headEnd/>
                            <a:tailEnd/>
                          </a:ln>
                        </wps:spPr>
                        <wps:txbx>
                          <w:txbxContent>
                            <w:p w14:paraId="47E8DDE9" w14:textId="77777777" w:rsidR="00571B42" w:rsidRPr="00140A0F" w:rsidRDefault="00571B42" w:rsidP="00FA089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У сфері </w:t>
                              </w:r>
                              <w:r w:rsidRPr="00140A0F">
                                <w:rPr>
                                  <w:rFonts w:ascii="Times New Roman" w:hAnsi="Times New Roman" w:cs="Times New Roman"/>
                                  <w:sz w:val="28"/>
                                  <w:szCs w:val="28"/>
                                  <w:lang w:val="uk-UA"/>
                                </w:rPr>
                                <w:t>зайнятості</w:t>
                              </w:r>
                            </w:p>
                          </w:txbxContent>
                        </wps:txbx>
                        <wps:bodyPr rot="0" vert="horz" wrap="square" lIns="91440" tIns="45720" rIns="91440" bIns="45720" anchor="t" anchorCtr="0" upright="1">
                          <a:noAutofit/>
                        </wps:bodyPr>
                      </wps:wsp>
                      <wps:wsp>
                        <wps:cNvPr id="169763022" name="AutoShape 12"/>
                        <wps:cNvSpPr>
                          <a:spLocks noChangeArrowheads="1"/>
                        </wps:cNvSpPr>
                        <wps:spPr bwMode="auto">
                          <a:xfrm rot="2651778">
                            <a:off x="1362709" y="468260"/>
                            <a:ext cx="485140" cy="44894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213331284" name="AutoShape 13"/>
                        <wps:cNvSpPr>
                          <a:spLocks noChangeArrowheads="1"/>
                        </wps:cNvSpPr>
                        <wps:spPr bwMode="auto">
                          <a:xfrm rot="19133567">
                            <a:off x="4011931" y="469469"/>
                            <a:ext cx="485775" cy="448945"/>
                          </a:xfrm>
                          <a:prstGeom prst="downArrow">
                            <a:avLst>
                              <a:gd name="adj1" fmla="val 50000"/>
                              <a:gd name="adj2" fmla="val 250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wps:wsp>
                        <wps:cNvPr id="1073717761" name="Rectangle 14"/>
                        <wps:cNvSpPr>
                          <a:spLocks noChangeArrowheads="1"/>
                        </wps:cNvSpPr>
                        <wps:spPr bwMode="auto">
                          <a:xfrm>
                            <a:off x="3398520" y="1032510"/>
                            <a:ext cx="2293620" cy="371475"/>
                          </a:xfrm>
                          <a:prstGeom prst="rect">
                            <a:avLst/>
                          </a:prstGeom>
                          <a:solidFill>
                            <a:srgbClr val="FFFFFF"/>
                          </a:solidFill>
                          <a:ln w="9525">
                            <a:solidFill>
                              <a:srgbClr val="000000"/>
                            </a:solidFill>
                            <a:miter lim="800000"/>
                            <a:headEnd/>
                            <a:tailEnd/>
                          </a:ln>
                        </wps:spPr>
                        <wps:txbx>
                          <w:txbxContent>
                            <w:p w14:paraId="4B9604CB" w14:textId="77777777" w:rsidR="00571B42" w:rsidRPr="00140A0F" w:rsidRDefault="00571B42" w:rsidP="00FA0895">
                              <w:pPr>
                                <w:jc w:val="center"/>
                                <w:rPr>
                                  <w:rFonts w:ascii="Times New Roman" w:hAnsi="Times New Roman" w:cs="Times New Roman"/>
                                  <w:sz w:val="28"/>
                                  <w:szCs w:val="28"/>
                                  <w:lang w:val="uk-UA"/>
                                </w:rPr>
                              </w:pPr>
                              <w:r>
                                <w:rPr>
                                  <w:rFonts w:ascii="Times New Roman" w:hAnsi="Times New Roman" w:cs="Times New Roman"/>
                                  <w:sz w:val="28"/>
                                  <w:szCs w:val="28"/>
                                  <w:lang w:val="uk-UA"/>
                                </w:rPr>
                                <w:t>У сфері</w:t>
                              </w:r>
                              <w:r w:rsidRPr="00140A0F">
                                <w:rPr>
                                  <w:rFonts w:ascii="Times New Roman" w:hAnsi="Times New Roman" w:cs="Times New Roman"/>
                                  <w:sz w:val="28"/>
                                  <w:szCs w:val="28"/>
                                  <w:lang w:val="uk-UA"/>
                                </w:rPr>
                                <w:t xml:space="preserve"> оплати праці</w:t>
                              </w:r>
                            </w:p>
                          </w:txbxContent>
                        </wps:txbx>
                        <wps:bodyPr rot="0" vert="horz" wrap="square" lIns="91440" tIns="45720" rIns="91440" bIns="45720" anchor="t" anchorCtr="0" upright="1">
                          <a:noAutofit/>
                        </wps:bodyPr>
                      </wps:wsp>
                      <wps:wsp>
                        <wps:cNvPr id="912869978" name="Rectangle 15"/>
                        <wps:cNvSpPr>
                          <a:spLocks noChangeArrowheads="1"/>
                        </wps:cNvSpPr>
                        <wps:spPr bwMode="auto">
                          <a:xfrm>
                            <a:off x="339090" y="1727200"/>
                            <a:ext cx="1874520" cy="558800"/>
                          </a:xfrm>
                          <a:prstGeom prst="rect">
                            <a:avLst/>
                          </a:prstGeom>
                          <a:solidFill>
                            <a:srgbClr val="FFFFFF"/>
                          </a:solidFill>
                          <a:ln w="9525">
                            <a:solidFill>
                              <a:srgbClr val="000000"/>
                            </a:solidFill>
                            <a:miter lim="800000"/>
                            <a:headEnd/>
                            <a:tailEnd/>
                          </a:ln>
                        </wps:spPr>
                        <wps:txbx>
                          <w:txbxContent>
                            <w:p w14:paraId="5542AEB8" w14:textId="77777777" w:rsidR="00571B42" w:rsidRPr="00140A0F" w:rsidRDefault="00571B42" w:rsidP="00FA0895">
                              <w:pPr>
                                <w:jc w:val="center"/>
                                <w:rPr>
                                  <w:rFonts w:ascii="Times New Roman" w:hAnsi="Times New Roman" w:cs="Times New Roman"/>
                                  <w:lang w:val="uk-UA"/>
                                </w:rPr>
                              </w:pPr>
                              <w:r>
                                <w:rPr>
                                  <w:rFonts w:ascii="Times New Roman" w:hAnsi="Times New Roman" w:cs="Times New Roman"/>
                                  <w:spacing w:val="3"/>
                                  <w:lang w:val="uk-UA"/>
                                </w:rPr>
                                <w:t xml:space="preserve">Сприяння стабільній зайнятості </w:t>
                              </w:r>
                            </w:p>
                          </w:txbxContent>
                        </wps:txbx>
                        <wps:bodyPr rot="0" vert="horz" wrap="square" lIns="91440" tIns="45720" rIns="91440" bIns="45720" anchor="t" anchorCtr="0" upright="1">
                          <a:noAutofit/>
                        </wps:bodyPr>
                      </wps:wsp>
                      <wps:wsp>
                        <wps:cNvPr id="266857966" name="Rectangle 16"/>
                        <wps:cNvSpPr>
                          <a:spLocks noChangeArrowheads="1"/>
                        </wps:cNvSpPr>
                        <wps:spPr bwMode="auto">
                          <a:xfrm>
                            <a:off x="339090" y="2536191"/>
                            <a:ext cx="1874520" cy="763270"/>
                          </a:xfrm>
                          <a:prstGeom prst="rect">
                            <a:avLst/>
                          </a:prstGeom>
                          <a:solidFill>
                            <a:srgbClr val="FFFFFF"/>
                          </a:solidFill>
                          <a:ln w="9525">
                            <a:solidFill>
                              <a:srgbClr val="000000"/>
                            </a:solidFill>
                            <a:miter lim="800000"/>
                            <a:headEnd/>
                            <a:tailEnd/>
                          </a:ln>
                        </wps:spPr>
                        <wps:txbx>
                          <w:txbxContent>
                            <w:p w14:paraId="7A35B3EA" w14:textId="77777777" w:rsidR="00571B42" w:rsidRPr="00140A0F" w:rsidRDefault="00571B42" w:rsidP="00FA0895">
                              <w:pPr>
                                <w:jc w:val="center"/>
                                <w:rPr>
                                  <w:rFonts w:ascii="Times New Roman" w:hAnsi="Times New Roman" w:cs="Times New Roman"/>
                                  <w:lang w:val="uk-UA"/>
                                </w:rPr>
                              </w:pPr>
                              <w:r>
                                <w:rPr>
                                  <w:rFonts w:ascii="Times New Roman" w:hAnsi="Times New Roman" w:cs="Times New Roman"/>
                                  <w:lang w:val="uk-UA"/>
                                </w:rPr>
                                <w:t>Імплементація нестанлартних форм зайнятості (за можливості)</w:t>
                              </w:r>
                              <w:r w:rsidRPr="00140A0F">
                                <w:rPr>
                                  <w:rFonts w:ascii="Times New Roman" w:hAnsi="Times New Roman" w:cs="Times New Roman"/>
                                  <w:lang w:val="uk-UA"/>
                                </w:rPr>
                                <w:t xml:space="preserve"> </w:t>
                              </w:r>
                            </w:p>
                          </w:txbxContent>
                        </wps:txbx>
                        <wps:bodyPr rot="0" vert="horz" wrap="square" lIns="91440" tIns="45720" rIns="91440" bIns="45720" anchor="t" anchorCtr="0" upright="1">
                          <a:noAutofit/>
                        </wps:bodyPr>
                      </wps:wsp>
                      <wps:wsp>
                        <wps:cNvPr id="946254122" name="Rectangle 17"/>
                        <wps:cNvSpPr>
                          <a:spLocks noChangeArrowheads="1"/>
                        </wps:cNvSpPr>
                        <wps:spPr bwMode="auto">
                          <a:xfrm>
                            <a:off x="3829050" y="2034540"/>
                            <a:ext cx="1809750" cy="760730"/>
                          </a:xfrm>
                          <a:prstGeom prst="rect">
                            <a:avLst/>
                          </a:prstGeom>
                          <a:solidFill>
                            <a:srgbClr val="FFFFFF"/>
                          </a:solidFill>
                          <a:ln w="9525">
                            <a:solidFill>
                              <a:srgbClr val="000000"/>
                            </a:solidFill>
                            <a:miter lim="800000"/>
                            <a:headEnd/>
                            <a:tailEnd/>
                          </a:ln>
                        </wps:spPr>
                        <wps:txbx>
                          <w:txbxContent>
                            <w:p w14:paraId="7944077F"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lang w:val="uk-UA"/>
                                </w:rPr>
                                <w:t>Дотримання соціальних гарантій в оплаті праці</w:t>
                              </w:r>
                              <w:r>
                                <w:rPr>
                                  <w:rFonts w:ascii="Times New Roman" w:hAnsi="Times New Roman" w:cs="Times New Roman"/>
                                  <w:lang w:val="uk-UA"/>
                                </w:rPr>
                                <w:t>, у тому числі своєчасність виплат</w:t>
                              </w:r>
                            </w:p>
                            <w:p w14:paraId="41E09E21" w14:textId="77777777" w:rsidR="00571B42" w:rsidRPr="00140A0F" w:rsidRDefault="00571B42" w:rsidP="00FA0895">
                              <w:pPr>
                                <w:jc w:val="center"/>
                                <w:rPr>
                                  <w:rFonts w:ascii="Times New Roman" w:hAnsi="Times New Roman" w:cs="Times New Roman"/>
                                  <w:lang w:val="uk-UA"/>
                                </w:rPr>
                              </w:pPr>
                            </w:p>
                          </w:txbxContent>
                        </wps:txbx>
                        <wps:bodyPr rot="0" vert="horz" wrap="square" lIns="91440" tIns="0" rIns="91440" bIns="0" anchor="t" anchorCtr="0" upright="1">
                          <a:noAutofit/>
                        </wps:bodyPr>
                      </wps:wsp>
                      <wps:wsp>
                        <wps:cNvPr id="1602687771" name="Rectangle 18"/>
                        <wps:cNvSpPr>
                          <a:spLocks noChangeArrowheads="1"/>
                        </wps:cNvSpPr>
                        <wps:spPr bwMode="auto">
                          <a:xfrm>
                            <a:off x="3829050" y="2947670"/>
                            <a:ext cx="1809750" cy="447040"/>
                          </a:xfrm>
                          <a:prstGeom prst="rect">
                            <a:avLst/>
                          </a:prstGeom>
                          <a:solidFill>
                            <a:srgbClr val="FFFFFF"/>
                          </a:solidFill>
                          <a:ln w="9525">
                            <a:solidFill>
                              <a:srgbClr val="000000"/>
                            </a:solidFill>
                            <a:miter lim="800000"/>
                            <a:headEnd/>
                            <a:tailEnd/>
                          </a:ln>
                        </wps:spPr>
                        <wps:txbx>
                          <w:txbxContent>
                            <w:p w14:paraId="611F2FBA"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spacing w:val="3"/>
                                  <w:lang w:val="uk-UA"/>
                                </w:rPr>
                                <w:t>Детінізація</w:t>
                              </w:r>
                              <w:r>
                                <w:rPr>
                                  <w:rFonts w:ascii="Times New Roman" w:hAnsi="Times New Roman" w:cs="Times New Roman"/>
                                  <w:spacing w:val="3"/>
                                  <w:lang w:val="uk-UA"/>
                                </w:rPr>
                                <w:t xml:space="preserve"> </w:t>
                              </w:r>
                              <w:r w:rsidRPr="00140A0F">
                                <w:rPr>
                                  <w:rFonts w:ascii="Times New Roman" w:hAnsi="Times New Roman" w:cs="Times New Roman"/>
                                  <w:spacing w:val="3"/>
                                  <w:lang w:val="uk-UA"/>
                                </w:rPr>
                                <w:t xml:space="preserve">оплати праці </w:t>
                              </w:r>
                            </w:p>
                          </w:txbxContent>
                        </wps:txbx>
                        <wps:bodyPr rot="0" vert="horz" wrap="square" lIns="91440" tIns="45720" rIns="91440" bIns="45720" anchor="t" anchorCtr="0" upright="1">
                          <a:noAutofit/>
                        </wps:bodyPr>
                      </wps:wsp>
                      <wps:wsp>
                        <wps:cNvPr id="1605495796" name="Rectangle 19"/>
                        <wps:cNvSpPr>
                          <a:spLocks noChangeArrowheads="1"/>
                        </wps:cNvSpPr>
                        <wps:spPr bwMode="auto">
                          <a:xfrm>
                            <a:off x="331470" y="3469005"/>
                            <a:ext cx="1874520" cy="645795"/>
                          </a:xfrm>
                          <a:prstGeom prst="rect">
                            <a:avLst/>
                          </a:prstGeom>
                          <a:solidFill>
                            <a:srgbClr val="FFFFFF"/>
                          </a:solidFill>
                          <a:ln w="9525">
                            <a:solidFill>
                              <a:srgbClr val="000000"/>
                            </a:solidFill>
                            <a:miter lim="800000"/>
                            <a:headEnd/>
                            <a:tailEnd/>
                          </a:ln>
                        </wps:spPr>
                        <wps:txbx>
                          <w:txbxContent>
                            <w:p w14:paraId="0476E750" w14:textId="77777777" w:rsidR="00571B42" w:rsidRPr="00140A0F" w:rsidRDefault="00571B42" w:rsidP="00FA0895">
                              <w:pPr>
                                <w:jc w:val="center"/>
                                <w:rPr>
                                  <w:rFonts w:ascii="Times New Roman" w:hAnsi="Times New Roman" w:cs="Times New Roman"/>
                                  <w:lang w:val="uk-UA"/>
                                </w:rPr>
                              </w:pPr>
                              <w:r>
                                <w:rPr>
                                  <w:rFonts w:ascii="Times New Roman" w:hAnsi="Times New Roman" w:cs="Times New Roman"/>
                                  <w:spacing w:val="3"/>
                                  <w:lang w:val="uk-UA"/>
                                </w:rPr>
                                <w:t>Співпраця із освітньою сферою, участь у спільних проектах</w:t>
                              </w:r>
                              <w:r w:rsidRPr="00140A0F">
                                <w:rPr>
                                  <w:rFonts w:ascii="Times New Roman" w:hAnsi="Times New Roman" w:cs="Times New Roman"/>
                                  <w:spacing w:val="3"/>
                                  <w:lang w:val="uk-UA"/>
                                </w:rPr>
                                <w:t xml:space="preserve"> </w:t>
                              </w:r>
                            </w:p>
                          </w:txbxContent>
                        </wps:txbx>
                        <wps:bodyPr rot="0" vert="horz" wrap="square" lIns="91440" tIns="45720" rIns="91440" bIns="45720" anchor="t" anchorCtr="0" upright="1">
                          <a:noAutofit/>
                        </wps:bodyPr>
                      </wps:wsp>
                      <wps:wsp>
                        <wps:cNvPr id="1603272109" name="Rectangle 23"/>
                        <wps:cNvSpPr>
                          <a:spLocks noChangeArrowheads="1"/>
                        </wps:cNvSpPr>
                        <wps:spPr bwMode="auto">
                          <a:xfrm>
                            <a:off x="331470" y="4358640"/>
                            <a:ext cx="1874520" cy="731520"/>
                          </a:xfrm>
                          <a:prstGeom prst="rect">
                            <a:avLst/>
                          </a:prstGeom>
                          <a:solidFill>
                            <a:srgbClr val="FFFFFF"/>
                          </a:solidFill>
                          <a:ln w="9525">
                            <a:solidFill>
                              <a:srgbClr val="000000"/>
                            </a:solidFill>
                            <a:miter lim="800000"/>
                            <a:headEnd/>
                            <a:tailEnd/>
                          </a:ln>
                        </wps:spPr>
                        <wps:txbx>
                          <w:txbxContent>
                            <w:p w14:paraId="60949B63"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lang w:val="uk-UA"/>
                                </w:rPr>
                                <w:t>Соціальний захист працівників та дотримання гарантій зайнятості</w:t>
                              </w:r>
                            </w:p>
                          </w:txbxContent>
                        </wps:txbx>
                        <wps:bodyPr rot="0" vert="horz" wrap="square" lIns="91440" tIns="45720" rIns="91440" bIns="45720" anchor="t" anchorCtr="0" upright="1">
                          <a:noAutofit/>
                        </wps:bodyPr>
                      </wps:wsp>
                      <wps:wsp>
                        <wps:cNvPr id="1034946229" name="Rectangle 24"/>
                        <wps:cNvSpPr>
                          <a:spLocks noChangeArrowheads="1"/>
                        </wps:cNvSpPr>
                        <wps:spPr bwMode="auto">
                          <a:xfrm>
                            <a:off x="3829050" y="3585210"/>
                            <a:ext cx="1809750" cy="487045"/>
                          </a:xfrm>
                          <a:prstGeom prst="rect">
                            <a:avLst/>
                          </a:prstGeom>
                          <a:solidFill>
                            <a:srgbClr val="FFFFFF"/>
                          </a:solidFill>
                          <a:ln w="9525">
                            <a:solidFill>
                              <a:srgbClr val="000000"/>
                            </a:solidFill>
                            <a:miter lim="800000"/>
                            <a:headEnd/>
                            <a:tailEnd/>
                          </a:ln>
                        </wps:spPr>
                        <wps:txbx>
                          <w:txbxContent>
                            <w:p w14:paraId="401A0F10"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lang w:val="uk-UA"/>
                                </w:rPr>
                                <w:t>Дотримання соціальних гарантій в оплаті праці</w:t>
                              </w:r>
                            </w:p>
                          </w:txbxContent>
                        </wps:txbx>
                        <wps:bodyPr rot="0" vert="horz" wrap="square" lIns="91440" tIns="45720" rIns="91440" bIns="45720" anchor="t" anchorCtr="0" upright="1">
                          <a:noAutofit/>
                        </wps:bodyPr>
                      </wps:wsp>
                      <wps:wsp>
                        <wps:cNvPr id="436891541" name="Rectangle 25"/>
                        <wps:cNvSpPr>
                          <a:spLocks noChangeArrowheads="1"/>
                        </wps:cNvSpPr>
                        <wps:spPr bwMode="auto">
                          <a:xfrm>
                            <a:off x="316230" y="5317490"/>
                            <a:ext cx="1874520" cy="315595"/>
                          </a:xfrm>
                          <a:prstGeom prst="rect">
                            <a:avLst/>
                          </a:prstGeom>
                          <a:solidFill>
                            <a:srgbClr val="FFFFFF"/>
                          </a:solidFill>
                          <a:ln w="9525">
                            <a:solidFill>
                              <a:srgbClr val="000000"/>
                            </a:solidFill>
                            <a:miter lim="800000"/>
                            <a:headEnd/>
                            <a:tailEnd/>
                          </a:ln>
                        </wps:spPr>
                        <wps:txbx>
                          <w:txbxContent>
                            <w:p w14:paraId="42C0BA72"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lang w:val="uk-UA"/>
                                </w:rPr>
                                <w:t>Покращення умов праці</w:t>
                              </w:r>
                            </w:p>
                          </w:txbxContent>
                        </wps:txbx>
                        <wps:bodyPr rot="0" vert="horz" wrap="square" lIns="91440" tIns="45720" rIns="91440" bIns="45720" anchor="t" anchorCtr="0" upright="1">
                          <a:noAutofit/>
                        </wps:bodyPr>
                      </wps:wsp>
                      <wps:wsp>
                        <wps:cNvPr id="1879913207" name="Rectangle 26"/>
                        <wps:cNvSpPr>
                          <a:spLocks noChangeArrowheads="1"/>
                        </wps:cNvSpPr>
                        <wps:spPr bwMode="auto">
                          <a:xfrm>
                            <a:off x="3829050" y="4252595"/>
                            <a:ext cx="1809750" cy="601980"/>
                          </a:xfrm>
                          <a:prstGeom prst="rect">
                            <a:avLst/>
                          </a:prstGeom>
                          <a:solidFill>
                            <a:srgbClr val="FFFFFF"/>
                          </a:solidFill>
                          <a:ln w="9525">
                            <a:solidFill>
                              <a:srgbClr val="000000"/>
                            </a:solidFill>
                            <a:miter lim="800000"/>
                            <a:headEnd/>
                            <a:tailEnd/>
                          </a:ln>
                        </wps:spPr>
                        <wps:txbx>
                          <w:txbxContent>
                            <w:p w14:paraId="76BD74E3"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lang w:val="uk-UA"/>
                                </w:rPr>
                                <w:t>Розвиток інтелектуального потенціалу</w:t>
                              </w:r>
                            </w:p>
                          </w:txbxContent>
                        </wps:txbx>
                        <wps:bodyPr rot="0" vert="horz" wrap="square" lIns="91440" tIns="45720" rIns="91440" bIns="45720" anchor="t" anchorCtr="0" upright="1">
                          <a:noAutofit/>
                        </wps:bodyPr>
                      </wps:wsp>
                      <wps:wsp>
                        <wps:cNvPr id="1808839927" name="AutoShape 27"/>
                        <wps:cNvSpPr>
                          <a:spLocks noChangeArrowheads="1"/>
                        </wps:cNvSpPr>
                        <wps:spPr bwMode="auto">
                          <a:xfrm>
                            <a:off x="2731135" y="958850"/>
                            <a:ext cx="667385" cy="485140"/>
                          </a:xfrm>
                          <a:prstGeom prst="leftRightArrow">
                            <a:avLst>
                              <a:gd name="adj1" fmla="val 50000"/>
                              <a:gd name="adj2" fmla="val 2751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99232478" name="Rectangle 30"/>
                        <wps:cNvSpPr>
                          <a:spLocks noChangeArrowheads="1"/>
                        </wps:cNvSpPr>
                        <wps:spPr bwMode="auto">
                          <a:xfrm>
                            <a:off x="2312670" y="1901825"/>
                            <a:ext cx="1294765" cy="893445"/>
                          </a:xfrm>
                          <a:prstGeom prst="rect">
                            <a:avLst/>
                          </a:prstGeom>
                          <a:solidFill>
                            <a:srgbClr val="FFFFFF"/>
                          </a:solidFill>
                          <a:ln w="9525">
                            <a:solidFill>
                              <a:srgbClr val="000000"/>
                            </a:solidFill>
                            <a:miter lim="800000"/>
                            <a:headEnd/>
                            <a:tailEnd/>
                          </a:ln>
                        </wps:spPr>
                        <wps:txbx>
                          <w:txbxContent>
                            <w:p w14:paraId="5D3A219F"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spacing w:val="3"/>
                                  <w:lang w:val="uk-UA"/>
                                </w:rPr>
                                <w:t xml:space="preserve">Формування системи </w:t>
                              </w:r>
                              <w:r>
                                <w:rPr>
                                  <w:rFonts w:ascii="Times New Roman" w:hAnsi="Times New Roman" w:cs="Times New Roman"/>
                                  <w:spacing w:val="3"/>
                                  <w:lang w:val="uk-UA"/>
                                </w:rPr>
                                <w:t xml:space="preserve">корпоративного </w:t>
                              </w:r>
                              <w:r w:rsidRPr="00140A0F">
                                <w:rPr>
                                  <w:rFonts w:ascii="Times New Roman" w:hAnsi="Times New Roman" w:cs="Times New Roman"/>
                                  <w:spacing w:val="3"/>
                                  <w:lang w:val="uk-UA"/>
                                </w:rPr>
                                <w:t xml:space="preserve">моніторингу </w:t>
                              </w:r>
                            </w:p>
                          </w:txbxContent>
                        </wps:txbx>
                        <wps:bodyPr rot="0" vert="horz" wrap="square" lIns="91440" tIns="45720" rIns="91440" bIns="45720" anchor="t" anchorCtr="0" upright="1">
                          <a:noAutofit/>
                        </wps:bodyPr>
                      </wps:wsp>
                      <wps:wsp>
                        <wps:cNvPr id="1299058027" name="AutoShape 31"/>
                        <wps:cNvCnPr>
                          <a:cxnSpLocks noChangeShapeType="1"/>
                          <a:stCxn id="199138850" idx="1"/>
                        </wps:cNvCnPr>
                        <wps:spPr bwMode="auto">
                          <a:xfrm flipH="1">
                            <a:off x="135255" y="1195705"/>
                            <a:ext cx="2190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22182878" name="AutoShape 32"/>
                        <wps:cNvCnPr>
                          <a:cxnSpLocks noChangeShapeType="1"/>
                          <a:endCxn id="508682877" idx="1"/>
                        </wps:cNvCnPr>
                        <wps:spPr bwMode="auto">
                          <a:xfrm>
                            <a:off x="112395" y="1203960"/>
                            <a:ext cx="635" cy="43046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3583712" name="AutoShape 33"/>
                        <wps:cNvSpPr>
                          <a:spLocks noChangeArrowheads="1"/>
                        </wps:cNvSpPr>
                        <wps:spPr bwMode="auto">
                          <a:xfrm>
                            <a:off x="120650" y="1864360"/>
                            <a:ext cx="218440" cy="2768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28002192" name="AutoShape 34"/>
                        <wps:cNvSpPr>
                          <a:spLocks noChangeArrowheads="1"/>
                        </wps:cNvSpPr>
                        <wps:spPr bwMode="auto">
                          <a:xfrm>
                            <a:off x="113030" y="2779395"/>
                            <a:ext cx="218440" cy="2768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1378512" name="AutoShape 35"/>
                        <wps:cNvSpPr>
                          <a:spLocks noChangeArrowheads="1"/>
                        </wps:cNvSpPr>
                        <wps:spPr bwMode="auto">
                          <a:xfrm>
                            <a:off x="120650" y="3556635"/>
                            <a:ext cx="218440" cy="2768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92600061" name="AutoShape 36"/>
                        <wps:cNvSpPr>
                          <a:spLocks noChangeArrowheads="1"/>
                        </wps:cNvSpPr>
                        <wps:spPr bwMode="auto">
                          <a:xfrm>
                            <a:off x="120650" y="4577715"/>
                            <a:ext cx="218440" cy="2768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08682877" name="AutoShape 38"/>
                        <wps:cNvSpPr>
                          <a:spLocks noChangeArrowheads="1"/>
                        </wps:cNvSpPr>
                        <wps:spPr bwMode="auto">
                          <a:xfrm>
                            <a:off x="113030" y="5370195"/>
                            <a:ext cx="218440" cy="27686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08109815" name="AutoShape 41"/>
                        <wps:cNvCnPr>
                          <a:cxnSpLocks noChangeShapeType="1"/>
                          <a:stCxn id="1073717761" idx="3"/>
                        </wps:cNvCnPr>
                        <wps:spPr bwMode="auto">
                          <a:xfrm>
                            <a:off x="5692140" y="1218565"/>
                            <a:ext cx="21717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74036938" name="AutoShape 42"/>
                        <wps:cNvCnPr>
                          <a:cxnSpLocks noChangeShapeType="1"/>
                        </wps:cNvCnPr>
                        <wps:spPr bwMode="auto">
                          <a:xfrm>
                            <a:off x="5909310" y="1226820"/>
                            <a:ext cx="0" cy="33832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336357" name="AutoShape 43"/>
                        <wps:cNvSpPr>
                          <a:spLocks noChangeArrowheads="1"/>
                        </wps:cNvSpPr>
                        <wps:spPr bwMode="auto">
                          <a:xfrm rot="10800000">
                            <a:off x="5638800" y="2222500"/>
                            <a:ext cx="217170" cy="33401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0138467" name="AutoShape 44"/>
                        <wps:cNvSpPr>
                          <a:spLocks noChangeArrowheads="1"/>
                        </wps:cNvSpPr>
                        <wps:spPr bwMode="auto">
                          <a:xfrm rot="10800000">
                            <a:off x="5669279" y="3032760"/>
                            <a:ext cx="217170" cy="33401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37169994" name="AutoShape 45"/>
                        <wps:cNvSpPr>
                          <a:spLocks noChangeArrowheads="1"/>
                        </wps:cNvSpPr>
                        <wps:spPr bwMode="auto">
                          <a:xfrm rot="10800000">
                            <a:off x="5669280" y="3594735"/>
                            <a:ext cx="217170" cy="334010"/>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49057950" name="AutoShape 46"/>
                        <wps:cNvSpPr>
                          <a:spLocks noChangeArrowheads="1"/>
                        </wps:cNvSpPr>
                        <wps:spPr bwMode="auto">
                          <a:xfrm rot="10800000">
                            <a:off x="5684520" y="4377690"/>
                            <a:ext cx="217170" cy="333375"/>
                          </a:xfrm>
                          <a:prstGeom prst="right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10691567" name="AutoShape 47"/>
                        <wps:cNvSpPr>
                          <a:spLocks noChangeArrowheads="1"/>
                        </wps:cNvSpPr>
                        <wps:spPr bwMode="auto">
                          <a:xfrm rot="3058201">
                            <a:off x="2218034" y="1489119"/>
                            <a:ext cx="351155" cy="276860"/>
                          </a:xfrm>
                          <a:prstGeom prst="rightArrow">
                            <a:avLst>
                              <a:gd name="adj1" fmla="val 50000"/>
                              <a:gd name="adj2" fmla="val 3170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62637331" name="AutoShape 48"/>
                        <wps:cNvSpPr>
                          <a:spLocks noChangeArrowheads="1"/>
                        </wps:cNvSpPr>
                        <wps:spPr bwMode="auto">
                          <a:xfrm rot="7497726">
                            <a:off x="3272155" y="1489468"/>
                            <a:ext cx="351155" cy="276860"/>
                          </a:xfrm>
                          <a:prstGeom prst="rightArrow">
                            <a:avLst>
                              <a:gd name="adj1" fmla="val 50000"/>
                              <a:gd name="adj2" fmla="val 3170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w14:anchorId="2A498AD2" id="_x0000_s1193" editas="canvas" style="width:477pt;height:516.6pt;mso-position-horizontal-relative:char;mso-position-vertical-relative:line" coordsize="60579,656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">
                <v:shape id="_x0000_s1194" type="#_x0000_t75" style="position:absolute;width:60579;height:65608;visibility:visible;mso-wrap-style:square">
                  <v:fill o:detectmouseclick="t"/>
                  <v:path o:connecttype="none"/>
                </v:shape>
                <v:rect id="Rectangle 4" o:spid="_x0000_s1195" style="position:absolute;left:228;top:9436;width:59703;height:490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">
                  <v:stroke dashstyle="longDashDotDot"/>
                </v:rect>
                <v:rect id="Rectangle 6" o:spid="_x0000_s1196" style="position:absolute;left:5314;top:793;width:4937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">
                  <v:textbox>
                    <w:txbxContent>
                      <w:p w14:paraId="17632645" w14:textId="77777777" w:rsidR="00571B42" w:rsidRPr="00140A0F" w:rsidRDefault="00571B42" w:rsidP="00FA0895">
                        <w:pPr>
                          <w:jc w:val="center"/>
                          <w:rPr>
                            <w:rFonts w:ascii="Times New Roman" w:hAnsi="Times New Roman" w:cs="Times New Roman"/>
                            <w:sz w:val="28"/>
                            <w:szCs w:val="28"/>
                            <w:lang w:val="uk-UA"/>
                          </w:rPr>
                        </w:pPr>
                        <w:r w:rsidRPr="00140A0F">
                          <w:rPr>
                            <w:rFonts w:ascii="Times New Roman" w:hAnsi="Times New Roman" w:cs="Times New Roman"/>
                            <w:sz w:val="28"/>
                            <w:szCs w:val="28"/>
                            <w:lang w:val="uk-UA"/>
                          </w:rPr>
                          <w:t>Пріорите</w:t>
                        </w:r>
                        <w:r>
                          <w:rPr>
                            <w:rFonts w:ascii="Times New Roman" w:hAnsi="Times New Roman" w:cs="Times New Roman"/>
                            <w:sz w:val="28"/>
                            <w:szCs w:val="28"/>
                            <w:lang w:val="uk-UA"/>
                          </w:rPr>
                          <w:t>ти</w:t>
                        </w:r>
                        <w:r w:rsidRPr="00140A0F">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забезпечення корпоративної соціальної безпеки</w:t>
                        </w:r>
                      </w:p>
                    </w:txbxContent>
                  </v:textbox>
                </v:rect>
                <v:shape id="AutoShape 7" o:spid="_x0000_s1197" type="#_x0000_t87" style="position:absolute;left:29051;top:30289;width:2477;height:6057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" adj="2160,10550"/>
                <v:rect id="Rectangle 8" o:spid="_x0000_s1198" style="position:absolute;left:1447;top:62090;width:58884;height:2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">
                  <v:textbox inset=",.3mm,,.3mm">
                    <w:txbxContent>
                      <w:p w14:paraId="51BFD8B1" w14:textId="77777777" w:rsidR="00571B42" w:rsidRPr="00140A0F" w:rsidRDefault="00571B42" w:rsidP="00FA0895">
                        <w:pPr>
                          <w:jc w:val="center"/>
                          <w:rPr>
                            <w:rFonts w:ascii="Times New Roman" w:hAnsi="Times New Roman" w:cs="Times New Roman"/>
                            <w:sz w:val="28"/>
                            <w:szCs w:val="28"/>
                            <w:lang w:val="uk-UA"/>
                          </w:rPr>
                        </w:pPr>
                        <w:r w:rsidRPr="00140A0F">
                          <w:rPr>
                            <w:rFonts w:ascii="Times New Roman" w:hAnsi="Times New Roman" w:cs="Times New Roman"/>
                            <w:sz w:val="28"/>
                            <w:szCs w:val="28"/>
                            <w:lang w:val="uk-UA"/>
                          </w:rPr>
                          <w:t xml:space="preserve">Стратегія забезпечення </w:t>
                        </w:r>
                        <w:r>
                          <w:rPr>
                            <w:rFonts w:ascii="Times New Roman" w:hAnsi="Times New Roman" w:cs="Times New Roman"/>
                            <w:sz w:val="28"/>
                            <w:szCs w:val="28"/>
                            <w:lang w:val="uk-UA"/>
                          </w:rPr>
                          <w:t>корпоративної соціальної безпеки</w:t>
                        </w:r>
                      </w:p>
                    </w:txbxContent>
                  </v:textbox>
                </v:rect>
                <v:rect id="Rectangle 9" o:spid="_x0000_s1199" style="position:absolute;left:3543;top:10096;width:23768;height:3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">
                  <v:textbox>
                    <w:txbxContent>
                      <w:p w14:paraId="47E8DDE9" w14:textId="77777777" w:rsidR="00571B42" w:rsidRPr="00140A0F" w:rsidRDefault="00571B42" w:rsidP="00FA089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У сфері </w:t>
                        </w:r>
                        <w:r w:rsidRPr="00140A0F">
                          <w:rPr>
                            <w:rFonts w:ascii="Times New Roman" w:hAnsi="Times New Roman" w:cs="Times New Roman"/>
                            <w:sz w:val="28"/>
                            <w:szCs w:val="28"/>
                            <w:lang w:val="uk-UA"/>
                          </w:rPr>
                          <w:t>зайнятості</w:t>
                        </w:r>
                      </w:p>
                    </w:txbxContent>
                  </v:textbox>
                </v:rect>
                <v:shape id="AutoShape 12" o:spid="_x0000_s1200" type="#_x0000_t67" style="position:absolute;left:13627;top:4682;width:4851;height:4490;rotation:289644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">
                  <v:textbox style="layout-flow:vertical-ideographic"/>
                </v:shape>
                <v:shape id="AutoShape 13" o:spid="_x0000_s1201" type="#_x0000_t67" style="position:absolute;left:40119;top:4694;width:4858;height:4490;rotation:-269400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">
                  <v:textbox style="layout-flow:vertical-ideographic"/>
                </v:shape>
                <v:rect id="Rectangle 14" o:spid="_x0000_s1202" style="position:absolute;left:33985;top:10325;width:22936;height:3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">
                  <v:textbox>
                    <w:txbxContent>
                      <w:p w14:paraId="4B9604CB" w14:textId="77777777" w:rsidR="00571B42" w:rsidRPr="00140A0F" w:rsidRDefault="00571B42" w:rsidP="00FA0895">
                        <w:pPr>
                          <w:jc w:val="center"/>
                          <w:rPr>
                            <w:rFonts w:ascii="Times New Roman" w:hAnsi="Times New Roman" w:cs="Times New Roman"/>
                            <w:sz w:val="28"/>
                            <w:szCs w:val="28"/>
                            <w:lang w:val="uk-UA"/>
                          </w:rPr>
                        </w:pPr>
                        <w:r>
                          <w:rPr>
                            <w:rFonts w:ascii="Times New Roman" w:hAnsi="Times New Roman" w:cs="Times New Roman"/>
                            <w:sz w:val="28"/>
                            <w:szCs w:val="28"/>
                            <w:lang w:val="uk-UA"/>
                          </w:rPr>
                          <w:t>У сфері</w:t>
                        </w:r>
                        <w:r w:rsidRPr="00140A0F">
                          <w:rPr>
                            <w:rFonts w:ascii="Times New Roman" w:hAnsi="Times New Roman" w:cs="Times New Roman"/>
                            <w:sz w:val="28"/>
                            <w:szCs w:val="28"/>
                            <w:lang w:val="uk-UA"/>
                          </w:rPr>
                          <w:t xml:space="preserve"> оплати праці</w:t>
                        </w:r>
                      </w:p>
                    </w:txbxContent>
                  </v:textbox>
                </v:rect>
                <v:rect id="Rectangle 15" o:spid="_x0000_s1203" style="position:absolute;left:3390;top:17272;width:18746;height:5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">
                  <v:textbox>
                    <w:txbxContent>
                      <w:p w14:paraId="5542AEB8" w14:textId="77777777" w:rsidR="00571B42" w:rsidRPr="00140A0F" w:rsidRDefault="00571B42" w:rsidP="00FA0895">
                        <w:pPr>
                          <w:jc w:val="center"/>
                          <w:rPr>
                            <w:rFonts w:ascii="Times New Roman" w:hAnsi="Times New Roman" w:cs="Times New Roman"/>
                            <w:lang w:val="uk-UA"/>
                          </w:rPr>
                        </w:pPr>
                        <w:r>
                          <w:rPr>
                            <w:rFonts w:ascii="Times New Roman" w:hAnsi="Times New Roman" w:cs="Times New Roman"/>
                            <w:spacing w:val="3"/>
                            <w:lang w:val="uk-UA"/>
                          </w:rPr>
                          <w:t xml:space="preserve">Сприяння стабільній зайнятості </w:t>
                        </w:r>
                      </w:p>
                    </w:txbxContent>
                  </v:textbox>
                </v:rect>
                <v:rect id="Rectangle 16" o:spid="_x0000_s1204" style="position:absolute;left:3390;top:25361;width:18746;height:7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">
                  <v:textbox>
                    <w:txbxContent>
                      <w:p w14:paraId="7A35B3EA" w14:textId="77777777" w:rsidR="00571B42" w:rsidRPr="00140A0F" w:rsidRDefault="00571B42" w:rsidP="00FA0895">
                        <w:pPr>
                          <w:jc w:val="center"/>
                          <w:rPr>
                            <w:rFonts w:ascii="Times New Roman" w:hAnsi="Times New Roman" w:cs="Times New Roman"/>
                            <w:lang w:val="uk-UA"/>
                          </w:rPr>
                        </w:pPr>
                        <w:r>
                          <w:rPr>
                            <w:rFonts w:ascii="Times New Roman" w:hAnsi="Times New Roman" w:cs="Times New Roman"/>
                            <w:lang w:val="uk-UA"/>
                          </w:rPr>
                          <w:t>Імплементація нестанлартних форм зайнятості (за можливості)</w:t>
                        </w:r>
                        <w:r w:rsidRPr="00140A0F">
                          <w:rPr>
                            <w:rFonts w:ascii="Times New Roman" w:hAnsi="Times New Roman" w:cs="Times New Roman"/>
                            <w:lang w:val="uk-UA"/>
                          </w:rPr>
                          <w:t xml:space="preserve"> </w:t>
                        </w:r>
                      </w:p>
                    </w:txbxContent>
                  </v:textbox>
                </v:rect>
                <v:rect id="Rectangle 17" o:spid="_x0000_s1205" style="position:absolute;left:38290;top:20345;width:18098;height:7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">
                  <v:textbox inset=",0,,0">
                    <w:txbxContent>
                      <w:p w14:paraId="7944077F"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lang w:val="uk-UA"/>
                          </w:rPr>
                          <w:t>Дотримання соціальних гарантій в оплаті праці</w:t>
                        </w:r>
                        <w:r>
                          <w:rPr>
                            <w:rFonts w:ascii="Times New Roman" w:hAnsi="Times New Roman" w:cs="Times New Roman"/>
                            <w:lang w:val="uk-UA"/>
                          </w:rPr>
                          <w:t>, у тому числі своєчасність виплат</w:t>
                        </w:r>
                      </w:p>
                      <w:p w14:paraId="41E09E21" w14:textId="77777777" w:rsidR="00571B42" w:rsidRPr="00140A0F" w:rsidRDefault="00571B42" w:rsidP="00FA0895">
                        <w:pPr>
                          <w:jc w:val="center"/>
                          <w:rPr>
                            <w:rFonts w:ascii="Times New Roman" w:hAnsi="Times New Roman" w:cs="Times New Roman"/>
                            <w:lang w:val="uk-UA"/>
                          </w:rPr>
                        </w:pPr>
                      </w:p>
                    </w:txbxContent>
                  </v:textbox>
                </v:rect>
                <v:rect id="Rectangle 18" o:spid="_x0000_s1206" style="position:absolute;left:38290;top:29476;width:18098;height:4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">
                  <v:textbox>
                    <w:txbxContent>
                      <w:p w14:paraId="611F2FBA"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spacing w:val="3"/>
                            <w:lang w:val="uk-UA"/>
                          </w:rPr>
                          <w:t>Детінізація</w:t>
                        </w:r>
                        <w:r>
                          <w:rPr>
                            <w:rFonts w:ascii="Times New Roman" w:hAnsi="Times New Roman" w:cs="Times New Roman"/>
                            <w:spacing w:val="3"/>
                            <w:lang w:val="uk-UA"/>
                          </w:rPr>
                          <w:t xml:space="preserve"> </w:t>
                        </w:r>
                        <w:r w:rsidRPr="00140A0F">
                          <w:rPr>
                            <w:rFonts w:ascii="Times New Roman" w:hAnsi="Times New Roman" w:cs="Times New Roman"/>
                            <w:spacing w:val="3"/>
                            <w:lang w:val="uk-UA"/>
                          </w:rPr>
                          <w:t xml:space="preserve">оплати праці </w:t>
                        </w:r>
                      </w:p>
                    </w:txbxContent>
                  </v:textbox>
                </v:rect>
                <v:rect id="Rectangle 19" o:spid="_x0000_s1207" style="position:absolute;left:3314;top:34690;width:18745;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">
                  <v:textbox>
                    <w:txbxContent>
                      <w:p w14:paraId="0476E750" w14:textId="77777777" w:rsidR="00571B42" w:rsidRPr="00140A0F" w:rsidRDefault="00571B42" w:rsidP="00FA0895">
                        <w:pPr>
                          <w:jc w:val="center"/>
                          <w:rPr>
                            <w:rFonts w:ascii="Times New Roman" w:hAnsi="Times New Roman" w:cs="Times New Roman"/>
                            <w:lang w:val="uk-UA"/>
                          </w:rPr>
                        </w:pPr>
                        <w:r>
                          <w:rPr>
                            <w:rFonts w:ascii="Times New Roman" w:hAnsi="Times New Roman" w:cs="Times New Roman"/>
                            <w:spacing w:val="3"/>
                            <w:lang w:val="uk-UA"/>
                          </w:rPr>
                          <w:t>Співпраця із освітньою сферою, участь у спільних проектах</w:t>
                        </w:r>
                        <w:r w:rsidRPr="00140A0F">
                          <w:rPr>
                            <w:rFonts w:ascii="Times New Roman" w:hAnsi="Times New Roman" w:cs="Times New Roman"/>
                            <w:spacing w:val="3"/>
                            <w:lang w:val="uk-UA"/>
                          </w:rPr>
                          <w:t xml:space="preserve"> </w:t>
                        </w:r>
                      </w:p>
                    </w:txbxContent>
                  </v:textbox>
                </v:rect>
                <v:rect id="Rectangle 23" o:spid="_x0000_s1208" style="position:absolute;left:3314;top:43586;width:18745;height:7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">
                  <v:textbox>
                    <w:txbxContent>
                      <w:p w14:paraId="60949B63"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lang w:val="uk-UA"/>
                          </w:rPr>
                          <w:t>Соціальний захист працівників та дотримання гарантій зайнятості</w:t>
                        </w:r>
                      </w:p>
                    </w:txbxContent>
                  </v:textbox>
                </v:rect>
                <v:rect id="Rectangle 24" o:spid="_x0000_s1209" style="position:absolute;left:38290;top:35852;width:18098;height:4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">
                  <v:textbox>
                    <w:txbxContent>
                      <w:p w14:paraId="401A0F10"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lang w:val="uk-UA"/>
                          </w:rPr>
                          <w:t>Дотримання соціальних гарантій в оплаті праці</w:t>
                        </w:r>
                      </w:p>
                    </w:txbxContent>
                  </v:textbox>
                </v:rect>
                <v:rect id="Rectangle 25" o:spid="_x0000_s1210" style="position:absolute;left:3162;top:53174;width:18745;height:3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">
                  <v:textbox>
                    <w:txbxContent>
                      <w:p w14:paraId="42C0BA72"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lang w:val="uk-UA"/>
                          </w:rPr>
                          <w:t>Покращення умов праці</w:t>
                        </w:r>
                      </w:p>
                    </w:txbxContent>
                  </v:textbox>
                </v:rect>
                <v:rect id="Rectangle 26" o:spid="_x0000_s1211" style="position:absolute;left:38290;top:42525;width:18098;height:6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">
                  <v:textbox>
                    <w:txbxContent>
                      <w:p w14:paraId="76BD74E3"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lang w:val="uk-UA"/>
                          </w:rPr>
                          <w:t>Розвиток інтелектуального потенціалу</w:t>
                        </w:r>
                      </w:p>
                    </w:txbxContent>
                  </v:textbox>
                </v: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27" o:spid="_x0000_s1212" type="#_x0000_t69" style="position:absolute;left:27311;top:9588;width:6674;height:48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"/>
                <v:rect id="Rectangle 30" o:spid="_x0000_s1213" style="position:absolute;left:23126;top:19018;width:12948;height:8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">
                  <v:textbox>
                    <w:txbxContent>
                      <w:p w14:paraId="5D3A219F" w14:textId="77777777" w:rsidR="00571B42" w:rsidRPr="00140A0F" w:rsidRDefault="00571B42" w:rsidP="00FA0895">
                        <w:pPr>
                          <w:jc w:val="center"/>
                          <w:rPr>
                            <w:rFonts w:ascii="Times New Roman" w:hAnsi="Times New Roman" w:cs="Times New Roman"/>
                            <w:lang w:val="uk-UA"/>
                          </w:rPr>
                        </w:pPr>
                        <w:r w:rsidRPr="00140A0F">
                          <w:rPr>
                            <w:rFonts w:ascii="Times New Roman" w:hAnsi="Times New Roman" w:cs="Times New Roman"/>
                            <w:spacing w:val="3"/>
                            <w:lang w:val="uk-UA"/>
                          </w:rPr>
                          <w:t xml:space="preserve">Формування системи </w:t>
                        </w:r>
                        <w:r>
                          <w:rPr>
                            <w:rFonts w:ascii="Times New Roman" w:hAnsi="Times New Roman" w:cs="Times New Roman"/>
                            <w:spacing w:val="3"/>
                            <w:lang w:val="uk-UA"/>
                          </w:rPr>
                          <w:t xml:space="preserve">корпоративного </w:t>
                        </w:r>
                        <w:r w:rsidRPr="00140A0F">
                          <w:rPr>
                            <w:rFonts w:ascii="Times New Roman" w:hAnsi="Times New Roman" w:cs="Times New Roman"/>
                            <w:spacing w:val="3"/>
                            <w:lang w:val="uk-UA"/>
                          </w:rPr>
                          <w:t xml:space="preserve">моніторингу </w:t>
                        </w:r>
                      </w:p>
                    </w:txbxContent>
                  </v:textbox>
                </v:rect>
                <v:shape id="AutoShape 31" o:spid="_x0000_s1214" type="#_x0000_t32" style="position:absolute;left:1352;top:11957;width:2191;height: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"/>
                <v:shape id="AutoShape 32" o:spid="_x0000_s1215" type="#_x0000_t32" style="position:absolute;left:1123;top:12039;width:7;height:430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"/>
                <v:shape id="AutoShape 33" o:spid="_x0000_s1216" type="#_x0000_t13" style="position:absolute;left:1206;top:18643;width:2184;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"/>
                <v:shape id="AutoShape 34" o:spid="_x0000_s1217" type="#_x0000_t13" style="position:absolute;left:1130;top:27793;width:2184;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"/>
                <v:shape id="AutoShape 35" o:spid="_x0000_s1218" type="#_x0000_t13" style="position:absolute;left:1206;top:35566;width:2184;height:2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"/>
                <v:shape id="AutoShape 36" o:spid="_x0000_s1219" type="#_x0000_t13" style="position:absolute;left:1206;top:45777;width:2184;height:27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"/>
                <v:shape id="AutoShape 38" o:spid="_x0000_s1220" type="#_x0000_t13" style="position:absolute;left:1130;top:53701;width:2184;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"/>
                <v:shape id="AutoShape 41" o:spid="_x0000_s1221" type="#_x0000_t32" style="position:absolute;left:56921;top:12185;width:2172;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"/>
                <v:shape id="AutoShape 42" o:spid="_x0000_s1222" type="#_x0000_t32" style="position:absolute;left:59093;top:12268;width:0;height:338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"/>
                <v:shape id="AutoShape 43" o:spid="_x0000_s1223" type="#_x0000_t13" style="position:absolute;left:56388;top:22225;width:2171;height:3340;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"/>
                <v:shape id="AutoShape 44" o:spid="_x0000_s1224" type="#_x0000_t13" style="position:absolute;left:56692;top:30327;width:2172;height:3340;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"/>
                <v:shape id="AutoShape 45" o:spid="_x0000_s1225" type="#_x0000_t13" style="position:absolute;left:56692;top:35947;width:2172;height:3340;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"/>
                <v:shape id="AutoShape 46" o:spid="_x0000_s1226" type="#_x0000_t13" style="position:absolute;left:56845;top:43776;width:2171;height:3334;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"/>
                <v:shape id="AutoShape 47" o:spid="_x0000_s1227" type="#_x0000_t13" style="position:absolute;left:22180;top:14890;width:3512;height:2769;rotation:334037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"/>
                <v:shape id="AutoShape 48" o:spid="_x0000_s1228" type="#_x0000_t13" style="position:absolute;left:32721;top:14895;width:3511;height:2768;rotation:818951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"/>
                <w10:anchorlock/>
              </v:group>
            </w:pict>
          </mc:Fallback>
        </mc:AlternateContent>
      </w:r>
    </w:p>
    <w:p w14:paraId="2941B849" w14:textId="77777777" w:rsidR="00FA0895" w:rsidRPr="005F0419" w:rsidRDefault="00FA0895" w:rsidP="00FA0895">
      <w:pPr>
        <w:shd w:val="clear" w:color="auto" w:fill="FFFFFF"/>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6. Пріоритети забезпечення корпоративної соціальної безпеки</w:t>
      </w:r>
    </w:p>
    <w:p w14:paraId="594795C5" w14:textId="7BEAA048" w:rsidR="00FA0895" w:rsidRPr="005F0419" w:rsidRDefault="00FA0895" w:rsidP="00FA0895">
      <w:pPr>
        <w:shd w:val="clear" w:color="auto" w:fill="FFFFFF"/>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розробка автора.</w:t>
      </w:r>
    </w:p>
    <w:p w14:paraId="161589D2" w14:textId="77777777" w:rsidR="00FA0895" w:rsidRPr="005F0419" w:rsidRDefault="00FA0895" w:rsidP="00662012">
      <w:pPr>
        <w:spacing w:after="0" w:line="360" w:lineRule="auto"/>
        <w:ind w:firstLine="720"/>
        <w:jc w:val="both"/>
        <w:rPr>
          <w:rFonts w:ascii="Times New Roman" w:hAnsi="Times New Roman" w:cs="Times New Roman"/>
          <w:sz w:val="28"/>
          <w:szCs w:val="28"/>
          <w:lang w:val="uk-UA"/>
        </w:rPr>
      </w:pPr>
    </w:p>
    <w:p w14:paraId="0141D2C3" w14:textId="77777777" w:rsidR="007D4366" w:rsidRPr="005F0419" w:rsidRDefault="007D4366" w:rsidP="007D4366">
      <w:pPr>
        <w:shd w:val="clear" w:color="auto" w:fill="FFFFFF"/>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Запропоновані стратегічні пріоритети забезпечення корпоративної соціальної безпеки формуються на основі таких ключових цілей, як: збалансованість соціально-трудових відносин; підвищення ефективності </w:t>
      </w:r>
      <w:r w:rsidRPr="005F0419">
        <w:rPr>
          <w:rFonts w:ascii="Times New Roman" w:hAnsi="Times New Roman" w:cs="Times New Roman"/>
          <w:sz w:val="28"/>
          <w:szCs w:val="28"/>
          <w:lang w:val="uk-UA"/>
        </w:rPr>
        <w:lastRenderedPageBreak/>
        <w:t>відносин зайнятості; підвищення ефективності організації оплати праці, добробут працівників.</w:t>
      </w:r>
    </w:p>
    <w:p w14:paraId="553F4513"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Задля досягнення вищезазначених цілей на рівні суб’єктів господарювання пропонуємо наступні заходи:</w:t>
      </w:r>
    </w:p>
    <w:p w14:paraId="7749D99E"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співпраця із закладами освіти;</w:t>
      </w:r>
    </w:p>
    <w:p w14:paraId="672E8765"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орієнтація на використання трудового потенціалу молоді з метою посилення інноваційної складової;</w:t>
      </w:r>
    </w:p>
    <w:p w14:paraId="7F0D1769"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недопущення до роботи працівників без офіційного оформлення;</w:t>
      </w:r>
    </w:p>
    <w:p w14:paraId="344822A9"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формування ефективної системи мотивації праці;</w:t>
      </w:r>
    </w:p>
    <w:p w14:paraId="4E668FA0"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застосування нестандартних форм праці (за необхідності);</w:t>
      </w:r>
    </w:p>
    <w:p w14:paraId="4FA0CBFC"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використання системи наставництва та професійного </w:t>
      </w:r>
      <w:proofErr w:type="spellStart"/>
      <w:r w:rsidRPr="005F0419">
        <w:rPr>
          <w:rFonts w:ascii="Times New Roman" w:hAnsi="Times New Roman" w:cs="Times New Roman"/>
          <w:sz w:val="28"/>
          <w:szCs w:val="28"/>
          <w:lang w:val="uk-UA"/>
        </w:rPr>
        <w:t>коучингу</w:t>
      </w:r>
      <w:proofErr w:type="spellEnd"/>
      <w:r w:rsidRPr="005F0419">
        <w:rPr>
          <w:rFonts w:ascii="Times New Roman" w:hAnsi="Times New Roman" w:cs="Times New Roman"/>
          <w:sz w:val="28"/>
          <w:szCs w:val="28"/>
          <w:lang w:val="uk-UA"/>
        </w:rPr>
        <w:t xml:space="preserve"> для передачі досвіду старших працівників молоді;</w:t>
      </w:r>
    </w:p>
    <w:p w14:paraId="66BE5ABC" w14:textId="77777777" w:rsidR="007D4366" w:rsidRPr="005F0419" w:rsidRDefault="007D4366" w:rsidP="007D436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адаптоване навчання осіб старшого віку та підвищення їх кваліфікації;</w:t>
      </w:r>
    </w:p>
    <w:p w14:paraId="57F026CF" w14:textId="032AA556"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застосування гнучких режимів роботи (зокрема, для осіб старшого віку), оптимізація режимів праці та відпочинку;</w:t>
      </w:r>
    </w:p>
    <w:p w14:paraId="330DC025"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високоякісне технологічне оснащення та запобігання нещасним випадкам на виробництві за допомогою посилення заходів з техніки безпеки;</w:t>
      </w:r>
    </w:p>
    <w:p w14:paraId="31912954"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медичне страхування;</w:t>
      </w:r>
    </w:p>
    <w:p w14:paraId="28EB45D9"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моніторинг безпеки відносин зайнятості</w:t>
      </w:r>
    </w:p>
    <w:p w14:paraId="64E35080"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формування системи оплати праці з урахуванням принципу соціальної справедливості;</w:t>
      </w:r>
    </w:p>
    <w:p w14:paraId="7F9420F4"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забезпечення зв’язку результатів та оплати праці;</w:t>
      </w:r>
    </w:p>
    <w:p w14:paraId="70C12467"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проведення мотиваційних конкурсів за типом «Кращий працівник» із подальшим матеріальним заохоченням;</w:t>
      </w:r>
    </w:p>
    <w:p w14:paraId="3C9E75AF"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преміювання за </w:t>
      </w:r>
      <w:proofErr w:type="spellStart"/>
      <w:r w:rsidRPr="005F0419">
        <w:rPr>
          <w:rFonts w:ascii="Times New Roman" w:hAnsi="Times New Roman" w:cs="Times New Roman"/>
          <w:sz w:val="28"/>
          <w:szCs w:val="28"/>
          <w:lang w:val="uk-UA"/>
        </w:rPr>
        <w:t>інноваційність</w:t>
      </w:r>
      <w:proofErr w:type="spellEnd"/>
      <w:r w:rsidRPr="005F0419">
        <w:rPr>
          <w:rFonts w:ascii="Times New Roman" w:hAnsi="Times New Roman" w:cs="Times New Roman"/>
          <w:sz w:val="28"/>
          <w:szCs w:val="28"/>
          <w:lang w:val="uk-UA"/>
        </w:rPr>
        <w:t>;</w:t>
      </w:r>
    </w:p>
    <w:p w14:paraId="26159491"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недопущення заборгованості із виплати заробітної плати;</w:t>
      </w:r>
    </w:p>
    <w:p w14:paraId="24F137EC"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моніторинг безпеки оплати праці.</w:t>
      </w:r>
    </w:p>
    <w:p w14:paraId="54FB29E1"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результаті врахування запропонованих заходів очікується: зростання рівня збалансованості соціально-трудових відносин; підвищення ефективності відносин зайнятості;  підвищення ефективності організації оплати праці, </w:t>
      </w:r>
      <w:r w:rsidRPr="005F0419">
        <w:rPr>
          <w:rFonts w:ascii="Times New Roman" w:hAnsi="Times New Roman" w:cs="Times New Roman"/>
          <w:sz w:val="28"/>
          <w:szCs w:val="28"/>
          <w:lang w:val="uk-UA"/>
        </w:rPr>
        <w:lastRenderedPageBreak/>
        <w:t xml:space="preserve">зростання рівня корпоративної соціальної безпеки. Враховуючи воєнні реалії сьогодення, не всі запропоновані заходи можна </w:t>
      </w:r>
      <w:proofErr w:type="spellStart"/>
      <w:r w:rsidRPr="005F0419">
        <w:rPr>
          <w:rFonts w:ascii="Times New Roman" w:hAnsi="Times New Roman" w:cs="Times New Roman"/>
          <w:sz w:val="28"/>
          <w:szCs w:val="28"/>
          <w:lang w:val="uk-UA"/>
        </w:rPr>
        <w:t>імплементувати</w:t>
      </w:r>
      <w:proofErr w:type="spellEnd"/>
      <w:r w:rsidRPr="005F0419">
        <w:rPr>
          <w:rFonts w:ascii="Times New Roman" w:hAnsi="Times New Roman" w:cs="Times New Roman"/>
          <w:sz w:val="28"/>
          <w:szCs w:val="28"/>
          <w:lang w:val="uk-UA"/>
        </w:rPr>
        <w:t xml:space="preserve"> у діяльність суб’єктів господарювання. У той же час, визначені пріоритети стратегії забезпечення корпоративної безпеки мають стати ключовим чинником післявоєнного відновлення та формувати міцний фундамент функціонування бізнес-сфери на перспективу. </w:t>
      </w:r>
    </w:p>
    <w:p w14:paraId="42829213" w14:textId="77777777" w:rsidR="0000167A" w:rsidRPr="005F0419" w:rsidRDefault="0000167A" w:rsidP="00662012">
      <w:pPr>
        <w:spacing w:after="0" w:line="360" w:lineRule="auto"/>
        <w:ind w:firstLine="720"/>
        <w:jc w:val="center"/>
        <w:rPr>
          <w:rFonts w:ascii="Times New Roman" w:hAnsi="Times New Roman" w:cs="Times New Roman"/>
          <w:b/>
          <w:bCs/>
          <w:sz w:val="28"/>
          <w:szCs w:val="28"/>
          <w:lang w:val="uk-UA"/>
        </w:rPr>
      </w:pPr>
    </w:p>
    <w:p w14:paraId="262ACDFA" w14:textId="77777777" w:rsidR="0000167A" w:rsidRPr="005F0419" w:rsidRDefault="0000167A" w:rsidP="00662012">
      <w:pPr>
        <w:spacing w:after="0" w:line="360" w:lineRule="auto"/>
        <w:ind w:firstLine="720"/>
        <w:jc w:val="center"/>
        <w:rPr>
          <w:rFonts w:ascii="Times New Roman" w:hAnsi="Times New Roman" w:cs="Times New Roman"/>
          <w:b/>
          <w:bCs/>
          <w:sz w:val="28"/>
          <w:szCs w:val="28"/>
          <w:lang w:val="uk-UA"/>
        </w:rPr>
      </w:pPr>
      <w:bookmarkStart w:id="3" w:name="_Hlk160900545"/>
      <w:r w:rsidRPr="005F0419">
        <w:rPr>
          <w:rFonts w:ascii="Times New Roman" w:hAnsi="Times New Roman" w:cs="Times New Roman"/>
          <w:b/>
          <w:bCs/>
          <w:sz w:val="28"/>
          <w:szCs w:val="28"/>
          <w:lang w:val="uk-UA"/>
        </w:rPr>
        <w:t>Список використаних джерел</w:t>
      </w:r>
    </w:p>
    <w:bookmarkEnd w:id="3"/>
    <w:p w14:paraId="75C026E7" w14:textId="598D3951" w:rsidR="0000167A" w:rsidRPr="005F0419" w:rsidRDefault="00FA0895" w:rsidP="00FA0895">
      <w:pPr>
        <w:spacing w:after="0" w:line="360" w:lineRule="auto"/>
        <w:ind w:firstLine="720"/>
        <w:jc w:val="both"/>
        <w:rPr>
          <w:rStyle w:val="a6"/>
          <w:rFonts w:ascii="Times New Roman" w:hAnsi="Times New Roman" w:cs="Times New Roman"/>
          <w:color w:val="auto"/>
          <w:sz w:val="28"/>
          <w:szCs w:val="28"/>
          <w:lang w:val="uk-UA"/>
        </w:rPr>
      </w:pPr>
      <w:r w:rsidRPr="005F0419">
        <w:rPr>
          <w:rFonts w:ascii="Times New Roman" w:hAnsi="Times New Roman" w:cs="Times New Roman"/>
          <w:sz w:val="28"/>
          <w:szCs w:val="28"/>
          <w:lang w:val="uk-UA"/>
        </w:rPr>
        <w:t xml:space="preserve">1. </w:t>
      </w:r>
      <w:proofErr w:type="spellStart"/>
      <w:r w:rsidR="0000167A" w:rsidRPr="005F0419">
        <w:rPr>
          <w:rFonts w:ascii="Times New Roman" w:hAnsi="Times New Roman" w:cs="Times New Roman"/>
          <w:sz w:val="28"/>
          <w:szCs w:val="28"/>
          <w:lang w:val="uk-UA"/>
        </w:rPr>
        <w:t>Бондаревська</w:t>
      </w:r>
      <w:proofErr w:type="spellEnd"/>
      <w:r w:rsidR="0000167A" w:rsidRPr="005F0419">
        <w:rPr>
          <w:rFonts w:ascii="Times New Roman" w:hAnsi="Times New Roman" w:cs="Times New Roman"/>
          <w:sz w:val="28"/>
          <w:szCs w:val="28"/>
          <w:lang w:val="uk-UA"/>
        </w:rPr>
        <w:t xml:space="preserve"> К.В. Стратегія забезпечення соціальної безпеки на ринку праці України. Дисертація на здобуття </w:t>
      </w:r>
      <w:proofErr w:type="spellStart"/>
      <w:r w:rsidR="0000167A" w:rsidRPr="005F0419">
        <w:rPr>
          <w:rFonts w:ascii="Times New Roman" w:hAnsi="Times New Roman" w:cs="Times New Roman"/>
          <w:sz w:val="28"/>
          <w:szCs w:val="28"/>
          <w:lang w:val="uk-UA"/>
        </w:rPr>
        <w:t>наук.ступеня</w:t>
      </w:r>
      <w:proofErr w:type="spellEnd"/>
      <w:r w:rsidR="0000167A" w:rsidRPr="005F0419">
        <w:rPr>
          <w:rFonts w:ascii="Times New Roman" w:hAnsi="Times New Roman" w:cs="Times New Roman"/>
          <w:sz w:val="28"/>
          <w:szCs w:val="28"/>
          <w:lang w:val="uk-UA"/>
        </w:rPr>
        <w:t xml:space="preserve"> д-ра </w:t>
      </w:r>
      <w:proofErr w:type="spellStart"/>
      <w:r w:rsidR="0000167A" w:rsidRPr="005F0419">
        <w:rPr>
          <w:rFonts w:ascii="Times New Roman" w:hAnsi="Times New Roman" w:cs="Times New Roman"/>
          <w:sz w:val="28"/>
          <w:szCs w:val="28"/>
          <w:lang w:val="uk-UA"/>
        </w:rPr>
        <w:t>екон.наук</w:t>
      </w:r>
      <w:proofErr w:type="spellEnd"/>
      <w:r w:rsidR="0000167A" w:rsidRPr="005F0419">
        <w:rPr>
          <w:rFonts w:ascii="Times New Roman" w:hAnsi="Times New Roman" w:cs="Times New Roman"/>
          <w:sz w:val="28"/>
          <w:szCs w:val="28"/>
          <w:lang w:val="uk-UA"/>
        </w:rPr>
        <w:t xml:space="preserve">, Вінниця: </w:t>
      </w:r>
      <w:proofErr w:type="spellStart"/>
      <w:r w:rsidR="0000167A" w:rsidRPr="005F0419">
        <w:rPr>
          <w:rFonts w:ascii="Times New Roman" w:hAnsi="Times New Roman" w:cs="Times New Roman"/>
          <w:sz w:val="28"/>
          <w:szCs w:val="28"/>
          <w:lang w:val="uk-UA"/>
        </w:rPr>
        <w:t>ДонНУ</w:t>
      </w:r>
      <w:proofErr w:type="spellEnd"/>
      <w:r w:rsidR="0000167A" w:rsidRPr="005F0419">
        <w:rPr>
          <w:rFonts w:ascii="Times New Roman" w:hAnsi="Times New Roman" w:cs="Times New Roman"/>
          <w:sz w:val="28"/>
          <w:szCs w:val="28"/>
          <w:lang w:val="uk-UA"/>
        </w:rPr>
        <w:t xml:space="preserve"> імені Василя Стуса, 2021.</w:t>
      </w:r>
      <w:hyperlink r:id="rId19" w:history="1">
        <w:r w:rsidR="0000167A" w:rsidRPr="005F0419">
          <w:rPr>
            <w:rStyle w:val="a6"/>
            <w:rFonts w:ascii="Times New Roman" w:hAnsi="Times New Roman" w:cs="Times New Roman"/>
            <w:color w:val="auto"/>
            <w:sz w:val="28"/>
            <w:szCs w:val="28"/>
            <w:lang w:val="uk-UA"/>
          </w:rPr>
          <w:t>https://abstracts.donnu.edu.ua/article/view/9734</w:t>
        </w:r>
      </w:hyperlink>
    </w:p>
    <w:p w14:paraId="67A169F2" w14:textId="4CFC4EEE" w:rsidR="0000167A" w:rsidRPr="005F0419" w:rsidRDefault="00FA0895" w:rsidP="00FA0895">
      <w:pPr>
        <w:spacing w:after="0" w:line="360" w:lineRule="auto"/>
        <w:ind w:firstLine="720"/>
        <w:jc w:val="both"/>
        <w:rPr>
          <w:rStyle w:val="a6"/>
          <w:rFonts w:ascii="Times New Roman" w:hAnsi="Times New Roman" w:cs="Times New Roman"/>
          <w:color w:val="auto"/>
          <w:sz w:val="28"/>
          <w:szCs w:val="28"/>
          <w:lang w:val="uk-UA"/>
        </w:rPr>
      </w:pPr>
      <w:r w:rsidRPr="005F0419">
        <w:rPr>
          <w:rFonts w:ascii="Times New Roman" w:eastAsia="Times New Roman" w:hAnsi="Times New Roman" w:cs="Times New Roman"/>
          <w:sz w:val="28"/>
          <w:szCs w:val="28"/>
          <w:lang w:val="uk-UA"/>
        </w:rPr>
        <w:t xml:space="preserve">2. </w:t>
      </w:r>
      <w:r w:rsidR="0000167A" w:rsidRPr="005F0419">
        <w:rPr>
          <w:rFonts w:ascii="Times New Roman" w:eastAsia="Times New Roman" w:hAnsi="Times New Roman" w:cs="Times New Roman"/>
          <w:sz w:val="28"/>
          <w:szCs w:val="28"/>
          <w:lang w:val="uk-UA"/>
        </w:rPr>
        <w:t xml:space="preserve">Праця України у 2021 році. Державна служба статистики України. 2022. URL: </w:t>
      </w:r>
      <w:hyperlink r:id="rId20" w:history="1">
        <w:r w:rsidRPr="005F0419">
          <w:rPr>
            <w:rStyle w:val="a6"/>
            <w:rFonts w:ascii="Times New Roman" w:hAnsi="Times New Roman" w:cs="Times New Roman"/>
            <w:color w:val="auto"/>
            <w:sz w:val="28"/>
            <w:szCs w:val="28"/>
            <w:lang w:val="uk-UA"/>
          </w:rPr>
          <w:t>http://surl.li/ralob</w:t>
        </w:r>
      </w:hyperlink>
      <w:r w:rsidRPr="005F0419">
        <w:rPr>
          <w:lang w:val="uk-UA"/>
        </w:rPr>
        <w:t xml:space="preserve"> </w:t>
      </w:r>
    </w:p>
    <w:p w14:paraId="366A56D6" w14:textId="49BC9F47" w:rsidR="0000167A" w:rsidRPr="005F0419" w:rsidRDefault="00FA0895" w:rsidP="00FA0895">
      <w:pPr>
        <w:spacing w:after="0" w:line="360" w:lineRule="auto"/>
        <w:ind w:firstLine="720"/>
        <w:jc w:val="both"/>
        <w:rPr>
          <w:rFonts w:ascii="Times New Roman" w:hAnsi="Times New Roman" w:cs="Times New Roman"/>
          <w:sz w:val="28"/>
          <w:szCs w:val="28"/>
          <w:lang w:val="uk-UA"/>
        </w:rPr>
      </w:pPr>
      <w:r w:rsidRPr="005F0419">
        <w:rPr>
          <w:rFonts w:ascii="Times New Roman" w:eastAsia="CenturySchoolbook" w:hAnsi="Times New Roman" w:cs="Times New Roman"/>
          <w:sz w:val="28"/>
          <w:szCs w:val="28"/>
          <w:lang w:val="uk-UA"/>
        </w:rPr>
        <w:t xml:space="preserve">3. </w:t>
      </w:r>
      <w:proofErr w:type="spellStart"/>
      <w:r w:rsidR="0000167A" w:rsidRPr="005F0419">
        <w:rPr>
          <w:rFonts w:ascii="Times New Roman" w:eastAsia="CenturySchoolbook" w:hAnsi="Times New Roman" w:cs="Times New Roman"/>
          <w:sz w:val="28"/>
          <w:szCs w:val="28"/>
          <w:lang w:val="uk-UA"/>
        </w:rPr>
        <w:t>Бондаревська</w:t>
      </w:r>
      <w:proofErr w:type="spellEnd"/>
      <w:r w:rsidR="0000167A" w:rsidRPr="005F0419">
        <w:rPr>
          <w:rFonts w:ascii="Times New Roman" w:eastAsia="CenturySchoolbook" w:hAnsi="Times New Roman" w:cs="Times New Roman"/>
          <w:sz w:val="28"/>
          <w:szCs w:val="28"/>
          <w:lang w:val="uk-UA"/>
        </w:rPr>
        <w:t xml:space="preserve"> К.В. </w:t>
      </w:r>
      <w:r w:rsidR="0000167A" w:rsidRPr="005F0419">
        <w:rPr>
          <w:rFonts w:ascii="Times New Roman" w:hAnsi="Times New Roman" w:cs="Times New Roman"/>
          <w:sz w:val="28"/>
          <w:szCs w:val="28"/>
          <w:lang w:val="uk-UA"/>
        </w:rPr>
        <w:t>Ключові загрози та перспективи підтримки соціальної безпеки на ринку праці України. Економіка і організація управління. 2021. №3 (43). С. 55-72.</w:t>
      </w:r>
    </w:p>
    <w:p w14:paraId="28921521" w14:textId="4FCFB774" w:rsidR="0000167A" w:rsidRPr="005F0419" w:rsidRDefault="00FA0895" w:rsidP="00FA089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 </w:t>
      </w:r>
      <w:proofErr w:type="spellStart"/>
      <w:r w:rsidR="0000167A" w:rsidRPr="005F0419">
        <w:rPr>
          <w:rFonts w:ascii="Times New Roman" w:hAnsi="Times New Roman" w:cs="Times New Roman"/>
          <w:sz w:val="28"/>
          <w:szCs w:val="28"/>
          <w:lang w:val="uk-UA"/>
        </w:rPr>
        <w:t>Bondarevska</w:t>
      </w:r>
      <w:proofErr w:type="spellEnd"/>
      <w:r w:rsidR="0000167A" w:rsidRPr="005F0419">
        <w:rPr>
          <w:rFonts w:ascii="Times New Roman" w:hAnsi="Times New Roman" w:cs="Times New Roman"/>
          <w:sz w:val="28"/>
          <w:szCs w:val="28"/>
          <w:lang w:val="uk-UA"/>
        </w:rPr>
        <w:t xml:space="preserve"> K.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Development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Innovative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Forms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Population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Employment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Perspective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Direction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Overcoming</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Risks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Unemployment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Ukraine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Sustainable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Development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Modern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Theories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Best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Practices</w:t>
      </w:r>
      <w:proofErr w:type="spellEnd"/>
      <w:r w:rsidR="0000167A" w:rsidRPr="005F0419">
        <w:rPr>
          <w:rFonts w:ascii="Times New Roman" w:hAnsi="Times New Roman" w:cs="Times New Roman"/>
          <w:sz w:val="28"/>
          <w:szCs w:val="28"/>
          <w:lang w:val="uk-UA"/>
        </w:rPr>
        <w:t xml:space="preserve"> : </w:t>
      </w:r>
      <w:proofErr w:type="spellStart"/>
      <w:r w:rsidR="0000167A" w:rsidRPr="005F0419">
        <w:rPr>
          <w:rFonts w:ascii="Times New Roman" w:hAnsi="Times New Roman" w:cs="Times New Roman"/>
          <w:sz w:val="28"/>
          <w:szCs w:val="28"/>
          <w:lang w:val="uk-UA"/>
        </w:rPr>
        <w:t>Materials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Monthly</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International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Scientific</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Practical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Conference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November</w:t>
      </w:r>
      <w:proofErr w:type="spellEnd"/>
      <w:r w:rsidR="0000167A" w:rsidRPr="005F0419">
        <w:rPr>
          <w:rFonts w:ascii="Times New Roman" w:hAnsi="Times New Roman" w:cs="Times New Roman"/>
          <w:sz w:val="28"/>
          <w:szCs w:val="28"/>
          <w:lang w:val="uk-UA"/>
        </w:rPr>
        <w:t xml:space="preserve"> 10-11, 2022).</w:t>
      </w:r>
      <w:proofErr w:type="spellStart"/>
      <w:r w:rsidR="0000167A" w:rsidRPr="005F0419">
        <w:rPr>
          <w:rFonts w:ascii="Times New Roman" w:hAnsi="Times New Roman" w:cs="Times New Roman"/>
          <w:sz w:val="28"/>
          <w:szCs w:val="28"/>
          <w:lang w:val="uk-UA"/>
        </w:rPr>
        <w:t>Teadmus</w:t>
      </w:r>
      <w:proofErr w:type="spellEnd"/>
      <w:r w:rsidR="0000167A" w:rsidRPr="005F0419">
        <w:rPr>
          <w:rFonts w:ascii="Times New Roman" w:hAnsi="Times New Roman" w:cs="Times New Roman"/>
          <w:sz w:val="28"/>
          <w:szCs w:val="28"/>
          <w:lang w:val="uk-UA"/>
        </w:rPr>
        <w:t xml:space="preserve"> OÜ, 2022, Р. 12-14.</w:t>
      </w:r>
    </w:p>
    <w:p w14:paraId="07414E1C" w14:textId="77EEF0DB" w:rsidR="0000167A" w:rsidRPr="005F0419" w:rsidRDefault="00FA0895" w:rsidP="00FA0895">
      <w:pPr>
        <w:spacing w:after="0" w:line="360" w:lineRule="auto"/>
        <w:ind w:firstLine="720"/>
        <w:jc w:val="both"/>
        <w:rPr>
          <w:rStyle w:val="a6"/>
          <w:rFonts w:ascii="Times New Roman" w:hAnsi="Times New Roman" w:cs="Times New Roman"/>
          <w:color w:val="auto"/>
          <w:sz w:val="28"/>
          <w:szCs w:val="28"/>
          <w:lang w:val="uk-UA"/>
        </w:rPr>
      </w:pPr>
      <w:r w:rsidRPr="005F0419">
        <w:rPr>
          <w:rFonts w:ascii="Times New Roman" w:hAnsi="Times New Roman" w:cs="Times New Roman"/>
          <w:sz w:val="28"/>
          <w:szCs w:val="28"/>
          <w:lang w:val="uk-UA"/>
        </w:rPr>
        <w:t xml:space="preserve">5. </w:t>
      </w:r>
      <w:proofErr w:type="spellStart"/>
      <w:r w:rsidR="0000167A" w:rsidRPr="005F0419">
        <w:rPr>
          <w:rFonts w:ascii="Times New Roman" w:hAnsi="Times New Roman" w:cs="Times New Roman"/>
          <w:sz w:val="28"/>
          <w:szCs w:val="28"/>
          <w:lang w:val="uk-UA"/>
        </w:rPr>
        <w:t>Красильщиков</w:t>
      </w:r>
      <w:proofErr w:type="spellEnd"/>
      <w:r w:rsidR="0000167A" w:rsidRPr="005F0419">
        <w:rPr>
          <w:rFonts w:ascii="Times New Roman" w:hAnsi="Times New Roman" w:cs="Times New Roman"/>
          <w:sz w:val="28"/>
          <w:szCs w:val="28"/>
          <w:lang w:val="uk-UA"/>
        </w:rPr>
        <w:t xml:space="preserve"> А. Л. Захист трудових прав працюючих за умов нестандартної зайнятості: нормативно-правове забезпечення. URL: </w:t>
      </w:r>
      <w:hyperlink r:id="rId21" w:history="1">
        <w:r w:rsidR="0000167A" w:rsidRPr="005F0419">
          <w:rPr>
            <w:rStyle w:val="a6"/>
            <w:rFonts w:ascii="Times New Roman" w:hAnsi="Times New Roman" w:cs="Times New Roman"/>
            <w:color w:val="auto"/>
            <w:sz w:val="28"/>
            <w:szCs w:val="28"/>
            <w:lang w:val="uk-UA"/>
          </w:rPr>
          <w:t>https://dse.org.ua/arhcive/15/12.pdf</w:t>
        </w:r>
      </w:hyperlink>
    </w:p>
    <w:p w14:paraId="6F5E47B5" w14:textId="54476DFC" w:rsidR="0000167A" w:rsidRPr="005F0419" w:rsidRDefault="00FA0895" w:rsidP="00FA0895">
      <w:pPr>
        <w:spacing w:after="0" w:line="360" w:lineRule="auto"/>
        <w:ind w:firstLine="720"/>
        <w:jc w:val="both"/>
        <w:rPr>
          <w:rStyle w:val="a6"/>
          <w:rFonts w:ascii="Times New Roman" w:hAnsi="Times New Roman" w:cs="Times New Roman"/>
          <w:color w:val="auto"/>
          <w:sz w:val="28"/>
          <w:szCs w:val="28"/>
          <w:lang w:val="uk-UA"/>
        </w:rPr>
      </w:pPr>
      <w:r w:rsidRPr="005F0419">
        <w:rPr>
          <w:rFonts w:ascii="Times New Roman" w:hAnsi="Times New Roman" w:cs="Times New Roman"/>
          <w:sz w:val="28"/>
          <w:szCs w:val="28"/>
          <w:shd w:val="clear" w:color="auto" w:fill="FFFFFF"/>
          <w:lang w:val="uk-UA"/>
        </w:rPr>
        <w:t xml:space="preserve">6. </w:t>
      </w:r>
      <w:r w:rsidR="0000167A" w:rsidRPr="005F0419">
        <w:rPr>
          <w:rFonts w:ascii="Times New Roman" w:hAnsi="Times New Roman" w:cs="Times New Roman"/>
          <w:sz w:val="28"/>
          <w:szCs w:val="28"/>
          <w:shd w:val="clear" w:color="auto" w:fill="FFFFFF"/>
          <w:lang w:val="uk-UA"/>
        </w:rPr>
        <w:t xml:space="preserve">Як пандемія та війни вплинули на дистанційну роботу: аналіз ринку 2019-2022. URL: </w:t>
      </w:r>
      <w:hyperlink r:id="rId22" w:history="1">
        <w:r w:rsidR="0000167A" w:rsidRPr="005F0419">
          <w:rPr>
            <w:rStyle w:val="a6"/>
            <w:rFonts w:ascii="Times New Roman" w:hAnsi="Times New Roman" w:cs="Times New Roman"/>
            <w:color w:val="auto"/>
            <w:sz w:val="28"/>
            <w:szCs w:val="28"/>
            <w:shd w:val="clear" w:color="auto" w:fill="FFFFFF"/>
            <w:lang w:val="uk-UA"/>
          </w:rPr>
          <w:t>https://www.work.ua/news/ukraine/2172/</w:t>
        </w:r>
      </w:hyperlink>
    </w:p>
    <w:p w14:paraId="0EF1EC29" w14:textId="280A5095" w:rsidR="0000167A" w:rsidRPr="005F0419" w:rsidRDefault="00FA0895" w:rsidP="00FA0895">
      <w:pPr>
        <w:spacing w:after="0" w:line="360" w:lineRule="auto"/>
        <w:ind w:firstLine="720"/>
        <w:jc w:val="both"/>
        <w:rPr>
          <w:rStyle w:val="a6"/>
          <w:rFonts w:ascii="Times New Roman" w:hAnsi="Times New Roman" w:cs="Times New Roman"/>
          <w:color w:val="auto"/>
          <w:sz w:val="28"/>
          <w:szCs w:val="28"/>
          <w:lang w:val="uk-UA"/>
        </w:rPr>
      </w:pPr>
      <w:r w:rsidRPr="005F0419">
        <w:rPr>
          <w:rFonts w:ascii="Times New Roman" w:hAnsi="Times New Roman" w:cs="Times New Roman"/>
          <w:sz w:val="28"/>
          <w:szCs w:val="28"/>
          <w:shd w:val="clear" w:color="auto" w:fill="FFFFFF"/>
          <w:lang w:val="uk-UA"/>
        </w:rPr>
        <w:t xml:space="preserve">7. </w:t>
      </w:r>
      <w:r w:rsidR="0000167A" w:rsidRPr="005F0419">
        <w:rPr>
          <w:rFonts w:ascii="Times New Roman" w:hAnsi="Times New Roman" w:cs="Times New Roman"/>
          <w:sz w:val="28"/>
          <w:szCs w:val="28"/>
          <w:shd w:val="clear" w:color="auto" w:fill="FFFFFF"/>
          <w:lang w:val="uk-UA"/>
        </w:rPr>
        <w:t xml:space="preserve">Дистанційна робота під час воєнного стану. URL: </w:t>
      </w:r>
      <w:hyperlink r:id="rId23" w:history="1">
        <w:r w:rsidR="0000167A" w:rsidRPr="005F0419">
          <w:rPr>
            <w:rStyle w:val="a6"/>
            <w:rFonts w:ascii="Times New Roman" w:hAnsi="Times New Roman" w:cs="Times New Roman"/>
            <w:color w:val="auto"/>
            <w:sz w:val="28"/>
            <w:szCs w:val="28"/>
            <w:shd w:val="clear" w:color="auto" w:fill="FFFFFF"/>
            <w:lang w:val="uk-UA"/>
          </w:rPr>
          <w:t>https://www.kadrovik.ua/content/dystantsijna-robota-pid-chas-voyennogo-stanu</w:t>
        </w:r>
      </w:hyperlink>
    </w:p>
    <w:p w14:paraId="71FD88AE" w14:textId="6D217C60" w:rsidR="0000167A" w:rsidRPr="005F0419" w:rsidRDefault="00FA0895" w:rsidP="00FA089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8. </w:t>
      </w:r>
      <w:r w:rsidR="0000167A" w:rsidRPr="005F0419">
        <w:rPr>
          <w:rFonts w:ascii="Times New Roman" w:hAnsi="Times New Roman" w:cs="Times New Roman"/>
          <w:sz w:val="28"/>
          <w:szCs w:val="28"/>
          <w:lang w:val="uk-UA"/>
        </w:rPr>
        <w:t>Безпалько О. В. Тренінг як інноваційна форма соціально-педагогічної роботи. Соціальна педагогіка: теорія та практика. 2004. № 1. С. 22–28.</w:t>
      </w:r>
    </w:p>
    <w:p w14:paraId="2671665C" w14:textId="7FD59160" w:rsidR="0000167A" w:rsidRPr="005F0419" w:rsidRDefault="00FA0895" w:rsidP="00FA089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9. </w:t>
      </w:r>
      <w:proofErr w:type="spellStart"/>
      <w:r w:rsidR="0000167A" w:rsidRPr="005F0419">
        <w:rPr>
          <w:rFonts w:ascii="Times New Roman" w:hAnsi="Times New Roman" w:cs="Times New Roman"/>
          <w:sz w:val="28"/>
          <w:szCs w:val="28"/>
          <w:lang w:val="uk-UA"/>
        </w:rPr>
        <w:t>Bondarevska</w:t>
      </w:r>
      <w:proofErr w:type="spellEnd"/>
      <w:r w:rsidR="0000167A" w:rsidRPr="005F0419">
        <w:rPr>
          <w:rFonts w:ascii="Times New Roman" w:hAnsi="Times New Roman" w:cs="Times New Roman"/>
          <w:sz w:val="28"/>
          <w:szCs w:val="28"/>
          <w:lang w:val="uk-UA"/>
        </w:rPr>
        <w:t xml:space="preserve"> K., </w:t>
      </w:r>
      <w:proofErr w:type="spellStart"/>
      <w:r w:rsidR="0000167A" w:rsidRPr="005F0419">
        <w:rPr>
          <w:rFonts w:ascii="Times New Roman" w:hAnsi="Times New Roman" w:cs="Times New Roman"/>
          <w:sz w:val="28"/>
          <w:szCs w:val="28"/>
          <w:lang w:val="uk-UA"/>
        </w:rPr>
        <w:t>Hetman</w:t>
      </w:r>
      <w:proofErr w:type="spellEnd"/>
      <w:r w:rsidR="0000167A" w:rsidRPr="005F0419">
        <w:rPr>
          <w:rFonts w:ascii="Times New Roman" w:hAnsi="Times New Roman" w:cs="Times New Roman"/>
          <w:sz w:val="28"/>
          <w:szCs w:val="28"/>
          <w:lang w:val="uk-UA"/>
        </w:rPr>
        <w:t xml:space="preserve"> O., </w:t>
      </w:r>
      <w:proofErr w:type="spellStart"/>
      <w:r w:rsidR="0000167A" w:rsidRPr="005F0419">
        <w:rPr>
          <w:rFonts w:ascii="Times New Roman" w:hAnsi="Times New Roman" w:cs="Times New Roman"/>
          <w:sz w:val="28"/>
          <w:szCs w:val="28"/>
          <w:lang w:val="uk-UA"/>
        </w:rPr>
        <w:t>Volkova</w:t>
      </w:r>
      <w:proofErr w:type="spellEnd"/>
      <w:r w:rsidR="0000167A" w:rsidRPr="005F0419">
        <w:rPr>
          <w:rFonts w:ascii="Times New Roman" w:hAnsi="Times New Roman" w:cs="Times New Roman"/>
          <w:sz w:val="28"/>
          <w:szCs w:val="28"/>
          <w:lang w:val="uk-UA"/>
        </w:rPr>
        <w:t xml:space="preserve"> N. </w:t>
      </w:r>
      <w:proofErr w:type="spellStart"/>
      <w:r w:rsidR="0000167A" w:rsidRPr="005F0419">
        <w:rPr>
          <w:rFonts w:ascii="Times New Roman" w:hAnsi="Times New Roman" w:cs="Times New Roman"/>
          <w:sz w:val="28"/>
          <w:szCs w:val="28"/>
          <w:lang w:val="uk-UA"/>
        </w:rPr>
        <w:t>Modern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educational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technologies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training</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future</w:t>
      </w:r>
      <w:proofErr w:type="spellEnd"/>
      <w:r w:rsidR="0000167A" w:rsidRPr="005F0419">
        <w:rPr>
          <w:rFonts w:ascii="Times New Roman" w:hAnsi="Times New Roman" w:cs="Times New Roman"/>
          <w:sz w:val="28"/>
          <w:szCs w:val="28"/>
          <w:lang w:val="uk-UA"/>
        </w:rPr>
        <w:t xml:space="preserve"> HR </w:t>
      </w:r>
      <w:proofErr w:type="spellStart"/>
      <w:r w:rsidR="0000167A" w:rsidRPr="005F0419">
        <w:rPr>
          <w:rFonts w:ascii="Times New Roman" w:hAnsi="Times New Roman" w:cs="Times New Roman"/>
          <w:sz w:val="28"/>
          <w:szCs w:val="28"/>
          <w:lang w:val="uk-UA"/>
        </w:rPr>
        <w:t>managers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Modern</w:t>
      </w:r>
      <w:proofErr w:type="spellEnd"/>
      <w:r w:rsidR="0000167A" w:rsidRPr="005F0419">
        <w:rPr>
          <w:rFonts w:ascii="Times New Roman" w:hAnsi="Times New Roman" w:cs="Times New Roman"/>
          <w:sz w:val="28"/>
          <w:szCs w:val="28"/>
          <w:lang w:val="uk-UA"/>
        </w:rPr>
        <w:t xml:space="preserve"> Technologies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Society</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Development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Collective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Scientific</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Monograph</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Opole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Academy</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Management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Administration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Opole</w:t>
      </w:r>
      <w:proofErr w:type="spellEnd"/>
      <w:r w:rsidR="0000167A" w:rsidRPr="005F0419">
        <w:rPr>
          <w:rFonts w:ascii="Times New Roman" w:hAnsi="Times New Roman" w:cs="Times New Roman"/>
          <w:sz w:val="28"/>
          <w:szCs w:val="28"/>
          <w:lang w:val="uk-UA"/>
        </w:rPr>
        <w:t>, 2019. Р.50–62</w:t>
      </w:r>
    </w:p>
    <w:p w14:paraId="6770A7AB" w14:textId="28615512" w:rsidR="0000167A" w:rsidRPr="005F0419" w:rsidRDefault="00FA0895" w:rsidP="00FA0895">
      <w:pPr>
        <w:spacing w:after="0" w:line="360" w:lineRule="auto"/>
        <w:ind w:firstLine="720"/>
        <w:jc w:val="both"/>
        <w:rPr>
          <w:rStyle w:val="a6"/>
          <w:rFonts w:ascii="Times New Roman" w:hAnsi="Times New Roman" w:cs="Times New Roman"/>
          <w:color w:val="auto"/>
          <w:sz w:val="28"/>
          <w:szCs w:val="28"/>
          <w:lang w:val="uk-UA"/>
        </w:rPr>
      </w:pPr>
      <w:r w:rsidRPr="005F0419">
        <w:rPr>
          <w:rFonts w:ascii="Times New Roman" w:hAnsi="Times New Roman" w:cs="Times New Roman"/>
          <w:sz w:val="28"/>
          <w:szCs w:val="28"/>
          <w:shd w:val="clear" w:color="auto" w:fill="FFFFFF"/>
          <w:lang w:val="uk-UA"/>
        </w:rPr>
        <w:t xml:space="preserve">10. </w:t>
      </w:r>
      <w:r w:rsidR="0000167A" w:rsidRPr="005F0419">
        <w:rPr>
          <w:rFonts w:ascii="Times New Roman" w:hAnsi="Times New Roman" w:cs="Times New Roman"/>
          <w:sz w:val="28"/>
          <w:szCs w:val="28"/>
          <w:shd w:val="clear" w:color="auto" w:fill="FFFFFF"/>
          <w:lang w:val="uk-UA"/>
        </w:rPr>
        <w:t xml:space="preserve">Ринок праці в умовах війни: основні тенденції та напрями стабілізації. Аналітична записка. Центр Разумкова. 2022. URL: </w:t>
      </w:r>
      <w:hyperlink r:id="rId24" w:history="1">
        <w:r w:rsidR="0000167A" w:rsidRPr="005F0419">
          <w:rPr>
            <w:rStyle w:val="a6"/>
            <w:rFonts w:ascii="Times New Roman" w:hAnsi="Times New Roman" w:cs="Times New Roman"/>
            <w:color w:val="auto"/>
            <w:sz w:val="28"/>
            <w:szCs w:val="28"/>
            <w:shd w:val="clear" w:color="auto" w:fill="FFFFFF"/>
            <w:lang w:val="uk-UA"/>
          </w:rPr>
          <w:t>https://razumkov.org.ua/images/2022/07/18/2022-ANALIT-ZAPIS-PISHULINA-2.pdf</w:t>
        </w:r>
      </w:hyperlink>
    </w:p>
    <w:p w14:paraId="67DD3990" w14:textId="11CCD6BD" w:rsidR="0000167A" w:rsidRPr="005F0419" w:rsidRDefault="00FA0895" w:rsidP="00FA089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11. </w:t>
      </w:r>
      <w:proofErr w:type="spellStart"/>
      <w:r w:rsidR="0000167A" w:rsidRPr="005F0419">
        <w:rPr>
          <w:rFonts w:ascii="Times New Roman" w:hAnsi="Times New Roman" w:cs="Times New Roman"/>
          <w:sz w:val="28"/>
          <w:szCs w:val="28"/>
          <w:lang w:val="uk-UA"/>
        </w:rPr>
        <w:t>Безгін</w:t>
      </w:r>
      <w:proofErr w:type="spellEnd"/>
      <w:r w:rsidR="0000167A" w:rsidRPr="005F0419">
        <w:rPr>
          <w:rFonts w:ascii="Times New Roman" w:hAnsi="Times New Roman" w:cs="Times New Roman"/>
          <w:sz w:val="28"/>
          <w:szCs w:val="28"/>
          <w:lang w:val="uk-UA"/>
        </w:rPr>
        <w:t xml:space="preserve"> К. С., Гришина І. В. </w:t>
      </w:r>
      <w:proofErr w:type="spellStart"/>
      <w:r w:rsidR="0000167A" w:rsidRPr="005F0419">
        <w:rPr>
          <w:rFonts w:ascii="Times New Roman" w:hAnsi="Times New Roman" w:cs="Times New Roman"/>
          <w:sz w:val="28"/>
          <w:szCs w:val="28"/>
          <w:lang w:val="uk-UA"/>
        </w:rPr>
        <w:t>Ушкальов</w:t>
      </w:r>
      <w:proofErr w:type="spellEnd"/>
      <w:r w:rsidR="0000167A" w:rsidRPr="005F0419">
        <w:rPr>
          <w:rFonts w:ascii="Times New Roman" w:hAnsi="Times New Roman" w:cs="Times New Roman"/>
          <w:sz w:val="28"/>
          <w:szCs w:val="28"/>
          <w:lang w:val="uk-UA"/>
        </w:rPr>
        <w:t> В. В. Система категорій і понять, пов’язаних з мотивацією інноваційно активного персоналу підприємства. URL: http://r.donnu.edu.ua/bitstream/123456789/368/1/ 6_VDU_2011_1.pdf</w:t>
      </w:r>
      <w:r w:rsidRPr="005F0419">
        <w:rPr>
          <w:rFonts w:ascii="Times New Roman" w:hAnsi="Times New Roman" w:cs="Times New Roman"/>
          <w:sz w:val="28"/>
          <w:szCs w:val="28"/>
          <w:lang w:val="uk-UA"/>
        </w:rPr>
        <w:t xml:space="preserve"> </w:t>
      </w:r>
    </w:p>
    <w:p w14:paraId="2CF63F7A" w14:textId="35CC01F3" w:rsidR="0000167A" w:rsidRPr="005F0419" w:rsidRDefault="00FA0895" w:rsidP="00FA0895">
      <w:pPr>
        <w:spacing w:after="0" w:line="360" w:lineRule="auto"/>
        <w:ind w:firstLine="720"/>
        <w:jc w:val="both"/>
        <w:rPr>
          <w:rStyle w:val="a6"/>
          <w:rFonts w:ascii="Times New Roman" w:hAnsi="Times New Roman" w:cs="Times New Roman"/>
          <w:color w:val="auto"/>
          <w:sz w:val="28"/>
          <w:szCs w:val="28"/>
          <w:lang w:val="uk-UA"/>
        </w:rPr>
      </w:pPr>
      <w:r w:rsidRPr="005F0419">
        <w:rPr>
          <w:rFonts w:ascii="Times New Roman" w:hAnsi="Times New Roman" w:cs="Times New Roman"/>
          <w:sz w:val="28"/>
          <w:szCs w:val="28"/>
          <w:lang w:val="uk-UA"/>
        </w:rPr>
        <w:t xml:space="preserve">12. </w:t>
      </w:r>
      <w:proofErr w:type="spellStart"/>
      <w:r w:rsidR="0000167A" w:rsidRPr="005F0419">
        <w:rPr>
          <w:rFonts w:ascii="Times New Roman" w:hAnsi="Times New Roman" w:cs="Times New Roman"/>
          <w:sz w:val="28"/>
          <w:szCs w:val="28"/>
          <w:lang w:val="uk-UA"/>
        </w:rPr>
        <w:t>Doronina</w:t>
      </w:r>
      <w:proofErr w:type="spellEnd"/>
      <w:r w:rsidR="0000167A" w:rsidRPr="005F0419">
        <w:rPr>
          <w:rFonts w:ascii="Times New Roman" w:hAnsi="Times New Roman" w:cs="Times New Roman"/>
          <w:sz w:val="28"/>
          <w:szCs w:val="28"/>
          <w:lang w:val="uk-UA"/>
        </w:rPr>
        <w:t xml:space="preserve"> O. </w:t>
      </w:r>
      <w:proofErr w:type="spellStart"/>
      <w:r w:rsidR="0000167A" w:rsidRPr="005F0419">
        <w:rPr>
          <w:rFonts w:ascii="Times New Roman" w:hAnsi="Times New Roman" w:cs="Times New Roman"/>
          <w:sz w:val="28"/>
          <w:szCs w:val="28"/>
          <w:lang w:val="uk-UA"/>
        </w:rPr>
        <w:t>Transformation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approaches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to</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personnel’s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motivation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conditions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newest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managerial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paradigm</w:t>
      </w:r>
      <w:proofErr w:type="spellEnd"/>
      <w:r w:rsidR="0000167A" w:rsidRPr="005F0419">
        <w:rPr>
          <w:rFonts w:ascii="Times New Roman" w:hAnsi="Times New Roman" w:cs="Times New Roman"/>
          <w:sz w:val="28"/>
          <w:szCs w:val="28"/>
          <w:lang w:val="uk-UA"/>
        </w:rPr>
        <w:t>. </w:t>
      </w:r>
      <w:proofErr w:type="spellStart"/>
      <w:r w:rsidR="0000167A" w:rsidRPr="005F0419">
        <w:rPr>
          <w:rFonts w:ascii="Times New Roman" w:hAnsi="Times New Roman" w:cs="Times New Roman"/>
          <w:sz w:val="28"/>
          <w:szCs w:val="28"/>
          <w:lang w:val="uk-UA"/>
        </w:rPr>
        <w:t>Management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Entrepreneurship</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Trends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Development</w:t>
      </w:r>
      <w:proofErr w:type="spellEnd"/>
      <w:r w:rsidR="0000167A" w:rsidRPr="005F0419">
        <w:rPr>
          <w:rFonts w:ascii="Times New Roman" w:hAnsi="Times New Roman" w:cs="Times New Roman"/>
          <w:sz w:val="28"/>
          <w:szCs w:val="28"/>
          <w:lang w:val="uk-UA"/>
        </w:rPr>
        <w:t xml:space="preserve">. 3(05). 2018. Р. 23-32. URL: </w:t>
      </w:r>
      <w:hyperlink r:id="rId25" w:history="1">
        <w:r w:rsidR="0000167A" w:rsidRPr="005F0419">
          <w:rPr>
            <w:rStyle w:val="a6"/>
            <w:rFonts w:ascii="Times New Roman" w:hAnsi="Times New Roman" w:cs="Times New Roman"/>
            <w:color w:val="auto"/>
            <w:sz w:val="28"/>
            <w:szCs w:val="28"/>
            <w:lang w:val="uk-UA"/>
          </w:rPr>
          <w:t>https://management-journal.org.ua/index.php/journal/article/view/63</w:t>
        </w:r>
      </w:hyperlink>
    </w:p>
    <w:p w14:paraId="7DEDEFF4" w14:textId="6AD1036D" w:rsidR="0000167A" w:rsidRPr="005F0419" w:rsidRDefault="00FA0895" w:rsidP="00FA089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13. </w:t>
      </w:r>
      <w:proofErr w:type="spellStart"/>
      <w:r w:rsidR="0000167A" w:rsidRPr="005F0419">
        <w:rPr>
          <w:rFonts w:ascii="Times New Roman" w:hAnsi="Times New Roman" w:cs="Times New Roman"/>
          <w:sz w:val="28"/>
          <w:szCs w:val="28"/>
          <w:lang w:val="uk-UA"/>
        </w:rPr>
        <w:t>Лісогор</w:t>
      </w:r>
      <w:proofErr w:type="spellEnd"/>
      <w:r w:rsidR="0000167A" w:rsidRPr="005F0419">
        <w:rPr>
          <w:rFonts w:ascii="Times New Roman" w:hAnsi="Times New Roman" w:cs="Times New Roman"/>
          <w:sz w:val="28"/>
          <w:szCs w:val="28"/>
          <w:lang w:val="uk-UA"/>
        </w:rPr>
        <w:t> Л. С. Формування інноваційної зайнятості в умовах модернізації економіки та трансформації суспільних відносин. Економіка і організація управління. №3 (23). 2016. С. 82–90.</w:t>
      </w:r>
    </w:p>
    <w:p w14:paraId="2C1B4C2B" w14:textId="216AD3DB" w:rsidR="0000167A" w:rsidRPr="005F0419" w:rsidRDefault="00FA0895" w:rsidP="00FA089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shd w:val="clear" w:color="auto" w:fill="FFFFFF"/>
          <w:lang w:val="uk-UA"/>
        </w:rPr>
        <w:t xml:space="preserve">14. </w:t>
      </w:r>
      <w:proofErr w:type="spellStart"/>
      <w:r w:rsidR="0000167A" w:rsidRPr="005F0419">
        <w:rPr>
          <w:rFonts w:ascii="Times New Roman" w:hAnsi="Times New Roman" w:cs="Times New Roman"/>
          <w:sz w:val="28"/>
          <w:szCs w:val="28"/>
          <w:shd w:val="clear" w:color="auto" w:fill="FFFFFF"/>
          <w:lang w:val="uk-UA"/>
        </w:rPr>
        <w:t>Бондаревська</w:t>
      </w:r>
      <w:proofErr w:type="spellEnd"/>
      <w:r w:rsidR="0000167A" w:rsidRPr="005F0419">
        <w:rPr>
          <w:rFonts w:ascii="Times New Roman" w:hAnsi="Times New Roman" w:cs="Times New Roman"/>
          <w:sz w:val="28"/>
          <w:szCs w:val="28"/>
          <w:shd w:val="clear" w:color="auto" w:fill="FFFFFF"/>
          <w:lang w:val="uk-UA"/>
        </w:rPr>
        <w:t xml:space="preserve"> К.В., </w:t>
      </w:r>
      <w:proofErr w:type="spellStart"/>
      <w:r w:rsidR="0000167A" w:rsidRPr="005F0419">
        <w:rPr>
          <w:rFonts w:ascii="Times New Roman" w:hAnsi="Times New Roman" w:cs="Times New Roman"/>
          <w:sz w:val="28"/>
          <w:szCs w:val="28"/>
          <w:shd w:val="clear" w:color="auto" w:fill="FFFFFF"/>
          <w:lang w:val="uk-UA"/>
        </w:rPr>
        <w:t>Дороніна</w:t>
      </w:r>
      <w:proofErr w:type="spellEnd"/>
      <w:r w:rsidR="0000167A" w:rsidRPr="005F0419">
        <w:rPr>
          <w:rFonts w:ascii="Times New Roman" w:hAnsi="Times New Roman" w:cs="Times New Roman"/>
          <w:sz w:val="28"/>
          <w:szCs w:val="28"/>
          <w:shd w:val="clear" w:color="auto" w:fill="FFFFFF"/>
          <w:lang w:val="uk-UA"/>
        </w:rPr>
        <w:t xml:space="preserve"> О.А. </w:t>
      </w:r>
      <w:r w:rsidR="0000167A" w:rsidRPr="005F0419">
        <w:rPr>
          <w:rFonts w:ascii="Times New Roman" w:hAnsi="Times New Roman" w:cs="Times New Roman"/>
          <w:sz w:val="28"/>
          <w:szCs w:val="28"/>
          <w:lang w:val="uk-UA"/>
        </w:rPr>
        <w:t>Корпоративна стратегія забезпечення безпеки зайнятості та оплати праці як засіб підвищення якості трудового життя. Економіка і організація управління. №3 (39). 2020. С.253-264.</w:t>
      </w:r>
    </w:p>
    <w:p w14:paraId="2E45D015" w14:textId="1B569E3B" w:rsidR="0000167A" w:rsidRPr="005F0419" w:rsidRDefault="00FA0895" w:rsidP="00FA0895">
      <w:pPr>
        <w:spacing w:after="0" w:line="360" w:lineRule="auto"/>
        <w:ind w:firstLine="720"/>
        <w:jc w:val="both"/>
        <w:rPr>
          <w:rStyle w:val="a6"/>
          <w:rFonts w:ascii="Times New Roman" w:hAnsi="Times New Roman" w:cs="Times New Roman"/>
          <w:color w:val="auto"/>
          <w:sz w:val="28"/>
          <w:szCs w:val="28"/>
          <w:lang w:val="uk-UA"/>
        </w:rPr>
      </w:pPr>
      <w:r w:rsidRPr="005F0419">
        <w:rPr>
          <w:rFonts w:ascii="Times New Roman" w:eastAsia="Times New Roman" w:hAnsi="Times New Roman" w:cs="Times New Roman"/>
          <w:sz w:val="28"/>
          <w:szCs w:val="28"/>
          <w:lang w:val="uk-UA"/>
        </w:rPr>
        <w:t xml:space="preserve">15. </w:t>
      </w:r>
      <w:r w:rsidR="0000167A" w:rsidRPr="005F0419">
        <w:rPr>
          <w:rFonts w:ascii="Times New Roman" w:eastAsia="Times New Roman" w:hAnsi="Times New Roman" w:cs="Times New Roman"/>
          <w:sz w:val="28"/>
          <w:szCs w:val="28"/>
          <w:lang w:val="uk-UA"/>
        </w:rPr>
        <w:t xml:space="preserve">Чи можлива ефективна колективно-договірна робота в умовах війни. URL: </w:t>
      </w:r>
      <w:hyperlink r:id="rId26" w:history="1">
        <w:r w:rsidR="0000167A" w:rsidRPr="005F0419">
          <w:rPr>
            <w:rStyle w:val="a6"/>
            <w:rFonts w:ascii="Times New Roman" w:hAnsi="Times New Roman" w:cs="Times New Roman"/>
            <w:color w:val="auto"/>
            <w:sz w:val="28"/>
            <w:szCs w:val="28"/>
            <w:lang w:val="uk-UA"/>
          </w:rPr>
          <w:t>http://www.psv.org.ua/arts/pidsumki_roku/view-4979.html</w:t>
        </w:r>
      </w:hyperlink>
    </w:p>
    <w:p w14:paraId="474C93E3" w14:textId="664C9D88" w:rsidR="0000167A" w:rsidRPr="005F0419" w:rsidRDefault="00FA0895" w:rsidP="00FA0895">
      <w:pPr>
        <w:spacing w:after="0" w:line="360" w:lineRule="auto"/>
        <w:ind w:firstLine="720"/>
        <w:jc w:val="both"/>
        <w:rPr>
          <w:rStyle w:val="a6"/>
          <w:rFonts w:ascii="Times New Roman" w:hAnsi="Times New Roman" w:cs="Times New Roman"/>
          <w:color w:val="auto"/>
          <w:sz w:val="28"/>
          <w:szCs w:val="28"/>
          <w:lang w:val="uk-UA"/>
        </w:rPr>
      </w:pPr>
      <w:r w:rsidRPr="005F0419">
        <w:rPr>
          <w:rFonts w:ascii="Times New Roman" w:hAnsi="Times New Roman" w:cs="Times New Roman"/>
          <w:sz w:val="28"/>
          <w:szCs w:val="28"/>
          <w:shd w:val="clear" w:color="auto" w:fill="FFFFFF"/>
          <w:lang w:val="uk-UA"/>
        </w:rPr>
        <w:t xml:space="preserve">16. </w:t>
      </w:r>
      <w:r w:rsidR="0000167A" w:rsidRPr="005F0419">
        <w:rPr>
          <w:rFonts w:ascii="Times New Roman" w:hAnsi="Times New Roman" w:cs="Times New Roman"/>
          <w:sz w:val="28"/>
          <w:szCs w:val="28"/>
          <w:shd w:val="clear" w:color="auto" w:fill="FFFFFF"/>
          <w:lang w:val="uk-UA"/>
        </w:rPr>
        <w:t xml:space="preserve">Про організацію трудових відносин в умовах воєнного стану: Закон України </w:t>
      </w:r>
      <w:r w:rsidR="0000167A" w:rsidRPr="005F0419">
        <w:rPr>
          <w:rFonts w:ascii="Times New Roman" w:hAnsi="Times New Roman" w:cs="Times New Roman"/>
          <w:sz w:val="28"/>
          <w:szCs w:val="28"/>
          <w:lang w:val="uk-UA"/>
        </w:rPr>
        <w:t xml:space="preserve">від 15 березня 2022 року №2136-ІХ. URL: </w:t>
      </w:r>
      <w:hyperlink r:id="rId27" w:anchor="Text" w:history="1">
        <w:r w:rsidR="0000167A" w:rsidRPr="005F0419">
          <w:rPr>
            <w:rStyle w:val="a6"/>
            <w:rFonts w:ascii="Times New Roman" w:hAnsi="Times New Roman" w:cs="Times New Roman"/>
            <w:color w:val="auto"/>
            <w:sz w:val="28"/>
            <w:szCs w:val="28"/>
            <w:lang w:val="uk-UA"/>
          </w:rPr>
          <w:t>https://zakon.rada.gov.ua/laws/show/2136-20#Text</w:t>
        </w:r>
      </w:hyperlink>
    </w:p>
    <w:p w14:paraId="5FD258A2" w14:textId="2CC0F8E4" w:rsidR="0000167A" w:rsidRPr="005F0419" w:rsidRDefault="00FA0895" w:rsidP="00FA0895">
      <w:pPr>
        <w:spacing w:after="0" w:line="360" w:lineRule="auto"/>
        <w:ind w:firstLine="720"/>
        <w:jc w:val="both"/>
        <w:rPr>
          <w:rStyle w:val="a6"/>
          <w:rFonts w:ascii="Times New Roman" w:hAnsi="Times New Roman" w:cs="Times New Roman"/>
          <w:color w:val="auto"/>
          <w:sz w:val="28"/>
          <w:szCs w:val="28"/>
          <w:lang w:val="uk-UA"/>
        </w:rPr>
      </w:pPr>
      <w:r w:rsidRPr="005F0419">
        <w:rPr>
          <w:rFonts w:ascii="Times New Roman" w:hAnsi="Times New Roman" w:cs="Times New Roman"/>
          <w:sz w:val="28"/>
          <w:szCs w:val="28"/>
          <w:lang w:val="uk-UA"/>
        </w:rPr>
        <w:t xml:space="preserve">17. </w:t>
      </w:r>
      <w:r w:rsidR="0000167A" w:rsidRPr="005F0419">
        <w:rPr>
          <w:rFonts w:ascii="Times New Roman" w:hAnsi="Times New Roman" w:cs="Times New Roman"/>
          <w:sz w:val="28"/>
          <w:szCs w:val="28"/>
          <w:lang w:val="uk-UA"/>
        </w:rPr>
        <w:t xml:space="preserve">Гришина Ю.М., </w:t>
      </w:r>
      <w:proofErr w:type="spellStart"/>
      <w:r w:rsidR="0000167A" w:rsidRPr="005F0419">
        <w:rPr>
          <w:rFonts w:ascii="Times New Roman" w:hAnsi="Times New Roman" w:cs="Times New Roman"/>
          <w:sz w:val="28"/>
          <w:szCs w:val="28"/>
          <w:lang w:val="uk-UA"/>
        </w:rPr>
        <w:t>Чанишева</w:t>
      </w:r>
      <w:proofErr w:type="spellEnd"/>
      <w:r w:rsidR="0000167A" w:rsidRPr="005F0419">
        <w:rPr>
          <w:rFonts w:ascii="Times New Roman" w:hAnsi="Times New Roman" w:cs="Times New Roman"/>
          <w:sz w:val="28"/>
          <w:szCs w:val="28"/>
          <w:lang w:val="uk-UA"/>
        </w:rPr>
        <w:t xml:space="preserve"> Г.І. Основні функції профспілок в умовах воєнного стану. Право і суспільство. 2022. №4. С. 195-201. URL: </w:t>
      </w:r>
      <w:hyperlink r:id="rId28" w:history="1">
        <w:r w:rsidR="0000167A" w:rsidRPr="005F0419">
          <w:rPr>
            <w:rStyle w:val="a6"/>
            <w:rFonts w:ascii="Times New Roman" w:hAnsi="Times New Roman" w:cs="Times New Roman"/>
            <w:color w:val="auto"/>
            <w:sz w:val="28"/>
            <w:szCs w:val="28"/>
            <w:lang w:val="uk-UA"/>
          </w:rPr>
          <w:t>http://pravoisuspilstvo.org.ua/archive/2022/4_2022/28.pdf</w:t>
        </w:r>
      </w:hyperlink>
    </w:p>
    <w:p w14:paraId="239F31A5" w14:textId="58517DF1" w:rsidR="0000167A" w:rsidRPr="005F0419" w:rsidRDefault="00FA0895" w:rsidP="00FA089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18. </w:t>
      </w:r>
      <w:proofErr w:type="spellStart"/>
      <w:r w:rsidR="0000167A" w:rsidRPr="005F0419">
        <w:rPr>
          <w:rFonts w:ascii="Times New Roman" w:hAnsi="Times New Roman" w:cs="Times New Roman"/>
          <w:sz w:val="28"/>
          <w:szCs w:val="28"/>
          <w:lang w:val="uk-UA"/>
        </w:rPr>
        <w:t>Дороніна</w:t>
      </w:r>
      <w:proofErr w:type="spellEnd"/>
      <w:r w:rsidR="0000167A" w:rsidRPr="005F0419">
        <w:rPr>
          <w:rFonts w:ascii="Times New Roman" w:hAnsi="Times New Roman" w:cs="Times New Roman"/>
          <w:sz w:val="28"/>
          <w:szCs w:val="28"/>
          <w:lang w:val="uk-UA"/>
        </w:rPr>
        <w:t xml:space="preserve"> О. А. Проблеми та перспективи діяльності профспілок щодо забезпечення гідної праці в Україні. Бізнес </w:t>
      </w:r>
      <w:proofErr w:type="spellStart"/>
      <w:r w:rsidR="0000167A" w:rsidRPr="005F0419">
        <w:rPr>
          <w:rFonts w:ascii="Times New Roman" w:hAnsi="Times New Roman" w:cs="Times New Roman"/>
          <w:sz w:val="28"/>
          <w:szCs w:val="28"/>
          <w:lang w:val="uk-UA"/>
        </w:rPr>
        <w:t>Інформ</w:t>
      </w:r>
      <w:proofErr w:type="spellEnd"/>
      <w:r w:rsidR="0000167A" w:rsidRPr="005F0419">
        <w:rPr>
          <w:rFonts w:ascii="Times New Roman" w:hAnsi="Times New Roman" w:cs="Times New Roman"/>
          <w:sz w:val="28"/>
          <w:szCs w:val="28"/>
          <w:lang w:val="uk-UA"/>
        </w:rPr>
        <w:t xml:space="preserve">. 2013. № 9. С. 202–207. URL: </w:t>
      </w:r>
      <w:hyperlink r:id="rId29" w:history="1">
        <w:r w:rsidR="0000167A" w:rsidRPr="005F0419">
          <w:rPr>
            <w:rStyle w:val="a6"/>
            <w:rFonts w:ascii="Times New Roman" w:hAnsi="Times New Roman" w:cs="Times New Roman"/>
            <w:color w:val="auto"/>
            <w:sz w:val="28"/>
            <w:szCs w:val="28"/>
            <w:lang w:val="uk-UA"/>
          </w:rPr>
          <w:t>http://nbuv.gov.ua/UJRN/binf_2013_9_34</w:t>
        </w:r>
      </w:hyperlink>
    </w:p>
    <w:p w14:paraId="2D4044E9"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p>
    <w:p w14:paraId="15A05A71" w14:textId="6DB9C4AF" w:rsidR="0000167A" w:rsidRPr="005F0419" w:rsidRDefault="0000167A" w:rsidP="00662012">
      <w:pPr>
        <w:spacing w:after="0" w:line="360" w:lineRule="auto"/>
        <w:ind w:firstLine="720"/>
        <w:jc w:val="both"/>
        <w:rPr>
          <w:rFonts w:ascii="Times New Roman" w:hAnsi="Times New Roman" w:cs="Times New Roman"/>
          <w:i/>
          <w:iCs/>
          <w:sz w:val="28"/>
          <w:szCs w:val="28"/>
          <w:lang w:val="uk-UA"/>
        </w:rPr>
      </w:pPr>
      <w:r w:rsidRPr="005F0419">
        <w:rPr>
          <w:rFonts w:ascii="Times New Roman" w:hAnsi="Times New Roman" w:cs="Times New Roman"/>
          <w:b/>
          <w:bCs/>
          <w:i/>
          <w:iCs/>
          <w:sz w:val="28"/>
          <w:szCs w:val="28"/>
          <w:lang w:val="uk-UA"/>
        </w:rPr>
        <w:t>Ключові слова</w:t>
      </w:r>
      <w:r w:rsidRPr="005F0419">
        <w:rPr>
          <w:rFonts w:ascii="Times New Roman" w:hAnsi="Times New Roman" w:cs="Times New Roman"/>
          <w:sz w:val="28"/>
          <w:szCs w:val="28"/>
          <w:lang w:val="uk-UA"/>
        </w:rPr>
        <w:t xml:space="preserve">: </w:t>
      </w:r>
      <w:r w:rsidRPr="005F0419">
        <w:rPr>
          <w:rFonts w:ascii="Times New Roman" w:hAnsi="Times New Roman" w:cs="Times New Roman"/>
          <w:i/>
          <w:iCs/>
          <w:sz w:val="28"/>
          <w:szCs w:val="28"/>
          <w:lang w:val="uk-UA"/>
        </w:rPr>
        <w:t xml:space="preserve">соціальна безпека, корпоративна соціальна безпека, соціально-трудові відносини, зайнятість, оплата праці, корпоративне навчання, моніторинг корпоративної соціальної безпеки. </w:t>
      </w:r>
    </w:p>
    <w:p w14:paraId="0ABB4DDC" w14:textId="4EA6B422" w:rsidR="0000167A" w:rsidRPr="005F0419" w:rsidRDefault="0000167A" w:rsidP="00662012">
      <w:pPr>
        <w:spacing w:after="0" w:line="360" w:lineRule="auto"/>
        <w:ind w:firstLine="720"/>
        <w:jc w:val="both"/>
        <w:rPr>
          <w:rFonts w:ascii="Times New Roman" w:hAnsi="Times New Roman" w:cs="Times New Roman"/>
          <w:i/>
          <w:iCs/>
          <w:sz w:val="28"/>
          <w:szCs w:val="28"/>
          <w:lang w:val="uk-UA"/>
        </w:rPr>
      </w:pPr>
    </w:p>
    <w:p w14:paraId="6C595391" w14:textId="2792D425" w:rsidR="0000167A" w:rsidRPr="005F0419" w:rsidRDefault="0000167A" w:rsidP="00662012">
      <w:pPr>
        <w:spacing w:after="0" w:line="360" w:lineRule="auto"/>
        <w:ind w:firstLine="720"/>
        <w:jc w:val="both"/>
        <w:rPr>
          <w:rFonts w:ascii="Times New Roman" w:hAnsi="Times New Roman" w:cs="Times New Roman"/>
          <w:i/>
          <w:iCs/>
          <w:sz w:val="28"/>
          <w:szCs w:val="28"/>
          <w:lang w:val="uk-UA"/>
        </w:rPr>
      </w:pPr>
    </w:p>
    <w:p w14:paraId="46E16708" w14:textId="503A84B5" w:rsidR="0000167A" w:rsidRPr="005F0419" w:rsidRDefault="0000167A" w:rsidP="00662012">
      <w:pPr>
        <w:spacing w:after="0" w:line="360" w:lineRule="auto"/>
        <w:ind w:firstLine="720"/>
        <w:jc w:val="both"/>
        <w:rPr>
          <w:rFonts w:ascii="Times New Roman" w:hAnsi="Times New Roman" w:cs="Times New Roman"/>
          <w:i/>
          <w:iCs/>
          <w:sz w:val="28"/>
          <w:szCs w:val="28"/>
          <w:lang w:val="uk-UA"/>
        </w:rPr>
      </w:pPr>
    </w:p>
    <w:p w14:paraId="03DFF7B9" w14:textId="77777777" w:rsidR="00753C4F" w:rsidRPr="005F0419" w:rsidRDefault="00753C4F" w:rsidP="007D4366">
      <w:pPr>
        <w:spacing w:after="0" w:line="360" w:lineRule="auto"/>
        <w:ind w:firstLine="720"/>
        <w:jc w:val="center"/>
        <w:rPr>
          <w:rFonts w:ascii="Times New Roman" w:hAnsi="Times New Roman" w:cs="Times New Roman"/>
          <w:b/>
          <w:sz w:val="28"/>
          <w:szCs w:val="28"/>
          <w:lang w:val="uk-UA"/>
        </w:rPr>
      </w:pPr>
      <w:bookmarkStart w:id="4" w:name="_Hlk160025127"/>
      <w:r w:rsidRPr="005F0419">
        <w:rPr>
          <w:rFonts w:ascii="Times New Roman" w:hAnsi="Times New Roman" w:cs="Times New Roman"/>
          <w:b/>
          <w:sz w:val="28"/>
          <w:szCs w:val="28"/>
          <w:lang w:val="uk-UA"/>
        </w:rPr>
        <w:t>ТРАНСФОРМАЦІЯ СТРАТЕГІЙ УПРАВЛІННЯ ПІДПРИЄМСТВАМИ В УМОВАХ ЦИФРОВІЗАЦІЇ ЕКОНОМІКИ</w:t>
      </w:r>
    </w:p>
    <w:bookmarkEnd w:id="4"/>
    <w:p w14:paraId="3F972FD4" w14:textId="2612AC16" w:rsidR="00753C4F" w:rsidRPr="005F0419" w:rsidRDefault="00753C4F" w:rsidP="00753C4F">
      <w:pPr>
        <w:spacing w:after="0" w:line="360" w:lineRule="auto"/>
        <w:ind w:firstLine="720"/>
        <w:jc w:val="both"/>
        <w:rPr>
          <w:rFonts w:ascii="Times New Roman" w:hAnsi="Times New Roman" w:cs="Times New Roman"/>
          <w:sz w:val="28"/>
          <w:szCs w:val="28"/>
          <w:lang w:val="uk-UA"/>
        </w:rPr>
      </w:pPr>
    </w:p>
    <w:p w14:paraId="5608073E" w14:textId="6DA5D813" w:rsidR="00753C4F" w:rsidRPr="005F0419" w:rsidRDefault="00753C4F" w:rsidP="00753C4F">
      <w:pPr>
        <w:spacing w:after="0" w:line="360" w:lineRule="auto"/>
        <w:ind w:firstLine="720"/>
        <w:jc w:val="center"/>
        <w:rPr>
          <w:rFonts w:ascii="Times New Roman" w:hAnsi="Times New Roman" w:cs="Times New Roman"/>
          <w:bCs/>
          <w:i/>
          <w:iCs/>
          <w:sz w:val="28"/>
          <w:szCs w:val="28"/>
          <w:lang w:val="uk-UA"/>
        </w:rPr>
      </w:pPr>
      <w:proofErr w:type="spellStart"/>
      <w:r w:rsidRPr="005F0419">
        <w:rPr>
          <w:rFonts w:ascii="Times New Roman" w:hAnsi="Times New Roman" w:cs="Times New Roman"/>
          <w:b/>
          <w:bCs/>
          <w:i/>
          <w:iCs/>
          <w:sz w:val="28"/>
          <w:szCs w:val="28"/>
          <w:lang w:val="uk-UA"/>
        </w:rPr>
        <w:t>Горбаньова</w:t>
      </w:r>
      <w:proofErr w:type="spellEnd"/>
      <w:r w:rsidRPr="005F0419">
        <w:rPr>
          <w:rFonts w:ascii="Times New Roman" w:hAnsi="Times New Roman" w:cs="Times New Roman"/>
          <w:b/>
          <w:bCs/>
          <w:i/>
          <w:iCs/>
          <w:sz w:val="28"/>
          <w:szCs w:val="28"/>
          <w:lang w:val="uk-UA"/>
        </w:rPr>
        <w:t xml:space="preserve"> Вікторія Олександрівна</w:t>
      </w:r>
    </w:p>
    <w:p w14:paraId="35609A31"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p>
    <w:p w14:paraId="239412F5" w14:textId="643AD200"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Сьогодні рушійною силою розвитку всесвітньої економічної системи є цифрові технології, які сприяють не лише виникненню нових видів професій, товарів та послуг, а й видозміні традиційних бізнес-процесів в економіці. Процеси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охопили практично всі сфери життєдіяльності людини і, як наслідок, змінили характер відносин між людьми у процесі виробництва товарів та послуг.</w:t>
      </w:r>
    </w:p>
    <w:p w14:paraId="02A8148E" w14:textId="5500BAD0"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Цифрова економіка – новий вид економічних відносин, який проник у всі сфери економіки у світі. На сьогоднішній день саме віртуальна частина життя стає місцем зародження нових, сучасних продуктів та ідей  [10].</w:t>
      </w:r>
    </w:p>
    <w:p w14:paraId="05292D02" w14:textId="6EE22393"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Під цифровою економікою зазвичай розуміється будь-яка економічна діяльність, пов’язана з виробництвом, збутом та споживанням товарів та послуг з використанням цифрових технологій та, ширше – з електронною комерцією [1, 3, 4].</w:t>
      </w:r>
    </w:p>
    <w:p w14:paraId="4C0A925E" w14:textId="1B8FCAA4"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Існує два підходи до визначення </w:t>
      </w:r>
      <w:proofErr w:type="spellStart"/>
      <w:r w:rsidRPr="005F0419">
        <w:rPr>
          <w:rFonts w:ascii="Times New Roman" w:hAnsi="Times New Roman" w:cs="Times New Roman"/>
          <w:sz w:val="28"/>
          <w:szCs w:val="28"/>
          <w:lang w:val="uk-UA"/>
        </w:rPr>
        <w:t>терміна</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bCs/>
          <w:sz w:val="28"/>
          <w:szCs w:val="28"/>
          <w:lang w:val="uk-UA"/>
        </w:rPr>
        <w:t>цифровізація</w:t>
      </w:r>
      <w:proofErr w:type="spellEnd"/>
      <w:r w:rsidRPr="005F0419">
        <w:rPr>
          <w:rFonts w:ascii="Times New Roman" w:hAnsi="Times New Roman" w:cs="Times New Roman"/>
          <w:sz w:val="28"/>
          <w:szCs w:val="28"/>
          <w:lang w:val="uk-UA"/>
        </w:rPr>
        <w:t xml:space="preserve">»: у вузькому значенні та у широкому. У вузькому сенсі </w:t>
      </w:r>
      <w:proofErr w:type="spellStart"/>
      <w:r w:rsidRPr="005F0419">
        <w:rPr>
          <w:rFonts w:ascii="Times New Roman" w:hAnsi="Times New Roman" w:cs="Times New Roman"/>
          <w:i/>
          <w:sz w:val="28"/>
          <w:szCs w:val="28"/>
          <w:lang w:val="uk-UA"/>
        </w:rPr>
        <w:t>цифровізація</w:t>
      </w:r>
      <w:proofErr w:type="spellEnd"/>
      <w:r w:rsidRPr="005F0419">
        <w:rPr>
          <w:rFonts w:ascii="Times New Roman" w:hAnsi="Times New Roman" w:cs="Times New Roman"/>
          <w:sz w:val="28"/>
          <w:szCs w:val="28"/>
          <w:lang w:val="uk-UA"/>
        </w:rPr>
        <w:t xml:space="preserve"> – це створення різних </w:t>
      </w:r>
      <w:r w:rsidRPr="005F0419">
        <w:rPr>
          <w:rFonts w:ascii="Times New Roman" w:hAnsi="Times New Roman" w:cs="Times New Roman"/>
          <w:sz w:val="28"/>
          <w:szCs w:val="28"/>
          <w:lang w:val="uk-UA"/>
        </w:rPr>
        <w:lastRenderedPageBreak/>
        <w:t xml:space="preserve">рівнях економіки інформаційно-цифрових платформ, які дозволяють вирішувати різноманітні господарські завдання, зокрема стратегічні, такі як розвиток медицини, науки і освіти, транспорту, державного регулювання економіки та планування та інші  [7]. У широкому значенні </w:t>
      </w:r>
      <w:proofErr w:type="spellStart"/>
      <w:r w:rsidRPr="005F0419">
        <w:rPr>
          <w:rFonts w:ascii="Times New Roman" w:hAnsi="Times New Roman" w:cs="Times New Roman"/>
          <w:i/>
          <w:sz w:val="28"/>
          <w:szCs w:val="28"/>
          <w:lang w:val="uk-UA"/>
        </w:rPr>
        <w:t>цифровізація</w:t>
      </w:r>
      <w:proofErr w:type="spellEnd"/>
      <w:r w:rsidRPr="005F0419">
        <w:rPr>
          <w:rFonts w:ascii="Times New Roman" w:hAnsi="Times New Roman" w:cs="Times New Roman"/>
          <w:sz w:val="28"/>
          <w:szCs w:val="28"/>
          <w:lang w:val="uk-UA"/>
        </w:rPr>
        <w:t xml:space="preserve"> окреслюється зміна сутності виробничих чи економічних відносин, зміну їх </w:t>
      </w:r>
      <w:proofErr w:type="spellStart"/>
      <w:r w:rsidRPr="005F0419">
        <w:rPr>
          <w:rFonts w:ascii="Times New Roman" w:hAnsi="Times New Roman" w:cs="Times New Roman"/>
          <w:sz w:val="28"/>
          <w:szCs w:val="28"/>
          <w:lang w:val="uk-UA"/>
        </w:rPr>
        <w:t>субъектнообъектной</w:t>
      </w:r>
      <w:proofErr w:type="spellEnd"/>
      <w:r w:rsidRPr="005F0419">
        <w:rPr>
          <w:rFonts w:ascii="Times New Roman" w:hAnsi="Times New Roman" w:cs="Times New Roman"/>
          <w:sz w:val="28"/>
          <w:szCs w:val="28"/>
          <w:lang w:val="uk-UA"/>
        </w:rPr>
        <w:t xml:space="preserve"> орієнтованості. Також змінюються продуктивні сили суспільства та фактори виробництва [18].</w:t>
      </w:r>
    </w:p>
    <w:p w14:paraId="4C9E060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Процес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пов’язаний із трансформацією господарських процесів  [31]. Відбувається роботизація виробництва товарів та послуг масового споживання, яка переходить до більш сучасних та досконалих виробництв, наприклад, до створення благ з індивідуальними характеристиками для кожного споживача. Будучи переходом всіх сторін соціального та економічного життя до цифрової інформації, </w:t>
      </w:r>
      <w:proofErr w:type="spellStart"/>
      <w:r w:rsidRPr="005F0419">
        <w:rPr>
          <w:rFonts w:ascii="Times New Roman" w:hAnsi="Times New Roman" w:cs="Times New Roman"/>
          <w:sz w:val="28"/>
          <w:szCs w:val="28"/>
          <w:lang w:val="uk-UA"/>
        </w:rPr>
        <w:t>цифровізація</w:t>
      </w:r>
      <w:proofErr w:type="spellEnd"/>
      <w:r w:rsidRPr="005F0419">
        <w:rPr>
          <w:rFonts w:ascii="Times New Roman" w:hAnsi="Times New Roman" w:cs="Times New Roman"/>
          <w:sz w:val="28"/>
          <w:szCs w:val="28"/>
          <w:lang w:val="uk-UA"/>
        </w:rPr>
        <w:t xml:space="preserve"> із простого засобу покращення різних сторін життя суспільства перетворюється на пускову силу світового суспільного розвитку, яка забезпечує підвищення ефективності економіки та покращення якості життя населення. Тому можна сказати коротко, що під </w:t>
      </w:r>
      <w:proofErr w:type="spellStart"/>
      <w:r w:rsidRPr="005F0419">
        <w:rPr>
          <w:rFonts w:ascii="Times New Roman" w:hAnsi="Times New Roman" w:cs="Times New Roman"/>
          <w:sz w:val="28"/>
          <w:szCs w:val="28"/>
          <w:lang w:val="uk-UA"/>
        </w:rPr>
        <w:t>цифровізацією</w:t>
      </w:r>
      <w:proofErr w:type="spellEnd"/>
      <w:r w:rsidRPr="005F0419">
        <w:rPr>
          <w:rFonts w:ascii="Times New Roman" w:hAnsi="Times New Roman" w:cs="Times New Roman"/>
          <w:sz w:val="28"/>
          <w:szCs w:val="28"/>
          <w:lang w:val="uk-UA"/>
        </w:rPr>
        <w:t xml:space="preserve"> в широкому розумінні розуміється сучасний загальносвітовий тренд розвитку економіки та суспільства, який ґрунтується на перетворенні інформації з паперової форми на цифрову та призводить до підвищення ефективності економіки, а також до покращення якості життя [21, 28].</w:t>
      </w:r>
    </w:p>
    <w:p w14:paraId="655AFBC2"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Головною та важливою властивістю інформації, яка представлена у цифровому форматі, є можливість використання різноманітних фізичних способів її подання та передачі. Також важливими властивостями цифрової інформації є  [30]:</w:t>
      </w:r>
    </w:p>
    <w:p w14:paraId="6E7935EA"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можливість зашифрувати повідомлення, передати його у зашифрованій формі, а далі розшифрувати та використовувати інформацію у подальшій діяльності за призначенням;</w:t>
      </w:r>
    </w:p>
    <w:p w14:paraId="3B163630"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можливість передачі з використанням різних матеріальних носіїв та інших.</w:t>
      </w:r>
    </w:p>
    <w:p w14:paraId="5E29A3BB" w14:textId="12CC37D2"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Всі ці особливі властивості, властиві виключно цифровій інформації, зумовили появу нового наукового напряму під назвою «</w:t>
      </w:r>
      <w:proofErr w:type="spellStart"/>
      <w:r w:rsidRPr="005F0419">
        <w:rPr>
          <w:rFonts w:ascii="Times New Roman" w:hAnsi="Times New Roman" w:cs="Times New Roman"/>
          <w:sz w:val="28"/>
          <w:szCs w:val="28"/>
          <w:lang w:val="uk-UA"/>
        </w:rPr>
        <w:t>digital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economics</w:t>
      </w:r>
      <w:proofErr w:type="spellEnd"/>
      <w:r w:rsidRPr="005F0419">
        <w:rPr>
          <w:rFonts w:ascii="Times New Roman" w:hAnsi="Times New Roman" w:cs="Times New Roman"/>
          <w:sz w:val="28"/>
          <w:szCs w:val="28"/>
          <w:lang w:val="uk-UA"/>
        </w:rPr>
        <w:t>», що означає цифрова економіка [11].</w:t>
      </w:r>
    </w:p>
    <w:p w14:paraId="7E7B2408"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Найбільш очевидним прикладом цифрової економіки можна вважати сучасні технології надання банківських послуг та технології, що забезпечують інформаційну безпеку.</w:t>
      </w:r>
    </w:p>
    <w:p w14:paraId="552244B6"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Можна зазначити таке визначення терміну </w:t>
      </w:r>
      <w:r w:rsidRPr="005F0419">
        <w:rPr>
          <w:rFonts w:ascii="Times New Roman" w:hAnsi="Times New Roman" w:cs="Times New Roman"/>
          <w:bCs/>
          <w:sz w:val="28"/>
          <w:szCs w:val="28"/>
          <w:lang w:val="uk-UA"/>
        </w:rPr>
        <w:t>цифрова економіка</w:t>
      </w:r>
      <w:r w:rsidRPr="005F0419">
        <w:rPr>
          <w:rFonts w:ascii="Times New Roman" w:hAnsi="Times New Roman" w:cs="Times New Roman"/>
          <w:sz w:val="28"/>
          <w:szCs w:val="28"/>
          <w:lang w:val="uk-UA"/>
        </w:rPr>
        <w:t>:</w:t>
      </w:r>
    </w:p>
    <w:p w14:paraId="1EB2D30F"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це господарська діяльність, ключовим фактором виробництва в якій є дані у цифровому вигляді, обробка великих обсягів та використання результатів аналізу яких у порівнянні з традиційними формами господарювання дозволяють суттєво підвищити ефективність різних видів виробництва, технологій, обладнання, зберігання, продажу, доставки товарів та послуг  [29].</w:t>
      </w:r>
    </w:p>
    <w:p w14:paraId="4D57B13A"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це господарська діяльність, ключовим фактором виробництва в якій є дані у цифровій формі. Вона сприяє формуванню інформаційного простору з урахуванням потреб громадян та суспільства в отриманні якісних та достовірних відомостей, розвитку інформаційної інфраструктури, створенні та застосуванні інформаційно-телекомунікаційних технологій, а також формуванні нової технологічної основи для соціальної та економічної сфери.</w:t>
      </w:r>
    </w:p>
    <w:p w14:paraId="3836E28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розгляді та співвідношенні понять «</w:t>
      </w:r>
      <w:proofErr w:type="spellStart"/>
      <w:r w:rsidRPr="005F0419">
        <w:rPr>
          <w:rFonts w:ascii="Times New Roman" w:hAnsi="Times New Roman" w:cs="Times New Roman"/>
          <w:sz w:val="28"/>
          <w:szCs w:val="28"/>
          <w:lang w:val="uk-UA"/>
        </w:rPr>
        <w:t>цифровізація</w:t>
      </w:r>
      <w:proofErr w:type="spellEnd"/>
      <w:r w:rsidRPr="005F0419">
        <w:rPr>
          <w:rFonts w:ascii="Times New Roman" w:hAnsi="Times New Roman" w:cs="Times New Roman"/>
          <w:sz w:val="28"/>
          <w:szCs w:val="28"/>
          <w:lang w:val="uk-UA"/>
        </w:rPr>
        <w:t xml:space="preserve">» та «цифрова економіка» слід зазначити, що </w:t>
      </w:r>
      <w:proofErr w:type="spellStart"/>
      <w:r w:rsidRPr="005F0419">
        <w:rPr>
          <w:rFonts w:ascii="Times New Roman" w:hAnsi="Times New Roman" w:cs="Times New Roman"/>
          <w:sz w:val="28"/>
          <w:szCs w:val="28"/>
          <w:lang w:val="uk-UA"/>
        </w:rPr>
        <w:t>цифровізація</w:t>
      </w:r>
      <w:proofErr w:type="spellEnd"/>
      <w:r w:rsidRPr="005F0419">
        <w:rPr>
          <w:rFonts w:ascii="Times New Roman" w:hAnsi="Times New Roman" w:cs="Times New Roman"/>
          <w:sz w:val="28"/>
          <w:szCs w:val="28"/>
          <w:lang w:val="uk-UA"/>
        </w:rPr>
        <w:t xml:space="preserve"> – це основа цифрової економіки та вектор світового розвитку, що визначає розвиток економіки та суспільства, що формує цифрову економіку.</w:t>
      </w:r>
    </w:p>
    <w:p w14:paraId="2C9E04F4"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Отже, ми можемо визначити значення поняття цифрове суспільство. </w:t>
      </w:r>
      <w:r w:rsidRPr="005F0419">
        <w:rPr>
          <w:rFonts w:ascii="Times New Roman" w:hAnsi="Times New Roman" w:cs="Times New Roman"/>
          <w:i/>
          <w:sz w:val="28"/>
          <w:szCs w:val="28"/>
          <w:lang w:val="uk-UA"/>
        </w:rPr>
        <w:t>Цифрове суспільство</w:t>
      </w:r>
      <w:r w:rsidRPr="005F0419">
        <w:rPr>
          <w:rFonts w:ascii="Times New Roman" w:hAnsi="Times New Roman" w:cs="Times New Roman"/>
          <w:sz w:val="28"/>
          <w:szCs w:val="28"/>
          <w:lang w:val="uk-UA"/>
        </w:rPr>
        <w:t xml:space="preserve"> – це суспільство, де всі дані циркулюють у цифровому вигляді.</w:t>
      </w:r>
    </w:p>
    <w:p w14:paraId="4530D44A" w14:textId="77777777" w:rsidR="00753C4F" w:rsidRPr="005F0419" w:rsidRDefault="00753C4F" w:rsidP="00753C4F">
      <w:pPr>
        <w:spacing w:after="0" w:line="360" w:lineRule="auto"/>
        <w:ind w:firstLine="720"/>
        <w:jc w:val="both"/>
        <w:rPr>
          <w:rFonts w:ascii="Times New Roman" w:hAnsi="Times New Roman" w:cs="Times New Roman"/>
          <w:spacing w:val="-4"/>
          <w:sz w:val="28"/>
          <w:szCs w:val="28"/>
          <w:lang w:val="uk-UA"/>
        </w:rPr>
      </w:pPr>
      <w:r w:rsidRPr="005F0419">
        <w:rPr>
          <w:rFonts w:ascii="Times New Roman" w:hAnsi="Times New Roman" w:cs="Times New Roman"/>
          <w:spacing w:val="-4"/>
          <w:sz w:val="28"/>
          <w:szCs w:val="28"/>
          <w:lang w:val="uk-UA"/>
        </w:rPr>
        <w:t>Для вирішення завдань щодо прискореного розвитку та цифрової трансформації економіки, для здійснення проривного розвитку держави, збільшення чисельності населення країни, підвищення рівня життя громадян, створення комфортних умов їх проживання, а також розкриття таланту кожної людини розробляються державні програми та проекти стратегічного розвитку [2].</w:t>
      </w:r>
    </w:p>
    <w:p w14:paraId="7D4CF7F1"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Цифрова трансформація включає поширення цифрових технологій у всіх аспектах життя суспільства, а також створення інфраструктури для інформаційно-комунікаційних каналів взаємодії держави, бізнесу та населення. Суть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економіки полягає у поширенні цифрових технологій, що визначають якісні та кількісні зміни життя суспільства. Останнім часом процеси цифрової трансформації посилюються за рахунок таких «наскрізних» технологій, як штучний інтелект, робототехніка, інтернет-технології, </w:t>
      </w:r>
      <w:proofErr w:type="spellStart"/>
      <w:r w:rsidRPr="005F0419">
        <w:rPr>
          <w:rFonts w:ascii="Times New Roman" w:hAnsi="Times New Roman" w:cs="Times New Roman"/>
          <w:sz w:val="28"/>
          <w:szCs w:val="28"/>
          <w:lang w:val="uk-UA"/>
        </w:rPr>
        <w:t>Wi-Fi</w:t>
      </w:r>
      <w:proofErr w:type="spellEnd"/>
      <w:r w:rsidRPr="005F0419">
        <w:rPr>
          <w:rFonts w:ascii="Times New Roman" w:hAnsi="Times New Roman" w:cs="Times New Roman"/>
          <w:sz w:val="28"/>
          <w:szCs w:val="28"/>
          <w:lang w:val="uk-UA"/>
        </w:rPr>
        <w:t>, «розумне місто», нові способи розрахунків, «розумний дім» тощо [2].</w:t>
      </w:r>
    </w:p>
    <w:p w14:paraId="0CD0C952"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вирішення завдань щодо прискореного розвитку цифрових технологій у соціально-економічній сфері держави розроблено Державну стратегію регіонального розвитку, Стратегію розвитку інновацій України [3, 4, 5, 9], Закон України «Про електронні комунікації» [1], Національну стратегію розвитку широкосмугового доступу до Інтернету [8] та інші.</w:t>
      </w:r>
    </w:p>
    <w:p w14:paraId="40C81080" w14:textId="3F861EF9"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результаті реалізації цих національних проектів та стратегій відбудеться комплексна цифрова трансформація економіки та соціальної сфери, у країні буде створено конкурентоспроможну інфраструктуру обробки та зберігання інформації, систему підтримки досліджень у галузі цифрових інформаційно-комунікаційних технологій, а також буде вдосконалено систему підготовки кадрів  [8, 9].</w:t>
      </w:r>
    </w:p>
    <w:p w14:paraId="562DE3C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досягнення мети цифрової трансформації економіки передбачено збільшення частки масових соціально значущих послуг, доступних в електронному вигляді; зростання широкосмугового доступу до інформаційно-телекомунікаційної мережі Інтернет; збільшення вкладень у вітчизняні рішення у сфері інформаційних технологій [5].</w:t>
      </w:r>
    </w:p>
    <w:p w14:paraId="39891F7E"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Лідирують у галузі впровадження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ІТ-сектор та фінансові підприємства, а також окремим напрямкам ЖКГ за рахунок активного впровадження технологій «розумного відеоспостереження» з розпізнаванням осіб та детектуванням подій, а також інтернету речей. Їх наздоганяють </w:t>
      </w:r>
      <w:proofErr w:type="spellStart"/>
      <w:r w:rsidRPr="005F0419">
        <w:rPr>
          <w:rFonts w:ascii="Times New Roman" w:hAnsi="Times New Roman" w:cs="Times New Roman"/>
          <w:sz w:val="28"/>
          <w:szCs w:val="28"/>
          <w:lang w:val="uk-UA"/>
        </w:rPr>
        <w:t>держпослуги</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телеком</w:t>
      </w:r>
      <w:proofErr w:type="spellEnd"/>
      <w:r w:rsidRPr="005F0419">
        <w:rPr>
          <w:rFonts w:ascii="Times New Roman" w:hAnsi="Times New Roman" w:cs="Times New Roman"/>
          <w:sz w:val="28"/>
          <w:szCs w:val="28"/>
          <w:lang w:val="uk-UA"/>
        </w:rPr>
        <w:t xml:space="preserve">, страхові, банківські, видобувні та промислові компанії, а також реклама, </w:t>
      </w:r>
      <w:proofErr w:type="spellStart"/>
      <w:r w:rsidRPr="005F0419">
        <w:rPr>
          <w:rFonts w:ascii="Times New Roman" w:hAnsi="Times New Roman" w:cs="Times New Roman"/>
          <w:sz w:val="28"/>
          <w:szCs w:val="28"/>
          <w:lang w:val="uk-UA"/>
        </w:rPr>
        <w:t>ритейл</w:t>
      </w:r>
      <w:proofErr w:type="spellEnd"/>
      <w:r w:rsidRPr="005F0419">
        <w:rPr>
          <w:rFonts w:ascii="Times New Roman" w:hAnsi="Times New Roman" w:cs="Times New Roman"/>
          <w:sz w:val="28"/>
          <w:szCs w:val="28"/>
          <w:lang w:val="uk-UA"/>
        </w:rPr>
        <w:t xml:space="preserve"> та консалтинг.</w:t>
      </w:r>
    </w:p>
    <w:p w14:paraId="5C89ED74"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Галузі з нижчою цифровою зрілістю: освіта, будівництво, медицина, туризм та відпочинок, транспорт та логістика, послуги для населення.</w:t>
      </w:r>
    </w:p>
    <w:p w14:paraId="32675C53"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Нарешті, серед початківців свій шлях цифрової трансформації є послуги бізнесу, електроніка, </w:t>
      </w:r>
      <w:proofErr w:type="spellStart"/>
      <w:r w:rsidRPr="005F0419">
        <w:rPr>
          <w:rFonts w:ascii="Times New Roman" w:hAnsi="Times New Roman" w:cs="Times New Roman"/>
          <w:sz w:val="28"/>
          <w:szCs w:val="28"/>
          <w:lang w:val="uk-UA"/>
        </w:rPr>
        <w:t>агропром</w:t>
      </w:r>
      <w:proofErr w:type="spellEnd"/>
      <w:r w:rsidRPr="005F0419">
        <w:rPr>
          <w:rFonts w:ascii="Times New Roman" w:hAnsi="Times New Roman" w:cs="Times New Roman"/>
          <w:sz w:val="28"/>
          <w:szCs w:val="28"/>
          <w:lang w:val="uk-UA"/>
        </w:rPr>
        <w:t xml:space="preserve"> і </w:t>
      </w:r>
      <w:proofErr w:type="spellStart"/>
      <w:r w:rsidRPr="005F0419">
        <w:rPr>
          <w:rFonts w:ascii="Times New Roman" w:hAnsi="Times New Roman" w:cs="Times New Roman"/>
          <w:sz w:val="28"/>
          <w:szCs w:val="28"/>
          <w:lang w:val="uk-UA"/>
        </w:rPr>
        <w:t>автобізнес</w:t>
      </w:r>
      <w:proofErr w:type="spellEnd"/>
      <w:r w:rsidRPr="005F0419">
        <w:rPr>
          <w:rFonts w:ascii="Times New Roman" w:hAnsi="Times New Roman" w:cs="Times New Roman"/>
          <w:sz w:val="28"/>
          <w:szCs w:val="28"/>
          <w:lang w:val="uk-UA"/>
        </w:rPr>
        <w:t>.</w:t>
      </w:r>
    </w:p>
    <w:p w14:paraId="424DA62F"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Як і у будь-якого процесу, </w:t>
      </w:r>
      <w:proofErr w:type="spellStart"/>
      <w:r w:rsidRPr="005F0419">
        <w:rPr>
          <w:rFonts w:ascii="Times New Roman" w:hAnsi="Times New Roman" w:cs="Times New Roman"/>
          <w:sz w:val="28"/>
          <w:szCs w:val="28"/>
          <w:lang w:val="uk-UA"/>
        </w:rPr>
        <w:t>цифровізація</w:t>
      </w:r>
      <w:proofErr w:type="spellEnd"/>
      <w:r w:rsidRPr="005F0419">
        <w:rPr>
          <w:rFonts w:ascii="Times New Roman" w:hAnsi="Times New Roman" w:cs="Times New Roman"/>
          <w:sz w:val="28"/>
          <w:szCs w:val="28"/>
          <w:lang w:val="uk-UA"/>
        </w:rPr>
        <w:t xml:space="preserve"> має свої передумови, які виявлялися на різних рівнях життя держави і суспільства [6].</w:t>
      </w:r>
    </w:p>
    <w:p w14:paraId="37ED1E3C" w14:textId="175F0C54" w:rsidR="00753C4F" w:rsidRPr="005F0419" w:rsidRDefault="00753C4F" w:rsidP="00753C4F">
      <w:pPr>
        <w:spacing w:after="0" w:line="360" w:lineRule="auto"/>
        <w:ind w:firstLine="720"/>
        <w:jc w:val="both"/>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на державному рівні сприяли низка таких факторів:</w:t>
      </w:r>
    </w:p>
    <w:p w14:paraId="1EADB060" w14:textId="77777777" w:rsidR="00753C4F" w:rsidRPr="005F0419" w:rsidRDefault="00753C4F" w:rsidP="006D1666">
      <w:pPr>
        <w:pStyle w:val="a4"/>
        <w:numPr>
          <w:ilvl w:val="0"/>
          <w:numId w:val="4"/>
        </w:numPr>
        <w:tabs>
          <w:tab w:val="left" w:pos="1134"/>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глобалізація економіки;</w:t>
      </w:r>
    </w:p>
    <w:p w14:paraId="08541EC8" w14:textId="77777777" w:rsidR="00753C4F" w:rsidRPr="005F0419" w:rsidRDefault="00753C4F" w:rsidP="006D1666">
      <w:pPr>
        <w:pStyle w:val="a4"/>
        <w:numPr>
          <w:ilvl w:val="0"/>
          <w:numId w:val="4"/>
        </w:numPr>
        <w:tabs>
          <w:tab w:val="left" w:pos="1134"/>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функціонування вже створених, а також створення нових економічних зон та єдиного економічного простору;</w:t>
      </w:r>
    </w:p>
    <w:p w14:paraId="1E2D9236" w14:textId="5F9B5256" w:rsidR="00753C4F" w:rsidRPr="005F0419" w:rsidRDefault="00753C4F" w:rsidP="006D1666">
      <w:pPr>
        <w:pStyle w:val="a4"/>
        <w:numPr>
          <w:ilvl w:val="0"/>
          <w:numId w:val="4"/>
        </w:numPr>
        <w:tabs>
          <w:tab w:val="left" w:pos="1134"/>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активний розвиток інформаційних технологій у країні та у світі;</w:t>
      </w:r>
    </w:p>
    <w:p w14:paraId="554ED3E5" w14:textId="77777777" w:rsidR="00753C4F" w:rsidRPr="005F0419" w:rsidRDefault="00753C4F" w:rsidP="006D1666">
      <w:pPr>
        <w:pStyle w:val="a4"/>
        <w:numPr>
          <w:ilvl w:val="0"/>
          <w:numId w:val="4"/>
        </w:numPr>
        <w:tabs>
          <w:tab w:val="left" w:pos="1134"/>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повсюдне поширення ПК та мобільних пристроїв;</w:t>
      </w:r>
    </w:p>
    <w:p w14:paraId="4C23CD76" w14:textId="77777777" w:rsidR="00753C4F" w:rsidRPr="005F0419" w:rsidRDefault="00753C4F" w:rsidP="006D1666">
      <w:pPr>
        <w:pStyle w:val="a4"/>
        <w:numPr>
          <w:ilvl w:val="0"/>
          <w:numId w:val="4"/>
        </w:numPr>
        <w:tabs>
          <w:tab w:val="left" w:pos="1134"/>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глибока інтеграція в життя населення інтернету та соціальних мереж;</w:t>
      </w:r>
    </w:p>
    <w:p w14:paraId="148DF678" w14:textId="77777777" w:rsidR="00753C4F" w:rsidRPr="005F0419" w:rsidRDefault="00753C4F" w:rsidP="006D1666">
      <w:pPr>
        <w:pStyle w:val="a4"/>
        <w:numPr>
          <w:ilvl w:val="0"/>
          <w:numId w:val="4"/>
        </w:numPr>
        <w:tabs>
          <w:tab w:val="left" w:pos="1134"/>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поява цифрових стартапів, які почали створювати серйозну конкуренцію традиційним формам підприємств та організацій;</w:t>
      </w:r>
    </w:p>
    <w:p w14:paraId="253521D4" w14:textId="77777777" w:rsidR="00753C4F" w:rsidRPr="005F0419" w:rsidRDefault="00753C4F" w:rsidP="006D1666">
      <w:pPr>
        <w:pStyle w:val="a4"/>
        <w:numPr>
          <w:ilvl w:val="0"/>
          <w:numId w:val="4"/>
        </w:numPr>
        <w:tabs>
          <w:tab w:val="left" w:pos="1134"/>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розуміння необхідності цифрової трансформації суспільства, економіки та державного управління як важливої умови виживання у цифровій інфраструктурі світової економіки [19].</w:t>
      </w:r>
    </w:p>
    <w:p w14:paraId="025F7964"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Також можна назвати причини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лише на рівні галузі та лише на рівні окремих організацій. До передумов на рівні галузі можна віднести великий обсяг інформації, який на даний момент постає основним галузевим ресурсом, обробка якої вже неможлива в аналоговому форматі, а також необхідність інноваційних підходів, які, у свою чергу, сприяють оптимізації бізнес-процесів у галузі, скорочення витрат, оптимальному розподілу сировини та товарів, появі нових джерел галузевих доходів, пов’язаних із вторинною переробкою використовуваної у виробництві сировини або переробкою відходів виробництва.</w:t>
      </w:r>
    </w:p>
    <w:p w14:paraId="23C0ADB9"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 рівні організації утворюється розуміння необхідності покращення процесів господарської та виробничої діяльності, адаптації діючого підходу до </w:t>
      </w:r>
      <w:r w:rsidRPr="005F0419">
        <w:rPr>
          <w:rFonts w:ascii="Times New Roman" w:hAnsi="Times New Roman" w:cs="Times New Roman"/>
          <w:sz w:val="28"/>
          <w:szCs w:val="28"/>
          <w:lang w:val="uk-UA"/>
        </w:rPr>
        <w:lastRenderedPageBreak/>
        <w:t>організації діяльності відповідно до нових умов, розуміння важливості ролі ІКТ у підвищенні ефективності організації.</w:t>
      </w:r>
    </w:p>
    <w:p w14:paraId="31D5551F"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Передумови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у житті громадян визначити набагато простіше, ніж у державній та економічній сферах. Основною причиною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громадян є масове поширення спочатку персональних комп’ютерів, а далі переносних мобільних пристроїв, і навіть глобальне поширення мережі інтернет.</w:t>
      </w:r>
    </w:p>
    <w:p w14:paraId="602F589B"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Основними факторами успіху в реалізації заходів цифрової трансформації є розвиток компетенцій співробітників, підтримка керівництва, а також наявність чіткої системи управління та стратегії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w:t>
      </w:r>
    </w:p>
    <w:p w14:paraId="1367240E" w14:textId="3D89977B"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Якщо проаналізувати ключові перешкоди цифрової трансформації, можна стверджувати, що:</w:t>
      </w:r>
    </w:p>
    <w:p w14:paraId="76DED638" w14:textId="77777777" w:rsidR="00753C4F" w:rsidRPr="005F0419" w:rsidRDefault="00753C4F" w:rsidP="006D1666">
      <w:pPr>
        <w:pStyle w:val="a4"/>
        <w:numPr>
          <w:ilvl w:val="0"/>
          <w:numId w:val="4"/>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внутрішній опір змінам породжується відсутністю стратегічного плану або його незнанням (нерозумінням);</w:t>
      </w:r>
    </w:p>
    <w:p w14:paraId="5DCD17D4" w14:textId="77777777" w:rsidR="00753C4F" w:rsidRPr="005F0419" w:rsidRDefault="00753C4F" w:rsidP="006D1666">
      <w:pPr>
        <w:pStyle w:val="a4"/>
        <w:numPr>
          <w:ilvl w:val="0"/>
          <w:numId w:val="4"/>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брак компетенцій, відсутність підтримки з боку керівництва та нестача кваліфікованих кадрів свідчать про низький рівень цифрової культури в організації.</w:t>
      </w:r>
    </w:p>
    <w:p w14:paraId="20181907"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Таким чином, ми можемо зробити такі висновки:</w:t>
      </w:r>
    </w:p>
    <w:p w14:paraId="5784E26E"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цифрова економіка - новий вид економічних відносин, який проник у всі сфери ринку у світі. На сьогоднішній день саме віртуальна частина життя стає місцем зародження нових, сучасних продуктів та ідей  [17];</w:t>
      </w:r>
    </w:p>
    <w:p w14:paraId="1FEF7B57"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2) для вирішення завдань щодо прискореного розвитку цифрових технологій у соціально-економічній сфері діяльності Урядом розробляється низка законів та документів;</w:t>
      </w:r>
    </w:p>
    <w:p w14:paraId="415B893B"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 основними чинниками успіху у реалізації заходів цифрової трансформації вважаються розвиток компетенцій співробітників, підтримка керівництва, а також наявність чіткої системи управління та стратегії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w:t>
      </w:r>
    </w:p>
    <w:p w14:paraId="4311D1D5"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 сьогоднішній день усі сфери бізнесу зазнають суттєвих змін, перебуваючи під впливом цифрової трансформації, яка, спираючись на новітні технології та інновації, диктує організаціям свої умови. Якщо організація </w:t>
      </w:r>
      <w:r w:rsidRPr="005F0419">
        <w:rPr>
          <w:rFonts w:ascii="Times New Roman" w:hAnsi="Times New Roman" w:cs="Times New Roman"/>
          <w:sz w:val="28"/>
          <w:szCs w:val="28"/>
          <w:lang w:val="uk-UA"/>
        </w:rPr>
        <w:lastRenderedPageBreak/>
        <w:t>виявляється не готова до змін і не встигає адаптуватися, то її шанси на успіх мінімальні  [13].</w:t>
      </w:r>
    </w:p>
    <w:p w14:paraId="1DAB9F0A"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Прийняття нових технологій, перебудова бізнес-моделей, розвиток інноваційної культури – лише невелика частина тих викликів, що кидає цифрова трансформація. На сьогоднішній день цифрові технології – один із напрямків, що швидко розвиваються, а інноваційний менеджмент виходить на перший план в успішному управлінні організацією [32].</w:t>
      </w:r>
    </w:p>
    <w:p w14:paraId="5C01011F"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Цифрова трансформація змушує компанії створення нових підходів у роботі з інноваціями і перегляд раніше прийнятих стратегій управління.</w:t>
      </w:r>
    </w:p>
    <w:p w14:paraId="2D94EED6"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успішної цифрової трансформації організації слід розуміти, які технологічні тренди є актуальними.</w:t>
      </w:r>
    </w:p>
    <w:p w14:paraId="459B42C9" w14:textId="77777777" w:rsidR="00753C4F" w:rsidRPr="005F0419" w:rsidRDefault="00753C4F" w:rsidP="00753C4F">
      <w:pPr>
        <w:spacing w:after="0" w:line="360" w:lineRule="auto"/>
        <w:ind w:firstLine="720"/>
        <w:jc w:val="both"/>
        <w:rPr>
          <w:rFonts w:ascii="Times New Roman" w:hAnsi="Times New Roman" w:cs="Times New Roman"/>
          <w:bCs/>
          <w:iCs/>
          <w:sz w:val="28"/>
          <w:szCs w:val="28"/>
          <w:lang w:val="uk-UA"/>
        </w:rPr>
      </w:pPr>
      <w:r w:rsidRPr="005F0419">
        <w:rPr>
          <w:rFonts w:ascii="Times New Roman" w:hAnsi="Times New Roman" w:cs="Times New Roman"/>
          <w:sz w:val="28"/>
          <w:szCs w:val="28"/>
          <w:lang w:val="uk-UA"/>
        </w:rPr>
        <w:t xml:space="preserve">Перерахуємо основні </w:t>
      </w:r>
      <w:r w:rsidRPr="005F0419">
        <w:rPr>
          <w:rFonts w:ascii="Times New Roman" w:hAnsi="Times New Roman" w:cs="Times New Roman"/>
          <w:bCs/>
          <w:iCs/>
          <w:sz w:val="28"/>
          <w:szCs w:val="28"/>
          <w:lang w:val="uk-UA"/>
        </w:rPr>
        <w:t>напрямки цифрової трансформації бізнесу:</w:t>
      </w:r>
    </w:p>
    <w:p w14:paraId="705DF7F3" w14:textId="0B35C33E"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системи планування ресурсів підприємства</w:t>
      </w:r>
      <w:r w:rsidRPr="005F0419">
        <w:rPr>
          <w:rFonts w:ascii="Times New Roman" w:hAnsi="Times New Roman" w:cs="Times New Roman"/>
          <w:sz w:val="28"/>
          <w:szCs w:val="28"/>
          <w:lang w:val="uk-UA"/>
        </w:rPr>
        <w:t xml:space="preserve"> – це програмні інструменти для інтеграції внутрішніх та зовнішніх інформаційних потоків, від матеріальних та людських ресурсів до фінансів, бухгалтерського обліку та продажу та управління такими потоками;</w:t>
      </w:r>
    </w:p>
    <w:p w14:paraId="5FFE2ACC" w14:textId="79B5DAEC"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технології радіочастотної ідентифікації</w:t>
      </w:r>
      <w:r w:rsidRPr="005F0419">
        <w:rPr>
          <w:rFonts w:ascii="Times New Roman" w:hAnsi="Times New Roman" w:cs="Times New Roman"/>
          <w:sz w:val="28"/>
          <w:szCs w:val="28"/>
          <w:lang w:val="uk-UA"/>
        </w:rPr>
        <w:t xml:space="preserve"> забезпечують зв’язок малого радіусу дії та використовуються для ідентифікації продуктів, моніторингу та контролю промислового виробництва, ланцюжка поставок та відстеження запасів або у платіжних додатках;</w:t>
      </w:r>
    </w:p>
    <w:p w14:paraId="34BCC853" w14:textId="12AFD752"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програмне забезпечення</w:t>
      </w:r>
      <w:r w:rsidRPr="005F0419">
        <w:rPr>
          <w:rFonts w:ascii="Times New Roman" w:hAnsi="Times New Roman" w:cs="Times New Roman"/>
          <w:sz w:val="28"/>
          <w:szCs w:val="28"/>
          <w:lang w:val="uk-UA"/>
        </w:rPr>
        <w:t xml:space="preserve"> для управління взаємовідносинами з клієнтами та управління ланцюжками постачання використовується для управління взаємодією підприємства з клієнтами, співробітниками та постачальниками;</w:t>
      </w:r>
    </w:p>
    <w:p w14:paraId="495DE76D" w14:textId="554A0B50"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соціальні мережі</w:t>
      </w:r>
      <w:r w:rsidRPr="005F0419">
        <w:rPr>
          <w:rFonts w:ascii="Times New Roman" w:hAnsi="Times New Roman" w:cs="Times New Roman"/>
          <w:sz w:val="28"/>
          <w:szCs w:val="28"/>
          <w:lang w:val="uk-UA"/>
        </w:rPr>
        <w:t xml:space="preserve"> є інтернет-додатками для підключення, створення та обміну контентом в режимі онлайн з клієнтами, постачальниками або партнерами, або ж усередині підприємства;</w:t>
      </w:r>
    </w:p>
    <w:p w14:paraId="3284212E" w14:textId="443D6BE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xml:space="preserve">- електронна комерція </w:t>
      </w:r>
      <w:r w:rsidRPr="005F0419">
        <w:rPr>
          <w:rFonts w:ascii="Times New Roman" w:hAnsi="Times New Roman" w:cs="Times New Roman"/>
          <w:sz w:val="28"/>
          <w:szCs w:val="28"/>
          <w:lang w:val="uk-UA"/>
        </w:rPr>
        <w:t>є продаж або купівлю товарів або послуг, що здійснюється через комп’ютерні мережі методами, спеціально розробленими для отримання або розміщення замовлень;</w:t>
      </w:r>
    </w:p>
    <w:p w14:paraId="11F9C0B9" w14:textId="1A482E2E"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lastRenderedPageBreak/>
        <w:t>- виставлення електронних рахунків</w:t>
      </w:r>
      <w:r w:rsidRPr="005F0419">
        <w:rPr>
          <w:rFonts w:ascii="Times New Roman" w:hAnsi="Times New Roman" w:cs="Times New Roman"/>
          <w:sz w:val="28"/>
          <w:szCs w:val="28"/>
          <w:lang w:val="uk-UA"/>
        </w:rPr>
        <w:t xml:space="preserve"> – це форма виставлення рахунків, за якої трансакційні документи, такі як замовлення на поставку та умови оплати, передаються відповідним сторонам у цифровому та стандартизованому форматі;</w:t>
      </w:r>
    </w:p>
    <w:p w14:paraId="356338F9" w14:textId="113B7CE1"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мережі 5G</w:t>
      </w:r>
      <w:r w:rsidRPr="005F0419">
        <w:rPr>
          <w:rFonts w:ascii="Times New Roman" w:hAnsi="Times New Roman" w:cs="Times New Roman"/>
          <w:sz w:val="28"/>
          <w:szCs w:val="28"/>
          <w:lang w:val="uk-UA"/>
        </w:rPr>
        <w:t xml:space="preserve"> являють собою наступне покоління бездротової технології, яка забезпечує до 200 разів швидше підключення, ніж мережі 4G, що широко використовуються в даний час, вони збільшать пропускну здатність для більш надійного і швидкого зв’язку між машинами і забезпечать підключення десятків мільярдів пристроїв зв’язку, машин і об’єктів до Інтернету;</w:t>
      </w:r>
    </w:p>
    <w:p w14:paraId="3A8D720A" w14:textId="581106B6"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інтернет р</w:t>
      </w:r>
      <w:r w:rsidRPr="005F0419">
        <w:rPr>
          <w:rFonts w:ascii="Times New Roman" w:hAnsi="Times New Roman" w:cs="Times New Roman"/>
          <w:sz w:val="28"/>
          <w:szCs w:val="28"/>
          <w:lang w:val="uk-UA"/>
        </w:rPr>
        <w:t>е</w:t>
      </w:r>
      <w:r w:rsidRPr="005F0419">
        <w:rPr>
          <w:rFonts w:ascii="Times New Roman" w:hAnsi="Times New Roman" w:cs="Times New Roman"/>
          <w:i/>
          <w:sz w:val="28"/>
          <w:szCs w:val="28"/>
          <w:lang w:val="uk-UA"/>
        </w:rPr>
        <w:t>чей</w:t>
      </w:r>
      <w:r w:rsidRPr="005F0419">
        <w:rPr>
          <w:rFonts w:ascii="Times New Roman" w:hAnsi="Times New Roman" w:cs="Times New Roman"/>
          <w:sz w:val="28"/>
          <w:szCs w:val="28"/>
          <w:lang w:val="uk-UA"/>
        </w:rPr>
        <w:t xml:space="preserve"> – збирання та первинний аналіз даних безпосередньо при виконанні бізнес-процесів;</w:t>
      </w:r>
    </w:p>
    <w:p w14:paraId="5F5CAB58" w14:textId="61C866BE"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під </w:t>
      </w:r>
      <w:r w:rsidRPr="005F0419">
        <w:rPr>
          <w:rFonts w:ascii="Times New Roman" w:hAnsi="Times New Roman" w:cs="Times New Roman"/>
          <w:i/>
          <w:sz w:val="28"/>
          <w:szCs w:val="28"/>
          <w:lang w:val="uk-UA"/>
        </w:rPr>
        <w:t>аналітикою великих даних</w:t>
      </w:r>
      <w:r w:rsidRPr="005F0419">
        <w:rPr>
          <w:rFonts w:ascii="Times New Roman" w:hAnsi="Times New Roman" w:cs="Times New Roman"/>
          <w:sz w:val="28"/>
          <w:szCs w:val="28"/>
          <w:lang w:val="uk-UA"/>
        </w:rPr>
        <w:t xml:space="preserve"> розуміють використання різних методів та інструментів для аналізу великих обсягів даних, які генеруються в результаті зростаючого оцифрування контенту, більш масштабного моніторингу людської діяльності та поширення інтернету речей;</w:t>
      </w:r>
    </w:p>
    <w:p w14:paraId="01263447" w14:textId="40AC27E2"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хмарні обчислення</w:t>
      </w:r>
      <w:r w:rsidRPr="005F0419">
        <w:rPr>
          <w:rFonts w:ascii="Times New Roman" w:hAnsi="Times New Roman" w:cs="Times New Roman"/>
          <w:sz w:val="28"/>
          <w:szCs w:val="28"/>
          <w:lang w:val="uk-UA"/>
        </w:rPr>
        <w:t xml:space="preserve"> є послугами ІКТ, доступ до яких здійснюється через інтернет. CC пропонують можливості гнучкого доступу до додаткової обчислювальної потужності, ємності сховища, баз даних та програмного забезпечення в режимі онлайн в обсязі, що відповідає короткостроковим потребам підприємства;</w:t>
      </w:r>
    </w:p>
    <w:p w14:paraId="31B02B16" w14:textId="48E3D3AE"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штучний інтелект</w:t>
      </w:r>
      <w:r w:rsidRPr="005F0419">
        <w:rPr>
          <w:rFonts w:ascii="Times New Roman" w:hAnsi="Times New Roman" w:cs="Times New Roman"/>
          <w:sz w:val="28"/>
          <w:szCs w:val="28"/>
          <w:lang w:val="uk-UA"/>
        </w:rPr>
        <w:t xml:space="preserve"> – підготовка та реалізація управлінських рішень, </w:t>
      </w:r>
      <w:proofErr w:type="spellStart"/>
      <w:r w:rsidRPr="005F0419">
        <w:rPr>
          <w:rFonts w:ascii="Times New Roman" w:hAnsi="Times New Roman" w:cs="Times New Roman"/>
          <w:sz w:val="28"/>
          <w:szCs w:val="28"/>
          <w:lang w:val="uk-UA"/>
        </w:rPr>
        <w:t>апдейт</w:t>
      </w:r>
      <w:proofErr w:type="spellEnd"/>
      <w:r w:rsidRPr="005F0419">
        <w:rPr>
          <w:rFonts w:ascii="Times New Roman" w:hAnsi="Times New Roman" w:cs="Times New Roman"/>
          <w:sz w:val="28"/>
          <w:szCs w:val="28"/>
          <w:lang w:val="uk-UA"/>
        </w:rPr>
        <w:t xml:space="preserve"> бізнес-процесів із залученням аналітики інтелектуальних комплексів та нейронних мереж високого порядку;</w:t>
      </w:r>
    </w:p>
    <w:p w14:paraId="4E71B3AC" w14:textId="5F04B9EC"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xml:space="preserve">- </w:t>
      </w:r>
      <w:proofErr w:type="spellStart"/>
      <w:r w:rsidRPr="005F0419">
        <w:rPr>
          <w:rFonts w:ascii="Times New Roman" w:hAnsi="Times New Roman" w:cs="Times New Roman"/>
          <w:i/>
          <w:sz w:val="28"/>
          <w:szCs w:val="28"/>
          <w:lang w:val="uk-UA"/>
        </w:rPr>
        <w:t>блокчейн</w:t>
      </w:r>
      <w:proofErr w:type="spellEnd"/>
      <w:r w:rsidRPr="005F0419">
        <w:rPr>
          <w:rFonts w:ascii="Times New Roman" w:hAnsi="Times New Roman" w:cs="Times New Roman"/>
          <w:sz w:val="28"/>
          <w:szCs w:val="28"/>
          <w:lang w:val="uk-UA"/>
        </w:rPr>
        <w:t xml:space="preserve"> – це розподілений реєстр, який підтримується та зберігається у мережі комп’ютерів. Мережа регулярно оновлює реєстр на всіх ділянках, де існує, тому всі його копії завжди ідентичні. Це означає, що записи видно і доступні для перевірки всім користувачам мережі, що виключає потребу в посередниках для автентифікації  [20, 27];</w:t>
      </w:r>
    </w:p>
    <w:p w14:paraId="7B06BA2A" w14:textId="592018DD"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віддалена робоча сила</w:t>
      </w:r>
      <w:r w:rsidRPr="005F0419">
        <w:rPr>
          <w:rFonts w:ascii="Times New Roman" w:hAnsi="Times New Roman" w:cs="Times New Roman"/>
          <w:sz w:val="28"/>
          <w:szCs w:val="28"/>
          <w:lang w:val="uk-UA"/>
        </w:rPr>
        <w:t xml:space="preserve"> – глобальний </w:t>
      </w:r>
      <w:proofErr w:type="spellStart"/>
      <w:r w:rsidRPr="005F0419">
        <w:rPr>
          <w:rFonts w:ascii="Times New Roman" w:hAnsi="Times New Roman" w:cs="Times New Roman"/>
          <w:sz w:val="28"/>
          <w:szCs w:val="28"/>
          <w:lang w:val="uk-UA"/>
        </w:rPr>
        <w:t>скаутинг</w:t>
      </w:r>
      <w:proofErr w:type="spellEnd"/>
      <w:r w:rsidRPr="005F0419">
        <w:rPr>
          <w:rFonts w:ascii="Times New Roman" w:hAnsi="Times New Roman" w:cs="Times New Roman"/>
          <w:sz w:val="28"/>
          <w:szCs w:val="28"/>
          <w:lang w:val="uk-UA"/>
        </w:rPr>
        <w:t>, технології телекомунікацій, здатні надавати синхронний доступ до інформаційних ресурсів, аудіо- та відеоконференції у реальному масштабі часу;</w:t>
      </w:r>
    </w:p>
    <w:p w14:paraId="4C20DC56" w14:textId="04762B9B"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lastRenderedPageBreak/>
        <w:t>- адаптивна архітектура безпеки</w:t>
      </w:r>
      <w:r w:rsidRPr="005F0419">
        <w:rPr>
          <w:rFonts w:ascii="Times New Roman" w:hAnsi="Times New Roman" w:cs="Times New Roman"/>
          <w:sz w:val="28"/>
          <w:szCs w:val="28"/>
          <w:lang w:val="uk-UA"/>
        </w:rPr>
        <w:t xml:space="preserve"> – система забезпечення безпеки на технологіях розподіленого реєстру, здатна визначати, реагувати та усунути небезпеки в реальному часі [22].</w:t>
      </w:r>
    </w:p>
    <w:p w14:paraId="720C5829" w14:textId="224E314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Цифрова епоха дуже вимоглива. Для того, щоб організації досягти успіху, необхідно приділяти особливу увагу інноваційній культурі. Каталізаторами створення та розвитку інновацій у компанії є керівники, проте будь-яке впровадження нововведень безглуздо без бажання та прагнення до прогресу решти штату. Мотивацією можна заохочувати експериментальну діяльність співробітників, підтримку ініціативи, а також створення окремої команди для інновацій та розвитку нових, більш гнучких методів роботи [12].</w:t>
      </w:r>
    </w:p>
    <w:p w14:paraId="5E9F0BD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Цифрова епоха форсує розквіт інноваційної культури та виводить лідерство на провідну позицію в управлінні, адже без них шанси на успішний результат у протиборстві з викликами та можливостями, які цифрова трансформація надає, дуже примарні. У цьому контексті можна навести такі аспекти розвитку лідерства та інноваційної культури:</w:t>
      </w:r>
    </w:p>
    <w:p w14:paraId="1696F794" w14:textId="4C89BF9B"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w:t>
      </w:r>
      <w:r w:rsidR="00204605" w:rsidRPr="005F0419">
        <w:rPr>
          <w:rFonts w:ascii="Times New Roman" w:hAnsi="Times New Roman" w:cs="Times New Roman"/>
          <w:i/>
          <w:sz w:val="28"/>
          <w:szCs w:val="28"/>
          <w:lang w:val="uk-UA"/>
        </w:rPr>
        <w:t>с</w:t>
      </w:r>
      <w:r w:rsidRPr="005F0419">
        <w:rPr>
          <w:rFonts w:ascii="Times New Roman" w:hAnsi="Times New Roman" w:cs="Times New Roman"/>
          <w:i/>
          <w:sz w:val="28"/>
          <w:szCs w:val="28"/>
          <w:lang w:val="uk-UA"/>
        </w:rPr>
        <w:t>прияння інноваціям</w:t>
      </w:r>
      <w:r w:rsidRPr="005F0419">
        <w:rPr>
          <w:rFonts w:ascii="Times New Roman" w:hAnsi="Times New Roman" w:cs="Times New Roman"/>
          <w:sz w:val="28"/>
          <w:szCs w:val="28"/>
          <w:lang w:val="uk-UA"/>
        </w:rPr>
        <w:t xml:space="preserve"> – розвиток відкритого мислення, де співробітники прагнуть пропонувати нові ідеї та сміливі рішення, що позитивно позначається як на внутрішньому середовищі, так і на показниках компанії</w:t>
      </w:r>
      <w:r w:rsidR="00204605" w:rsidRPr="005F0419">
        <w:rPr>
          <w:rFonts w:ascii="Times New Roman" w:hAnsi="Times New Roman" w:cs="Times New Roman"/>
          <w:sz w:val="28"/>
          <w:szCs w:val="28"/>
          <w:lang w:val="uk-UA"/>
        </w:rPr>
        <w:t>;</w:t>
      </w:r>
    </w:p>
    <w:p w14:paraId="38A49786" w14:textId="1716FC0F"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w:t>
      </w:r>
      <w:r w:rsidR="00204605" w:rsidRPr="005F0419">
        <w:rPr>
          <w:rFonts w:ascii="Times New Roman" w:hAnsi="Times New Roman" w:cs="Times New Roman"/>
          <w:i/>
          <w:sz w:val="28"/>
          <w:szCs w:val="28"/>
          <w:lang w:val="uk-UA"/>
        </w:rPr>
        <w:t>п</w:t>
      </w:r>
      <w:r w:rsidRPr="005F0419">
        <w:rPr>
          <w:rFonts w:ascii="Times New Roman" w:hAnsi="Times New Roman" w:cs="Times New Roman"/>
          <w:i/>
          <w:sz w:val="28"/>
          <w:szCs w:val="28"/>
          <w:lang w:val="uk-UA"/>
        </w:rPr>
        <w:t>одолання страху перед невдачею</w:t>
      </w:r>
      <w:r w:rsidRPr="005F0419">
        <w:rPr>
          <w:rFonts w:ascii="Times New Roman" w:hAnsi="Times New Roman" w:cs="Times New Roman"/>
          <w:sz w:val="28"/>
          <w:szCs w:val="28"/>
          <w:lang w:val="uk-UA"/>
        </w:rPr>
        <w:t xml:space="preserve">. Якщо дозволити співробітникам дати волю уяві, дати можливість експериментувати і при цьому отримувати </w:t>
      </w:r>
      <w:proofErr w:type="spellStart"/>
      <w:r w:rsidRPr="005F0419">
        <w:rPr>
          <w:rFonts w:ascii="Times New Roman" w:hAnsi="Times New Roman" w:cs="Times New Roman"/>
          <w:sz w:val="28"/>
          <w:szCs w:val="28"/>
          <w:lang w:val="uk-UA"/>
        </w:rPr>
        <w:t>уроки</w:t>
      </w:r>
      <w:proofErr w:type="spellEnd"/>
      <w:r w:rsidRPr="005F0419">
        <w:rPr>
          <w:rFonts w:ascii="Times New Roman" w:hAnsi="Times New Roman" w:cs="Times New Roman"/>
          <w:sz w:val="28"/>
          <w:szCs w:val="28"/>
          <w:lang w:val="uk-UA"/>
        </w:rPr>
        <w:t xml:space="preserve"> з потенційних невдач, то подолання страху дасть колосальний поштовх для інновацій в організації</w:t>
      </w:r>
      <w:r w:rsidR="00204605" w:rsidRPr="005F0419">
        <w:rPr>
          <w:rFonts w:ascii="Times New Roman" w:hAnsi="Times New Roman" w:cs="Times New Roman"/>
          <w:sz w:val="28"/>
          <w:szCs w:val="28"/>
          <w:lang w:val="uk-UA"/>
        </w:rPr>
        <w:t>;</w:t>
      </w:r>
    </w:p>
    <w:p w14:paraId="1D55B058" w14:textId="1B2FFF81"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w:t>
      </w:r>
      <w:r w:rsidR="00204605" w:rsidRPr="005F0419">
        <w:rPr>
          <w:rFonts w:ascii="Times New Roman" w:hAnsi="Times New Roman" w:cs="Times New Roman"/>
          <w:i/>
          <w:sz w:val="28"/>
          <w:szCs w:val="28"/>
          <w:lang w:val="uk-UA"/>
        </w:rPr>
        <w:t>з</w:t>
      </w:r>
      <w:r w:rsidRPr="005F0419">
        <w:rPr>
          <w:rFonts w:ascii="Times New Roman" w:hAnsi="Times New Roman" w:cs="Times New Roman"/>
          <w:i/>
          <w:sz w:val="28"/>
          <w:szCs w:val="28"/>
          <w:lang w:val="uk-UA"/>
        </w:rPr>
        <w:t>алучення співробітників</w:t>
      </w:r>
      <w:r w:rsidRPr="005F0419">
        <w:rPr>
          <w:rFonts w:ascii="Times New Roman" w:hAnsi="Times New Roman" w:cs="Times New Roman"/>
          <w:sz w:val="28"/>
          <w:szCs w:val="28"/>
          <w:lang w:val="uk-UA"/>
        </w:rPr>
        <w:t>. Лідери повинні залучати співробітників до цифрових ініціатив та давати їм можливість брати участь у процесі прийняття рішень</w:t>
      </w:r>
      <w:r w:rsidR="00204605" w:rsidRPr="005F0419">
        <w:rPr>
          <w:rFonts w:ascii="Times New Roman" w:hAnsi="Times New Roman" w:cs="Times New Roman"/>
          <w:sz w:val="28"/>
          <w:szCs w:val="28"/>
          <w:lang w:val="uk-UA"/>
        </w:rPr>
        <w:t>;</w:t>
      </w:r>
    </w:p>
    <w:p w14:paraId="7B5AF070" w14:textId="41BF04AE"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w:t>
      </w:r>
      <w:r w:rsidR="00204605" w:rsidRPr="005F0419">
        <w:rPr>
          <w:rFonts w:ascii="Times New Roman" w:hAnsi="Times New Roman" w:cs="Times New Roman"/>
          <w:i/>
          <w:sz w:val="28"/>
          <w:szCs w:val="28"/>
          <w:lang w:val="uk-UA"/>
        </w:rPr>
        <w:t>ф</w:t>
      </w:r>
      <w:r w:rsidRPr="005F0419">
        <w:rPr>
          <w:rFonts w:ascii="Times New Roman" w:hAnsi="Times New Roman" w:cs="Times New Roman"/>
          <w:i/>
          <w:sz w:val="28"/>
          <w:szCs w:val="28"/>
          <w:lang w:val="uk-UA"/>
        </w:rPr>
        <w:t>ормування інноваційних ме</w:t>
      </w:r>
      <w:r w:rsidRPr="005F0419">
        <w:rPr>
          <w:rFonts w:ascii="Times New Roman" w:hAnsi="Times New Roman" w:cs="Times New Roman"/>
          <w:sz w:val="28"/>
          <w:szCs w:val="28"/>
          <w:lang w:val="uk-UA"/>
        </w:rPr>
        <w:t xml:space="preserve">реж. Оскільки нові ідеї постійно сприяють створенню нових ідей, мережа експертів дозволяє створювати цілі цикли інновацій. Крім того, успішні мережі дозволяють людям з різним досвідом та </w:t>
      </w:r>
      <w:proofErr w:type="spellStart"/>
      <w:r w:rsidRPr="005F0419">
        <w:rPr>
          <w:rFonts w:ascii="Times New Roman" w:hAnsi="Times New Roman" w:cs="Times New Roman"/>
          <w:sz w:val="28"/>
          <w:szCs w:val="28"/>
          <w:lang w:val="uk-UA"/>
        </w:rPr>
        <w:t>методологіями</w:t>
      </w:r>
      <w:proofErr w:type="spellEnd"/>
      <w:r w:rsidRPr="005F0419">
        <w:rPr>
          <w:rFonts w:ascii="Times New Roman" w:hAnsi="Times New Roman" w:cs="Times New Roman"/>
          <w:sz w:val="28"/>
          <w:szCs w:val="28"/>
          <w:lang w:val="uk-UA"/>
        </w:rPr>
        <w:t xml:space="preserve"> вирішення проблем отримувати вигоду із синергетичного ефекту взаємного впливу ідей.</w:t>
      </w:r>
    </w:p>
    <w:p w14:paraId="6AC6FC09"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Розкриємо чотири основні </w:t>
      </w:r>
      <w:r w:rsidRPr="005F0419">
        <w:rPr>
          <w:rFonts w:ascii="Times New Roman" w:hAnsi="Times New Roman" w:cs="Times New Roman"/>
          <w:bCs/>
          <w:sz w:val="28"/>
          <w:szCs w:val="28"/>
          <w:lang w:val="uk-UA"/>
        </w:rPr>
        <w:t>етапи</w:t>
      </w:r>
      <w:r w:rsidRPr="005F0419">
        <w:rPr>
          <w:rFonts w:ascii="Times New Roman" w:hAnsi="Times New Roman" w:cs="Times New Roman"/>
          <w:sz w:val="28"/>
          <w:szCs w:val="28"/>
          <w:lang w:val="uk-UA"/>
        </w:rPr>
        <w:t xml:space="preserve"> розробки інноваційної мережі:</w:t>
      </w:r>
    </w:p>
    <w:p w14:paraId="6EBFCF24"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 </w:t>
      </w:r>
      <w:r w:rsidRPr="005F0419">
        <w:rPr>
          <w:rFonts w:ascii="Times New Roman" w:hAnsi="Times New Roman" w:cs="Times New Roman"/>
          <w:i/>
          <w:sz w:val="28"/>
          <w:szCs w:val="28"/>
          <w:lang w:val="uk-UA"/>
        </w:rPr>
        <w:t>Створення та об’єднання</w:t>
      </w:r>
      <w:r w:rsidRPr="005F0419">
        <w:rPr>
          <w:rFonts w:ascii="Times New Roman" w:hAnsi="Times New Roman" w:cs="Times New Roman"/>
          <w:sz w:val="28"/>
          <w:szCs w:val="28"/>
          <w:lang w:val="uk-UA"/>
        </w:rPr>
        <w:t>: підбір членів команди з правильним і позитивним сприйняттям інновацій, їх поєднання між собою з огляду на досвід, кваліфікацію, підходи до інновацій (експерти, генератори ідей, дослідники) та об’єднання їх або в одну мережу або підмережі, які виконують конкретне поставлене завдання.</w:t>
      </w:r>
    </w:p>
    <w:p w14:paraId="4F7A8B3E"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w:t>
      </w:r>
      <w:r w:rsidRPr="005F0419">
        <w:rPr>
          <w:rFonts w:ascii="Times New Roman" w:hAnsi="Times New Roman" w:cs="Times New Roman"/>
          <w:i/>
          <w:sz w:val="28"/>
          <w:szCs w:val="28"/>
          <w:lang w:val="uk-UA"/>
        </w:rPr>
        <w:t>Планування та ініціація</w:t>
      </w:r>
      <w:r w:rsidRPr="005F0419">
        <w:rPr>
          <w:rFonts w:ascii="Times New Roman" w:hAnsi="Times New Roman" w:cs="Times New Roman"/>
          <w:sz w:val="28"/>
          <w:szCs w:val="28"/>
          <w:lang w:val="uk-UA"/>
        </w:rPr>
        <w:t>: завдання певних стратегічних цілей організації, ініціація ідеї виконання, завдання цільових параметрів, визначення термінів та меж роботи.</w:t>
      </w:r>
    </w:p>
    <w:p w14:paraId="2B3CAA68"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 </w:t>
      </w:r>
      <w:r w:rsidRPr="005F0419">
        <w:rPr>
          <w:rFonts w:ascii="Times New Roman" w:hAnsi="Times New Roman" w:cs="Times New Roman"/>
          <w:i/>
          <w:sz w:val="28"/>
          <w:szCs w:val="28"/>
          <w:lang w:val="uk-UA"/>
        </w:rPr>
        <w:t>Мотивація та підтримка</w:t>
      </w:r>
      <w:r w:rsidRPr="005F0419">
        <w:rPr>
          <w:rFonts w:ascii="Times New Roman" w:hAnsi="Times New Roman" w:cs="Times New Roman"/>
          <w:sz w:val="28"/>
          <w:szCs w:val="28"/>
          <w:lang w:val="uk-UA"/>
        </w:rPr>
        <w:t>: визначити ролі, лідерство, спонсорство, необхідну додаткову підтримку, винагороду.</w:t>
      </w:r>
    </w:p>
    <w:p w14:paraId="51622C4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 </w:t>
      </w:r>
      <w:r w:rsidRPr="005F0419">
        <w:rPr>
          <w:rFonts w:ascii="Times New Roman" w:hAnsi="Times New Roman" w:cs="Times New Roman"/>
          <w:i/>
          <w:sz w:val="28"/>
          <w:szCs w:val="28"/>
          <w:lang w:val="uk-UA"/>
        </w:rPr>
        <w:t>Управління та контроль</w:t>
      </w:r>
      <w:r w:rsidRPr="005F0419">
        <w:rPr>
          <w:rFonts w:ascii="Times New Roman" w:hAnsi="Times New Roman" w:cs="Times New Roman"/>
          <w:sz w:val="28"/>
          <w:szCs w:val="28"/>
          <w:lang w:val="uk-UA"/>
        </w:rPr>
        <w:t>: задати критерії ефективності на основі індивідуальної та групової успішності, критерії контролю, терміни оцінки, перегляду та зміни мережі; визначити відповідальних за цей захід [16].</w:t>
      </w:r>
    </w:p>
    <w:p w14:paraId="3E4A5B9E"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Розробка ефективних методів управління інноваційними процесами є важливою для будь-якої організації. Це включає керування портфелями проектів, вибір відповідних </w:t>
      </w:r>
      <w:proofErr w:type="spellStart"/>
      <w:r w:rsidRPr="005F0419">
        <w:rPr>
          <w:rFonts w:ascii="Times New Roman" w:hAnsi="Times New Roman" w:cs="Times New Roman"/>
          <w:sz w:val="28"/>
          <w:szCs w:val="28"/>
          <w:lang w:val="uk-UA"/>
        </w:rPr>
        <w:t>методологій</w:t>
      </w:r>
      <w:proofErr w:type="spellEnd"/>
      <w:r w:rsidRPr="005F0419">
        <w:rPr>
          <w:rFonts w:ascii="Times New Roman" w:hAnsi="Times New Roman" w:cs="Times New Roman"/>
          <w:sz w:val="28"/>
          <w:szCs w:val="28"/>
          <w:lang w:val="uk-UA"/>
        </w:rPr>
        <w:t xml:space="preserve"> розробки та застосування проектного мислення для розробки рішень, орієнтованих на клієнта. Гнучкість, як і швидка реакція на зміни довкілля, стає основним принципом в управлінні інноваціями.</w:t>
      </w:r>
    </w:p>
    <w:p w14:paraId="13BF2D50"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Особливості функціонування ефективної системи менеджменту базуються на кількох важливих параметрах:</w:t>
      </w:r>
    </w:p>
    <w:p w14:paraId="283A0F4F"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що використовується в процесі управління людьми стиль керівництва, його ефективність,</w:t>
      </w:r>
    </w:p>
    <w:p w14:paraId="566A1AD8"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Здатність менеджера приймати ефективні управлінські рішення на основі наявної актуальної інформації [22].</w:t>
      </w:r>
    </w:p>
    <w:p w14:paraId="3F94C5CF"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світі розрахунок на власні знання, вміння і навички у сфері управління організацією недостатній. В епоху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масового використання сучасних цифрових технологій найбільш гостро стоїть проблема повноцінного використання інструментарію (особливих автоматизованих систем), який </w:t>
      </w:r>
      <w:r w:rsidRPr="005F0419">
        <w:rPr>
          <w:rFonts w:ascii="Times New Roman" w:hAnsi="Times New Roman" w:cs="Times New Roman"/>
          <w:sz w:val="28"/>
          <w:szCs w:val="28"/>
          <w:lang w:val="uk-UA"/>
        </w:rPr>
        <w:lastRenderedPageBreak/>
        <w:t>дозволить організації успішно функціонувати в галузі та зберігати чи примножувати свої конкурентні переваги [22].</w:t>
      </w:r>
    </w:p>
    <w:p w14:paraId="49755AE9"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Використання автоматизованих систем включає використання наступних видів </w:t>
      </w:r>
      <w:r w:rsidRPr="005F0419">
        <w:rPr>
          <w:rFonts w:ascii="Times New Roman" w:hAnsi="Times New Roman" w:cs="Times New Roman"/>
          <w:bCs/>
          <w:i/>
          <w:sz w:val="28"/>
          <w:szCs w:val="28"/>
          <w:lang w:val="uk-UA"/>
        </w:rPr>
        <w:t>програм</w:t>
      </w:r>
      <w:r w:rsidRPr="005F0419">
        <w:rPr>
          <w:rFonts w:ascii="Times New Roman" w:hAnsi="Times New Roman" w:cs="Times New Roman"/>
          <w:sz w:val="28"/>
          <w:szCs w:val="28"/>
          <w:lang w:val="uk-UA"/>
        </w:rPr>
        <w:t>:</w:t>
      </w:r>
    </w:p>
    <w:p w14:paraId="362D65C7" w14:textId="1EDB1DED" w:rsidR="00753C4F" w:rsidRPr="005F0419" w:rsidRDefault="00753C4F" w:rsidP="006D1666">
      <w:pPr>
        <w:pStyle w:val="a4"/>
        <w:numPr>
          <w:ilvl w:val="0"/>
          <w:numId w:val="4"/>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 xml:space="preserve"> система підтримки прийняття рішень</w:t>
      </w:r>
      <w:r w:rsidRPr="005F0419">
        <w:rPr>
          <w:rFonts w:ascii="Times New Roman" w:hAnsi="Times New Roman" w:cs="Times New Roman"/>
          <w:sz w:val="28"/>
          <w:szCs w:val="28"/>
          <w:lang w:val="uk-UA"/>
        </w:rPr>
        <w:t xml:space="preserve"> </w:t>
      </w:r>
      <w:r w:rsidR="00204605"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завдяки цьому пакету програм аналітики можуть </w:t>
      </w:r>
      <w:proofErr w:type="spellStart"/>
      <w:r w:rsidRPr="005F0419">
        <w:rPr>
          <w:rFonts w:ascii="Times New Roman" w:hAnsi="Times New Roman" w:cs="Times New Roman"/>
          <w:sz w:val="28"/>
          <w:szCs w:val="28"/>
          <w:lang w:val="uk-UA"/>
        </w:rPr>
        <w:t>оперативно</w:t>
      </w:r>
      <w:proofErr w:type="spellEnd"/>
      <w:r w:rsidRPr="005F0419">
        <w:rPr>
          <w:rFonts w:ascii="Times New Roman" w:hAnsi="Times New Roman" w:cs="Times New Roman"/>
          <w:sz w:val="28"/>
          <w:szCs w:val="28"/>
          <w:lang w:val="uk-UA"/>
        </w:rPr>
        <w:t xml:space="preserve"> виконувати великі обсяги розрахунків та обчислень, давати комплексну оцінку кожному альтернативному шляху розвитку організації, виявивши при цьому позитивні та негативні сторони кожного із запропонованих варіантів. Дана система дозволяє генерувати статистичні, управлінські та фінансові звіти не вручну, а отримувати дані для їх автоматичного формування з глобальних корпоративних інформаційних систем: CRM, ECM, ERP та ін.;</w:t>
      </w:r>
    </w:p>
    <w:p w14:paraId="06A64190" w14:textId="77777777" w:rsidR="00753C4F" w:rsidRPr="005F0419" w:rsidRDefault="00753C4F" w:rsidP="006D1666">
      <w:pPr>
        <w:pStyle w:val="a4"/>
        <w:numPr>
          <w:ilvl w:val="0"/>
          <w:numId w:val="4"/>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система поведінкової аналітики</w:t>
      </w:r>
      <w:r w:rsidRPr="005F0419">
        <w:rPr>
          <w:rFonts w:ascii="Times New Roman" w:hAnsi="Times New Roman" w:cs="Times New Roman"/>
          <w:sz w:val="28"/>
          <w:szCs w:val="28"/>
          <w:lang w:val="uk-UA"/>
        </w:rPr>
        <w:t>. Система дозволяє аналізувати та оцінювати ефективність роботи співробітників організації, давати повну картину їх емоційного фону, особливостям мотивації, і навіть виявити наявність чи відсутність бажання змінити місце роботи. Однією з пріоритетних завдань системи є виявлення лідерських якостей співробітників та визначення неформального лідера в колективі.</w:t>
      </w:r>
    </w:p>
    <w:p w14:paraId="332DE29E"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Завдяки сучасному програмному забезпеченню відбувається повноцінна </w:t>
      </w:r>
      <w:proofErr w:type="spellStart"/>
      <w:r w:rsidRPr="005F0419">
        <w:rPr>
          <w:rFonts w:ascii="Times New Roman" w:hAnsi="Times New Roman" w:cs="Times New Roman"/>
          <w:sz w:val="28"/>
          <w:szCs w:val="28"/>
          <w:lang w:val="uk-UA"/>
        </w:rPr>
        <w:t>цифровізація</w:t>
      </w:r>
      <w:proofErr w:type="spellEnd"/>
      <w:r w:rsidRPr="005F0419">
        <w:rPr>
          <w:rFonts w:ascii="Times New Roman" w:hAnsi="Times New Roman" w:cs="Times New Roman"/>
          <w:sz w:val="28"/>
          <w:szCs w:val="28"/>
          <w:lang w:val="uk-UA"/>
        </w:rPr>
        <w:t xml:space="preserve"> усієї операційної діяльності організації [23]. Основна перевага даного процесу полягає в тому, що він відбувається досить швидко, в режимі реального часу зі збереженням великого масиву даних.</w:t>
      </w:r>
    </w:p>
    <w:p w14:paraId="025B8ECF"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Програмне забезпечення також дозволяє провести аналіз та оцінку зібраних (отриманих) даних, підсвітивши ті відомості, які становлять для діяльності організації загрозу чи ризики [24]. Наступним етапом роботи спеціалізованого ПЗ є пропозиція шляхів їхнього раціонального рішення.</w:t>
      </w:r>
    </w:p>
    <w:p w14:paraId="0D8252A6" w14:textId="5717CD89"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Проте з часом відбувається суттєва трансформація цифрових компетенцій. Це диктується, в першу чергу, необхідністю дотримання </w:t>
      </w:r>
      <w:proofErr w:type="spellStart"/>
      <w:r w:rsidRPr="005F0419">
        <w:rPr>
          <w:rFonts w:ascii="Times New Roman" w:hAnsi="Times New Roman" w:cs="Times New Roman"/>
          <w:sz w:val="28"/>
          <w:szCs w:val="28"/>
          <w:lang w:val="uk-UA"/>
        </w:rPr>
        <w:t>кібербезпеки</w:t>
      </w:r>
      <w:proofErr w:type="spellEnd"/>
      <w:r w:rsidRPr="005F0419">
        <w:rPr>
          <w:rFonts w:ascii="Times New Roman" w:hAnsi="Times New Roman" w:cs="Times New Roman"/>
          <w:sz w:val="28"/>
          <w:szCs w:val="28"/>
          <w:lang w:val="uk-UA"/>
        </w:rPr>
        <w:t>, вдосконалення методів програмування і т.</w:t>
      </w:r>
      <w:r w:rsidR="00204605"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w:t>
      </w:r>
    </w:p>
    <w:p w14:paraId="5BA96DAB"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Використання цифрових технологій у процесі управління означає, що управлінське ланка має повністю відмовитися від володіння гнучким комплексом управлінських компетенцій («</w:t>
      </w:r>
      <w:proofErr w:type="spellStart"/>
      <w:r w:rsidRPr="005F0419">
        <w:rPr>
          <w:rFonts w:ascii="Times New Roman" w:hAnsi="Times New Roman" w:cs="Times New Roman"/>
          <w:sz w:val="28"/>
          <w:szCs w:val="28"/>
          <w:lang w:val="uk-UA"/>
        </w:rPr>
        <w:t>soft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skills</w:t>
      </w:r>
      <w:proofErr w:type="spellEnd"/>
      <w:r w:rsidRPr="005F0419">
        <w:rPr>
          <w:rFonts w:ascii="Times New Roman" w:hAnsi="Times New Roman" w:cs="Times New Roman"/>
          <w:sz w:val="28"/>
          <w:szCs w:val="28"/>
          <w:lang w:val="uk-UA"/>
        </w:rPr>
        <w:t>») [22]. Для підтримки конкурентоспроможності організація має підтримувати орієнтацію на клієнтів, широке використання гуманістичних та соціально-орієнтованих принципів.</w:t>
      </w:r>
    </w:p>
    <w:p w14:paraId="0DE10EEB"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деяких випадках масиви даних мають досить великі обсяги. Отже, в організації може спостерігатися серед співробітників інформаційне навантаження [26].</w:t>
      </w:r>
    </w:p>
    <w:p w14:paraId="0E060007"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Останнім часом спостерігається суттєве прискорення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всіх галузей економіки та широке використання цифрових інструментів управління. Особливо це важливо для того, щоб уникнути ризиків зовнішнього середовища, </w:t>
      </w:r>
      <w:proofErr w:type="spellStart"/>
      <w:r w:rsidRPr="005F0419">
        <w:rPr>
          <w:rFonts w:ascii="Times New Roman" w:hAnsi="Times New Roman" w:cs="Times New Roman"/>
          <w:sz w:val="28"/>
          <w:szCs w:val="28"/>
          <w:lang w:val="uk-UA"/>
        </w:rPr>
        <w:t>оперативно</w:t>
      </w:r>
      <w:proofErr w:type="spellEnd"/>
      <w:r w:rsidRPr="005F0419">
        <w:rPr>
          <w:rFonts w:ascii="Times New Roman" w:hAnsi="Times New Roman" w:cs="Times New Roman"/>
          <w:sz w:val="28"/>
          <w:szCs w:val="28"/>
          <w:lang w:val="uk-UA"/>
        </w:rPr>
        <w:t xml:space="preserve"> реагувати на зміни, що відбуваються.</w:t>
      </w:r>
    </w:p>
    <w:p w14:paraId="173BB7EE"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Розвиток ІКТ призвело до кардинальної трансформації всієї структури та характеру світової економіки: ринку товарів та послуг, ринку робочої сили, фінансового ринку. </w:t>
      </w:r>
    </w:p>
    <w:p w14:paraId="690BDF74" w14:textId="77777777" w:rsidR="00753C4F" w:rsidRPr="005F0419" w:rsidRDefault="00753C4F" w:rsidP="00753C4F">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Особливе місце тут займає комплексне перетворення бізнес-моделі організацій в цілому. Мобільні технології, масиви даних, хмарні обчислення та сховища, соціальні мережі, бізнес-аналітика, штучний інтелект є основними технологіями, які міцно увійшли до інструментарію сучасного менеджера та економіста.</w:t>
      </w:r>
    </w:p>
    <w:p w14:paraId="0788559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Розуміння та прийняття цифрової реальності – основна якість, яку повною мірою повинен мати сучасний управлінець.</w:t>
      </w:r>
    </w:p>
    <w:p w14:paraId="14490DC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Багато менеджерів не прагнуть переносити стиль управління цифровими «рейками». Таке неприйняття реалій доводить їх неможливість досягти поставленої мети в бізнесі в перспективі. Також має місце свого роду «пасивність» у бажанні набувати та розвивати нові компетенції, комунікативні навички, гнучкість та швидкість мислення – багато управлінців продовжують дотримуватися консервативної моделі управління.</w:t>
      </w:r>
    </w:p>
    <w:p w14:paraId="51A339E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Цифровізація</w:t>
      </w:r>
      <w:proofErr w:type="spellEnd"/>
      <w:r w:rsidRPr="005F0419">
        <w:rPr>
          <w:rFonts w:ascii="Times New Roman" w:hAnsi="Times New Roman" w:cs="Times New Roman"/>
          <w:sz w:val="28"/>
          <w:szCs w:val="28"/>
          <w:lang w:val="uk-UA"/>
        </w:rPr>
        <w:t xml:space="preserve"> суттєво спростила оцінку та відбір кандидатів на зайняття вакансій.</w:t>
      </w:r>
    </w:p>
    <w:p w14:paraId="7DF22BBC"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Основним і найбільш суттєвим мінусом ери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є незахищеність управлінських процесів від кібернетичних атак.</w:t>
      </w:r>
    </w:p>
    <w:p w14:paraId="4E84C80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Таким чином, використання цифрових систем в управлінні суттєво полегшує роботу менеджера, підвищуючи її ефективність, що забезпечує такі результати:</w:t>
      </w:r>
    </w:p>
    <w:p w14:paraId="56FB8532"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 підвищення </w:t>
      </w:r>
      <w:proofErr w:type="spellStart"/>
      <w:r w:rsidRPr="005F0419">
        <w:rPr>
          <w:rFonts w:ascii="Times New Roman" w:hAnsi="Times New Roman" w:cs="Times New Roman"/>
          <w:sz w:val="28"/>
          <w:szCs w:val="28"/>
          <w:lang w:val="uk-UA"/>
        </w:rPr>
        <w:t>спостережуваності</w:t>
      </w:r>
      <w:proofErr w:type="spellEnd"/>
      <w:r w:rsidRPr="005F0419">
        <w:rPr>
          <w:rFonts w:ascii="Times New Roman" w:hAnsi="Times New Roman" w:cs="Times New Roman"/>
          <w:sz w:val="28"/>
          <w:szCs w:val="28"/>
          <w:lang w:val="uk-UA"/>
        </w:rPr>
        <w:t xml:space="preserve"> та керованості процесів, що дозволяє надати прийнятим управлінським рішенням характер передбачуваності та прозорості;</w:t>
      </w:r>
    </w:p>
    <w:p w14:paraId="0A31AD47"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 збільшення швидкості роботи та оперативне виявлення проблем, оптимізація процесів їх вирішення;</w:t>
      </w:r>
    </w:p>
    <w:p w14:paraId="2ED135AA"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 використання нетрудомістких стандартних підходів в управлінському обліку;</w:t>
      </w:r>
    </w:p>
    <w:p w14:paraId="2B048F6E"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4) суттєва економія всіх видів ресурсів, у тому числі часу</w:t>
      </w:r>
    </w:p>
    <w:p w14:paraId="204EA38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Цифрова економіка піддається настільки стрімкій зміні та розвитку, що часом теорія не встигає дати відповіді на багато питань, що виникають у ході практичної діяльності. Повсюдне поширення інформаційних технологій задає новий вектор у розвитку суспільства та економіки, що призводить до кардинальних змін не тільки в економічній діяльності держави, а й до кардинальних змін у житті населення. Поступальний розвиток цифрової економіки нині є основним вектором розвитку багатьох країн світу. Як процес, </w:t>
      </w:r>
      <w:proofErr w:type="spellStart"/>
      <w:r w:rsidRPr="005F0419">
        <w:rPr>
          <w:rFonts w:ascii="Times New Roman" w:hAnsi="Times New Roman" w:cs="Times New Roman"/>
          <w:sz w:val="28"/>
          <w:szCs w:val="28"/>
          <w:lang w:val="uk-UA"/>
        </w:rPr>
        <w:t>цифровізація</w:t>
      </w:r>
      <w:proofErr w:type="spellEnd"/>
      <w:r w:rsidRPr="005F0419">
        <w:rPr>
          <w:rFonts w:ascii="Times New Roman" w:hAnsi="Times New Roman" w:cs="Times New Roman"/>
          <w:sz w:val="28"/>
          <w:szCs w:val="28"/>
          <w:lang w:val="uk-UA"/>
        </w:rPr>
        <w:t xml:space="preserve"> економіки є зароджується, ще не пізнаним нововведенням в одних країнах, і набирає бурхливих обертів в інших [25].</w:t>
      </w:r>
    </w:p>
    <w:p w14:paraId="03E50C9A"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Розгляд передумов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її переваг та наслідків, як позитивних, так і негативних, для суспільства та економіки повинен бути одним із пріоритетних напрямів у вивченні  [14].</w:t>
      </w:r>
    </w:p>
    <w:p w14:paraId="05212227" w14:textId="77777777" w:rsidR="00753C4F" w:rsidRPr="005F0419" w:rsidRDefault="00753C4F" w:rsidP="00753C4F">
      <w:pPr>
        <w:spacing w:after="0" w:line="360" w:lineRule="auto"/>
        <w:ind w:firstLine="720"/>
        <w:jc w:val="both"/>
        <w:rPr>
          <w:rFonts w:ascii="Times New Roman" w:hAnsi="Times New Roman" w:cs="Times New Roman"/>
          <w:i/>
          <w:sz w:val="28"/>
          <w:szCs w:val="28"/>
          <w:lang w:val="uk-UA"/>
        </w:rPr>
      </w:pPr>
      <w:r w:rsidRPr="005F0419">
        <w:rPr>
          <w:rFonts w:ascii="Times New Roman" w:hAnsi="Times New Roman" w:cs="Times New Roman"/>
          <w:sz w:val="28"/>
          <w:szCs w:val="28"/>
          <w:lang w:val="uk-UA"/>
        </w:rPr>
        <w:t xml:space="preserve">1. </w:t>
      </w:r>
      <w:r w:rsidRPr="005F0419">
        <w:rPr>
          <w:rFonts w:ascii="Times New Roman" w:hAnsi="Times New Roman" w:cs="Times New Roman"/>
          <w:i/>
          <w:sz w:val="28"/>
          <w:szCs w:val="28"/>
          <w:lang w:val="uk-UA"/>
        </w:rPr>
        <w:t>Переваги для споживачів:</w:t>
      </w:r>
    </w:p>
    <w:p w14:paraId="6327DA1A"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можливість придбати кращий товар чи послугу без втрати часу, якіснішої та за найбільш вигідною ціною;</w:t>
      </w:r>
    </w:p>
    <w:p w14:paraId="0AE71088"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спрощений доступ громадян до державних послуг через спеціалізовані цифрові портали;</w:t>
      </w:r>
    </w:p>
    <w:p w14:paraId="5D71F943"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швидке отримання інформації про можливе працевлаштування.</w:t>
      </w:r>
    </w:p>
    <w:p w14:paraId="78746098" w14:textId="77777777" w:rsidR="00753C4F" w:rsidRPr="005F0419" w:rsidRDefault="00753C4F" w:rsidP="00753C4F">
      <w:pPr>
        <w:spacing w:after="0" w:line="360" w:lineRule="auto"/>
        <w:ind w:firstLine="720"/>
        <w:jc w:val="both"/>
        <w:rPr>
          <w:rFonts w:ascii="Times New Roman" w:hAnsi="Times New Roman" w:cs="Times New Roman"/>
          <w:i/>
          <w:sz w:val="28"/>
          <w:szCs w:val="28"/>
          <w:lang w:val="uk-UA"/>
        </w:rPr>
      </w:pPr>
      <w:r w:rsidRPr="005F0419">
        <w:rPr>
          <w:rFonts w:ascii="Times New Roman" w:hAnsi="Times New Roman" w:cs="Times New Roman"/>
          <w:sz w:val="28"/>
          <w:szCs w:val="28"/>
          <w:lang w:val="uk-UA"/>
        </w:rPr>
        <w:t xml:space="preserve">2. </w:t>
      </w:r>
      <w:r w:rsidRPr="005F0419">
        <w:rPr>
          <w:rFonts w:ascii="Times New Roman" w:hAnsi="Times New Roman" w:cs="Times New Roman"/>
          <w:i/>
          <w:sz w:val="28"/>
          <w:szCs w:val="28"/>
          <w:lang w:val="uk-UA"/>
        </w:rPr>
        <w:t>Переваги для бізнесу:</w:t>
      </w:r>
    </w:p>
    <w:p w14:paraId="23AA9E95"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підвищений рівень прозорості та простоти у взаємодіях з державним сектором;</w:t>
      </w:r>
    </w:p>
    <w:p w14:paraId="63927B3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швидкий доступ до кращих трудових та соціальних ресурсів через використання цифрових каналів зв’язку;</w:t>
      </w:r>
    </w:p>
    <w:p w14:paraId="058ECD72"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моніторинг та підвищення ефективності внутрішніх економічних процесів.</w:t>
      </w:r>
    </w:p>
    <w:p w14:paraId="526C52AC" w14:textId="77777777" w:rsidR="00753C4F" w:rsidRPr="005F0419" w:rsidRDefault="00753C4F" w:rsidP="00753C4F">
      <w:pPr>
        <w:spacing w:after="0" w:line="360" w:lineRule="auto"/>
        <w:ind w:firstLine="720"/>
        <w:jc w:val="both"/>
        <w:rPr>
          <w:rFonts w:ascii="Times New Roman" w:hAnsi="Times New Roman" w:cs="Times New Roman"/>
          <w:i/>
          <w:sz w:val="28"/>
          <w:szCs w:val="28"/>
          <w:lang w:val="uk-UA"/>
        </w:rPr>
      </w:pPr>
      <w:r w:rsidRPr="005F0419">
        <w:rPr>
          <w:rFonts w:ascii="Times New Roman" w:hAnsi="Times New Roman" w:cs="Times New Roman"/>
          <w:sz w:val="28"/>
          <w:szCs w:val="28"/>
          <w:lang w:val="uk-UA"/>
        </w:rPr>
        <w:t xml:space="preserve">3. </w:t>
      </w:r>
      <w:r w:rsidRPr="005F0419">
        <w:rPr>
          <w:rFonts w:ascii="Times New Roman" w:hAnsi="Times New Roman" w:cs="Times New Roman"/>
          <w:i/>
          <w:sz w:val="28"/>
          <w:szCs w:val="28"/>
          <w:lang w:val="uk-UA"/>
        </w:rPr>
        <w:t>Переваги державного сектора:</w:t>
      </w:r>
    </w:p>
    <w:p w14:paraId="20AC7C89"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більш ефективна взаємодія з громадянами в економічному, політичному та соціальному секторах;</w:t>
      </w:r>
    </w:p>
    <w:p w14:paraId="14324467"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визначення та аналіз соціальних тенденцій на основі наявних цифрових даних;</w:t>
      </w:r>
    </w:p>
    <w:p w14:paraId="6776D279"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підвищення ефективності багатьох процесів та скорочення можливості шахрайства та зловживання при отриманні різних державних послуг.</w:t>
      </w:r>
    </w:p>
    <w:p w14:paraId="5475487E"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Даний список є далеко неповним, можна навести ще безліч прикладів позитивного впливу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на суспільство.</w:t>
      </w:r>
    </w:p>
    <w:p w14:paraId="326AF020"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державі запущено масштабну систему розвитку економіки нового технологічного покоління, так звану цифрову економіку [19]. Її метою є докорінно зміна напрямок руху держави, всього нашого суспільства та результаті кожного суб’єкта.</w:t>
      </w:r>
    </w:p>
    <w:p w14:paraId="4B8ADA1C"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При цьому пріоритетний сценарій розвитку інформаційного суспільства передбачає, що держава створюватиме сприятливі умови для застосування інформаційних та комунікаційних технологій, удосконалюються законодавство, адміністративні процедури, сформовані платформи для онлайн-освіти, онлайн-медицини, а також громадяни матимуть змогу отримувати фінансові послуги в електронній формі. </w:t>
      </w:r>
    </w:p>
    <w:p w14:paraId="28DE3FE3"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Слід зазначити, що цифрове суспільство слідує за інформаційним, але при цьому одне випливає з іншого і окремо існувати не може. Цифрове суспільство як накопичує ресурси людей, а й з’єднує їх із кіберпростором: так відбувається, </w:t>
      </w:r>
      <w:r w:rsidRPr="005F0419">
        <w:rPr>
          <w:rFonts w:ascii="Times New Roman" w:hAnsi="Times New Roman" w:cs="Times New Roman"/>
          <w:sz w:val="28"/>
          <w:szCs w:val="28"/>
          <w:lang w:val="uk-UA"/>
        </w:rPr>
        <w:lastRenderedPageBreak/>
        <w:t>що вся накопичена інформація у фізичному просторі перетікає в кіберпростір і підлягає обробці. Головною відмінністю інформаційного та цифрового суспільства є масштаб впровадження нових цифрових технологій. Інтернет поступово набуває статусу соціально-економічної платформи, де в ролі основних технологій виступають «великі дані» (</w:t>
      </w:r>
      <w:proofErr w:type="spellStart"/>
      <w:r w:rsidRPr="005F0419">
        <w:rPr>
          <w:rFonts w:ascii="Times New Roman" w:hAnsi="Times New Roman" w:cs="Times New Roman"/>
          <w:sz w:val="28"/>
          <w:szCs w:val="28"/>
          <w:lang w:val="uk-UA"/>
        </w:rPr>
        <w:t>Big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Data</w:t>
      </w:r>
      <w:proofErr w:type="spellEnd"/>
      <w:r w:rsidRPr="005F0419">
        <w:rPr>
          <w:rFonts w:ascii="Times New Roman" w:hAnsi="Times New Roman" w:cs="Times New Roman"/>
          <w:sz w:val="28"/>
          <w:szCs w:val="28"/>
          <w:lang w:val="uk-UA"/>
        </w:rPr>
        <w:t>), «штучний інтелект» (</w:t>
      </w:r>
      <w:proofErr w:type="spellStart"/>
      <w:r w:rsidRPr="005F0419">
        <w:rPr>
          <w:rFonts w:ascii="Times New Roman" w:hAnsi="Times New Roman" w:cs="Times New Roman"/>
          <w:sz w:val="28"/>
          <w:szCs w:val="28"/>
          <w:lang w:val="uk-UA"/>
        </w:rPr>
        <w:t>Artificial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Intelligence</w:t>
      </w:r>
      <w:proofErr w:type="spellEnd"/>
      <w:r w:rsidRPr="005F0419">
        <w:rPr>
          <w:rFonts w:ascii="Times New Roman" w:hAnsi="Times New Roman" w:cs="Times New Roman"/>
          <w:sz w:val="28"/>
          <w:szCs w:val="28"/>
          <w:lang w:val="uk-UA"/>
        </w:rPr>
        <w:t xml:space="preserve">), технології віртуальної реальності (VR) – все це, маючи різні форми, так чи інакше проявляється щодня у житті кожної людини. Усі нові явища завжди несуть у собі певні виклики усталеному традиційному стану речей і, очевидно, що </w:t>
      </w:r>
      <w:proofErr w:type="spellStart"/>
      <w:r w:rsidRPr="005F0419">
        <w:rPr>
          <w:rFonts w:ascii="Times New Roman" w:hAnsi="Times New Roman" w:cs="Times New Roman"/>
          <w:sz w:val="28"/>
          <w:szCs w:val="28"/>
          <w:lang w:val="uk-UA"/>
        </w:rPr>
        <w:t>цифровізація</w:t>
      </w:r>
      <w:proofErr w:type="spellEnd"/>
      <w:r w:rsidRPr="005F0419">
        <w:rPr>
          <w:rFonts w:ascii="Times New Roman" w:hAnsi="Times New Roman" w:cs="Times New Roman"/>
          <w:sz w:val="28"/>
          <w:szCs w:val="28"/>
          <w:lang w:val="uk-UA"/>
        </w:rPr>
        <w:t xml:space="preserve"> стала винятком.</w:t>
      </w:r>
    </w:p>
    <w:p w14:paraId="7145A787"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До можливих позитивних наслідків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суспільству можна назвати підвищення якості життя з допомогою поліпшення задоволення нових потреб людей; зростання продуктивності суспільної праці в цілому за рахунок її підвищення на рівні окремих виробництв та організацій; виникнення нових форм підприємництва та нових галузей, а отже – зниження конкуренції в інших різних галузях та підвищення прибутковості; забезпечення доступності товарів та послуг для споживача за допомогою нових ефективних логістичних рішень; застосування </w:t>
      </w:r>
      <w:proofErr w:type="spellStart"/>
      <w:r w:rsidRPr="005F0419">
        <w:rPr>
          <w:rFonts w:ascii="Times New Roman" w:hAnsi="Times New Roman" w:cs="Times New Roman"/>
          <w:sz w:val="28"/>
          <w:szCs w:val="28"/>
          <w:lang w:val="uk-UA"/>
        </w:rPr>
        <w:t>людинозамінних</w:t>
      </w:r>
      <w:proofErr w:type="spellEnd"/>
      <w:r w:rsidRPr="005F0419">
        <w:rPr>
          <w:rFonts w:ascii="Times New Roman" w:hAnsi="Times New Roman" w:cs="Times New Roman"/>
          <w:sz w:val="28"/>
          <w:szCs w:val="28"/>
          <w:lang w:val="uk-UA"/>
        </w:rPr>
        <w:t xml:space="preserve"> технологій (роботизація) у небезпечних виробництвах. Для підприємств та виробництв позитивні наслідки видаються у вигляді:</w:t>
      </w:r>
    </w:p>
    <w:p w14:paraId="1838CB80" w14:textId="77777777" w:rsidR="00753C4F" w:rsidRPr="005F0419" w:rsidRDefault="00753C4F" w:rsidP="006D1666">
      <w:pPr>
        <w:pStyle w:val="a4"/>
        <w:numPr>
          <w:ilvl w:val="0"/>
          <w:numId w:val="4"/>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зменшення посередників у ході реалізації своїх товарів та послуг, оскільки </w:t>
      </w:r>
      <w:proofErr w:type="spellStart"/>
      <w:r w:rsidRPr="005F0419">
        <w:rPr>
          <w:rFonts w:ascii="Times New Roman" w:hAnsi="Times New Roman" w:cs="Times New Roman"/>
          <w:sz w:val="28"/>
          <w:szCs w:val="28"/>
          <w:lang w:val="uk-UA"/>
        </w:rPr>
        <w:t>цифровізація</w:t>
      </w:r>
      <w:proofErr w:type="spellEnd"/>
      <w:r w:rsidRPr="005F0419">
        <w:rPr>
          <w:rFonts w:ascii="Times New Roman" w:hAnsi="Times New Roman" w:cs="Times New Roman"/>
          <w:sz w:val="28"/>
          <w:szCs w:val="28"/>
          <w:lang w:val="uk-UA"/>
        </w:rPr>
        <w:t xml:space="preserve"> надає нові можливості щодо організації процесу продажу, наприклад, за допомогою інтернет-сайтів підприємств;</w:t>
      </w:r>
    </w:p>
    <w:p w14:paraId="55E39EE0" w14:textId="77777777" w:rsidR="00753C4F" w:rsidRPr="005F0419" w:rsidRDefault="00753C4F" w:rsidP="006D1666">
      <w:pPr>
        <w:pStyle w:val="a4"/>
        <w:numPr>
          <w:ilvl w:val="0"/>
          <w:numId w:val="4"/>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скорочення або оптимізації витрат, пов’язаних з пошуком інформації про споживача, рекламою товарів та послуг та веденням переговорів;</w:t>
      </w:r>
    </w:p>
    <w:p w14:paraId="1852EC1E" w14:textId="77777777" w:rsidR="00753C4F" w:rsidRPr="005F0419" w:rsidRDefault="00753C4F" w:rsidP="006D1666">
      <w:pPr>
        <w:pStyle w:val="a4"/>
        <w:numPr>
          <w:ilvl w:val="0"/>
          <w:numId w:val="4"/>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ефективного функціонування господарюючих та виробничих механізмів за рахунок скорочення часу передачі інформації та ін.</w:t>
      </w:r>
    </w:p>
    <w:p w14:paraId="4038EE3A"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Але, незважаючи на очевидну економічну ефективність впровадження цифрових технологій, варто пам’ятати, що цифрові технології є також і джерелом нових інформаційних загроз. В даний час виявлення загроз, пов’язаних з </w:t>
      </w:r>
      <w:proofErr w:type="spellStart"/>
      <w:r w:rsidRPr="005F0419">
        <w:rPr>
          <w:rFonts w:ascii="Times New Roman" w:hAnsi="Times New Roman" w:cs="Times New Roman"/>
          <w:sz w:val="28"/>
          <w:szCs w:val="28"/>
          <w:lang w:val="uk-UA"/>
        </w:rPr>
        <w:t>цифровізацією</w:t>
      </w:r>
      <w:proofErr w:type="spellEnd"/>
      <w:r w:rsidRPr="005F0419">
        <w:rPr>
          <w:rFonts w:ascii="Times New Roman" w:hAnsi="Times New Roman" w:cs="Times New Roman"/>
          <w:sz w:val="28"/>
          <w:szCs w:val="28"/>
          <w:lang w:val="uk-UA"/>
        </w:rPr>
        <w:t xml:space="preserve">, є досить актуальним процесом, оскільки кризові </w:t>
      </w:r>
      <w:r w:rsidRPr="005F0419">
        <w:rPr>
          <w:rFonts w:ascii="Times New Roman" w:hAnsi="Times New Roman" w:cs="Times New Roman"/>
          <w:sz w:val="28"/>
          <w:szCs w:val="28"/>
          <w:lang w:val="uk-UA"/>
        </w:rPr>
        <w:lastRenderedPageBreak/>
        <w:t>ситуації в умовах розвитку ІКТ, що прискорюється, можуть збільшуватися і видозмінюватися, а своєчасне їх вивчення дозволить керівництву країни і підприємств уникнути негативних наслідків і забезпечити свою безпеку [11].</w:t>
      </w:r>
    </w:p>
    <w:p w14:paraId="6317EACE"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Розвиток цифрових технологій є серйозним викликом як інформаційної безпеки населення, а й національної безпеки держави. До негативних наслідків у соціально-економічній сфері можна віднести скорочення загальної кількості робочих місць, що буде викликано роботизацією та автоматизацією, цифрове шахрайство, великий розрив між попитом на висококваліфіковані та </w:t>
      </w:r>
      <w:proofErr w:type="spellStart"/>
      <w:r w:rsidRPr="005F0419">
        <w:rPr>
          <w:rFonts w:ascii="Times New Roman" w:hAnsi="Times New Roman" w:cs="Times New Roman"/>
          <w:sz w:val="28"/>
          <w:szCs w:val="28"/>
          <w:lang w:val="uk-UA"/>
        </w:rPr>
        <w:t>низькокваліфіковані</w:t>
      </w:r>
      <w:proofErr w:type="spellEnd"/>
      <w:r w:rsidRPr="005F0419">
        <w:rPr>
          <w:rFonts w:ascii="Times New Roman" w:hAnsi="Times New Roman" w:cs="Times New Roman"/>
          <w:sz w:val="28"/>
          <w:szCs w:val="28"/>
          <w:lang w:val="uk-UA"/>
        </w:rPr>
        <w:t xml:space="preserve"> кадри та ін.</w:t>
      </w:r>
    </w:p>
    <w:p w14:paraId="2797C278"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Таким чином, ми можемо зробити висновок, що цифрова економіка зараз перебуває на стадії свого бурхливого розвитку. І вже зараз варто замислюватися про потенційні негативні наслідки </w:t>
      </w:r>
      <w:proofErr w:type="spellStart"/>
      <w:r w:rsidRPr="005F0419">
        <w:rPr>
          <w:rFonts w:ascii="Times New Roman" w:hAnsi="Times New Roman" w:cs="Times New Roman"/>
          <w:sz w:val="28"/>
          <w:szCs w:val="28"/>
          <w:lang w:val="uk-UA"/>
        </w:rPr>
        <w:t>цифровізації</w:t>
      </w:r>
      <w:proofErr w:type="spellEnd"/>
      <w:r w:rsidRPr="005F0419">
        <w:rPr>
          <w:rFonts w:ascii="Times New Roman" w:hAnsi="Times New Roman" w:cs="Times New Roman"/>
          <w:sz w:val="28"/>
          <w:szCs w:val="28"/>
          <w:lang w:val="uk-UA"/>
        </w:rPr>
        <w:t xml:space="preserve"> у соціальній та економічній сферах, а також нарощувати механізм боротьби з новими загрозами.</w:t>
      </w:r>
    </w:p>
    <w:p w14:paraId="53D97F99" w14:textId="77777777" w:rsidR="00334885" w:rsidRPr="005F0419" w:rsidRDefault="00334885" w:rsidP="00753C4F">
      <w:pPr>
        <w:spacing w:after="0" w:line="360" w:lineRule="auto"/>
        <w:ind w:firstLine="720"/>
        <w:jc w:val="both"/>
        <w:rPr>
          <w:rFonts w:ascii="Times New Roman" w:hAnsi="Times New Roman" w:cs="Times New Roman"/>
          <w:b/>
          <w:sz w:val="28"/>
          <w:szCs w:val="28"/>
          <w:lang w:val="uk-UA"/>
        </w:rPr>
      </w:pPr>
    </w:p>
    <w:p w14:paraId="6460BA69" w14:textId="77777777" w:rsidR="002A12BD" w:rsidRPr="005F0419" w:rsidRDefault="002A12BD" w:rsidP="002A12BD">
      <w:pPr>
        <w:spacing w:after="0" w:line="360" w:lineRule="auto"/>
        <w:ind w:firstLine="720"/>
        <w:jc w:val="center"/>
        <w:rPr>
          <w:rFonts w:ascii="Times New Roman" w:hAnsi="Times New Roman" w:cs="Times New Roman"/>
          <w:b/>
          <w:bCs/>
          <w:sz w:val="28"/>
          <w:szCs w:val="28"/>
          <w:lang w:val="uk-UA"/>
        </w:rPr>
      </w:pPr>
      <w:r w:rsidRPr="005F0419">
        <w:rPr>
          <w:rFonts w:ascii="Times New Roman" w:hAnsi="Times New Roman" w:cs="Times New Roman"/>
          <w:b/>
          <w:bCs/>
          <w:sz w:val="28"/>
          <w:szCs w:val="28"/>
          <w:lang w:val="uk-UA"/>
        </w:rPr>
        <w:t>Список використаних джерел</w:t>
      </w:r>
    </w:p>
    <w:p w14:paraId="3E261BF6" w14:textId="128B056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 Про електронні комунікації : Закон України від 16.12.2020 № 1089-IX. URL: </w:t>
      </w:r>
      <w:hyperlink r:id="rId30" w:history="1">
        <w:r w:rsidR="002A12BD" w:rsidRPr="005F0419">
          <w:rPr>
            <w:rStyle w:val="a6"/>
            <w:rFonts w:ascii="Times New Roman" w:hAnsi="Times New Roman" w:cs="Times New Roman"/>
            <w:color w:val="auto"/>
            <w:sz w:val="28"/>
            <w:szCs w:val="28"/>
            <w:lang w:val="uk-UA"/>
          </w:rPr>
          <w:t>https://zakon.rada.gov.ua/laws/show/1089-20</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570B7E56" w14:textId="54F9EFA8"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Про схвалення Концепції розвитку цифрових </w:t>
      </w:r>
      <w:proofErr w:type="spellStart"/>
      <w:r w:rsidRPr="005F0419">
        <w:rPr>
          <w:rFonts w:ascii="Times New Roman" w:hAnsi="Times New Roman" w:cs="Times New Roman"/>
          <w:sz w:val="28"/>
          <w:szCs w:val="28"/>
          <w:lang w:val="uk-UA"/>
        </w:rPr>
        <w:t>компетентностей</w:t>
      </w:r>
      <w:proofErr w:type="spellEnd"/>
      <w:r w:rsidRPr="005F0419">
        <w:rPr>
          <w:rFonts w:ascii="Times New Roman" w:hAnsi="Times New Roman" w:cs="Times New Roman"/>
          <w:sz w:val="28"/>
          <w:szCs w:val="28"/>
          <w:lang w:val="uk-UA"/>
        </w:rPr>
        <w:t xml:space="preserve"> та затвердження плану заходів з її реалізації : розпорядження КМУ від 3 березня 2021 р. № 167-р. URL: </w:t>
      </w:r>
      <w:hyperlink r:id="rId31" w:anchor="Text" w:history="1">
        <w:r w:rsidR="002A12BD" w:rsidRPr="005F0419">
          <w:rPr>
            <w:rStyle w:val="a6"/>
            <w:rFonts w:ascii="Times New Roman" w:hAnsi="Times New Roman" w:cs="Times New Roman"/>
            <w:color w:val="auto"/>
            <w:sz w:val="28"/>
            <w:szCs w:val="28"/>
            <w:lang w:val="uk-UA"/>
          </w:rPr>
          <w:t>https://zakon.rada.gov.ua/laws/show/167-2021-%D1%80#Text</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6EFA9E81" w14:textId="0FEE4861"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 Про Стратегію економічної безпеки України на період до 2025 року : Указ Президента України від 11 серпня 2021 року № 347/2021. Урядовий </w:t>
      </w:r>
      <w:r w:rsidR="002A12BD" w:rsidRPr="005F0419">
        <w:rPr>
          <w:rFonts w:ascii="Times New Roman" w:hAnsi="Times New Roman" w:cs="Times New Roman"/>
          <w:sz w:val="28"/>
          <w:szCs w:val="28"/>
          <w:lang w:val="uk-UA"/>
        </w:rPr>
        <w:t>кур’єр</w:t>
      </w:r>
      <w:r w:rsidRPr="005F0419">
        <w:rPr>
          <w:rFonts w:ascii="Times New Roman" w:hAnsi="Times New Roman" w:cs="Times New Roman"/>
          <w:sz w:val="28"/>
          <w:szCs w:val="28"/>
          <w:lang w:val="uk-UA"/>
        </w:rPr>
        <w:t xml:space="preserve">. 13.08.2021. № 156. URL: </w:t>
      </w:r>
      <w:hyperlink r:id="rId32" w:anchor="Text" w:history="1">
        <w:r w:rsidR="002A12BD" w:rsidRPr="005F0419">
          <w:rPr>
            <w:rStyle w:val="a6"/>
            <w:rFonts w:ascii="Times New Roman" w:hAnsi="Times New Roman" w:cs="Times New Roman"/>
            <w:color w:val="auto"/>
            <w:sz w:val="28"/>
            <w:szCs w:val="28"/>
            <w:lang w:val="uk-UA"/>
          </w:rPr>
          <w:t>https://zakon.rada.gov.ua/laws/show/n0048525-21#Text</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1F9F9EF8" w14:textId="3CB067EA"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shd w:val="clear" w:color="auto" w:fill="FFFFFF"/>
          <w:lang w:val="uk-UA"/>
        </w:rPr>
        <w:t xml:space="preserve">4. Національна економічна стратегія на період до 2030 року : постанова КМУ № 179 від 03.03.2021. URL : </w:t>
      </w:r>
      <w:hyperlink r:id="rId33" w:anchor="Text" w:history="1">
        <w:r w:rsidR="002A12BD" w:rsidRPr="005F0419">
          <w:rPr>
            <w:rStyle w:val="a6"/>
            <w:rFonts w:ascii="Times New Roman" w:hAnsi="Times New Roman" w:cs="Times New Roman"/>
            <w:color w:val="auto"/>
            <w:sz w:val="28"/>
            <w:szCs w:val="28"/>
            <w:shd w:val="clear" w:color="auto" w:fill="FFFFFF"/>
            <w:lang w:val="uk-UA"/>
          </w:rPr>
          <w:t>https://zakon.rada.gov.ua/laws/show/179-2021-%D0%BF#Text</w:t>
        </w:r>
      </w:hyperlink>
      <w:r w:rsidR="002A12BD" w:rsidRPr="005F0419">
        <w:rPr>
          <w:rFonts w:ascii="Times New Roman" w:hAnsi="Times New Roman" w:cs="Times New Roman"/>
          <w:sz w:val="28"/>
          <w:szCs w:val="28"/>
          <w:shd w:val="clear" w:color="auto" w:fill="FFFFFF"/>
          <w:lang w:val="uk-UA"/>
        </w:rPr>
        <w:t xml:space="preserve"> </w:t>
      </w:r>
      <w:r w:rsidRPr="005F0419">
        <w:rPr>
          <w:rFonts w:ascii="Times New Roman" w:hAnsi="Times New Roman" w:cs="Times New Roman"/>
          <w:sz w:val="28"/>
          <w:szCs w:val="28"/>
          <w:shd w:val="clear" w:color="auto" w:fill="FFFFFF"/>
          <w:lang w:val="uk-UA"/>
        </w:rPr>
        <w:t>(дата звернення: 17.01.2024)</w:t>
      </w:r>
    </w:p>
    <w:p w14:paraId="49A25D58" w14:textId="7D9C9D79"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5. Національна стратегія збільшення прямих іноземних інвестицій в Україну. URL: </w:t>
      </w:r>
      <w:hyperlink r:id="rId34" w:history="1">
        <w:r w:rsidR="002A12BD" w:rsidRPr="005F0419">
          <w:rPr>
            <w:rStyle w:val="a6"/>
            <w:rFonts w:ascii="Times New Roman" w:hAnsi="Times New Roman" w:cs="Times New Roman"/>
            <w:color w:val="auto"/>
            <w:sz w:val="28"/>
            <w:szCs w:val="28"/>
            <w:lang w:val="uk-UA"/>
          </w:rPr>
          <w:t>https://ukraineinvest.gov.ua/fdi-strategy/</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74E3DD38" w14:textId="02A4BEB3"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 Україна 2030Е – Країна з розвинутою цифровою економікою / Інститут майбутнього. URL: </w:t>
      </w:r>
      <w:hyperlink r:id="rId35" w:history="1">
        <w:r w:rsidR="002A12BD" w:rsidRPr="005F0419">
          <w:rPr>
            <w:rStyle w:val="a6"/>
            <w:rFonts w:ascii="Times New Roman" w:hAnsi="Times New Roman" w:cs="Times New Roman"/>
            <w:color w:val="auto"/>
            <w:sz w:val="28"/>
            <w:szCs w:val="28"/>
            <w:lang w:val="uk-UA"/>
          </w:rPr>
          <w:t>https://strategy.uifuture.org/kraina-z-rozvinutoyu-cifrovoyu-ekonomikoyu.html</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64AAAEE5" w14:textId="64C429EE"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7. Стратегія розвитку «Індустрія 4.0». Асоціація підприємств промислової автоматизації України : сайт. URL: </w:t>
      </w:r>
      <w:hyperlink r:id="rId36" w:history="1">
        <w:r w:rsidR="002A12BD" w:rsidRPr="005F0419">
          <w:rPr>
            <w:rStyle w:val="a6"/>
            <w:rFonts w:ascii="Times New Roman" w:hAnsi="Times New Roman" w:cs="Times New Roman"/>
            <w:color w:val="auto"/>
            <w:sz w:val="28"/>
            <w:szCs w:val="28"/>
            <w:lang w:val="uk-UA"/>
          </w:rPr>
          <w:t>https://mautic.appau.org.ua/asset/42:strategia-rozvitku-4-0-v3pdf</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1514C997" w14:textId="77777777" w:rsidR="002A12BD"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8. </w:t>
      </w:r>
      <w:proofErr w:type="spellStart"/>
      <w:r w:rsidRPr="005F0419">
        <w:rPr>
          <w:rFonts w:ascii="Times New Roman" w:hAnsi="Times New Roman" w:cs="Times New Roman"/>
          <w:sz w:val="28"/>
          <w:szCs w:val="28"/>
          <w:lang w:val="uk-UA"/>
        </w:rPr>
        <w:t>Проєкт</w:t>
      </w:r>
      <w:proofErr w:type="spellEnd"/>
      <w:r w:rsidRPr="005F0419">
        <w:rPr>
          <w:rFonts w:ascii="Times New Roman" w:hAnsi="Times New Roman" w:cs="Times New Roman"/>
          <w:sz w:val="28"/>
          <w:szCs w:val="28"/>
          <w:lang w:val="uk-UA"/>
        </w:rPr>
        <w:t xml:space="preserve"> Національної стратегії розвитку широкосмугового доступу до Інтернету URL: </w:t>
      </w:r>
      <w:hyperlink r:id="rId37" w:history="1">
        <w:r w:rsidR="002A12BD" w:rsidRPr="005F0419">
          <w:rPr>
            <w:rStyle w:val="a6"/>
            <w:rFonts w:ascii="Times New Roman" w:hAnsi="Times New Roman" w:cs="Times New Roman"/>
            <w:color w:val="auto"/>
            <w:sz w:val="28"/>
            <w:szCs w:val="28"/>
            <w:lang w:val="uk-UA"/>
          </w:rPr>
          <w:t>http://surl.li/ranin</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5A617DB2" w14:textId="4C59B33D"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shd w:val="clear" w:color="auto" w:fill="FFFFFF"/>
          <w:lang w:val="uk-UA"/>
        </w:rPr>
        <w:t xml:space="preserve">9. Економічна стратегія України 2030. Офіційний сайт Українського інституту майбутнього. URL: </w:t>
      </w:r>
      <w:hyperlink r:id="rId38" w:history="1">
        <w:r w:rsidR="002A12BD" w:rsidRPr="005F0419">
          <w:rPr>
            <w:rStyle w:val="a6"/>
            <w:rFonts w:ascii="Times New Roman" w:hAnsi="Times New Roman" w:cs="Times New Roman"/>
            <w:color w:val="auto"/>
            <w:sz w:val="28"/>
            <w:szCs w:val="28"/>
            <w:shd w:val="clear" w:color="auto" w:fill="FFFFFF"/>
            <w:lang w:val="uk-UA"/>
          </w:rPr>
          <w:t>https://strategy.uifuture.org/kraina-z-rozvinutoyu-cifrovoyu-ekonomikoyu.html</w:t>
        </w:r>
      </w:hyperlink>
      <w:r w:rsidR="002A12BD" w:rsidRPr="005F0419">
        <w:rPr>
          <w:rFonts w:ascii="Times New Roman" w:hAnsi="Times New Roman" w:cs="Times New Roman"/>
          <w:sz w:val="28"/>
          <w:szCs w:val="28"/>
          <w:shd w:val="clear" w:color="auto" w:fill="FFFFFF"/>
          <w:lang w:val="uk-UA"/>
        </w:rPr>
        <w:t xml:space="preserve"> </w:t>
      </w:r>
      <w:r w:rsidRPr="005F0419">
        <w:rPr>
          <w:rFonts w:ascii="Times New Roman" w:hAnsi="Times New Roman" w:cs="Times New Roman"/>
          <w:sz w:val="28"/>
          <w:szCs w:val="28"/>
          <w:shd w:val="clear" w:color="auto" w:fill="FFFFFF"/>
          <w:lang w:val="uk-UA"/>
        </w:rPr>
        <w:t>(дата звернення: 17.01.2024).</w:t>
      </w:r>
    </w:p>
    <w:p w14:paraId="69200CE0" w14:textId="53563E22"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10. </w:t>
      </w:r>
      <w:proofErr w:type="spellStart"/>
      <w:r w:rsidRPr="005F0419">
        <w:rPr>
          <w:rFonts w:ascii="Times New Roman" w:hAnsi="Times New Roman" w:cs="Times New Roman"/>
          <w:sz w:val="28"/>
          <w:szCs w:val="28"/>
          <w:lang w:val="uk-UA"/>
        </w:rPr>
        <w:t>Digital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economy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Organisation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for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Economic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Co-operation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Development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official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website</w:t>
      </w:r>
      <w:proofErr w:type="spellEnd"/>
      <w:r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shd w:val="clear" w:color="auto" w:fill="FFFFFF"/>
          <w:lang w:val="uk-UA"/>
        </w:rPr>
        <w:t>URL</w:t>
      </w:r>
      <w:r w:rsidRPr="005F0419">
        <w:rPr>
          <w:rFonts w:ascii="Times New Roman" w:hAnsi="Times New Roman" w:cs="Times New Roman"/>
          <w:sz w:val="28"/>
          <w:szCs w:val="28"/>
          <w:lang w:val="uk-UA"/>
        </w:rPr>
        <w:t xml:space="preserve">: </w:t>
      </w:r>
      <w:hyperlink r:id="rId39" w:history="1">
        <w:r w:rsidR="002A12BD" w:rsidRPr="005F0419">
          <w:rPr>
            <w:rStyle w:val="a6"/>
            <w:rFonts w:ascii="Times New Roman" w:hAnsi="Times New Roman" w:cs="Times New Roman"/>
            <w:color w:val="auto"/>
            <w:sz w:val="28"/>
            <w:szCs w:val="28"/>
            <w:lang w:val="uk-UA"/>
          </w:rPr>
          <w:t>https://www.oecd.org/sti/ieconomy/</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0D9ADDD9" w14:textId="5F7366B5"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11. </w:t>
      </w:r>
      <w:proofErr w:type="spellStart"/>
      <w:r w:rsidRPr="005F0419">
        <w:rPr>
          <w:rFonts w:ascii="Times New Roman" w:hAnsi="Times New Roman" w:cs="Times New Roman"/>
          <w:sz w:val="28"/>
          <w:szCs w:val="28"/>
          <w:lang w:val="uk-UA"/>
        </w:rPr>
        <w:t>Digital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economy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European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Union</w:t>
      </w:r>
      <w:proofErr w:type="spellEnd"/>
      <w:r w:rsidRPr="005F0419">
        <w:rPr>
          <w:rFonts w:ascii="Times New Roman" w:hAnsi="Times New Roman" w:cs="Times New Roman"/>
          <w:sz w:val="28"/>
          <w:szCs w:val="28"/>
          <w:lang w:val="uk-UA"/>
        </w:rPr>
        <w:t xml:space="preserve"> : </w:t>
      </w:r>
      <w:proofErr w:type="spellStart"/>
      <w:r w:rsidRPr="005F0419">
        <w:rPr>
          <w:rFonts w:ascii="Times New Roman" w:hAnsi="Times New Roman" w:cs="Times New Roman"/>
          <w:sz w:val="28"/>
          <w:szCs w:val="28"/>
          <w:lang w:val="uk-UA"/>
        </w:rPr>
        <w:t>official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website</w:t>
      </w:r>
      <w:proofErr w:type="spellEnd"/>
      <w:r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shd w:val="clear" w:color="auto" w:fill="FFFFFF"/>
          <w:lang w:val="uk-UA"/>
        </w:rPr>
        <w:t xml:space="preserve">URL: </w:t>
      </w:r>
      <w:hyperlink r:id="rId40" w:history="1">
        <w:r w:rsidR="002A12BD" w:rsidRPr="005F0419">
          <w:rPr>
            <w:rStyle w:val="a6"/>
            <w:rFonts w:ascii="Times New Roman" w:hAnsi="Times New Roman" w:cs="Times New Roman"/>
            <w:color w:val="auto"/>
            <w:sz w:val="28"/>
            <w:szCs w:val="28"/>
            <w:lang w:val="uk-UA"/>
          </w:rPr>
          <w:t>https://joint-research-centre.ec.europa.eu/scientific-activities-z/digital-economy_en</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093D7399" w14:textId="4396CBC8"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12. </w:t>
      </w:r>
      <w:proofErr w:type="spellStart"/>
      <w:r w:rsidRPr="005F0419">
        <w:rPr>
          <w:rFonts w:ascii="Times New Roman" w:hAnsi="Times New Roman" w:cs="Times New Roman"/>
          <w:sz w:val="28"/>
          <w:szCs w:val="28"/>
          <w:lang w:val="uk-UA"/>
        </w:rPr>
        <w:t>Бойда</w:t>
      </w:r>
      <w:proofErr w:type="spellEnd"/>
      <w:r w:rsidRPr="005F0419">
        <w:rPr>
          <w:rFonts w:ascii="Times New Roman" w:hAnsi="Times New Roman" w:cs="Times New Roman"/>
          <w:sz w:val="28"/>
          <w:szCs w:val="28"/>
          <w:lang w:val="uk-UA"/>
        </w:rPr>
        <w:t xml:space="preserve"> С. Інноваційні підходи до управління підприємствами в умовах </w:t>
      </w:r>
      <w:proofErr w:type="spellStart"/>
      <w:r w:rsidRPr="005F0419">
        <w:rPr>
          <w:rFonts w:ascii="Times New Roman" w:hAnsi="Times New Roman" w:cs="Times New Roman"/>
          <w:sz w:val="28"/>
          <w:szCs w:val="28"/>
          <w:lang w:val="uk-UA"/>
        </w:rPr>
        <w:t>діджиталізації</w:t>
      </w:r>
      <w:proofErr w:type="spellEnd"/>
      <w:r w:rsidRPr="005F0419">
        <w:rPr>
          <w:rFonts w:ascii="Times New Roman" w:hAnsi="Times New Roman" w:cs="Times New Roman"/>
          <w:sz w:val="28"/>
          <w:szCs w:val="28"/>
          <w:lang w:val="uk-UA"/>
        </w:rPr>
        <w:t xml:space="preserve"> економіки. Економіка та управління підприємствами. 2022. </w:t>
      </w:r>
      <w:proofErr w:type="spellStart"/>
      <w:r w:rsidRPr="005F0419">
        <w:rPr>
          <w:rFonts w:ascii="Times New Roman" w:hAnsi="Times New Roman" w:cs="Times New Roman"/>
          <w:sz w:val="28"/>
          <w:szCs w:val="28"/>
          <w:lang w:val="uk-UA"/>
        </w:rPr>
        <w:t>Вип</w:t>
      </w:r>
      <w:proofErr w:type="spellEnd"/>
      <w:r w:rsidR="002A12BD"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1 (85). С. 72–81. </w:t>
      </w:r>
    </w:p>
    <w:p w14:paraId="15887D0A" w14:textId="77777777" w:rsidR="00753C4F" w:rsidRPr="005F0419" w:rsidRDefault="00753C4F" w:rsidP="00753C4F">
      <w:pPr>
        <w:pStyle w:val="a9"/>
        <w:shd w:val="clear" w:color="auto" w:fill="FFFFFF"/>
        <w:spacing w:before="0" w:beforeAutospacing="0" w:after="0" w:afterAutospacing="0" w:line="360" w:lineRule="auto"/>
        <w:ind w:firstLine="720"/>
        <w:jc w:val="both"/>
        <w:rPr>
          <w:sz w:val="28"/>
          <w:szCs w:val="28"/>
          <w:lang w:val="uk-UA"/>
        </w:rPr>
      </w:pPr>
      <w:r w:rsidRPr="005F0419">
        <w:rPr>
          <w:sz w:val="28"/>
          <w:szCs w:val="28"/>
          <w:lang w:val="uk-UA"/>
        </w:rPr>
        <w:t xml:space="preserve">13. </w:t>
      </w:r>
      <w:proofErr w:type="spellStart"/>
      <w:r w:rsidRPr="005F0419">
        <w:rPr>
          <w:sz w:val="28"/>
          <w:szCs w:val="28"/>
          <w:lang w:val="uk-UA"/>
        </w:rPr>
        <w:t>Веретюк</w:t>
      </w:r>
      <w:proofErr w:type="spellEnd"/>
      <w:r w:rsidRPr="005F0419">
        <w:rPr>
          <w:sz w:val="28"/>
          <w:szCs w:val="28"/>
          <w:lang w:val="uk-UA"/>
        </w:rPr>
        <w:t xml:space="preserve"> C., </w:t>
      </w:r>
      <w:proofErr w:type="spellStart"/>
      <w:r w:rsidRPr="005F0419">
        <w:rPr>
          <w:sz w:val="28"/>
          <w:szCs w:val="28"/>
          <w:lang w:val="uk-UA"/>
        </w:rPr>
        <w:t>Пілінський</w:t>
      </w:r>
      <w:proofErr w:type="spellEnd"/>
      <w:r w:rsidRPr="005F0419">
        <w:rPr>
          <w:sz w:val="28"/>
          <w:szCs w:val="28"/>
          <w:lang w:val="uk-UA"/>
        </w:rPr>
        <w:t xml:space="preserve"> В. Визначення пріоритетних напрямків розвитку цифрової економіки в Україні. Міжнародний науково-практичний журнал «Фінансовий простір». 2017. № 3 (27). С. 51–58.</w:t>
      </w:r>
    </w:p>
    <w:p w14:paraId="3031B4E9" w14:textId="77777777" w:rsidR="00753C4F" w:rsidRPr="005F0419" w:rsidRDefault="00753C4F" w:rsidP="00753C4F">
      <w:pPr>
        <w:pStyle w:val="a9"/>
        <w:shd w:val="clear" w:color="auto" w:fill="FFFFFF"/>
        <w:spacing w:before="0" w:beforeAutospacing="0" w:after="0" w:afterAutospacing="0" w:line="360" w:lineRule="auto"/>
        <w:ind w:firstLine="720"/>
        <w:jc w:val="both"/>
        <w:rPr>
          <w:sz w:val="28"/>
          <w:szCs w:val="28"/>
          <w:lang w:val="uk-UA"/>
        </w:rPr>
      </w:pPr>
      <w:r w:rsidRPr="005F0419">
        <w:rPr>
          <w:sz w:val="28"/>
          <w:szCs w:val="28"/>
          <w:shd w:val="clear" w:color="auto" w:fill="FFFFFF"/>
          <w:lang w:val="uk-UA"/>
        </w:rPr>
        <w:t xml:space="preserve">14. </w:t>
      </w:r>
      <w:proofErr w:type="spellStart"/>
      <w:r w:rsidRPr="005F0419">
        <w:rPr>
          <w:sz w:val="28"/>
          <w:szCs w:val="28"/>
          <w:shd w:val="clear" w:color="auto" w:fill="FFFFFF"/>
          <w:lang w:val="uk-UA"/>
        </w:rPr>
        <w:t>Гельман</w:t>
      </w:r>
      <w:proofErr w:type="spellEnd"/>
      <w:r w:rsidRPr="005F0419">
        <w:rPr>
          <w:sz w:val="28"/>
          <w:szCs w:val="28"/>
          <w:shd w:val="clear" w:color="auto" w:fill="FFFFFF"/>
          <w:lang w:val="uk-UA"/>
        </w:rPr>
        <w:t xml:space="preserve"> В.М. Пріоритетність розвитку </w:t>
      </w:r>
      <w:proofErr w:type="spellStart"/>
      <w:r w:rsidRPr="005F0419">
        <w:rPr>
          <w:sz w:val="28"/>
          <w:szCs w:val="28"/>
          <w:shd w:val="clear" w:color="auto" w:fill="FFFFFF"/>
          <w:lang w:val="uk-UA"/>
        </w:rPr>
        <w:t>цифровізаціі</w:t>
      </w:r>
      <w:proofErr w:type="spellEnd"/>
      <w:r w:rsidRPr="005F0419">
        <w:rPr>
          <w:sz w:val="28"/>
          <w:szCs w:val="28"/>
          <w:shd w:val="clear" w:color="auto" w:fill="FFFFFF"/>
          <w:lang w:val="uk-UA"/>
        </w:rPr>
        <w:t xml:space="preserve"> економіки України. Управління соціально-економічним розвитком регіонів і держави: матеріали XVIІ </w:t>
      </w:r>
      <w:proofErr w:type="spellStart"/>
      <w:r w:rsidRPr="005F0419">
        <w:rPr>
          <w:sz w:val="28"/>
          <w:szCs w:val="28"/>
          <w:shd w:val="clear" w:color="auto" w:fill="FFFFFF"/>
          <w:lang w:val="uk-UA"/>
        </w:rPr>
        <w:t>Міжнар</w:t>
      </w:r>
      <w:proofErr w:type="spellEnd"/>
      <w:r w:rsidRPr="005F0419">
        <w:rPr>
          <w:sz w:val="28"/>
          <w:szCs w:val="28"/>
          <w:shd w:val="clear" w:color="auto" w:fill="FFFFFF"/>
          <w:lang w:val="uk-UA"/>
        </w:rPr>
        <w:t>. наук.-</w:t>
      </w:r>
      <w:proofErr w:type="spellStart"/>
      <w:r w:rsidRPr="005F0419">
        <w:rPr>
          <w:sz w:val="28"/>
          <w:szCs w:val="28"/>
          <w:shd w:val="clear" w:color="auto" w:fill="FFFFFF"/>
          <w:lang w:val="uk-UA"/>
        </w:rPr>
        <w:t>практ</w:t>
      </w:r>
      <w:proofErr w:type="spellEnd"/>
      <w:r w:rsidRPr="005F0419">
        <w:rPr>
          <w:sz w:val="28"/>
          <w:szCs w:val="28"/>
          <w:shd w:val="clear" w:color="auto" w:fill="FFFFFF"/>
          <w:lang w:val="uk-UA"/>
        </w:rPr>
        <w:t xml:space="preserve">. </w:t>
      </w:r>
      <w:proofErr w:type="spellStart"/>
      <w:r w:rsidRPr="005F0419">
        <w:rPr>
          <w:sz w:val="28"/>
          <w:szCs w:val="28"/>
          <w:shd w:val="clear" w:color="auto" w:fill="FFFFFF"/>
          <w:lang w:val="uk-UA"/>
        </w:rPr>
        <w:t>конф</w:t>
      </w:r>
      <w:proofErr w:type="spellEnd"/>
      <w:r w:rsidRPr="005F0419">
        <w:rPr>
          <w:sz w:val="28"/>
          <w:szCs w:val="28"/>
          <w:shd w:val="clear" w:color="auto" w:fill="FFFFFF"/>
          <w:lang w:val="uk-UA"/>
        </w:rPr>
        <w:t>., 21 квітня 2023 р., Запоріжжя: Запорізький національний університет, 2023. С.41-42.</w:t>
      </w:r>
      <w:r w:rsidRPr="005F0419">
        <w:rPr>
          <w:sz w:val="28"/>
          <w:szCs w:val="28"/>
          <w:lang w:val="uk-UA"/>
        </w:rPr>
        <w:t xml:space="preserve"> </w:t>
      </w:r>
    </w:p>
    <w:p w14:paraId="7DF62509" w14:textId="392716F1"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15. </w:t>
      </w:r>
      <w:proofErr w:type="spellStart"/>
      <w:r w:rsidRPr="005F0419">
        <w:rPr>
          <w:rFonts w:ascii="Times New Roman" w:hAnsi="Times New Roman" w:cs="Times New Roman"/>
          <w:sz w:val="28"/>
          <w:szCs w:val="28"/>
          <w:lang w:val="uk-UA"/>
        </w:rPr>
        <w:t>Горбаньова</w:t>
      </w:r>
      <w:proofErr w:type="spellEnd"/>
      <w:r w:rsidRPr="005F0419">
        <w:rPr>
          <w:rFonts w:ascii="Times New Roman" w:hAnsi="Times New Roman" w:cs="Times New Roman"/>
          <w:sz w:val="28"/>
          <w:szCs w:val="28"/>
          <w:lang w:val="uk-UA"/>
        </w:rPr>
        <w:t xml:space="preserve"> В. Концептуальні положення формування стратегії сталого розвитку підприємств в умовах цифрової економіки. Економіка та суспільство. 2023. № 48. URL : </w:t>
      </w:r>
      <w:hyperlink r:id="rId41" w:history="1">
        <w:r w:rsidR="002A12BD" w:rsidRPr="005F0419">
          <w:rPr>
            <w:rStyle w:val="a6"/>
            <w:rFonts w:ascii="Times New Roman" w:hAnsi="Times New Roman" w:cs="Times New Roman"/>
            <w:color w:val="auto"/>
            <w:sz w:val="28"/>
            <w:szCs w:val="28"/>
            <w:lang w:val="uk-UA"/>
          </w:rPr>
          <w:t>http://surl.li/ranit</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66F7B4AA"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16. Гришко В.В. Сучасні концепції менеджменту та їх застосування в умовах </w:t>
      </w:r>
      <w:proofErr w:type="spellStart"/>
      <w:r w:rsidRPr="005F0419">
        <w:rPr>
          <w:rFonts w:ascii="Times New Roman" w:hAnsi="Times New Roman" w:cs="Times New Roman"/>
          <w:sz w:val="28"/>
          <w:szCs w:val="28"/>
          <w:lang w:val="uk-UA"/>
        </w:rPr>
        <w:t>діджиталізаціїї</w:t>
      </w:r>
      <w:proofErr w:type="spellEnd"/>
      <w:r w:rsidRPr="005F0419">
        <w:rPr>
          <w:rFonts w:ascii="Times New Roman" w:hAnsi="Times New Roman" w:cs="Times New Roman"/>
          <w:sz w:val="28"/>
          <w:szCs w:val="28"/>
          <w:lang w:val="uk-UA"/>
        </w:rPr>
        <w:t xml:space="preserve"> економіки України. Економіка і регіон. 2021. № 1 (80). С. 61-67.</w:t>
      </w:r>
    </w:p>
    <w:p w14:paraId="47DADB43" w14:textId="77777777" w:rsidR="00753C4F" w:rsidRPr="005F0419" w:rsidRDefault="00753C4F" w:rsidP="00753C4F">
      <w:pPr>
        <w:pStyle w:val="a9"/>
        <w:shd w:val="clear" w:color="auto" w:fill="FFFFFF"/>
        <w:spacing w:before="0" w:beforeAutospacing="0" w:after="0" w:afterAutospacing="0" w:line="360" w:lineRule="auto"/>
        <w:ind w:firstLine="720"/>
        <w:jc w:val="both"/>
        <w:rPr>
          <w:sz w:val="28"/>
          <w:szCs w:val="28"/>
          <w:lang w:val="uk-UA"/>
        </w:rPr>
      </w:pPr>
      <w:r w:rsidRPr="005F0419">
        <w:rPr>
          <w:sz w:val="28"/>
          <w:szCs w:val="28"/>
          <w:lang w:val="uk-UA"/>
        </w:rPr>
        <w:t>17. Гусєва О.Ю. Напрями реалізації концепції цифрової економіки України. Економіка. Менеджмент. Бізнес. 2018. № 2 (24). С. 97–102.</w:t>
      </w:r>
    </w:p>
    <w:p w14:paraId="321A7CB2" w14:textId="77777777" w:rsidR="00753C4F" w:rsidRPr="005F0419" w:rsidRDefault="00753C4F" w:rsidP="00753C4F">
      <w:pPr>
        <w:pStyle w:val="a9"/>
        <w:shd w:val="clear" w:color="auto" w:fill="FFFFFF"/>
        <w:spacing w:before="0" w:beforeAutospacing="0" w:after="0" w:afterAutospacing="0" w:line="360" w:lineRule="auto"/>
        <w:ind w:firstLine="720"/>
        <w:jc w:val="both"/>
        <w:rPr>
          <w:sz w:val="28"/>
          <w:szCs w:val="28"/>
          <w:lang w:val="uk-UA"/>
        </w:rPr>
      </w:pPr>
      <w:r w:rsidRPr="005F0419">
        <w:rPr>
          <w:sz w:val="28"/>
          <w:szCs w:val="28"/>
          <w:lang w:val="uk-UA"/>
        </w:rPr>
        <w:t xml:space="preserve">18. Диба М., </w:t>
      </w:r>
      <w:proofErr w:type="spellStart"/>
      <w:r w:rsidRPr="005F0419">
        <w:rPr>
          <w:sz w:val="28"/>
          <w:szCs w:val="28"/>
          <w:lang w:val="uk-UA"/>
        </w:rPr>
        <w:t>Гернего</w:t>
      </w:r>
      <w:proofErr w:type="spellEnd"/>
      <w:r w:rsidRPr="005F0419">
        <w:rPr>
          <w:sz w:val="28"/>
          <w:szCs w:val="28"/>
          <w:lang w:val="uk-UA"/>
        </w:rPr>
        <w:t xml:space="preserve"> Ю. </w:t>
      </w:r>
      <w:proofErr w:type="spellStart"/>
      <w:r w:rsidRPr="005F0419">
        <w:rPr>
          <w:sz w:val="28"/>
          <w:szCs w:val="28"/>
          <w:lang w:val="uk-UA"/>
        </w:rPr>
        <w:t>Диджиталізація</w:t>
      </w:r>
      <w:proofErr w:type="spellEnd"/>
      <w:r w:rsidRPr="005F0419">
        <w:rPr>
          <w:sz w:val="28"/>
          <w:szCs w:val="28"/>
          <w:lang w:val="uk-UA"/>
        </w:rPr>
        <w:t xml:space="preserve"> економіки: світовий досвід та можливості розвитку в Україні. Фінанси України. 2018. № 7. C. 50-63.</w:t>
      </w:r>
    </w:p>
    <w:p w14:paraId="3D2E8CF5" w14:textId="3B163EB6"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19. Дія: Державні послуги онлайн : веб-сайт. URL: </w:t>
      </w:r>
      <w:hyperlink r:id="rId42" w:history="1">
        <w:r w:rsidR="002A12BD" w:rsidRPr="005F0419">
          <w:rPr>
            <w:rStyle w:val="a6"/>
            <w:rFonts w:ascii="Times New Roman" w:hAnsi="Times New Roman" w:cs="Times New Roman"/>
            <w:color w:val="auto"/>
            <w:sz w:val="28"/>
            <w:szCs w:val="28"/>
            <w:lang w:val="uk-UA"/>
          </w:rPr>
          <w:t>https://diia.gov.ua/</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3DE27A1B" w14:textId="77777777" w:rsidR="00753C4F" w:rsidRPr="005F0419" w:rsidRDefault="00753C4F" w:rsidP="00753C4F">
      <w:pPr>
        <w:pStyle w:val="a9"/>
        <w:shd w:val="clear" w:color="auto" w:fill="FFFFFF"/>
        <w:spacing w:before="0" w:beforeAutospacing="0" w:after="0" w:afterAutospacing="0" w:line="360" w:lineRule="auto"/>
        <w:ind w:firstLine="720"/>
        <w:jc w:val="both"/>
        <w:rPr>
          <w:sz w:val="28"/>
          <w:szCs w:val="28"/>
          <w:lang w:val="uk-UA"/>
        </w:rPr>
      </w:pPr>
      <w:r w:rsidRPr="005F0419">
        <w:rPr>
          <w:sz w:val="28"/>
          <w:szCs w:val="28"/>
          <w:lang w:val="uk-UA"/>
        </w:rPr>
        <w:t xml:space="preserve">20. </w:t>
      </w:r>
      <w:proofErr w:type="spellStart"/>
      <w:r w:rsidRPr="005F0419">
        <w:rPr>
          <w:sz w:val="28"/>
          <w:szCs w:val="28"/>
          <w:lang w:val="uk-UA"/>
        </w:rPr>
        <w:t>Карчева</w:t>
      </w:r>
      <w:proofErr w:type="spellEnd"/>
      <w:r w:rsidRPr="005F0419">
        <w:rPr>
          <w:sz w:val="28"/>
          <w:szCs w:val="28"/>
          <w:lang w:val="uk-UA"/>
        </w:rPr>
        <w:t xml:space="preserve"> Г., </w:t>
      </w:r>
      <w:proofErr w:type="spellStart"/>
      <w:r w:rsidRPr="005F0419">
        <w:rPr>
          <w:sz w:val="28"/>
          <w:szCs w:val="28"/>
          <w:lang w:val="uk-UA"/>
        </w:rPr>
        <w:t>Лернатович</w:t>
      </w:r>
      <w:proofErr w:type="spellEnd"/>
      <w:r w:rsidRPr="005F0419">
        <w:rPr>
          <w:sz w:val="28"/>
          <w:szCs w:val="28"/>
          <w:lang w:val="uk-UA"/>
        </w:rPr>
        <w:t xml:space="preserve"> Р., </w:t>
      </w:r>
      <w:proofErr w:type="spellStart"/>
      <w:r w:rsidRPr="005F0419">
        <w:rPr>
          <w:sz w:val="28"/>
          <w:szCs w:val="28"/>
          <w:lang w:val="uk-UA"/>
        </w:rPr>
        <w:t>Кавецький</w:t>
      </w:r>
      <w:proofErr w:type="spellEnd"/>
      <w:r w:rsidRPr="005F0419">
        <w:rPr>
          <w:sz w:val="28"/>
          <w:szCs w:val="28"/>
          <w:lang w:val="uk-UA"/>
        </w:rPr>
        <w:t xml:space="preserve"> В. Використання технології «</w:t>
      </w:r>
      <w:proofErr w:type="spellStart"/>
      <w:r w:rsidRPr="005F0419">
        <w:rPr>
          <w:sz w:val="28"/>
          <w:szCs w:val="28"/>
          <w:lang w:val="uk-UA"/>
        </w:rPr>
        <w:t>блокчейн</w:t>
      </w:r>
      <w:proofErr w:type="spellEnd"/>
      <w:r w:rsidRPr="005F0419">
        <w:rPr>
          <w:sz w:val="28"/>
          <w:szCs w:val="28"/>
          <w:lang w:val="uk-UA"/>
        </w:rPr>
        <w:t>» як фактор підвищення ефективності фінансової сфери. Банківська справа. 2017. № 2. С. 110–119.</w:t>
      </w:r>
    </w:p>
    <w:p w14:paraId="34733540" w14:textId="77777777" w:rsidR="00753C4F" w:rsidRPr="005F0419" w:rsidRDefault="00753C4F" w:rsidP="00753C4F">
      <w:pPr>
        <w:pStyle w:val="a9"/>
        <w:shd w:val="clear" w:color="auto" w:fill="FFFFFF"/>
        <w:spacing w:before="0" w:beforeAutospacing="0" w:after="0" w:afterAutospacing="0" w:line="360" w:lineRule="auto"/>
        <w:ind w:firstLine="720"/>
        <w:jc w:val="both"/>
        <w:rPr>
          <w:sz w:val="28"/>
          <w:szCs w:val="28"/>
          <w:lang w:val="uk-UA"/>
        </w:rPr>
      </w:pPr>
      <w:r w:rsidRPr="005F0419">
        <w:rPr>
          <w:sz w:val="28"/>
          <w:szCs w:val="28"/>
          <w:lang w:val="uk-UA"/>
        </w:rPr>
        <w:t xml:space="preserve">21. </w:t>
      </w:r>
      <w:proofErr w:type="spellStart"/>
      <w:r w:rsidRPr="005F0419">
        <w:rPr>
          <w:sz w:val="28"/>
          <w:szCs w:val="28"/>
          <w:lang w:val="uk-UA"/>
        </w:rPr>
        <w:t>Карчева</w:t>
      </w:r>
      <w:proofErr w:type="spellEnd"/>
      <w:r w:rsidRPr="005F0419">
        <w:rPr>
          <w:sz w:val="28"/>
          <w:szCs w:val="28"/>
          <w:lang w:val="uk-UA"/>
        </w:rPr>
        <w:t xml:space="preserve"> Г.Т., Огородня Д.В., </w:t>
      </w:r>
      <w:proofErr w:type="spellStart"/>
      <w:r w:rsidRPr="005F0419">
        <w:rPr>
          <w:sz w:val="28"/>
          <w:szCs w:val="28"/>
          <w:lang w:val="uk-UA"/>
        </w:rPr>
        <w:t>Опенько</w:t>
      </w:r>
      <w:proofErr w:type="spellEnd"/>
      <w:r w:rsidRPr="005F0419">
        <w:rPr>
          <w:sz w:val="28"/>
          <w:szCs w:val="28"/>
          <w:lang w:val="uk-UA"/>
        </w:rPr>
        <w:t xml:space="preserve"> В.А. Цифрова економіка та її вплив на розвиток національної та міжнародної економіки. Фінансовий простір. 2017. №3 (27). С. 13–21.</w:t>
      </w:r>
    </w:p>
    <w:p w14:paraId="42CEB11D"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22. Климчук О.В. Використання інформаційних систем і технологій у менеджменті. Теорія та практика менеджменту: матеріали Міжнародної науково-практичної конференції. Луцьк, 2021. С. 131-132.</w:t>
      </w:r>
    </w:p>
    <w:p w14:paraId="0E6D8FB6" w14:textId="393C01D8"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23. </w:t>
      </w:r>
      <w:proofErr w:type="spellStart"/>
      <w:r w:rsidRPr="005F0419">
        <w:rPr>
          <w:rFonts w:ascii="Times New Roman" w:hAnsi="Times New Roman" w:cs="Times New Roman"/>
          <w:sz w:val="28"/>
          <w:szCs w:val="28"/>
          <w:lang w:val="uk-UA"/>
        </w:rPr>
        <w:t>Котелевець</w:t>
      </w:r>
      <w:proofErr w:type="spellEnd"/>
      <w:r w:rsidRPr="005F0419">
        <w:rPr>
          <w:rFonts w:ascii="Times New Roman" w:hAnsi="Times New Roman" w:cs="Times New Roman"/>
          <w:sz w:val="28"/>
          <w:szCs w:val="28"/>
          <w:lang w:val="uk-UA"/>
        </w:rPr>
        <w:t xml:space="preserve"> Д.О. Тенденції розвитку цифрової економіки в Україні. Проблеми сучасних трансформацій. Серія: економіка та управління. № 5. URL: </w:t>
      </w:r>
      <w:hyperlink r:id="rId43" w:history="1">
        <w:r w:rsidR="002A12BD" w:rsidRPr="005F0419">
          <w:rPr>
            <w:rStyle w:val="a6"/>
            <w:rFonts w:ascii="Times New Roman" w:hAnsi="Times New Roman" w:cs="Times New Roman"/>
            <w:color w:val="auto"/>
            <w:sz w:val="28"/>
            <w:szCs w:val="28"/>
            <w:lang w:val="uk-UA"/>
          </w:rPr>
          <w:t>https://reicst.com.ua/pmt/article/view/2022-5-03-01/2022-5-03-01</w:t>
        </w:r>
      </w:hyperlink>
      <w:r w:rsidR="002A12B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17.01.2024).</w:t>
      </w:r>
    </w:p>
    <w:p w14:paraId="1C2EFB5B" w14:textId="022B5E7A" w:rsidR="00753C4F" w:rsidRPr="005F0419" w:rsidRDefault="00753C4F" w:rsidP="00753C4F">
      <w:pPr>
        <w:pStyle w:val="a9"/>
        <w:shd w:val="clear" w:color="auto" w:fill="FFFFFF"/>
        <w:spacing w:before="0" w:beforeAutospacing="0" w:after="0" w:afterAutospacing="0" w:line="360" w:lineRule="auto"/>
        <w:ind w:firstLine="720"/>
        <w:jc w:val="both"/>
        <w:rPr>
          <w:sz w:val="28"/>
          <w:szCs w:val="28"/>
          <w:lang w:val="uk-UA"/>
        </w:rPr>
      </w:pPr>
      <w:r w:rsidRPr="005F0419">
        <w:rPr>
          <w:sz w:val="28"/>
          <w:szCs w:val="28"/>
          <w:lang w:val="uk-UA"/>
        </w:rPr>
        <w:t xml:space="preserve">24. </w:t>
      </w:r>
      <w:proofErr w:type="spellStart"/>
      <w:r w:rsidRPr="005F0419">
        <w:rPr>
          <w:sz w:val="28"/>
          <w:szCs w:val="28"/>
          <w:lang w:val="uk-UA"/>
        </w:rPr>
        <w:t>Краус</w:t>
      </w:r>
      <w:proofErr w:type="spellEnd"/>
      <w:r w:rsidRPr="005F0419">
        <w:rPr>
          <w:sz w:val="28"/>
          <w:szCs w:val="28"/>
          <w:lang w:val="uk-UA"/>
        </w:rPr>
        <w:t xml:space="preserve"> Н.М., Голобородько О.П., </w:t>
      </w:r>
      <w:proofErr w:type="spellStart"/>
      <w:r w:rsidRPr="005F0419">
        <w:rPr>
          <w:sz w:val="28"/>
          <w:szCs w:val="28"/>
          <w:lang w:val="uk-UA"/>
        </w:rPr>
        <w:t>Краус</w:t>
      </w:r>
      <w:proofErr w:type="spellEnd"/>
      <w:r w:rsidRPr="005F0419">
        <w:rPr>
          <w:sz w:val="28"/>
          <w:szCs w:val="28"/>
          <w:lang w:val="uk-UA"/>
        </w:rPr>
        <w:t xml:space="preserve"> К.М. Цифрова економіка: тренди та перспективи авангардного характеру розвитку. Ефективна економіка. 2018. №1. URL: </w:t>
      </w:r>
      <w:hyperlink r:id="rId44" w:history="1">
        <w:r w:rsidR="002A12BD" w:rsidRPr="005F0419">
          <w:rPr>
            <w:rStyle w:val="a6"/>
            <w:color w:val="auto"/>
            <w:sz w:val="28"/>
            <w:szCs w:val="28"/>
            <w:lang w:val="uk-UA"/>
          </w:rPr>
          <w:t>http://www.economy.nayka.com.ua/pdf/1_2018/8.pdf</w:t>
        </w:r>
      </w:hyperlink>
      <w:r w:rsidR="002A12BD" w:rsidRPr="005F0419">
        <w:rPr>
          <w:sz w:val="28"/>
          <w:szCs w:val="28"/>
          <w:lang w:val="uk-UA"/>
        </w:rPr>
        <w:t xml:space="preserve"> </w:t>
      </w:r>
      <w:r w:rsidRPr="005F0419">
        <w:rPr>
          <w:sz w:val="28"/>
          <w:szCs w:val="28"/>
          <w:lang w:val="uk-UA"/>
        </w:rPr>
        <w:t>(дата звернення: 17.01.2024).</w:t>
      </w:r>
    </w:p>
    <w:p w14:paraId="516D9B6A" w14:textId="77777777" w:rsidR="00753C4F" w:rsidRPr="005F0419" w:rsidRDefault="00753C4F" w:rsidP="00753C4F">
      <w:pPr>
        <w:pStyle w:val="a9"/>
        <w:shd w:val="clear" w:color="auto" w:fill="FFFFFF"/>
        <w:spacing w:before="0" w:beforeAutospacing="0" w:after="0" w:afterAutospacing="0" w:line="360" w:lineRule="auto"/>
        <w:ind w:firstLine="720"/>
        <w:jc w:val="both"/>
        <w:rPr>
          <w:sz w:val="28"/>
          <w:szCs w:val="28"/>
          <w:lang w:val="uk-UA"/>
        </w:rPr>
      </w:pPr>
      <w:r w:rsidRPr="005F0419">
        <w:rPr>
          <w:sz w:val="28"/>
          <w:szCs w:val="28"/>
          <w:lang w:val="uk-UA"/>
        </w:rPr>
        <w:lastRenderedPageBreak/>
        <w:t>25. Ляшенко В.І. Цифрова модернізація економіки України як можливість проривного розвитку: монографія. Київ: Інститут економіки промисловості, 2018. 252 с.</w:t>
      </w:r>
    </w:p>
    <w:p w14:paraId="74F004AD" w14:textId="77777777" w:rsidR="00753C4F" w:rsidRPr="005F0419" w:rsidRDefault="00753C4F" w:rsidP="00753C4F">
      <w:pPr>
        <w:pStyle w:val="a9"/>
        <w:shd w:val="clear" w:color="auto" w:fill="FFFFFF"/>
        <w:spacing w:before="0" w:beforeAutospacing="0" w:after="0" w:afterAutospacing="0" w:line="360" w:lineRule="auto"/>
        <w:ind w:firstLine="720"/>
        <w:jc w:val="both"/>
        <w:rPr>
          <w:sz w:val="28"/>
          <w:szCs w:val="28"/>
          <w:lang w:val="uk-UA"/>
        </w:rPr>
      </w:pPr>
      <w:r w:rsidRPr="005F0419">
        <w:rPr>
          <w:sz w:val="28"/>
          <w:szCs w:val="28"/>
          <w:shd w:val="clear" w:color="auto" w:fill="FFFFFF"/>
          <w:lang w:val="uk-UA"/>
        </w:rPr>
        <w:t xml:space="preserve">26. </w:t>
      </w:r>
      <w:proofErr w:type="spellStart"/>
      <w:r w:rsidRPr="005F0419">
        <w:rPr>
          <w:sz w:val="28"/>
          <w:szCs w:val="28"/>
          <w:shd w:val="clear" w:color="auto" w:fill="FFFFFF"/>
          <w:lang w:val="uk-UA"/>
        </w:rPr>
        <w:t>Огренич</w:t>
      </w:r>
      <w:proofErr w:type="spellEnd"/>
      <w:r w:rsidRPr="005F0419">
        <w:rPr>
          <w:sz w:val="28"/>
          <w:szCs w:val="28"/>
          <w:shd w:val="clear" w:color="auto" w:fill="FFFFFF"/>
          <w:lang w:val="uk-UA"/>
        </w:rPr>
        <w:t xml:space="preserve"> Ю. О., </w:t>
      </w:r>
      <w:proofErr w:type="spellStart"/>
      <w:r w:rsidRPr="005F0419">
        <w:rPr>
          <w:sz w:val="28"/>
          <w:szCs w:val="28"/>
          <w:shd w:val="clear" w:color="auto" w:fill="FFFFFF"/>
          <w:lang w:val="uk-UA"/>
        </w:rPr>
        <w:t>Хапрова</w:t>
      </w:r>
      <w:proofErr w:type="spellEnd"/>
      <w:r w:rsidRPr="005F0419">
        <w:rPr>
          <w:sz w:val="28"/>
          <w:szCs w:val="28"/>
          <w:shd w:val="clear" w:color="auto" w:fill="FFFFFF"/>
          <w:lang w:val="uk-UA"/>
        </w:rPr>
        <w:t xml:space="preserve"> Д. В. Сучасний стан та перспективи використання цифрових технологій в діяльності підприємств України в умовах </w:t>
      </w:r>
      <w:proofErr w:type="spellStart"/>
      <w:r w:rsidRPr="005F0419">
        <w:rPr>
          <w:sz w:val="28"/>
          <w:szCs w:val="28"/>
          <w:shd w:val="clear" w:color="auto" w:fill="FFFFFF"/>
          <w:lang w:val="uk-UA"/>
        </w:rPr>
        <w:t>цифровізації</w:t>
      </w:r>
      <w:proofErr w:type="spellEnd"/>
      <w:r w:rsidRPr="005F0419">
        <w:rPr>
          <w:sz w:val="28"/>
          <w:szCs w:val="28"/>
          <w:shd w:val="clear" w:color="auto" w:fill="FFFFFF"/>
          <w:lang w:val="uk-UA"/>
        </w:rPr>
        <w:t xml:space="preserve"> економіки. </w:t>
      </w:r>
      <w:proofErr w:type="spellStart"/>
      <w:r w:rsidRPr="005F0419">
        <w:rPr>
          <w:sz w:val="28"/>
          <w:szCs w:val="28"/>
          <w:shd w:val="clear" w:color="auto" w:fill="FFFFFF"/>
          <w:lang w:val="uk-UA"/>
        </w:rPr>
        <w:t>European</w:t>
      </w:r>
      <w:proofErr w:type="spellEnd"/>
      <w:r w:rsidRPr="005F0419">
        <w:rPr>
          <w:sz w:val="28"/>
          <w:szCs w:val="28"/>
          <w:shd w:val="clear" w:color="auto" w:fill="FFFFFF"/>
          <w:lang w:val="uk-UA"/>
        </w:rPr>
        <w:t xml:space="preserve"> </w:t>
      </w:r>
      <w:proofErr w:type="spellStart"/>
      <w:r w:rsidRPr="005F0419">
        <w:rPr>
          <w:sz w:val="28"/>
          <w:szCs w:val="28"/>
          <w:shd w:val="clear" w:color="auto" w:fill="FFFFFF"/>
          <w:lang w:val="uk-UA"/>
        </w:rPr>
        <w:t>Scientific</w:t>
      </w:r>
      <w:proofErr w:type="spellEnd"/>
      <w:r w:rsidRPr="005F0419">
        <w:rPr>
          <w:sz w:val="28"/>
          <w:szCs w:val="28"/>
          <w:shd w:val="clear" w:color="auto" w:fill="FFFFFF"/>
          <w:lang w:val="uk-UA"/>
        </w:rPr>
        <w:t xml:space="preserve"> e-</w:t>
      </w:r>
      <w:proofErr w:type="spellStart"/>
      <w:r w:rsidRPr="005F0419">
        <w:rPr>
          <w:sz w:val="28"/>
          <w:szCs w:val="28"/>
          <w:shd w:val="clear" w:color="auto" w:fill="FFFFFF"/>
          <w:lang w:val="uk-UA"/>
        </w:rPr>
        <w:t>Journal</w:t>
      </w:r>
      <w:proofErr w:type="spellEnd"/>
      <w:r w:rsidRPr="005F0419">
        <w:rPr>
          <w:sz w:val="28"/>
          <w:szCs w:val="28"/>
          <w:shd w:val="clear" w:color="auto" w:fill="FFFFFF"/>
          <w:lang w:val="uk-UA"/>
        </w:rPr>
        <w:t xml:space="preserve">. 2022. № 3 (18). Р. 67–77. </w:t>
      </w:r>
    </w:p>
    <w:p w14:paraId="36F05284" w14:textId="77777777" w:rsidR="00753C4F" w:rsidRPr="005F0419" w:rsidRDefault="00753C4F" w:rsidP="00753C4F">
      <w:pPr>
        <w:pStyle w:val="a9"/>
        <w:shd w:val="clear" w:color="auto" w:fill="FFFFFF"/>
        <w:spacing w:before="0" w:beforeAutospacing="0" w:after="0" w:afterAutospacing="0" w:line="360" w:lineRule="auto"/>
        <w:ind w:firstLine="720"/>
        <w:jc w:val="both"/>
        <w:rPr>
          <w:sz w:val="28"/>
          <w:szCs w:val="28"/>
          <w:lang w:val="uk-UA"/>
        </w:rPr>
      </w:pPr>
      <w:r w:rsidRPr="005F0419">
        <w:rPr>
          <w:sz w:val="28"/>
          <w:szCs w:val="28"/>
          <w:lang w:val="uk-UA"/>
        </w:rPr>
        <w:t xml:space="preserve">27. </w:t>
      </w:r>
      <w:proofErr w:type="spellStart"/>
      <w:r w:rsidRPr="005F0419">
        <w:rPr>
          <w:sz w:val="28"/>
          <w:szCs w:val="28"/>
          <w:lang w:val="uk-UA"/>
        </w:rPr>
        <w:t>Пантєлєєва</w:t>
      </w:r>
      <w:proofErr w:type="spellEnd"/>
      <w:r w:rsidRPr="005F0419">
        <w:rPr>
          <w:sz w:val="28"/>
          <w:szCs w:val="28"/>
          <w:lang w:val="uk-UA"/>
        </w:rPr>
        <w:t xml:space="preserve"> Н.М. Інформаційна технологія </w:t>
      </w:r>
      <w:proofErr w:type="spellStart"/>
      <w:r w:rsidRPr="005F0419">
        <w:rPr>
          <w:sz w:val="28"/>
          <w:szCs w:val="28"/>
          <w:lang w:val="uk-UA"/>
        </w:rPr>
        <w:t>Блокчейн</w:t>
      </w:r>
      <w:proofErr w:type="spellEnd"/>
      <w:r w:rsidRPr="005F0419">
        <w:rPr>
          <w:sz w:val="28"/>
          <w:szCs w:val="28"/>
          <w:lang w:val="uk-UA"/>
        </w:rPr>
        <w:t xml:space="preserve"> у системі управління державними фінансами. Науковий вісник Ужгородського університету. Серія «Економіка». 2018. </w:t>
      </w:r>
      <w:proofErr w:type="spellStart"/>
      <w:r w:rsidRPr="005F0419">
        <w:rPr>
          <w:sz w:val="28"/>
          <w:szCs w:val="28"/>
          <w:lang w:val="uk-UA"/>
        </w:rPr>
        <w:t>Вип</w:t>
      </w:r>
      <w:proofErr w:type="spellEnd"/>
      <w:r w:rsidRPr="005F0419">
        <w:rPr>
          <w:sz w:val="28"/>
          <w:szCs w:val="28"/>
          <w:lang w:val="uk-UA"/>
        </w:rPr>
        <w:t>. 1 (51). С. 363–369.</w:t>
      </w:r>
    </w:p>
    <w:p w14:paraId="3C9A5A8F"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28. </w:t>
      </w:r>
      <w:proofErr w:type="spellStart"/>
      <w:r w:rsidRPr="005F0419">
        <w:rPr>
          <w:rFonts w:ascii="Times New Roman" w:hAnsi="Times New Roman" w:cs="Times New Roman"/>
          <w:sz w:val="28"/>
          <w:szCs w:val="28"/>
          <w:lang w:val="uk-UA"/>
        </w:rPr>
        <w:t>Пищуліна</w:t>
      </w:r>
      <w:proofErr w:type="spellEnd"/>
      <w:r w:rsidRPr="005F0419">
        <w:rPr>
          <w:rFonts w:ascii="Times New Roman" w:hAnsi="Times New Roman" w:cs="Times New Roman"/>
          <w:sz w:val="28"/>
          <w:szCs w:val="28"/>
          <w:lang w:val="uk-UA"/>
        </w:rPr>
        <w:t xml:space="preserve"> О. Цифрова економіка: тренди, ризики та соціальні детермінанти. Київ: Видавництво «Заповіт», 2020. 274 с. </w:t>
      </w:r>
    </w:p>
    <w:p w14:paraId="0890FA2B"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29. Цифрова економіка : підручник / Т.І. Олешко, Н.В. Касьянова, С.Ф. </w:t>
      </w:r>
      <w:proofErr w:type="spellStart"/>
      <w:r w:rsidRPr="005F0419">
        <w:rPr>
          <w:rFonts w:ascii="Times New Roman" w:hAnsi="Times New Roman" w:cs="Times New Roman"/>
          <w:sz w:val="28"/>
          <w:szCs w:val="28"/>
          <w:lang w:val="uk-UA"/>
        </w:rPr>
        <w:t>Смерічевський</w:t>
      </w:r>
      <w:proofErr w:type="spellEnd"/>
      <w:r w:rsidRPr="005F0419">
        <w:rPr>
          <w:rFonts w:ascii="Times New Roman" w:hAnsi="Times New Roman" w:cs="Times New Roman"/>
          <w:sz w:val="28"/>
          <w:szCs w:val="28"/>
          <w:lang w:val="uk-UA"/>
        </w:rPr>
        <w:t xml:space="preserve"> та ін. Київ : НАУ, 2022. 200 с.</w:t>
      </w:r>
    </w:p>
    <w:p w14:paraId="3CD9EB69" w14:textId="77777777" w:rsidR="00753C4F" w:rsidRPr="005F0419" w:rsidRDefault="00753C4F" w:rsidP="00753C4F">
      <w:pPr>
        <w:pStyle w:val="a9"/>
        <w:shd w:val="clear" w:color="auto" w:fill="FFFFFF"/>
        <w:spacing w:before="0" w:beforeAutospacing="0" w:after="0" w:afterAutospacing="0" w:line="360" w:lineRule="auto"/>
        <w:ind w:firstLine="720"/>
        <w:jc w:val="both"/>
        <w:rPr>
          <w:sz w:val="28"/>
          <w:szCs w:val="28"/>
          <w:lang w:val="uk-UA"/>
        </w:rPr>
      </w:pPr>
      <w:r w:rsidRPr="005F0419">
        <w:rPr>
          <w:sz w:val="28"/>
          <w:szCs w:val="28"/>
          <w:shd w:val="clear" w:color="auto" w:fill="FFFFFF"/>
          <w:lang w:val="uk-UA"/>
        </w:rPr>
        <w:t xml:space="preserve">30. Череп О.Г., Швець Ю.О. Роль інформації та інформаційних технологій у розвитку економіки. Сучасні напрями розвитку економіки, підприємництва, технологій та їх правового забезпечення : матеріали </w:t>
      </w:r>
      <w:proofErr w:type="spellStart"/>
      <w:r w:rsidRPr="005F0419">
        <w:rPr>
          <w:sz w:val="28"/>
          <w:szCs w:val="28"/>
          <w:shd w:val="clear" w:color="auto" w:fill="FFFFFF"/>
          <w:lang w:val="uk-UA"/>
        </w:rPr>
        <w:t>Міжнар</w:t>
      </w:r>
      <w:proofErr w:type="spellEnd"/>
      <w:r w:rsidRPr="005F0419">
        <w:rPr>
          <w:sz w:val="28"/>
          <w:szCs w:val="28"/>
          <w:shd w:val="clear" w:color="auto" w:fill="FFFFFF"/>
          <w:lang w:val="uk-UA"/>
        </w:rPr>
        <w:t>. наук.-</w:t>
      </w:r>
      <w:proofErr w:type="spellStart"/>
      <w:r w:rsidRPr="005F0419">
        <w:rPr>
          <w:sz w:val="28"/>
          <w:szCs w:val="28"/>
          <w:shd w:val="clear" w:color="auto" w:fill="FFFFFF"/>
          <w:lang w:val="uk-UA"/>
        </w:rPr>
        <w:t>практ</w:t>
      </w:r>
      <w:proofErr w:type="spellEnd"/>
      <w:r w:rsidRPr="005F0419">
        <w:rPr>
          <w:sz w:val="28"/>
          <w:szCs w:val="28"/>
          <w:shd w:val="clear" w:color="auto" w:fill="FFFFFF"/>
          <w:lang w:val="uk-UA"/>
        </w:rPr>
        <w:t xml:space="preserve">. </w:t>
      </w:r>
      <w:proofErr w:type="spellStart"/>
      <w:r w:rsidRPr="005F0419">
        <w:rPr>
          <w:sz w:val="28"/>
          <w:szCs w:val="28"/>
          <w:shd w:val="clear" w:color="auto" w:fill="FFFFFF"/>
          <w:lang w:val="uk-UA"/>
        </w:rPr>
        <w:t>конф</w:t>
      </w:r>
      <w:proofErr w:type="spellEnd"/>
      <w:r w:rsidRPr="005F0419">
        <w:rPr>
          <w:sz w:val="28"/>
          <w:szCs w:val="28"/>
          <w:shd w:val="clear" w:color="auto" w:fill="FFFFFF"/>
          <w:lang w:val="uk-UA"/>
        </w:rPr>
        <w:t>. (м. Львів, 01-02 червня 2022 р.). Львів: вид-во Львівського торговельно-економічного університету, 2022. С. 27–28.</w:t>
      </w:r>
      <w:r w:rsidRPr="005F0419">
        <w:rPr>
          <w:sz w:val="28"/>
          <w:szCs w:val="28"/>
          <w:lang w:val="uk-UA"/>
        </w:rPr>
        <w:t xml:space="preserve"> </w:t>
      </w:r>
    </w:p>
    <w:p w14:paraId="0F28DFEF"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31. </w:t>
      </w:r>
      <w:proofErr w:type="spellStart"/>
      <w:r w:rsidRPr="005F0419">
        <w:rPr>
          <w:rFonts w:ascii="Times New Roman" w:hAnsi="Times New Roman" w:cs="Times New Roman"/>
          <w:sz w:val="28"/>
          <w:szCs w:val="28"/>
          <w:lang w:val="uk-UA"/>
        </w:rPr>
        <w:t>Чіков</w:t>
      </w:r>
      <w:proofErr w:type="spellEnd"/>
      <w:r w:rsidRPr="005F0419">
        <w:rPr>
          <w:rFonts w:ascii="Times New Roman" w:hAnsi="Times New Roman" w:cs="Times New Roman"/>
          <w:sz w:val="28"/>
          <w:szCs w:val="28"/>
          <w:lang w:val="uk-UA"/>
        </w:rPr>
        <w:t xml:space="preserve"> І. Цифрова </w:t>
      </w:r>
      <w:proofErr w:type="spellStart"/>
      <w:r w:rsidRPr="005F0419">
        <w:rPr>
          <w:rFonts w:ascii="Times New Roman" w:hAnsi="Times New Roman" w:cs="Times New Roman"/>
          <w:sz w:val="28"/>
          <w:szCs w:val="28"/>
          <w:lang w:val="uk-UA"/>
        </w:rPr>
        <w:t>транформація</w:t>
      </w:r>
      <w:proofErr w:type="spellEnd"/>
      <w:r w:rsidRPr="005F0419">
        <w:rPr>
          <w:rFonts w:ascii="Times New Roman" w:hAnsi="Times New Roman" w:cs="Times New Roman"/>
          <w:sz w:val="28"/>
          <w:szCs w:val="28"/>
          <w:lang w:val="uk-UA"/>
        </w:rPr>
        <w:t xml:space="preserve"> економіки: сутність, проблеми, особливості. Підприємництво та інновації. 2022. №25. 97-102.</w:t>
      </w:r>
    </w:p>
    <w:p w14:paraId="2E237D90" w14:textId="77777777" w:rsidR="00753C4F" w:rsidRPr="005F0419" w:rsidRDefault="00753C4F" w:rsidP="00753C4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32. </w:t>
      </w:r>
      <w:proofErr w:type="spellStart"/>
      <w:r w:rsidRPr="005F0419">
        <w:rPr>
          <w:rFonts w:ascii="Times New Roman" w:hAnsi="Times New Roman" w:cs="Times New Roman"/>
          <w:sz w:val="28"/>
          <w:szCs w:val="28"/>
          <w:lang w:val="uk-UA"/>
        </w:rPr>
        <w:t>Шатілова</w:t>
      </w:r>
      <w:proofErr w:type="spellEnd"/>
      <w:r w:rsidRPr="005F0419">
        <w:rPr>
          <w:rFonts w:ascii="Times New Roman" w:hAnsi="Times New Roman" w:cs="Times New Roman"/>
          <w:sz w:val="28"/>
          <w:szCs w:val="28"/>
          <w:lang w:val="uk-UA"/>
        </w:rPr>
        <w:t xml:space="preserve"> О. В., </w:t>
      </w:r>
      <w:proofErr w:type="spellStart"/>
      <w:r w:rsidRPr="005F0419">
        <w:rPr>
          <w:rFonts w:ascii="Times New Roman" w:hAnsi="Times New Roman" w:cs="Times New Roman"/>
          <w:sz w:val="28"/>
          <w:szCs w:val="28"/>
          <w:lang w:val="uk-UA"/>
        </w:rPr>
        <w:t>Шишук</w:t>
      </w:r>
      <w:proofErr w:type="spellEnd"/>
      <w:r w:rsidRPr="005F0419">
        <w:rPr>
          <w:rFonts w:ascii="Times New Roman" w:hAnsi="Times New Roman" w:cs="Times New Roman"/>
          <w:sz w:val="28"/>
          <w:szCs w:val="28"/>
          <w:lang w:val="uk-UA"/>
        </w:rPr>
        <w:t xml:space="preserve"> Н. О. Вплив цифрових технологій на управління бізнес-організацією. Стратегічні пріоритети розвитку підприємництва, торгівлі та біржової діяльності : </w:t>
      </w:r>
      <w:proofErr w:type="spellStart"/>
      <w:r w:rsidRPr="005F0419">
        <w:rPr>
          <w:rFonts w:ascii="Times New Roman" w:hAnsi="Times New Roman" w:cs="Times New Roman"/>
          <w:sz w:val="28"/>
          <w:szCs w:val="28"/>
          <w:lang w:val="uk-UA"/>
        </w:rPr>
        <w:t>зб</w:t>
      </w:r>
      <w:proofErr w:type="spellEnd"/>
      <w:r w:rsidRPr="005F0419">
        <w:rPr>
          <w:rFonts w:ascii="Times New Roman" w:hAnsi="Times New Roman" w:cs="Times New Roman"/>
          <w:sz w:val="28"/>
          <w:szCs w:val="28"/>
          <w:lang w:val="uk-UA"/>
        </w:rPr>
        <w:t xml:space="preserve">. матеріалів </w:t>
      </w:r>
      <w:proofErr w:type="spellStart"/>
      <w:r w:rsidRPr="005F0419">
        <w:rPr>
          <w:rFonts w:ascii="Times New Roman" w:hAnsi="Times New Roman" w:cs="Times New Roman"/>
          <w:sz w:val="28"/>
          <w:szCs w:val="28"/>
          <w:lang w:val="uk-UA"/>
        </w:rPr>
        <w:t>Міжнар</w:t>
      </w:r>
      <w:proofErr w:type="spellEnd"/>
      <w:r w:rsidRPr="005F0419">
        <w:rPr>
          <w:rFonts w:ascii="Times New Roman" w:hAnsi="Times New Roman" w:cs="Times New Roman"/>
          <w:sz w:val="28"/>
          <w:szCs w:val="28"/>
          <w:lang w:val="uk-UA"/>
        </w:rPr>
        <w:t>. наук.-</w:t>
      </w:r>
      <w:proofErr w:type="spellStart"/>
      <w:r w:rsidRPr="005F0419">
        <w:rPr>
          <w:rFonts w:ascii="Times New Roman" w:hAnsi="Times New Roman" w:cs="Times New Roman"/>
          <w:sz w:val="28"/>
          <w:szCs w:val="28"/>
          <w:lang w:val="uk-UA"/>
        </w:rPr>
        <w:t>практ</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конф</w:t>
      </w:r>
      <w:proofErr w:type="spellEnd"/>
      <w:r w:rsidRPr="005F0419">
        <w:rPr>
          <w:rFonts w:ascii="Times New Roman" w:hAnsi="Times New Roman" w:cs="Times New Roman"/>
          <w:sz w:val="28"/>
          <w:szCs w:val="28"/>
          <w:lang w:val="uk-UA"/>
        </w:rPr>
        <w:t>. (Запоріжжя, 14–15 трав. 2020 р.). Запоріжжя : ЗНУ, 2020. С. 94–96.</w:t>
      </w:r>
    </w:p>
    <w:p w14:paraId="75DDFD8E" w14:textId="5A00F2E3" w:rsidR="0000167A" w:rsidRPr="005F0419" w:rsidRDefault="0000167A" w:rsidP="00662012">
      <w:pPr>
        <w:spacing w:after="0" w:line="360" w:lineRule="auto"/>
        <w:ind w:firstLine="720"/>
        <w:jc w:val="both"/>
        <w:rPr>
          <w:rFonts w:ascii="Times New Roman" w:hAnsi="Times New Roman" w:cs="Times New Roman"/>
          <w:i/>
          <w:iCs/>
          <w:sz w:val="28"/>
          <w:szCs w:val="28"/>
          <w:lang w:val="uk-UA"/>
        </w:rPr>
      </w:pPr>
    </w:p>
    <w:p w14:paraId="0B0996C7" w14:textId="4BB5C2BB" w:rsidR="00334885" w:rsidRPr="005F0419" w:rsidRDefault="00334885" w:rsidP="00334885">
      <w:pPr>
        <w:spacing w:after="0" w:line="360" w:lineRule="auto"/>
        <w:ind w:firstLine="720"/>
        <w:jc w:val="both"/>
        <w:rPr>
          <w:rFonts w:ascii="Times New Roman" w:hAnsi="Times New Roman" w:cs="Times New Roman"/>
          <w:i/>
          <w:iCs/>
          <w:sz w:val="28"/>
          <w:szCs w:val="28"/>
          <w:lang w:val="uk-UA"/>
        </w:rPr>
      </w:pPr>
      <w:r w:rsidRPr="005F0419">
        <w:rPr>
          <w:rFonts w:ascii="Times New Roman" w:hAnsi="Times New Roman" w:cs="Times New Roman"/>
          <w:b/>
          <w:i/>
          <w:iCs/>
          <w:sz w:val="28"/>
          <w:szCs w:val="28"/>
          <w:lang w:val="uk-UA"/>
        </w:rPr>
        <w:t>Ключові слова:</w:t>
      </w:r>
      <w:r w:rsidR="002A12BD" w:rsidRPr="005F0419">
        <w:rPr>
          <w:rFonts w:ascii="Times New Roman" w:hAnsi="Times New Roman" w:cs="Times New Roman"/>
          <w:b/>
          <w:i/>
          <w:iCs/>
          <w:sz w:val="28"/>
          <w:szCs w:val="28"/>
          <w:lang w:val="uk-UA"/>
        </w:rPr>
        <w:t xml:space="preserve"> </w:t>
      </w:r>
      <w:r w:rsidRPr="005F0419">
        <w:rPr>
          <w:rFonts w:ascii="Times New Roman" w:hAnsi="Times New Roman" w:cs="Times New Roman"/>
          <w:i/>
          <w:iCs/>
          <w:sz w:val="28"/>
          <w:szCs w:val="28"/>
          <w:lang w:val="uk-UA"/>
        </w:rPr>
        <w:t xml:space="preserve">інноваційний менеджмент, цифрова економіка, цифрова еволюція бізнесу, </w:t>
      </w:r>
      <w:proofErr w:type="spellStart"/>
      <w:r w:rsidRPr="005F0419">
        <w:rPr>
          <w:rFonts w:ascii="Times New Roman" w:hAnsi="Times New Roman" w:cs="Times New Roman"/>
          <w:i/>
          <w:iCs/>
          <w:sz w:val="28"/>
          <w:szCs w:val="28"/>
          <w:lang w:val="uk-UA"/>
        </w:rPr>
        <w:t>цифровізація</w:t>
      </w:r>
      <w:proofErr w:type="spellEnd"/>
      <w:r w:rsidRPr="005F0419">
        <w:rPr>
          <w:rFonts w:ascii="Times New Roman" w:hAnsi="Times New Roman" w:cs="Times New Roman"/>
          <w:i/>
          <w:iCs/>
          <w:sz w:val="28"/>
          <w:szCs w:val="28"/>
          <w:lang w:val="uk-UA"/>
        </w:rPr>
        <w:t xml:space="preserve"> підприємств, цифрова екосистема, цифрова бізнес-модель, цифрові технології, </w:t>
      </w:r>
      <w:proofErr w:type="spellStart"/>
      <w:r w:rsidRPr="005F0419">
        <w:rPr>
          <w:rFonts w:ascii="Times New Roman" w:hAnsi="Times New Roman" w:cs="Times New Roman"/>
          <w:i/>
          <w:iCs/>
          <w:sz w:val="28"/>
          <w:szCs w:val="28"/>
          <w:lang w:val="uk-UA"/>
        </w:rPr>
        <w:t>діджиталізація</w:t>
      </w:r>
      <w:proofErr w:type="spellEnd"/>
      <w:r w:rsidRPr="005F0419">
        <w:rPr>
          <w:rFonts w:ascii="Times New Roman" w:hAnsi="Times New Roman" w:cs="Times New Roman"/>
          <w:i/>
          <w:iCs/>
          <w:sz w:val="28"/>
          <w:szCs w:val="28"/>
          <w:lang w:val="uk-UA"/>
        </w:rPr>
        <w:t>.</w:t>
      </w:r>
    </w:p>
    <w:p w14:paraId="7172D44A" w14:textId="77777777" w:rsidR="00334885" w:rsidRPr="005F0419" w:rsidRDefault="00334885" w:rsidP="00571B42">
      <w:pPr>
        <w:spacing w:after="0" w:line="360" w:lineRule="auto"/>
        <w:ind w:firstLine="720"/>
        <w:jc w:val="both"/>
        <w:rPr>
          <w:rFonts w:ascii="Times New Roman" w:hAnsi="Times New Roman" w:cs="Times New Roman"/>
          <w:i/>
          <w:iCs/>
          <w:sz w:val="28"/>
          <w:szCs w:val="28"/>
          <w:lang w:val="uk-UA"/>
        </w:rPr>
      </w:pPr>
    </w:p>
    <w:p w14:paraId="46010649" w14:textId="77777777" w:rsidR="00571B42" w:rsidRPr="0014563B" w:rsidRDefault="00571B42" w:rsidP="00571B42">
      <w:pPr>
        <w:spacing w:after="0" w:line="360" w:lineRule="auto"/>
        <w:ind w:firstLine="720"/>
        <w:jc w:val="center"/>
        <w:rPr>
          <w:rFonts w:ascii="Times New Roman" w:hAnsi="Times New Roman" w:cs="Times New Roman"/>
          <w:b/>
          <w:caps/>
          <w:sz w:val="28"/>
          <w:szCs w:val="28"/>
          <w:lang w:val="uk-UA"/>
        </w:rPr>
      </w:pPr>
      <w:bookmarkStart w:id="5" w:name="_Hlk160025329"/>
      <w:bookmarkStart w:id="6" w:name="_Hlk160025067"/>
      <w:bookmarkStart w:id="7" w:name="_Hlk155864008"/>
      <w:r w:rsidRPr="0036097D">
        <w:rPr>
          <w:rFonts w:ascii="Times New Roman" w:hAnsi="Times New Roman" w:cs="Times New Roman"/>
          <w:b/>
          <w:caps/>
          <w:sz w:val="28"/>
          <w:szCs w:val="28"/>
          <w:lang w:val="uk-UA"/>
        </w:rPr>
        <w:lastRenderedPageBreak/>
        <w:t>Конвергентний підхід до успішно</w:t>
      </w:r>
      <w:r>
        <w:rPr>
          <w:rFonts w:ascii="Times New Roman" w:hAnsi="Times New Roman" w:cs="Times New Roman"/>
          <w:b/>
          <w:caps/>
          <w:sz w:val="28"/>
          <w:szCs w:val="28"/>
          <w:lang w:val="uk-UA"/>
        </w:rPr>
        <w:t xml:space="preserve">ї кар’єри </w:t>
      </w:r>
      <w:r w:rsidRPr="0036097D">
        <w:rPr>
          <w:rFonts w:ascii="Times New Roman" w:hAnsi="Times New Roman" w:cs="Times New Roman"/>
          <w:b/>
          <w:caps/>
          <w:sz w:val="28"/>
          <w:szCs w:val="28"/>
          <w:lang w:val="uk-UA"/>
        </w:rPr>
        <w:t xml:space="preserve">як </w:t>
      </w:r>
      <w:r>
        <w:rPr>
          <w:rFonts w:ascii="Times New Roman" w:hAnsi="Times New Roman" w:cs="Times New Roman"/>
          <w:b/>
          <w:caps/>
          <w:sz w:val="28"/>
          <w:szCs w:val="28"/>
          <w:lang w:val="uk-UA"/>
        </w:rPr>
        <w:t>напрям</w:t>
      </w:r>
      <w:r w:rsidRPr="0036097D">
        <w:rPr>
          <w:rFonts w:ascii="Times New Roman" w:hAnsi="Times New Roman" w:cs="Times New Roman"/>
          <w:b/>
          <w:caps/>
          <w:sz w:val="28"/>
          <w:szCs w:val="28"/>
          <w:lang w:val="uk-UA"/>
        </w:rPr>
        <w:t xml:space="preserve"> </w:t>
      </w:r>
      <w:r>
        <w:rPr>
          <w:rFonts w:ascii="Times New Roman" w:hAnsi="Times New Roman" w:cs="Times New Roman"/>
          <w:b/>
          <w:caps/>
          <w:sz w:val="28"/>
          <w:szCs w:val="28"/>
          <w:lang w:val="uk-UA"/>
        </w:rPr>
        <w:t>управління</w:t>
      </w:r>
      <w:r w:rsidRPr="0036097D">
        <w:rPr>
          <w:rFonts w:ascii="Times New Roman" w:hAnsi="Times New Roman" w:cs="Times New Roman"/>
          <w:b/>
          <w:caps/>
          <w:sz w:val="28"/>
          <w:szCs w:val="28"/>
          <w:lang w:val="uk-UA"/>
        </w:rPr>
        <w:t xml:space="preserve"> персонал</w:t>
      </w:r>
      <w:r>
        <w:rPr>
          <w:rFonts w:ascii="Times New Roman" w:hAnsi="Times New Roman" w:cs="Times New Roman"/>
          <w:b/>
          <w:caps/>
          <w:sz w:val="28"/>
          <w:szCs w:val="28"/>
          <w:lang w:val="uk-UA"/>
        </w:rPr>
        <w:t>ом</w:t>
      </w:r>
      <w:r w:rsidRPr="0036097D">
        <w:rPr>
          <w:rFonts w:ascii="Times New Roman" w:hAnsi="Times New Roman" w:cs="Times New Roman"/>
          <w:b/>
          <w:caps/>
          <w:sz w:val="28"/>
          <w:szCs w:val="28"/>
          <w:lang w:val="uk-UA"/>
        </w:rPr>
        <w:t xml:space="preserve"> </w:t>
      </w:r>
      <w:r w:rsidRPr="0014563B">
        <w:rPr>
          <w:rFonts w:ascii="Times New Roman" w:hAnsi="Times New Roman" w:cs="Times New Roman"/>
          <w:b/>
          <w:caps/>
          <w:sz w:val="28"/>
          <w:szCs w:val="28"/>
          <w:lang w:val="uk-UA"/>
        </w:rPr>
        <w:t>підприємства</w:t>
      </w:r>
    </w:p>
    <w:p w14:paraId="305AF0CB" w14:textId="77777777" w:rsidR="00571B42" w:rsidRDefault="00571B42" w:rsidP="00571B42">
      <w:pPr>
        <w:spacing w:after="0" w:line="360" w:lineRule="auto"/>
        <w:ind w:firstLine="720"/>
        <w:jc w:val="center"/>
        <w:rPr>
          <w:rFonts w:ascii="Times New Roman" w:hAnsi="Times New Roman" w:cs="Times New Roman"/>
          <w:b/>
          <w:bCs/>
          <w:i/>
          <w:sz w:val="28"/>
          <w:szCs w:val="28"/>
          <w:lang w:val="uk-UA"/>
        </w:rPr>
      </w:pPr>
    </w:p>
    <w:p w14:paraId="2BD46028" w14:textId="77777777" w:rsidR="00571B42" w:rsidRDefault="00571B42" w:rsidP="00571B42">
      <w:pPr>
        <w:spacing w:after="0" w:line="360" w:lineRule="auto"/>
        <w:ind w:firstLine="720"/>
        <w:jc w:val="center"/>
        <w:rPr>
          <w:rFonts w:ascii="Times New Roman" w:hAnsi="Times New Roman" w:cs="Times New Roman"/>
          <w:b/>
          <w:bCs/>
          <w:i/>
          <w:sz w:val="28"/>
          <w:szCs w:val="28"/>
          <w:lang w:val="uk-UA"/>
        </w:rPr>
      </w:pPr>
      <w:proofErr w:type="spellStart"/>
      <w:r w:rsidRPr="005D1B01">
        <w:rPr>
          <w:rFonts w:ascii="Times New Roman" w:hAnsi="Times New Roman" w:cs="Times New Roman"/>
          <w:b/>
          <w:bCs/>
          <w:i/>
          <w:sz w:val="28"/>
          <w:szCs w:val="28"/>
          <w:lang w:val="uk-UA"/>
        </w:rPr>
        <w:t>Каламан</w:t>
      </w:r>
      <w:proofErr w:type="spellEnd"/>
      <w:r w:rsidRPr="005D1B01">
        <w:rPr>
          <w:rFonts w:ascii="Times New Roman" w:hAnsi="Times New Roman" w:cs="Times New Roman"/>
          <w:b/>
          <w:bCs/>
          <w:i/>
          <w:sz w:val="28"/>
          <w:szCs w:val="28"/>
          <w:lang w:val="uk-UA"/>
        </w:rPr>
        <w:t xml:space="preserve"> Ольга Борисівна, </w:t>
      </w:r>
      <w:proofErr w:type="spellStart"/>
      <w:r w:rsidRPr="005D1B01">
        <w:rPr>
          <w:rFonts w:ascii="Times New Roman" w:hAnsi="Times New Roman" w:cs="Times New Roman"/>
          <w:b/>
          <w:bCs/>
          <w:i/>
          <w:sz w:val="28"/>
          <w:szCs w:val="28"/>
          <w:lang w:val="uk-UA"/>
        </w:rPr>
        <w:t>Дишкантюк</w:t>
      </w:r>
      <w:proofErr w:type="spellEnd"/>
      <w:r w:rsidRPr="005D1B01">
        <w:rPr>
          <w:rFonts w:ascii="Times New Roman" w:hAnsi="Times New Roman" w:cs="Times New Roman"/>
          <w:b/>
          <w:bCs/>
          <w:i/>
          <w:sz w:val="28"/>
          <w:szCs w:val="28"/>
          <w:lang w:val="uk-UA"/>
        </w:rPr>
        <w:t xml:space="preserve"> Оксана Володимирівна, </w:t>
      </w:r>
    </w:p>
    <w:p w14:paraId="0D79B228" w14:textId="77777777" w:rsidR="00571B42" w:rsidRPr="005D1B01" w:rsidRDefault="00571B42" w:rsidP="00571B42">
      <w:pPr>
        <w:spacing w:after="0" w:line="360" w:lineRule="auto"/>
        <w:ind w:firstLine="720"/>
        <w:jc w:val="center"/>
        <w:rPr>
          <w:rFonts w:ascii="Times New Roman" w:hAnsi="Times New Roman" w:cs="Times New Roman"/>
          <w:b/>
          <w:bCs/>
          <w:i/>
          <w:sz w:val="28"/>
          <w:szCs w:val="28"/>
          <w:lang w:val="uk-UA"/>
        </w:rPr>
      </w:pPr>
      <w:r w:rsidRPr="005D1B01">
        <w:rPr>
          <w:rFonts w:ascii="Times New Roman" w:hAnsi="Times New Roman" w:cs="Times New Roman"/>
          <w:b/>
          <w:bCs/>
          <w:i/>
          <w:sz w:val="28"/>
          <w:szCs w:val="28"/>
          <w:lang w:val="uk-UA"/>
        </w:rPr>
        <w:t>Власюк Карина Вікторівна</w:t>
      </w:r>
    </w:p>
    <w:p w14:paraId="10B450EC" w14:textId="77777777" w:rsidR="00571B42" w:rsidRDefault="00571B42" w:rsidP="00571B42">
      <w:pPr>
        <w:spacing w:after="0" w:line="360" w:lineRule="auto"/>
        <w:ind w:firstLine="720"/>
        <w:jc w:val="both"/>
        <w:rPr>
          <w:rFonts w:ascii="Times New Roman" w:hAnsi="Times New Roman" w:cs="Times New Roman"/>
          <w:sz w:val="28"/>
          <w:szCs w:val="28"/>
          <w:lang w:val="uk-UA"/>
        </w:rPr>
      </w:pPr>
    </w:p>
    <w:p w14:paraId="70911D89" w14:textId="77777777" w:rsidR="00571B42" w:rsidRPr="001A4D1E" w:rsidRDefault="00571B42" w:rsidP="00571B42">
      <w:pPr>
        <w:spacing w:after="0" w:line="360" w:lineRule="auto"/>
        <w:ind w:firstLine="720"/>
        <w:jc w:val="both"/>
        <w:rPr>
          <w:rFonts w:ascii="Times New Roman" w:hAnsi="Times New Roman" w:cs="Times New Roman"/>
          <w:sz w:val="28"/>
          <w:szCs w:val="28"/>
          <w:lang w:val="uk-UA"/>
        </w:rPr>
      </w:pPr>
      <w:r w:rsidRPr="001A4D1E">
        <w:rPr>
          <w:rFonts w:ascii="Times New Roman" w:hAnsi="Times New Roman" w:cs="Times New Roman"/>
          <w:sz w:val="28"/>
          <w:szCs w:val="28"/>
          <w:lang w:val="uk-UA"/>
        </w:rPr>
        <w:t xml:space="preserve">Одним із очевидних результатів </w:t>
      </w:r>
      <w:r>
        <w:rPr>
          <w:rFonts w:ascii="Times New Roman" w:hAnsi="Times New Roman" w:cs="Times New Roman"/>
          <w:sz w:val="28"/>
          <w:szCs w:val="28"/>
          <w:lang w:val="uk-UA"/>
        </w:rPr>
        <w:t>побудови успішної</w:t>
      </w:r>
      <w:r w:rsidRPr="001A4D1E">
        <w:rPr>
          <w:rFonts w:ascii="Times New Roman" w:hAnsi="Times New Roman" w:cs="Times New Roman"/>
          <w:sz w:val="28"/>
          <w:szCs w:val="28"/>
          <w:lang w:val="uk-UA"/>
        </w:rPr>
        <w:t xml:space="preserve"> кар’єри є встановлення колективних норм, що визначають, що таке «нормальна», «успішна» кар’єра, а що ні. Отже, усі кар’єри, які не відповідають цим нормам, знецінюються, що є недоречним з огляду на сучасний клімат різноманітності робочих місц</w:t>
      </w:r>
      <w:r>
        <w:rPr>
          <w:rFonts w:ascii="Times New Roman" w:hAnsi="Times New Roman" w:cs="Times New Roman"/>
          <w:sz w:val="28"/>
          <w:szCs w:val="28"/>
          <w:lang w:val="uk-UA"/>
        </w:rPr>
        <w:t xml:space="preserve">ь. </w:t>
      </w:r>
      <w:r w:rsidRPr="001A4D1E">
        <w:rPr>
          <w:rFonts w:ascii="Times New Roman" w:hAnsi="Times New Roman" w:cs="Times New Roman"/>
          <w:sz w:val="28"/>
          <w:szCs w:val="28"/>
          <w:lang w:val="uk-UA"/>
        </w:rPr>
        <w:t>Теорію кар’єри загалом критикують за те, що вона надмірно наголошує на індивідуальній діяльності, нехтуючи контекстуальними питаннями. Крім того, потрібен більш концептуальний розвиток по відношенню до конструкту успіху в кар’єрі. Визначення успіху в кар’єрі, яке зазвичай згадується</w:t>
      </w:r>
      <w:r>
        <w:rPr>
          <w:rFonts w:ascii="Times New Roman" w:hAnsi="Times New Roman" w:cs="Times New Roman"/>
          <w:sz w:val="28"/>
          <w:szCs w:val="28"/>
          <w:lang w:val="uk-UA"/>
        </w:rPr>
        <w:t xml:space="preserve"> в сучасній літературі, це </w:t>
      </w:r>
      <w:r w:rsidRPr="001A4D1E">
        <w:rPr>
          <w:rFonts w:ascii="Times New Roman" w:hAnsi="Times New Roman" w:cs="Times New Roman"/>
          <w:sz w:val="28"/>
          <w:szCs w:val="28"/>
          <w:lang w:val="uk-UA"/>
        </w:rPr>
        <w:t>досвід досягнення цілей, які є особисто значущими для людини, а не тих, які ставлять батьки, однолі</w:t>
      </w:r>
      <w:r>
        <w:rPr>
          <w:rFonts w:ascii="Times New Roman" w:hAnsi="Times New Roman" w:cs="Times New Roman"/>
          <w:sz w:val="28"/>
          <w:szCs w:val="28"/>
          <w:lang w:val="uk-UA"/>
        </w:rPr>
        <w:t>тки, організація чи суспільство</w:t>
      </w:r>
      <w:r w:rsidRPr="001A4D1E">
        <w:rPr>
          <w:rFonts w:ascii="Times New Roman" w:hAnsi="Times New Roman" w:cs="Times New Roman"/>
          <w:sz w:val="28"/>
          <w:szCs w:val="28"/>
          <w:lang w:val="uk-UA"/>
        </w:rPr>
        <w:t xml:space="preserve">. Згідно з цим визначенням, працівники всіх типів мають кар’єру, кожну з яких так чи інакше можна вважати успішною. Але якщо це правда, то чому так багато людей почуваються неуспішними? </w:t>
      </w:r>
    </w:p>
    <w:p w14:paraId="0A270CA1" w14:textId="77777777" w:rsidR="00571B42" w:rsidRPr="001A4D1E" w:rsidRDefault="00571B42" w:rsidP="00571B42">
      <w:pPr>
        <w:spacing w:after="0" w:line="360" w:lineRule="auto"/>
        <w:ind w:firstLine="720"/>
        <w:jc w:val="both"/>
        <w:rPr>
          <w:rFonts w:ascii="Times New Roman" w:hAnsi="Times New Roman" w:cs="Times New Roman"/>
          <w:sz w:val="28"/>
          <w:szCs w:val="28"/>
          <w:lang w:val="uk-UA"/>
        </w:rPr>
      </w:pPr>
      <w:r w:rsidRPr="001A4D1E">
        <w:rPr>
          <w:rFonts w:ascii="Times New Roman" w:hAnsi="Times New Roman" w:cs="Times New Roman"/>
          <w:sz w:val="28"/>
          <w:szCs w:val="28"/>
          <w:lang w:val="uk-UA"/>
        </w:rPr>
        <w:t xml:space="preserve">Виявляється, що конструкт кар’єрного успіху якимось чином викликає у людей об’єктивований образ кар’єри </w:t>
      </w:r>
      <w:r>
        <w:rPr>
          <w:rFonts w:ascii="Times New Roman" w:hAnsi="Times New Roman" w:cs="Times New Roman"/>
          <w:sz w:val="28"/>
          <w:szCs w:val="28"/>
          <w:lang w:val="uk-UA"/>
        </w:rPr>
        <w:t>-</w:t>
      </w:r>
      <w:r w:rsidRPr="001A4D1E">
        <w:rPr>
          <w:rFonts w:ascii="Times New Roman" w:hAnsi="Times New Roman" w:cs="Times New Roman"/>
          <w:sz w:val="28"/>
          <w:szCs w:val="28"/>
          <w:lang w:val="uk-UA"/>
        </w:rPr>
        <w:t xml:space="preserve"> образ, з яким вони можуть ідентифікувати себе, а можуть і ні. Центральний аргумент полягає в тому, що кар’єра часто піддається </w:t>
      </w:r>
      <w:proofErr w:type="spellStart"/>
      <w:r w:rsidRPr="001A4D1E">
        <w:rPr>
          <w:rFonts w:ascii="Times New Roman" w:hAnsi="Times New Roman" w:cs="Times New Roman"/>
          <w:sz w:val="28"/>
          <w:szCs w:val="28"/>
          <w:lang w:val="uk-UA"/>
        </w:rPr>
        <w:t>ре</w:t>
      </w:r>
      <w:r>
        <w:rPr>
          <w:rFonts w:ascii="Times New Roman" w:hAnsi="Times New Roman" w:cs="Times New Roman"/>
          <w:sz w:val="28"/>
          <w:szCs w:val="28"/>
          <w:lang w:val="uk-UA"/>
        </w:rPr>
        <w:t>і</w:t>
      </w:r>
      <w:r w:rsidRPr="001A4D1E">
        <w:rPr>
          <w:rFonts w:ascii="Times New Roman" w:hAnsi="Times New Roman" w:cs="Times New Roman"/>
          <w:sz w:val="28"/>
          <w:szCs w:val="28"/>
          <w:lang w:val="uk-UA"/>
        </w:rPr>
        <w:t>фікації</w:t>
      </w:r>
      <w:proofErr w:type="spellEnd"/>
      <w:r w:rsidRPr="001A4D1E">
        <w:rPr>
          <w:rFonts w:ascii="Times New Roman" w:hAnsi="Times New Roman" w:cs="Times New Roman"/>
          <w:sz w:val="28"/>
          <w:szCs w:val="28"/>
          <w:lang w:val="uk-UA"/>
        </w:rPr>
        <w:t>, тобто тенденції розглядати соціальні конструкції як реальні та фіксовані, а не як складні, динамічні соціальні реалії, які можна (пере)інтерпретувати та (пере</w:t>
      </w:r>
      <w:r>
        <w:rPr>
          <w:rFonts w:ascii="Times New Roman" w:hAnsi="Times New Roman" w:cs="Times New Roman"/>
          <w:sz w:val="28"/>
          <w:szCs w:val="28"/>
          <w:lang w:val="uk-UA"/>
        </w:rPr>
        <w:t xml:space="preserve">)формувати різними способами. </w:t>
      </w:r>
      <w:r w:rsidRPr="001A4D1E">
        <w:rPr>
          <w:rFonts w:ascii="Times New Roman" w:hAnsi="Times New Roman" w:cs="Times New Roman"/>
          <w:sz w:val="28"/>
          <w:szCs w:val="28"/>
          <w:lang w:val="uk-UA"/>
        </w:rPr>
        <w:t>Незважаючи на те, що кар’єра не є «справжньою», однак вона є визначальною для значної частини робочої сили.</w:t>
      </w:r>
    </w:p>
    <w:p w14:paraId="171C39B5" w14:textId="77777777" w:rsidR="00571B42" w:rsidRPr="005C2289" w:rsidRDefault="00571B42" w:rsidP="00571B42">
      <w:pPr>
        <w:spacing w:after="0" w:line="360" w:lineRule="auto"/>
        <w:ind w:firstLine="720"/>
        <w:jc w:val="both"/>
        <w:rPr>
          <w:rFonts w:ascii="Times New Roman" w:hAnsi="Times New Roman" w:cs="Times New Roman"/>
          <w:sz w:val="28"/>
          <w:szCs w:val="28"/>
          <w:lang w:val="uk-UA"/>
        </w:rPr>
      </w:pPr>
      <w:r w:rsidRPr="001A4D1E">
        <w:rPr>
          <w:rFonts w:ascii="Times New Roman" w:hAnsi="Times New Roman" w:cs="Times New Roman"/>
          <w:sz w:val="28"/>
          <w:szCs w:val="28"/>
          <w:lang w:val="uk-UA"/>
        </w:rPr>
        <w:t xml:space="preserve">Еволюція глобальної економіки (хоча й відбувається не однаково в усіх частинах світу), від сільськогосподарського до постіндустріального суспільства, безсумнівно, сильно вплинула на сучасний образ того, що кар'єра та кар'єрний </w:t>
      </w:r>
      <w:r w:rsidRPr="001A4D1E">
        <w:rPr>
          <w:rFonts w:ascii="Times New Roman" w:hAnsi="Times New Roman" w:cs="Times New Roman"/>
          <w:sz w:val="28"/>
          <w:szCs w:val="28"/>
          <w:lang w:val="uk-UA"/>
        </w:rPr>
        <w:lastRenderedPageBreak/>
        <w:t>успіх означають.</w:t>
      </w:r>
      <w:r w:rsidRPr="005D1B01">
        <w:rPr>
          <w:lang w:val="uk-UA"/>
        </w:rPr>
        <w:t xml:space="preserve"> </w:t>
      </w:r>
      <w:r w:rsidRPr="005C2289">
        <w:rPr>
          <w:rFonts w:ascii="Times New Roman" w:hAnsi="Times New Roman" w:cs="Times New Roman"/>
          <w:sz w:val="28"/>
          <w:szCs w:val="28"/>
          <w:lang w:val="uk-UA"/>
        </w:rPr>
        <w:t>Приблизно на початку дев’ятнадцятого століття промислова революція ознаменувала кінець аграрної економіки в більшості західних країн, у якій домінуючим соціальним інститутом була сім’я, а молоді люди просто успадковували свою кар’єру від своїх батьків. У ті часи кар’єрний успіх визначався фізичним виживанням і безпекою, а також розвитком характеру (тобто дотриманням норм наполегливої праці та етичної поведінки). Зародження промислової економіки характеризувалося появою великих бюрократичних організацій, які пропонували кар’єру на все життя. Оскільки типова організаційна структура була ієрархічною, кар’єра пере</w:t>
      </w:r>
      <w:r>
        <w:rPr>
          <w:rFonts w:ascii="Times New Roman" w:hAnsi="Times New Roman" w:cs="Times New Roman"/>
          <w:sz w:val="28"/>
          <w:szCs w:val="28"/>
          <w:lang w:val="uk-UA"/>
        </w:rPr>
        <w:t xml:space="preserve">дбачала вертикальний рух через </w:t>
      </w:r>
      <w:r w:rsidRPr="005C2289">
        <w:rPr>
          <w:rFonts w:ascii="Times New Roman" w:hAnsi="Times New Roman" w:cs="Times New Roman"/>
          <w:sz w:val="28"/>
          <w:szCs w:val="28"/>
          <w:lang w:val="uk-UA"/>
        </w:rPr>
        <w:t>послідовність споріднених робіт, р</w:t>
      </w:r>
      <w:r>
        <w:rPr>
          <w:rFonts w:ascii="Times New Roman" w:hAnsi="Times New Roman" w:cs="Times New Roman"/>
          <w:sz w:val="28"/>
          <w:szCs w:val="28"/>
          <w:lang w:val="uk-UA"/>
        </w:rPr>
        <w:t>озташованих в ієрархії престижу.</w:t>
      </w:r>
      <w:r w:rsidRPr="005C2289">
        <w:rPr>
          <w:rFonts w:ascii="Times New Roman" w:hAnsi="Times New Roman" w:cs="Times New Roman"/>
          <w:sz w:val="28"/>
          <w:szCs w:val="28"/>
          <w:lang w:val="uk-UA"/>
        </w:rPr>
        <w:t xml:space="preserve"> Успіх кар’єри, відповідно, вимірювався досягненнями, які можна перевірити (наприклад, дохід, посада та статус), пов’язані з просуванням вгору по службових </w:t>
      </w:r>
      <w:r>
        <w:rPr>
          <w:rFonts w:ascii="Times New Roman" w:hAnsi="Times New Roman" w:cs="Times New Roman"/>
          <w:sz w:val="28"/>
          <w:szCs w:val="28"/>
          <w:lang w:val="uk-UA"/>
        </w:rPr>
        <w:t>сходах. У другій половині ХХ століття</w:t>
      </w:r>
      <w:r w:rsidRPr="005C2289">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5C2289">
        <w:rPr>
          <w:rFonts w:ascii="Times New Roman" w:hAnsi="Times New Roman" w:cs="Times New Roman"/>
          <w:sz w:val="28"/>
          <w:szCs w:val="28"/>
          <w:lang w:val="uk-UA"/>
        </w:rPr>
        <w:t>ахідне суспільство трансформувалося через глобалізацію, а також науково-технічну еволюцію. У сучасній постіндустріальній економіці, яка характеризується широкомасштабною організаційною реструктуризацією та економічною невизначеністю, характерні ознаки трад</w:t>
      </w:r>
      <w:r>
        <w:rPr>
          <w:rFonts w:ascii="Times New Roman" w:hAnsi="Times New Roman" w:cs="Times New Roman"/>
          <w:sz w:val="28"/>
          <w:szCs w:val="28"/>
          <w:lang w:val="uk-UA"/>
        </w:rPr>
        <w:t xml:space="preserve">иційної організаційної кар’єри </w:t>
      </w:r>
      <w:r w:rsidRPr="005C2289">
        <w:rPr>
          <w:rFonts w:ascii="Times New Roman" w:hAnsi="Times New Roman" w:cs="Times New Roman"/>
          <w:sz w:val="28"/>
          <w:szCs w:val="28"/>
          <w:lang w:val="uk-UA"/>
        </w:rPr>
        <w:t>зникають.</w:t>
      </w:r>
    </w:p>
    <w:p w14:paraId="30DE9797" w14:textId="77777777" w:rsidR="00571B42" w:rsidRPr="005C2289" w:rsidRDefault="00571B42" w:rsidP="00571B42">
      <w:pPr>
        <w:spacing w:after="0" w:line="360" w:lineRule="auto"/>
        <w:ind w:firstLine="720"/>
        <w:jc w:val="both"/>
        <w:rPr>
          <w:rFonts w:ascii="Times New Roman" w:hAnsi="Times New Roman" w:cs="Times New Roman"/>
          <w:sz w:val="28"/>
          <w:szCs w:val="28"/>
          <w:lang w:val="uk-UA"/>
        </w:rPr>
      </w:pPr>
      <w:r w:rsidRPr="005C2289">
        <w:rPr>
          <w:rFonts w:ascii="Times New Roman" w:hAnsi="Times New Roman" w:cs="Times New Roman"/>
          <w:sz w:val="28"/>
          <w:szCs w:val="28"/>
          <w:lang w:val="uk-UA"/>
        </w:rPr>
        <w:t xml:space="preserve">Зараз кар’єра стала більш-менш непередбачуваною серією досвіду, який переживають люди, які постійно обговорюють робочі та неробочі аспекти свого життя протягом різних етапів кар’єри та життя. Отже, визначення успіху в кар’єрі в літературі було розширено, щоб охопити цілі набагато ширші (і більш особисті), ніж лише просування вгору. Як результат, більше немає чіткого та консенсусного розуміння того, що означає кар’єра, як для окремих осіб, так і для організацій. Проте поняття ієрархічного просування всередині організації досі пов’язане з успіхом у кар’єрі, хоча інституційні механізми, що лежать в основі цієї асоціації, значно змінилися. </w:t>
      </w:r>
      <w:r>
        <w:rPr>
          <w:rFonts w:ascii="Times New Roman" w:hAnsi="Times New Roman" w:cs="Times New Roman"/>
          <w:sz w:val="28"/>
          <w:szCs w:val="28"/>
          <w:lang w:val="uk-UA"/>
        </w:rPr>
        <w:t>К</w:t>
      </w:r>
      <w:r w:rsidRPr="005C2289">
        <w:rPr>
          <w:rFonts w:ascii="Times New Roman" w:hAnsi="Times New Roman" w:cs="Times New Roman"/>
          <w:sz w:val="28"/>
          <w:szCs w:val="28"/>
          <w:lang w:val="uk-UA"/>
        </w:rPr>
        <w:t xml:space="preserve">ар’єра </w:t>
      </w:r>
      <w:r>
        <w:rPr>
          <w:rFonts w:ascii="Times New Roman" w:hAnsi="Times New Roman" w:cs="Times New Roman"/>
          <w:sz w:val="28"/>
          <w:szCs w:val="28"/>
          <w:lang w:val="uk-UA"/>
        </w:rPr>
        <w:t xml:space="preserve">сьогодні може вважатися </w:t>
      </w:r>
      <w:proofErr w:type="spellStart"/>
      <w:r w:rsidRPr="005C2289">
        <w:rPr>
          <w:rFonts w:ascii="Times New Roman" w:hAnsi="Times New Roman" w:cs="Times New Roman"/>
          <w:sz w:val="28"/>
          <w:szCs w:val="28"/>
          <w:lang w:val="uk-UA"/>
        </w:rPr>
        <w:t>квазіофіційн</w:t>
      </w:r>
      <w:r>
        <w:rPr>
          <w:rFonts w:ascii="Times New Roman" w:hAnsi="Times New Roman" w:cs="Times New Roman"/>
          <w:sz w:val="28"/>
          <w:szCs w:val="28"/>
          <w:lang w:val="uk-UA"/>
        </w:rPr>
        <w:t>ою</w:t>
      </w:r>
      <w:proofErr w:type="spellEnd"/>
      <w:r>
        <w:rPr>
          <w:rFonts w:ascii="Times New Roman" w:hAnsi="Times New Roman" w:cs="Times New Roman"/>
          <w:sz w:val="28"/>
          <w:szCs w:val="28"/>
          <w:lang w:val="uk-UA"/>
        </w:rPr>
        <w:t xml:space="preserve"> правдою, що </w:t>
      </w:r>
      <w:r w:rsidRPr="005C2289">
        <w:rPr>
          <w:rFonts w:ascii="Times New Roman" w:hAnsi="Times New Roman" w:cs="Times New Roman"/>
          <w:sz w:val="28"/>
          <w:szCs w:val="28"/>
          <w:lang w:val="uk-UA"/>
        </w:rPr>
        <w:t xml:space="preserve">відстає від реальності змін, </w:t>
      </w:r>
      <w:r>
        <w:rPr>
          <w:rFonts w:ascii="Times New Roman" w:hAnsi="Times New Roman" w:cs="Times New Roman"/>
          <w:sz w:val="28"/>
          <w:szCs w:val="28"/>
          <w:lang w:val="uk-UA"/>
        </w:rPr>
        <w:t>які</w:t>
      </w:r>
      <w:r w:rsidRPr="005C2289">
        <w:rPr>
          <w:rFonts w:ascii="Times New Roman" w:hAnsi="Times New Roman" w:cs="Times New Roman"/>
          <w:sz w:val="28"/>
          <w:szCs w:val="28"/>
          <w:lang w:val="uk-UA"/>
        </w:rPr>
        <w:t xml:space="preserve"> відбуваються у моделях зайнятості. «Просування вперед» або успіх можуть взагалі </w:t>
      </w:r>
      <w:r>
        <w:rPr>
          <w:rFonts w:ascii="Times New Roman" w:hAnsi="Times New Roman" w:cs="Times New Roman"/>
          <w:sz w:val="28"/>
          <w:szCs w:val="28"/>
          <w:lang w:val="uk-UA"/>
        </w:rPr>
        <w:t xml:space="preserve">нічого </w:t>
      </w:r>
      <w:r w:rsidRPr="005C2289">
        <w:rPr>
          <w:rFonts w:ascii="Times New Roman" w:hAnsi="Times New Roman" w:cs="Times New Roman"/>
          <w:sz w:val="28"/>
          <w:szCs w:val="28"/>
          <w:lang w:val="uk-UA"/>
        </w:rPr>
        <w:t xml:space="preserve">не означати або бути лише одним з обов’язкових завдань на особистому життєвому </w:t>
      </w:r>
      <w:r w:rsidRPr="005C2289">
        <w:rPr>
          <w:rFonts w:ascii="Times New Roman" w:hAnsi="Times New Roman" w:cs="Times New Roman"/>
          <w:sz w:val="28"/>
          <w:szCs w:val="28"/>
          <w:lang w:val="uk-UA"/>
        </w:rPr>
        <w:lastRenderedPageBreak/>
        <w:t>шляху, і не обов’язково настільки центральним, як випливає з деяких кар’єрних траєкторій.</w:t>
      </w:r>
    </w:p>
    <w:p w14:paraId="666A5697" w14:textId="77777777" w:rsidR="00571B42"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5C2289">
        <w:rPr>
          <w:rFonts w:ascii="Times New Roman" w:hAnsi="Times New Roman" w:cs="Times New Roman"/>
          <w:sz w:val="28"/>
          <w:szCs w:val="28"/>
          <w:lang w:val="uk-UA"/>
        </w:rPr>
        <w:t>сторичні тенденції</w:t>
      </w:r>
      <w:r>
        <w:rPr>
          <w:rFonts w:ascii="Times New Roman" w:hAnsi="Times New Roman" w:cs="Times New Roman"/>
          <w:sz w:val="28"/>
          <w:szCs w:val="28"/>
          <w:lang w:val="uk-UA"/>
        </w:rPr>
        <w:t xml:space="preserve"> </w:t>
      </w:r>
      <w:r w:rsidRPr="005C2289">
        <w:rPr>
          <w:rFonts w:ascii="Times New Roman" w:hAnsi="Times New Roman" w:cs="Times New Roman"/>
          <w:sz w:val="28"/>
          <w:szCs w:val="28"/>
          <w:lang w:val="uk-UA"/>
        </w:rPr>
        <w:t xml:space="preserve">лише в кількох випадках були пов’язані зі значенням кар’єрного успіху. Аналіз </w:t>
      </w:r>
      <w:r>
        <w:rPr>
          <w:rFonts w:ascii="Times New Roman" w:hAnsi="Times New Roman" w:cs="Times New Roman"/>
          <w:sz w:val="28"/>
          <w:szCs w:val="28"/>
          <w:lang w:val="uk-UA"/>
        </w:rPr>
        <w:t>з</w:t>
      </w:r>
      <w:r w:rsidRPr="005C2289">
        <w:rPr>
          <w:rFonts w:ascii="Times New Roman" w:hAnsi="Times New Roman" w:cs="Times New Roman"/>
          <w:sz w:val="28"/>
          <w:szCs w:val="28"/>
          <w:lang w:val="uk-UA"/>
        </w:rPr>
        <w:t xml:space="preserve">місту історичних документів, таких як романи, газети, п’єси чи інші засоби масової інформації, які посилаються на значення, приписувані кар’єрі та кар’єрному успіху, може виявитися особливо корисним для вирішення </w:t>
      </w:r>
      <w:r>
        <w:rPr>
          <w:rFonts w:ascii="Times New Roman" w:hAnsi="Times New Roman" w:cs="Times New Roman"/>
          <w:sz w:val="28"/>
          <w:szCs w:val="28"/>
          <w:lang w:val="uk-UA"/>
        </w:rPr>
        <w:t>наступного питання: я</w:t>
      </w:r>
      <w:r w:rsidRPr="005C2289">
        <w:rPr>
          <w:rFonts w:ascii="Times New Roman" w:hAnsi="Times New Roman" w:cs="Times New Roman"/>
          <w:sz w:val="28"/>
          <w:szCs w:val="28"/>
          <w:lang w:val="uk-UA"/>
        </w:rPr>
        <w:t>к перехід до постіндустріальної економіки вплинув на визначення успіху кар’єри протягом історії?</w:t>
      </w:r>
      <w:r>
        <w:rPr>
          <w:rFonts w:ascii="Times New Roman" w:hAnsi="Times New Roman" w:cs="Times New Roman"/>
          <w:sz w:val="28"/>
          <w:szCs w:val="28"/>
          <w:lang w:val="uk-UA"/>
        </w:rPr>
        <w:t xml:space="preserve"> </w:t>
      </w:r>
    </w:p>
    <w:p w14:paraId="1888DDC9" w14:textId="1D49E6EA" w:rsidR="00571B42" w:rsidRPr="005C2289" w:rsidRDefault="00571B42" w:rsidP="00571B42">
      <w:pPr>
        <w:spacing w:after="0" w:line="360" w:lineRule="auto"/>
        <w:ind w:firstLine="720"/>
        <w:jc w:val="both"/>
        <w:rPr>
          <w:rFonts w:ascii="Times New Roman" w:hAnsi="Times New Roman" w:cs="Times New Roman"/>
          <w:sz w:val="28"/>
          <w:szCs w:val="28"/>
          <w:lang w:val="uk-UA"/>
        </w:rPr>
      </w:pPr>
      <w:r w:rsidRPr="005C2289">
        <w:rPr>
          <w:rFonts w:ascii="Times New Roman" w:hAnsi="Times New Roman" w:cs="Times New Roman"/>
          <w:sz w:val="28"/>
          <w:szCs w:val="28"/>
          <w:lang w:val="uk-UA"/>
        </w:rPr>
        <w:t xml:space="preserve">Паралельно з появою постіндустріальної економіки спостерігається зрушення до </w:t>
      </w:r>
      <w:proofErr w:type="spellStart"/>
      <w:r w:rsidRPr="005C2289">
        <w:rPr>
          <w:rFonts w:ascii="Times New Roman" w:hAnsi="Times New Roman" w:cs="Times New Roman"/>
          <w:sz w:val="28"/>
          <w:szCs w:val="28"/>
          <w:lang w:val="uk-UA"/>
        </w:rPr>
        <w:t>постматеріалізму</w:t>
      </w:r>
      <w:proofErr w:type="spellEnd"/>
      <w:r w:rsidRPr="005C2289">
        <w:rPr>
          <w:rFonts w:ascii="Times New Roman" w:hAnsi="Times New Roman" w:cs="Times New Roman"/>
          <w:sz w:val="28"/>
          <w:szCs w:val="28"/>
          <w:lang w:val="uk-UA"/>
        </w:rPr>
        <w:t xml:space="preserve">. Дослідження світових цінностей, яке вивчало понад 250 000 людей у всьому світі протягом п’яти хвиль з 1981 по 2007 рік, виявило, що майже в усіх індустріальних суспільствах світогляд змінився від традиційних до </w:t>
      </w:r>
      <w:proofErr w:type="spellStart"/>
      <w:r w:rsidRPr="005C2289">
        <w:rPr>
          <w:rFonts w:ascii="Times New Roman" w:hAnsi="Times New Roman" w:cs="Times New Roman"/>
          <w:sz w:val="28"/>
          <w:szCs w:val="28"/>
          <w:lang w:val="uk-UA"/>
        </w:rPr>
        <w:t>світсько</w:t>
      </w:r>
      <w:proofErr w:type="spellEnd"/>
      <w:r w:rsidRPr="005C2289">
        <w:rPr>
          <w:rFonts w:ascii="Times New Roman" w:hAnsi="Times New Roman" w:cs="Times New Roman"/>
          <w:sz w:val="28"/>
          <w:szCs w:val="28"/>
          <w:lang w:val="uk-UA"/>
        </w:rPr>
        <w:t>-раціональних цінностей. Крім того, дослідження показало, що перехід від індустріального суспільства до суспільства знань характеризується наголосом на цінностях самовираження (на відміну від цінностей виживання), що передбачає посилення уваги до суб’єктивного благополуччя, самовираження та індивідуальної духовності. Процес</w:t>
      </w:r>
      <w:r>
        <w:rPr>
          <w:rFonts w:ascii="Times New Roman" w:hAnsi="Times New Roman" w:cs="Times New Roman"/>
          <w:sz w:val="28"/>
          <w:szCs w:val="28"/>
          <w:lang w:val="uk-UA"/>
        </w:rPr>
        <w:t xml:space="preserve"> з</w:t>
      </w:r>
      <w:r w:rsidRPr="005C2289">
        <w:rPr>
          <w:rFonts w:ascii="Times New Roman" w:hAnsi="Times New Roman" w:cs="Times New Roman"/>
          <w:sz w:val="28"/>
          <w:szCs w:val="28"/>
          <w:lang w:val="uk-UA"/>
        </w:rPr>
        <w:t xml:space="preserve">міни населення між поколіннями та глобалізація призведуть до того, що цінності самовираження стануть ще більш поширеними в майбутньому </w:t>
      </w:r>
      <w:r>
        <w:rPr>
          <w:rFonts w:ascii="Times New Roman" w:hAnsi="Times New Roman" w:cs="Times New Roman"/>
          <w:sz w:val="28"/>
          <w:szCs w:val="28"/>
          <w:lang w:val="uk-UA"/>
        </w:rPr>
        <w:t>–</w:t>
      </w:r>
      <w:r w:rsidRPr="005C2289">
        <w:rPr>
          <w:rFonts w:ascii="Times New Roman" w:hAnsi="Times New Roman" w:cs="Times New Roman"/>
          <w:sz w:val="28"/>
          <w:szCs w:val="28"/>
          <w:lang w:val="uk-UA"/>
        </w:rPr>
        <w:t xml:space="preserve"> принаймні в промислово розвинених суспільствах. Проте, розглядаючи світ у цілому, співвідношення між матеріалістами та </w:t>
      </w:r>
      <w:proofErr w:type="spellStart"/>
      <w:r w:rsidRPr="005C2289">
        <w:rPr>
          <w:rFonts w:ascii="Times New Roman" w:hAnsi="Times New Roman" w:cs="Times New Roman"/>
          <w:sz w:val="28"/>
          <w:szCs w:val="28"/>
          <w:lang w:val="uk-UA"/>
        </w:rPr>
        <w:t>постматеріалістами</w:t>
      </w:r>
      <w:proofErr w:type="spellEnd"/>
      <w:r w:rsidRPr="005C2289">
        <w:rPr>
          <w:rFonts w:ascii="Times New Roman" w:hAnsi="Times New Roman" w:cs="Times New Roman"/>
          <w:sz w:val="28"/>
          <w:szCs w:val="28"/>
          <w:lang w:val="uk-UA"/>
        </w:rPr>
        <w:t xml:space="preserve"> змінюється від суспільства до суспільства залежно від рівня їхнього економічного розвитку. Країни з низьким рівнем доходу та країни, що перебувають у кризі, все ще демонструють переважне домінування матеріалістів, у той час як у процвітаючих і безпечних країнах </w:t>
      </w:r>
      <w:r>
        <w:rPr>
          <w:rFonts w:ascii="Times New Roman" w:hAnsi="Times New Roman" w:cs="Times New Roman"/>
          <w:sz w:val="28"/>
          <w:szCs w:val="28"/>
          <w:lang w:val="uk-UA"/>
        </w:rPr>
        <w:t>залишається більшою частка</w:t>
      </w:r>
      <w:r w:rsidRPr="005C2289">
        <w:rPr>
          <w:rFonts w:ascii="Times New Roman" w:hAnsi="Times New Roman" w:cs="Times New Roman"/>
          <w:sz w:val="28"/>
          <w:szCs w:val="28"/>
          <w:lang w:val="uk-UA"/>
        </w:rPr>
        <w:t xml:space="preserve"> </w:t>
      </w:r>
      <w:proofErr w:type="spellStart"/>
      <w:r w:rsidRPr="005C2289">
        <w:rPr>
          <w:rFonts w:ascii="Times New Roman" w:hAnsi="Times New Roman" w:cs="Times New Roman"/>
          <w:sz w:val="28"/>
          <w:szCs w:val="28"/>
          <w:lang w:val="uk-UA"/>
        </w:rPr>
        <w:t>постматеріалістів</w:t>
      </w:r>
      <w:proofErr w:type="spellEnd"/>
      <w:r w:rsidRPr="005C2289">
        <w:rPr>
          <w:rFonts w:ascii="Times New Roman" w:hAnsi="Times New Roman" w:cs="Times New Roman"/>
          <w:sz w:val="28"/>
          <w:szCs w:val="28"/>
          <w:lang w:val="uk-UA"/>
        </w:rPr>
        <w:t>.</w:t>
      </w:r>
    </w:p>
    <w:p w14:paraId="55B13652" w14:textId="77777777" w:rsidR="00571B42" w:rsidRPr="005C2289"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важливим моментом, що провокував розвиток наукових дискусій сконцентрувався навколо питання</w:t>
      </w:r>
      <w:r w:rsidRPr="005C2289">
        <w:rPr>
          <w:rFonts w:ascii="Times New Roman" w:hAnsi="Times New Roman" w:cs="Times New Roman"/>
          <w:sz w:val="28"/>
          <w:szCs w:val="28"/>
          <w:lang w:val="uk-UA"/>
        </w:rPr>
        <w:t xml:space="preserve">, як саме перехід до </w:t>
      </w:r>
      <w:proofErr w:type="spellStart"/>
      <w:r w:rsidRPr="005C2289">
        <w:rPr>
          <w:rFonts w:ascii="Times New Roman" w:hAnsi="Times New Roman" w:cs="Times New Roman"/>
          <w:sz w:val="28"/>
          <w:szCs w:val="28"/>
          <w:lang w:val="uk-UA"/>
        </w:rPr>
        <w:t>постматеріалістичних</w:t>
      </w:r>
      <w:proofErr w:type="spellEnd"/>
      <w:r w:rsidRPr="005C2289">
        <w:rPr>
          <w:rFonts w:ascii="Times New Roman" w:hAnsi="Times New Roman" w:cs="Times New Roman"/>
          <w:sz w:val="28"/>
          <w:szCs w:val="28"/>
          <w:lang w:val="uk-UA"/>
        </w:rPr>
        <w:t xml:space="preserve"> цінностей вплинув на суб’єктивні значення, що приписуються кар’єрі та кар’єрному успі</w:t>
      </w:r>
      <w:r>
        <w:rPr>
          <w:rFonts w:ascii="Times New Roman" w:hAnsi="Times New Roman" w:cs="Times New Roman"/>
          <w:sz w:val="28"/>
          <w:szCs w:val="28"/>
          <w:lang w:val="uk-UA"/>
        </w:rPr>
        <w:t>ху різними групами дослідників, тобто я</w:t>
      </w:r>
      <w:r w:rsidRPr="005C2289">
        <w:rPr>
          <w:rFonts w:ascii="Times New Roman" w:hAnsi="Times New Roman" w:cs="Times New Roman"/>
          <w:sz w:val="28"/>
          <w:szCs w:val="28"/>
          <w:lang w:val="uk-UA"/>
        </w:rPr>
        <w:t xml:space="preserve">к перехід до </w:t>
      </w:r>
      <w:proofErr w:type="spellStart"/>
      <w:r w:rsidRPr="005C2289">
        <w:rPr>
          <w:rFonts w:ascii="Times New Roman" w:hAnsi="Times New Roman" w:cs="Times New Roman"/>
          <w:sz w:val="28"/>
          <w:szCs w:val="28"/>
          <w:lang w:val="uk-UA"/>
        </w:rPr>
        <w:t>постматеріалістичних</w:t>
      </w:r>
      <w:proofErr w:type="spellEnd"/>
      <w:r w:rsidRPr="005C2289">
        <w:rPr>
          <w:rFonts w:ascii="Times New Roman" w:hAnsi="Times New Roman" w:cs="Times New Roman"/>
          <w:sz w:val="28"/>
          <w:szCs w:val="28"/>
          <w:lang w:val="uk-UA"/>
        </w:rPr>
        <w:t xml:space="preserve"> цінностей вплинув на визначення успіху в </w:t>
      </w:r>
      <w:r w:rsidRPr="005C2289">
        <w:rPr>
          <w:rFonts w:ascii="Times New Roman" w:hAnsi="Times New Roman" w:cs="Times New Roman"/>
          <w:sz w:val="28"/>
          <w:szCs w:val="28"/>
          <w:lang w:val="uk-UA"/>
        </w:rPr>
        <w:lastRenderedPageBreak/>
        <w:t>кар’єрі протягом історії?</w:t>
      </w:r>
      <w:r>
        <w:rPr>
          <w:rFonts w:ascii="Times New Roman" w:hAnsi="Times New Roman" w:cs="Times New Roman"/>
          <w:sz w:val="28"/>
          <w:szCs w:val="28"/>
          <w:lang w:val="uk-UA"/>
        </w:rPr>
        <w:t xml:space="preserve"> </w:t>
      </w:r>
      <w:r w:rsidRPr="005C2289">
        <w:rPr>
          <w:rFonts w:ascii="Times New Roman" w:hAnsi="Times New Roman" w:cs="Times New Roman"/>
          <w:sz w:val="28"/>
          <w:szCs w:val="28"/>
          <w:lang w:val="uk-UA"/>
        </w:rPr>
        <w:t>Дослідницькі плани між поколіннями ідеально підходять для вивчення еволюції населення, що живе сьогодні</w:t>
      </w:r>
      <w:r>
        <w:rPr>
          <w:rFonts w:ascii="Times New Roman" w:hAnsi="Times New Roman" w:cs="Times New Roman"/>
          <w:sz w:val="28"/>
          <w:szCs w:val="28"/>
          <w:lang w:val="uk-UA"/>
        </w:rPr>
        <w:t xml:space="preserve"> в різних країнах</w:t>
      </w:r>
      <w:r w:rsidRPr="005C2289">
        <w:rPr>
          <w:rFonts w:ascii="Times New Roman" w:hAnsi="Times New Roman" w:cs="Times New Roman"/>
          <w:sz w:val="28"/>
          <w:szCs w:val="28"/>
          <w:lang w:val="uk-UA"/>
        </w:rPr>
        <w:t>; для вивчення тенденцій протягом тривалого періоду часу (наприклад, сотень років) рекомендується порівняльний історичний аналіз.</w:t>
      </w:r>
    </w:p>
    <w:p w14:paraId="0A7DBA83" w14:textId="77777777" w:rsidR="00571B42" w:rsidRPr="00437AD8"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Наукова л</w:t>
      </w:r>
      <w:r w:rsidRPr="00437AD8">
        <w:rPr>
          <w:rFonts w:ascii="Times New Roman" w:hAnsi="Times New Roman" w:cs="Times New Roman"/>
          <w:sz w:val="28"/>
          <w:szCs w:val="28"/>
          <w:lang w:val="uk-UA"/>
        </w:rPr>
        <w:t xml:space="preserve">ітература </w:t>
      </w:r>
      <w:r>
        <w:rPr>
          <w:rFonts w:ascii="Times New Roman" w:hAnsi="Times New Roman" w:cs="Times New Roman"/>
          <w:sz w:val="28"/>
          <w:szCs w:val="28"/>
          <w:lang w:val="uk-UA"/>
        </w:rPr>
        <w:t>щодо</w:t>
      </w:r>
      <w:r w:rsidRPr="00437AD8">
        <w:rPr>
          <w:rFonts w:ascii="Times New Roman" w:hAnsi="Times New Roman" w:cs="Times New Roman"/>
          <w:sz w:val="28"/>
          <w:szCs w:val="28"/>
          <w:lang w:val="uk-UA"/>
        </w:rPr>
        <w:t xml:space="preserve"> кар’єр</w:t>
      </w:r>
      <w:r>
        <w:rPr>
          <w:rFonts w:ascii="Times New Roman" w:hAnsi="Times New Roman" w:cs="Times New Roman"/>
          <w:sz w:val="28"/>
          <w:szCs w:val="28"/>
          <w:lang w:val="uk-UA"/>
        </w:rPr>
        <w:t>и (і багато інших напрям</w:t>
      </w:r>
      <w:r w:rsidRPr="00437AD8">
        <w:rPr>
          <w:rFonts w:ascii="Times New Roman" w:hAnsi="Times New Roman" w:cs="Times New Roman"/>
          <w:sz w:val="28"/>
          <w:szCs w:val="28"/>
          <w:lang w:val="uk-UA"/>
        </w:rPr>
        <w:t>ів літератури) загалом серйозно недооцінила вагу міжкультурних відмінностей в описі та поясненні феноменів кар’єри. Як наслідок, у літературі надмірний акцент на західних концепціях і показниках кар’єри, особливо на концепціях і показниках, розроблених у США. Проекція цінностей С</w:t>
      </w:r>
      <w:r>
        <w:rPr>
          <w:rFonts w:ascii="Times New Roman" w:hAnsi="Times New Roman" w:cs="Times New Roman"/>
          <w:sz w:val="28"/>
          <w:szCs w:val="28"/>
          <w:lang w:val="uk-UA"/>
        </w:rPr>
        <w:t>получених Штатів</w:t>
      </w:r>
      <w:r w:rsidRPr="00437AD8">
        <w:rPr>
          <w:rFonts w:ascii="Times New Roman" w:hAnsi="Times New Roman" w:cs="Times New Roman"/>
          <w:sz w:val="28"/>
          <w:szCs w:val="28"/>
          <w:lang w:val="uk-UA"/>
        </w:rPr>
        <w:t xml:space="preserve"> на кар’єристів з інших частин світу без урахування можливих відмінностей у визначенні кар’єри та кар’єрного успіху може бути проблематичною.</w:t>
      </w:r>
    </w:p>
    <w:p w14:paraId="1468FB73" w14:textId="77777777" w:rsidR="00571B42" w:rsidRPr="00437AD8" w:rsidRDefault="00571B42" w:rsidP="00571B42">
      <w:pPr>
        <w:spacing w:after="0" w:line="360" w:lineRule="auto"/>
        <w:ind w:firstLine="720"/>
        <w:jc w:val="both"/>
        <w:rPr>
          <w:rFonts w:ascii="Times New Roman" w:hAnsi="Times New Roman" w:cs="Times New Roman"/>
          <w:sz w:val="28"/>
          <w:szCs w:val="28"/>
          <w:lang w:val="uk-UA"/>
        </w:rPr>
      </w:pPr>
      <w:r w:rsidRPr="00437AD8">
        <w:rPr>
          <w:rFonts w:ascii="Times New Roman" w:hAnsi="Times New Roman" w:cs="Times New Roman"/>
          <w:sz w:val="28"/>
          <w:szCs w:val="28"/>
          <w:lang w:val="uk-UA"/>
        </w:rPr>
        <w:t xml:space="preserve">З основоположної роботи </w:t>
      </w:r>
      <w:proofErr w:type="spellStart"/>
      <w:r w:rsidRPr="00437AD8">
        <w:rPr>
          <w:rFonts w:ascii="Times New Roman" w:hAnsi="Times New Roman" w:cs="Times New Roman"/>
          <w:sz w:val="28"/>
          <w:szCs w:val="28"/>
          <w:lang w:val="uk-UA"/>
        </w:rPr>
        <w:t>Хофстеде</w:t>
      </w:r>
      <w:proofErr w:type="spellEnd"/>
      <w:r w:rsidRPr="00437AD8">
        <w:rPr>
          <w:rFonts w:ascii="Times New Roman" w:hAnsi="Times New Roman" w:cs="Times New Roman"/>
          <w:sz w:val="28"/>
          <w:szCs w:val="28"/>
          <w:lang w:val="uk-UA"/>
        </w:rPr>
        <w:t xml:space="preserve"> про культурні відмінності мож</w:t>
      </w:r>
      <w:r>
        <w:rPr>
          <w:rFonts w:ascii="Times New Roman" w:hAnsi="Times New Roman" w:cs="Times New Roman"/>
          <w:sz w:val="28"/>
          <w:szCs w:val="28"/>
          <w:lang w:val="uk-UA"/>
        </w:rPr>
        <w:t>на</w:t>
      </w:r>
      <w:r w:rsidRPr="00437AD8">
        <w:rPr>
          <w:rFonts w:ascii="Times New Roman" w:hAnsi="Times New Roman" w:cs="Times New Roman"/>
          <w:sz w:val="28"/>
          <w:szCs w:val="28"/>
          <w:lang w:val="uk-UA"/>
        </w:rPr>
        <w:t xml:space="preserve"> зробити деякі попередні висновки про те, як люди з різних країн, загалом, визначать і оцінюватимуть успіх у кар’єрі. </w:t>
      </w:r>
      <w:r>
        <w:rPr>
          <w:rFonts w:ascii="Times New Roman" w:hAnsi="Times New Roman" w:cs="Times New Roman"/>
          <w:sz w:val="28"/>
          <w:szCs w:val="28"/>
          <w:lang w:val="uk-UA"/>
        </w:rPr>
        <w:t>О</w:t>
      </w:r>
      <w:r w:rsidRPr="00437AD8">
        <w:rPr>
          <w:rFonts w:ascii="Times New Roman" w:hAnsi="Times New Roman" w:cs="Times New Roman"/>
          <w:sz w:val="28"/>
          <w:szCs w:val="28"/>
          <w:lang w:val="uk-UA"/>
        </w:rPr>
        <w:t xml:space="preserve">гляд деяких середніх показників цінності працівників, які </w:t>
      </w:r>
      <w:proofErr w:type="spellStart"/>
      <w:r w:rsidRPr="00437AD8">
        <w:rPr>
          <w:rFonts w:ascii="Times New Roman" w:hAnsi="Times New Roman" w:cs="Times New Roman"/>
          <w:sz w:val="28"/>
          <w:szCs w:val="28"/>
          <w:lang w:val="uk-UA"/>
        </w:rPr>
        <w:t>Хофстеде</w:t>
      </w:r>
      <w:proofErr w:type="spellEnd"/>
      <w:r w:rsidRPr="00437AD8">
        <w:rPr>
          <w:rFonts w:ascii="Times New Roman" w:hAnsi="Times New Roman" w:cs="Times New Roman"/>
          <w:sz w:val="28"/>
          <w:szCs w:val="28"/>
          <w:lang w:val="uk-UA"/>
        </w:rPr>
        <w:t xml:space="preserve"> охопив у своєму дослідженні 1967-1973 років, </w:t>
      </w:r>
      <w:r>
        <w:rPr>
          <w:rFonts w:ascii="Times New Roman" w:hAnsi="Times New Roman" w:cs="Times New Roman"/>
          <w:sz w:val="28"/>
          <w:szCs w:val="28"/>
          <w:lang w:val="uk-UA"/>
        </w:rPr>
        <w:t>що</w:t>
      </w:r>
      <w:r w:rsidRPr="00437AD8">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проведене на базі інформації</w:t>
      </w:r>
      <w:r w:rsidRPr="00437AD8">
        <w:rPr>
          <w:rFonts w:ascii="Times New Roman" w:hAnsi="Times New Roman" w:cs="Times New Roman"/>
          <w:sz w:val="28"/>
          <w:szCs w:val="28"/>
          <w:lang w:val="uk-UA"/>
        </w:rPr>
        <w:t xml:space="preserve"> 53 країн та регіон</w:t>
      </w:r>
      <w:r>
        <w:rPr>
          <w:rFonts w:ascii="Times New Roman" w:hAnsi="Times New Roman" w:cs="Times New Roman"/>
          <w:sz w:val="28"/>
          <w:szCs w:val="28"/>
          <w:lang w:val="uk-UA"/>
        </w:rPr>
        <w:t>ів</w:t>
      </w:r>
      <w:r w:rsidRPr="00437AD8">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[60]</w:t>
      </w:r>
      <w:r w:rsidRPr="00437AD8">
        <w:rPr>
          <w:rFonts w:ascii="Times New Roman" w:hAnsi="Times New Roman" w:cs="Times New Roman"/>
          <w:sz w:val="28"/>
          <w:szCs w:val="28"/>
          <w:lang w:val="uk-UA"/>
        </w:rPr>
        <w:t xml:space="preserve">. </w:t>
      </w:r>
      <w:r>
        <w:rPr>
          <w:rFonts w:ascii="Times New Roman" w:hAnsi="Times New Roman" w:cs="Times New Roman"/>
          <w:sz w:val="28"/>
          <w:szCs w:val="28"/>
          <w:lang w:val="uk-UA"/>
        </w:rPr>
        <w:t>Крім того,</w:t>
      </w:r>
      <w:r w:rsidRPr="00437AD8">
        <w:rPr>
          <w:rFonts w:ascii="Times New Roman" w:hAnsi="Times New Roman" w:cs="Times New Roman"/>
          <w:sz w:val="28"/>
          <w:szCs w:val="28"/>
          <w:lang w:val="uk-UA"/>
        </w:rPr>
        <w:t xml:space="preserve"> США та Великобританія є країнами, які випускають найбільшу частку літератури про кар’єру. Це чітко демонструє, що конкретні аспекти контекстів США та Великобританії не слід узагальнювати на інші країни без критичного осмислення можливих культурних відмінностей.</w:t>
      </w:r>
    </w:p>
    <w:p w14:paraId="1A8325AC" w14:textId="77777777" w:rsidR="00571B42" w:rsidRPr="00437AD8" w:rsidRDefault="00571B42" w:rsidP="00571B42">
      <w:pPr>
        <w:spacing w:after="0" w:line="360" w:lineRule="auto"/>
        <w:ind w:firstLine="720"/>
        <w:jc w:val="both"/>
        <w:rPr>
          <w:rFonts w:ascii="Times New Roman" w:hAnsi="Times New Roman" w:cs="Times New Roman"/>
          <w:sz w:val="28"/>
          <w:szCs w:val="28"/>
          <w:lang w:val="uk-UA"/>
        </w:rPr>
      </w:pPr>
      <w:r w:rsidRPr="00437AD8">
        <w:rPr>
          <w:rFonts w:ascii="Times New Roman" w:hAnsi="Times New Roman" w:cs="Times New Roman"/>
          <w:sz w:val="28"/>
          <w:szCs w:val="28"/>
          <w:lang w:val="uk-UA"/>
        </w:rPr>
        <w:t xml:space="preserve">Хоча загалом культурні відмінності, як правило, недооцінюють, їх також часто переоцінюють. Переоцінка культурних відмінностей зазвичай спричинена стереотипами, що, </w:t>
      </w:r>
      <w:r>
        <w:rPr>
          <w:rFonts w:ascii="Times New Roman" w:hAnsi="Times New Roman" w:cs="Times New Roman"/>
          <w:sz w:val="28"/>
          <w:szCs w:val="28"/>
          <w:lang w:val="uk-UA"/>
        </w:rPr>
        <w:t>в</w:t>
      </w:r>
      <w:r w:rsidRPr="00437AD8">
        <w:rPr>
          <w:rFonts w:ascii="Times New Roman" w:hAnsi="Times New Roman" w:cs="Times New Roman"/>
          <w:sz w:val="28"/>
          <w:szCs w:val="28"/>
          <w:lang w:val="uk-UA"/>
        </w:rPr>
        <w:t xml:space="preserve"> свою чергу, спричиняє подальше </w:t>
      </w:r>
      <w:proofErr w:type="spellStart"/>
      <w:r w:rsidRPr="00437AD8">
        <w:rPr>
          <w:rFonts w:ascii="Times New Roman" w:hAnsi="Times New Roman" w:cs="Times New Roman"/>
          <w:sz w:val="28"/>
          <w:szCs w:val="28"/>
          <w:lang w:val="uk-UA"/>
        </w:rPr>
        <w:t>стереотипування</w:t>
      </w:r>
      <w:proofErr w:type="spellEnd"/>
      <w:r w:rsidRPr="00437AD8">
        <w:rPr>
          <w:rFonts w:ascii="Times New Roman" w:hAnsi="Times New Roman" w:cs="Times New Roman"/>
          <w:sz w:val="28"/>
          <w:szCs w:val="28"/>
          <w:lang w:val="uk-UA"/>
        </w:rPr>
        <w:t xml:space="preserve">. Наприклад, типовим стереотипом для зображення азіатського народу є буддистський монах, який відмовляється від матеріального успіху та особистої вигоди. </w:t>
      </w:r>
      <w:r>
        <w:rPr>
          <w:rFonts w:ascii="Times New Roman" w:hAnsi="Times New Roman" w:cs="Times New Roman"/>
          <w:sz w:val="28"/>
          <w:szCs w:val="28"/>
          <w:lang w:val="uk-UA"/>
        </w:rPr>
        <w:t xml:space="preserve">Але помилкове уявлення про те, що </w:t>
      </w:r>
      <w:r w:rsidRPr="00437AD8">
        <w:rPr>
          <w:rFonts w:ascii="Times New Roman" w:hAnsi="Times New Roman" w:cs="Times New Roman"/>
          <w:sz w:val="28"/>
          <w:szCs w:val="28"/>
          <w:lang w:val="uk-UA"/>
        </w:rPr>
        <w:t>великі східні релігії не пропонують заохочувальної культурної основи для раціональног</w:t>
      </w:r>
      <w:r>
        <w:rPr>
          <w:rFonts w:ascii="Times New Roman" w:hAnsi="Times New Roman" w:cs="Times New Roman"/>
          <w:sz w:val="28"/>
          <w:szCs w:val="28"/>
          <w:lang w:val="uk-UA"/>
        </w:rPr>
        <w:t>о досягнення економічної вигоди</w:t>
      </w:r>
      <w:r w:rsidRPr="00437AD8">
        <w:rPr>
          <w:rFonts w:ascii="Times New Roman" w:hAnsi="Times New Roman" w:cs="Times New Roman"/>
          <w:sz w:val="28"/>
          <w:szCs w:val="28"/>
          <w:lang w:val="uk-UA"/>
        </w:rPr>
        <w:t>, призвело до стереотипного переконання</w:t>
      </w:r>
      <w:r>
        <w:rPr>
          <w:rFonts w:ascii="Times New Roman" w:hAnsi="Times New Roman" w:cs="Times New Roman"/>
          <w:sz w:val="28"/>
          <w:szCs w:val="28"/>
          <w:lang w:val="uk-UA"/>
        </w:rPr>
        <w:t>, що азіатські системи вірувань</w:t>
      </w:r>
      <w:r w:rsidRPr="00437AD8">
        <w:rPr>
          <w:rFonts w:ascii="Times New Roman" w:hAnsi="Times New Roman" w:cs="Times New Roman"/>
          <w:sz w:val="28"/>
          <w:szCs w:val="28"/>
          <w:lang w:val="uk-UA"/>
        </w:rPr>
        <w:t xml:space="preserve"> не сприяють відданості твердій трудовій етиці, і мотиваційним моделям</w:t>
      </w:r>
      <w:r>
        <w:rPr>
          <w:rFonts w:ascii="Times New Roman" w:hAnsi="Times New Roman" w:cs="Times New Roman"/>
          <w:sz w:val="28"/>
          <w:szCs w:val="28"/>
          <w:lang w:val="uk-UA"/>
        </w:rPr>
        <w:t>, а</w:t>
      </w:r>
      <w:r w:rsidRPr="00437AD8">
        <w:rPr>
          <w:rFonts w:ascii="Times New Roman" w:hAnsi="Times New Roman" w:cs="Times New Roman"/>
          <w:sz w:val="28"/>
          <w:szCs w:val="28"/>
          <w:lang w:val="uk-UA"/>
        </w:rPr>
        <w:t xml:space="preserve"> азіатськи</w:t>
      </w:r>
      <w:r>
        <w:rPr>
          <w:rFonts w:ascii="Times New Roman" w:hAnsi="Times New Roman" w:cs="Times New Roman"/>
          <w:sz w:val="28"/>
          <w:szCs w:val="28"/>
          <w:lang w:val="uk-UA"/>
        </w:rPr>
        <w:t>м</w:t>
      </w:r>
      <w:r w:rsidRPr="00437AD8">
        <w:rPr>
          <w:rFonts w:ascii="Times New Roman" w:hAnsi="Times New Roman" w:cs="Times New Roman"/>
          <w:sz w:val="28"/>
          <w:szCs w:val="28"/>
          <w:lang w:val="uk-UA"/>
        </w:rPr>
        <w:t xml:space="preserve"> працівник</w:t>
      </w:r>
      <w:r>
        <w:rPr>
          <w:rFonts w:ascii="Times New Roman" w:hAnsi="Times New Roman" w:cs="Times New Roman"/>
          <w:sz w:val="28"/>
          <w:szCs w:val="28"/>
          <w:lang w:val="uk-UA"/>
        </w:rPr>
        <w:t>ам</w:t>
      </w:r>
      <w:r w:rsidRPr="00437AD8">
        <w:rPr>
          <w:rFonts w:ascii="Times New Roman" w:hAnsi="Times New Roman" w:cs="Times New Roman"/>
          <w:sz w:val="28"/>
          <w:szCs w:val="28"/>
          <w:lang w:val="uk-UA"/>
        </w:rPr>
        <w:t xml:space="preserve"> бракує потреби в досягненнях. Однак той факт, що Індія </w:t>
      </w:r>
      <w:r w:rsidRPr="00437AD8">
        <w:rPr>
          <w:rFonts w:ascii="Times New Roman" w:hAnsi="Times New Roman" w:cs="Times New Roman"/>
          <w:sz w:val="28"/>
          <w:szCs w:val="28"/>
          <w:lang w:val="uk-UA"/>
        </w:rPr>
        <w:lastRenderedPageBreak/>
        <w:t>та Китай є одними з економік світу, що найшвидше розвиваються, свідчить про протилежне.</w:t>
      </w:r>
    </w:p>
    <w:p w14:paraId="3449087C" w14:textId="77777777" w:rsidR="00571B42" w:rsidRPr="00437AD8"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w:t>
      </w:r>
      <w:proofErr w:type="spellStart"/>
      <w:r>
        <w:rPr>
          <w:rFonts w:ascii="Times New Roman" w:hAnsi="Times New Roman" w:cs="Times New Roman"/>
          <w:sz w:val="28"/>
          <w:szCs w:val="28"/>
          <w:lang w:val="uk-UA"/>
        </w:rPr>
        <w:t>логічно</w:t>
      </w:r>
      <w:proofErr w:type="spellEnd"/>
      <w:r>
        <w:rPr>
          <w:rFonts w:ascii="Times New Roman" w:hAnsi="Times New Roman" w:cs="Times New Roman"/>
          <w:sz w:val="28"/>
          <w:szCs w:val="28"/>
          <w:lang w:val="uk-UA"/>
        </w:rPr>
        <w:t xml:space="preserve"> вибудовується наступне </w:t>
      </w:r>
      <w:r w:rsidRPr="00437AD8">
        <w:rPr>
          <w:rFonts w:ascii="Times New Roman" w:hAnsi="Times New Roman" w:cs="Times New Roman"/>
          <w:sz w:val="28"/>
          <w:szCs w:val="28"/>
          <w:lang w:val="uk-UA"/>
        </w:rPr>
        <w:t xml:space="preserve">важливе питання </w:t>
      </w:r>
      <w:r>
        <w:rPr>
          <w:rFonts w:ascii="Times New Roman" w:hAnsi="Times New Roman" w:cs="Times New Roman"/>
          <w:sz w:val="28"/>
          <w:szCs w:val="28"/>
          <w:lang w:val="uk-UA"/>
        </w:rPr>
        <w:t>щодо</w:t>
      </w:r>
      <w:r w:rsidRPr="00437AD8">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необхідності міжкультурних досліджень, а саме я</w:t>
      </w:r>
      <w:r w:rsidRPr="00437AD8">
        <w:rPr>
          <w:rFonts w:ascii="Times New Roman" w:hAnsi="Times New Roman" w:cs="Times New Roman"/>
          <w:sz w:val="28"/>
          <w:szCs w:val="28"/>
          <w:lang w:val="uk-UA"/>
        </w:rPr>
        <w:t>к елементи національної культури впливають на визначення кар’єрного успіху людей у всьому світі?</w:t>
      </w:r>
    </w:p>
    <w:p w14:paraId="70D73E15" w14:textId="77777777" w:rsidR="00571B42" w:rsidRPr="00437AD8" w:rsidRDefault="00571B42" w:rsidP="00571B42">
      <w:pPr>
        <w:spacing w:after="0" w:line="360" w:lineRule="auto"/>
        <w:ind w:firstLine="720"/>
        <w:jc w:val="both"/>
        <w:rPr>
          <w:rFonts w:ascii="Times New Roman" w:hAnsi="Times New Roman" w:cs="Times New Roman"/>
          <w:sz w:val="28"/>
          <w:szCs w:val="28"/>
          <w:lang w:val="uk-UA"/>
        </w:rPr>
      </w:pPr>
      <w:r w:rsidRPr="00437AD8">
        <w:rPr>
          <w:rFonts w:ascii="Times New Roman" w:hAnsi="Times New Roman" w:cs="Times New Roman"/>
          <w:sz w:val="28"/>
          <w:szCs w:val="28"/>
          <w:lang w:val="uk-UA"/>
        </w:rPr>
        <w:t>Важливим моментом критики літератури з міжкультурної психології є те, що культура загалом описується та вивчається так, ніби вона стосується стабільної особливості суспільства. Однак, як тільки соціальні, політичні та економічні фактори зміняться, люди адаптуються до нового середовища, приймаючи більш відповідну поведінку. Згодом ці нові форми поведінки можуть накопичуватися і починати визначати нові культурні припущення, як продемонстрували дослідження в економіках, що швидко розвиваються</w:t>
      </w:r>
      <w:r>
        <w:rPr>
          <w:rFonts w:ascii="Times New Roman" w:hAnsi="Times New Roman" w:cs="Times New Roman"/>
          <w:sz w:val="28"/>
          <w:szCs w:val="28"/>
          <w:lang w:val="uk-UA"/>
        </w:rPr>
        <w:t xml:space="preserve"> </w:t>
      </w:r>
      <w:r w:rsidRPr="005D1B01">
        <w:rPr>
          <w:rFonts w:ascii="Times New Roman" w:hAnsi="Times New Roman" w:cs="Times New Roman"/>
          <w:sz w:val="28"/>
          <w:szCs w:val="28"/>
        </w:rPr>
        <w:t>[60]</w:t>
      </w:r>
      <w:r w:rsidRPr="00437AD8">
        <w:rPr>
          <w:rFonts w:ascii="Times New Roman" w:hAnsi="Times New Roman" w:cs="Times New Roman"/>
          <w:sz w:val="28"/>
          <w:szCs w:val="28"/>
          <w:lang w:val="uk-UA"/>
        </w:rPr>
        <w:t xml:space="preserve">. Наприклад, </w:t>
      </w:r>
      <w:r>
        <w:rPr>
          <w:rFonts w:ascii="Times New Roman" w:hAnsi="Times New Roman" w:cs="Times New Roman"/>
          <w:sz w:val="28"/>
          <w:szCs w:val="28"/>
          <w:lang w:val="uk-UA"/>
        </w:rPr>
        <w:t xml:space="preserve">було </w:t>
      </w:r>
      <w:r w:rsidRPr="00437AD8">
        <w:rPr>
          <w:rFonts w:ascii="Times New Roman" w:hAnsi="Times New Roman" w:cs="Times New Roman"/>
          <w:sz w:val="28"/>
          <w:szCs w:val="28"/>
          <w:lang w:val="uk-UA"/>
        </w:rPr>
        <w:t>виявле</w:t>
      </w:r>
      <w:r>
        <w:rPr>
          <w:rFonts w:ascii="Times New Roman" w:hAnsi="Times New Roman" w:cs="Times New Roman"/>
          <w:sz w:val="28"/>
          <w:szCs w:val="28"/>
          <w:lang w:val="uk-UA"/>
        </w:rPr>
        <w:t>но</w:t>
      </w:r>
      <w:r w:rsidRPr="00437AD8">
        <w:rPr>
          <w:rFonts w:ascii="Times New Roman" w:hAnsi="Times New Roman" w:cs="Times New Roman"/>
          <w:sz w:val="28"/>
          <w:szCs w:val="28"/>
          <w:lang w:val="uk-UA"/>
        </w:rPr>
        <w:t xml:space="preserve">, що молодші респонденти в китайській вибірці повідомили про кар’єрні цінності, більш подібні до цінностей західних респондентів, ніж до літніх китайців. Однак нюанси повинні бути застосовані. </w:t>
      </w:r>
    </w:p>
    <w:p w14:paraId="0C759EF2" w14:textId="77777777" w:rsidR="00571B42" w:rsidRPr="0014563B" w:rsidRDefault="00571B42" w:rsidP="00571B42">
      <w:pPr>
        <w:spacing w:after="0" w:line="360" w:lineRule="auto"/>
        <w:ind w:firstLine="720"/>
        <w:jc w:val="both"/>
        <w:rPr>
          <w:rFonts w:ascii="Times New Roman" w:hAnsi="Times New Roman" w:cs="Times New Roman"/>
          <w:sz w:val="28"/>
          <w:szCs w:val="28"/>
          <w:lang w:val="uk-UA"/>
        </w:rPr>
      </w:pPr>
      <w:r w:rsidRPr="00437AD8">
        <w:rPr>
          <w:rFonts w:ascii="Times New Roman" w:hAnsi="Times New Roman" w:cs="Times New Roman"/>
          <w:sz w:val="28"/>
          <w:szCs w:val="28"/>
          <w:lang w:val="uk-UA"/>
        </w:rPr>
        <w:t>Загалом</w:t>
      </w:r>
      <w:r>
        <w:rPr>
          <w:rFonts w:ascii="Times New Roman" w:hAnsi="Times New Roman" w:cs="Times New Roman"/>
          <w:sz w:val="28"/>
          <w:szCs w:val="28"/>
          <w:lang w:val="uk-UA"/>
        </w:rPr>
        <w:t xml:space="preserve"> доцільно підкреслити</w:t>
      </w:r>
      <w:r w:rsidRPr="00437AD8">
        <w:rPr>
          <w:rFonts w:ascii="Times New Roman" w:hAnsi="Times New Roman" w:cs="Times New Roman"/>
          <w:sz w:val="28"/>
          <w:szCs w:val="28"/>
          <w:lang w:val="uk-UA"/>
        </w:rPr>
        <w:t>, що як універсалістські тенденції між культурними контекстами, так і культурно-специфічні тенденції відіграють певну роль у становленні кар’єри. У літературі про глобалізацію стверджується, що замість протиставлення різних культурних переконань щодо кар’єри та кар’єрного успіху дослідники повинні прагнути зрозуміти, як ці переконання сформувалися та чому вони зберігаються. Потрібні широкомасштабні крос-культурні дослідження, щоб точно дослідити, як глобалізація вплинула на значення, які люди в усьому сві</w:t>
      </w:r>
      <w:r>
        <w:rPr>
          <w:rFonts w:ascii="Times New Roman" w:hAnsi="Times New Roman" w:cs="Times New Roman"/>
          <w:sz w:val="28"/>
          <w:szCs w:val="28"/>
          <w:lang w:val="uk-UA"/>
        </w:rPr>
        <w:t xml:space="preserve">ті приписують </w:t>
      </w:r>
      <w:r w:rsidRPr="0014563B">
        <w:rPr>
          <w:rFonts w:ascii="Times New Roman" w:hAnsi="Times New Roman" w:cs="Times New Roman"/>
          <w:sz w:val="28"/>
          <w:szCs w:val="28"/>
          <w:lang w:val="uk-UA"/>
        </w:rPr>
        <w:t xml:space="preserve">успіху в кар’єрі. </w:t>
      </w:r>
    </w:p>
    <w:p w14:paraId="175F725F" w14:textId="77777777" w:rsidR="00571B42" w:rsidRPr="00710D2A" w:rsidRDefault="00571B42" w:rsidP="00571B42">
      <w:pPr>
        <w:spacing w:after="0" w:line="360" w:lineRule="auto"/>
        <w:ind w:firstLine="720"/>
        <w:jc w:val="both"/>
        <w:rPr>
          <w:rFonts w:ascii="Times New Roman" w:hAnsi="Times New Roman" w:cs="Times New Roman"/>
          <w:sz w:val="28"/>
          <w:szCs w:val="28"/>
          <w:lang w:val="uk-UA"/>
        </w:rPr>
      </w:pPr>
      <w:r w:rsidRPr="0014563B">
        <w:rPr>
          <w:rFonts w:ascii="Times New Roman" w:hAnsi="Times New Roman" w:cs="Times New Roman"/>
          <w:sz w:val="28"/>
          <w:szCs w:val="28"/>
          <w:lang w:val="uk-UA"/>
        </w:rPr>
        <w:t>Питання про те, як культурні цінності впливають на визначення людьми успіху в кар’єрі, пов’язане з питанням про те, як це роблять релігія</w:t>
      </w:r>
      <w:r>
        <w:rPr>
          <w:rFonts w:ascii="Times New Roman" w:hAnsi="Times New Roman" w:cs="Times New Roman"/>
          <w:sz w:val="28"/>
          <w:szCs w:val="28"/>
          <w:lang w:val="uk-UA"/>
        </w:rPr>
        <w:t xml:space="preserve"> та духовність. На особливу увагу заслуговує цікавий напрям розвитку </w:t>
      </w:r>
      <w:r w:rsidRPr="00710D2A">
        <w:rPr>
          <w:rFonts w:ascii="Times New Roman" w:hAnsi="Times New Roman" w:cs="Times New Roman"/>
          <w:sz w:val="28"/>
          <w:szCs w:val="28"/>
          <w:lang w:val="uk-UA"/>
        </w:rPr>
        <w:t>літератури, який (опосередковано) розглядає вплив релігії та духовності на значення, пов’язані з успіхом у кар’єрі, стосується протестантської трудової етики. Рання література про протестантськ</w:t>
      </w:r>
      <w:r>
        <w:rPr>
          <w:rFonts w:ascii="Times New Roman" w:hAnsi="Times New Roman" w:cs="Times New Roman"/>
          <w:sz w:val="28"/>
          <w:szCs w:val="28"/>
          <w:lang w:val="uk-UA"/>
        </w:rPr>
        <w:t>у</w:t>
      </w:r>
      <w:r w:rsidRPr="00710D2A">
        <w:rPr>
          <w:rFonts w:ascii="Times New Roman" w:hAnsi="Times New Roman" w:cs="Times New Roman"/>
          <w:sz w:val="28"/>
          <w:szCs w:val="28"/>
          <w:lang w:val="uk-UA"/>
        </w:rPr>
        <w:t xml:space="preserve"> трудов</w:t>
      </w:r>
      <w:r>
        <w:rPr>
          <w:rFonts w:ascii="Times New Roman" w:hAnsi="Times New Roman" w:cs="Times New Roman"/>
          <w:sz w:val="28"/>
          <w:szCs w:val="28"/>
          <w:lang w:val="uk-UA"/>
        </w:rPr>
        <w:t>у</w:t>
      </w:r>
      <w:r w:rsidRPr="00710D2A">
        <w:rPr>
          <w:rFonts w:ascii="Times New Roman" w:hAnsi="Times New Roman" w:cs="Times New Roman"/>
          <w:sz w:val="28"/>
          <w:szCs w:val="28"/>
          <w:lang w:val="uk-UA"/>
        </w:rPr>
        <w:t xml:space="preserve"> етик</w:t>
      </w:r>
      <w:r>
        <w:rPr>
          <w:rFonts w:ascii="Times New Roman" w:hAnsi="Times New Roman" w:cs="Times New Roman"/>
          <w:sz w:val="28"/>
          <w:szCs w:val="28"/>
          <w:lang w:val="uk-UA"/>
        </w:rPr>
        <w:t>у</w:t>
      </w:r>
      <w:r w:rsidRPr="00710D2A">
        <w:rPr>
          <w:rFonts w:ascii="Times New Roman" w:hAnsi="Times New Roman" w:cs="Times New Roman"/>
          <w:sz w:val="28"/>
          <w:szCs w:val="28"/>
          <w:lang w:val="uk-UA"/>
        </w:rPr>
        <w:t xml:space="preserve"> припускала, що протестанти-кальвіністи частіше, ніж інші релігійні групи (особливо католики), розглядають роботу як </w:t>
      </w:r>
      <w:r w:rsidRPr="00710D2A">
        <w:rPr>
          <w:rFonts w:ascii="Times New Roman" w:hAnsi="Times New Roman" w:cs="Times New Roman"/>
          <w:sz w:val="28"/>
          <w:szCs w:val="28"/>
          <w:lang w:val="uk-UA"/>
        </w:rPr>
        <w:lastRenderedPageBreak/>
        <w:t>покликання. Центральне місце займає аскетичний спосіб життя (який характеризується важкою працею та ощадливістю) у протестантськ</w:t>
      </w:r>
      <w:r>
        <w:rPr>
          <w:rFonts w:ascii="Times New Roman" w:hAnsi="Times New Roman" w:cs="Times New Roman"/>
          <w:sz w:val="28"/>
          <w:szCs w:val="28"/>
          <w:lang w:val="uk-UA"/>
        </w:rPr>
        <w:t>ій</w:t>
      </w:r>
      <w:r w:rsidRPr="00710D2A">
        <w:rPr>
          <w:rFonts w:ascii="Times New Roman" w:hAnsi="Times New Roman" w:cs="Times New Roman"/>
          <w:sz w:val="28"/>
          <w:szCs w:val="28"/>
          <w:lang w:val="uk-UA"/>
        </w:rPr>
        <w:t xml:space="preserve"> трудов</w:t>
      </w:r>
      <w:r>
        <w:rPr>
          <w:rFonts w:ascii="Times New Roman" w:hAnsi="Times New Roman" w:cs="Times New Roman"/>
          <w:sz w:val="28"/>
          <w:szCs w:val="28"/>
          <w:lang w:val="uk-UA"/>
        </w:rPr>
        <w:t>ій</w:t>
      </w:r>
      <w:r w:rsidRPr="00710D2A">
        <w:rPr>
          <w:rFonts w:ascii="Times New Roman" w:hAnsi="Times New Roman" w:cs="Times New Roman"/>
          <w:sz w:val="28"/>
          <w:szCs w:val="28"/>
          <w:lang w:val="uk-UA"/>
        </w:rPr>
        <w:t xml:space="preserve"> ети</w:t>
      </w:r>
      <w:r>
        <w:rPr>
          <w:rFonts w:ascii="Times New Roman" w:hAnsi="Times New Roman" w:cs="Times New Roman"/>
          <w:sz w:val="28"/>
          <w:szCs w:val="28"/>
          <w:lang w:val="uk-UA"/>
        </w:rPr>
        <w:t>ці</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відображена</w:t>
      </w:r>
      <w:r w:rsidRPr="00710D2A">
        <w:rPr>
          <w:rFonts w:ascii="Times New Roman" w:hAnsi="Times New Roman" w:cs="Times New Roman"/>
          <w:sz w:val="28"/>
          <w:szCs w:val="28"/>
          <w:lang w:val="uk-UA"/>
        </w:rPr>
        <w:t xml:space="preserve"> потреба прославляти Бога в усіх повсякденних заходах</w:t>
      </w:r>
      <w:r>
        <w:rPr>
          <w:rFonts w:ascii="Times New Roman" w:hAnsi="Times New Roman" w:cs="Times New Roman"/>
          <w:sz w:val="28"/>
          <w:szCs w:val="28"/>
          <w:lang w:val="uk-UA"/>
        </w:rPr>
        <w:t>, що</w:t>
      </w:r>
      <w:r w:rsidRPr="00710D2A">
        <w:rPr>
          <w:rFonts w:ascii="Times New Roman" w:hAnsi="Times New Roman" w:cs="Times New Roman"/>
          <w:sz w:val="28"/>
          <w:szCs w:val="28"/>
          <w:lang w:val="uk-UA"/>
        </w:rPr>
        <w:t xml:space="preserve"> лежить в основі цієї (упередженої) тези. </w:t>
      </w:r>
      <w:r>
        <w:rPr>
          <w:rFonts w:ascii="Times New Roman" w:hAnsi="Times New Roman" w:cs="Times New Roman"/>
          <w:sz w:val="28"/>
          <w:szCs w:val="28"/>
          <w:lang w:val="uk-UA"/>
        </w:rPr>
        <w:t>Сьогодні можна зустріти офіційні думки, які</w:t>
      </w:r>
      <w:r w:rsidRPr="00710D2A">
        <w:rPr>
          <w:rFonts w:ascii="Times New Roman" w:hAnsi="Times New Roman" w:cs="Times New Roman"/>
          <w:sz w:val="28"/>
          <w:szCs w:val="28"/>
          <w:lang w:val="uk-UA"/>
        </w:rPr>
        <w:t xml:space="preserve"> стверджу</w:t>
      </w:r>
      <w:r>
        <w:rPr>
          <w:rFonts w:ascii="Times New Roman" w:hAnsi="Times New Roman" w:cs="Times New Roman"/>
          <w:sz w:val="28"/>
          <w:szCs w:val="28"/>
          <w:lang w:val="uk-UA"/>
        </w:rPr>
        <w:t>ють</w:t>
      </w:r>
      <w:r w:rsidRPr="00710D2A">
        <w:rPr>
          <w:rFonts w:ascii="Times New Roman" w:hAnsi="Times New Roman" w:cs="Times New Roman"/>
          <w:sz w:val="28"/>
          <w:szCs w:val="28"/>
          <w:lang w:val="uk-UA"/>
        </w:rPr>
        <w:t>, що люди з менш розвиненою релігійною самосвідомістю або менш активні в релігійному відношенні, швидше за все, будуть мати більш світські погляди на роботу, сприймаючи її</w:t>
      </w:r>
      <w:r>
        <w:rPr>
          <w:rFonts w:ascii="Times New Roman" w:hAnsi="Times New Roman" w:cs="Times New Roman"/>
          <w:sz w:val="28"/>
          <w:szCs w:val="28"/>
          <w:lang w:val="uk-UA"/>
        </w:rPr>
        <w:t xml:space="preserve"> або як кар’єру, або як роботу</w:t>
      </w:r>
      <w:r w:rsidRPr="00710D2A">
        <w:rPr>
          <w:rFonts w:ascii="Times New Roman" w:hAnsi="Times New Roman" w:cs="Times New Roman"/>
          <w:sz w:val="28"/>
          <w:szCs w:val="28"/>
          <w:lang w:val="uk-UA"/>
        </w:rPr>
        <w:t xml:space="preserve">, але </w:t>
      </w:r>
      <w:r>
        <w:rPr>
          <w:rFonts w:ascii="Times New Roman" w:hAnsi="Times New Roman" w:cs="Times New Roman"/>
          <w:sz w:val="28"/>
          <w:szCs w:val="28"/>
          <w:lang w:val="uk-UA"/>
        </w:rPr>
        <w:t>дуже зрідка як</w:t>
      </w:r>
      <w:r w:rsidRPr="00710D2A">
        <w:rPr>
          <w:rFonts w:ascii="Times New Roman" w:hAnsi="Times New Roman" w:cs="Times New Roman"/>
          <w:sz w:val="28"/>
          <w:szCs w:val="28"/>
          <w:lang w:val="uk-UA"/>
        </w:rPr>
        <w:t xml:space="preserve"> виклик. </w:t>
      </w:r>
      <w:r>
        <w:rPr>
          <w:rFonts w:ascii="Times New Roman" w:hAnsi="Times New Roman" w:cs="Times New Roman"/>
          <w:sz w:val="28"/>
          <w:szCs w:val="28"/>
          <w:lang w:val="uk-UA"/>
        </w:rPr>
        <w:t>Крім того, важливо зазначити</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нашу думку, </w:t>
      </w:r>
      <w:r w:rsidRPr="00710D2A">
        <w:rPr>
          <w:rFonts w:ascii="Times New Roman" w:hAnsi="Times New Roman" w:cs="Times New Roman"/>
          <w:sz w:val="28"/>
          <w:szCs w:val="28"/>
          <w:lang w:val="uk-UA"/>
        </w:rPr>
        <w:t xml:space="preserve">«робота» пов’язана з зацікавленістю головним чином у матеріальних вигодах від роботи та з вираженням інтересів </w:t>
      </w:r>
      <w:r>
        <w:rPr>
          <w:rFonts w:ascii="Times New Roman" w:hAnsi="Times New Roman" w:cs="Times New Roman"/>
          <w:sz w:val="28"/>
          <w:szCs w:val="28"/>
          <w:lang w:val="uk-UA"/>
        </w:rPr>
        <w:t>та</w:t>
      </w:r>
      <w:r w:rsidRPr="00710D2A">
        <w:rPr>
          <w:rFonts w:ascii="Times New Roman" w:hAnsi="Times New Roman" w:cs="Times New Roman"/>
          <w:sz w:val="28"/>
          <w:szCs w:val="28"/>
          <w:lang w:val="uk-UA"/>
        </w:rPr>
        <w:t xml:space="preserve"> амбіцій переважно під час дозвілля; «кар'єра» пов'язана з більш глибоким особистим вкладенням у роботу, спрямовану на просування в тій чи іншій мірі; а «покликання» асоціюється з морально та соціально значущою роботою, яка приносить особистісну самореалізацію.</w:t>
      </w:r>
    </w:p>
    <w:p w14:paraId="43B372CA"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Подібні ідеї зустрічаються в літературі про буддизм і роботу, хоча вчення буддизму загалом сильно відрізняються від </w:t>
      </w:r>
      <w:proofErr w:type="spellStart"/>
      <w:r w:rsidRPr="00710D2A">
        <w:rPr>
          <w:rFonts w:ascii="Times New Roman" w:hAnsi="Times New Roman" w:cs="Times New Roman"/>
          <w:sz w:val="28"/>
          <w:szCs w:val="28"/>
          <w:lang w:val="uk-UA"/>
        </w:rPr>
        <w:t>вчень</w:t>
      </w:r>
      <w:proofErr w:type="spellEnd"/>
      <w:r w:rsidRPr="00710D2A">
        <w:rPr>
          <w:rFonts w:ascii="Times New Roman" w:hAnsi="Times New Roman" w:cs="Times New Roman"/>
          <w:sz w:val="28"/>
          <w:szCs w:val="28"/>
          <w:lang w:val="uk-UA"/>
        </w:rPr>
        <w:t xml:space="preserve"> протестантськ</w:t>
      </w:r>
      <w:r>
        <w:rPr>
          <w:rFonts w:ascii="Times New Roman" w:hAnsi="Times New Roman" w:cs="Times New Roman"/>
          <w:sz w:val="28"/>
          <w:szCs w:val="28"/>
          <w:lang w:val="uk-UA"/>
        </w:rPr>
        <w:t>ої</w:t>
      </w:r>
      <w:r w:rsidRPr="00710D2A">
        <w:rPr>
          <w:rFonts w:ascii="Times New Roman" w:hAnsi="Times New Roman" w:cs="Times New Roman"/>
          <w:sz w:val="28"/>
          <w:szCs w:val="28"/>
          <w:lang w:val="uk-UA"/>
        </w:rPr>
        <w:t xml:space="preserve"> трудов</w:t>
      </w:r>
      <w:r>
        <w:rPr>
          <w:rFonts w:ascii="Times New Roman" w:hAnsi="Times New Roman" w:cs="Times New Roman"/>
          <w:sz w:val="28"/>
          <w:szCs w:val="28"/>
          <w:lang w:val="uk-UA"/>
        </w:rPr>
        <w:t>ої</w:t>
      </w:r>
      <w:r w:rsidRPr="00710D2A">
        <w:rPr>
          <w:rFonts w:ascii="Times New Roman" w:hAnsi="Times New Roman" w:cs="Times New Roman"/>
          <w:sz w:val="28"/>
          <w:szCs w:val="28"/>
          <w:lang w:val="uk-UA"/>
        </w:rPr>
        <w:t xml:space="preserve"> етик</w:t>
      </w:r>
      <w:r>
        <w:rPr>
          <w:rFonts w:ascii="Times New Roman" w:hAnsi="Times New Roman" w:cs="Times New Roman"/>
          <w:sz w:val="28"/>
          <w:szCs w:val="28"/>
          <w:lang w:val="uk-UA"/>
        </w:rPr>
        <w:t>и</w:t>
      </w:r>
      <w:r w:rsidRPr="00710D2A">
        <w:rPr>
          <w:rFonts w:ascii="Times New Roman" w:hAnsi="Times New Roman" w:cs="Times New Roman"/>
          <w:sz w:val="28"/>
          <w:szCs w:val="28"/>
          <w:lang w:val="uk-UA"/>
        </w:rPr>
        <w:t>. Суть життя, на думку буддистів, полягає в очищенні людського характеру, меті, яка частково досягається працею. Буддизм розмежовує принаймні три функції роботи: перш за все, дати людям можливість використовувати та розвивати свої здібності; по-друге, подолати егоцентризм, працюючи над спільною метою разом з іншими; і по-третє, створювати товари та по</w:t>
      </w:r>
      <w:r>
        <w:rPr>
          <w:rFonts w:ascii="Times New Roman" w:hAnsi="Times New Roman" w:cs="Times New Roman"/>
          <w:sz w:val="28"/>
          <w:szCs w:val="28"/>
          <w:lang w:val="uk-UA"/>
        </w:rPr>
        <w:t>слуги, необхідні для «існування</w:t>
      </w:r>
      <w:r w:rsidRPr="00710D2A">
        <w:rPr>
          <w:rFonts w:ascii="Times New Roman" w:hAnsi="Times New Roman" w:cs="Times New Roman"/>
          <w:sz w:val="28"/>
          <w:szCs w:val="28"/>
          <w:lang w:val="uk-UA"/>
        </w:rPr>
        <w:t xml:space="preserve">». Важливим орієнтиром для буддистів у виборі кар'єри є Благородний восьмикратний шлях. Шлях правильного заробітку, зокрема, визначає, що люди повинні уникати занять, які прямо чи опосередковано завдають шкоди іншим живим істотам. Як наслідок, це має далекосяжні </w:t>
      </w:r>
      <w:r>
        <w:rPr>
          <w:rFonts w:ascii="Times New Roman" w:hAnsi="Times New Roman" w:cs="Times New Roman"/>
          <w:sz w:val="28"/>
          <w:szCs w:val="28"/>
          <w:lang w:val="uk-UA"/>
        </w:rPr>
        <w:t>напрями</w:t>
      </w:r>
      <w:r w:rsidRPr="00710D2A">
        <w:rPr>
          <w:rFonts w:ascii="Times New Roman" w:hAnsi="Times New Roman" w:cs="Times New Roman"/>
          <w:sz w:val="28"/>
          <w:szCs w:val="28"/>
          <w:lang w:val="uk-UA"/>
        </w:rPr>
        <w:t xml:space="preserve"> для того, як буддисти обирають і оцінюють кар’єру.</w:t>
      </w:r>
    </w:p>
    <w:p w14:paraId="564785C6" w14:textId="77777777" w:rsidR="00571B42" w:rsidRPr="00710D2A"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нашої думки, ми</w:t>
      </w:r>
      <w:r w:rsidRPr="00710D2A">
        <w:rPr>
          <w:rFonts w:ascii="Times New Roman" w:hAnsi="Times New Roman" w:cs="Times New Roman"/>
          <w:sz w:val="28"/>
          <w:szCs w:val="28"/>
          <w:lang w:val="uk-UA"/>
        </w:rPr>
        <w:t xml:space="preserve"> коротко </w:t>
      </w:r>
      <w:r>
        <w:rPr>
          <w:rFonts w:ascii="Times New Roman" w:hAnsi="Times New Roman" w:cs="Times New Roman"/>
          <w:sz w:val="28"/>
          <w:szCs w:val="28"/>
          <w:lang w:val="uk-UA"/>
        </w:rPr>
        <w:t>зазначили основні тези щодо</w:t>
      </w:r>
      <w:r w:rsidRPr="0014563B">
        <w:rPr>
          <w:rFonts w:ascii="Times New Roman" w:hAnsi="Times New Roman" w:cs="Times New Roman"/>
          <w:sz w:val="28"/>
          <w:szCs w:val="28"/>
          <w:lang w:val="uk-UA"/>
        </w:rPr>
        <w:t xml:space="preserve"> </w:t>
      </w:r>
      <w:r w:rsidRPr="00710D2A">
        <w:rPr>
          <w:rFonts w:ascii="Times New Roman" w:hAnsi="Times New Roman" w:cs="Times New Roman"/>
          <w:sz w:val="28"/>
          <w:szCs w:val="28"/>
          <w:lang w:val="uk-UA"/>
        </w:rPr>
        <w:t>протестантськ</w:t>
      </w:r>
      <w:r>
        <w:rPr>
          <w:rFonts w:ascii="Times New Roman" w:hAnsi="Times New Roman" w:cs="Times New Roman"/>
          <w:sz w:val="28"/>
          <w:szCs w:val="28"/>
          <w:lang w:val="uk-UA"/>
        </w:rPr>
        <w:t>ої</w:t>
      </w:r>
      <w:r w:rsidRPr="00710D2A">
        <w:rPr>
          <w:rFonts w:ascii="Times New Roman" w:hAnsi="Times New Roman" w:cs="Times New Roman"/>
          <w:sz w:val="28"/>
          <w:szCs w:val="28"/>
          <w:lang w:val="uk-UA"/>
        </w:rPr>
        <w:t xml:space="preserve"> трудов</w:t>
      </w:r>
      <w:r>
        <w:rPr>
          <w:rFonts w:ascii="Times New Roman" w:hAnsi="Times New Roman" w:cs="Times New Roman"/>
          <w:sz w:val="28"/>
          <w:szCs w:val="28"/>
          <w:lang w:val="uk-UA"/>
        </w:rPr>
        <w:t>ої</w:t>
      </w:r>
      <w:r w:rsidRPr="00710D2A">
        <w:rPr>
          <w:rFonts w:ascii="Times New Roman" w:hAnsi="Times New Roman" w:cs="Times New Roman"/>
          <w:sz w:val="28"/>
          <w:szCs w:val="28"/>
          <w:lang w:val="uk-UA"/>
        </w:rPr>
        <w:t xml:space="preserve"> етик</w:t>
      </w:r>
      <w:r>
        <w:rPr>
          <w:rFonts w:ascii="Times New Roman" w:hAnsi="Times New Roman" w:cs="Times New Roman"/>
          <w:sz w:val="28"/>
          <w:szCs w:val="28"/>
          <w:lang w:val="uk-UA"/>
        </w:rPr>
        <w:t>и</w:t>
      </w:r>
      <w:r w:rsidRPr="00710D2A">
        <w:rPr>
          <w:rFonts w:ascii="Times New Roman" w:hAnsi="Times New Roman" w:cs="Times New Roman"/>
          <w:sz w:val="28"/>
          <w:szCs w:val="28"/>
          <w:lang w:val="uk-UA"/>
        </w:rPr>
        <w:t xml:space="preserve"> і буддизм</w:t>
      </w:r>
      <w:r>
        <w:rPr>
          <w:rFonts w:ascii="Times New Roman" w:hAnsi="Times New Roman" w:cs="Times New Roman"/>
          <w:sz w:val="28"/>
          <w:szCs w:val="28"/>
          <w:lang w:val="uk-UA"/>
        </w:rPr>
        <w:t>у</w:t>
      </w:r>
      <w:r w:rsidRPr="00710D2A">
        <w:rPr>
          <w:rFonts w:ascii="Times New Roman" w:hAnsi="Times New Roman" w:cs="Times New Roman"/>
          <w:sz w:val="28"/>
          <w:szCs w:val="28"/>
          <w:lang w:val="uk-UA"/>
        </w:rPr>
        <w:t xml:space="preserve"> як навчальні приклади того, як релігія може вплинути на соціальне конструювання успіху в кар’єрі. Звичайно, існує багато інших прикладів, але розгляд кожного з них </w:t>
      </w:r>
      <w:r>
        <w:rPr>
          <w:rFonts w:ascii="Times New Roman" w:hAnsi="Times New Roman" w:cs="Times New Roman"/>
          <w:sz w:val="28"/>
          <w:szCs w:val="28"/>
          <w:lang w:val="uk-UA"/>
        </w:rPr>
        <w:t xml:space="preserve">стане суттєвим </w:t>
      </w:r>
      <w:r>
        <w:rPr>
          <w:rFonts w:ascii="Times New Roman" w:hAnsi="Times New Roman" w:cs="Times New Roman"/>
          <w:sz w:val="28"/>
          <w:szCs w:val="28"/>
          <w:lang w:val="uk-UA"/>
        </w:rPr>
        <w:lastRenderedPageBreak/>
        <w:t>відгалуженням від основного напряму нашого дослідження щодо</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14563B">
        <w:rPr>
          <w:rFonts w:ascii="Times New Roman" w:hAnsi="Times New Roman" w:cs="Times New Roman"/>
          <w:sz w:val="28"/>
          <w:szCs w:val="28"/>
          <w:lang w:val="uk-UA"/>
        </w:rPr>
        <w:t>онвергентн</w:t>
      </w:r>
      <w:r>
        <w:rPr>
          <w:rFonts w:ascii="Times New Roman" w:hAnsi="Times New Roman" w:cs="Times New Roman"/>
          <w:sz w:val="28"/>
          <w:szCs w:val="28"/>
          <w:lang w:val="uk-UA"/>
        </w:rPr>
        <w:t>ого</w:t>
      </w:r>
      <w:r w:rsidRPr="0014563B">
        <w:rPr>
          <w:rFonts w:ascii="Times New Roman" w:hAnsi="Times New Roman" w:cs="Times New Roman"/>
          <w:sz w:val="28"/>
          <w:szCs w:val="28"/>
          <w:lang w:val="uk-UA"/>
        </w:rPr>
        <w:t xml:space="preserve"> підх</w:t>
      </w:r>
      <w:r>
        <w:rPr>
          <w:rFonts w:ascii="Times New Roman" w:hAnsi="Times New Roman" w:cs="Times New Roman"/>
          <w:sz w:val="28"/>
          <w:szCs w:val="28"/>
          <w:lang w:val="uk-UA"/>
        </w:rPr>
        <w:t>о</w:t>
      </w:r>
      <w:r w:rsidRPr="0014563B">
        <w:rPr>
          <w:rFonts w:ascii="Times New Roman" w:hAnsi="Times New Roman" w:cs="Times New Roman"/>
          <w:sz w:val="28"/>
          <w:szCs w:val="28"/>
          <w:lang w:val="uk-UA"/>
        </w:rPr>
        <w:t>д</w:t>
      </w:r>
      <w:r>
        <w:rPr>
          <w:rFonts w:ascii="Times New Roman" w:hAnsi="Times New Roman" w:cs="Times New Roman"/>
          <w:sz w:val="28"/>
          <w:szCs w:val="28"/>
          <w:lang w:val="uk-UA"/>
        </w:rPr>
        <w:t>у</w:t>
      </w:r>
      <w:r w:rsidRPr="0014563B">
        <w:rPr>
          <w:rFonts w:ascii="Times New Roman" w:hAnsi="Times New Roman" w:cs="Times New Roman"/>
          <w:sz w:val="28"/>
          <w:szCs w:val="28"/>
          <w:lang w:val="uk-UA"/>
        </w:rPr>
        <w:t xml:space="preserve"> до побудови успішного кар’єрного шляху як метод</w:t>
      </w:r>
      <w:r>
        <w:rPr>
          <w:rFonts w:ascii="Times New Roman" w:hAnsi="Times New Roman" w:cs="Times New Roman"/>
          <w:sz w:val="28"/>
          <w:szCs w:val="28"/>
          <w:lang w:val="uk-UA"/>
        </w:rPr>
        <w:t>у</w:t>
      </w:r>
      <w:r w:rsidRPr="0014563B">
        <w:rPr>
          <w:rFonts w:ascii="Times New Roman" w:hAnsi="Times New Roman" w:cs="Times New Roman"/>
          <w:sz w:val="28"/>
          <w:szCs w:val="28"/>
          <w:lang w:val="uk-UA"/>
        </w:rPr>
        <w:t xml:space="preserve"> управління персоналом підприємства</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Але крім того, це буде суперечити сутності конвергенції. </w:t>
      </w:r>
      <w:r w:rsidRPr="00710D2A">
        <w:rPr>
          <w:rFonts w:ascii="Times New Roman" w:hAnsi="Times New Roman" w:cs="Times New Roman"/>
          <w:sz w:val="28"/>
          <w:szCs w:val="28"/>
          <w:lang w:val="uk-UA"/>
        </w:rPr>
        <w:t>У будь-якому випадку, враховуючи зростання релігійного розмаїття на робочих місцях у всьому світі, одна з рекомендацій полягає в тому, що міжкультурні дослідження значень успіху в кар’єрі повинні враховувати не лише національну культуру та/або етнічне походження, але й</w:t>
      </w:r>
      <w:r>
        <w:rPr>
          <w:rFonts w:ascii="Times New Roman" w:hAnsi="Times New Roman" w:cs="Times New Roman"/>
          <w:sz w:val="28"/>
          <w:szCs w:val="28"/>
          <w:lang w:val="uk-UA"/>
        </w:rPr>
        <w:t xml:space="preserve"> елементи релігії та духовності. Тому цікавим постає питання </w:t>
      </w:r>
      <w:r w:rsidRPr="00710D2A">
        <w:rPr>
          <w:rFonts w:ascii="Times New Roman" w:hAnsi="Times New Roman" w:cs="Times New Roman"/>
          <w:sz w:val="28"/>
          <w:szCs w:val="28"/>
          <w:lang w:val="uk-UA"/>
        </w:rPr>
        <w:t>чи впливають елементи релігії та духовності, притаманні (</w:t>
      </w:r>
      <w:proofErr w:type="spellStart"/>
      <w:r w:rsidRPr="00710D2A">
        <w:rPr>
          <w:rFonts w:ascii="Times New Roman" w:hAnsi="Times New Roman" w:cs="Times New Roman"/>
          <w:sz w:val="28"/>
          <w:szCs w:val="28"/>
          <w:lang w:val="uk-UA"/>
        </w:rPr>
        <w:t>суб</w:t>
      </w:r>
      <w:proofErr w:type="spellEnd"/>
      <w:r w:rsidRPr="00710D2A">
        <w:rPr>
          <w:rFonts w:ascii="Times New Roman" w:hAnsi="Times New Roman" w:cs="Times New Roman"/>
          <w:sz w:val="28"/>
          <w:szCs w:val="28"/>
          <w:lang w:val="uk-UA"/>
        </w:rPr>
        <w:t>)культурному середовищу людей, на визначення кар’єрного успіху людей у всьому світі?</w:t>
      </w:r>
      <w:r>
        <w:rPr>
          <w:rFonts w:ascii="Times New Roman" w:hAnsi="Times New Roman" w:cs="Times New Roman"/>
          <w:sz w:val="28"/>
          <w:szCs w:val="28"/>
          <w:lang w:val="uk-UA"/>
        </w:rPr>
        <w:t xml:space="preserve"> </w:t>
      </w:r>
      <w:r w:rsidRPr="00710D2A">
        <w:rPr>
          <w:rFonts w:ascii="Times New Roman" w:hAnsi="Times New Roman" w:cs="Times New Roman"/>
          <w:sz w:val="28"/>
          <w:szCs w:val="28"/>
          <w:lang w:val="uk-UA"/>
        </w:rPr>
        <w:t xml:space="preserve">Там, де культура в більш загальному вигляді забезпечує набір ставлень, вірувань і цінностей щодо соціальної реальності, </w:t>
      </w:r>
      <w:r>
        <w:rPr>
          <w:rFonts w:ascii="Times New Roman" w:hAnsi="Times New Roman" w:cs="Times New Roman"/>
          <w:sz w:val="28"/>
          <w:szCs w:val="28"/>
          <w:lang w:val="uk-UA"/>
        </w:rPr>
        <w:t>яка</w:t>
      </w:r>
      <w:r w:rsidRPr="00710D2A">
        <w:rPr>
          <w:rFonts w:ascii="Times New Roman" w:hAnsi="Times New Roman" w:cs="Times New Roman"/>
          <w:sz w:val="28"/>
          <w:szCs w:val="28"/>
          <w:lang w:val="uk-UA"/>
        </w:rPr>
        <w:t xml:space="preserve"> впливає на прийняття рішень її членами</w:t>
      </w:r>
      <w:r>
        <w:rPr>
          <w:rFonts w:ascii="Times New Roman" w:hAnsi="Times New Roman" w:cs="Times New Roman"/>
          <w:sz w:val="28"/>
          <w:szCs w:val="28"/>
          <w:lang w:val="uk-UA"/>
        </w:rPr>
        <w:t xml:space="preserve"> та</w:t>
      </w:r>
      <w:r w:rsidRPr="00710D2A">
        <w:rPr>
          <w:rFonts w:ascii="Times New Roman" w:hAnsi="Times New Roman" w:cs="Times New Roman"/>
          <w:sz w:val="28"/>
          <w:szCs w:val="28"/>
          <w:lang w:val="uk-UA"/>
        </w:rPr>
        <w:t xml:space="preserve"> ідеологія передбачає оціночне судження. Це змушує людей відповідати певним стандартам того, що є «правильним», а що «неправильним</w:t>
      </w:r>
      <w:r>
        <w:rPr>
          <w:rFonts w:ascii="Times New Roman" w:hAnsi="Times New Roman" w:cs="Times New Roman"/>
          <w:sz w:val="28"/>
          <w:szCs w:val="28"/>
          <w:lang w:val="uk-UA"/>
        </w:rPr>
        <w:t>»; що таке «нормально», «добре»</w:t>
      </w:r>
      <w:r w:rsidRPr="00710D2A">
        <w:rPr>
          <w:rFonts w:ascii="Times New Roman" w:hAnsi="Times New Roman" w:cs="Times New Roman"/>
          <w:sz w:val="28"/>
          <w:szCs w:val="28"/>
          <w:lang w:val="uk-UA"/>
        </w:rPr>
        <w:t xml:space="preserve"> і що </w:t>
      </w:r>
      <w:r>
        <w:rPr>
          <w:rFonts w:ascii="Times New Roman" w:hAnsi="Times New Roman" w:cs="Times New Roman"/>
          <w:sz w:val="28"/>
          <w:szCs w:val="28"/>
          <w:lang w:val="uk-UA"/>
        </w:rPr>
        <w:t xml:space="preserve">мається на увазі під формулюваннями </w:t>
      </w:r>
      <w:r w:rsidRPr="00710D2A">
        <w:rPr>
          <w:rFonts w:ascii="Times New Roman" w:hAnsi="Times New Roman" w:cs="Times New Roman"/>
          <w:sz w:val="28"/>
          <w:szCs w:val="28"/>
          <w:lang w:val="uk-UA"/>
        </w:rPr>
        <w:t>«можливе» і «змінне». Ідеологію, яка зазвичай поширюється через дискурс, можна розглядати як структурний принцип суспільства.</w:t>
      </w:r>
    </w:p>
    <w:p w14:paraId="10E3E755"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Для західних культур домінуючою ідеологічною структурою, що впливає на кар’єру, є капіталізм. Найтиповішим і найвідомішим прикладом капіталістичного дискурсу про кар’єру </w:t>
      </w:r>
      <w:r>
        <w:rPr>
          <w:rFonts w:ascii="Times New Roman" w:hAnsi="Times New Roman" w:cs="Times New Roman"/>
          <w:sz w:val="28"/>
          <w:szCs w:val="28"/>
          <w:lang w:val="uk-UA"/>
        </w:rPr>
        <w:t>являється, на наш погляд</w:t>
      </w:r>
      <w:r w:rsidRPr="00710D2A">
        <w:rPr>
          <w:rFonts w:ascii="Times New Roman" w:hAnsi="Times New Roman" w:cs="Times New Roman"/>
          <w:sz w:val="28"/>
          <w:szCs w:val="28"/>
          <w:lang w:val="uk-UA"/>
        </w:rPr>
        <w:t>, «</w:t>
      </w:r>
      <w:r>
        <w:rPr>
          <w:rFonts w:ascii="Times New Roman" w:hAnsi="Times New Roman" w:cs="Times New Roman"/>
          <w:sz w:val="28"/>
          <w:szCs w:val="28"/>
          <w:lang w:val="uk-UA"/>
        </w:rPr>
        <w:t>а</w:t>
      </w:r>
      <w:r w:rsidRPr="00710D2A">
        <w:rPr>
          <w:rFonts w:ascii="Times New Roman" w:hAnsi="Times New Roman" w:cs="Times New Roman"/>
          <w:sz w:val="28"/>
          <w:szCs w:val="28"/>
          <w:lang w:val="uk-UA"/>
        </w:rPr>
        <w:t xml:space="preserve">мериканська мрія». «Американська мрія» пропагує такі кар’єрні цінності, як </w:t>
      </w:r>
      <w:proofErr w:type="spellStart"/>
      <w:r w:rsidRPr="00710D2A">
        <w:rPr>
          <w:rFonts w:ascii="Times New Roman" w:hAnsi="Times New Roman" w:cs="Times New Roman"/>
          <w:sz w:val="28"/>
          <w:szCs w:val="28"/>
          <w:lang w:val="uk-UA"/>
        </w:rPr>
        <w:t>меритократія</w:t>
      </w:r>
      <w:proofErr w:type="spellEnd"/>
      <w:r w:rsidRPr="00710D2A">
        <w:rPr>
          <w:rFonts w:ascii="Times New Roman" w:hAnsi="Times New Roman" w:cs="Times New Roman"/>
          <w:sz w:val="28"/>
          <w:szCs w:val="28"/>
          <w:lang w:val="uk-UA"/>
        </w:rPr>
        <w:t xml:space="preserve"> (тобто віра в те, що індивідуальний талант і компетентність повинні бути </w:t>
      </w:r>
      <w:proofErr w:type="spellStart"/>
      <w:r w:rsidRPr="00710D2A">
        <w:rPr>
          <w:rFonts w:ascii="Times New Roman" w:hAnsi="Times New Roman" w:cs="Times New Roman"/>
          <w:sz w:val="28"/>
          <w:szCs w:val="28"/>
          <w:lang w:val="uk-UA"/>
        </w:rPr>
        <w:t>винагороджені</w:t>
      </w:r>
      <w:proofErr w:type="spellEnd"/>
      <w:r w:rsidRPr="00710D2A">
        <w:rPr>
          <w:rFonts w:ascii="Times New Roman" w:hAnsi="Times New Roman" w:cs="Times New Roman"/>
          <w:sz w:val="28"/>
          <w:szCs w:val="28"/>
          <w:lang w:val="uk-UA"/>
        </w:rPr>
        <w:t xml:space="preserve">), ієрархія (тобто віра в те, що необмежений статус </w:t>
      </w:r>
      <w:r>
        <w:rPr>
          <w:rFonts w:ascii="Times New Roman" w:hAnsi="Times New Roman" w:cs="Times New Roman"/>
          <w:sz w:val="28"/>
          <w:szCs w:val="28"/>
          <w:lang w:val="uk-UA"/>
        </w:rPr>
        <w:t>-</w:t>
      </w:r>
      <w:r w:rsidRPr="00710D2A">
        <w:rPr>
          <w:rFonts w:ascii="Times New Roman" w:hAnsi="Times New Roman" w:cs="Times New Roman"/>
          <w:sz w:val="28"/>
          <w:szCs w:val="28"/>
          <w:lang w:val="uk-UA"/>
        </w:rPr>
        <w:t xml:space="preserve"> це те, до чого потрібно прагнути) і матеріалізм (тобто віра в те, що успіх слід вимірювати в першу чергу дохід). Іншою ідеологічною основою, що формує кар’єру, яка походить із зовсім іншої частини світу, є комунізм. В основі маоїстського дискурсу, наприклад, лежали цінності рівності (тобто віра в те, що всі люди рівні, незалежно від їхнього становища в суспільстві), відданість (тобто віра в те, що певна жертва особистими потребами необхідна для служіння загальному благу) </w:t>
      </w:r>
      <w:r w:rsidRPr="00710D2A">
        <w:rPr>
          <w:rFonts w:ascii="Times New Roman" w:hAnsi="Times New Roman" w:cs="Times New Roman"/>
          <w:sz w:val="28"/>
          <w:szCs w:val="28"/>
          <w:lang w:val="uk-UA"/>
        </w:rPr>
        <w:lastRenderedPageBreak/>
        <w:t>і благородство (тобто переконання, що робота заради індивідуальної фінансової вигоди чи соціального просування є ганебною).</w:t>
      </w:r>
    </w:p>
    <w:p w14:paraId="122E58A9" w14:textId="77777777" w:rsidR="00571B42" w:rsidRPr="00710D2A"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Хоча капіталізм і комунізм зазвичай зображуються як крайні протилежності з точки зору ідеології, </w:t>
      </w:r>
      <w:r>
        <w:rPr>
          <w:rFonts w:ascii="Times New Roman" w:hAnsi="Times New Roman" w:cs="Times New Roman"/>
          <w:sz w:val="28"/>
          <w:szCs w:val="28"/>
          <w:lang w:val="uk-UA"/>
        </w:rPr>
        <w:t>але варто зазначити, що</w:t>
      </w:r>
      <w:r w:rsidRPr="00710D2A">
        <w:rPr>
          <w:rFonts w:ascii="Times New Roman" w:hAnsi="Times New Roman" w:cs="Times New Roman"/>
          <w:sz w:val="28"/>
          <w:szCs w:val="28"/>
          <w:lang w:val="uk-UA"/>
        </w:rPr>
        <w:t xml:space="preserve"> вони служать надзвичайно схожій ідеологічній меті. Тобто обидва вони сприяють концепції кар’єри та успіху в кар’єрі, яка приносить користь панівній соціально-політичній системі </w:t>
      </w:r>
      <w:r>
        <w:rPr>
          <w:rFonts w:ascii="Times New Roman" w:hAnsi="Times New Roman" w:cs="Times New Roman"/>
          <w:sz w:val="28"/>
          <w:szCs w:val="28"/>
          <w:lang w:val="uk-UA"/>
        </w:rPr>
        <w:t>т</w:t>
      </w:r>
      <w:r w:rsidRPr="00710D2A">
        <w:rPr>
          <w:rFonts w:ascii="Times New Roman" w:hAnsi="Times New Roman" w:cs="Times New Roman"/>
          <w:sz w:val="28"/>
          <w:szCs w:val="28"/>
          <w:lang w:val="uk-UA"/>
        </w:rPr>
        <w:t xml:space="preserve">а потенційну шкоду окремим учасникам </w:t>
      </w:r>
      <w:r>
        <w:rPr>
          <w:rFonts w:ascii="Times New Roman" w:hAnsi="Times New Roman" w:cs="Times New Roman"/>
          <w:sz w:val="28"/>
          <w:szCs w:val="28"/>
          <w:lang w:val="uk-UA"/>
        </w:rPr>
        <w:t xml:space="preserve">розвитку </w:t>
      </w:r>
      <w:r w:rsidRPr="00710D2A">
        <w:rPr>
          <w:rFonts w:ascii="Times New Roman" w:hAnsi="Times New Roman" w:cs="Times New Roman"/>
          <w:sz w:val="28"/>
          <w:szCs w:val="28"/>
          <w:lang w:val="uk-UA"/>
        </w:rPr>
        <w:t>кар’єри. «Американська мрія» заохочує людей прагнути до кар’єрного успіху, який, швидше за все, підтримає капіталістичну систему та сприятиме загальнонаціональному економічному зростанню. Невдача приписується тому, що людина не є «достатньо хорошою» або «не</w:t>
      </w:r>
      <w:r>
        <w:rPr>
          <w:rFonts w:ascii="Times New Roman" w:hAnsi="Times New Roman" w:cs="Times New Roman"/>
          <w:sz w:val="28"/>
          <w:szCs w:val="28"/>
          <w:lang w:val="uk-UA"/>
        </w:rPr>
        <w:t xml:space="preserve"> </w:t>
      </w:r>
      <w:r w:rsidRPr="00710D2A">
        <w:rPr>
          <w:rFonts w:ascii="Times New Roman" w:hAnsi="Times New Roman" w:cs="Times New Roman"/>
          <w:sz w:val="28"/>
          <w:szCs w:val="28"/>
          <w:lang w:val="uk-UA"/>
        </w:rPr>
        <w:t xml:space="preserve">бажає цього достатньо», тому це ніколи не є провиною системи, а завжди відповідальністю окремої людини. Комуністичний дискурс у Китайській Народній Республіці за часів Мао призупинив критичне мислення китайців, обмежив їхній вибір кар’єри та затьмарив той факт, що їх суспільство насправді складалося з різних груп інтересів, які не всі були рівними у владі, і що все ще існував розрив між хорошою та поганою роботами. Проте скаржитися було нечувано, оскільки це суперечило б цінності </w:t>
      </w:r>
      <w:r>
        <w:rPr>
          <w:rFonts w:ascii="Times New Roman" w:hAnsi="Times New Roman" w:cs="Times New Roman"/>
          <w:sz w:val="28"/>
          <w:szCs w:val="28"/>
          <w:lang w:val="uk-UA"/>
        </w:rPr>
        <w:t xml:space="preserve">та концепції </w:t>
      </w:r>
      <w:r w:rsidRPr="00710D2A">
        <w:rPr>
          <w:rFonts w:ascii="Times New Roman" w:hAnsi="Times New Roman" w:cs="Times New Roman"/>
          <w:sz w:val="28"/>
          <w:szCs w:val="28"/>
          <w:lang w:val="uk-UA"/>
        </w:rPr>
        <w:t>благородства.</w:t>
      </w:r>
    </w:p>
    <w:p w14:paraId="170C0864" w14:textId="77777777" w:rsidR="00571B42" w:rsidRPr="00710D2A"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Загалом ідеологія кар’єри, якій найбільше піддається людина, залежить від її положення в суспільстві. Людей з вищого та середнього класу заохочують вірити, що вони працюють на загальне благо, що їхня робота має сенс, і що роль у житті полягає в тому, щоб допомагати іншим людям; вони винагороджуються соціально, економічно та політично за впровадження цих переконань. Однак працівники з нижчим статусом не досягли такого віку, щоб думати про свою роботу в </w:t>
      </w:r>
      <w:r>
        <w:rPr>
          <w:rFonts w:ascii="Times New Roman" w:hAnsi="Times New Roman" w:cs="Times New Roman"/>
          <w:sz w:val="28"/>
          <w:szCs w:val="28"/>
          <w:lang w:val="uk-UA"/>
        </w:rPr>
        <w:t>подібних</w:t>
      </w:r>
      <w:r w:rsidRPr="00710D2A">
        <w:rPr>
          <w:rFonts w:ascii="Times New Roman" w:hAnsi="Times New Roman" w:cs="Times New Roman"/>
          <w:sz w:val="28"/>
          <w:szCs w:val="28"/>
          <w:lang w:val="uk-UA"/>
        </w:rPr>
        <w:t xml:space="preserve"> благородних термінах і не отримують високої винагороди. Їх навчають сприймати роботу як «просто роботу» і шукати ресурси для самореалізації в інших сферах життя. Крім того, кар’єрні ідеології, як правило, передають повідомлення, яке люди хочуть почути та в яке вірять (наприклад, «ви можете досягти всього, чого </w:t>
      </w:r>
      <w:r>
        <w:rPr>
          <w:rFonts w:ascii="Times New Roman" w:hAnsi="Times New Roman" w:cs="Times New Roman"/>
          <w:sz w:val="28"/>
          <w:szCs w:val="28"/>
          <w:lang w:val="uk-UA"/>
        </w:rPr>
        <w:t>забажає</w:t>
      </w:r>
      <w:r w:rsidRPr="00710D2A">
        <w:rPr>
          <w:rFonts w:ascii="Times New Roman" w:hAnsi="Times New Roman" w:cs="Times New Roman"/>
          <w:sz w:val="28"/>
          <w:szCs w:val="28"/>
          <w:lang w:val="uk-UA"/>
        </w:rPr>
        <w:t xml:space="preserve">те, якщо справді докладете зусиль»), висвітлюючи винятки, а не випадки, які більш репрезентують реальність. Вони </w:t>
      </w:r>
      <w:r w:rsidRPr="00710D2A">
        <w:rPr>
          <w:rFonts w:ascii="Times New Roman" w:hAnsi="Times New Roman" w:cs="Times New Roman"/>
          <w:sz w:val="28"/>
          <w:szCs w:val="28"/>
          <w:lang w:val="uk-UA"/>
        </w:rPr>
        <w:lastRenderedPageBreak/>
        <w:t>також часто є трохи неоднозначними, тому можливі численні інтерпретації одного повідомлення. Якщо визначення того, що означає успіх, залишатиметься розпливчастим, тоді немає обмежень для внеску чи жертви, яку люди відчувають</w:t>
      </w:r>
      <w:r>
        <w:rPr>
          <w:rFonts w:ascii="Times New Roman" w:hAnsi="Times New Roman" w:cs="Times New Roman"/>
          <w:sz w:val="28"/>
          <w:szCs w:val="28"/>
          <w:lang w:val="uk-UA"/>
        </w:rPr>
        <w:t>, що</w:t>
      </w:r>
      <w:r w:rsidRPr="00710D2A">
        <w:rPr>
          <w:rFonts w:ascii="Times New Roman" w:hAnsi="Times New Roman" w:cs="Times New Roman"/>
          <w:sz w:val="28"/>
          <w:szCs w:val="28"/>
          <w:lang w:val="uk-UA"/>
        </w:rPr>
        <w:t xml:space="preserve"> змушеними зробити. </w:t>
      </w:r>
      <w:r>
        <w:rPr>
          <w:rFonts w:ascii="Times New Roman" w:hAnsi="Times New Roman" w:cs="Times New Roman"/>
          <w:sz w:val="28"/>
          <w:szCs w:val="28"/>
          <w:lang w:val="uk-UA"/>
        </w:rPr>
        <w:t xml:space="preserve">Таким чином можна сформулювати на ступну проблему, що обумовлює необхідність існування подібного дослідження, </w:t>
      </w:r>
      <w:r w:rsidRPr="00710D2A">
        <w:rPr>
          <w:rFonts w:ascii="Times New Roman" w:hAnsi="Times New Roman" w:cs="Times New Roman"/>
          <w:sz w:val="28"/>
          <w:szCs w:val="28"/>
          <w:lang w:val="uk-UA"/>
        </w:rPr>
        <w:t>яке полягає в наступному:</w:t>
      </w:r>
      <w:r>
        <w:rPr>
          <w:rFonts w:ascii="Times New Roman" w:hAnsi="Times New Roman" w:cs="Times New Roman"/>
          <w:sz w:val="28"/>
          <w:szCs w:val="28"/>
          <w:lang w:val="uk-UA"/>
        </w:rPr>
        <w:t xml:space="preserve"> я</w:t>
      </w:r>
      <w:r w:rsidRPr="00710D2A">
        <w:rPr>
          <w:rFonts w:ascii="Times New Roman" w:hAnsi="Times New Roman" w:cs="Times New Roman"/>
          <w:sz w:val="28"/>
          <w:szCs w:val="28"/>
          <w:lang w:val="uk-UA"/>
        </w:rPr>
        <w:t>к суспільна ідеологія впливає на визначення успіху в кар’єрі, як</w:t>
      </w:r>
      <w:r>
        <w:rPr>
          <w:rFonts w:ascii="Times New Roman" w:hAnsi="Times New Roman" w:cs="Times New Roman"/>
          <w:sz w:val="28"/>
          <w:szCs w:val="28"/>
          <w:lang w:val="uk-UA"/>
        </w:rPr>
        <w:t>ого</w:t>
      </w:r>
      <w:r w:rsidRPr="00710D2A">
        <w:rPr>
          <w:rFonts w:ascii="Times New Roman" w:hAnsi="Times New Roman" w:cs="Times New Roman"/>
          <w:sz w:val="28"/>
          <w:szCs w:val="28"/>
          <w:lang w:val="uk-UA"/>
        </w:rPr>
        <w:t xml:space="preserve"> дотримуються люди в цих суспільствах?</w:t>
      </w:r>
      <w:r>
        <w:rPr>
          <w:rFonts w:ascii="Times New Roman" w:hAnsi="Times New Roman" w:cs="Times New Roman"/>
          <w:sz w:val="28"/>
          <w:szCs w:val="28"/>
          <w:lang w:val="uk-UA"/>
        </w:rPr>
        <w:t xml:space="preserve"> </w:t>
      </w:r>
      <w:r w:rsidRPr="00710D2A">
        <w:rPr>
          <w:rFonts w:ascii="Times New Roman" w:hAnsi="Times New Roman" w:cs="Times New Roman"/>
          <w:sz w:val="28"/>
          <w:szCs w:val="28"/>
          <w:lang w:val="uk-UA"/>
        </w:rPr>
        <w:t>Міжкультурні (історичні) дослідження, спрямовані на режими та ідеології, а не на країни, можуть допомогти сформулювати відповіді на це конкретне питання дослідження.</w:t>
      </w:r>
    </w:p>
    <w:p w14:paraId="43AA9242" w14:textId="30AD5CCE" w:rsidR="00571B42"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Подібно до того, як суспільний дискурс про кар’єру структурує повсякденне життя людей, так само структуру кар’є</w:t>
      </w:r>
      <w:r>
        <w:rPr>
          <w:rFonts w:ascii="Times New Roman" w:hAnsi="Times New Roman" w:cs="Times New Roman"/>
          <w:sz w:val="28"/>
          <w:szCs w:val="28"/>
          <w:lang w:val="uk-UA"/>
        </w:rPr>
        <w:t>ри та практики розвитку кар’єри структурують</w:t>
      </w:r>
      <w:r w:rsidRPr="00710D2A">
        <w:rPr>
          <w:rFonts w:ascii="Times New Roman" w:hAnsi="Times New Roman" w:cs="Times New Roman"/>
          <w:sz w:val="28"/>
          <w:szCs w:val="28"/>
          <w:lang w:val="uk-UA"/>
        </w:rPr>
        <w:t xml:space="preserve"> присутні</w:t>
      </w:r>
      <w:r>
        <w:rPr>
          <w:rFonts w:ascii="Times New Roman" w:hAnsi="Times New Roman" w:cs="Times New Roman"/>
          <w:sz w:val="28"/>
          <w:szCs w:val="28"/>
          <w:lang w:val="uk-UA"/>
        </w:rPr>
        <w:t xml:space="preserve"> фахівці з управління людськими ресурсами</w:t>
      </w:r>
      <w:r w:rsidRPr="00710D2A">
        <w:rPr>
          <w:rFonts w:ascii="Times New Roman" w:hAnsi="Times New Roman" w:cs="Times New Roman"/>
          <w:sz w:val="28"/>
          <w:szCs w:val="28"/>
          <w:lang w:val="uk-UA"/>
        </w:rPr>
        <w:t xml:space="preserve"> в організаціях-роботодавцях. Встановлюючи внутрішній ринок праці з більш-менш стандартизованими шляхами кар’єри, організації неявно визначають успіх і невдачу в своїх структурах. Ідеологія організаційної кар’єри зазвичай відходить від просторово-часових оцінок успіху, тобто </w:t>
      </w:r>
      <w:r>
        <w:rPr>
          <w:rFonts w:ascii="Times New Roman" w:hAnsi="Times New Roman" w:cs="Times New Roman"/>
          <w:sz w:val="28"/>
          <w:szCs w:val="28"/>
          <w:lang w:val="uk-UA"/>
        </w:rPr>
        <w:t xml:space="preserve">зводячи це до найелементарніших причинно-наслідкових </w:t>
      </w:r>
      <w:proofErr w:type="spellStart"/>
      <w:r>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w:t>
      </w:r>
      <w:r w:rsidRPr="00710D2A">
        <w:rPr>
          <w:rFonts w:ascii="Times New Roman" w:hAnsi="Times New Roman" w:cs="Times New Roman"/>
          <w:sz w:val="28"/>
          <w:szCs w:val="28"/>
          <w:lang w:val="uk-UA"/>
        </w:rPr>
        <w:t>«вгору»</w:t>
      </w:r>
      <w:r>
        <w:rPr>
          <w:rFonts w:ascii="Times New Roman" w:hAnsi="Times New Roman" w:cs="Times New Roman"/>
          <w:sz w:val="28"/>
          <w:szCs w:val="28"/>
          <w:lang w:val="uk-UA"/>
        </w:rPr>
        <w:t xml:space="preserve"> –</w:t>
      </w:r>
      <w:r w:rsidRPr="00710D2A">
        <w:rPr>
          <w:rFonts w:ascii="Times New Roman" w:hAnsi="Times New Roman" w:cs="Times New Roman"/>
          <w:sz w:val="28"/>
          <w:szCs w:val="28"/>
          <w:lang w:val="uk-UA"/>
        </w:rPr>
        <w:t xml:space="preserve"> це</w:t>
      </w:r>
      <w:r>
        <w:rPr>
          <w:rFonts w:ascii="Times New Roman" w:hAnsi="Times New Roman" w:cs="Times New Roman"/>
          <w:sz w:val="28"/>
          <w:szCs w:val="28"/>
          <w:lang w:val="uk-UA"/>
        </w:rPr>
        <w:t xml:space="preserve"> </w:t>
      </w:r>
      <w:r w:rsidRPr="00710D2A">
        <w:rPr>
          <w:rFonts w:ascii="Times New Roman" w:hAnsi="Times New Roman" w:cs="Times New Roman"/>
          <w:sz w:val="28"/>
          <w:szCs w:val="28"/>
          <w:lang w:val="uk-UA"/>
        </w:rPr>
        <w:t xml:space="preserve">добре, «дія» </w:t>
      </w:r>
      <w:r w:rsidR="002C3DBA">
        <w:rPr>
          <w:rFonts w:ascii="Times New Roman" w:hAnsi="Times New Roman" w:cs="Times New Roman"/>
          <w:sz w:val="28"/>
          <w:szCs w:val="28"/>
          <w:lang w:val="uk-UA"/>
        </w:rPr>
        <w:t>–</w:t>
      </w:r>
      <w:r w:rsidRPr="00710D2A">
        <w:rPr>
          <w:rFonts w:ascii="Times New Roman" w:hAnsi="Times New Roman" w:cs="Times New Roman"/>
          <w:sz w:val="28"/>
          <w:szCs w:val="28"/>
          <w:lang w:val="uk-UA"/>
        </w:rPr>
        <w:t xml:space="preserve"> це позитивно, а «швидкий рух» має бути метою. Дискурс</w:t>
      </w:r>
      <w:r>
        <w:rPr>
          <w:rFonts w:ascii="Times New Roman" w:hAnsi="Times New Roman" w:cs="Times New Roman"/>
          <w:sz w:val="28"/>
          <w:szCs w:val="28"/>
          <w:lang w:val="uk-UA"/>
        </w:rPr>
        <w:t xml:space="preserve"> щодо розвитку та управління</w:t>
      </w:r>
      <w:r w:rsidRPr="00710D2A">
        <w:rPr>
          <w:rFonts w:ascii="Times New Roman" w:hAnsi="Times New Roman" w:cs="Times New Roman"/>
          <w:sz w:val="28"/>
          <w:szCs w:val="28"/>
          <w:lang w:val="uk-UA"/>
        </w:rPr>
        <w:t xml:space="preserve"> корпоративно</w:t>
      </w:r>
      <w:r>
        <w:rPr>
          <w:rFonts w:ascii="Times New Roman" w:hAnsi="Times New Roman" w:cs="Times New Roman"/>
          <w:sz w:val="28"/>
          <w:szCs w:val="28"/>
          <w:lang w:val="uk-UA"/>
        </w:rPr>
        <w:t>ю</w:t>
      </w:r>
      <w:r w:rsidRPr="00710D2A">
        <w:rPr>
          <w:rFonts w:ascii="Times New Roman" w:hAnsi="Times New Roman" w:cs="Times New Roman"/>
          <w:sz w:val="28"/>
          <w:szCs w:val="28"/>
          <w:lang w:val="uk-UA"/>
        </w:rPr>
        <w:t xml:space="preserve"> кар'єр</w:t>
      </w:r>
      <w:r>
        <w:rPr>
          <w:rFonts w:ascii="Times New Roman" w:hAnsi="Times New Roman" w:cs="Times New Roman"/>
          <w:sz w:val="28"/>
          <w:szCs w:val="28"/>
          <w:lang w:val="uk-UA"/>
        </w:rPr>
        <w:t>ою має вважатися</w:t>
      </w:r>
      <w:r w:rsidRPr="00710D2A">
        <w:rPr>
          <w:rFonts w:ascii="Times New Roman" w:hAnsi="Times New Roman" w:cs="Times New Roman"/>
          <w:sz w:val="28"/>
          <w:szCs w:val="28"/>
          <w:lang w:val="uk-UA"/>
        </w:rPr>
        <w:t xml:space="preserve"> менш нешкідливий, </w:t>
      </w:r>
      <w:r>
        <w:rPr>
          <w:rFonts w:ascii="Times New Roman" w:hAnsi="Times New Roman" w:cs="Times New Roman"/>
          <w:sz w:val="28"/>
          <w:szCs w:val="28"/>
          <w:lang w:val="uk-UA"/>
        </w:rPr>
        <w:t>але так</w:t>
      </w:r>
      <w:r w:rsidRPr="00710D2A">
        <w:rPr>
          <w:rFonts w:ascii="Times New Roman" w:hAnsi="Times New Roman" w:cs="Times New Roman"/>
          <w:sz w:val="28"/>
          <w:szCs w:val="28"/>
          <w:lang w:val="uk-UA"/>
        </w:rPr>
        <w:t xml:space="preserve"> може </w:t>
      </w:r>
      <w:r>
        <w:rPr>
          <w:rFonts w:ascii="Times New Roman" w:hAnsi="Times New Roman" w:cs="Times New Roman"/>
          <w:sz w:val="28"/>
          <w:szCs w:val="28"/>
          <w:lang w:val="uk-UA"/>
        </w:rPr>
        <w:t xml:space="preserve">лише </w:t>
      </w:r>
      <w:r w:rsidRPr="00710D2A">
        <w:rPr>
          <w:rFonts w:ascii="Times New Roman" w:hAnsi="Times New Roman" w:cs="Times New Roman"/>
          <w:sz w:val="28"/>
          <w:szCs w:val="28"/>
          <w:lang w:val="uk-UA"/>
        </w:rPr>
        <w:t xml:space="preserve">здатися. Перш за все, через процеси соціалізації та програми </w:t>
      </w:r>
      <w:r>
        <w:rPr>
          <w:rFonts w:ascii="Times New Roman" w:hAnsi="Times New Roman" w:cs="Times New Roman"/>
          <w:sz w:val="28"/>
          <w:szCs w:val="28"/>
          <w:lang w:val="uk-UA"/>
        </w:rPr>
        <w:t xml:space="preserve">кар’єрного </w:t>
      </w:r>
      <w:r w:rsidRPr="00710D2A">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 xml:space="preserve">в середині </w:t>
      </w:r>
      <w:r w:rsidRPr="00710D2A">
        <w:rPr>
          <w:rFonts w:ascii="Times New Roman" w:hAnsi="Times New Roman" w:cs="Times New Roman"/>
          <w:sz w:val="28"/>
          <w:szCs w:val="28"/>
          <w:lang w:val="uk-UA"/>
        </w:rPr>
        <w:t xml:space="preserve">організації культивують бажані норми та цінності у своїх членів, прив’язуючи їх до так званих відповідних </w:t>
      </w:r>
      <w:proofErr w:type="spellStart"/>
      <w:r w:rsidRPr="00710D2A">
        <w:rPr>
          <w:rFonts w:ascii="Times New Roman" w:hAnsi="Times New Roman" w:cs="Times New Roman"/>
          <w:sz w:val="28"/>
          <w:szCs w:val="28"/>
          <w:lang w:val="uk-UA"/>
        </w:rPr>
        <w:t>ідентичностей</w:t>
      </w:r>
      <w:proofErr w:type="spellEnd"/>
      <w:r>
        <w:rPr>
          <w:rFonts w:ascii="Times New Roman" w:hAnsi="Times New Roman" w:cs="Times New Roman"/>
          <w:sz w:val="28"/>
          <w:szCs w:val="28"/>
          <w:lang w:val="uk-UA"/>
        </w:rPr>
        <w:t>. На початку кар’єрного шляху</w:t>
      </w:r>
      <w:r w:rsidRPr="00710D2A">
        <w:rPr>
          <w:rFonts w:ascii="Times New Roman" w:hAnsi="Times New Roman" w:cs="Times New Roman"/>
          <w:sz w:val="28"/>
          <w:szCs w:val="28"/>
          <w:lang w:val="uk-UA"/>
        </w:rPr>
        <w:t xml:space="preserve"> визначення кар’єри та кар’єрного успіху людей зіштовхуються з визначеннями</w:t>
      </w:r>
      <w:r>
        <w:rPr>
          <w:rFonts w:ascii="Times New Roman" w:hAnsi="Times New Roman" w:cs="Times New Roman"/>
          <w:sz w:val="28"/>
          <w:szCs w:val="28"/>
          <w:lang w:val="uk-UA"/>
        </w:rPr>
        <w:t>, які панують в</w:t>
      </w:r>
      <w:r w:rsidRPr="00710D2A">
        <w:rPr>
          <w:rFonts w:ascii="Times New Roman" w:hAnsi="Times New Roman" w:cs="Times New Roman"/>
          <w:sz w:val="28"/>
          <w:szCs w:val="28"/>
          <w:lang w:val="uk-UA"/>
        </w:rPr>
        <w:t xml:space="preserve"> їхніх організаці</w:t>
      </w:r>
      <w:r>
        <w:rPr>
          <w:rFonts w:ascii="Times New Roman" w:hAnsi="Times New Roman" w:cs="Times New Roman"/>
          <w:sz w:val="28"/>
          <w:szCs w:val="28"/>
          <w:lang w:val="uk-UA"/>
        </w:rPr>
        <w:t>ях</w:t>
      </w:r>
      <w:r w:rsidRPr="00710D2A">
        <w:rPr>
          <w:rFonts w:ascii="Times New Roman" w:hAnsi="Times New Roman" w:cs="Times New Roman"/>
          <w:sz w:val="28"/>
          <w:szCs w:val="28"/>
          <w:lang w:val="uk-UA"/>
        </w:rPr>
        <w:t xml:space="preserve">, що часто спричиняє переоцінку їхніх особистих систем переконань і цілей. По-друге, дискурс </w:t>
      </w:r>
      <w:r>
        <w:rPr>
          <w:rFonts w:ascii="Times New Roman" w:hAnsi="Times New Roman" w:cs="Times New Roman"/>
          <w:sz w:val="28"/>
          <w:szCs w:val="28"/>
          <w:lang w:val="uk-UA"/>
        </w:rPr>
        <w:t>щодо розвитку та управління</w:t>
      </w:r>
      <w:r w:rsidRPr="00710D2A">
        <w:rPr>
          <w:rFonts w:ascii="Times New Roman" w:hAnsi="Times New Roman" w:cs="Times New Roman"/>
          <w:sz w:val="28"/>
          <w:szCs w:val="28"/>
          <w:lang w:val="uk-UA"/>
        </w:rPr>
        <w:t xml:space="preserve"> корпоративно</w:t>
      </w:r>
      <w:r>
        <w:rPr>
          <w:rFonts w:ascii="Times New Roman" w:hAnsi="Times New Roman" w:cs="Times New Roman"/>
          <w:sz w:val="28"/>
          <w:szCs w:val="28"/>
          <w:lang w:val="uk-UA"/>
        </w:rPr>
        <w:t>ю</w:t>
      </w:r>
      <w:r w:rsidRPr="00710D2A">
        <w:rPr>
          <w:rFonts w:ascii="Times New Roman" w:hAnsi="Times New Roman" w:cs="Times New Roman"/>
          <w:sz w:val="28"/>
          <w:szCs w:val="28"/>
          <w:lang w:val="uk-UA"/>
        </w:rPr>
        <w:t xml:space="preserve"> кар’єр</w:t>
      </w:r>
      <w:r>
        <w:rPr>
          <w:rFonts w:ascii="Times New Roman" w:hAnsi="Times New Roman" w:cs="Times New Roman"/>
          <w:sz w:val="28"/>
          <w:szCs w:val="28"/>
          <w:lang w:val="uk-UA"/>
        </w:rPr>
        <w:t>ою</w:t>
      </w:r>
      <w:r w:rsidRPr="00710D2A">
        <w:rPr>
          <w:rFonts w:ascii="Times New Roman" w:hAnsi="Times New Roman" w:cs="Times New Roman"/>
          <w:sz w:val="28"/>
          <w:szCs w:val="28"/>
          <w:lang w:val="uk-UA"/>
        </w:rPr>
        <w:t xml:space="preserve"> сприяє знеціненню та перешкоджанню альтернативним моделям кар’єри.</w:t>
      </w:r>
    </w:p>
    <w:p w14:paraId="01B9D515" w14:textId="77777777" w:rsidR="00571B42" w:rsidRPr="00710D2A"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У корпоративному контексті такі нетипові типи кар’єри, як наведені вище, у кращому випадку вважаються менш успішн</w:t>
      </w:r>
      <w:r>
        <w:rPr>
          <w:rFonts w:ascii="Times New Roman" w:hAnsi="Times New Roman" w:cs="Times New Roman"/>
          <w:sz w:val="28"/>
          <w:szCs w:val="28"/>
          <w:lang w:val="uk-UA"/>
        </w:rPr>
        <w:t>ими, а в гіршому – неуспішними</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Але існують ще вагоміші потаємні перешкоди для особистості та формування </w:t>
      </w:r>
      <w:r>
        <w:rPr>
          <w:rFonts w:ascii="Times New Roman" w:hAnsi="Times New Roman" w:cs="Times New Roman"/>
          <w:sz w:val="28"/>
          <w:szCs w:val="28"/>
          <w:lang w:val="uk-UA"/>
        </w:rPr>
        <w:lastRenderedPageBreak/>
        <w:t>його персонального кар’єрного шляху. Це схематично можна зобразити як те</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що після формування кар’єри</w:t>
      </w:r>
      <w:r w:rsidRPr="00710D2A">
        <w:rPr>
          <w:rFonts w:ascii="Times New Roman" w:hAnsi="Times New Roman" w:cs="Times New Roman"/>
          <w:sz w:val="28"/>
          <w:szCs w:val="28"/>
          <w:lang w:val="uk-UA"/>
        </w:rPr>
        <w:t xml:space="preserve"> «невдахи» здається, що шансів повернутися на правильний </w:t>
      </w:r>
      <w:r>
        <w:rPr>
          <w:rFonts w:ascii="Times New Roman" w:hAnsi="Times New Roman" w:cs="Times New Roman"/>
          <w:sz w:val="28"/>
          <w:szCs w:val="28"/>
          <w:lang w:val="uk-UA"/>
        </w:rPr>
        <w:t xml:space="preserve">прогресивний </w:t>
      </w:r>
      <w:r w:rsidRPr="00710D2A">
        <w:rPr>
          <w:rFonts w:ascii="Times New Roman" w:hAnsi="Times New Roman" w:cs="Times New Roman"/>
          <w:sz w:val="28"/>
          <w:szCs w:val="28"/>
          <w:lang w:val="uk-UA"/>
        </w:rPr>
        <w:t xml:space="preserve">шлях практично немає. </w:t>
      </w:r>
      <w:r>
        <w:rPr>
          <w:rFonts w:ascii="Times New Roman" w:hAnsi="Times New Roman" w:cs="Times New Roman"/>
          <w:sz w:val="28"/>
          <w:szCs w:val="28"/>
          <w:lang w:val="uk-UA"/>
        </w:rPr>
        <w:t>За свідченнями виробничих працівників вкрай зр</w:t>
      </w:r>
      <w:r w:rsidRPr="00710D2A">
        <w:rPr>
          <w:rFonts w:ascii="Times New Roman" w:hAnsi="Times New Roman" w:cs="Times New Roman"/>
          <w:sz w:val="28"/>
          <w:szCs w:val="28"/>
          <w:lang w:val="uk-UA"/>
        </w:rPr>
        <w:t>ідк</w:t>
      </w:r>
      <w:r>
        <w:rPr>
          <w:rFonts w:ascii="Times New Roman" w:hAnsi="Times New Roman" w:cs="Times New Roman"/>
          <w:sz w:val="28"/>
          <w:szCs w:val="28"/>
          <w:lang w:val="uk-UA"/>
        </w:rPr>
        <w:t>а</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трапляються випадки</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коли</w:t>
      </w:r>
      <w:r w:rsidRPr="00710D2A">
        <w:rPr>
          <w:rFonts w:ascii="Times New Roman" w:hAnsi="Times New Roman" w:cs="Times New Roman"/>
          <w:sz w:val="28"/>
          <w:szCs w:val="28"/>
          <w:lang w:val="uk-UA"/>
        </w:rPr>
        <w:t xml:space="preserve"> люди</w:t>
      </w:r>
      <w:r>
        <w:rPr>
          <w:rFonts w:ascii="Times New Roman" w:hAnsi="Times New Roman" w:cs="Times New Roman"/>
          <w:sz w:val="28"/>
          <w:szCs w:val="28"/>
          <w:lang w:val="uk-UA"/>
        </w:rPr>
        <w:t xml:space="preserve"> після 25 років </w:t>
      </w:r>
      <w:r w:rsidRPr="00710D2A">
        <w:rPr>
          <w:rFonts w:ascii="Times New Roman" w:hAnsi="Times New Roman" w:cs="Times New Roman"/>
          <w:sz w:val="28"/>
          <w:szCs w:val="28"/>
          <w:lang w:val="uk-UA"/>
        </w:rPr>
        <w:t xml:space="preserve">починають </w:t>
      </w:r>
      <w:r>
        <w:rPr>
          <w:rFonts w:ascii="Times New Roman" w:hAnsi="Times New Roman" w:cs="Times New Roman"/>
          <w:sz w:val="28"/>
          <w:szCs w:val="28"/>
          <w:lang w:val="uk-UA"/>
        </w:rPr>
        <w:t>працювати</w:t>
      </w:r>
      <w:r w:rsidRPr="00710D2A">
        <w:rPr>
          <w:rFonts w:ascii="Times New Roman" w:hAnsi="Times New Roman" w:cs="Times New Roman"/>
          <w:sz w:val="28"/>
          <w:szCs w:val="28"/>
          <w:lang w:val="uk-UA"/>
        </w:rPr>
        <w:t xml:space="preserve">, або люди, які </w:t>
      </w:r>
      <w:r>
        <w:rPr>
          <w:rFonts w:ascii="Times New Roman" w:hAnsi="Times New Roman" w:cs="Times New Roman"/>
          <w:sz w:val="28"/>
          <w:szCs w:val="28"/>
          <w:lang w:val="uk-UA"/>
        </w:rPr>
        <w:t>тривалий час були у вимушеній</w:t>
      </w:r>
      <w:r w:rsidRPr="00710D2A">
        <w:rPr>
          <w:rFonts w:ascii="Times New Roman" w:hAnsi="Times New Roman" w:cs="Times New Roman"/>
          <w:sz w:val="28"/>
          <w:szCs w:val="28"/>
          <w:lang w:val="uk-UA"/>
        </w:rPr>
        <w:t xml:space="preserve"> відпус</w:t>
      </w:r>
      <w:r>
        <w:rPr>
          <w:rFonts w:ascii="Times New Roman" w:hAnsi="Times New Roman" w:cs="Times New Roman"/>
          <w:sz w:val="28"/>
          <w:szCs w:val="28"/>
          <w:lang w:val="uk-UA"/>
        </w:rPr>
        <w:t>тці (зокрема, по догляду за дитиною)</w:t>
      </w:r>
      <w:r w:rsidRPr="00710D2A">
        <w:rPr>
          <w:rFonts w:ascii="Times New Roman" w:hAnsi="Times New Roman" w:cs="Times New Roman"/>
          <w:sz w:val="28"/>
          <w:szCs w:val="28"/>
          <w:lang w:val="uk-UA"/>
        </w:rPr>
        <w:t xml:space="preserve">, наздоганяють колег із </w:t>
      </w:r>
      <w:r>
        <w:rPr>
          <w:rFonts w:ascii="Times New Roman" w:hAnsi="Times New Roman" w:cs="Times New Roman"/>
          <w:sz w:val="28"/>
          <w:szCs w:val="28"/>
          <w:lang w:val="uk-UA"/>
        </w:rPr>
        <w:t>досвідом</w:t>
      </w:r>
      <w:r w:rsidRPr="00710D2A">
        <w:rPr>
          <w:rFonts w:ascii="Times New Roman" w:hAnsi="Times New Roman" w:cs="Times New Roman"/>
          <w:sz w:val="28"/>
          <w:szCs w:val="28"/>
          <w:lang w:val="uk-UA"/>
        </w:rPr>
        <w:t xml:space="preserve"> безперервної роботи</w:t>
      </w:r>
      <w:r>
        <w:rPr>
          <w:rFonts w:ascii="Times New Roman" w:hAnsi="Times New Roman" w:cs="Times New Roman"/>
          <w:sz w:val="28"/>
          <w:szCs w:val="28"/>
          <w:lang w:val="uk-UA"/>
        </w:rPr>
        <w:t xml:space="preserve"> та суттєвими кар’єрними досягненнями</w:t>
      </w:r>
      <w:r w:rsidRPr="00710D2A">
        <w:rPr>
          <w:rFonts w:ascii="Times New Roman" w:hAnsi="Times New Roman" w:cs="Times New Roman"/>
          <w:sz w:val="28"/>
          <w:szCs w:val="28"/>
          <w:lang w:val="uk-UA"/>
        </w:rPr>
        <w:t xml:space="preserve">. Хоча люди схильні вірити, що організаційні оцінки потенціалу просування ґрунтуються на більш-менш об’єктивних </w:t>
      </w:r>
      <w:r>
        <w:rPr>
          <w:rFonts w:ascii="Times New Roman" w:hAnsi="Times New Roman" w:cs="Times New Roman"/>
          <w:sz w:val="28"/>
          <w:szCs w:val="28"/>
          <w:lang w:val="uk-UA"/>
        </w:rPr>
        <w:t>даних щодо</w:t>
      </w:r>
      <w:r w:rsidRPr="00710D2A">
        <w:rPr>
          <w:rFonts w:ascii="Times New Roman" w:hAnsi="Times New Roman" w:cs="Times New Roman"/>
          <w:sz w:val="28"/>
          <w:szCs w:val="28"/>
          <w:lang w:val="uk-UA"/>
        </w:rPr>
        <w:t xml:space="preserve"> продуктивн</w:t>
      </w:r>
      <w:r>
        <w:rPr>
          <w:rFonts w:ascii="Times New Roman" w:hAnsi="Times New Roman" w:cs="Times New Roman"/>
          <w:sz w:val="28"/>
          <w:szCs w:val="28"/>
          <w:lang w:val="uk-UA"/>
        </w:rPr>
        <w:t>о</w:t>
      </w:r>
      <w:r w:rsidRPr="00710D2A">
        <w:rPr>
          <w:rFonts w:ascii="Times New Roman" w:hAnsi="Times New Roman" w:cs="Times New Roman"/>
          <w:sz w:val="28"/>
          <w:szCs w:val="28"/>
          <w:lang w:val="uk-UA"/>
        </w:rPr>
        <w:t>ст</w:t>
      </w:r>
      <w:r>
        <w:rPr>
          <w:rFonts w:ascii="Times New Roman" w:hAnsi="Times New Roman" w:cs="Times New Roman"/>
          <w:sz w:val="28"/>
          <w:szCs w:val="28"/>
          <w:lang w:val="uk-UA"/>
        </w:rPr>
        <w:t>і, правил</w:t>
      </w:r>
      <w:r w:rsidRPr="00710D2A">
        <w:rPr>
          <w:rFonts w:ascii="Times New Roman" w:hAnsi="Times New Roman" w:cs="Times New Roman"/>
          <w:sz w:val="28"/>
          <w:szCs w:val="28"/>
          <w:lang w:val="uk-UA"/>
        </w:rPr>
        <w:t xml:space="preserve"> кар’єрної гри</w:t>
      </w:r>
      <w:r>
        <w:rPr>
          <w:rFonts w:ascii="Times New Roman" w:hAnsi="Times New Roman" w:cs="Times New Roman"/>
          <w:sz w:val="28"/>
          <w:szCs w:val="28"/>
          <w:lang w:val="uk-UA"/>
        </w:rPr>
        <w:t>, але, насправді,</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вони є невимірним</w:t>
      </w:r>
      <w:r w:rsidRPr="00710D2A">
        <w:rPr>
          <w:rFonts w:ascii="Times New Roman" w:hAnsi="Times New Roman" w:cs="Times New Roman"/>
          <w:sz w:val="28"/>
          <w:szCs w:val="28"/>
          <w:lang w:val="uk-UA"/>
        </w:rPr>
        <w:t xml:space="preserve"> товаром, нерівномірно розподіленим між різними групами в організації. Групи з найбільшою владою, швидше за все, інтегрують свої особисті інтереси в саму структуру організації, тим самим впливаючи на громадську думку </w:t>
      </w:r>
      <w:r>
        <w:rPr>
          <w:rFonts w:ascii="Times New Roman" w:hAnsi="Times New Roman" w:cs="Times New Roman"/>
          <w:sz w:val="28"/>
          <w:szCs w:val="28"/>
          <w:lang w:val="uk-UA"/>
        </w:rPr>
        <w:t xml:space="preserve">в колективі </w:t>
      </w:r>
      <w:r w:rsidRPr="00710D2A">
        <w:rPr>
          <w:rFonts w:ascii="Times New Roman" w:hAnsi="Times New Roman" w:cs="Times New Roman"/>
          <w:sz w:val="28"/>
          <w:szCs w:val="28"/>
          <w:lang w:val="uk-UA"/>
        </w:rPr>
        <w:t xml:space="preserve">щодо того, як має виглядати успішна кар’єра, і маргіналізуючи всіх тих, хто не відповідає цій </w:t>
      </w:r>
      <w:r>
        <w:rPr>
          <w:rFonts w:ascii="Times New Roman" w:hAnsi="Times New Roman" w:cs="Times New Roman"/>
          <w:sz w:val="28"/>
          <w:szCs w:val="28"/>
          <w:lang w:val="uk-UA"/>
        </w:rPr>
        <w:t xml:space="preserve">заявленій </w:t>
      </w:r>
      <w:r w:rsidRPr="00710D2A">
        <w:rPr>
          <w:rFonts w:ascii="Times New Roman" w:hAnsi="Times New Roman" w:cs="Times New Roman"/>
          <w:sz w:val="28"/>
          <w:szCs w:val="28"/>
          <w:lang w:val="uk-UA"/>
        </w:rPr>
        <w:t xml:space="preserve">формі. Зрозуміло, що </w:t>
      </w:r>
      <w:proofErr w:type="spellStart"/>
      <w:r>
        <w:rPr>
          <w:rFonts w:ascii="Times New Roman" w:hAnsi="Times New Roman" w:cs="Times New Roman"/>
          <w:sz w:val="28"/>
          <w:szCs w:val="28"/>
          <w:lang w:val="uk-UA"/>
        </w:rPr>
        <w:t>реіфікація</w:t>
      </w:r>
      <w:proofErr w:type="spellEnd"/>
      <w:r w:rsidRPr="00710D2A">
        <w:rPr>
          <w:rFonts w:ascii="Times New Roman" w:hAnsi="Times New Roman" w:cs="Times New Roman"/>
          <w:sz w:val="28"/>
          <w:szCs w:val="28"/>
          <w:lang w:val="uk-UA"/>
        </w:rPr>
        <w:t xml:space="preserve"> кар’єри передбачає набагато більше, ніж ідеологічний дискурс – насправді це лежить в основі ефекту </w:t>
      </w:r>
      <w:r>
        <w:rPr>
          <w:rFonts w:ascii="Times New Roman" w:hAnsi="Times New Roman" w:cs="Times New Roman"/>
          <w:sz w:val="28"/>
          <w:szCs w:val="28"/>
          <w:lang w:val="uk-UA"/>
        </w:rPr>
        <w:t xml:space="preserve">так званої </w:t>
      </w:r>
      <w:r w:rsidRPr="00710D2A">
        <w:rPr>
          <w:rFonts w:ascii="Times New Roman" w:hAnsi="Times New Roman" w:cs="Times New Roman"/>
          <w:sz w:val="28"/>
          <w:szCs w:val="28"/>
          <w:lang w:val="uk-UA"/>
        </w:rPr>
        <w:t>скляної стелі та інших дискримінаційних процесів, що відбуваються в організаціях по всьому світу</w:t>
      </w:r>
      <w:r>
        <w:rPr>
          <w:rFonts w:ascii="Times New Roman" w:hAnsi="Times New Roman" w:cs="Times New Roman"/>
          <w:sz w:val="28"/>
          <w:szCs w:val="28"/>
          <w:lang w:val="uk-UA"/>
        </w:rPr>
        <w:t>, незалежно від конкретної країни</w:t>
      </w:r>
      <w:r w:rsidRPr="00710D2A">
        <w:rPr>
          <w:rFonts w:ascii="Times New Roman" w:hAnsi="Times New Roman" w:cs="Times New Roman"/>
          <w:sz w:val="28"/>
          <w:szCs w:val="28"/>
          <w:lang w:val="uk-UA"/>
        </w:rPr>
        <w:t>. Багаторівневі дослідження, що вивчають взаємозв’язки між організаційними та індивідуальними концепціями успіху кар’єри, найкраще підходять для емпіричної перевірки наступного важливого дослідницького питання:</w:t>
      </w:r>
      <w:r>
        <w:rPr>
          <w:rFonts w:ascii="Times New Roman" w:hAnsi="Times New Roman" w:cs="Times New Roman"/>
          <w:sz w:val="28"/>
          <w:szCs w:val="28"/>
          <w:lang w:val="uk-UA"/>
        </w:rPr>
        <w:t xml:space="preserve"> я</w:t>
      </w:r>
      <w:r w:rsidRPr="00710D2A">
        <w:rPr>
          <w:rFonts w:ascii="Times New Roman" w:hAnsi="Times New Roman" w:cs="Times New Roman"/>
          <w:sz w:val="28"/>
          <w:szCs w:val="28"/>
          <w:lang w:val="uk-UA"/>
        </w:rPr>
        <w:t xml:space="preserve">к </w:t>
      </w:r>
      <w:r>
        <w:rPr>
          <w:rFonts w:ascii="Times New Roman" w:hAnsi="Times New Roman" w:cs="Times New Roman"/>
          <w:sz w:val="28"/>
          <w:szCs w:val="28"/>
          <w:lang w:val="uk-UA"/>
        </w:rPr>
        <w:t xml:space="preserve">саме </w:t>
      </w:r>
      <w:r w:rsidRPr="00710D2A">
        <w:rPr>
          <w:rFonts w:ascii="Times New Roman" w:hAnsi="Times New Roman" w:cs="Times New Roman"/>
          <w:sz w:val="28"/>
          <w:szCs w:val="28"/>
          <w:lang w:val="uk-UA"/>
        </w:rPr>
        <w:t>організаційна ідеологія впливає на визначення успіх</w:t>
      </w:r>
      <w:r>
        <w:rPr>
          <w:rFonts w:ascii="Times New Roman" w:hAnsi="Times New Roman" w:cs="Times New Roman"/>
          <w:sz w:val="28"/>
          <w:szCs w:val="28"/>
          <w:lang w:val="uk-UA"/>
        </w:rPr>
        <w:t>ів</w:t>
      </w:r>
      <w:r w:rsidRPr="00710D2A">
        <w:rPr>
          <w:rFonts w:ascii="Times New Roman" w:hAnsi="Times New Roman" w:cs="Times New Roman"/>
          <w:sz w:val="28"/>
          <w:szCs w:val="28"/>
          <w:lang w:val="uk-UA"/>
        </w:rPr>
        <w:t xml:space="preserve"> в кар’єрі, як</w:t>
      </w:r>
      <w:r>
        <w:rPr>
          <w:rFonts w:ascii="Times New Roman" w:hAnsi="Times New Roman" w:cs="Times New Roman"/>
          <w:sz w:val="28"/>
          <w:szCs w:val="28"/>
          <w:lang w:val="uk-UA"/>
        </w:rPr>
        <w:t>их</w:t>
      </w:r>
      <w:r w:rsidRPr="00710D2A">
        <w:rPr>
          <w:rFonts w:ascii="Times New Roman" w:hAnsi="Times New Roman" w:cs="Times New Roman"/>
          <w:sz w:val="28"/>
          <w:szCs w:val="28"/>
          <w:lang w:val="uk-UA"/>
        </w:rPr>
        <w:t xml:space="preserve"> дотримуються люди в цих організаціях?</w:t>
      </w:r>
      <w:r>
        <w:rPr>
          <w:rFonts w:ascii="Times New Roman" w:hAnsi="Times New Roman" w:cs="Times New Roman"/>
          <w:sz w:val="28"/>
          <w:szCs w:val="28"/>
          <w:lang w:val="uk-UA"/>
        </w:rPr>
        <w:t xml:space="preserve"> </w:t>
      </w:r>
      <w:r w:rsidRPr="00710D2A">
        <w:rPr>
          <w:rFonts w:ascii="Times New Roman" w:hAnsi="Times New Roman" w:cs="Times New Roman"/>
          <w:sz w:val="28"/>
          <w:szCs w:val="28"/>
          <w:lang w:val="uk-UA"/>
        </w:rPr>
        <w:t xml:space="preserve">У той час як </w:t>
      </w:r>
      <w:proofErr w:type="spellStart"/>
      <w:r w:rsidRPr="00710D2A">
        <w:rPr>
          <w:rFonts w:ascii="Times New Roman" w:hAnsi="Times New Roman" w:cs="Times New Roman"/>
          <w:sz w:val="28"/>
          <w:szCs w:val="28"/>
          <w:lang w:val="uk-UA"/>
        </w:rPr>
        <w:t>міжсекційні</w:t>
      </w:r>
      <w:proofErr w:type="spellEnd"/>
      <w:r w:rsidRPr="00710D2A">
        <w:rPr>
          <w:rFonts w:ascii="Times New Roman" w:hAnsi="Times New Roman" w:cs="Times New Roman"/>
          <w:sz w:val="28"/>
          <w:szCs w:val="28"/>
          <w:lang w:val="uk-UA"/>
        </w:rPr>
        <w:t xml:space="preserve"> багаторівневі дослідження можуть зосереджуватися на відмінностях між організаціями з різними </w:t>
      </w:r>
      <w:r>
        <w:rPr>
          <w:rFonts w:ascii="Times New Roman" w:hAnsi="Times New Roman" w:cs="Times New Roman"/>
          <w:sz w:val="28"/>
          <w:szCs w:val="28"/>
          <w:lang w:val="uk-UA"/>
        </w:rPr>
        <w:t xml:space="preserve">корпоративними </w:t>
      </w:r>
      <w:r w:rsidRPr="00710D2A">
        <w:rPr>
          <w:rFonts w:ascii="Times New Roman" w:hAnsi="Times New Roman" w:cs="Times New Roman"/>
          <w:sz w:val="28"/>
          <w:szCs w:val="28"/>
          <w:lang w:val="uk-UA"/>
        </w:rPr>
        <w:t xml:space="preserve">культурами, </w:t>
      </w:r>
      <w:r>
        <w:rPr>
          <w:rFonts w:ascii="Times New Roman" w:hAnsi="Times New Roman" w:cs="Times New Roman"/>
          <w:sz w:val="28"/>
          <w:szCs w:val="28"/>
          <w:lang w:val="uk-UA"/>
        </w:rPr>
        <w:t xml:space="preserve">проведені </w:t>
      </w:r>
      <w:r w:rsidRPr="00710D2A">
        <w:rPr>
          <w:rFonts w:ascii="Times New Roman" w:hAnsi="Times New Roman" w:cs="Times New Roman"/>
          <w:sz w:val="28"/>
          <w:szCs w:val="28"/>
          <w:lang w:val="uk-UA"/>
        </w:rPr>
        <w:t>багаторівневі дослідження можуть вивчати зв’язки між змінними кар’єри на організаційному та індивідуальному рівнях до та після важливих періодів соціаліз</w:t>
      </w:r>
      <w:r>
        <w:rPr>
          <w:rFonts w:ascii="Times New Roman" w:hAnsi="Times New Roman" w:cs="Times New Roman"/>
          <w:sz w:val="28"/>
          <w:szCs w:val="28"/>
          <w:lang w:val="uk-UA"/>
        </w:rPr>
        <w:t>ації в певній організації.</w:t>
      </w:r>
    </w:p>
    <w:p w14:paraId="513037B5" w14:textId="5047F3AF" w:rsidR="00571B42" w:rsidRPr="00710D2A"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Декілька дослідників кар’єри стверджують, що, оскільки припущення про кар’єру стають дедалі неоднозначними, особисті процеси формування сенсу </w:t>
      </w:r>
      <w:r>
        <w:rPr>
          <w:rFonts w:ascii="Times New Roman" w:hAnsi="Times New Roman" w:cs="Times New Roman"/>
          <w:sz w:val="28"/>
          <w:szCs w:val="28"/>
          <w:lang w:val="uk-UA"/>
        </w:rPr>
        <w:t xml:space="preserve">існування </w:t>
      </w:r>
      <w:r w:rsidRPr="00710D2A">
        <w:rPr>
          <w:rFonts w:ascii="Times New Roman" w:hAnsi="Times New Roman" w:cs="Times New Roman"/>
          <w:sz w:val="28"/>
          <w:szCs w:val="28"/>
          <w:lang w:val="uk-UA"/>
        </w:rPr>
        <w:t>людини</w:t>
      </w:r>
      <w:r>
        <w:rPr>
          <w:rFonts w:ascii="Times New Roman" w:hAnsi="Times New Roman" w:cs="Times New Roman"/>
          <w:sz w:val="28"/>
          <w:szCs w:val="28"/>
          <w:lang w:val="uk-UA"/>
        </w:rPr>
        <w:t>, то вони</w:t>
      </w:r>
      <w:r w:rsidRPr="00710D2A">
        <w:rPr>
          <w:rFonts w:ascii="Times New Roman" w:hAnsi="Times New Roman" w:cs="Times New Roman"/>
          <w:sz w:val="28"/>
          <w:szCs w:val="28"/>
          <w:lang w:val="uk-UA"/>
        </w:rPr>
        <w:t xml:space="preserve"> повинні вийти на перший план </w:t>
      </w:r>
      <w:r w:rsidRPr="005D1B01">
        <w:rPr>
          <w:rFonts w:ascii="Times New Roman" w:hAnsi="Times New Roman" w:cs="Times New Roman"/>
          <w:sz w:val="28"/>
          <w:szCs w:val="28"/>
          <w:lang w:val="uk-UA"/>
        </w:rPr>
        <w:t>[35]</w:t>
      </w:r>
      <w:r w:rsidRPr="00710D2A">
        <w:rPr>
          <w:rFonts w:ascii="Times New Roman" w:hAnsi="Times New Roman" w:cs="Times New Roman"/>
          <w:sz w:val="28"/>
          <w:szCs w:val="28"/>
          <w:lang w:val="uk-UA"/>
        </w:rPr>
        <w:t xml:space="preserve">. Дійсно, в </w:t>
      </w:r>
      <w:r w:rsidRPr="00710D2A">
        <w:rPr>
          <w:rFonts w:ascii="Times New Roman" w:hAnsi="Times New Roman" w:cs="Times New Roman"/>
          <w:sz w:val="28"/>
          <w:szCs w:val="28"/>
          <w:lang w:val="uk-UA"/>
        </w:rPr>
        <w:lastRenderedPageBreak/>
        <w:t xml:space="preserve">останній літературі про кар’єру можна спостерігати зрушення від </w:t>
      </w:r>
      <w:proofErr w:type="spellStart"/>
      <w:r w:rsidRPr="00710D2A">
        <w:rPr>
          <w:rFonts w:ascii="Times New Roman" w:hAnsi="Times New Roman" w:cs="Times New Roman"/>
          <w:sz w:val="28"/>
          <w:szCs w:val="28"/>
          <w:lang w:val="uk-UA"/>
        </w:rPr>
        <w:t>редукціоністських</w:t>
      </w:r>
      <w:proofErr w:type="spellEnd"/>
      <w:r w:rsidRPr="00710D2A">
        <w:rPr>
          <w:rFonts w:ascii="Times New Roman" w:hAnsi="Times New Roman" w:cs="Times New Roman"/>
          <w:sz w:val="28"/>
          <w:szCs w:val="28"/>
          <w:lang w:val="uk-UA"/>
        </w:rPr>
        <w:t xml:space="preserve"> методів до якісних поглиблених досліджень </w:t>
      </w:r>
      <w:r w:rsidRPr="005D1B01">
        <w:rPr>
          <w:rFonts w:ascii="Times New Roman" w:hAnsi="Times New Roman" w:cs="Times New Roman"/>
          <w:sz w:val="28"/>
          <w:szCs w:val="28"/>
        </w:rPr>
        <w:t>[48]</w:t>
      </w:r>
      <w:r w:rsidRPr="00710D2A">
        <w:rPr>
          <w:rFonts w:ascii="Times New Roman" w:hAnsi="Times New Roman" w:cs="Times New Roman"/>
          <w:sz w:val="28"/>
          <w:szCs w:val="28"/>
          <w:lang w:val="uk-UA"/>
        </w:rPr>
        <w:t xml:space="preserve">. В останні роки все більше дослідників кар’єри звертають увагу на </w:t>
      </w:r>
      <w:r>
        <w:rPr>
          <w:rFonts w:ascii="Times New Roman" w:hAnsi="Times New Roman" w:cs="Times New Roman"/>
          <w:sz w:val="28"/>
          <w:szCs w:val="28"/>
          <w:lang w:val="uk-UA"/>
        </w:rPr>
        <w:t>індивідуальний та</w:t>
      </w:r>
      <w:r w:rsidRPr="00710D2A">
        <w:rPr>
          <w:rFonts w:ascii="Times New Roman" w:hAnsi="Times New Roman" w:cs="Times New Roman"/>
          <w:sz w:val="28"/>
          <w:szCs w:val="28"/>
          <w:lang w:val="uk-UA"/>
        </w:rPr>
        <w:t xml:space="preserve"> соціальний конструктивізм </w:t>
      </w:r>
      <w:r w:rsidRPr="005D1B01">
        <w:rPr>
          <w:rFonts w:ascii="Times New Roman" w:hAnsi="Times New Roman" w:cs="Times New Roman"/>
          <w:sz w:val="28"/>
          <w:szCs w:val="28"/>
        </w:rPr>
        <w:t>[59]</w:t>
      </w:r>
      <w:r w:rsidRPr="00710D2A">
        <w:rPr>
          <w:rFonts w:ascii="Times New Roman" w:hAnsi="Times New Roman" w:cs="Times New Roman"/>
          <w:sz w:val="28"/>
          <w:szCs w:val="28"/>
          <w:lang w:val="uk-UA"/>
        </w:rPr>
        <w:t xml:space="preserve">. Конструктивізм зосереджується на індивідуальному створенні смислів і конструюванні соціальних і психологічних світів через когнітивні процеси; соціальний </w:t>
      </w:r>
      <w:proofErr w:type="spellStart"/>
      <w:r w:rsidRPr="00710D2A">
        <w:rPr>
          <w:rFonts w:ascii="Times New Roman" w:hAnsi="Times New Roman" w:cs="Times New Roman"/>
          <w:sz w:val="28"/>
          <w:szCs w:val="28"/>
          <w:lang w:val="uk-UA"/>
        </w:rPr>
        <w:t>конструкціонізм</w:t>
      </w:r>
      <w:proofErr w:type="spellEnd"/>
      <w:r w:rsidRPr="00710D2A">
        <w:rPr>
          <w:rFonts w:ascii="Times New Roman" w:hAnsi="Times New Roman" w:cs="Times New Roman"/>
          <w:sz w:val="28"/>
          <w:szCs w:val="28"/>
          <w:lang w:val="uk-UA"/>
        </w:rPr>
        <w:t xml:space="preserve"> вивчає, як ці соціальні та психологічні світи стають «реальними» (тобто уречевленими) через соціальні процеси та взаємодію.</w:t>
      </w:r>
    </w:p>
    <w:p w14:paraId="41D5F39F" w14:textId="77777777" w:rsidR="00571B42" w:rsidRPr="00710D2A"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Однак, </w:t>
      </w:r>
      <w:r>
        <w:rPr>
          <w:rFonts w:ascii="Times New Roman" w:hAnsi="Times New Roman" w:cs="Times New Roman"/>
          <w:sz w:val="28"/>
          <w:szCs w:val="28"/>
          <w:lang w:val="uk-UA"/>
        </w:rPr>
        <w:t>необхідно зазначити</w:t>
      </w:r>
      <w:r w:rsidRPr="00710D2A">
        <w:rPr>
          <w:rFonts w:ascii="Times New Roman" w:hAnsi="Times New Roman" w:cs="Times New Roman"/>
          <w:sz w:val="28"/>
          <w:szCs w:val="28"/>
          <w:lang w:val="uk-UA"/>
        </w:rPr>
        <w:t>,</w:t>
      </w:r>
      <w:r>
        <w:rPr>
          <w:rFonts w:ascii="Times New Roman" w:hAnsi="Times New Roman" w:cs="Times New Roman"/>
          <w:sz w:val="28"/>
          <w:szCs w:val="28"/>
          <w:lang w:val="uk-UA"/>
        </w:rPr>
        <w:t xml:space="preserve"> що</w:t>
      </w:r>
      <w:r w:rsidRPr="00710D2A">
        <w:rPr>
          <w:rFonts w:ascii="Times New Roman" w:hAnsi="Times New Roman" w:cs="Times New Roman"/>
          <w:sz w:val="28"/>
          <w:szCs w:val="28"/>
          <w:lang w:val="uk-UA"/>
        </w:rPr>
        <w:t xml:space="preserve"> існує певний розрив між теоретичною літературою про кар’єру та </w:t>
      </w:r>
      <w:proofErr w:type="spellStart"/>
      <w:r w:rsidRPr="00710D2A">
        <w:rPr>
          <w:rFonts w:ascii="Times New Roman" w:hAnsi="Times New Roman" w:cs="Times New Roman"/>
          <w:sz w:val="28"/>
          <w:szCs w:val="28"/>
          <w:lang w:val="uk-UA"/>
        </w:rPr>
        <w:t>операціоналізацією</w:t>
      </w:r>
      <w:proofErr w:type="spellEnd"/>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Pr="00710D2A">
        <w:rPr>
          <w:rFonts w:ascii="Times New Roman" w:hAnsi="Times New Roman" w:cs="Times New Roman"/>
          <w:sz w:val="28"/>
          <w:szCs w:val="28"/>
          <w:lang w:val="uk-UA"/>
        </w:rPr>
        <w:t xml:space="preserve"> вимірюванням кар’єри та кар’єрного успіху в наукових роботах. Більшість емпіричних досліджень успіху в кар’єрі все ще використовують дані про зарплату, просування по службі та функціональний рівень як проксі успіху в кар’єрі, без особливих роздумів про конструктивну валідність.</w:t>
      </w:r>
    </w:p>
    <w:p w14:paraId="47EFF593" w14:textId="77777777" w:rsidR="00571B42" w:rsidRPr="00710D2A"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Одним із особливо популярних понять у сучасному </w:t>
      </w:r>
      <w:r>
        <w:rPr>
          <w:rFonts w:ascii="Times New Roman" w:hAnsi="Times New Roman" w:cs="Times New Roman"/>
          <w:sz w:val="28"/>
          <w:szCs w:val="28"/>
          <w:lang w:val="uk-UA"/>
        </w:rPr>
        <w:t xml:space="preserve">науковому </w:t>
      </w:r>
      <w:r w:rsidRPr="00710D2A">
        <w:rPr>
          <w:rFonts w:ascii="Times New Roman" w:hAnsi="Times New Roman" w:cs="Times New Roman"/>
          <w:sz w:val="28"/>
          <w:szCs w:val="28"/>
          <w:lang w:val="uk-UA"/>
        </w:rPr>
        <w:t>кар’єрному дискурсі є безмежн</w:t>
      </w:r>
      <w:r>
        <w:rPr>
          <w:rFonts w:ascii="Times New Roman" w:hAnsi="Times New Roman" w:cs="Times New Roman"/>
          <w:sz w:val="28"/>
          <w:szCs w:val="28"/>
          <w:lang w:val="uk-UA"/>
        </w:rPr>
        <w:t>ість</w:t>
      </w:r>
      <w:r w:rsidRPr="00710D2A">
        <w:rPr>
          <w:rFonts w:ascii="Times New Roman" w:hAnsi="Times New Roman" w:cs="Times New Roman"/>
          <w:sz w:val="28"/>
          <w:szCs w:val="28"/>
          <w:lang w:val="uk-UA"/>
        </w:rPr>
        <w:t xml:space="preserve"> кар’єр</w:t>
      </w:r>
      <w:r>
        <w:rPr>
          <w:rFonts w:ascii="Times New Roman" w:hAnsi="Times New Roman" w:cs="Times New Roman"/>
          <w:sz w:val="28"/>
          <w:szCs w:val="28"/>
          <w:lang w:val="uk-UA"/>
        </w:rPr>
        <w:t>и</w:t>
      </w:r>
      <w:r w:rsidRPr="00710D2A">
        <w:rPr>
          <w:rFonts w:ascii="Times New Roman" w:hAnsi="Times New Roman" w:cs="Times New Roman"/>
          <w:sz w:val="28"/>
          <w:szCs w:val="28"/>
          <w:lang w:val="uk-UA"/>
        </w:rPr>
        <w:t xml:space="preserve">. Замість того, щоб представляти один конкретний тип кар’єри, безмежна кар’єра охоплює всі можливі </w:t>
      </w:r>
      <w:r>
        <w:rPr>
          <w:rFonts w:ascii="Times New Roman" w:hAnsi="Times New Roman" w:cs="Times New Roman"/>
          <w:sz w:val="28"/>
          <w:szCs w:val="28"/>
          <w:lang w:val="uk-UA"/>
        </w:rPr>
        <w:t xml:space="preserve">її </w:t>
      </w:r>
      <w:r w:rsidRPr="00710D2A">
        <w:rPr>
          <w:rFonts w:ascii="Times New Roman" w:hAnsi="Times New Roman" w:cs="Times New Roman"/>
          <w:sz w:val="28"/>
          <w:szCs w:val="28"/>
          <w:lang w:val="uk-UA"/>
        </w:rPr>
        <w:t xml:space="preserve">форми, які кидають виклик «традиційним» уявленням про </w:t>
      </w:r>
      <w:r>
        <w:rPr>
          <w:rFonts w:ascii="Times New Roman" w:hAnsi="Times New Roman" w:cs="Times New Roman"/>
          <w:sz w:val="28"/>
          <w:szCs w:val="28"/>
          <w:lang w:val="uk-UA"/>
        </w:rPr>
        <w:t xml:space="preserve">побудову та розвиток </w:t>
      </w:r>
      <w:r w:rsidRPr="00710D2A">
        <w:rPr>
          <w:rFonts w:ascii="Times New Roman" w:hAnsi="Times New Roman" w:cs="Times New Roman"/>
          <w:sz w:val="28"/>
          <w:szCs w:val="28"/>
          <w:lang w:val="uk-UA"/>
        </w:rPr>
        <w:t>кар’єр</w:t>
      </w:r>
      <w:r>
        <w:rPr>
          <w:rFonts w:ascii="Times New Roman" w:hAnsi="Times New Roman" w:cs="Times New Roman"/>
          <w:sz w:val="28"/>
          <w:szCs w:val="28"/>
          <w:lang w:val="uk-UA"/>
        </w:rPr>
        <w:t>и</w:t>
      </w:r>
      <w:r w:rsidRPr="00710D2A">
        <w:rPr>
          <w:rFonts w:ascii="Times New Roman" w:hAnsi="Times New Roman" w:cs="Times New Roman"/>
          <w:sz w:val="28"/>
          <w:szCs w:val="28"/>
          <w:lang w:val="uk-UA"/>
        </w:rPr>
        <w:t xml:space="preserve">, тобто безперервну роботу в одного роботодавця, акцент </w:t>
      </w:r>
      <w:r>
        <w:rPr>
          <w:rFonts w:ascii="Times New Roman" w:hAnsi="Times New Roman" w:cs="Times New Roman"/>
          <w:sz w:val="28"/>
          <w:szCs w:val="28"/>
          <w:lang w:val="uk-UA"/>
        </w:rPr>
        <w:t xml:space="preserve">при цьому робиться </w:t>
      </w:r>
      <w:r w:rsidRPr="00710D2A">
        <w:rPr>
          <w:rFonts w:ascii="Times New Roman" w:hAnsi="Times New Roman" w:cs="Times New Roman"/>
          <w:sz w:val="28"/>
          <w:szCs w:val="28"/>
          <w:lang w:val="uk-UA"/>
        </w:rPr>
        <w:t>на висхідній мобільності та сильне розмежування між роботою та особистим життям. Спільним фактором</w:t>
      </w:r>
      <w:r>
        <w:rPr>
          <w:rFonts w:ascii="Times New Roman" w:hAnsi="Times New Roman" w:cs="Times New Roman"/>
          <w:sz w:val="28"/>
          <w:szCs w:val="28"/>
          <w:lang w:val="uk-UA"/>
        </w:rPr>
        <w:t xml:space="preserve">, який здійснює вплив на </w:t>
      </w:r>
      <w:r w:rsidRPr="00710D2A">
        <w:rPr>
          <w:rFonts w:ascii="Times New Roman" w:hAnsi="Times New Roman" w:cs="Times New Roman"/>
          <w:sz w:val="28"/>
          <w:szCs w:val="28"/>
          <w:lang w:val="uk-UA"/>
        </w:rPr>
        <w:t>безмежн</w:t>
      </w:r>
      <w:r>
        <w:rPr>
          <w:rFonts w:ascii="Times New Roman" w:hAnsi="Times New Roman" w:cs="Times New Roman"/>
          <w:sz w:val="28"/>
          <w:szCs w:val="28"/>
          <w:lang w:val="uk-UA"/>
        </w:rPr>
        <w:t>у</w:t>
      </w:r>
      <w:r w:rsidRPr="00710D2A">
        <w:rPr>
          <w:rFonts w:ascii="Times New Roman" w:hAnsi="Times New Roman" w:cs="Times New Roman"/>
          <w:sz w:val="28"/>
          <w:szCs w:val="28"/>
          <w:lang w:val="uk-UA"/>
        </w:rPr>
        <w:t xml:space="preserve"> кар’єр</w:t>
      </w:r>
      <w:r>
        <w:rPr>
          <w:rFonts w:ascii="Times New Roman" w:hAnsi="Times New Roman" w:cs="Times New Roman"/>
          <w:sz w:val="28"/>
          <w:szCs w:val="28"/>
          <w:lang w:val="uk-UA"/>
        </w:rPr>
        <w:t>у,</w:t>
      </w:r>
      <w:r w:rsidRPr="00710D2A">
        <w:rPr>
          <w:rFonts w:ascii="Times New Roman" w:hAnsi="Times New Roman" w:cs="Times New Roman"/>
          <w:sz w:val="28"/>
          <w:szCs w:val="28"/>
          <w:lang w:val="uk-UA"/>
        </w:rPr>
        <w:t xml:space="preserve"> серед різних значень є те, що всі вони означають ослаблені зв’язки між працівниками та їхніми організаціями. Проте</w:t>
      </w:r>
      <w:r>
        <w:rPr>
          <w:rFonts w:ascii="Times New Roman" w:hAnsi="Times New Roman" w:cs="Times New Roman"/>
          <w:sz w:val="28"/>
          <w:szCs w:val="28"/>
          <w:lang w:val="uk-UA"/>
        </w:rPr>
        <w:t>, варто зазначити, що</w:t>
      </w:r>
      <w:r w:rsidRPr="00710D2A">
        <w:rPr>
          <w:rFonts w:ascii="Times New Roman" w:hAnsi="Times New Roman" w:cs="Times New Roman"/>
          <w:sz w:val="28"/>
          <w:szCs w:val="28"/>
          <w:lang w:val="uk-UA"/>
        </w:rPr>
        <w:t xml:space="preserve"> поняття безмежної кар’єри, </w:t>
      </w:r>
      <w:r>
        <w:rPr>
          <w:rFonts w:ascii="Times New Roman" w:hAnsi="Times New Roman" w:cs="Times New Roman"/>
          <w:sz w:val="28"/>
          <w:szCs w:val="28"/>
          <w:lang w:val="uk-UA"/>
        </w:rPr>
        <w:t>очевидно</w:t>
      </w:r>
      <w:r w:rsidRPr="00710D2A">
        <w:rPr>
          <w:rFonts w:ascii="Times New Roman" w:hAnsi="Times New Roman" w:cs="Times New Roman"/>
          <w:sz w:val="28"/>
          <w:szCs w:val="28"/>
          <w:lang w:val="uk-UA"/>
        </w:rPr>
        <w:t xml:space="preserve">, стало основним у </w:t>
      </w:r>
      <w:r>
        <w:rPr>
          <w:rFonts w:ascii="Times New Roman" w:hAnsi="Times New Roman" w:cs="Times New Roman"/>
          <w:sz w:val="28"/>
          <w:szCs w:val="28"/>
          <w:lang w:val="uk-UA"/>
        </w:rPr>
        <w:t xml:space="preserve">науковій сучасній </w:t>
      </w:r>
      <w:r w:rsidRPr="00710D2A">
        <w:rPr>
          <w:rFonts w:ascii="Times New Roman" w:hAnsi="Times New Roman" w:cs="Times New Roman"/>
          <w:sz w:val="28"/>
          <w:szCs w:val="28"/>
          <w:lang w:val="uk-UA"/>
        </w:rPr>
        <w:t>літературі про кар’єру, є ознаки того, що цей новий теоретичний підхід до кар’єри також не повніст</w:t>
      </w:r>
      <w:r>
        <w:rPr>
          <w:rFonts w:ascii="Times New Roman" w:hAnsi="Times New Roman" w:cs="Times New Roman"/>
          <w:sz w:val="28"/>
          <w:szCs w:val="28"/>
          <w:lang w:val="uk-UA"/>
        </w:rPr>
        <w:t>ю відповідає фактичному досвіду</w:t>
      </w:r>
      <w:r w:rsidRPr="00710D2A">
        <w:rPr>
          <w:rFonts w:ascii="Times New Roman" w:hAnsi="Times New Roman" w:cs="Times New Roman"/>
          <w:sz w:val="28"/>
          <w:szCs w:val="28"/>
          <w:lang w:val="uk-UA"/>
        </w:rPr>
        <w:t>.</w:t>
      </w:r>
    </w:p>
    <w:p w14:paraId="5BACE7EF" w14:textId="77777777" w:rsidR="00571B42" w:rsidRPr="00710D2A"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По-перше, хоча в </w:t>
      </w:r>
      <w:r>
        <w:rPr>
          <w:rFonts w:ascii="Times New Roman" w:hAnsi="Times New Roman" w:cs="Times New Roman"/>
          <w:sz w:val="28"/>
          <w:szCs w:val="28"/>
          <w:lang w:val="uk-UA"/>
        </w:rPr>
        <w:t xml:space="preserve">науковій </w:t>
      </w:r>
      <w:r w:rsidRPr="00710D2A">
        <w:rPr>
          <w:rFonts w:ascii="Times New Roman" w:hAnsi="Times New Roman" w:cs="Times New Roman"/>
          <w:sz w:val="28"/>
          <w:szCs w:val="28"/>
          <w:lang w:val="uk-UA"/>
        </w:rPr>
        <w:t xml:space="preserve">літературі йдеться про те, що безмежні типи кар’єри стають все більш і більш поширеними в </w:t>
      </w:r>
      <w:r>
        <w:rPr>
          <w:rFonts w:ascii="Times New Roman" w:hAnsi="Times New Roman" w:cs="Times New Roman"/>
          <w:sz w:val="28"/>
          <w:szCs w:val="28"/>
          <w:lang w:val="uk-UA"/>
        </w:rPr>
        <w:t>виробничій</w:t>
      </w:r>
      <w:r w:rsidRPr="00710D2A">
        <w:rPr>
          <w:rFonts w:ascii="Times New Roman" w:hAnsi="Times New Roman" w:cs="Times New Roman"/>
          <w:sz w:val="28"/>
          <w:szCs w:val="28"/>
          <w:lang w:val="uk-UA"/>
        </w:rPr>
        <w:t xml:space="preserve"> галузі, серйозні питання були підняті щодо можливості перенесення цієї концепції за межі </w:t>
      </w:r>
      <w:r>
        <w:rPr>
          <w:rFonts w:ascii="Times New Roman" w:hAnsi="Times New Roman" w:cs="Times New Roman"/>
          <w:sz w:val="28"/>
          <w:szCs w:val="28"/>
          <w:lang w:val="uk-UA"/>
        </w:rPr>
        <w:t>високо розвинених країн із високим рівнем</w:t>
      </w:r>
      <w:r w:rsidRPr="00710D2A">
        <w:rPr>
          <w:rFonts w:ascii="Times New Roman" w:hAnsi="Times New Roman" w:cs="Times New Roman"/>
          <w:sz w:val="28"/>
          <w:szCs w:val="28"/>
          <w:lang w:val="uk-UA"/>
        </w:rPr>
        <w:t xml:space="preserve"> культурного значення, яке люди </w:t>
      </w:r>
      <w:r w:rsidRPr="00710D2A">
        <w:rPr>
          <w:rFonts w:ascii="Times New Roman" w:hAnsi="Times New Roman" w:cs="Times New Roman"/>
          <w:sz w:val="28"/>
          <w:szCs w:val="28"/>
          <w:lang w:val="uk-UA"/>
        </w:rPr>
        <w:lastRenderedPageBreak/>
        <w:t xml:space="preserve">надають безпеці роботи та впливу профспілок працівників </w:t>
      </w:r>
      <w:r>
        <w:rPr>
          <w:rFonts w:ascii="Times New Roman" w:hAnsi="Times New Roman" w:cs="Times New Roman"/>
          <w:sz w:val="28"/>
          <w:szCs w:val="28"/>
          <w:lang w:val="uk-UA"/>
        </w:rPr>
        <w:t>на</w:t>
      </w:r>
      <w:r w:rsidRPr="00710D2A">
        <w:rPr>
          <w:rFonts w:ascii="Times New Roman" w:hAnsi="Times New Roman" w:cs="Times New Roman"/>
          <w:sz w:val="28"/>
          <w:szCs w:val="28"/>
          <w:lang w:val="uk-UA"/>
        </w:rPr>
        <w:t xml:space="preserve"> національн</w:t>
      </w:r>
      <w:r>
        <w:rPr>
          <w:rFonts w:ascii="Times New Roman" w:hAnsi="Times New Roman" w:cs="Times New Roman"/>
          <w:sz w:val="28"/>
          <w:szCs w:val="28"/>
          <w:lang w:val="uk-UA"/>
        </w:rPr>
        <w:t>ому</w:t>
      </w:r>
      <w:r w:rsidRPr="00710D2A">
        <w:rPr>
          <w:rFonts w:ascii="Times New Roman" w:hAnsi="Times New Roman" w:cs="Times New Roman"/>
          <w:sz w:val="28"/>
          <w:szCs w:val="28"/>
          <w:lang w:val="uk-UA"/>
        </w:rPr>
        <w:t xml:space="preserve"> рин</w:t>
      </w:r>
      <w:r>
        <w:rPr>
          <w:rFonts w:ascii="Times New Roman" w:hAnsi="Times New Roman" w:cs="Times New Roman"/>
          <w:sz w:val="28"/>
          <w:szCs w:val="28"/>
          <w:lang w:val="uk-UA"/>
        </w:rPr>
        <w:t>ку</w:t>
      </w:r>
      <w:r w:rsidRPr="00710D2A">
        <w:rPr>
          <w:rFonts w:ascii="Times New Roman" w:hAnsi="Times New Roman" w:cs="Times New Roman"/>
          <w:sz w:val="28"/>
          <w:szCs w:val="28"/>
          <w:lang w:val="uk-UA"/>
        </w:rPr>
        <w:t xml:space="preserve"> праці</w:t>
      </w:r>
      <w:r>
        <w:rPr>
          <w:rFonts w:ascii="Times New Roman" w:hAnsi="Times New Roman" w:cs="Times New Roman"/>
          <w:sz w:val="28"/>
          <w:szCs w:val="28"/>
          <w:lang w:val="uk-UA"/>
        </w:rPr>
        <w:t>, що</w:t>
      </w:r>
      <w:r w:rsidRPr="00710D2A">
        <w:rPr>
          <w:rFonts w:ascii="Times New Roman" w:hAnsi="Times New Roman" w:cs="Times New Roman"/>
          <w:sz w:val="28"/>
          <w:szCs w:val="28"/>
          <w:lang w:val="uk-UA"/>
        </w:rPr>
        <w:t xml:space="preserve"> є центром </w:t>
      </w:r>
      <w:r>
        <w:rPr>
          <w:rFonts w:ascii="Times New Roman" w:hAnsi="Times New Roman" w:cs="Times New Roman"/>
          <w:sz w:val="28"/>
          <w:szCs w:val="28"/>
          <w:lang w:val="uk-UA"/>
        </w:rPr>
        <w:t>концентрації та оцінювання подібної ситуації</w:t>
      </w:r>
      <w:r w:rsidRPr="00710D2A">
        <w:rPr>
          <w:rFonts w:ascii="Times New Roman" w:hAnsi="Times New Roman" w:cs="Times New Roman"/>
          <w:sz w:val="28"/>
          <w:szCs w:val="28"/>
          <w:lang w:val="uk-UA"/>
        </w:rPr>
        <w:t xml:space="preserve">. По-друге, хоча література про кар’єру, як правило, пропагує переваги безмежної кар’єри, її </w:t>
      </w:r>
      <w:r>
        <w:rPr>
          <w:rFonts w:ascii="Times New Roman" w:hAnsi="Times New Roman" w:cs="Times New Roman"/>
          <w:sz w:val="28"/>
          <w:szCs w:val="28"/>
          <w:lang w:val="uk-UA"/>
        </w:rPr>
        <w:t xml:space="preserve">науковий </w:t>
      </w:r>
      <w:r w:rsidRPr="00710D2A">
        <w:rPr>
          <w:rFonts w:ascii="Times New Roman" w:hAnsi="Times New Roman" w:cs="Times New Roman"/>
          <w:sz w:val="28"/>
          <w:szCs w:val="28"/>
          <w:lang w:val="uk-UA"/>
        </w:rPr>
        <w:t>дискурс також, як стверджується, відповідає потребам сучасної «безжалісної економіки», оскільки вона дозволяє організаціям елегантніше позбутися якомога більшої кі</w:t>
      </w:r>
      <w:r>
        <w:rPr>
          <w:rFonts w:ascii="Times New Roman" w:hAnsi="Times New Roman" w:cs="Times New Roman"/>
          <w:sz w:val="28"/>
          <w:szCs w:val="28"/>
          <w:lang w:val="uk-UA"/>
        </w:rPr>
        <w:t xml:space="preserve">лькості постійних працівників </w:t>
      </w:r>
      <w:r w:rsidRPr="00710D2A">
        <w:rPr>
          <w:rFonts w:ascii="Times New Roman" w:hAnsi="Times New Roman" w:cs="Times New Roman"/>
          <w:sz w:val="28"/>
          <w:szCs w:val="28"/>
          <w:lang w:val="uk-UA"/>
        </w:rPr>
        <w:t>за потреби</w:t>
      </w:r>
      <w:r>
        <w:rPr>
          <w:rFonts w:ascii="Times New Roman" w:hAnsi="Times New Roman" w:cs="Times New Roman"/>
          <w:sz w:val="28"/>
          <w:szCs w:val="28"/>
          <w:lang w:val="uk-UA"/>
        </w:rPr>
        <w:t xml:space="preserve"> (</w:t>
      </w:r>
      <w:r w:rsidRPr="00710D2A">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зменшити </w:t>
      </w:r>
      <w:r w:rsidRPr="00710D2A">
        <w:rPr>
          <w:rFonts w:ascii="Times New Roman" w:hAnsi="Times New Roman" w:cs="Times New Roman"/>
          <w:sz w:val="28"/>
          <w:szCs w:val="28"/>
          <w:lang w:val="uk-UA"/>
        </w:rPr>
        <w:t>пов’язан</w:t>
      </w:r>
      <w:r>
        <w:rPr>
          <w:rFonts w:ascii="Times New Roman" w:hAnsi="Times New Roman" w:cs="Times New Roman"/>
          <w:sz w:val="28"/>
          <w:szCs w:val="28"/>
          <w:lang w:val="uk-UA"/>
        </w:rPr>
        <w:t>і з ними витрати</w:t>
      </w:r>
      <w:r w:rsidRPr="00710D2A">
        <w:rPr>
          <w:rFonts w:ascii="Times New Roman" w:hAnsi="Times New Roman" w:cs="Times New Roman"/>
          <w:sz w:val="28"/>
          <w:szCs w:val="28"/>
          <w:lang w:val="uk-UA"/>
        </w:rPr>
        <w:t xml:space="preserve">). Для організацій також можуть бути </w:t>
      </w:r>
      <w:r>
        <w:rPr>
          <w:rFonts w:ascii="Times New Roman" w:hAnsi="Times New Roman" w:cs="Times New Roman"/>
          <w:sz w:val="28"/>
          <w:szCs w:val="28"/>
          <w:lang w:val="uk-UA"/>
        </w:rPr>
        <w:t>проявлені</w:t>
      </w:r>
      <w:r w:rsidRPr="00710D2A">
        <w:rPr>
          <w:rFonts w:ascii="Times New Roman" w:hAnsi="Times New Roman" w:cs="Times New Roman"/>
          <w:sz w:val="28"/>
          <w:szCs w:val="28"/>
          <w:lang w:val="uk-UA"/>
        </w:rPr>
        <w:t xml:space="preserve"> недоліки безмежної кар’єри. </w:t>
      </w:r>
      <w:r>
        <w:rPr>
          <w:rFonts w:ascii="Times New Roman" w:hAnsi="Times New Roman" w:cs="Times New Roman"/>
          <w:sz w:val="28"/>
          <w:szCs w:val="28"/>
          <w:lang w:val="uk-UA"/>
        </w:rPr>
        <w:t xml:space="preserve">Важливо зазначити, </w:t>
      </w:r>
      <w:r w:rsidRPr="00710D2A">
        <w:rPr>
          <w:rFonts w:ascii="Times New Roman" w:hAnsi="Times New Roman" w:cs="Times New Roman"/>
          <w:sz w:val="28"/>
          <w:szCs w:val="28"/>
          <w:lang w:val="uk-UA"/>
        </w:rPr>
        <w:t>що це заохочує споживацьку кар’єрну ментальність, зводячи організації лише до інструментів, які допомагають забезпечити працівників ресурсами, необхідними для розробки їхніх особистих проектів.</w:t>
      </w:r>
      <w:r w:rsidRPr="005D1B01">
        <w:rPr>
          <w:lang w:val="uk-UA"/>
        </w:rPr>
        <w:t xml:space="preserve"> </w:t>
      </w:r>
      <w:r w:rsidRPr="00710D2A">
        <w:rPr>
          <w:rFonts w:ascii="Times New Roman" w:hAnsi="Times New Roman" w:cs="Times New Roman"/>
          <w:sz w:val="28"/>
          <w:szCs w:val="28"/>
          <w:lang w:val="uk-UA"/>
        </w:rPr>
        <w:t>По-третє, концепція безмежної кар’єри вигідна лише для тих працівників, які раніше також мали привіле</w:t>
      </w:r>
      <w:r>
        <w:rPr>
          <w:rFonts w:ascii="Times New Roman" w:hAnsi="Times New Roman" w:cs="Times New Roman"/>
          <w:sz w:val="28"/>
          <w:szCs w:val="28"/>
          <w:lang w:val="uk-UA"/>
        </w:rPr>
        <w:t>ї</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в умовах побудови</w:t>
      </w:r>
      <w:r w:rsidRPr="00710D2A">
        <w:rPr>
          <w:rFonts w:ascii="Times New Roman" w:hAnsi="Times New Roman" w:cs="Times New Roman"/>
          <w:sz w:val="28"/>
          <w:szCs w:val="28"/>
          <w:lang w:val="uk-UA"/>
        </w:rPr>
        <w:t xml:space="preserve"> традиційн</w:t>
      </w:r>
      <w:r>
        <w:rPr>
          <w:rFonts w:ascii="Times New Roman" w:hAnsi="Times New Roman" w:cs="Times New Roman"/>
          <w:sz w:val="28"/>
          <w:szCs w:val="28"/>
          <w:lang w:val="uk-UA"/>
        </w:rPr>
        <w:t>ої</w:t>
      </w:r>
      <w:r w:rsidRPr="00710D2A">
        <w:rPr>
          <w:rFonts w:ascii="Times New Roman" w:hAnsi="Times New Roman" w:cs="Times New Roman"/>
          <w:sz w:val="28"/>
          <w:szCs w:val="28"/>
          <w:lang w:val="uk-UA"/>
        </w:rPr>
        <w:t xml:space="preserve"> кар’єри (тобто </w:t>
      </w:r>
      <w:proofErr w:type="spellStart"/>
      <w:r w:rsidRPr="00710D2A">
        <w:rPr>
          <w:rFonts w:ascii="Times New Roman" w:hAnsi="Times New Roman" w:cs="Times New Roman"/>
          <w:sz w:val="28"/>
          <w:szCs w:val="28"/>
          <w:lang w:val="uk-UA"/>
        </w:rPr>
        <w:t>високомотивовані</w:t>
      </w:r>
      <w:proofErr w:type="spellEnd"/>
      <w:r w:rsidRPr="00710D2A">
        <w:rPr>
          <w:rFonts w:ascii="Times New Roman" w:hAnsi="Times New Roman" w:cs="Times New Roman"/>
          <w:sz w:val="28"/>
          <w:szCs w:val="28"/>
          <w:lang w:val="uk-UA"/>
        </w:rPr>
        <w:t xml:space="preserve">, висококваліфіковані службовці). Схоже, що в той час як первісна мета безмежного кар’єрного </w:t>
      </w:r>
      <w:r>
        <w:rPr>
          <w:rFonts w:ascii="Times New Roman" w:hAnsi="Times New Roman" w:cs="Times New Roman"/>
          <w:sz w:val="28"/>
          <w:szCs w:val="28"/>
          <w:lang w:val="uk-UA"/>
        </w:rPr>
        <w:t xml:space="preserve">наукового </w:t>
      </w:r>
      <w:r w:rsidRPr="00710D2A">
        <w:rPr>
          <w:rFonts w:ascii="Times New Roman" w:hAnsi="Times New Roman" w:cs="Times New Roman"/>
          <w:sz w:val="28"/>
          <w:szCs w:val="28"/>
          <w:lang w:val="uk-UA"/>
        </w:rPr>
        <w:t xml:space="preserve">дискурсу полягала </w:t>
      </w:r>
      <w:r>
        <w:rPr>
          <w:rFonts w:ascii="Times New Roman" w:hAnsi="Times New Roman" w:cs="Times New Roman"/>
          <w:sz w:val="28"/>
          <w:szCs w:val="28"/>
          <w:lang w:val="uk-UA"/>
        </w:rPr>
        <w:t>в тому, щоб звільнити персонал, який концертує свої досягнення навколо принципів</w:t>
      </w:r>
      <w:r w:rsidRPr="00710D2A">
        <w:rPr>
          <w:rFonts w:ascii="Times New Roman" w:hAnsi="Times New Roman" w:cs="Times New Roman"/>
          <w:sz w:val="28"/>
          <w:szCs w:val="28"/>
          <w:lang w:val="uk-UA"/>
        </w:rPr>
        <w:t xml:space="preserve"> традиційної організаційної кар’єри, натомість він </w:t>
      </w:r>
      <w:r>
        <w:rPr>
          <w:rFonts w:ascii="Times New Roman" w:hAnsi="Times New Roman" w:cs="Times New Roman"/>
          <w:sz w:val="28"/>
          <w:szCs w:val="28"/>
          <w:lang w:val="uk-UA"/>
        </w:rPr>
        <w:t xml:space="preserve">спровокував </w:t>
      </w:r>
      <w:r w:rsidRPr="00710D2A">
        <w:rPr>
          <w:rFonts w:ascii="Times New Roman" w:hAnsi="Times New Roman" w:cs="Times New Roman"/>
          <w:sz w:val="28"/>
          <w:szCs w:val="28"/>
          <w:lang w:val="uk-UA"/>
        </w:rPr>
        <w:t>створ</w:t>
      </w:r>
      <w:r>
        <w:rPr>
          <w:rFonts w:ascii="Times New Roman" w:hAnsi="Times New Roman" w:cs="Times New Roman"/>
          <w:sz w:val="28"/>
          <w:szCs w:val="28"/>
          <w:lang w:val="uk-UA"/>
        </w:rPr>
        <w:t>ення</w:t>
      </w:r>
      <w:r w:rsidRPr="00710D2A">
        <w:rPr>
          <w:rFonts w:ascii="Times New Roman" w:hAnsi="Times New Roman" w:cs="Times New Roman"/>
          <w:sz w:val="28"/>
          <w:szCs w:val="28"/>
          <w:lang w:val="uk-UA"/>
        </w:rPr>
        <w:t xml:space="preserve"> нов</w:t>
      </w:r>
      <w:r>
        <w:rPr>
          <w:rFonts w:ascii="Times New Roman" w:hAnsi="Times New Roman" w:cs="Times New Roman"/>
          <w:sz w:val="28"/>
          <w:szCs w:val="28"/>
          <w:lang w:val="uk-UA"/>
        </w:rPr>
        <w:t>их</w:t>
      </w:r>
      <w:r w:rsidRPr="00710D2A">
        <w:rPr>
          <w:rFonts w:ascii="Times New Roman" w:hAnsi="Times New Roman" w:cs="Times New Roman"/>
          <w:sz w:val="28"/>
          <w:szCs w:val="28"/>
          <w:lang w:val="uk-UA"/>
        </w:rPr>
        <w:t xml:space="preserve"> ідеологічн</w:t>
      </w:r>
      <w:r>
        <w:rPr>
          <w:rFonts w:ascii="Times New Roman" w:hAnsi="Times New Roman" w:cs="Times New Roman"/>
          <w:sz w:val="28"/>
          <w:szCs w:val="28"/>
          <w:lang w:val="uk-UA"/>
        </w:rPr>
        <w:t>их</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норм та нормативів</w:t>
      </w:r>
      <w:r w:rsidRPr="00710D2A">
        <w:rPr>
          <w:rFonts w:ascii="Times New Roman" w:hAnsi="Times New Roman" w:cs="Times New Roman"/>
          <w:sz w:val="28"/>
          <w:szCs w:val="28"/>
          <w:lang w:val="uk-UA"/>
        </w:rPr>
        <w:t xml:space="preserve">. Загалом </w:t>
      </w:r>
      <w:r>
        <w:rPr>
          <w:rFonts w:ascii="Times New Roman" w:hAnsi="Times New Roman" w:cs="Times New Roman"/>
          <w:sz w:val="28"/>
          <w:szCs w:val="28"/>
          <w:lang w:val="uk-UA"/>
        </w:rPr>
        <w:t xml:space="preserve">наукова </w:t>
      </w:r>
      <w:r w:rsidRPr="00710D2A">
        <w:rPr>
          <w:rFonts w:ascii="Times New Roman" w:hAnsi="Times New Roman" w:cs="Times New Roman"/>
          <w:sz w:val="28"/>
          <w:szCs w:val="28"/>
          <w:lang w:val="uk-UA"/>
        </w:rPr>
        <w:t xml:space="preserve">література </w:t>
      </w:r>
      <w:r>
        <w:rPr>
          <w:rFonts w:ascii="Times New Roman" w:hAnsi="Times New Roman" w:cs="Times New Roman"/>
          <w:sz w:val="28"/>
          <w:szCs w:val="28"/>
          <w:lang w:val="uk-UA"/>
        </w:rPr>
        <w:t>щодо</w:t>
      </w:r>
      <w:r w:rsidRPr="00710D2A">
        <w:rPr>
          <w:rFonts w:ascii="Times New Roman" w:hAnsi="Times New Roman" w:cs="Times New Roman"/>
          <w:sz w:val="28"/>
          <w:szCs w:val="28"/>
          <w:lang w:val="uk-UA"/>
        </w:rPr>
        <w:t xml:space="preserve"> безмежн</w:t>
      </w:r>
      <w:r>
        <w:rPr>
          <w:rFonts w:ascii="Times New Roman" w:hAnsi="Times New Roman" w:cs="Times New Roman"/>
          <w:sz w:val="28"/>
          <w:szCs w:val="28"/>
          <w:lang w:val="uk-UA"/>
        </w:rPr>
        <w:t>ої</w:t>
      </w:r>
      <w:r w:rsidRPr="00710D2A">
        <w:rPr>
          <w:rFonts w:ascii="Times New Roman" w:hAnsi="Times New Roman" w:cs="Times New Roman"/>
          <w:sz w:val="28"/>
          <w:szCs w:val="28"/>
          <w:lang w:val="uk-UA"/>
        </w:rPr>
        <w:t xml:space="preserve"> кар’єр</w:t>
      </w:r>
      <w:r>
        <w:rPr>
          <w:rFonts w:ascii="Times New Roman" w:hAnsi="Times New Roman" w:cs="Times New Roman"/>
          <w:sz w:val="28"/>
          <w:szCs w:val="28"/>
          <w:lang w:val="uk-UA"/>
        </w:rPr>
        <w:t>и</w:t>
      </w:r>
      <w:r w:rsidRPr="00710D2A">
        <w:rPr>
          <w:rFonts w:ascii="Times New Roman" w:hAnsi="Times New Roman" w:cs="Times New Roman"/>
          <w:sz w:val="28"/>
          <w:szCs w:val="28"/>
          <w:lang w:val="uk-UA"/>
        </w:rPr>
        <w:t xml:space="preserve"> має тенденцію нехтувати потребами та внеск</w:t>
      </w:r>
      <w:r>
        <w:rPr>
          <w:rFonts w:ascii="Times New Roman" w:hAnsi="Times New Roman" w:cs="Times New Roman"/>
          <w:sz w:val="28"/>
          <w:szCs w:val="28"/>
          <w:lang w:val="uk-UA"/>
        </w:rPr>
        <w:t>а</w:t>
      </w:r>
      <w:r w:rsidRPr="00710D2A">
        <w:rPr>
          <w:rFonts w:ascii="Times New Roman" w:hAnsi="Times New Roman" w:cs="Times New Roman"/>
          <w:sz w:val="28"/>
          <w:szCs w:val="28"/>
          <w:lang w:val="uk-UA"/>
        </w:rPr>
        <w:t>м</w:t>
      </w:r>
      <w:r>
        <w:rPr>
          <w:rFonts w:ascii="Times New Roman" w:hAnsi="Times New Roman" w:cs="Times New Roman"/>
          <w:sz w:val="28"/>
          <w:szCs w:val="28"/>
          <w:lang w:val="uk-UA"/>
        </w:rPr>
        <w:t>и</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працівників із низьким рівнем кваліфікації. </w:t>
      </w:r>
      <w:r w:rsidRPr="00710D2A">
        <w:rPr>
          <w:rFonts w:ascii="Times New Roman" w:hAnsi="Times New Roman" w:cs="Times New Roman"/>
          <w:sz w:val="28"/>
          <w:szCs w:val="28"/>
          <w:lang w:val="uk-UA"/>
        </w:rPr>
        <w:t xml:space="preserve">Крім того, </w:t>
      </w:r>
      <w:r>
        <w:rPr>
          <w:rFonts w:ascii="Times New Roman" w:hAnsi="Times New Roman" w:cs="Times New Roman"/>
          <w:sz w:val="28"/>
          <w:szCs w:val="28"/>
          <w:lang w:val="uk-UA"/>
        </w:rPr>
        <w:t xml:space="preserve">наукова дискусія </w:t>
      </w:r>
      <w:r w:rsidRPr="00710D2A">
        <w:rPr>
          <w:rFonts w:ascii="Times New Roman" w:hAnsi="Times New Roman" w:cs="Times New Roman"/>
          <w:sz w:val="28"/>
          <w:szCs w:val="28"/>
          <w:lang w:val="uk-UA"/>
        </w:rPr>
        <w:t xml:space="preserve">зосереджується головним чином на детермінантах </w:t>
      </w:r>
      <w:r>
        <w:rPr>
          <w:rFonts w:ascii="Times New Roman" w:hAnsi="Times New Roman" w:cs="Times New Roman"/>
          <w:sz w:val="28"/>
          <w:szCs w:val="28"/>
          <w:lang w:val="uk-UA"/>
        </w:rPr>
        <w:t xml:space="preserve">традиційної </w:t>
      </w:r>
      <w:r w:rsidRPr="00710D2A">
        <w:rPr>
          <w:rFonts w:ascii="Times New Roman" w:hAnsi="Times New Roman" w:cs="Times New Roman"/>
          <w:sz w:val="28"/>
          <w:szCs w:val="28"/>
          <w:lang w:val="uk-UA"/>
        </w:rPr>
        <w:t>кар'єри. Було б дуже інформативно</w:t>
      </w:r>
      <w:r>
        <w:rPr>
          <w:rFonts w:ascii="Times New Roman" w:hAnsi="Times New Roman" w:cs="Times New Roman"/>
          <w:sz w:val="28"/>
          <w:szCs w:val="28"/>
          <w:lang w:val="uk-UA"/>
        </w:rPr>
        <w:t xml:space="preserve"> та доцільно</w:t>
      </w:r>
      <w:r w:rsidRPr="00710D2A">
        <w:rPr>
          <w:rFonts w:ascii="Times New Roman" w:hAnsi="Times New Roman" w:cs="Times New Roman"/>
          <w:sz w:val="28"/>
          <w:szCs w:val="28"/>
          <w:lang w:val="uk-UA"/>
        </w:rPr>
        <w:t xml:space="preserve"> дослідити</w:t>
      </w:r>
      <w:r>
        <w:rPr>
          <w:rFonts w:ascii="Times New Roman" w:hAnsi="Times New Roman" w:cs="Times New Roman"/>
          <w:sz w:val="28"/>
          <w:szCs w:val="28"/>
          <w:lang w:val="uk-UA"/>
        </w:rPr>
        <w:t xml:space="preserve"> питання</w:t>
      </w:r>
      <w:r w:rsidRPr="00710D2A">
        <w:rPr>
          <w:rFonts w:ascii="Times New Roman" w:hAnsi="Times New Roman" w:cs="Times New Roman"/>
          <w:sz w:val="28"/>
          <w:szCs w:val="28"/>
          <w:lang w:val="uk-UA"/>
        </w:rPr>
        <w:t>, якою мірою нормативні переконання щодо кар’єр</w:t>
      </w:r>
      <w:r>
        <w:rPr>
          <w:rFonts w:ascii="Times New Roman" w:hAnsi="Times New Roman" w:cs="Times New Roman"/>
          <w:sz w:val="28"/>
          <w:szCs w:val="28"/>
          <w:lang w:val="uk-UA"/>
        </w:rPr>
        <w:t>ного</w:t>
      </w:r>
      <w:r w:rsidRPr="00710D2A">
        <w:rPr>
          <w:rFonts w:ascii="Times New Roman" w:hAnsi="Times New Roman" w:cs="Times New Roman"/>
          <w:sz w:val="28"/>
          <w:szCs w:val="28"/>
          <w:lang w:val="uk-UA"/>
        </w:rPr>
        <w:t xml:space="preserve"> успіху резонують у </w:t>
      </w:r>
      <w:r>
        <w:rPr>
          <w:rFonts w:ascii="Times New Roman" w:hAnsi="Times New Roman" w:cs="Times New Roman"/>
          <w:sz w:val="28"/>
          <w:szCs w:val="28"/>
          <w:lang w:val="uk-UA"/>
        </w:rPr>
        <w:t xml:space="preserve">сучасній науковій </w:t>
      </w:r>
      <w:r w:rsidRPr="00710D2A">
        <w:rPr>
          <w:rFonts w:ascii="Times New Roman" w:hAnsi="Times New Roman" w:cs="Times New Roman"/>
          <w:sz w:val="28"/>
          <w:szCs w:val="28"/>
          <w:lang w:val="uk-UA"/>
        </w:rPr>
        <w:t xml:space="preserve">академічній літературі. Огляди критичної літератури, мета-аналізи та опитування, спрямовані саме на популяцію дослідників кар’єри, можуть дати відповіді на </w:t>
      </w:r>
      <w:r>
        <w:rPr>
          <w:rFonts w:ascii="Times New Roman" w:hAnsi="Times New Roman" w:cs="Times New Roman"/>
          <w:sz w:val="28"/>
          <w:szCs w:val="28"/>
          <w:lang w:val="uk-UA"/>
        </w:rPr>
        <w:t>наступне актуальне</w:t>
      </w:r>
      <w:r w:rsidRPr="00710D2A">
        <w:rPr>
          <w:rFonts w:ascii="Times New Roman" w:hAnsi="Times New Roman" w:cs="Times New Roman"/>
          <w:sz w:val="28"/>
          <w:szCs w:val="28"/>
          <w:lang w:val="uk-UA"/>
        </w:rPr>
        <w:t xml:space="preserve"> дослідницьке запитання:</w:t>
      </w:r>
      <w:r>
        <w:rPr>
          <w:rFonts w:ascii="Times New Roman" w:hAnsi="Times New Roman" w:cs="Times New Roman"/>
          <w:sz w:val="28"/>
          <w:szCs w:val="28"/>
          <w:lang w:val="uk-UA"/>
        </w:rPr>
        <w:t xml:space="preserve"> я</w:t>
      </w:r>
      <w:r w:rsidRPr="00710D2A">
        <w:rPr>
          <w:rFonts w:ascii="Times New Roman" w:hAnsi="Times New Roman" w:cs="Times New Roman"/>
          <w:sz w:val="28"/>
          <w:szCs w:val="28"/>
          <w:lang w:val="uk-UA"/>
        </w:rPr>
        <w:t xml:space="preserve">к ідеологія дослідника впливає на визначення кар’єрного успіху, що поширюються в </w:t>
      </w:r>
      <w:r>
        <w:rPr>
          <w:rFonts w:ascii="Times New Roman" w:hAnsi="Times New Roman" w:cs="Times New Roman"/>
          <w:sz w:val="28"/>
          <w:szCs w:val="28"/>
          <w:lang w:val="uk-UA"/>
        </w:rPr>
        <w:t xml:space="preserve">науковій сучасній </w:t>
      </w:r>
      <w:r w:rsidRPr="00710D2A">
        <w:rPr>
          <w:rFonts w:ascii="Times New Roman" w:hAnsi="Times New Roman" w:cs="Times New Roman"/>
          <w:sz w:val="28"/>
          <w:szCs w:val="28"/>
          <w:lang w:val="uk-UA"/>
        </w:rPr>
        <w:t>академічній літературі?</w:t>
      </w:r>
    </w:p>
    <w:p w14:paraId="134AAC5F"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Окресливши основні історичні, культурні та контекстуальні сили, що сприяють </w:t>
      </w:r>
      <w:proofErr w:type="spellStart"/>
      <w:r w:rsidRPr="00710D2A">
        <w:rPr>
          <w:rFonts w:ascii="Times New Roman" w:hAnsi="Times New Roman" w:cs="Times New Roman"/>
          <w:sz w:val="28"/>
          <w:szCs w:val="28"/>
          <w:lang w:val="uk-UA"/>
        </w:rPr>
        <w:t>реіфікації</w:t>
      </w:r>
      <w:proofErr w:type="spellEnd"/>
      <w:r w:rsidRPr="00710D2A">
        <w:rPr>
          <w:rFonts w:ascii="Times New Roman" w:hAnsi="Times New Roman" w:cs="Times New Roman"/>
          <w:sz w:val="28"/>
          <w:szCs w:val="28"/>
          <w:lang w:val="uk-UA"/>
        </w:rPr>
        <w:t xml:space="preserve"> кар’єрного успіху, </w:t>
      </w:r>
      <w:r>
        <w:rPr>
          <w:rFonts w:ascii="Times New Roman" w:hAnsi="Times New Roman" w:cs="Times New Roman"/>
          <w:sz w:val="28"/>
          <w:szCs w:val="28"/>
          <w:lang w:val="uk-UA"/>
        </w:rPr>
        <w:t>доцільно відобразити</w:t>
      </w:r>
      <w:r w:rsidRPr="00710D2A">
        <w:rPr>
          <w:rFonts w:ascii="Times New Roman" w:hAnsi="Times New Roman" w:cs="Times New Roman"/>
          <w:sz w:val="28"/>
          <w:szCs w:val="28"/>
          <w:lang w:val="uk-UA"/>
        </w:rPr>
        <w:t xml:space="preserve"> визначення деяких перспективних шляхів уникнення </w:t>
      </w:r>
      <w:proofErr w:type="spellStart"/>
      <w:r w:rsidRPr="00710D2A">
        <w:rPr>
          <w:rFonts w:ascii="Times New Roman" w:hAnsi="Times New Roman" w:cs="Times New Roman"/>
          <w:sz w:val="28"/>
          <w:szCs w:val="28"/>
          <w:lang w:val="uk-UA"/>
        </w:rPr>
        <w:t>реіфікації</w:t>
      </w:r>
      <w:proofErr w:type="spellEnd"/>
      <w:r w:rsidRPr="00710D2A">
        <w:rPr>
          <w:rFonts w:ascii="Times New Roman" w:hAnsi="Times New Roman" w:cs="Times New Roman"/>
          <w:sz w:val="28"/>
          <w:szCs w:val="28"/>
          <w:lang w:val="uk-UA"/>
        </w:rPr>
        <w:t xml:space="preserve"> кар’єри в </w:t>
      </w:r>
      <w:r>
        <w:rPr>
          <w:rFonts w:ascii="Times New Roman" w:hAnsi="Times New Roman" w:cs="Times New Roman"/>
          <w:sz w:val="28"/>
          <w:szCs w:val="28"/>
          <w:lang w:val="uk-UA"/>
        </w:rPr>
        <w:t xml:space="preserve">сучасних </w:t>
      </w:r>
      <w:r w:rsidRPr="00710D2A">
        <w:rPr>
          <w:rFonts w:ascii="Times New Roman" w:hAnsi="Times New Roman" w:cs="Times New Roman"/>
          <w:sz w:val="28"/>
          <w:szCs w:val="28"/>
          <w:lang w:val="uk-UA"/>
        </w:rPr>
        <w:t xml:space="preserve">дослідженнях і </w:t>
      </w:r>
      <w:r w:rsidRPr="00710D2A">
        <w:rPr>
          <w:rFonts w:ascii="Times New Roman" w:hAnsi="Times New Roman" w:cs="Times New Roman"/>
          <w:sz w:val="28"/>
          <w:szCs w:val="28"/>
          <w:lang w:val="uk-UA"/>
        </w:rPr>
        <w:lastRenderedPageBreak/>
        <w:t>на практиці в майбутньому.</w:t>
      </w:r>
      <w:r>
        <w:rPr>
          <w:rFonts w:ascii="Times New Roman" w:hAnsi="Times New Roman" w:cs="Times New Roman"/>
          <w:sz w:val="28"/>
          <w:szCs w:val="28"/>
          <w:lang w:val="uk-UA"/>
        </w:rPr>
        <w:t xml:space="preserve"> Тому доцільно зосередити увагу на обговоренні в</w:t>
      </w:r>
      <w:r w:rsidRPr="00710D2A">
        <w:rPr>
          <w:rFonts w:ascii="Times New Roman" w:hAnsi="Times New Roman" w:cs="Times New Roman"/>
          <w:sz w:val="28"/>
          <w:szCs w:val="28"/>
          <w:lang w:val="uk-UA"/>
        </w:rPr>
        <w:t>иклик</w:t>
      </w:r>
      <w:r>
        <w:rPr>
          <w:rFonts w:ascii="Times New Roman" w:hAnsi="Times New Roman" w:cs="Times New Roman"/>
          <w:sz w:val="28"/>
          <w:szCs w:val="28"/>
          <w:lang w:val="uk-UA"/>
        </w:rPr>
        <w:t>у</w:t>
      </w:r>
      <w:r w:rsidRPr="00710D2A">
        <w:rPr>
          <w:rFonts w:ascii="Times New Roman" w:hAnsi="Times New Roman" w:cs="Times New Roman"/>
          <w:sz w:val="28"/>
          <w:szCs w:val="28"/>
          <w:lang w:val="uk-UA"/>
        </w:rPr>
        <w:t xml:space="preserve"> зростаючому діапазону операційних </w:t>
      </w:r>
      <w:r>
        <w:rPr>
          <w:rFonts w:ascii="Times New Roman" w:hAnsi="Times New Roman" w:cs="Times New Roman"/>
          <w:sz w:val="28"/>
          <w:szCs w:val="28"/>
          <w:lang w:val="uk-UA"/>
        </w:rPr>
        <w:t>прибутків</w:t>
      </w:r>
      <w:r w:rsidRPr="00710D2A">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їхнє </w:t>
      </w:r>
      <w:r w:rsidRPr="00710D2A">
        <w:rPr>
          <w:rFonts w:ascii="Times New Roman" w:hAnsi="Times New Roman" w:cs="Times New Roman"/>
          <w:sz w:val="28"/>
          <w:szCs w:val="28"/>
          <w:lang w:val="uk-UA"/>
        </w:rPr>
        <w:t>вимірюван</w:t>
      </w:r>
      <w:r>
        <w:rPr>
          <w:rFonts w:ascii="Times New Roman" w:hAnsi="Times New Roman" w:cs="Times New Roman"/>
          <w:sz w:val="28"/>
          <w:szCs w:val="28"/>
          <w:lang w:val="uk-UA"/>
        </w:rPr>
        <w:t>ня.</w:t>
      </w:r>
      <w:r w:rsidRPr="00710D2A">
        <w:rPr>
          <w:rFonts w:ascii="Times New Roman" w:hAnsi="Times New Roman" w:cs="Times New Roman"/>
          <w:sz w:val="28"/>
          <w:szCs w:val="28"/>
          <w:lang w:val="uk-UA"/>
        </w:rPr>
        <w:t xml:space="preserve"> Останніми роками </w:t>
      </w:r>
      <w:r>
        <w:rPr>
          <w:rFonts w:ascii="Times New Roman" w:hAnsi="Times New Roman" w:cs="Times New Roman"/>
          <w:sz w:val="28"/>
          <w:szCs w:val="28"/>
          <w:lang w:val="uk-UA"/>
        </w:rPr>
        <w:t xml:space="preserve">на сучасних підприємствах </w:t>
      </w:r>
      <w:r w:rsidRPr="00710D2A">
        <w:rPr>
          <w:rFonts w:ascii="Times New Roman" w:hAnsi="Times New Roman" w:cs="Times New Roman"/>
          <w:sz w:val="28"/>
          <w:szCs w:val="28"/>
          <w:lang w:val="uk-UA"/>
        </w:rPr>
        <w:t xml:space="preserve">кар’єрний успіх часто </w:t>
      </w:r>
      <w:r>
        <w:rPr>
          <w:rFonts w:ascii="Times New Roman" w:hAnsi="Times New Roman" w:cs="Times New Roman"/>
          <w:sz w:val="28"/>
          <w:szCs w:val="28"/>
          <w:lang w:val="uk-UA"/>
        </w:rPr>
        <w:t xml:space="preserve">характеризувати </w:t>
      </w:r>
      <w:r w:rsidRPr="00710D2A">
        <w:rPr>
          <w:rFonts w:ascii="Times New Roman" w:hAnsi="Times New Roman" w:cs="Times New Roman"/>
          <w:sz w:val="28"/>
          <w:szCs w:val="28"/>
          <w:lang w:val="uk-UA"/>
        </w:rPr>
        <w:t xml:space="preserve">як погано визначений конструкт. У літературі про кар’єру нинішній консенсус полягає в тому, що кар’єра означає все, що людина робила протягом свого трудового життя. Хоча таке широке визначення кар’єри допускає численні інтерпретації кар’єрного успіху – що, як правило, вважається позитивною еволюцією, – воно також лежить в основі певної «розпливчастості» в літературі про кар’єру, що викликає у деяких </w:t>
      </w:r>
      <w:r>
        <w:rPr>
          <w:rFonts w:ascii="Times New Roman" w:hAnsi="Times New Roman" w:cs="Times New Roman"/>
          <w:sz w:val="28"/>
          <w:szCs w:val="28"/>
          <w:lang w:val="uk-UA"/>
        </w:rPr>
        <w:t>аспектах питання</w:t>
      </w:r>
      <w:r w:rsidRPr="00710D2A">
        <w:rPr>
          <w:rFonts w:ascii="Times New Roman" w:hAnsi="Times New Roman" w:cs="Times New Roman"/>
          <w:sz w:val="28"/>
          <w:szCs w:val="28"/>
          <w:lang w:val="uk-UA"/>
        </w:rPr>
        <w:t xml:space="preserve"> щодо</w:t>
      </w:r>
      <w:r>
        <w:rPr>
          <w:rFonts w:ascii="Times New Roman" w:hAnsi="Times New Roman" w:cs="Times New Roman"/>
          <w:sz w:val="28"/>
          <w:szCs w:val="28"/>
          <w:lang w:val="uk-UA"/>
        </w:rPr>
        <w:t xml:space="preserve"> законності кар’єрного навчання</w:t>
      </w:r>
      <w:r w:rsidRPr="00710D2A">
        <w:rPr>
          <w:rFonts w:ascii="Times New Roman" w:hAnsi="Times New Roman" w:cs="Times New Roman"/>
          <w:sz w:val="28"/>
          <w:szCs w:val="28"/>
          <w:lang w:val="uk-UA"/>
        </w:rPr>
        <w:t xml:space="preserve"> як окрем</w:t>
      </w:r>
      <w:r>
        <w:rPr>
          <w:rFonts w:ascii="Times New Roman" w:hAnsi="Times New Roman" w:cs="Times New Roman"/>
          <w:sz w:val="28"/>
          <w:szCs w:val="28"/>
          <w:lang w:val="uk-UA"/>
        </w:rPr>
        <w:t>ої</w:t>
      </w:r>
      <w:r w:rsidRPr="00710D2A">
        <w:rPr>
          <w:rFonts w:ascii="Times New Roman" w:hAnsi="Times New Roman" w:cs="Times New Roman"/>
          <w:sz w:val="28"/>
          <w:szCs w:val="28"/>
          <w:lang w:val="uk-UA"/>
        </w:rPr>
        <w:t xml:space="preserve"> дисциплін</w:t>
      </w:r>
      <w:r>
        <w:rPr>
          <w:rFonts w:ascii="Times New Roman" w:hAnsi="Times New Roman" w:cs="Times New Roman"/>
          <w:sz w:val="28"/>
          <w:szCs w:val="28"/>
          <w:lang w:val="uk-UA"/>
        </w:rPr>
        <w:t>и</w:t>
      </w:r>
      <w:r w:rsidRPr="00710D2A">
        <w:rPr>
          <w:rFonts w:ascii="Times New Roman" w:hAnsi="Times New Roman" w:cs="Times New Roman"/>
          <w:sz w:val="28"/>
          <w:szCs w:val="28"/>
          <w:lang w:val="uk-UA"/>
        </w:rPr>
        <w:t>.</w:t>
      </w:r>
    </w:p>
    <w:p w14:paraId="32C3653F" w14:textId="3CE48FF1" w:rsidR="00571B42" w:rsidRPr="00710D2A"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сучасній науковій </w:t>
      </w:r>
      <w:r w:rsidRPr="00710D2A">
        <w:rPr>
          <w:rFonts w:ascii="Times New Roman" w:hAnsi="Times New Roman" w:cs="Times New Roman"/>
          <w:sz w:val="28"/>
          <w:szCs w:val="28"/>
          <w:lang w:val="uk-UA"/>
        </w:rPr>
        <w:t xml:space="preserve">літературі про кар’єру можемо виділити три основні дихотомії, що </w:t>
      </w:r>
      <w:r w:rsidRPr="001F6918">
        <w:rPr>
          <w:rFonts w:ascii="Times New Roman" w:hAnsi="Times New Roman" w:cs="Times New Roman"/>
          <w:sz w:val="28"/>
          <w:szCs w:val="28"/>
          <w:lang w:val="uk-UA"/>
        </w:rPr>
        <w:t xml:space="preserve">характеризують різні критерії, які можна використовувати для </w:t>
      </w:r>
      <w:proofErr w:type="spellStart"/>
      <w:r w:rsidRPr="001F6918">
        <w:rPr>
          <w:rFonts w:ascii="Times New Roman" w:hAnsi="Times New Roman" w:cs="Times New Roman"/>
          <w:sz w:val="28"/>
          <w:szCs w:val="28"/>
          <w:lang w:val="uk-UA"/>
        </w:rPr>
        <w:t>операціоналізації</w:t>
      </w:r>
      <w:proofErr w:type="spellEnd"/>
      <w:r w:rsidRPr="001F6918">
        <w:rPr>
          <w:rFonts w:ascii="Times New Roman" w:hAnsi="Times New Roman" w:cs="Times New Roman"/>
          <w:sz w:val="28"/>
          <w:szCs w:val="28"/>
          <w:lang w:val="uk-UA"/>
        </w:rPr>
        <w:t xml:space="preserve"> та вимірювання успіху</w:t>
      </w:r>
      <w:r w:rsidRPr="00710D2A">
        <w:rPr>
          <w:rFonts w:ascii="Times New Roman" w:hAnsi="Times New Roman" w:cs="Times New Roman"/>
          <w:sz w:val="28"/>
          <w:szCs w:val="28"/>
          <w:lang w:val="uk-UA"/>
        </w:rPr>
        <w:t xml:space="preserve"> кар’єри: об’єктивний проти суб’єктивного, </w:t>
      </w:r>
      <w:proofErr w:type="spellStart"/>
      <w:r w:rsidRPr="00710D2A">
        <w:rPr>
          <w:rFonts w:ascii="Times New Roman" w:hAnsi="Times New Roman" w:cs="Times New Roman"/>
          <w:sz w:val="28"/>
          <w:szCs w:val="28"/>
          <w:lang w:val="uk-UA"/>
        </w:rPr>
        <w:t>самореферентний</w:t>
      </w:r>
      <w:proofErr w:type="spellEnd"/>
      <w:r w:rsidRPr="00710D2A">
        <w:rPr>
          <w:rFonts w:ascii="Times New Roman" w:hAnsi="Times New Roman" w:cs="Times New Roman"/>
          <w:sz w:val="28"/>
          <w:szCs w:val="28"/>
          <w:lang w:val="uk-UA"/>
        </w:rPr>
        <w:t xml:space="preserve"> проти іншого референтного та фактичний проти самооцінки. Об’єктивні критерії успіху в кар’єрі стосуються критеріїв, які є відчутними, спостережуваними та кількісно виміряними, такими як оплата праці, просування по службі та функціональний рівень; суб’єктивні показники пов’язані з ідіосинкратичним уявленням людини про свою кар’єру та викликаними цим почуттями задоволення та незадоволення. </w:t>
      </w:r>
      <w:proofErr w:type="spellStart"/>
      <w:r w:rsidRPr="00710D2A">
        <w:rPr>
          <w:rFonts w:ascii="Times New Roman" w:hAnsi="Times New Roman" w:cs="Times New Roman"/>
          <w:sz w:val="28"/>
          <w:szCs w:val="28"/>
          <w:lang w:val="uk-UA"/>
        </w:rPr>
        <w:t>Самореферентні</w:t>
      </w:r>
      <w:proofErr w:type="spellEnd"/>
      <w:r w:rsidRPr="00710D2A">
        <w:rPr>
          <w:rFonts w:ascii="Times New Roman" w:hAnsi="Times New Roman" w:cs="Times New Roman"/>
          <w:sz w:val="28"/>
          <w:szCs w:val="28"/>
          <w:lang w:val="uk-UA"/>
        </w:rPr>
        <w:t xml:space="preserve"> критерії відображають особисті стандарти та прагнення людини; інші референтні критерії вклю</w:t>
      </w:r>
      <w:r>
        <w:rPr>
          <w:rFonts w:ascii="Times New Roman" w:hAnsi="Times New Roman" w:cs="Times New Roman"/>
          <w:sz w:val="28"/>
          <w:szCs w:val="28"/>
          <w:lang w:val="uk-UA"/>
        </w:rPr>
        <w:t>чають порівняння з іншими, наприклад,</w:t>
      </w:r>
      <w:r w:rsidRPr="00710D2A">
        <w:rPr>
          <w:rFonts w:ascii="Times New Roman" w:hAnsi="Times New Roman" w:cs="Times New Roman"/>
          <w:sz w:val="28"/>
          <w:szCs w:val="28"/>
          <w:lang w:val="uk-UA"/>
        </w:rPr>
        <w:t xml:space="preserve"> із середнім показником по галузі, з однолітками чи колегами на порівнянних позиціях. Нарешті, дихотомія фактичних даних і самозвітів визначається типом даних, які збираються. Фактичні дані, як правило, збираються з архівів або кадрових документів; дані самозвіту є замінниками фактичних даних, зібраних </w:t>
      </w:r>
      <w:r>
        <w:rPr>
          <w:rFonts w:ascii="Times New Roman" w:hAnsi="Times New Roman" w:cs="Times New Roman"/>
          <w:sz w:val="28"/>
          <w:szCs w:val="28"/>
          <w:lang w:val="uk-UA"/>
        </w:rPr>
        <w:t xml:space="preserve">безпосередньо </w:t>
      </w:r>
      <w:r w:rsidRPr="00710D2A">
        <w:rPr>
          <w:rFonts w:ascii="Times New Roman" w:hAnsi="Times New Roman" w:cs="Times New Roman"/>
          <w:sz w:val="28"/>
          <w:szCs w:val="28"/>
          <w:lang w:val="uk-UA"/>
        </w:rPr>
        <w:t>само</w:t>
      </w:r>
      <w:r>
        <w:rPr>
          <w:rFonts w:ascii="Times New Roman" w:hAnsi="Times New Roman" w:cs="Times New Roman"/>
          <w:sz w:val="28"/>
          <w:szCs w:val="28"/>
          <w:lang w:val="uk-UA"/>
        </w:rPr>
        <w:t>ю</w:t>
      </w:r>
      <w:r w:rsidRPr="00710D2A">
        <w:rPr>
          <w:rFonts w:ascii="Times New Roman" w:hAnsi="Times New Roman" w:cs="Times New Roman"/>
          <w:sz w:val="28"/>
          <w:szCs w:val="28"/>
          <w:lang w:val="uk-UA"/>
        </w:rPr>
        <w:t xml:space="preserve"> контактно</w:t>
      </w:r>
      <w:r>
        <w:rPr>
          <w:rFonts w:ascii="Times New Roman" w:hAnsi="Times New Roman" w:cs="Times New Roman"/>
          <w:sz w:val="28"/>
          <w:szCs w:val="28"/>
          <w:lang w:val="uk-UA"/>
        </w:rPr>
        <w:t>ю</w:t>
      </w:r>
      <w:r w:rsidRPr="00710D2A">
        <w:rPr>
          <w:rFonts w:ascii="Times New Roman" w:hAnsi="Times New Roman" w:cs="Times New Roman"/>
          <w:sz w:val="28"/>
          <w:szCs w:val="28"/>
          <w:lang w:val="uk-UA"/>
        </w:rPr>
        <w:t xml:space="preserve"> особ</w:t>
      </w:r>
      <w:r>
        <w:rPr>
          <w:rFonts w:ascii="Times New Roman" w:hAnsi="Times New Roman" w:cs="Times New Roman"/>
          <w:sz w:val="28"/>
          <w:szCs w:val="28"/>
          <w:lang w:val="uk-UA"/>
        </w:rPr>
        <w:t>ою</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Таким чином можемо з впевненістю відмітити</w:t>
      </w:r>
      <w:r w:rsidRPr="00710D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710D2A">
        <w:rPr>
          <w:rFonts w:ascii="Times New Roman" w:hAnsi="Times New Roman" w:cs="Times New Roman"/>
          <w:sz w:val="28"/>
          <w:szCs w:val="28"/>
          <w:lang w:val="uk-UA"/>
        </w:rPr>
        <w:t xml:space="preserve">на основі цих трьох </w:t>
      </w:r>
      <w:proofErr w:type="spellStart"/>
      <w:r w:rsidRPr="00710D2A">
        <w:rPr>
          <w:rFonts w:ascii="Times New Roman" w:hAnsi="Times New Roman" w:cs="Times New Roman"/>
          <w:sz w:val="28"/>
          <w:szCs w:val="28"/>
          <w:lang w:val="uk-UA"/>
        </w:rPr>
        <w:t>дихотомій</w:t>
      </w:r>
      <w:proofErr w:type="spellEnd"/>
      <w:r w:rsidRPr="00710D2A">
        <w:rPr>
          <w:rFonts w:ascii="Times New Roman" w:hAnsi="Times New Roman" w:cs="Times New Roman"/>
          <w:sz w:val="28"/>
          <w:szCs w:val="28"/>
          <w:lang w:val="uk-UA"/>
        </w:rPr>
        <w:t xml:space="preserve"> можна уявити принаймні шість різних способів </w:t>
      </w:r>
      <w:proofErr w:type="spellStart"/>
      <w:r w:rsidRPr="00710D2A">
        <w:rPr>
          <w:rFonts w:ascii="Times New Roman" w:hAnsi="Times New Roman" w:cs="Times New Roman"/>
          <w:sz w:val="28"/>
          <w:szCs w:val="28"/>
          <w:lang w:val="uk-UA"/>
        </w:rPr>
        <w:t>операціоналізації</w:t>
      </w:r>
      <w:proofErr w:type="spellEnd"/>
      <w:r w:rsidRPr="00710D2A">
        <w:rPr>
          <w:rFonts w:ascii="Times New Roman" w:hAnsi="Times New Roman" w:cs="Times New Roman"/>
          <w:sz w:val="28"/>
          <w:szCs w:val="28"/>
          <w:lang w:val="uk-UA"/>
        </w:rPr>
        <w:t xml:space="preserve"> та вимірювання успіху кар’єри</w:t>
      </w:r>
      <w:r>
        <w:rPr>
          <w:rFonts w:ascii="Times New Roman" w:hAnsi="Times New Roman" w:cs="Times New Roman"/>
          <w:sz w:val="28"/>
          <w:szCs w:val="28"/>
          <w:lang w:val="uk-UA"/>
        </w:rPr>
        <w:t xml:space="preserve"> конкретного працівника</w:t>
      </w:r>
      <w:r w:rsidRPr="00710D2A">
        <w:rPr>
          <w:rFonts w:ascii="Times New Roman" w:hAnsi="Times New Roman" w:cs="Times New Roman"/>
          <w:sz w:val="28"/>
          <w:szCs w:val="28"/>
          <w:lang w:val="uk-UA"/>
        </w:rPr>
        <w:t xml:space="preserve">. Важливо, щоб дослідники кар’єри ретельно обмірковували тип </w:t>
      </w:r>
      <w:proofErr w:type="spellStart"/>
      <w:r w:rsidRPr="00710D2A">
        <w:rPr>
          <w:rFonts w:ascii="Times New Roman" w:hAnsi="Times New Roman" w:cs="Times New Roman"/>
          <w:sz w:val="28"/>
          <w:szCs w:val="28"/>
          <w:lang w:val="uk-UA"/>
        </w:rPr>
        <w:t>операціоналізації</w:t>
      </w:r>
      <w:proofErr w:type="spellEnd"/>
      <w:r w:rsidRPr="00710D2A">
        <w:rPr>
          <w:rFonts w:ascii="Times New Roman" w:hAnsi="Times New Roman" w:cs="Times New Roman"/>
          <w:sz w:val="28"/>
          <w:szCs w:val="28"/>
          <w:lang w:val="uk-UA"/>
        </w:rPr>
        <w:t xml:space="preserve"> або заходів, які слід використовувати у своїх дослідницьких починаннях, </w:t>
      </w:r>
      <w:r w:rsidRPr="00710D2A">
        <w:rPr>
          <w:rFonts w:ascii="Times New Roman" w:hAnsi="Times New Roman" w:cs="Times New Roman"/>
          <w:sz w:val="28"/>
          <w:szCs w:val="28"/>
          <w:lang w:val="uk-UA"/>
        </w:rPr>
        <w:lastRenderedPageBreak/>
        <w:t>оскільки мета</w:t>
      </w:r>
      <w:r w:rsidR="002C3DBA">
        <w:rPr>
          <w:rFonts w:ascii="Times New Roman" w:hAnsi="Times New Roman" w:cs="Times New Roman"/>
          <w:sz w:val="28"/>
          <w:szCs w:val="28"/>
          <w:lang w:val="uk-UA"/>
        </w:rPr>
        <w:t>–</w:t>
      </w:r>
      <w:r w:rsidRPr="00710D2A">
        <w:rPr>
          <w:rFonts w:ascii="Times New Roman" w:hAnsi="Times New Roman" w:cs="Times New Roman"/>
          <w:sz w:val="28"/>
          <w:szCs w:val="28"/>
          <w:lang w:val="uk-UA"/>
        </w:rPr>
        <w:t xml:space="preserve">аналізи продемонстрували значні відмінності в розмірах ефекту при використанні різних мір кар’єрного успіху. </w:t>
      </w:r>
      <w:r>
        <w:rPr>
          <w:rFonts w:ascii="Times New Roman" w:hAnsi="Times New Roman" w:cs="Times New Roman"/>
          <w:sz w:val="28"/>
          <w:szCs w:val="28"/>
          <w:lang w:val="uk-UA"/>
        </w:rPr>
        <w:t>Стає абсолютно очевидним</w:t>
      </w:r>
      <w:r w:rsidRPr="00710D2A">
        <w:rPr>
          <w:rFonts w:ascii="Times New Roman" w:hAnsi="Times New Roman" w:cs="Times New Roman"/>
          <w:sz w:val="28"/>
          <w:szCs w:val="28"/>
          <w:lang w:val="uk-UA"/>
        </w:rPr>
        <w:t xml:space="preserve">, що для того, щоб просунути дослідження суб’єктивного успіху в кар’єрі, потрібно зробити набагато більше роботи з точки зору </w:t>
      </w:r>
      <w:proofErr w:type="spellStart"/>
      <w:r w:rsidRPr="00710D2A">
        <w:rPr>
          <w:rFonts w:ascii="Times New Roman" w:hAnsi="Times New Roman" w:cs="Times New Roman"/>
          <w:sz w:val="28"/>
          <w:szCs w:val="28"/>
          <w:lang w:val="uk-UA"/>
        </w:rPr>
        <w:t>операціоналіз</w:t>
      </w:r>
      <w:r>
        <w:rPr>
          <w:rFonts w:ascii="Times New Roman" w:hAnsi="Times New Roman" w:cs="Times New Roman"/>
          <w:sz w:val="28"/>
          <w:szCs w:val="28"/>
          <w:lang w:val="uk-UA"/>
        </w:rPr>
        <w:t>ації</w:t>
      </w:r>
      <w:proofErr w:type="spellEnd"/>
      <w:r>
        <w:rPr>
          <w:rFonts w:ascii="Times New Roman" w:hAnsi="Times New Roman" w:cs="Times New Roman"/>
          <w:sz w:val="28"/>
          <w:szCs w:val="28"/>
          <w:lang w:val="uk-UA"/>
        </w:rPr>
        <w:t xml:space="preserve"> та вимірювання конструкції успішної кар’єри.</w:t>
      </w:r>
    </w:p>
    <w:p w14:paraId="0D0FE63A" w14:textId="7E2F54A7" w:rsidR="00571B42" w:rsidRPr="00710D2A"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Одна з чітких рекомендацій з останньої </w:t>
      </w:r>
      <w:r>
        <w:rPr>
          <w:rFonts w:ascii="Times New Roman" w:hAnsi="Times New Roman" w:cs="Times New Roman"/>
          <w:sz w:val="28"/>
          <w:szCs w:val="28"/>
          <w:lang w:val="uk-UA"/>
        </w:rPr>
        <w:t xml:space="preserve">наукової </w:t>
      </w:r>
      <w:r w:rsidRPr="00710D2A">
        <w:rPr>
          <w:rFonts w:ascii="Times New Roman" w:hAnsi="Times New Roman" w:cs="Times New Roman"/>
          <w:sz w:val="28"/>
          <w:szCs w:val="28"/>
          <w:lang w:val="uk-UA"/>
        </w:rPr>
        <w:t xml:space="preserve">літератури щодо кар’єри полягає в тому, що дослідники кар’єри повинні прийняти подвійну точку зору на кар’єру шляхом включення як об’єктивних, так і суб’єктивних концептуалізацій і показників успіху </w:t>
      </w:r>
      <w:r>
        <w:rPr>
          <w:rFonts w:ascii="Times New Roman" w:hAnsi="Times New Roman" w:cs="Times New Roman"/>
          <w:sz w:val="28"/>
          <w:szCs w:val="28"/>
          <w:lang w:val="uk-UA"/>
        </w:rPr>
        <w:t>кар’єри у свої дослідження</w:t>
      </w:r>
      <w:r w:rsidRPr="00710D2A">
        <w:rPr>
          <w:rFonts w:ascii="Times New Roman" w:hAnsi="Times New Roman" w:cs="Times New Roman"/>
          <w:sz w:val="28"/>
          <w:szCs w:val="28"/>
          <w:lang w:val="uk-UA"/>
        </w:rPr>
        <w:t xml:space="preserve">. Порівнюючи обидва типи даних у багатьох вибірках, дослідники кар’єри (як і практики) можуть краще зрозуміти досвід роботи, який люди мають щодня, а також напругу, яку відчувають між об’єктивними досягненнями в кар’єрі та суб’єктивним сприйняттям </w:t>
      </w:r>
      <w:r>
        <w:rPr>
          <w:rFonts w:ascii="Times New Roman" w:hAnsi="Times New Roman" w:cs="Times New Roman"/>
          <w:sz w:val="28"/>
          <w:szCs w:val="28"/>
          <w:lang w:val="uk-UA"/>
        </w:rPr>
        <w:t xml:space="preserve">успішної </w:t>
      </w:r>
      <w:r w:rsidRPr="00710D2A">
        <w:rPr>
          <w:rFonts w:ascii="Times New Roman" w:hAnsi="Times New Roman" w:cs="Times New Roman"/>
          <w:sz w:val="28"/>
          <w:szCs w:val="28"/>
          <w:lang w:val="uk-UA"/>
        </w:rPr>
        <w:t xml:space="preserve">кар’єри. Попередні дослідження, які включали як об’єктивні, так і суб’єктивні показники успішності кар’єри, виявили, що вони є лише </w:t>
      </w:r>
      <w:proofErr w:type="spellStart"/>
      <w:r w:rsidRPr="00710D2A">
        <w:rPr>
          <w:rFonts w:ascii="Times New Roman" w:hAnsi="Times New Roman" w:cs="Times New Roman"/>
          <w:sz w:val="28"/>
          <w:szCs w:val="28"/>
          <w:lang w:val="uk-UA"/>
        </w:rPr>
        <w:t>п</w:t>
      </w:r>
      <w:r>
        <w:rPr>
          <w:rFonts w:ascii="Times New Roman" w:hAnsi="Times New Roman" w:cs="Times New Roman"/>
          <w:sz w:val="28"/>
          <w:szCs w:val="28"/>
          <w:lang w:val="uk-UA"/>
        </w:rPr>
        <w:t>омірно</w:t>
      </w:r>
      <w:proofErr w:type="spellEnd"/>
      <w:r>
        <w:rPr>
          <w:rFonts w:ascii="Times New Roman" w:hAnsi="Times New Roman" w:cs="Times New Roman"/>
          <w:sz w:val="28"/>
          <w:szCs w:val="28"/>
          <w:lang w:val="uk-UA"/>
        </w:rPr>
        <w:t xml:space="preserve"> пов’язаними конструктами</w:t>
      </w:r>
      <w:r w:rsidRPr="00710D2A">
        <w:rPr>
          <w:rFonts w:ascii="Times New Roman" w:hAnsi="Times New Roman" w:cs="Times New Roman"/>
          <w:sz w:val="28"/>
          <w:szCs w:val="28"/>
          <w:lang w:val="uk-UA"/>
        </w:rPr>
        <w:t xml:space="preserve"> </w:t>
      </w:r>
      <w:r w:rsidR="002C3DBA">
        <w:rPr>
          <w:rFonts w:ascii="Times New Roman" w:hAnsi="Times New Roman" w:cs="Times New Roman"/>
          <w:sz w:val="28"/>
          <w:szCs w:val="28"/>
          <w:lang w:val="uk-UA"/>
        </w:rPr>
        <w:t>–</w:t>
      </w:r>
      <w:r w:rsidRPr="00710D2A">
        <w:rPr>
          <w:rFonts w:ascii="Times New Roman" w:hAnsi="Times New Roman" w:cs="Times New Roman"/>
          <w:sz w:val="28"/>
          <w:szCs w:val="28"/>
          <w:lang w:val="uk-UA"/>
        </w:rPr>
        <w:t xml:space="preserve"> і, отже, традиційні позитивістські дослідження, зосереджені головним чином на об’єк</w:t>
      </w:r>
      <w:r>
        <w:rPr>
          <w:rFonts w:ascii="Times New Roman" w:hAnsi="Times New Roman" w:cs="Times New Roman"/>
          <w:sz w:val="28"/>
          <w:szCs w:val="28"/>
          <w:lang w:val="uk-UA"/>
        </w:rPr>
        <w:t>тивних аспектах кар’єри, можуть</w:t>
      </w:r>
      <w:r w:rsidRPr="00710D2A">
        <w:rPr>
          <w:rFonts w:ascii="Times New Roman" w:hAnsi="Times New Roman" w:cs="Times New Roman"/>
          <w:sz w:val="28"/>
          <w:szCs w:val="28"/>
          <w:lang w:val="uk-UA"/>
        </w:rPr>
        <w:t xml:space="preserve"> не бути (або </w:t>
      </w:r>
      <w:r>
        <w:rPr>
          <w:rFonts w:ascii="Times New Roman" w:hAnsi="Times New Roman" w:cs="Times New Roman"/>
          <w:sz w:val="28"/>
          <w:szCs w:val="28"/>
          <w:lang w:val="uk-UA"/>
        </w:rPr>
        <w:t xml:space="preserve">бути не </w:t>
      </w:r>
      <w:r w:rsidRPr="00710D2A">
        <w:rPr>
          <w:rFonts w:ascii="Times New Roman" w:hAnsi="Times New Roman" w:cs="Times New Roman"/>
          <w:sz w:val="28"/>
          <w:szCs w:val="28"/>
          <w:lang w:val="uk-UA"/>
        </w:rPr>
        <w:t>більш</w:t>
      </w:r>
      <w:r>
        <w:rPr>
          <w:rFonts w:ascii="Times New Roman" w:hAnsi="Times New Roman" w:cs="Times New Roman"/>
          <w:sz w:val="28"/>
          <w:szCs w:val="28"/>
          <w:lang w:val="uk-UA"/>
        </w:rPr>
        <w:t>е</w:t>
      </w:r>
      <w:r w:rsidRPr="00710D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10D2A">
        <w:rPr>
          <w:rFonts w:ascii="Times New Roman" w:hAnsi="Times New Roman" w:cs="Times New Roman"/>
          <w:sz w:val="28"/>
          <w:szCs w:val="28"/>
          <w:lang w:val="uk-UA"/>
        </w:rPr>
        <w:t>доцільним для розуміння складних і динамічних реалій сучасної кар’єри.</w:t>
      </w:r>
    </w:p>
    <w:p w14:paraId="35FFE55C" w14:textId="2EA86B07" w:rsidR="00571B42" w:rsidRDefault="00571B42" w:rsidP="00571B42">
      <w:pPr>
        <w:spacing w:after="0" w:line="360" w:lineRule="auto"/>
        <w:ind w:firstLine="720"/>
        <w:jc w:val="both"/>
        <w:rPr>
          <w:rFonts w:ascii="Times New Roman" w:hAnsi="Times New Roman" w:cs="Times New Roman"/>
          <w:sz w:val="28"/>
          <w:szCs w:val="28"/>
          <w:lang w:val="uk-UA"/>
        </w:rPr>
      </w:pPr>
      <w:r w:rsidRPr="00710D2A">
        <w:rPr>
          <w:rFonts w:ascii="Times New Roman" w:hAnsi="Times New Roman" w:cs="Times New Roman"/>
          <w:sz w:val="28"/>
          <w:szCs w:val="28"/>
          <w:lang w:val="uk-UA"/>
        </w:rPr>
        <w:t xml:space="preserve">Деякі дослідники кар’єри навіть </w:t>
      </w:r>
      <w:r>
        <w:rPr>
          <w:rFonts w:ascii="Times New Roman" w:hAnsi="Times New Roman" w:cs="Times New Roman"/>
          <w:sz w:val="28"/>
          <w:szCs w:val="28"/>
          <w:lang w:val="uk-UA"/>
        </w:rPr>
        <w:t>ді</w:t>
      </w:r>
      <w:r w:rsidRPr="00710D2A">
        <w:rPr>
          <w:rFonts w:ascii="Times New Roman" w:hAnsi="Times New Roman" w:cs="Times New Roman"/>
          <w:sz w:val="28"/>
          <w:szCs w:val="28"/>
          <w:lang w:val="uk-UA"/>
        </w:rPr>
        <w:t xml:space="preserve">йшли </w:t>
      </w:r>
      <w:r>
        <w:rPr>
          <w:rFonts w:ascii="Times New Roman" w:hAnsi="Times New Roman" w:cs="Times New Roman"/>
          <w:sz w:val="28"/>
          <w:szCs w:val="28"/>
          <w:lang w:val="uk-UA"/>
        </w:rPr>
        <w:t>висновку</w:t>
      </w:r>
      <w:r w:rsidRPr="00710D2A">
        <w:rPr>
          <w:rFonts w:ascii="Times New Roman" w:hAnsi="Times New Roman" w:cs="Times New Roman"/>
          <w:sz w:val="28"/>
          <w:szCs w:val="28"/>
          <w:lang w:val="uk-UA"/>
        </w:rPr>
        <w:t xml:space="preserve"> що</w:t>
      </w:r>
      <w:r>
        <w:rPr>
          <w:rFonts w:ascii="Times New Roman" w:hAnsi="Times New Roman" w:cs="Times New Roman"/>
          <w:sz w:val="28"/>
          <w:szCs w:val="28"/>
          <w:lang w:val="uk-UA"/>
        </w:rPr>
        <w:t>до</w:t>
      </w:r>
      <w:r w:rsidRPr="00710D2A">
        <w:rPr>
          <w:rFonts w:ascii="Times New Roman" w:hAnsi="Times New Roman" w:cs="Times New Roman"/>
          <w:sz w:val="28"/>
          <w:szCs w:val="28"/>
          <w:lang w:val="uk-UA"/>
        </w:rPr>
        <w:t xml:space="preserve"> складнощі</w:t>
      </w:r>
      <w:r>
        <w:rPr>
          <w:rFonts w:ascii="Times New Roman" w:hAnsi="Times New Roman" w:cs="Times New Roman"/>
          <w:sz w:val="28"/>
          <w:szCs w:val="28"/>
          <w:lang w:val="uk-UA"/>
        </w:rPr>
        <w:t>в</w:t>
      </w:r>
      <w:r w:rsidRPr="00710D2A">
        <w:rPr>
          <w:rFonts w:ascii="Times New Roman" w:hAnsi="Times New Roman" w:cs="Times New Roman"/>
          <w:sz w:val="28"/>
          <w:szCs w:val="28"/>
          <w:lang w:val="uk-UA"/>
        </w:rPr>
        <w:t xml:space="preserve">, які виникають всередині та між рисами та середовищем </w:t>
      </w:r>
      <w:r>
        <w:rPr>
          <w:rFonts w:ascii="Times New Roman" w:hAnsi="Times New Roman" w:cs="Times New Roman"/>
          <w:sz w:val="28"/>
          <w:szCs w:val="28"/>
          <w:lang w:val="uk-UA"/>
        </w:rPr>
        <w:t>працівників щодо їхніх кар’єр</w:t>
      </w:r>
      <w:r w:rsidRPr="00710D2A">
        <w:rPr>
          <w:rFonts w:ascii="Times New Roman" w:hAnsi="Times New Roman" w:cs="Times New Roman"/>
          <w:sz w:val="28"/>
          <w:szCs w:val="28"/>
          <w:lang w:val="uk-UA"/>
        </w:rPr>
        <w:t xml:space="preserve">, просто надто складні, щоб охопити їх теоретичними моделями, і тому </w:t>
      </w:r>
      <w:r>
        <w:rPr>
          <w:rFonts w:ascii="Times New Roman" w:hAnsi="Times New Roman" w:cs="Times New Roman"/>
          <w:sz w:val="28"/>
          <w:szCs w:val="28"/>
          <w:lang w:val="uk-UA"/>
        </w:rPr>
        <w:t xml:space="preserve">більш раціонально буде </w:t>
      </w:r>
      <w:r w:rsidRPr="00710D2A">
        <w:rPr>
          <w:rFonts w:ascii="Times New Roman" w:hAnsi="Times New Roman" w:cs="Times New Roman"/>
          <w:sz w:val="28"/>
          <w:szCs w:val="28"/>
          <w:lang w:val="uk-UA"/>
        </w:rPr>
        <w:t xml:space="preserve">припинити спроби це зробити, і </w:t>
      </w:r>
      <w:r>
        <w:rPr>
          <w:rFonts w:ascii="Times New Roman" w:hAnsi="Times New Roman" w:cs="Times New Roman"/>
          <w:sz w:val="28"/>
          <w:szCs w:val="28"/>
          <w:lang w:val="uk-UA"/>
        </w:rPr>
        <w:t>розглядати</w:t>
      </w:r>
      <w:r w:rsidRPr="00710D2A">
        <w:rPr>
          <w:rFonts w:ascii="Times New Roman" w:hAnsi="Times New Roman" w:cs="Times New Roman"/>
          <w:sz w:val="28"/>
          <w:szCs w:val="28"/>
          <w:lang w:val="uk-UA"/>
        </w:rPr>
        <w:t xml:space="preserve"> на кар’єру з точки зору лише </w:t>
      </w:r>
      <w:r>
        <w:rPr>
          <w:rFonts w:ascii="Times New Roman" w:hAnsi="Times New Roman" w:cs="Times New Roman"/>
          <w:sz w:val="28"/>
          <w:szCs w:val="28"/>
          <w:lang w:val="uk-UA"/>
        </w:rPr>
        <w:t xml:space="preserve">її </w:t>
      </w:r>
      <w:r w:rsidRPr="00710D2A">
        <w:rPr>
          <w:rFonts w:ascii="Times New Roman" w:hAnsi="Times New Roman" w:cs="Times New Roman"/>
          <w:sz w:val="28"/>
          <w:szCs w:val="28"/>
          <w:lang w:val="uk-UA"/>
        </w:rPr>
        <w:t>суб’єктивн</w:t>
      </w:r>
      <w:r>
        <w:rPr>
          <w:rFonts w:ascii="Times New Roman" w:hAnsi="Times New Roman" w:cs="Times New Roman"/>
          <w:sz w:val="28"/>
          <w:szCs w:val="28"/>
          <w:lang w:val="uk-UA"/>
        </w:rPr>
        <w:t>ого</w:t>
      </w:r>
      <w:r w:rsidRPr="00710D2A">
        <w:rPr>
          <w:rFonts w:ascii="Times New Roman" w:hAnsi="Times New Roman" w:cs="Times New Roman"/>
          <w:sz w:val="28"/>
          <w:szCs w:val="28"/>
          <w:lang w:val="uk-UA"/>
        </w:rPr>
        <w:t xml:space="preserve"> рів</w:t>
      </w:r>
      <w:r>
        <w:rPr>
          <w:rFonts w:ascii="Times New Roman" w:hAnsi="Times New Roman" w:cs="Times New Roman"/>
          <w:sz w:val="28"/>
          <w:szCs w:val="28"/>
          <w:lang w:val="uk-UA"/>
        </w:rPr>
        <w:t>ня.</w:t>
      </w:r>
      <w:r w:rsidRPr="00710D2A">
        <w:rPr>
          <w:rFonts w:ascii="Times New Roman" w:hAnsi="Times New Roman" w:cs="Times New Roman"/>
          <w:sz w:val="28"/>
          <w:szCs w:val="28"/>
          <w:lang w:val="uk-UA"/>
        </w:rPr>
        <w:t xml:space="preserve"> Непропорційно велика кількість досліджень у сфері кар’єри (близько 75</w:t>
      </w:r>
      <w:r w:rsidR="002C3DBA">
        <w:rPr>
          <w:rFonts w:ascii="Times New Roman" w:hAnsi="Times New Roman" w:cs="Times New Roman"/>
          <w:sz w:val="28"/>
          <w:szCs w:val="28"/>
          <w:lang w:val="uk-UA"/>
        </w:rPr>
        <w:t>%</w:t>
      </w:r>
      <w:r w:rsidRPr="00710D2A">
        <w:rPr>
          <w:rFonts w:ascii="Times New Roman" w:hAnsi="Times New Roman" w:cs="Times New Roman"/>
          <w:sz w:val="28"/>
          <w:szCs w:val="28"/>
          <w:lang w:val="uk-UA"/>
        </w:rPr>
        <w:t>) присвячена об’єктивній кар’єрі, зокрема статевим відмінностям та їх</w:t>
      </w:r>
      <w:r>
        <w:rPr>
          <w:rFonts w:ascii="Times New Roman" w:hAnsi="Times New Roman" w:cs="Times New Roman"/>
          <w:sz w:val="28"/>
          <w:szCs w:val="28"/>
          <w:lang w:val="uk-UA"/>
        </w:rPr>
        <w:t>нім</w:t>
      </w:r>
      <w:r w:rsidRPr="00710D2A">
        <w:rPr>
          <w:rFonts w:ascii="Times New Roman" w:hAnsi="Times New Roman" w:cs="Times New Roman"/>
          <w:sz w:val="28"/>
          <w:szCs w:val="28"/>
          <w:lang w:val="uk-UA"/>
        </w:rPr>
        <w:t xml:space="preserve"> причинам, тоді як суб’єктивна кар’єра була </w:t>
      </w:r>
      <w:r>
        <w:rPr>
          <w:rFonts w:ascii="Times New Roman" w:hAnsi="Times New Roman" w:cs="Times New Roman"/>
          <w:sz w:val="28"/>
          <w:szCs w:val="28"/>
          <w:lang w:val="uk-UA"/>
        </w:rPr>
        <w:t>абсолютно</w:t>
      </w:r>
      <w:r w:rsidRPr="00710D2A">
        <w:rPr>
          <w:rFonts w:ascii="Times New Roman" w:hAnsi="Times New Roman" w:cs="Times New Roman"/>
          <w:sz w:val="28"/>
          <w:szCs w:val="28"/>
          <w:lang w:val="uk-UA"/>
        </w:rPr>
        <w:t xml:space="preserve"> недосліджена. Проте було проведено кілька досліджень, які спеціально </w:t>
      </w:r>
      <w:r>
        <w:rPr>
          <w:rFonts w:ascii="Times New Roman" w:hAnsi="Times New Roman" w:cs="Times New Roman"/>
          <w:sz w:val="28"/>
          <w:szCs w:val="28"/>
          <w:lang w:val="uk-UA"/>
        </w:rPr>
        <w:t xml:space="preserve">концентрувати свою увагу на </w:t>
      </w:r>
      <w:r w:rsidRPr="00710D2A">
        <w:rPr>
          <w:rFonts w:ascii="Times New Roman" w:hAnsi="Times New Roman" w:cs="Times New Roman"/>
          <w:sz w:val="28"/>
          <w:szCs w:val="28"/>
          <w:lang w:val="uk-UA"/>
        </w:rPr>
        <w:t>дослідж</w:t>
      </w:r>
      <w:r>
        <w:rPr>
          <w:rFonts w:ascii="Times New Roman" w:hAnsi="Times New Roman" w:cs="Times New Roman"/>
          <w:sz w:val="28"/>
          <w:szCs w:val="28"/>
          <w:lang w:val="uk-UA"/>
        </w:rPr>
        <w:t>енні</w:t>
      </w:r>
      <w:r w:rsidRPr="00710D2A">
        <w:rPr>
          <w:rFonts w:ascii="Times New Roman" w:hAnsi="Times New Roman" w:cs="Times New Roman"/>
          <w:sz w:val="28"/>
          <w:szCs w:val="28"/>
          <w:lang w:val="uk-UA"/>
        </w:rPr>
        <w:t xml:space="preserve"> та вимірюва</w:t>
      </w:r>
      <w:r>
        <w:rPr>
          <w:rFonts w:ascii="Times New Roman" w:hAnsi="Times New Roman" w:cs="Times New Roman"/>
          <w:sz w:val="28"/>
          <w:szCs w:val="28"/>
          <w:lang w:val="uk-UA"/>
        </w:rPr>
        <w:t xml:space="preserve">нні </w:t>
      </w:r>
      <w:r w:rsidRPr="00710D2A">
        <w:rPr>
          <w:rFonts w:ascii="Times New Roman" w:hAnsi="Times New Roman" w:cs="Times New Roman"/>
          <w:sz w:val="28"/>
          <w:szCs w:val="28"/>
          <w:lang w:val="uk-UA"/>
        </w:rPr>
        <w:t>суб’єктивн</w:t>
      </w:r>
      <w:r>
        <w:rPr>
          <w:rFonts w:ascii="Times New Roman" w:hAnsi="Times New Roman" w:cs="Times New Roman"/>
          <w:sz w:val="28"/>
          <w:szCs w:val="28"/>
          <w:lang w:val="uk-UA"/>
        </w:rPr>
        <w:t>их</w:t>
      </w:r>
      <w:r w:rsidRPr="00710D2A">
        <w:rPr>
          <w:rFonts w:ascii="Times New Roman" w:hAnsi="Times New Roman" w:cs="Times New Roman"/>
          <w:sz w:val="28"/>
          <w:szCs w:val="28"/>
          <w:lang w:val="uk-UA"/>
        </w:rPr>
        <w:t xml:space="preserve"> значен</w:t>
      </w:r>
      <w:r>
        <w:rPr>
          <w:rFonts w:ascii="Times New Roman" w:hAnsi="Times New Roman" w:cs="Times New Roman"/>
          <w:sz w:val="28"/>
          <w:szCs w:val="28"/>
          <w:lang w:val="uk-UA"/>
        </w:rPr>
        <w:t>ь</w:t>
      </w:r>
      <w:r w:rsidRPr="00710D2A">
        <w:rPr>
          <w:rFonts w:ascii="Times New Roman" w:hAnsi="Times New Roman" w:cs="Times New Roman"/>
          <w:sz w:val="28"/>
          <w:szCs w:val="28"/>
          <w:lang w:val="uk-UA"/>
        </w:rPr>
        <w:t>, як</w:t>
      </w:r>
      <w:r>
        <w:rPr>
          <w:rFonts w:ascii="Times New Roman" w:hAnsi="Times New Roman" w:cs="Times New Roman"/>
          <w:sz w:val="28"/>
          <w:szCs w:val="28"/>
          <w:lang w:val="uk-UA"/>
        </w:rPr>
        <w:t>і</w:t>
      </w:r>
      <w:r w:rsidRPr="00710D2A">
        <w:rPr>
          <w:rFonts w:ascii="Times New Roman" w:hAnsi="Times New Roman" w:cs="Times New Roman"/>
          <w:sz w:val="28"/>
          <w:szCs w:val="28"/>
          <w:lang w:val="uk-UA"/>
        </w:rPr>
        <w:t xml:space="preserve"> люди з різного походження приписують терміну успіх у кар’єрі. Переглядаючи суб’єктивні теми успіху в кар’єрі, які випливають із різних досліджень, </w:t>
      </w:r>
      <w:r>
        <w:rPr>
          <w:rFonts w:ascii="Times New Roman" w:hAnsi="Times New Roman" w:cs="Times New Roman"/>
          <w:sz w:val="28"/>
          <w:szCs w:val="28"/>
          <w:lang w:val="uk-UA"/>
        </w:rPr>
        <w:t>можна констатувати факт</w:t>
      </w:r>
      <w:r w:rsidRPr="00710D2A">
        <w:rPr>
          <w:rFonts w:ascii="Times New Roman" w:hAnsi="Times New Roman" w:cs="Times New Roman"/>
          <w:sz w:val="28"/>
          <w:szCs w:val="28"/>
          <w:lang w:val="uk-UA"/>
        </w:rPr>
        <w:t xml:space="preserve">, що між ними існує значне збігання </w:t>
      </w:r>
      <w:r w:rsidR="002C3DBA">
        <w:rPr>
          <w:rFonts w:ascii="Times New Roman" w:hAnsi="Times New Roman" w:cs="Times New Roman"/>
          <w:sz w:val="28"/>
          <w:szCs w:val="28"/>
          <w:lang w:val="uk-UA"/>
        </w:rPr>
        <w:t>–</w:t>
      </w:r>
      <w:r w:rsidRPr="00710D2A">
        <w:rPr>
          <w:rFonts w:ascii="Times New Roman" w:hAnsi="Times New Roman" w:cs="Times New Roman"/>
          <w:sz w:val="28"/>
          <w:szCs w:val="28"/>
          <w:lang w:val="uk-UA"/>
        </w:rPr>
        <w:t xml:space="preserve"> у часі, культурі та досліджуваних популяціях. Проте необхідні додаткові </w:t>
      </w:r>
      <w:r w:rsidRPr="00710D2A">
        <w:rPr>
          <w:rFonts w:ascii="Times New Roman" w:hAnsi="Times New Roman" w:cs="Times New Roman"/>
          <w:sz w:val="28"/>
          <w:szCs w:val="28"/>
          <w:lang w:val="uk-UA"/>
        </w:rPr>
        <w:lastRenderedPageBreak/>
        <w:t>дослідження, щоб повністю охопити різноманіття перспектив, які існують у робочій силі сьогодні.</w:t>
      </w:r>
      <w:r>
        <w:rPr>
          <w:rFonts w:ascii="Times New Roman" w:hAnsi="Times New Roman" w:cs="Times New Roman"/>
          <w:sz w:val="28"/>
          <w:szCs w:val="28"/>
          <w:lang w:val="uk-UA"/>
        </w:rPr>
        <w:t xml:space="preserve"> </w:t>
      </w:r>
      <w:r w:rsidRPr="00710D2A">
        <w:rPr>
          <w:rFonts w:ascii="Times New Roman" w:hAnsi="Times New Roman" w:cs="Times New Roman"/>
          <w:sz w:val="28"/>
          <w:szCs w:val="28"/>
          <w:lang w:val="uk-UA"/>
        </w:rPr>
        <w:t xml:space="preserve">Корисні теоретичні рамки для </w:t>
      </w:r>
      <w:r>
        <w:rPr>
          <w:rFonts w:ascii="Times New Roman" w:hAnsi="Times New Roman" w:cs="Times New Roman"/>
          <w:sz w:val="28"/>
          <w:szCs w:val="28"/>
          <w:lang w:val="uk-UA"/>
        </w:rPr>
        <w:t xml:space="preserve">сучасних </w:t>
      </w:r>
      <w:r w:rsidRPr="00710D2A">
        <w:rPr>
          <w:rFonts w:ascii="Times New Roman" w:hAnsi="Times New Roman" w:cs="Times New Roman"/>
          <w:sz w:val="28"/>
          <w:szCs w:val="28"/>
          <w:lang w:val="uk-UA"/>
        </w:rPr>
        <w:t>дослідників, які бажають брати участь у дослідницьких</w:t>
      </w:r>
      <w:r>
        <w:rPr>
          <w:rFonts w:ascii="Times New Roman" w:hAnsi="Times New Roman" w:cs="Times New Roman"/>
          <w:sz w:val="28"/>
          <w:szCs w:val="28"/>
          <w:lang w:val="uk-UA"/>
        </w:rPr>
        <w:t xml:space="preserve"> наукових</w:t>
      </w:r>
      <w:r w:rsidRPr="00710D2A">
        <w:rPr>
          <w:rFonts w:ascii="Times New Roman" w:hAnsi="Times New Roman" w:cs="Times New Roman"/>
          <w:sz w:val="28"/>
          <w:szCs w:val="28"/>
          <w:lang w:val="uk-UA"/>
        </w:rPr>
        <w:t xml:space="preserve"> проектах щодо суб’єктивної кар’єри, можна знайти в літературі про багатогранну кар’єру</w:t>
      </w:r>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[35</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36]</w:t>
      </w:r>
      <w:r w:rsidRPr="00710D2A">
        <w:rPr>
          <w:rFonts w:ascii="Times New Roman" w:hAnsi="Times New Roman" w:cs="Times New Roman"/>
          <w:sz w:val="28"/>
          <w:szCs w:val="28"/>
          <w:lang w:val="uk-UA"/>
        </w:rPr>
        <w:t xml:space="preserve">, професійну ідентичність </w:t>
      </w:r>
      <w:r w:rsidRPr="005D1B01">
        <w:rPr>
          <w:rFonts w:ascii="Times New Roman" w:hAnsi="Times New Roman" w:cs="Times New Roman"/>
          <w:sz w:val="28"/>
          <w:szCs w:val="28"/>
          <w:lang w:val="uk-UA"/>
        </w:rPr>
        <w:t>[37</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38]</w:t>
      </w:r>
      <w:r w:rsidRPr="00710D2A">
        <w:rPr>
          <w:rFonts w:ascii="Times New Roman" w:hAnsi="Times New Roman" w:cs="Times New Roman"/>
          <w:sz w:val="28"/>
          <w:szCs w:val="28"/>
          <w:lang w:val="uk-UA"/>
        </w:rPr>
        <w:t xml:space="preserve">, автентичність </w:t>
      </w:r>
      <w:r w:rsidRPr="005D1B01">
        <w:rPr>
          <w:rFonts w:ascii="Times New Roman" w:hAnsi="Times New Roman" w:cs="Times New Roman"/>
          <w:sz w:val="28"/>
          <w:szCs w:val="28"/>
          <w:lang w:val="uk-UA"/>
        </w:rPr>
        <w:t>[39</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40]</w:t>
      </w:r>
      <w:r w:rsidRPr="00710D2A">
        <w:rPr>
          <w:rFonts w:ascii="Times New Roman" w:hAnsi="Times New Roman" w:cs="Times New Roman"/>
          <w:sz w:val="28"/>
          <w:szCs w:val="28"/>
          <w:lang w:val="uk-UA"/>
        </w:rPr>
        <w:t xml:space="preserve"> і покликання </w:t>
      </w:r>
      <w:r w:rsidRPr="005D1B01">
        <w:rPr>
          <w:rFonts w:ascii="Times New Roman" w:hAnsi="Times New Roman" w:cs="Times New Roman"/>
          <w:sz w:val="28"/>
          <w:szCs w:val="28"/>
          <w:lang w:val="uk-UA"/>
        </w:rPr>
        <w:t>[41</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42]</w:t>
      </w:r>
      <w:r w:rsidRPr="00710D2A">
        <w:rPr>
          <w:rFonts w:ascii="Times New Roman" w:hAnsi="Times New Roman" w:cs="Times New Roman"/>
          <w:sz w:val="28"/>
          <w:szCs w:val="28"/>
          <w:lang w:val="uk-UA"/>
        </w:rPr>
        <w:t>.</w:t>
      </w:r>
    </w:p>
    <w:p w14:paraId="350ECD4B"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57732D">
        <w:rPr>
          <w:rFonts w:ascii="Times New Roman" w:hAnsi="Times New Roman" w:cs="Times New Roman"/>
          <w:sz w:val="28"/>
          <w:szCs w:val="28"/>
          <w:lang w:val="uk-UA"/>
        </w:rPr>
        <w:t xml:space="preserve">У </w:t>
      </w:r>
      <w:r>
        <w:rPr>
          <w:rFonts w:ascii="Times New Roman" w:hAnsi="Times New Roman" w:cs="Times New Roman"/>
          <w:sz w:val="28"/>
          <w:szCs w:val="28"/>
          <w:lang w:val="uk-UA"/>
        </w:rPr>
        <w:t>сучасній науковій</w:t>
      </w:r>
      <w:r w:rsidRPr="005D1B01">
        <w:rPr>
          <w:rFonts w:ascii="Times New Roman" w:hAnsi="Times New Roman" w:cs="Times New Roman"/>
          <w:sz w:val="28"/>
          <w:szCs w:val="28"/>
          <w:lang w:val="uk-UA"/>
        </w:rPr>
        <w:t xml:space="preserve"> </w:t>
      </w:r>
      <w:r w:rsidRPr="0057732D">
        <w:rPr>
          <w:rFonts w:ascii="Times New Roman" w:hAnsi="Times New Roman" w:cs="Times New Roman"/>
          <w:sz w:val="28"/>
          <w:szCs w:val="28"/>
          <w:lang w:val="uk-UA"/>
        </w:rPr>
        <w:t xml:space="preserve">літературі зазвичай припускають, що об’єктивні досягнення призводять до суб’єктивного відчуття успіху, а суб’єктивні значення, які приписуються успіху в кар’єрі, створюють основу для об’єктивного встановлення цілей. Однак в обох випадках </w:t>
      </w:r>
      <w:r>
        <w:rPr>
          <w:rFonts w:ascii="Times New Roman" w:hAnsi="Times New Roman" w:cs="Times New Roman"/>
          <w:sz w:val="28"/>
          <w:szCs w:val="28"/>
          <w:lang w:val="uk-UA"/>
        </w:rPr>
        <w:t>також можна помітити наявну</w:t>
      </w:r>
      <w:r w:rsidRPr="0057732D">
        <w:rPr>
          <w:rFonts w:ascii="Times New Roman" w:hAnsi="Times New Roman" w:cs="Times New Roman"/>
          <w:sz w:val="28"/>
          <w:szCs w:val="28"/>
          <w:lang w:val="uk-UA"/>
        </w:rPr>
        <w:t xml:space="preserve"> аргументаці</w:t>
      </w:r>
      <w:r>
        <w:rPr>
          <w:rFonts w:ascii="Times New Roman" w:hAnsi="Times New Roman" w:cs="Times New Roman"/>
          <w:sz w:val="28"/>
          <w:szCs w:val="28"/>
          <w:lang w:val="uk-UA"/>
        </w:rPr>
        <w:t>ю</w:t>
      </w:r>
      <w:r w:rsidRPr="0057732D">
        <w:rPr>
          <w:rFonts w:ascii="Times New Roman" w:hAnsi="Times New Roman" w:cs="Times New Roman"/>
          <w:sz w:val="28"/>
          <w:szCs w:val="28"/>
          <w:lang w:val="uk-UA"/>
        </w:rPr>
        <w:t xml:space="preserve"> зворотної причинності. </w:t>
      </w:r>
      <w:r>
        <w:rPr>
          <w:rFonts w:ascii="Times New Roman" w:hAnsi="Times New Roman" w:cs="Times New Roman"/>
          <w:sz w:val="28"/>
          <w:szCs w:val="28"/>
          <w:lang w:val="uk-UA"/>
        </w:rPr>
        <w:t>Важливо розглянути ситуацію, щ</w:t>
      </w:r>
      <w:r w:rsidRPr="0057732D">
        <w:rPr>
          <w:rFonts w:ascii="Times New Roman" w:hAnsi="Times New Roman" w:cs="Times New Roman"/>
          <w:sz w:val="28"/>
          <w:szCs w:val="28"/>
          <w:lang w:val="uk-UA"/>
        </w:rPr>
        <w:t>о стосується першого випадку</w:t>
      </w:r>
      <w:r>
        <w:rPr>
          <w:rFonts w:ascii="Times New Roman" w:hAnsi="Times New Roman" w:cs="Times New Roman"/>
          <w:sz w:val="28"/>
          <w:szCs w:val="28"/>
          <w:lang w:val="uk-UA"/>
        </w:rPr>
        <w:t>. В позначених умовах</w:t>
      </w:r>
      <w:r w:rsidRPr="0057732D">
        <w:rPr>
          <w:rFonts w:ascii="Times New Roman" w:hAnsi="Times New Roman" w:cs="Times New Roman"/>
          <w:sz w:val="28"/>
          <w:szCs w:val="28"/>
          <w:lang w:val="uk-UA"/>
        </w:rPr>
        <w:t xml:space="preserve"> не зовсім </w:t>
      </w:r>
      <w:r>
        <w:rPr>
          <w:rFonts w:ascii="Times New Roman" w:hAnsi="Times New Roman" w:cs="Times New Roman"/>
          <w:sz w:val="28"/>
          <w:szCs w:val="28"/>
          <w:lang w:val="uk-UA"/>
        </w:rPr>
        <w:t xml:space="preserve">стає </w:t>
      </w:r>
      <w:r w:rsidRPr="0057732D">
        <w:rPr>
          <w:rFonts w:ascii="Times New Roman" w:hAnsi="Times New Roman" w:cs="Times New Roman"/>
          <w:sz w:val="28"/>
          <w:szCs w:val="28"/>
          <w:lang w:val="uk-UA"/>
        </w:rPr>
        <w:t>зрозуміл</w:t>
      </w:r>
      <w:r>
        <w:rPr>
          <w:rFonts w:ascii="Times New Roman" w:hAnsi="Times New Roman" w:cs="Times New Roman"/>
          <w:sz w:val="28"/>
          <w:szCs w:val="28"/>
          <w:lang w:val="uk-UA"/>
        </w:rPr>
        <w:t>им</w:t>
      </w:r>
      <w:r w:rsidRPr="0057732D">
        <w:rPr>
          <w:rFonts w:ascii="Times New Roman" w:hAnsi="Times New Roman" w:cs="Times New Roman"/>
          <w:sz w:val="28"/>
          <w:szCs w:val="28"/>
          <w:lang w:val="uk-UA"/>
        </w:rPr>
        <w:t xml:space="preserve">, якою мірою суб’єктивні відчуття </w:t>
      </w:r>
      <w:r>
        <w:rPr>
          <w:rFonts w:ascii="Times New Roman" w:hAnsi="Times New Roman" w:cs="Times New Roman"/>
          <w:sz w:val="28"/>
          <w:szCs w:val="28"/>
          <w:lang w:val="uk-UA"/>
        </w:rPr>
        <w:t xml:space="preserve">кар’єрного </w:t>
      </w:r>
      <w:r w:rsidRPr="0057732D">
        <w:rPr>
          <w:rFonts w:ascii="Times New Roman" w:hAnsi="Times New Roman" w:cs="Times New Roman"/>
          <w:sz w:val="28"/>
          <w:szCs w:val="28"/>
          <w:lang w:val="uk-UA"/>
        </w:rPr>
        <w:t>успіху через результуюче підвищення мотивації впливають на об’єктивний успіх у кар’єрі (започатковуючи</w:t>
      </w:r>
      <w:r>
        <w:rPr>
          <w:rFonts w:ascii="Times New Roman" w:hAnsi="Times New Roman" w:cs="Times New Roman"/>
          <w:sz w:val="28"/>
          <w:szCs w:val="28"/>
          <w:lang w:val="uk-UA"/>
        </w:rPr>
        <w:t xml:space="preserve"> таким чином</w:t>
      </w:r>
      <w:r w:rsidRPr="0057732D">
        <w:rPr>
          <w:rFonts w:ascii="Times New Roman" w:hAnsi="Times New Roman" w:cs="Times New Roman"/>
          <w:sz w:val="28"/>
          <w:szCs w:val="28"/>
          <w:lang w:val="uk-UA"/>
        </w:rPr>
        <w:t xml:space="preserve"> так зва</w:t>
      </w:r>
      <w:r>
        <w:rPr>
          <w:rFonts w:ascii="Times New Roman" w:hAnsi="Times New Roman" w:cs="Times New Roman"/>
          <w:sz w:val="28"/>
          <w:szCs w:val="28"/>
          <w:lang w:val="uk-UA"/>
        </w:rPr>
        <w:t>ний «психологічний цикл успіху»</w:t>
      </w:r>
      <w:r w:rsidRPr="0057732D">
        <w:rPr>
          <w:rFonts w:ascii="Times New Roman" w:hAnsi="Times New Roman" w:cs="Times New Roman"/>
          <w:sz w:val="28"/>
          <w:szCs w:val="28"/>
          <w:lang w:val="uk-UA"/>
        </w:rPr>
        <w:t xml:space="preserve">). Крім того, </w:t>
      </w:r>
      <w:r>
        <w:rPr>
          <w:rFonts w:ascii="Times New Roman" w:hAnsi="Times New Roman" w:cs="Times New Roman"/>
          <w:sz w:val="28"/>
          <w:szCs w:val="28"/>
          <w:lang w:val="uk-UA"/>
        </w:rPr>
        <w:t>було також встановлено</w:t>
      </w:r>
      <w:r w:rsidRPr="0057732D">
        <w:rPr>
          <w:rFonts w:ascii="Times New Roman" w:hAnsi="Times New Roman" w:cs="Times New Roman"/>
          <w:sz w:val="28"/>
          <w:szCs w:val="28"/>
          <w:lang w:val="uk-UA"/>
        </w:rPr>
        <w:t xml:space="preserve">, що коли суб’єктивні результати не співвідносяться з об’єктивним успіхом або невдачею, люди </w:t>
      </w:r>
      <w:r>
        <w:rPr>
          <w:rFonts w:ascii="Times New Roman" w:hAnsi="Times New Roman" w:cs="Times New Roman"/>
          <w:sz w:val="28"/>
          <w:szCs w:val="28"/>
          <w:lang w:val="uk-UA"/>
        </w:rPr>
        <w:t xml:space="preserve">за подібних обставим </w:t>
      </w:r>
      <w:r w:rsidRPr="0057732D">
        <w:rPr>
          <w:rFonts w:ascii="Times New Roman" w:hAnsi="Times New Roman" w:cs="Times New Roman"/>
          <w:sz w:val="28"/>
          <w:szCs w:val="28"/>
          <w:lang w:val="uk-UA"/>
        </w:rPr>
        <w:t xml:space="preserve">будуть </w:t>
      </w:r>
      <w:r>
        <w:rPr>
          <w:rFonts w:ascii="Times New Roman" w:hAnsi="Times New Roman" w:cs="Times New Roman"/>
          <w:sz w:val="28"/>
          <w:szCs w:val="28"/>
          <w:lang w:val="uk-UA"/>
        </w:rPr>
        <w:t xml:space="preserve">намагатися </w:t>
      </w:r>
      <w:r w:rsidRPr="0057732D">
        <w:rPr>
          <w:rFonts w:ascii="Times New Roman" w:hAnsi="Times New Roman" w:cs="Times New Roman"/>
          <w:sz w:val="28"/>
          <w:szCs w:val="28"/>
          <w:lang w:val="uk-UA"/>
        </w:rPr>
        <w:t xml:space="preserve">проводити пост-раціоналізацію, яка допоможе їм підтримувати настрій і рівновагу. Подібні ідеї зустрічаються в літературі щодо зменшення когнітивного дисонансу </w:t>
      </w:r>
      <w:r w:rsidRPr="005D1B01">
        <w:rPr>
          <w:rFonts w:ascii="Times New Roman" w:hAnsi="Times New Roman" w:cs="Times New Roman"/>
          <w:sz w:val="28"/>
          <w:szCs w:val="28"/>
          <w:lang w:val="uk-UA"/>
        </w:rPr>
        <w:t>[43]</w:t>
      </w:r>
      <w:r w:rsidRPr="0057732D">
        <w:rPr>
          <w:rFonts w:ascii="Times New Roman" w:hAnsi="Times New Roman" w:cs="Times New Roman"/>
          <w:sz w:val="28"/>
          <w:szCs w:val="28"/>
          <w:lang w:val="uk-UA"/>
        </w:rPr>
        <w:t>.</w:t>
      </w:r>
    </w:p>
    <w:p w14:paraId="13E68C0B" w14:textId="77777777" w:rsidR="00571B42" w:rsidRPr="0057732D"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зауважити нестандартну ситуацію, що стосується останнього випадку. За подібних обставин </w:t>
      </w:r>
      <w:r w:rsidRPr="0057732D">
        <w:rPr>
          <w:rFonts w:ascii="Times New Roman" w:hAnsi="Times New Roman" w:cs="Times New Roman"/>
          <w:sz w:val="28"/>
          <w:szCs w:val="28"/>
          <w:lang w:val="uk-UA"/>
        </w:rPr>
        <w:t xml:space="preserve">альтернативна теорія полягає в тому, що визначення успіху в кар’єрі людей формуються безперервно протягом </w:t>
      </w:r>
      <w:r>
        <w:rPr>
          <w:rFonts w:ascii="Times New Roman" w:hAnsi="Times New Roman" w:cs="Times New Roman"/>
          <w:sz w:val="28"/>
          <w:szCs w:val="28"/>
          <w:lang w:val="uk-UA"/>
        </w:rPr>
        <w:t xml:space="preserve">всього їхнього </w:t>
      </w:r>
      <w:r w:rsidRPr="0057732D">
        <w:rPr>
          <w:rFonts w:ascii="Times New Roman" w:hAnsi="Times New Roman" w:cs="Times New Roman"/>
          <w:sz w:val="28"/>
          <w:szCs w:val="28"/>
          <w:lang w:val="uk-UA"/>
        </w:rPr>
        <w:t xml:space="preserve">життя, змінюючись щоразу, коли зміни в особистому житті впливають на їхні </w:t>
      </w:r>
      <w:r>
        <w:rPr>
          <w:rFonts w:ascii="Times New Roman" w:hAnsi="Times New Roman" w:cs="Times New Roman"/>
          <w:sz w:val="28"/>
          <w:szCs w:val="28"/>
          <w:lang w:val="uk-UA"/>
        </w:rPr>
        <w:t xml:space="preserve">цінності та </w:t>
      </w:r>
      <w:r w:rsidRPr="0057732D">
        <w:rPr>
          <w:rFonts w:ascii="Times New Roman" w:hAnsi="Times New Roman" w:cs="Times New Roman"/>
          <w:sz w:val="28"/>
          <w:szCs w:val="28"/>
          <w:lang w:val="uk-UA"/>
        </w:rPr>
        <w:t xml:space="preserve">пріоритети. Наприклад, </w:t>
      </w:r>
      <w:r>
        <w:rPr>
          <w:rFonts w:ascii="Times New Roman" w:hAnsi="Times New Roman" w:cs="Times New Roman"/>
          <w:sz w:val="28"/>
          <w:szCs w:val="28"/>
          <w:lang w:val="uk-UA"/>
        </w:rPr>
        <w:t xml:space="preserve">найчастіше трапляється ситуація, коли в родині народжується дитина. За подібних обставин було підтверджено, що це </w:t>
      </w:r>
      <w:r w:rsidRPr="0057732D">
        <w:rPr>
          <w:rFonts w:ascii="Times New Roman" w:hAnsi="Times New Roman" w:cs="Times New Roman"/>
          <w:sz w:val="28"/>
          <w:szCs w:val="28"/>
          <w:lang w:val="uk-UA"/>
        </w:rPr>
        <w:t>призводить до зменшення центральної ролі робочої ролі</w:t>
      </w:r>
      <w:r>
        <w:rPr>
          <w:rFonts w:ascii="Times New Roman" w:hAnsi="Times New Roman" w:cs="Times New Roman"/>
          <w:sz w:val="28"/>
          <w:szCs w:val="28"/>
          <w:lang w:val="uk-UA"/>
        </w:rPr>
        <w:t xml:space="preserve"> в системі цінностей людини</w:t>
      </w:r>
      <w:r w:rsidRPr="0057732D">
        <w:rPr>
          <w:rFonts w:ascii="Times New Roman" w:hAnsi="Times New Roman" w:cs="Times New Roman"/>
          <w:sz w:val="28"/>
          <w:szCs w:val="28"/>
          <w:lang w:val="uk-UA"/>
        </w:rPr>
        <w:t xml:space="preserve">, хоча й на обмежений період часу. Іншим прикладом може бути відносно неамбітний студент, який відкриває </w:t>
      </w:r>
      <w:r>
        <w:rPr>
          <w:rFonts w:ascii="Times New Roman" w:hAnsi="Times New Roman" w:cs="Times New Roman"/>
          <w:sz w:val="28"/>
          <w:szCs w:val="28"/>
          <w:lang w:val="uk-UA"/>
        </w:rPr>
        <w:t xml:space="preserve">у собі </w:t>
      </w:r>
      <w:r w:rsidRPr="0057732D">
        <w:rPr>
          <w:rFonts w:ascii="Times New Roman" w:hAnsi="Times New Roman" w:cs="Times New Roman"/>
          <w:sz w:val="28"/>
          <w:szCs w:val="28"/>
          <w:lang w:val="uk-UA"/>
        </w:rPr>
        <w:t xml:space="preserve">прихований талант, що вперше в житті викликає в нього або </w:t>
      </w:r>
      <w:r>
        <w:rPr>
          <w:rFonts w:ascii="Times New Roman" w:hAnsi="Times New Roman" w:cs="Times New Roman"/>
          <w:sz w:val="28"/>
          <w:szCs w:val="28"/>
          <w:lang w:val="uk-UA"/>
        </w:rPr>
        <w:t xml:space="preserve">в неї </w:t>
      </w:r>
      <w:r w:rsidRPr="0057732D">
        <w:rPr>
          <w:rFonts w:ascii="Times New Roman" w:hAnsi="Times New Roman" w:cs="Times New Roman"/>
          <w:sz w:val="28"/>
          <w:szCs w:val="28"/>
          <w:lang w:val="uk-UA"/>
        </w:rPr>
        <w:t xml:space="preserve">захоплення </w:t>
      </w:r>
      <w:r>
        <w:rPr>
          <w:rFonts w:ascii="Times New Roman" w:hAnsi="Times New Roman" w:cs="Times New Roman"/>
          <w:sz w:val="28"/>
          <w:szCs w:val="28"/>
          <w:lang w:val="uk-UA"/>
        </w:rPr>
        <w:t xml:space="preserve">конкретною </w:t>
      </w:r>
      <w:r w:rsidRPr="0057732D">
        <w:rPr>
          <w:rFonts w:ascii="Times New Roman" w:hAnsi="Times New Roman" w:cs="Times New Roman"/>
          <w:sz w:val="28"/>
          <w:szCs w:val="28"/>
          <w:lang w:val="uk-UA"/>
        </w:rPr>
        <w:t xml:space="preserve">роботою. В обох прикладах відбувається «об’єктивна» (тобто відчутна, спостережувана) кар’єрна ситуація </w:t>
      </w:r>
      <w:r w:rsidRPr="0057732D">
        <w:rPr>
          <w:rFonts w:ascii="Times New Roman" w:hAnsi="Times New Roman" w:cs="Times New Roman"/>
          <w:sz w:val="28"/>
          <w:szCs w:val="28"/>
          <w:lang w:val="uk-UA"/>
        </w:rPr>
        <w:lastRenderedPageBreak/>
        <w:t xml:space="preserve">або подія, що спричиняє зміну або принаймні еволюцію суб’єктивного визначення кар’єрного успіху, а не навпаки. Для того, щоб отримати більш чітке уявлення про причинно-наслідкові наслідки, які відіграють роль у побудові успіху кар’єри, необхідно набагато більше </w:t>
      </w:r>
      <w:r>
        <w:rPr>
          <w:rFonts w:ascii="Times New Roman" w:hAnsi="Times New Roman" w:cs="Times New Roman"/>
          <w:sz w:val="28"/>
          <w:szCs w:val="28"/>
          <w:lang w:val="uk-UA"/>
        </w:rPr>
        <w:t>уваги приділити дослідженню саме цих процесів</w:t>
      </w:r>
      <w:r w:rsidRPr="0057732D">
        <w:rPr>
          <w:rFonts w:ascii="Times New Roman" w:hAnsi="Times New Roman" w:cs="Times New Roman"/>
          <w:sz w:val="28"/>
          <w:szCs w:val="28"/>
          <w:lang w:val="uk-UA"/>
        </w:rPr>
        <w:t>, за допомогою яки</w:t>
      </w:r>
      <w:r>
        <w:rPr>
          <w:rFonts w:ascii="Times New Roman" w:hAnsi="Times New Roman" w:cs="Times New Roman"/>
          <w:sz w:val="28"/>
          <w:szCs w:val="28"/>
          <w:lang w:val="uk-UA"/>
        </w:rPr>
        <w:t xml:space="preserve">х люди формують значення кар’єрного успіху саме для себе. </w:t>
      </w:r>
      <w:r w:rsidRPr="0057732D">
        <w:rPr>
          <w:rFonts w:ascii="Times New Roman" w:hAnsi="Times New Roman" w:cs="Times New Roman"/>
          <w:sz w:val="28"/>
          <w:szCs w:val="28"/>
          <w:lang w:val="uk-UA"/>
        </w:rPr>
        <w:t xml:space="preserve">Як згадувалося раніше, </w:t>
      </w:r>
      <w:r>
        <w:rPr>
          <w:rFonts w:ascii="Times New Roman" w:hAnsi="Times New Roman" w:cs="Times New Roman"/>
          <w:sz w:val="28"/>
          <w:szCs w:val="28"/>
          <w:lang w:val="uk-UA"/>
        </w:rPr>
        <w:t xml:space="preserve">сучасну наукову </w:t>
      </w:r>
      <w:r w:rsidRPr="0057732D">
        <w:rPr>
          <w:rFonts w:ascii="Times New Roman" w:hAnsi="Times New Roman" w:cs="Times New Roman"/>
          <w:sz w:val="28"/>
          <w:szCs w:val="28"/>
          <w:lang w:val="uk-UA"/>
        </w:rPr>
        <w:t xml:space="preserve">літературу про кар’єру широко критикують за надмірний акцент на детермінантах кар’єри, пов’язаних із особистим впливом (тобто, свобода вибору), на шкоду структурним змінним (тобто, що обмежують або сприяють соціальним структурам). </w:t>
      </w:r>
      <w:r>
        <w:rPr>
          <w:rFonts w:ascii="Times New Roman" w:hAnsi="Times New Roman" w:cs="Times New Roman"/>
          <w:sz w:val="28"/>
          <w:szCs w:val="28"/>
          <w:lang w:val="uk-UA"/>
        </w:rPr>
        <w:t xml:space="preserve">Але наведені висновки наочно та </w:t>
      </w:r>
      <w:r w:rsidRPr="0057732D">
        <w:rPr>
          <w:rFonts w:ascii="Times New Roman" w:hAnsi="Times New Roman" w:cs="Times New Roman"/>
          <w:sz w:val="28"/>
          <w:szCs w:val="28"/>
          <w:lang w:val="uk-UA"/>
        </w:rPr>
        <w:t>чітко демонстру</w:t>
      </w:r>
      <w:r>
        <w:rPr>
          <w:rFonts w:ascii="Times New Roman" w:hAnsi="Times New Roman" w:cs="Times New Roman"/>
          <w:sz w:val="28"/>
          <w:szCs w:val="28"/>
          <w:lang w:val="uk-UA"/>
        </w:rPr>
        <w:t>ють</w:t>
      </w:r>
      <w:r w:rsidRPr="0057732D">
        <w:rPr>
          <w:rFonts w:ascii="Times New Roman" w:hAnsi="Times New Roman" w:cs="Times New Roman"/>
          <w:sz w:val="28"/>
          <w:szCs w:val="28"/>
          <w:lang w:val="uk-UA"/>
        </w:rPr>
        <w:t>, що дослідники повинні бути більш уважними до контекстуальних сил, які формують кар’єру.</w:t>
      </w:r>
    </w:p>
    <w:p w14:paraId="0E9734A7"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57732D">
        <w:rPr>
          <w:rFonts w:ascii="Times New Roman" w:hAnsi="Times New Roman" w:cs="Times New Roman"/>
          <w:sz w:val="28"/>
          <w:szCs w:val="28"/>
          <w:lang w:val="uk-UA"/>
        </w:rPr>
        <w:t>Історичні, культурні та ідеологічні контексти значно впливають на суб’єктивні визначення успіху кар’єри людьми, що, у свою чергу, впливає на їх</w:t>
      </w:r>
      <w:r>
        <w:rPr>
          <w:rFonts w:ascii="Times New Roman" w:hAnsi="Times New Roman" w:cs="Times New Roman"/>
          <w:sz w:val="28"/>
          <w:szCs w:val="28"/>
          <w:lang w:val="uk-UA"/>
        </w:rPr>
        <w:t>ню</w:t>
      </w:r>
      <w:r w:rsidRPr="0057732D">
        <w:rPr>
          <w:rFonts w:ascii="Times New Roman" w:hAnsi="Times New Roman" w:cs="Times New Roman"/>
          <w:sz w:val="28"/>
          <w:szCs w:val="28"/>
          <w:lang w:val="uk-UA"/>
        </w:rPr>
        <w:t xml:space="preserve"> кар’єрну поведінку та </w:t>
      </w:r>
      <w:r>
        <w:rPr>
          <w:rFonts w:ascii="Times New Roman" w:hAnsi="Times New Roman" w:cs="Times New Roman"/>
          <w:sz w:val="28"/>
          <w:szCs w:val="28"/>
          <w:lang w:val="uk-UA"/>
        </w:rPr>
        <w:t xml:space="preserve">прийняті </w:t>
      </w:r>
      <w:r w:rsidRPr="0057732D">
        <w:rPr>
          <w:rFonts w:ascii="Times New Roman" w:hAnsi="Times New Roman" w:cs="Times New Roman"/>
          <w:sz w:val="28"/>
          <w:szCs w:val="28"/>
          <w:lang w:val="uk-UA"/>
        </w:rPr>
        <w:t xml:space="preserve">рішення. Усі три контекстуальні фактори можуть створювати бар’єри та </w:t>
      </w:r>
      <w:r>
        <w:rPr>
          <w:rFonts w:ascii="Times New Roman" w:hAnsi="Times New Roman" w:cs="Times New Roman"/>
          <w:sz w:val="28"/>
          <w:szCs w:val="28"/>
          <w:lang w:val="uk-UA"/>
        </w:rPr>
        <w:t>висвітлювати</w:t>
      </w:r>
      <w:r w:rsidRPr="0057732D">
        <w:rPr>
          <w:rFonts w:ascii="Times New Roman" w:hAnsi="Times New Roman" w:cs="Times New Roman"/>
          <w:sz w:val="28"/>
          <w:szCs w:val="28"/>
          <w:lang w:val="uk-UA"/>
        </w:rPr>
        <w:t xml:space="preserve"> можливості для побудови сенсу кар’єри. Історичним бар’єром може бути, наприклад, поява глобальної фінансової кризи – обмеження можливостей </w:t>
      </w:r>
      <w:r>
        <w:rPr>
          <w:rFonts w:ascii="Times New Roman" w:hAnsi="Times New Roman" w:cs="Times New Roman"/>
          <w:sz w:val="28"/>
          <w:szCs w:val="28"/>
          <w:lang w:val="uk-UA"/>
        </w:rPr>
        <w:t xml:space="preserve">працюючих </w:t>
      </w:r>
      <w:r w:rsidRPr="0057732D">
        <w:rPr>
          <w:rFonts w:ascii="Times New Roman" w:hAnsi="Times New Roman" w:cs="Times New Roman"/>
          <w:sz w:val="28"/>
          <w:szCs w:val="28"/>
          <w:lang w:val="uk-UA"/>
        </w:rPr>
        <w:t>людей виражати свої особисті цінності через кар’єру та робити свідомий вибір</w:t>
      </w:r>
      <w:r>
        <w:rPr>
          <w:rFonts w:ascii="Times New Roman" w:hAnsi="Times New Roman" w:cs="Times New Roman"/>
          <w:sz w:val="28"/>
          <w:szCs w:val="28"/>
          <w:lang w:val="uk-UA"/>
        </w:rPr>
        <w:t xml:space="preserve"> </w:t>
      </w:r>
      <w:r w:rsidRPr="0057732D">
        <w:rPr>
          <w:rFonts w:ascii="Times New Roman" w:hAnsi="Times New Roman" w:cs="Times New Roman"/>
          <w:sz w:val="28"/>
          <w:szCs w:val="28"/>
          <w:lang w:val="uk-UA"/>
        </w:rPr>
        <w:t>– тоді</w:t>
      </w:r>
      <w:r>
        <w:rPr>
          <w:rFonts w:ascii="Times New Roman" w:hAnsi="Times New Roman" w:cs="Times New Roman"/>
          <w:sz w:val="28"/>
          <w:szCs w:val="28"/>
          <w:lang w:val="uk-UA"/>
        </w:rPr>
        <w:t>, як приклад</w:t>
      </w:r>
      <w:r w:rsidRPr="0057732D">
        <w:rPr>
          <w:rFonts w:ascii="Times New Roman" w:hAnsi="Times New Roman" w:cs="Times New Roman"/>
          <w:sz w:val="28"/>
          <w:szCs w:val="28"/>
          <w:lang w:val="uk-UA"/>
        </w:rPr>
        <w:t xml:space="preserve"> історичної можливості</w:t>
      </w:r>
      <w:r>
        <w:rPr>
          <w:rFonts w:ascii="Times New Roman" w:hAnsi="Times New Roman" w:cs="Times New Roman"/>
          <w:sz w:val="28"/>
          <w:szCs w:val="28"/>
          <w:lang w:val="uk-UA"/>
        </w:rPr>
        <w:t>,</w:t>
      </w:r>
      <w:r w:rsidRPr="0057732D">
        <w:rPr>
          <w:rFonts w:ascii="Times New Roman" w:hAnsi="Times New Roman" w:cs="Times New Roman"/>
          <w:sz w:val="28"/>
          <w:szCs w:val="28"/>
          <w:lang w:val="uk-UA"/>
        </w:rPr>
        <w:t xml:space="preserve"> є зростання постмодернізму </w:t>
      </w:r>
      <w:r>
        <w:rPr>
          <w:rFonts w:ascii="Times New Roman" w:hAnsi="Times New Roman" w:cs="Times New Roman"/>
          <w:sz w:val="28"/>
          <w:szCs w:val="28"/>
          <w:lang w:val="uk-UA"/>
        </w:rPr>
        <w:t xml:space="preserve">наукової </w:t>
      </w:r>
      <w:r w:rsidRPr="0057732D">
        <w:rPr>
          <w:rFonts w:ascii="Times New Roman" w:hAnsi="Times New Roman" w:cs="Times New Roman"/>
          <w:sz w:val="28"/>
          <w:szCs w:val="28"/>
          <w:lang w:val="uk-UA"/>
        </w:rPr>
        <w:t xml:space="preserve">думки, відстоюючи те, що єдиної істини не існує, і що люди повинні керувати своїми рішеннями </w:t>
      </w:r>
      <w:r>
        <w:rPr>
          <w:rFonts w:ascii="Times New Roman" w:hAnsi="Times New Roman" w:cs="Times New Roman"/>
          <w:sz w:val="28"/>
          <w:szCs w:val="28"/>
          <w:lang w:val="uk-UA"/>
        </w:rPr>
        <w:t>та власним світоглядом</w:t>
      </w:r>
      <w:r w:rsidRPr="0057732D">
        <w:rPr>
          <w:rFonts w:ascii="Times New Roman" w:hAnsi="Times New Roman" w:cs="Times New Roman"/>
          <w:sz w:val="28"/>
          <w:szCs w:val="28"/>
          <w:lang w:val="uk-UA"/>
        </w:rPr>
        <w:t>. Культура має великий вплив на розподіл кар’єрних можливостей між різними групами: деякі культури, наприклад, не дозволяють жі</w:t>
      </w:r>
      <w:r>
        <w:rPr>
          <w:rFonts w:ascii="Times New Roman" w:hAnsi="Times New Roman" w:cs="Times New Roman"/>
          <w:sz w:val="28"/>
          <w:szCs w:val="28"/>
          <w:lang w:val="uk-UA"/>
        </w:rPr>
        <w:t>нкам працювати поза домом; для інших</w:t>
      </w:r>
      <w:r w:rsidRPr="0057732D">
        <w:rPr>
          <w:rFonts w:ascii="Times New Roman" w:hAnsi="Times New Roman" w:cs="Times New Roman"/>
          <w:sz w:val="28"/>
          <w:szCs w:val="28"/>
          <w:lang w:val="uk-UA"/>
        </w:rPr>
        <w:t xml:space="preserve"> культур</w:t>
      </w:r>
      <w:r>
        <w:rPr>
          <w:rFonts w:ascii="Times New Roman" w:hAnsi="Times New Roman" w:cs="Times New Roman"/>
          <w:sz w:val="28"/>
          <w:szCs w:val="28"/>
          <w:lang w:val="uk-UA"/>
        </w:rPr>
        <w:t>них норм</w:t>
      </w:r>
      <w:r w:rsidRPr="0057732D">
        <w:rPr>
          <w:rFonts w:ascii="Times New Roman" w:hAnsi="Times New Roman" w:cs="Times New Roman"/>
          <w:sz w:val="28"/>
          <w:szCs w:val="28"/>
          <w:lang w:val="uk-UA"/>
        </w:rPr>
        <w:t xml:space="preserve"> характерні кастові системи; інші </w:t>
      </w:r>
      <w:r>
        <w:rPr>
          <w:rFonts w:ascii="Times New Roman" w:hAnsi="Times New Roman" w:cs="Times New Roman"/>
          <w:sz w:val="28"/>
          <w:szCs w:val="28"/>
          <w:lang w:val="uk-UA"/>
        </w:rPr>
        <w:t>характеризуються</w:t>
      </w:r>
      <w:r w:rsidRPr="0057732D">
        <w:rPr>
          <w:rFonts w:ascii="Times New Roman" w:hAnsi="Times New Roman" w:cs="Times New Roman"/>
          <w:sz w:val="28"/>
          <w:szCs w:val="28"/>
          <w:lang w:val="uk-UA"/>
        </w:rPr>
        <w:t xml:space="preserve"> егалітаризм</w:t>
      </w:r>
      <w:r>
        <w:rPr>
          <w:rFonts w:ascii="Times New Roman" w:hAnsi="Times New Roman" w:cs="Times New Roman"/>
          <w:sz w:val="28"/>
          <w:szCs w:val="28"/>
          <w:lang w:val="uk-UA"/>
        </w:rPr>
        <w:t>ом</w:t>
      </w:r>
      <w:r w:rsidRPr="0057732D">
        <w:rPr>
          <w:rFonts w:ascii="Times New Roman" w:hAnsi="Times New Roman" w:cs="Times New Roman"/>
          <w:sz w:val="28"/>
          <w:szCs w:val="28"/>
          <w:lang w:val="uk-UA"/>
        </w:rPr>
        <w:t xml:space="preserve">. Добре задокументовано, що різні культури сприяють різному значенню кар’єри </w:t>
      </w:r>
      <w:r w:rsidRPr="005D1B01">
        <w:rPr>
          <w:rFonts w:ascii="Times New Roman" w:hAnsi="Times New Roman" w:cs="Times New Roman"/>
          <w:sz w:val="28"/>
          <w:szCs w:val="28"/>
          <w:lang w:val="uk-UA"/>
        </w:rPr>
        <w:t>[60]</w:t>
      </w:r>
      <w:r w:rsidRPr="0057732D">
        <w:rPr>
          <w:rFonts w:ascii="Times New Roman" w:hAnsi="Times New Roman" w:cs="Times New Roman"/>
          <w:sz w:val="28"/>
          <w:szCs w:val="28"/>
          <w:lang w:val="uk-UA"/>
        </w:rPr>
        <w:t>. Такі ідеології, як «</w:t>
      </w:r>
      <w:r>
        <w:rPr>
          <w:rFonts w:ascii="Times New Roman" w:hAnsi="Times New Roman" w:cs="Times New Roman"/>
          <w:sz w:val="28"/>
          <w:szCs w:val="28"/>
          <w:lang w:val="uk-UA"/>
        </w:rPr>
        <w:t>а</w:t>
      </w:r>
      <w:r w:rsidRPr="0057732D">
        <w:rPr>
          <w:rFonts w:ascii="Times New Roman" w:hAnsi="Times New Roman" w:cs="Times New Roman"/>
          <w:sz w:val="28"/>
          <w:szCs w:val="28"/>
          <w:lang w:val="uk-UA"/>
        </w:rPr>
        <w:t xml:space="preserve">мериканська мрія», можуть створювати </w:t>
      </w:r>
      <w:r>
        <w:rPr>
          <w:rFonts w:ascii="Times New Roman" w:hAnsi="Times New Roman" w:cs="Times New Roman"/>
          <w:sz w:val="28"/>
          <w:szCs w:val="28"/>
          <w:lang w:val="uk-UA"/>
        </w:rPr>
        <w:t xml:space="preserve">та розвивати певні </w:t>
      </w:r>
      <w:r w:rsidRPr="0057732D">
        <w:rPr>
          <w:rFonts w:ascii="Times New Roman" w:hAnsi="Times New Roman" w:cs="Times New Roman"/>
          <w:sz w:val="28"/>
          <w:szCs w:val="28"/>
          <w:lang w:val="uk-UA"/>
        </w:rPr>
        <w:t>можливості, оскільки вони заохочують і надихають людей слідувати своїм мріям</w:t>
      </w:r>
      <w:r>
        <w:rPr>
          <w:rFonts w:ascii="Times New Roman" w:hAnsi="Times New Roman" w:cs="Times New Roman"/>
          <w:sz w:val="28"/>
          <w:szCs w:val="28"/>
          <w:lang w:val="uk-UA"/>
        </w:rPr>
        <w:t xml:space="preserve"> та досягати своїх цілей</w:t>
      </w:r>
      <w:r w:rsidRPr="0057732D">
        <w:rPr>
          <w:rFonts w:ascii="Times New Roman" w:hAnsi="Times New Roman" w:cs="Times New Roman"/>
          <w:sz w:val="28"/>
          <w:szCs w:val="28"/>
          <w:lang w:val="uk-UA"/>
        </w:rPr>
        <w:t xml:space="preserve">. Однак вони також можуть створювати </w:t>
      </w:r>
      <w:r>
        <w:rPr>
          <w:rFonts w:ascii="Times New Roman" w:hAnsi="Times New Roman" w:cs="Times New Roman"/>
          <w:sz w:val="28"/>
          <w:szCs w:val="28"/>
          <w:lang w:val="uk-UA"/>
        </w:rPr>
        <w:t xml:space="preserve">певні суттєві </w:t>
      </w:r>
      <w:r w:rsidRPr="0057732D">
        <w:rPr>
          <w:rFonts w:ascii="Times New Roman" w:hAnsi="Times New Roman" w:cs="Times New Roman"/>
          <w:sz w:val="28"/>
          <w:szCs w:val="28"/>
          <w:lang w:val="uk-UA"/>
        </w:rPr>
        <w:t xml:space="preserve">перешкоди, оскільки </w:t>
      </w:r>
      <w:r>
        <w:rPr>
          <w:rFonts w:ascii="Times New Roman" w:hAnsi="Times New Roman" w:cs="Times New Roman"/>
          <w:sz w:val="28"/>
          <w:szCs w:val="28"/>
          <w:lang w:val="uk-UA"/>
        </w:rPr>
        <w:t>уповільнювати</w:t>
      </w:r>
      <w:r w:rsidRPr="0057732D">
        <w:rPr>
          <w:rFonts w:ascii="Times New Roman" w:hAnsi="Times New Roman" w:cs="Times New Roman"/>
          <w:sz w:val="28"/>
          <w:szCs w:val="28"/>
          <w:lang w:val="uk-UA"/>
        </w:rPr>
        <w:t xml:space="preserve"> розвит</w:t>
      </w:r>
      <w:r>
        <w:rPr>
          <w:rFonts w:ascii="Times New Roman" w:hAnsi="Times New Roman" w:cs="Times New Roman"/>
          <w:sz w:val="28"/>
          <w:szCs w:val="28"/>
          <w:lang w:val="uk-UA"/>
        </w:rPr>
        <w:t>ок</w:t>
      </w:r>
      <w:r w:rsidRPr="0057732D">
        <w:rPr>
          <w:rFonts w:ascii="Times New Roman" w:hAnsi="Times New Roman" w:cs="Times New Roman"/>
          <w:sz w:val="28"/>
          <w:szCs w:val="28"/>
          <w:lang w:val="uk-UA"/>
        </w:rPr>
        <w:t xml:space="preserve"> та знеціню</w:t>
      </w:r>
      <w:r>
        <w:rPr>
          <w:rFonts w:ascii="Times New Roman" w:hAnsi="Times New Roman" w:cs="Times New Roman"/>
          <w:sz w:val="28"/>
          <w:szCs w:val="28"/>
          <w:lang w:val="uk-UA"/>
        </w:rPr>
        <w:t>вати</w:t>
      </w:r>
      <w:r w:rsidRPr="0057732D">
        <w:rPr>
          <w:rFonts w:ascii="Times New Roman" w:hAnsi="Times New Roman" w:cs="Times New Roman"/>
          <w:sz w:val="28"/>
          <w:szCs w:val="28"/>
          <w:lang w:val="uk-UA"/>
        </w:rPr>
        <w:t xml:space="preserve"> впровадження а</w:t>
      </w:r>
      <w:r>
        <w:rPr>
          <w:rFonts w:ascii="Times New Roman" w:hAnsi="Times New Roman" w:cs="Times New Roman"/>
          <w:sz w:val="28"/>
          <w:szCs w:val="28"/>
          <w:lang w:val="uk-UA"/>
        </w:rPr>
        <w:t>льтернативних траєкторій кар’єрного успіху</w:t>
      </w:r>
      <w:r w:rsidRPr="0057732D">
        <w:rPr>
          <w:rFonts w:ascii="Times New Roman" w:hAnsi="Times New Roman" w:cs="Times New Roman"/>
          <w:sz w:val="28"/>
          <w:szCs w:val="28"/>
          <w:lang w:val="uk-UA"/>
        </w:rPr>
        <w:t>.</w:t>
      </w:r>
      <w:r>
        <w:rPr>
          <w:rFonts w:ascii="Times New Roman" w:hAnsi="Times New Roman" w:cs="Times New Roman"/>
          <w:sz w:val="28"/>
          <w:szCs w:val="28"/>
          <w:lang w:val="uk-UA"/>
        </w:rPr>
        <w:t xml:space="preserve"> Виявлені непереборні реальні</w:t>
      </w:r>
      <w:r w:rsidRPr="0057732D">
        <w:rPr>
          <w:rFonts w:ascii="Times New Roman" w:hAnsi="Times New Roman" w:cs="Times New Roman"/>
          <w:sz w:val="28"/>
          <w:szCs w:val="28"/>
          <w:lang w:val="uk-UA"/>
        </w:rPr>
        <w:t xml:space="preserve"> складності, які </w:t>
      </w:r>
      <w:r w:rsidRPr="0057732D">
        <w:rPr>
          <w:rFonts w:ascii="Times New Roman" w:hAnsi="Times New Roman" w:cs="Times New Roman"/>
          <w:sz w:val="28"/>
          <w:szCs w:val="28"/>
          <w:lang w:val="uk-UA"/>
        </w:rPr>
        <w:lastRenderedPageBreak/>
        <w:t xml:space="preserve">перешкоджають точним довгостроковим прогнозам важливих кар’єрних результатів, все частіше визнаються в </w:t>
      </w:r>
      <w:r>
        <w:rPr>
          <w:rFonts w:ascii="Times New Roman" w:hAnsi="Times New Roman" w:cs="Times New Roman"/>
          <w:sz w:val="28"/>
          <w:szCs w:val="28"/>
          <w:lang w:val="uk-UA"/>
        </w:rPr>
        <w:t xml:space="preserve">сучасній науковій </w:t>
      </w:r>
      <w:r w:rsidRPr="0057732D">
        <w:rPr>
          <w:rFonts w:ascii="Times New Roman" w:hAnsi="Times New Roman" w:cs="Times New Roman"/>
          <w:sz w:val="28"/>
          <w:szCs w:val="28"/>
          <w:lang w:val="uk-UA"/>
        </w:rPr>
        <w:t xml:space="preserve">літературі. У відповідь кілька дослідників намагалися застосувати набагато складніші парадигми прогнозування </w:t>
      </w:r>
      <w:r>
        <w:rPr>
          <w:rFonts w:ascii="Times New Roman" w:hAnsi="Times New Roman" w:cs="Times New Roman"/>
          <w:sz w:val="28"/>
          <w:szCs w:val="28"/>
          <w:lang w:val="uk-UA"/>
        </w:rPr>
        <w:t>успішної</w:t>
      </w:r>
      <w:r w:rsidRPr="0057732D">
        <w:rPr>
          <w:rFonts w:ascii="Times New Roman" w:hAnsi="Times New Roman" w:cs="Times New Roman"/>
          <w:sz w:val="28"/>
          <w:szCs w:val="28"/>
          <w:lang w:val="uk-UA"/>
        </w:rPr>
        <w:t xml:space="preserve"> кар’єри – найпомітнішими прикладами є системна теорія розвитку кар’єри, теорія хаосу кар’єри, теорія запланованих випадковостей і теорія контекстної дії кар’єри.</w:t>
      </w:r>
    </w:p>
    <w:p w14:paraId="59CB960D" w14:textId="77777777" w:rsidR="00571B42" w:rsidRPr="0057732D"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Наступний цікавий та важливий висновок </w:t>
      </w:r>
      <w:r w:rsidRPr="0057732D">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сучасних </w:t>
      </w:r>
      <w:r w:rsidRPr="0057732D">
        <w:rPr>
          <w:rFonts w:ascii="Times New Roman" w:hAnsi="Times New Roman" w:cs="Times New Roman"/>
          <w:sz w:val="28"/>
          <w:szCs w:val="28"/>
          <w:lang w:val="uk-UA"/>
        </w:rPr>
        <w:t>дослідників, як</w:t>
      </w:r>
      <w:r>
        <w:rPr>
          <w:rFonts w:ascii="Times New Roman" w:hAnsi="Times New Roman" w:cs="Times New Roman"/>
          <w:sz w:val="28"/>
          <w:szCs w:val="28"/>
          <w:lang w:val="uk-UA"/>
        </w:rPr>
        <w:t>ий</w:t>
      </w:r>
      <w:r w:rsidRPr="0057732D">
        <w:rPr>
          <w:rFonts w:ascii="Times New Roman" w:hAnsi="Times New Roman" w:cs="Times New Roman"/>
          <w:sz w:val="28"/>
          <w:szCs w:val="28"/>
          <w:lang w:val="uk-UA"/>
        </w:rPr>
        <w:t xml:space="preserve"> пов’язан</w:t>
      </w:r>
      <w:r>
        <w:rPr>
          <w:rFonts w:ascii="Times New Roman" w:hAnsi="Times New Roman" w:cs="Times New Roman"/>
          <w:sz w:val="28"/>
          <w:szCs w:val="28"/>
          <w:lang w:val="uk-UA"/>
        </w:rPr>
        <w:t>ий</w:t>
      </w:r>
      <w:r w:rsidRPr="0057732D">
        <w:rPr>
          <w:rFonts w:ascii="Times New Roman" w:hAnsi="Times New Roman" w:cs="Times New Roman"/>
          <w:sz w:val="28"/>
          <w:szCs w:val="28"/>
          <w:lang w:val="uk-UA"/>
        </w:rPr>
        <w:t xml:space="preserve"> з попереднім пунктом, </w:t>
      </w:r>
      <w:r>
        <w:rPr>
          <w:rFonts w:ascii="Times New Roman" w:hAnsi="Times New Roman" w:cs="Times New Roman"/>
          <w:sz w:val="28"/>
          <w:szCs w:val="28"/>
          <w:lang w:val="uk-UA"/>
        </w:rPr>
        <w:t xml:space="preserve">може </w:t>
      </w:r>
      <w:r w:rsidRPr="0057732D">
        <w:rPr>
          <w:rFonts w:ascii="Times New Roman" w:hAnsi="Times New Roman" w:cs="Times New Roman"/>
          <w:sz w:val="28"/>
          <w:szCs w:val="28"/>
          <w:lang w:val="uk-UA"/>
        </w:rPr>
        <w:t>поляга</w:t>
      </w:r>
      <w:r>
        <w:rPr>
          <w:rFonts w:ascii="Times New Roman" w:hAnsi="Times New Roman" w:cs="Times New Roman"/>
          <w:sz w:val="28"/>
          <w:szCs w:val="28"/>
          <w:lang w:val="uk-UA"/>
        </w:rPr>
        <w:t>ти</w:t>
      </w:r>
      <w:r w:rsidRPr="0057732D">
        <w:rPr>
          <w:rFonts w:ascii="Times New Roman" w:hAnsi="Times New Roman" w:cs="Times New Roman"/>
          <w:sz w:val="28"/>
          <w:szCs w:val="28"/>
          <w:lang w:val="uk-UA"/>
        </w:rPr>
        <w:t xml:space="preserve"> в тому, що дослідники у сфері кар’єри повинні практикувати більше саморефлексії та чіткіше заявляти про свої інтереси та плани. </w:t>
      </w:r>
      <w:r>
        <w:rPr>
          <w:rFonts w:ascii="Times New Roman" w:hAnsi="Times New Roman" w:cs="Times New Roman"/>
          <w:sz w:val="28"/>
          <w:szCs w:val="28"/>
          <w:lang w:val="uk-UA"/>
        </w:rPr>
        <w:t>У сучасній науковій літературі можна зустріти часті приклади, коли їхні</w:t>
      </w:r>
      <w:r w:rsidRPr="0057732D">
        <w:rPr>
          <w:rFonts w:ascii="Times New Roman" w:hAnsi="Times New Roman" w:cs="Times New Roman"/>
          <w:sz w:val="28"/>
          <w:szCs w:val="28"/>
          <w:lang w:val="uk-UA"/>
        </w:rPr>
        <w:t xml:space="preserve"> особисті бачення та інтереси, які вони прагнуть </w:t>
      </w:r>
      <w:r>
        <w:rPr>
          <w:rFonts w:ascii="Times New Roman" w:hAnsi="Times New Roman" w:cs="Times New Roman"/>
          <w:sz w:val="28"/>
          <w:szCs w:val="28"/>
          <w:lang w:val="uk-UA"/>
        </w:rPr>
        <w:t xml:space="preserve">активно розповсюдити та </w:t>
      </w:r>
      <w:r w:rsidRPr="0057732D">
        <w:rPr>
          <w:rFonts w:ascii="Times New Roman" w:hAnsi="Times New Roman" w:cs="Times New Roman"/>
          <w:sz w:val="28"/>
          <w:szCs w:val="28"/>
          <w:lang w:val="uk-UA"/>
        </w:rPr>
        <w:t>просу</w:t>
      </w:r>
      <w:r>
        <w:rPr>
          <w:rFonts w:ascii="Times New Roman" w:hAnsi="Times New Roman" w:cs="Times New Roman"/>
          <w:sz w:val="28"/>
          <w:szCs w:val="28"/>
          <w:lang w:val="uk-UA"/>
        </w:rPr>
        <w:t xml:space="preserve">нути, </w:t>
      </w:r>
      <w:r w:rsidRPr="0057732D">
        <w:rPr>
          <w:rFonts w:ascii="Times New Roman" w:hAnsi="Times New Roman" w:cs="Times New Roman"/>
          <w:sz w:val="28"/>
          <w:szCs w:val="28"/>
          <w:lang w:val="uk-UA"/>
        </w:rPr>
        <w:t xml:space="preserve">приховані, містифіковані або поховані в аналізі, який </w:t>
      </w:r>
      <w:r>
        <w:rPr>
          <w:rFonts w:ascii="Times New Roman" w:hAnsi="Times New Roman" w:cs="Times New Roman"/>
          <w:sz w:val="28"/>
          <w:szCs w:val="28"/>
          <w:lang w:val="uk-UA"/>
        </w:rPr>
        <w:t xml:space="preserve">видається нейтральним. </w:t>
      </w:r>
      <w:r w:rsidRPr="0057732D">
        <w:rPr>
          <w:rFonts w:ascii="Times New Roman" w:hAnsi="Times New Roman" w:cs="Times New Roman"/>
          <w:sz w:val="28"/>
          <w:szCs w:val="28"/>
          <w:lang w:val="uk-UA"/>
        </w:rPr>
        <w:t xml:space="preserve">Цілком ймовірно, що більшість, якщо не всі, </w:t>
      </w:r>
      <w:r>
        <w:rPr>
          <w:rFonts w:ascii="Times New Roman" w:hAnsi="Times New Roman" w:cs="Times New Roman"/>
          <w:sz w:val="28"/>
          <w:szCs w:val="28"/>
          <w:lang w:val="uk-UA"/>
        </w:rPr>
        <w:t xml:space="preserve">сучасні </w:t>
      </w:r>
      <w:r w:rsidRPr="0057732D">
        <w:rPr>
          <w:rFonts w:ascii="Times New Roman" w:hAnsi="Times New Roman" w:cs="Times New Roman"/>
          <w:sz w:val="28"/>
          <w:szCs w:val="28"/>
          <w:lang w:val="uk-UA"/>
        </w:rPr>
        <w:t xml:space="preserve">дослідники </w:t>
      </w:r>
      <w:r>
        <w:rPr>
          <w:rFonts w:ascii="Times New Roman" w:hAnsi="Times New Roman" w:cs="Times New Roman"/>
          <w:sz w:val="28"/>
          <w:szCs w:val="28"/>
          <w:lang w:val="uk-UA"/>
        </w:rPr>
        <w:t xml:space="preserve">успішної </w:t>
      </w:r>
      <w:r w:rsidRPr="0057732D">
        <w:rPr>
          <w:rFonts w:ascii="Times New Roman" w:hAnsi="Times New Roman" w:cs="Times New Roman"/>
          <w:sz w:val="28"/>
          <w:szCs w:val="28"/>
          <w:lang w:val="uk-UA"/>
        </w:rPr>
        <w:t xml:space="preserve">кар’єри проектують свої особисті визначення успіху кар’єри на свою академічну роботу, принаймні певною мірою. </w:t>
      </w:r>
      <w:r>
        <w:rPr>
          <w:rFonts w:ascii="Times New Roman" w:hAnsi="Times New Roman" w:cs="Times New Roman"/>
          <w:sz w:val="28"/>
          <w:szCs w:val="28"/>
          <w:lang w:val="uk-UA"/>
        </w:rPr>
        <w:t>Важливо підкреслити та відобразити</w:t>
      </w:r>
      <w:r w:rsidRPr="0057732D">
        <w:rPr>
          <w:rFonts w:ascii="Times New Roman" w:hAnsi="Times New Roman" w:cs="Times New Roman"/>
          <w:sz w:val="28"/>
          <w:szCs w:val="28"/>
          <w:lang w:val="uk-UA"/>
        </w:rPr>
        <w:t xml:space="preserve">, як академічна кар’єра є ідеальним прикладом безмежної кар’єри: вона виконується в сфері, яка складається виключно з працівників розумової </w:t>
      </w:r>
      <w:r>
        <w:rPr>
          <w:rFonts w:ascii="Times New Roman" w:hAnsi="Times New Roman" w:cs="Times New Roman"/>
          <w:sz w:val="28"/>
          <w:szCs w:val="28"/>
          <w:lang w:val="uk-UA"/>
        </w:rPr>
        <w:t xml:space="preserve">та інтелектуальної </w:t>
      </w:r>
      <w:r w:rsidRPr="0057732D">
        <w:rPr>
          <w:rFonts w:ascii="Times New Roman" w:hAnsi="Times New Roman" w:cs="Times New Roman"/>
          <w:sz w:val="28"/>
          <w:szCs w:val="28"/>
          <w:lang w:val="uk-UA"/>
        </w:rPr>
        <w:t xml:space="preserve">праці; </w:t>
      </w:r>
      <w:r>
        <w:rPr>
          <w:rFonts w:ascii="Times New Roman" w:hAnsi="Times New Roman" w:cs="Times New Roman"/>
          <w:sz w:val="28"/>
          <w:szCs w:val="28"/>
          <w:lang w:val="uk-UA"/>
        </w:rPr>
        <w:t>людина</w:t>
      </w:r>
      <w:r w:rsidRPr="0057732D">
        <w:rPr>
          <w:rFonts w:ascii="Times New Roman" w:hAnsi="Times New Roman" w:cs="Times New Roman"/>
          <w:sz w:val="28"/>
          <w:szCs w:val="28"/>
          <w:lang w:val="uk-UA"/>
        </w:rPr>
        <w:t xml:space="preserve"> </w:t>
      </w:r>
      <w:r>
        <w:rPr>
          <w:rFonts w:ascii="Times New Roman" w:hAnsi="Times New Roman" w:cs="Times New Roman"/>
          <w:sz w:val="28"/>
          <w:szCs w:val="28"/>
          <w:lang w:val="uk-UA"/>
        </w:rPr>
        <w:t>досягає успіху</w:t>
      </w:r>
      <w:r w:rsidRPr="0057732D">
        <w:rPr>
          <w:rFonts w:ascii="Times New Roman" w:hAnsi="Times New Roman" w:cs="Times New Roman"/>
          <w:sz w:val="28"/>
          <w:szCs w:val="28"/>
          <w:lang w:val="uk-UA"/>
        </w:rPr>
        <w:t xml:space="preserve"> завдяки крос-</w:t>
      </w:r>
      <w:proofErr w:type="spellStart"/>
      <w:r w:rsidRPr="0057732D">
        <w:rPr>
          <w:rFonts w:ascii="Times New Roman" w:hAnsi="Times New Roman" w:cs="Times New Roman"/>
          <w:sz w:val="28"/>
          <w:szCs w:val="28"/>
          <w:lang w:val="uk-UA"/>
        </w:rPr>
        <w:t>бойдарській</w:t>
      </w:r>
      <w:proofErr w:type="spellEnd"/>
      <w:r w:rsidRPr="0057732D">
        <w:rPr>
          <w:rFonts w:ascii="Times New Roman" w:hAnsi="Times New Roman" w:cs="Times New Roman"/>
          <w:sz w:val="28"/>
          <w:szCs w:val="28"/>
          <w:lang w:val="uk-UA"/>
        </w:rPr>
        <w:t xml:space="preserve"> співпраці; </w:t>
      </w:r>
      <w:r>
        <w:rPr>
          <w:rFonts w:ascii="Times New Roman" w:hAnsi="Times New Roman" w:cs="Times New Roman"/>
          <w:sz w:val="28"/>
          <w:szCs w:val="28"/>
          <w:lang w:val="uk-UA"/>
        </w:rPr>
        <w:t>робочий процес</w:t>
      </w:r>
      <w:r w:rsidRPr="0057732D">
        <w:rPr>
          <w:rFonts w:ascii="Times New Roman" w:hAnsi="Times New Roman" w:cs="Times New Roman"/>
          <w:sz w:val="28"/>
          <w:szCs w:val="28"/>
          <w:lang w:val="uk-UA"/>
        </w:rPr>
        <w:t xml:space="preserve"> характеризується </w:t>
      </w:r>
      <w:proofErr w:type="spellStart"/>
      <w:r w:rsidRPr="0057732D">
        <w:rPr>
          <w:rFonts w:ascii="Times New Roman" w:hAnsi="Times New Roman" w:cs="Times New Roman"/>
          <w:sz w:val="28"/>
          <w:szCs w:val="28"/>
          <w:lang w:val="uk-UA"/>
        </w:rPr>
        <w:t>квазіневимушеною</w:t>
      </w:r>
      <w:proofErr w:type="spellEnd"/>
      <w:r w:rsidRPr="0057732D">
        <w:rPr>
          <w:rFonts w:ascii="Times New Roman" w:hAnsi="Times New Roman" w:cs="Times New Roman"/>
          <w:sz w:val="28"/>
          <w:szCs w:val="28"/>
          <w:lang w:val="uk-UA"/>
        </w:rPr>
        <w:t xml:space="preserve"> міжнародною мобільністю; і більшість тих, хто працює в наукових колах, мають строкові контракти. Особистий досвід дослідників кар’єри з безмежними </w:t>
      </w:r>
      <w:r>
        <w:rPr>
          <w:rFonts w:ascii="Times New Roman" w:hAnsi="Times New Roman" w:cs="Times New Roman"/>
          <w:sz w:val="28"/>
          <w:szCs w:val="28"/>
          <w:lang w:val="uk-UA"/>
        </w:rPr>
        <w:t xml:space="preserve">її </w:t>
      </w:r>
      <w:r w:rsidRPr="0057732D">
        <w:rPr>
          <w:rFonts w:ascii="Times New Roman" w:hAnsi="Times New Roman" w:cs="Times New Roman"/>
          <w:sz w:val="28"/>
          <w:szCs w:val="28"/>
          <w:lang w:val="uk-UA"/>
        </w:rPr>
        <w:t>формами може змусити їх переоцінити поширеність цього явища серед населення в цілому.</w:t>
      </w:r>
    </w:p>
    <w:p w14:paraId="72485114" w14:textId="0268C9C3" w:rsidR="00571B42" w:rsidRPr="0057732D"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попередній частині проведеного дослідження було вже розглянуто</w:t>
      </w:r>
      <w:r w:rsidRPr="0057732D">
        <w:rPr>
          <w:rFonts w:ascii="Times New Roman" w:hAnsi="Times New Roman" w:cs="Times New Roman"/>
          <w:sz w:val="28"/>
          <w:szCs w:val="28"/>
          <w:lang w:val="uk-UA"/>
        </w:rPr>
        <w:t xml:space="preserve"> вплив національної культури на визначення успіху кар’єри людьми. </w:t>
      </w:r>
      <w:r>
        <w:rPr>
          <w:rFonts w:ascii="Times New Roman" w:hAnsi="Times New Roman" w:cs="Times New Roman"/>
          <w:sz w:val="28"/>
          <w:szCs w:val="28"/>
          <w:lang w:val="uk-UA"/>
        </w:rPr>
        <w:t xml:space="preserve">Проведений аналіз оцінок </w:t>
      </w:r>
      <w:r w:rsidRPr="0057732D">
        <w:rPr>
          <w:rFonts w:ascii="Times New Roman" w:hAnsi="Times New Roman" w:cs="Times New Roman"/>
          <w:sz w:val="28"/>
          <w:szCs w:val="28"/>
          <w:lang w:val="uk-UA"/>
        </w:rPr>
        <w:t>вияв</w:t>
      </w:r>
      <w:r>
        <w:rPr>
          <w:rFonts w:ascii="Times New Roman" w:hAnsi="Times New Roman" w:cs="Times New Roman"/>
          <w:sz w:val="28"/>
          <w:szCs w:val="28"/>
          <w:lang w:val="uk-UA"/>
        </w:rPr>
        <w:t>ив</w:t>
      </w:r>
      <w:r w:rsidRPr="0057732D">
        <w:rPr>
          <w:rFonts w:ascii="Times New Roman" w:hAnsi="Times New Roman" w:cs="Times New Roman"/>
          <w:sz w:val="28"/>
          <w:szCs w:val="28"/>
          <w:lang w:val="uk-UA"/>
        </w:rPr>
        <w:t xml:space="preserve"> деякі значні відмінності між кількома оцінками США та Великобританії та середніми показниками у світі та Європі, особливо щодо уникнення невизначеності цінностей та індивідуалізму, що може частково пояснити постійн</w:t>
      </w:r>
      <w:r>
        <w:rPr>
          <w:rFonts w:ascii="Times New Roman" w:hAnsi="Times New Roman" w:cs="Times New Roman"/>
          <w:sz w:val="28"/>
          <w:szCs w:val="28"/>
          <w:lang w:val="uk-UA"/>
        </w:rPr>
        <w:t>у</w:t>
      </w:r>
      <w:r w:rsidRPr="005773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наукову </w:t>
      </w:r>
      <w:r w:rsidRPr="0057732D">
        <w:rPr>
          <w:rFonts w:ascii="Times New Roman" w:hAnsi="Times New Roman" w:cs="Times New Roman"/>
          <w:sz w:val="28"/>
          <w:szCs w:val="28"/>
          <w:lang w:val="uk-UA"/>
        </w:rPr>
        <w:t>дискусі</w:t>
      </w:r>
      <w:r>
        <w:rPr>
          <w:rFonts w:ascii="Times New Roman" w:hAnsi="Times New Roman" w:cs="Times New Roman"/>
          <w:sz w:val="28"/>
          <w:szCs w:val="28"/>
          <w:lang w:val="uk-UA"/>
        </w:rPr>
        <w:t>ю</w:t>
      </w:r>
      <w:r w:rsidRPr="0057732D">
        <w:rPr>
          <w:rFonts w:ascii="Times New Roman" w:hAnsi="Times New Roman" w:cs="Times New Roman"/>
          <w:sz w:val="28"/>
          <w:szCs w:val="28"/>
          <w:lang w:val="uk-UA"/>
        </w:rPr>
        <w:t xml:space="preserve"> між американськими та європейськими дослідниками щодо поширеності та привабливості безмежної кар’єри. Американські та британські дослідники загалом із більшим ентузіазмом </w:t>
      </w:r>
      <w:r w:rsidRPr="0057732D">
        <w:rPr>
          <w:rFonts w:ascii="Times New Roman" w:hAnsi="Times New Roman" w:cs="Times New Roman"/>
          <w:sz w:val="28"/>
          <w:szCs w:val="28"/>
          <w:lang w:val="uk-UA"/>
        </w:rPr>
        <w:lastRenderedPageBreak/>
        <w:t xml:space="preserve">ставляться до концепцій безмежної та багатогранної кар’єри, ніж європейські дослідники </w:t>
      </w:r>
      <w:r w:rsidRPr="005D1B01">
        <w:rPr>
          <w:rFonts w:ascii="Times New Roman" w:hAnsi="Times New Roman" w:cs="Times New Roman"/>
          <w:sz w:val="28"/>
          <w:szCs w:val="28"/>
          <w:lang w:val="uk-UA"/>
        </w:rPr>
        <w:t>[43</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44</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45</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46]</w:t>
      </w:r>
      <w:r w:rsidRPr="0057732D">
        <w:rPr>
          <w:rFonts w:ascii="Times New Roman" w:hAnsi="Times New Roman" w:cs="Times New Roman"/>
          <w:sz w:val="28"/>
          <w:szCs w:val="28"/>
          <w:lang w:val="uk-UA"/>
        </w:rPr>
        <w:t>.</w:t>
      </w:r>
    </w:p>
    <w:p w14:paraId="5B5B5CBB" w14:textId="77777777" w:rsidR="00571B42" w:rsidRPr="0057732D"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 погляд, доцільно зазначити, що важливою має стати рекомендація для усіх дослідників з питань </w:t>
      </w:r>
      <w:r w:rsidRPr="0057732D">
        <w:rPr>
          <w:rFonts w:ascii="Times New Roman" w:hAnsi="Times New Roman" w:cs="Times New Roman"/>
          <w:sz w:val="28"/>
          <w:szCs w:val="28"/>
          <w:lang w:val="uk-UA"/>
        </w:rPr>
        <w:t>кар’єри</w:t>
      </w:r>
      <w:r>
        <w:rPr>
          <w:rFonts w:ascii="Times New Roman" w:hAnsi="Times New Roman" w:cs="Times New Roman"/>
          <w:sz w:val="28"/>
          <w:szCs w:val="28"/>
          <w:lang w:val="uk-UA"/>
        </w:rPr>
        <w:t>, які не зобов’язані</w:t>
      </w:r>
      <w:r w:rsidRPr="0057732D">
        <w:rPr>
          <w:rFonts w:ascii="Times New Roman" w:hAnsi="Times New Roman" w:cs="Times New Roman"/>
          <w:sz w:val="28"/>
          <w:szCs w:val="28"/>
          <w:lang w:val="uk-UA"/>
        </w:rPr>
        <w:t xml:space="preserve"> чітко декларували свої плани в усіх своїх </w:t>
      </w:r>
      <w:r>
        <w:rPr>
          <w:rFonts w:ascii="Times New Roman" w:hAnsi="Times New Roman" w:cs="Times New Roman"/>
          <w:sz w:val="28"/>
          <w:szCs w:val="28"/>
          <w:lang w:val="uk-UA"/>
        </w:rPr>
        <w:t xml:space="preserve">наукових публікаціях. </w:t>
      </w:r>
      <w:r w:rsidRPr="0057732D">
        <w:rPr>
          <w:rFonts w:ascii="Times New Roman" w:hAnsi="Times New Roman" w:cs="Times New Roman"/>
          <w:sz w:val="28"/>
          <w:szCs w:val="28"/>
          <w:lang w:val="uk-UA"/>
        </w:rPr>
        <w:t xml:space="preserve">Однак </w:t>
      </w:r>
      <w:r>
        <w:rPr>
          <w:rFonts w:ascii="Times New Roman" w:hAnsi="Times New Roman" w:cs="Times New Roman"/>
          <w:sz w:val="28"/>
          <w:szCs w:val="28"/>
          <w:lang w:val="uk-UA"/>
        </w:rPr>
        <w:t xml:space="preserve">в той же час науковці </w:t>
      </w:r>
      <w:r w:rsidRPr="0057732D">
        <w:rPr>
          <w:rFonts w:ascii="Times New Roman" w:hAnsi="Times New Roman" w:cs="Times New Roman"/>
          <w:sz w:val="28"/>
          <w:szCs w:val="28"/>
          <w:lang w:val="uk-UA"/>
        </w:rPr>
        <w:t xml:space="preserve">повинні враховувати особисті мотиви, тлумачачи </w:t>
      </w:r>
      <w:r>
        <w:rPr>
          <w:rFonts w:ascii="Times New Roman" w:hAnsi="Times New Roman" w:cs="Times New Roman"/>
          <w:sz w:val="28"/>
          <w:szCs w:val="28"/>
          <w:lang w:val="uk-UA"/>
        </w:rPr>
        <w:t xml:space="preserve">особисті </w:t>
      </w:r>
      <w:r w:rsidRPr="0057732D">
        <w:rPr>
          <w:rFonts w:ascii="Times New Roman" w:hAnsi="Times New Roman" w:cs="Times New Roman"/>
          <w:sz w:val="28"/>
          <w:szCs w:val="28"/>
          <w:lang w:val="uk-UA"/>
        </w:rPr>
        <w:t xml:space="preserve">висновки, і ніколи не випускати з уваги альтернативні істини. Крім того, </w:t>
      </w:r>
      <w:r>
        <w:rPr>
          <w:rFonts w:ascii="Times New Roman" w:hAnsi="Times New Roman" w:cs="Times New Roman"/>
          <w:sz w:val="28"/>
          <w:szCs w:val="28"/>
          <w:lang w:val="uk-UA"/>
        </w:rPr>
        <w:t>вони мають</w:t>
      </w:r>
      <w:r w:rsidRPr="0057732D">
        <w:rPr>
          <w:rFonts w:ascii="Times New Roman" w:hAnsi="Times New Roman" w:cs="Times New Roman"/>
          <w:sz w:val="28"/>
          <w:szCs w:val="28"/>
          <w:lang w:val="uk-UA"/>
        </w:rPr>
        <w:t xml:space="preserve"> запитати себе, якою є або може бути </w:t>
      </w:r>
      <w:r>
        <w:rPr>
          <w:rFonts w:ascii="Times New Roman" w:hAnsi="Times New Roman" w:cs="Times New Roman"/>
          <w:sz w:val="28"/>
          <w:szCs w:val="28"/>
          <w:lang w:val="uk-UA"/>
        </w:rPr>
        <w:t>їхня</w:t>
      </w:r>
      <w:r w:rsidRPr="0057732D">
        <w:rPr>
          <w:rFonts w:ascii="Times New Roman" w:hAnsi="Times New Roman" w:cs="Times New Roman"/>
          <w:sz w:val="28"/>
          <w:szCs w:val="28"/>
          <w:lang w:val="uk-UA"/>
        </w:rPr>
        <w:t xml:space="preserve"> роль як дослідників у вирішенні питання </w:t>
      </w:r>
      <w:proofErr w:type="spellStart"/>
      <w:r w:rsidRPr="0057732D">
        <w:rPr>
          <w:rFonts w:ascii="Times New Roman" w:hAnsi="Times New Roman" w:cs="Times New Roman"/>
          <w:sz w:val="28"/>
          <w:szCs w:val="28"/>
          <w:lang w:val="uk-UA"/>
        </w:rPr>
        <w:t>ре</w:t>
      </w:r>
      <w:r>
        <w:rPr>
          <w:rFonts w:ascii="Times New Roman" w:hAnsi="Times New Roman" w:cs="Times New Roman"/>
          <w:sz w:val="28"/>
          <w:szCs w:val="28"/>
          <w:lang w:val="uk-UA"/>
        </w:rPr>
        <w:t>і</w:t>
      </w:r>
      <w:r w:rsidRPr="0057732D">
        <w:rPr>
          <w:rFonts w:ascii="Times New Roman" w:hAnsi="Times New Roman" w:cs="Times New Roman"/>
          <w:sz w:val="28"/>
          <w:szCs w:val="28"/>
          <w:lang w:val="uk-UA"/>
        </w:rPr>
        <w:t>фікації</w:t>
      </w:r>
      <w:proofErr w:type="spellEnd"/>
      <w:r w:rsidRPr="0057732D">
        <w:rPr>
          <w:rFonts w:ascii="Times New Roman" w:hAnsi="Times New Roman" w:cs="Times New Roman"/>
          <w:sz w:val="28"/>
          <w:szCs w:val="28"/>
          <w:lang w:val="uk-UA"/>
        </w:rPr>
        <w:t xml:space="preserve"> кар’єри. </w:t>
      </w:r>
      <w:r>
        <w:rPr>
          <w:rFonts w:ascii="Times New Roman" w:hAnsi="Times New Roman" w:cs="Times New Roman"/>
          <w:sz w:val="28"/>
          <w:szCs w:val="28"/>
          <w:lang w:val="uk-UA"/>
        </w:rPr>
        <w:t>В цьому випадку постають вагомі питання: чи вдаються автори до тлумачення</w:t>
      </w:r>
      <w:r w:rsidRPr="0057732D">
        <w:rPr>
          <w:rFonts w:ascii="Times New Roman" w:hAnsi="Times New Roman" w:cs="Times New Roman"/>
          <w:sz w:val="28"/>
          <w:szCs w:val="28"/>
          <w:lang w:val="uk-UA"/>
        </w:rPr>
        <w:t xml:space="preserve">, як «насправді» виглядає кар’єра? </w:t>
      </w:r>
      <w:r>
        <w:rPr>
          <w:rFonts w:ascii="Times New Roman" w:hAnsi="Times New Roman" w:cs="Times New Roman"/>
          <w:sz w:val="28"/>
          <w:szCs w:val="28"/>
          <w:lang w:val="uk-UA"/>
        </w:rPr>
        <w:t>Чи мають право дослідники надавати рекомендації щодо питань</w:t>
      </w:r>
      <w:r w:rsidRPr="0057732D">
        <w:rPr>
          <w:rFonts w:ascii="Times New Roman" w:hAnsi="Times New Roman" w:cs="Times New Roman"/>
          <w:sz w:val="28"/>
          <w:szCs w:val="28"/>
          <w:lang w:val="uk-UA"/>
        </w:rPr>
        <w:t>, як</w:t>
      </w:r>
      <w:r>
        <w:rPr>
          <w:rFonts w:ascii="Times New Roman" w:hAnsi="Times New Roman" w:cs="Times New Roman"/>
          <w:sz w:val="28"/>
          <w:szCs w:val="28"/>
          <w:lang w:val="uk-UA"/>
        </w:rPr>
        <w:t xml:space="preserve"> саме</w:t>
      </w:r>
      <w:r w:rsidRPr="0057732D">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працівники</w:t>
      </w:r>
      <w:r w:rsidRPr="0057732D">
        <w:rPr>
          <w:rFonts w:ascii="Times New Roman" w:hAnsi="Times New Roman" w:cs="Times New Roman"/>
          <w:sz w:val="28"/>
          <w:szCs w:val="28"/>
          <w:lang w:val="uk-UA"/>
        </w:rPr>
        <w:t xml:space="preserve"> «мають» виглядати, і як повинні діяти окремі учасники </w:t>
      </w:r>
      <w:r>
        <w:rPr>
          <w:rFonts w:ascii="Times New Roman" w:hAnsi="Times New Roman" w:cs="Times New Roman"/>
          <w:sz w:val="28"/>
          <w:szCs w:val="28"/>
          <w:lang w:val="uk-UA"/>
        </w:rPr>
        <w:t xml:space="preserve">побудови </w:t>
      </w:r>
      <w:r w:rsidRPr="0057732D">
        <w:rPr>
          <w:rFonts w:ascii="Times New Roman" w:hAnsi="Times New Roman" w:cs="Times New Roman"/>
          <w:sz w:val="28"/>
          <w:szCs w:val="28"/>
          <w:lang w:val="uk-UA"/>
        </w:rPr>
        <w:t>кар’єр</w:t>
      </w:r>
      <w:r>
        <w:rPr>
          <w:rFonts w:ascii="Times New Roman" w:hAnsi="Times New Roman" w:cs="Times New Roman"/>
          <w:sz w:val="28"/>
          <w:szCs w:val="28"/>
          <w:lang w:val="uk-UA"/>
        </w:rPr>
        <w:t>ного процесу</w:t>
      </w:r>
      <w:r w:rsidRPr="0057732D">
        <w:rPr>
          <w:rFonts w:ascii="Times New Roman" w:hAnsi="Times New Roman" w:cs="Times New Roman"/>
          <w:sz w:val="28"/>
          <w:szCs w:val="28"/>
          <w:lang w:val="uk-UA"/>
        </w:rPr>
        <w:t xml:space="preserve">, консультанти з кар’єри та організації, щоб досягти бажаних цілей? Жоден із цих підходів не є кращим чи більш обґрунтованим, ніж інший; однак </w:t>
      </w:r>
      <w:r>
        <w:rPr>
          <w:rFonts w:ascii="Times New Roman" w:hAnsi="Times New Roman" w:cs="Times New Roman"/>
          <w:sz w:val="28"/>
          <w:szCs w:val="28"/>
          <w:lang w:val="uk-UA"/>
        </w:rPr>
        <w:t xml:space="preserve">кожен дослідник </w:t>
      </w:r>
      <w:r w:rsidRPr="0057732D">
        <w:rPr>
          <w:rFonts w:ascii="Times New Roman" w:hAnsi="Times New Roman" w:cs="Times New Roman"/>
          <w:sz w:val="28"/>
          <w:szCs w:val="28"/>
          <w:lang w:val="uk-UA"/>
        </w:rPr>
        <w:t>повин</w:t>
      </w:r>
      <w:r>
        <w:rPr>
          <w:rFonts w:ascii="Times New Roman" w:hAnsi="Times New Roman" w:cs="Times New Roman"/>
          <w:sz w:val="28"/>
          <w:szCs w:val="28"/>
          <w:lang w:val="uk-UA"/>
        </w:rPr>
        <w:t>ен</w:t>
      </w:r>
      <w:r w:rsidRPr="0057732D">
        <w:rPr>
          <w:rFonts w:ascii="Times New Roman" w:hAnsi="Times New Roman" w:cs="Times New Roman"/>
          <w:sz w:val="28"/>
          <w:szCs w:val="28"/>
          <w:lang w:val="uk-UA"/>
        </w:rPr>
        <w:t xml:space="preserve"> усвідомлювати той факт, що вони призводять до дуже різних типів досліджень.</w:t>
      </w:r>
    </w:p>
    <w:p w14:paraId="5B01647F" w14:textId="77777777" w:rsidR="00571B42" w:rsidRPr="0057732D" w:rsidRDefault="00571B42" w:rsidP="00571B42">
      <w:pPr>
        <w:spacing w:after="0" w:line="360" w:lineRule="auto"/>
        <w:ind w:firstLine="720"/>
        <w:jc w:val="both"/>
        <w:rPr>
          <w:rFonts w:ascii="Times New Roman" w:hAnsi="Times New Roman" w:cs="Times New Roman"/>
          <w:sz w:val="28"/>
          <w:szCs w:val="28"/>
          <w:lang w:val="uk-UA"/>
        </w:rPr>
      </w:pPr>
      <w:r w:rsidRPr="0057732D">
        <w:rPr>
          <w:rFonts w:ascii="Times New Roman" w:hAnsi="Times New Roman" w:cs="Times New Roman"/>
          <w:sz w:val="28"/>
          <w:szCs w:val="28"/>
          <w:lang w:val="uk-UA"/>
        </w:rPr>
        <w:t xml:space="preserve">Хоча феноменологічне значення кар’єри та кар’єрного успіху дехто може розглядати як просто філософське питання, постійна і безперервна </w:t>
      </w:r>
      <w:proofErr w:type="spellStart"/>
      <w:r w:rsidRPr="0057732D">
        <w:rPr>
          <w:rFonts w:ascii="Times New Roman" w:hAnsi="Times New Roman" w:cs="Times New Roman"/>
          <w:sz w:val="28"/>
          <w:szCs w:val="28"/>
          <w:lang w:val="uk-UA"/>
        </w:rPr>
        <w:t>ре</w:t>
      </w:r>
      <w:r>
        <w:rPr>
          <w:rFonts w:ascii="Times New Roman" w:hAnsi="Times New Roman" w:cs="Times New Roman"/>
          <w:sz w:val="28"/>
          <w:szCs w:val="28"/>
          <w:lang w:val="uk-UA"/>
        </w:rPr>
        <w:t>і</w:t>
      </w:r>
      <w:r w:rsidRPr="0057732D">
        <w:rPr>
          <w:rFonts w:ascii="Times New Roman" w:hAnsi="Times New Roman" w:cs="Times New Roman"/>
          <w:sz w:val="28"/>
          <w:szCs w:val="28"/>
          <w:lang w:val="uk-UA"/>
        </w:rPr>
        <w:t>фікація</w:t>
      </w:r>
      <w:proofErr w:type="spellEnd"/>
      <w:r w:rsidRPr="0057732D">
        <w:rPr>
          <w:rFonts w:ascii="Times New Roman" w:hAnsi="Times New Roman" w:cs="Times New Roman"/>
          <w:sz w:val="28"/>
          <w:szCs w:val="28"/>
          <w:lang w:val="uk-UA"/>
        </w:rPr>
        <w:t xml:space="preserve"> обох конструктів має важливі наслідки для окремих людей, організацій і суспільств. </w:t>
      </w:r>
      <w:r>
        <w:rPr>
          <w:rFonts w:ascii="Times New Roman" w:hAnsi="Times New Roman" w:cs="Times New Roman"/>
          <w:sz w:val="28"/>
          <w:szCs w:val="28"/>
          <w:lang w:val="uk-UA"/>
        </w:rPr>
        <w:t xml:space="preserve">Наведені нами твердження та думки можуть </w:t>
      </w:r>
      <w:r w:rsidRPr="0057732D">
        <w:rPr>
          <w:rFonts w:ascii="Times New Roman" w:hAnsi="Times New Roman" w:cs="Times New Roman"/>
          <w:sz w:val="28"/>
          <w:szCs w:val="28"/>
          <w:lang w:val="uk-UA"/>
        </w:rPr>
        <w:t>не бути особливо новим</w:t>
      </w:r>
      <w:r>
        <w:rPr>
          <w:rFonts w:ascii="Times New Roman" w:hAnsi="Times New Roman" w:cs="Times New Roman"/>
          <w:sz w:val="28"/>
          <w:szCs w:val="28"/>
          <w:lang w:val="uk-UA"/>
        </w:rPr>
        <w:t>и</w:t>
      </w:r>
      <w:r w:rsidRPr="0057732D">
        <w:rPr>
          <w:rFonts w:ascii="Times New Roman" w:hAnsi="Times New Roman" w:cs="Times New Roman"/>
          <w:sz w:val="28"/>
          <w:szCs w:val="28"/>
          <w:lang w:val="uk-UA"/>
        </w:rPr>
        <w:t xml:space="preserve"> чи шокуючим</w:t>
      </w:r>
      <w:r>
        <w:rPr>
          <w:rFonts w:ascii="Times New Roman" w:hAnsi="Times New Roman" w:cs="Times New Roman"/>
          <w:sz w:val="28"/>
          <w:szCs w:val="28"/>
          <w:lang w:val="uk-UA"/>
        </w:rPr>
        <w:t>и</w:t>
      </w:r>
      <w:r w:rsidRPr="0057732D">
        <w:rPr>
          <w:rFonts w:ascii="Times New Roman" w:hAnsi="Times New Roman" w:cs="Times New Roman"/>
          <w:sz w:val="28"/>
          <w:szCs w:val="28"/>
          <w:lang w:val="uk-UA"/>
        </w:rPr>
        <w:t xml:space="preserve">. Однак головна </w:t>
      </w:r>
      <w:r>
        <w:rPr>
          <w:rFonts w:ascii="Times New Roman" w:hAnsi="Times New Roman" w:cs="Times New Roman"/>
          <w:sz w:val="28"/>
          <w:szCs w:val="28"/>
          <w:lang w:val="uk-UA"/>
        </w:rPr>
        <w:t>ідея нашого наведеного дослідження</w:t>
      </w:r>
      <w:r w:rsidRPr="0057732D">
        <w:rPr>
          <w:rFonts w:ascii="Times New Roman" w:hAnsi="Times New Roman" w:cs="Times New Roman"/>
          <w:sz w:val="28"/>
          <w:szCs w:val="28"/>
          <w:lang w:val="uk-UA"/>
        </w:rPr>
        <w:t xml:space="preserve"> полягає в тому, що хоча </w:t>
      </w:r>
      <w:r>
        <w:rPr>
          <w:rFonts w:ascii="Times New Roman" w:hAnsi="Times New Roman" w:cs="Times New Roman"/>
          <w:sz w:val="28"/>
          <w:szCs w:val="28"/>
          <w:lang w:val="uk-UA"/>
        </w:rPr>
        <w:t>автори</w:t>
      </w:r>
      <w:r w:rsidRPr="0057732D">
        <w:rPr>
          <w:rFonts w:ascii="Times New Roman" w:hAnsi="Times New Roman" w:cs="Times New Roman"/>
          <w:sz w:val="28"/>
          <w:szCs w:val="28"/>
          <w:lang w:val="uk-UA"/>
        </w:rPr>
        <w:t xml:space="preserve"> </w:t>
      </w:r>
      <w:r>
        <w:rPr>
          <w:rFonts w:ascii="Times New Roman" w:hAnsi="Times New Roman" w:cs="Times New Roman"/>
          <w:sz w:val="28"/>
          <w:szCs w:val="28"/>
          <w:lang w:val="uk-UA"/>
        </w:rPr>
        <w:t>припускають</w:t>
      </w:r>
      <w:r w:rsidRPr="0057732D">
        <w:rPr>
          <w:rFonts w:ascii="Times New Roman" w:hAnsi="Times New Roman" w:cs="Times New Roman"/>
          <w:sz w:val="28"/>
          <w:szCs w:val="28"/>
          <w:lang w:val="uk-UA"/>
        </w:rPr>
        <w:t xml:space="preserve">, що історія, культура та ідеологія формують особисті та соціальні уявлення про успіх кар’єри, працівники, роботодавці та дослідники не обов’язково беруть до уваги ці знання, коли </w:t>
      </w:r>
      <w:r>
        <w:rPr>
          <w:rFonts w:ascii="Times New Roman" w:hAnsi="Times New Roman" w:cs="Times New Roman"/>
          <w:sz w:val="28"/>
          <w:szCs w:val="28"/>
          <w:lang w:val="uk-UA"/>
        </w:rPr>
        <w:t>управляють, планують, формують чи будують</w:t>
      </w:r>
      <w:r w:rsidRPr="0057732D">
        <w:rPr>
          <w:rFonts w:ascii="Times New Roman" w:hAnsi="Times New Roman" w:cs="Times New Roman"/>
          <w:sz w:val="28"/>
          <w:szCs w:val="28"/>
          <w:lang w:val="uk-UA"/>
        </w:rPr>
        <w:t xml:space="preserve"> кар’єру.</w:t>
      </w:r>
    </w:p>
    <w:p w14:paraId="5F7951EC"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57732D">
        <w:rPr>
          <w:rFonts w:ascii="Times New Roman" w:hAnsi="Times New Roman" w:cs="Times New Roman"/>
          <w:sz w:val="28"/>
          <w:szCs w:val="28"/>
          <w:lang w:val="uk-UA"/>
        </w:rPr>
        <w:t xml:space="preserve">Одним із очевидних результатів </w:t>
      </w:r>
      <w:proofErr w:type="spellStart"/>
      <w:r w:rsidRPr="0057732D">
        <w:rPr>
          <w:rFonts w:ascii="Times New Roman" w:hAnsi="Times New Roman" w:cs="Times New Roman"/>
          <w:sz w:val="28"/>
          <w:szCs w:val="28"/>
          <w:lang w:val="uk-UA"/>
        </w:rPr>
        <w:t>ре</w:t>
      </w:r>
      <w:r>
        <w:rPr>
          <w:rFonts w:ascii="Times New Roman" w:hAnsi="Times New Roman" w:cs="Times New Roman"/>
          <w:sz w:val="28"/>
          <w:szCs w:val="28"/>
          <w:lang w:val="uk-UA"/>
        </w:rPr>
        <w:t>і</w:t>
      </w:r>
      <w:r w:rsidRPr="0057732D">
        <w:rPr>
          <w:rFonts w:ascii="Times New Roman" w:hAnsi="Times New Roman" w:cs="Times New Roman"/>
          <w:sz w:val="28"/>
          <w:szCs w:val="28"/>
          <w:lang w:val="uk-UA"/>
        </w:rPr>
        <w:t>фікації</w:t>
      </w:r>
      <w:proofErr w:type="spellEnd"/>
      <w:r w:rsidRPr="0057732D">
        <w:rPr>
          <w:rFonts w:ascii="Times New Roman" w:hAnsi="Times New Roman" w:cs="Times New Roman"/>
          <w:sz w:val="28"/>
          <w:szCs w:val="28"/>
          <w:lang w:val="uk-UA"/>
        </w:rPr>
        <w:t xml:space="preserve"> кар’єри є встановлення колективних норм, які визначають, як має виглядати «нормальна», «успішна» кар’єра. Нормальна кар’єра, </w:t>
      </w:r>
      <w:r>
        <w:rPr>
          <w:rFonts w:ascii="Times New Roman" w:hAnsi="Times New Roman" w:cs="Times New Roman"/>
          <w:sz w:val="28"/>
          <w:szCs w:val="28"/>
          <w:lang w:val="uk-UA"/>
        </w:rPr>
        <w:t>на нашу суб’єктивну думку</w:t>
      </w:r>
      <w:r w:rsidRPr="0057732D">
        <w:rPr>
          <w:rFonts w:ascii="Times New Roman" w:hAnsi="Times New Roman" w:cs="Times New Roman"/>
          <w:sz w:val="28"/>
          <w:szCs w:val="28"/>
          <w:lang w:val="uk-UA"/>
        </w:rPr>
        <w:t xml:space="preserve">, передбачає безперервне служіння та постійне регулярне просування по вищих рівнях у корпоративній ієрархії. Беручи до уваги той факт, що менше </w:t>
      </w:r>
      <w:r>
        <w:rPr>
          <w:rFonts w:ascii="Times New Roman" w:hAnsi="Times New Roman" w:cs="Times New Roman"/>
          <w:sz w:val="28"/>
          <w:szCs w:val="28"/>
          <w:lang w:val="uk-UA"/>
        </w:rPr>
        <w:t>одного</w:t>
      </w:r>
      <w:r w:rsidRPr="0057732D">
        <w:rPr>
          <w:rFonts w:ascii="Times New Roman" w:hAnsi="Times New Roman" w:cs="Times New Roman"/>
          <w:sz w:val="28"/>
          <w:szCs w:val="28"/>
          <w:lang w:val="uk-UA"/>
        </w:rPr>
        <w:t xml:space="preserve"> відсотка працівників у всьому світі фактично досягають найвищих рівнів у своїх організаціях, і що </w:t>
      </w:r>
      <w:r w:rsidRPr="0057732D">
        <w:rPr>
          <w:rFonts w:ascii="Times New Roman" w:hAnsi="Times New Roman" w:cs="Times New Roman"/>
          <w:sz w:val="28"/>
          <w:szCs w:val="28"/>
          <w:lang w:val="uk-UA"/>
        </w:rPr>
        <w:lastRenderedPageBreak/>
        <w:t>багато людей змушені на певному етапі своєї кар’єри зробити крок назад у своїй кар’єрі</w:t>
      </w:r>
      <w:r>
        <w:rPr>
          <w:rFonts w:ascii="Times New Roman" w:hAnsi="Times New Roman" w:cs="Times New Roman"/>
          <w:sz w:val="28"/>
          <w:szCs w:val="28"/>
          <w:lang w:val="uk-UA"/>
        </w:rPr>
        <w:t xml:space="preserve"> через</w:t>
      </w:r>
      <w:r w:rsidRPr="0057732D">
        <w:rPr>
          <w:rFonts w:ascii="Times New Roman" w:hAnsi="Times New Roman" w:cs="Times New Roman"/>
          <w:sz w:val="28"/>
          <w:szCs w:val="28"/>
          <w:lang w:val="uk-UA"/>
        </w:rPr>
        <w:t xml:space="preserve"> (несподіван</w:t>
      </w:r>
      <w:r>
        <w:rPr>
          <w:rFonts w:ascii="Times New Roman" w:hAnsi="Times New Roman" w:cs="Times New Roman"/>
          <w:sz w:val="28"/>
          <w:szCs w:val="28"/>
          <w:lang w:val="uk-UA"/>
        </w:rPr>
        <w:t>і</w:t>
      </w:r>
      <w:r w:rsidRPr="0057732D">
        <w:rPr>
          <w:rFonts w:ascii="Times New Roman" w:hAnsi="Times New Roman" w:cs="Times New Roman"/>
          <w:sz w:val="28"/>
          <w:szCs w:val="28"/>
          <w:lang w:val="uk-UA"/>
        </w:rPr>
        <w:t>) особист</w:t>
      </w:r>
      <w:r>
        <w:rPr>
          <w:rFonts w:ascii="Times New Roman" w:hAnsi="Times New Roman" w:cs="Times New Roman"/>
          <w:sz w:val="28"/>
          <w:szCs w:val="28"/>
          <w:lang w:val="uk-UA"/>
        </w:rPr>
        <w:t>і</w:t>
      </w:r>
      <w:r w:rsidRPr="0057732D">
        <w:rPr>
          <w:rFonts w:ascii="Times New Roman" w:hAnsi="Times New Roman" w:cs="Times New Roman"/>
          <w:sz w:val="28"/>
          <w:szCs w:val="28"/>
          <w:lang w:val="uk-UA"/>
        </w:rPr>
        <w:t xml:space="preserve"> поді</w:t>
      </w:r>
      <w:r>
        <w:rPr>
          <w:rFonts w:ascii="Times New Roman" w:hAnsi="Times New Roman" w:cs="Times New Roman"/>
          <w:sz w:val="28"/>
          <w:szCs w:val="28"/>
          <w:lang w:val="uk-UA"/>
        </w:rPr>
        <w:t>ї</w:t>
      </w:r>
      <w:r w:rsidRPr="0057732D">
        <w:rPr>
          <w:rFonts w:ascii="Times New Roman" w:hAnsi="Times New Roman" w:cs="Times New Roman"/>
          <w:sz w:val="28"/>
          <w:szCs w:val="28"/>
          <w:lang w:val="uk-UA"/>
        </w:rPr>
        <w:t xml:space="preserve"> (наприклад, батьківство, звільнення, бездіяльність), випливає, що більшість людей </w:t>
      </w:r>
      <w:r>
        <w:rPr>
          <w:rFonts w:ascii="Times New Roman" w:hAnsi="Times New Roman" w:cs="Times New Roman"/>
          <w:sz w:val="28"/>
          <w:szCs w:val="28"/>
          <w:lang w:val="uk-UA"/>
        </w:rPr>
        <w:t>оцінюють свій власний</w:t>
      </w:r>
      <w:r w:rsidRPr="0057732D">
        <w:rPr>
          <w:rFonts w:ascii="Times New Roman" w:hAnsi="Times New Roman" w:cs="Times New Roman"/>
          <w:sz w:val="28"/>
          <w:szCs w:val="28"/>
          <w:lang w:val="uk-UA"/>
        </w:rPr>
        <w:t xml:space="preserve"> кар’єр</w:t>
      </w:r>
      <w:r>
        <w:rPr>
          <w:rFonts w:ascii="Times New Roman" w:hAnsi="Times New Roman" w:cs="Times New Roman"/>
          <w:sz w:val="28"/>
          <w:szCs w:val="28"/>
          <w:lang w:val="uk-UA"/>
        </w:rPr>
        <w:t>ний шлях</w:t>
      </w:r>
      <w:r w:rsidRPr="005773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w:t>
      </w:r>
      <w:r w:rsidRPr="0057732D">
        <w:rPr>
          <w:rFonts w:ascii="Times New Roman" w:hAnsi="Times New Roman" w:cs="Times New Roman"/>
          <w:sz w:val="28"/>
          <w:szCs w:val="28"/>
          <w:lang w:val="uk-UA"/>
        </w:rPr>
        <w:t>невдал</w:t>
      </w:r>
      <w:r>
        <w:rPr>
          <w:rFonts w:ascii="Times New Roman" w:hAnsi="Times New Roman" w:cs="Times New Roman"/>
          <w:sz w:val="28"/>
          <w:szCs w:val="28"/>
          <w:lang w:val="uk-UA"/>
        </w:rPr>
        <w:t>ий</w:t>
      </w:r>
      <w:r w:rsidRPr="0057732D">
        <w:rPr>
          <w:rFonts w:ascii="Times New Roman" w:hAnsi="Times New Roman" w:cs="Times New Roman"/>
          <w:sz w:val="28"/>
          <w:szCs w:val="28"/>
          <w:lang w:val="uk-UA"/>
        </w:rPr>
        <w:t>. Крім того, оскільки відносний вплив певних (ґендерних, расових, соціально-класових) бар’єрів на кар’єрні досягнення людей зазвичай недооцінюється, з цього також випливає, що люди, як правило, несуть особисту відповідальність за «невдачу» у своїй кар’єрі.</w:t>
      </w:r>
      <w:r>
        <w:rPr>
          <w:rFonts w:ascii="Times New Roman" w:hAnsi="Times New Roman" w:cs="Times New Roman"/>
          <w:sz w:val="28"/>
          <w:szCs w:val="28"/>
          <w:lang w:val="uk-UA"/>
        </w:rPr>
        <w:t xml:space="preserve"> Важливим вважаємо зазначити, що автори особисто категорично проти будь-яких проявів </w:t>
      </w:r>
      <w:proofErr w:type="spellStart"/>
      <w:r>
        <w:rPr>
          <w:rFonts w:ascii="Times New Roman" w:hAnsi="Times New Roman" w:cs="Times New Roman"/>
          <w:sz w:val="28"/>
          <w:szCs w:val="28"/>
          <w:lang w:val="uk-UA"/>
        </w:rPr>
        <w:t>нерівностей</w:t>
      </w:r>
      <w:proofErr w:type="spellEnd"/>
      <w:r>
        <w:rPr>
          <w:rFonts w:ascii="Times New Roman" w:hAnsi="Times New Roman" w:cs="Times New Roman"/>
          <w:sz w:val="28"/>
          <w:szCs w:val="28"/>
          <w:lang w:val="uk-UA"/>
        </w:rPr>
        <w:t xml:space="preserve"> та будь-який дискримінацій при побудові кар’єри, які, нажаль, можна і досі спостерігати у сучасному суспільстві. </w:t>
      </w:r>
    </w:p>
    <w:p w14:paraId="4C48B941" w14:textId="77777777" w:rsidR="00571B42" w:rsidRPr="0057732D"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Крім того, доцільно зазначити</w:t>
      </w:r>
      <w:r w:rsidRPr="0057732D">
        <w:rPr>
          <w:rFonts w:ascii="Times New Roman" w:hAnsi="Times New Roman" w:cs="Times New Roman"/>
          <w:sz w:val="28"/>
          <w:szCs w:val="28"/>
          <w:lang w:val="uk-UA"/>
        </w:rPr>
        <w:t>, що знецінення</w:t>
      </w:r>
      <w:r>
        <w:rPr>
          <w:rFonts w:ascii="Times New Roman" w:hAnsi="Times New Roman" w:cs="Times New Roman"/>
          <w:sz w:val="28"/>
          <w:szCs w:val="28"/>
          <w:lang w:val="uk-UA"/>
        </w:rPr>
        <w:t xml:space="preserve"> та неадекватне винагородження будь-яких типів</w:t>
      </w:r>
      <w:r w:rsidRPr="0057732D">
        <w:rPr>
          <w:rFonts w:ascii="Times New Roman" w:hAnsi="Times New Roman" w:cs="Times New Roman"/>
          <w:sz w:val="28"/>
          <w:szCs w:val="28"/>
          <w:lang w:val="uk-UA"/>
        </w:rPr>
        <w:t xml:space="preserve"> кар’єр</w:t>
      </w:r>
      <w:r>
        <w:rPr>
          <w:rFonts w:ascii="Times New Roman" w:hAnsi="Times New Roman" w:cs="Times New Roman"/>
          <w:sz w:val="28"/>
          <w:szCs w:val="28"/>
          <w:lang w:val="uk-UA"/>
        </w:rPr>
        <w:t>и</w:t>
      </w:r>
      <w:r w:rsidRPr="0057732D">
        <w:rPr>
          <w:rFonts w:ascii="Times New Roman" w:hAnsi="Times New Roman" w:cs="Times New Roman"/>
          <w:sz w:val="28"/>
          <w:szCs w:val="28"/>
          <w:lang w:val="uk-UA"/>
        </w:rPr>
        <w:t>, що відрізняються від норми, послаблює за</w:t>
      </w:r>
      <w:r>
        <w:rPr>
          <w:rFonts w:ascii="Times New Roman" w:hAnsi="Times New Roman" w:cs="Times New Roman"/>
          <w:sz w:val="28"/>
          <w:szCs w:val="28"/>
          <w:lang w:val="uk-UA"/>
        </w:rPr>
        <w:t>гальне задоволення, мотивацію та</w:t>
      </w:r>
      <w:r w:rsidRPr="0057732D">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особисту зацікавленість</w:t>
      </w:r>
      <w:r w:rsidRPr="0057732D">
        <w:rPr>
          <w:rFonts w:ascii="Times New Roman" w:hAnsi="Times New Roman" w:cs="Times New Roman"/>
          <w:sz w:val="28"/>
          <w:szCs w:val="28"/>
          <w:lang w:val="uk-UA"/>
        </w:rPr>
        <w:t xml:space="preserve"> людей у цій кар’єрі, що врешті-решт може призвести до негативних організаційних та економічних результатів. Сучасні демографічні та психологічні контрактні тенденції посилюють цю динаміку, оскільки «талант», у традиційному розумінні, стає дедалі дефіцитнішим. У найближчому майбутньому організаціям потрібно буде заохочувати таланти, які </w:t>
      </w:r>
      <w:r>
        <w:rPr>
          <w:rFonts w:ascii="Times New Roman" w:hAnsi="Times New Roman" w:cs="Times New Roman"/>
          <w:sz w:val="28"/>
          <w:szCs w:val="28"/>
          <w:lang w:val="uk-UA"/>
        </w:rPr>
        <w:t>вже існують</w:t>
      </w:r>
      <w:r w:rsidRPr="0057732D">
        <w:rPr>
          <w:rFonts w:ascii="Times New Roman" w:hAnsi="Times New Roman" w:cs="Times New Roman"/>
          <w:sz w:val="28"/>
          <w:szCs w:val="28"/>
          <w:lang w:val="uk-UA"/>
        </w:rPr>
        <w:t xml:space="preserve"> на ринку праці, а не підбирати під свою особливу ідеологію кар’єри.</w:t>
      </w:r>
    </w:p>
    <w:p w14:paraId="1CF7C962" w14:textId="6C9BA45A" w:rsidR="00571B42" w:rsidRPr="0057732D"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кроком, мають бути виокремлені н</w:t>
      </w:r>
      <w:r w:rsidRPr="0057732D">
        <w:rPr>
          <w:rFonts w:ascii="Times New Roman" w:hAnsi="Times New Roman" w:cs="Times New Roman"/>
          <w:sz w:val="28"/>
          <w:szCs w:val="28"/>
          <w:lang w:val="uk-UA"/>
        </w:rPr>
        <w:t>аслідки для різних залучених сторін</w:t>
      </w:r>
      <w:r>
        <w:rPr>
          <w:rFonts w:ascii="Times New Roman" w:hAnsi="Times New Roman" w:cs="Times New Roman"/>
          <w:sz w:val="28"/>
          <w:szCs w:val="28"/>
          <w:lang w:val="uk-UA"/>
        </w:rPr>
        <w:t xml:space="preserve">. </w:t>
      </w:r>
      <w:r w:rsidRPr="0057732D">
        <w:rPr>
          <w:rFonts w:ascii="Times New Roman" w:hAnsi="Times New Roman" w:cs="Times New Roman"/>
          <w:sz w:val="28"/>
          <w:szCs w:val="28"/>
          <w:lang w:val="uk-UA"/>
        </w:rPr>
        <w:t xml:space="preserve">Оскільки організації все більше очікують, що (висококваліфіковані) працівники візьмуть свою кар’єру у власні руки, в інтересах будь-якого працівника цілеспрямовано встановити динамічну структуру </w:t>
      </w:r>
      <w:r>
        <w:rPr>
          <w:rFonts w:ascii="Times New Roman" w:hAnsi="Times New Roman" w:cs="Times New Roman"/>
          <w:sz w:val="28"/>
          <w:szCs w:val="28"/>
          <w:lang w:val="uk-UA"/>
        </w:rPr>
        <w:t>та визначити</w:t>
      </w:r>
      <w:r w:rsidRPr="0057732D">
        <w:rPr>
          <w:rFonts w:ascii="Times New Roman" w:hAnsi="Times New Roman" w:cs="Times New Roman"/>
          <w:sz w:val="28"/>
          <w:szCs w:val="28"/>
          <w:lang w:val="uk-UA"/>
        </w:rPr>
        <w:t xml:space="preserve">, що успіх означає для нього особисто. Усвідомлення різних можливих значень успіху може допомогти окремим </w:t>
      </w:r>
      <w:r>
        <w:rPr>
          <w:rFonts w:ascii="Times New Roman" w:hAnsi="Times New Roman" w:cs="Times New Roman"/>
          <w:sz w:val="28"/>
          <w:szCs w:val="28"/>
          <w:lang w:val="uk-UA"/>
        </w:rPr>
        <w:t xml:space="preserve">фахівцям з побудови </w:t>
      </w:r>
      <w:r w:rsidRPr="0057732D">
        <w:rPr>
          <w:rFonts w:ascii="Times New Roman" w:hAnsi="Times New Roman" w:cs="Times New Roman"/>
          <w:sz w:val="28"/>
          <w:szCs w:val="28"/>
          <w:lang w:val="uk-UA"/>
        </w:rPr>
        <w:t>кар’єр</w:t>
      </w:r>
      <w:r>
        <w:rPr>
          <w:rFonts w:ascii="Times New Roman" w:hAnsi="Times New Roman" w:cs="Times New Roman"/>
          <w:sz w:val="28"/>
          <w:szCs w:val="28"/>
          <w:lang w:val="uk-UA"/>
        </w:rPr>
        <w:t>и</w:t>
      </w:r>
      <w:r w:rsidRPr="0057732D">
        <w:rPr>
          <w:rFonts w:ascii="Times New Roman" w:hAnsi="Times New Roman" w:cs="Times New Roman"/>
          <w:sz w:val="28"/>
          <w:szCs w:val="28"/>
          <w:lang w:val="uk-UA"/>
        </w:rPr>
        <w:t xml:space="preserve">, навіть якщо </w:t>
      </w:r>
      <w:r>
        <w:rPr>
          <w:rFonts w:ascii="Times New Roman" w:hAnsi="Times New Roman" w:cs="Times New Roman"/>
          <w:sz w:val="28"/>
          <w:szCs w:val="28"/>
          <w:lang w:val="uk-UA"/>
        </w:rPr>
        <w:t xml:space="preserve">розвинути у них </w:t>
      </w:r>
      <w:r w:rsidRPr="0057732D">
        <w:rPr>
          <w:rFonts w:ascii="Times New Roman" w:hAnsi="Times New Roman" w:cs="Times New Roman"/>
          <w:sz w:val="28"/>
          <w:szCs w:val="28"/>
          <w:lang w:val="uk-UA"/>
        </w:rPr>
        <w:t xml:space="preserve">відносну </w:t>
      </w:r>
      <w:r>
        <w:rPr>
          <w:rFonts w:ascii="Times New Roman" w:hAnsi="Times New Roman" w:cs="Times New Roman"/>
          <w:sz w:val="28"/>
          <w:szCs w:val="28"/>
          <w:lang w:val="uk-UA"/>
        </w:rPr>
        <w:t xml:space="preserve">її </w:t>
      </w:r>
      <w:r w:rsidRPr="0057732D">
        <w:rPr>
          <w:rFonts w:ascii="Times New Roman" w:hAnsi="Times New Roman" w:cs="Times New Roman"/>
          <w:sz w:val="28"/>
          <w:szCs w:val="28"/>
          <w:lang w:val="uk-UA"/>
        </w:rPr>
        <w:t>цінність</w:t>
      </w:r>
      <w:r>
        <w:rPr>
          <w:rFonts w:ascii="Times New Roman" w:hAnsi="Times New Roman" w:cs="Times New Roman"/>
          <w:sz w:val="28"/>
          <w:szCs w:val="28"/>
          <w:lang w:val="uk-UA"/>
        </w:rPr>
        <w:t xml:space="preserve"> та значущість</w:t>
      </w:r>
      <w:r w:rsidRPr="0057732D">
        <w:rPr>
          <w:rFonts w:ascii="Times New Roman" w:hAnsi="Times New Roman" w:cs="Times New Roman"/>
          <w:sz w:val="28"/>
          <w:szCs w:val="28"/>
          <w:lang w:val="uk-UA"/>
        </w:rPr>
        <w:t xml:space="preserve">. Наприклад, у літературі про багатогранну кар’єру стверджується, що люди, які керуються цінностями та займаються самостійною кар’єрою, з більшою ймовірністю досягнуть своїх особистих кар’єрних цілей </w:t>
      </w:r>
      <w:r w:rsidRPr="005D1B01">
        <w:rPr>
          <w:rFonts w:ascii="Times New Roman" w:hAnsi="Times New Roman" w:cs="Times New Roman"/>
          <w:sz w:val="28"/>
          <w:szCs w:val="28"/>
          <w:lang w:val="uk-UA"/>
        </w:rPr>
        <w:t>[13]</w:t>
      </w:r>
      <w:r w:rsidRPr="0057732D">
        <w:rPr>
          <w:rFonts w:ascii="Times New Roman" w:hAnsi="Times New Roman" w:cs="Times New Roman"/>
          <w:sz w:val="28"/>
          <w:szCs w:val="28"/>
          <w:lang w:val="uk-UA"/>
        </w:rPr>
        <w:t>. Однак</w:t>
      </w:r>
      <w:r w:rsidRPr="005D1B01">
        <w:rPr>
          <w:rFonts w:ascii="Times New Roman" w:hAnsi="Times New Roman" w:cs="Times New Roman"/>
          <w:sz w:val="28"/>
          <w:szCs w:val="28"/>
        </w:rPr>
        <w:t>,</w:t>
      </w:r>
      <w:r w:rsidRPr="0057732D">
        <w:rPr>
          <w:rFonts w:ascii="Times New Roman" w:hAnsi="Times New Roman" w:cs="Times New Roman"/>
          <w:sz w:val="28"/>
          <w:szCs w:val="28"/>
          <w:lang w:val="uk-UA"/>
        </w:rPr>
        <w:t xml:space="preserve"> слід проявляти певну обережність</w:t>
      </w:r>
      <w:r w:rsidRPr="005D1B01">
        <w:rPr>
          <w:rFonts w:ascii="Times New Roman" w:hAnsi="Times New Roman" w:cs="Times New Roman"/>
          <w:sz w:val="28"/>
          <w:szCs w:val="28"/>
        </w:rPr>
        <w:t xml:space="preserve"> </w:t>
      </w:r>
      <w:r>
        <w:rPr>
          <w:rFonts w:ascii="Times New Roman" w:hAnsi="Times New Roman" w:cs="Times New Roman"/>
          <w:sz w:val="28"/>
          <w:szCs w:val="28"/>
          <w:lang w:val="uk-UA"/>
        </w:rPr>
        <w:t>у судженнях та тлумаченнях</w:t>
      </w:r>
      <w:r w:rsidRPr="0057732D">
        <w:rPr>
          <w:rFonts w:ascii="Times New Roman" w:hAnsi="Times New Roman" w:cs="Times New Roman"/>
          <w:sz w:val="28"/>
          <w:szCs w:val="28"/>
          <w:lang w:val="uk-UA"/>
        </w:rPr>
        <w:t xml:space="preserve">, оскільки не вся </w:t>
      </w:r>
      <w:r w:rsidRPr="0057732D">
        <w:rPr>
          <w:rFonts w:ascii="Times New Roman" w:hAnsi="Times New Roman" w:cs="Times New Roman"/>
          <w:sz w:val="28"/>
          <w:szCs w:val="28"/>
          <w:lang w:val="uk-UA"/>
        </w:rPr>
        <w:lastRenderedPageBreak/>
        <w:t xml:space="preserve">відповідальність за управління кар’єрою повинна бути покладена на окремих учасників </w:t>
      </w:r>
      <w:r>
        <w:rPr>
          <w:rFonts w:ascii="Times New Roman" w:hAnsi="Times New Roman" w:cs="Times New Roman"/>
          <w:sz w:val="28"/>
          <w:szCs w:val="28"/>
          <w:lang w:val="uk-UA"/>
        </w:rPr>
        <w:t xml:space="preserve">процесу побудови </w:t>
      </w:r>
      <w:r w:rsidRPr="0057732D">
        <w:rPr>
          <w:rFonts w:ascii="Times New Roman" w:hAnsi="Times New Roman" w:cs="Times New Roman"/>
          <w:sz w:val="28"/>
          <w:szCs w:val="28"/>
          <w:lang w:val="uk-UA"/>
        </w:rPr>
        <w:t xml:space="preserve">кар’єри. Самоуправління кар'єрою ніколи не може по-справжньому замінити організаційне </w:t>
      </w:r>
      <w:r>
        <w:rPr>
          <w:rFonts w:ascii="Times New Roman" w:hAnsi="Times New Roman" w:cs="Times New Roman"/>
          <w:sz w:val="28"/>
          <w:szCs w:val="28"/>
          <w:lang w:val="uk-UA"/>
        </w:rPr>
        <w:t xml:space="preserve">та професійне </w:t>
      </w:r>
      <w:r w:rsidRPr="0057732D">
        <w:rPr>
          <w:rFonts w:ascii="Times New Roman" w:hAnsi="Times New Roman" w:cs="Times New Roman"/>
          <w:sz w:val="28"/>
          <w:szCs w:val="28"/>
          <w:lang w:val="uk-UA"/>
        </w:rPr>
        <w:t xml:space="preserve">управління кар'єрою </w:t>
      </w:r>
      <w:r w:rsidR="002C3DBA">
        <w:rPr>
          <w:rFonts w:ascii="Times New Roman" w:hAnsi="Times New Roman" w:cs="Times New Roman"/>
          <w:sz w:val="28"/>
          <w:szCs w:val="28"/>
          <w:lang w:val="uk-UA"/>
        </w:rPr>
        <w:t>–</w:t>
      </w:r>
      <w:r w:rsidRPr="0057732D">
        <w:rPr>
          <w:rFonts w:ascii="Times New Roman" w:hAnsi="Times New Roman" w:cs="Times New Roman"/>
          <w:sz w:val="28"/>
          <w:szCs w:val="28"/>
          <w:lang w:val="uk-UA"/>
        </w:rPr>
        <w:t xml:space="preserve"> радше обидві форми управління кар'єрою підсилюють одна одну. Крім того, </w:t>
      </w:r>
      <w:r>
        <w:rPr>
          <w:rFonts w:ascii="Times New Roman" w:hAnsi="Times New Roman" w:cs="Times New Roman"/>
          <w:sz w:val="28"/>
          <w:szCs w:val="28"/>
          <w:lang w:val="uk-UA"/>
        </w:rPr>
        <w:t xml:space="preserve">проведені багаторічні </w:t>
      </w:r>
      <w:r w:rsidRPr="0057732D">
        <w:rPr>
          <w:rFonts w:ascii="Times New Roman" w:hAnsi="Times New Roman" w:cs="Times New Roman"/>
          <w:sz w:val="28"/>
          <w:szCs w:val="28"/>
          <w:lang w:val="uk-UA"/>
        </w:rPr>
        <w:t xml:space="preserve">дослідження виявили, що чим більше працівники задоволені своєю кар’єрою, тим менше ініціатив вони </w:t>
      </w:r>
      <w:r>
        <w:rPr>
          <w:rFonts w:ascii="Times New Roman" w:hAnsi="Times New Roman" w:cs="Times New Roman"/>
          <w:sz w:val="28"/>
          <w:szCs w:val="28"/>
          <w:lang w:val="uk-UA"/>
        </w:rPr>
        <w:t>впроваджують та реалізують</w:t>
      </w:r>
      <w:r w:rsidRPr="0057732D">
        <w:rPr>
          <w:rFonts w:ascii="Times New Roman" w:hAnsi="Times New Roman" w:cs="Times New Roman"/>
          <w:sz w:val="28"/>
          <w:szCs w:val="28"/>
          <w:lang w:val="uk-UA"/>
        </w:rPr>
        <w:t>, щоб покращити свою зовнішню</w:t>
      </w:r>
      <w:r>
        <w:rPr>
          <w:rFonts w:ascii="Times New Roman" w:hAnsi="Times New Roman" w:cs="Times New Roman"/>
          <w:sz w:val="28"/>
          <w:szCs w:val="28"/>
          <w:lang w:val="uk-UA"/>
        </w:rPr>
        <w:t xml:space="preserve"> характеристику обраної професійної позиції</w:t>
      </w:r>
      <w:r w:rsidRPr="0057732D">
        <w:rPr>
          <w:rFonts w:ascii="Times New Roman" w:hAnsi="Times New Roman" w:cs="Times New Roman"/>
          <w:sz w:val="28"/>
          <w:szCs w:val="28"/>
          <w:lang w:val="uk-UA"/>
        </w:rPr>
        <w:t xml:space="preserve">, і тим менший інтерес вони виявляють до зовнішнього консультування з питань </w:t>
      </w:r>
      <w:r>
        <w:rPr>
          <w:rFonts w:ascii="Times New Roman" w:hAnsi="Times New Roman" w:cs="Times New Roman"/>
          <w:sz w:val="28"/>
          <w:szCs w:val="28"/>
          <w:lang w:val="uk-UA"/>
        </w:rPr>
        <w:t xml:space="preserve">побудови </w:t>
      </w:r>
      <w:r w:rsidRPr="0057732D">
        <w:rPr>
          <w:rFonts w:ascii="Times New Roman" w:hAnsi="Times New Roman" w:cs="Times New Roman"/>
          <w:sz w:val="28"/>
          <w:szCs w:val="28"/>
          <w:lang w:val="uk-UA"/>
        </w:rPr>
        <w:t>кар’єри. Проте окремі учасники кар’єри повинні бути реалістами щодо кар’єрних обіцянок, які організації сьогодні бажають і можуть зробити з огляду на поточний економічний клімат. Оскільки організації більше не можуть гарантувати кар’єр</w:t>
      </w:r>
      <w:r>
        <w:rPr>
          <w:rFonts w:ascii="Times New Roman" w:hAnsi="Times New Roman" w:cs="Times New Roman"/>
          <w:sz w:val="28"/>
          <w:szCs w:val="28"/>
          <w:lang w:val="uk-UA"/>
        </w:rPr>
        <w:t>не зростання</w:t>
      </w:r>
      <w:r w:rsidRPr="0057732D">
        <w:rPr>
          <w:rFonts w:ascii="Times New Roman" w:hAnsi="Times New Roman" w:cs="Times New Roman"/>
          <w:sz w:val="28"/>
          <w:szCs w:val="28"/>
          <w:lang w:val="uk-UA"/>
        </w:rPr>
        <w:t xml:space="preserve"> протягом усього життя, розвиток і підтримка особистої здатності до працевлаштування є незамінним активом на </w:t>
      </w:r>
      <w:r>
        <w:rPr>
          <w:rFonts w:ascii="Times New Roman" w:hAnsi="Times New Roman" w:cs="Times New Roman"/>
          <w:sz w:val="28"/>
          <w:szCs w:val="28"/>
          <w:lang w:val="uk-UA"/>
        </w:rPr>
        <w:t xml:space="preserve">швидкоплинному, турбулентному та висококонкурентному </w:t>
      </w:r>
      <w:r w:rsidRPr="0057732D">
        <w:rPr>
          <w:rFonts w:ascii="Times New Roman" w:hAnsi="Times New Roman" w:cs="Times New Roman"/>
          <w:sz w:val="28"/>
          <w:szCs w:val="28"/>
          <w:lang w:val="uk-UA"/>
        </w:rPr>
        <w:t>ринку праці.</w:t>
      </w:r>
    </w:p>
    <w:p w14:paraId="68F5751D" w14:textId="77777777" w:rsidR="00571B42" w:rsidRPr="0057732D" w:rsidRDefault="00571B42" w:rsidP="00571B42">
      <w:pPr>
        <w:spacing w:after="0" w:line="360" w:lineRule="auto"/>
        <w:ind w:firstLine="720"/>
        <w:jc w:val="both"/>
        <w:rPr>
          <w:rFonts w:ascii="Times New Roman" w:hAnsi="Times New Roman" w:cs="Times New Roman"/>
          <w:sz w:val="28"/>
          <w:szCs w:val="28"/>
          <w:lang w:val="uk-UA"/>
        </w:rPr>
      </w:pPr>
      <w:r w:rsidRPr="0057732D">
        <w:rPr>
          <w:rFonts w:ascii="Times New Roman" w:hAnsi="Times New Roman" w:cs="Times New Roman"/>
          <w:sz w:val="28"/>
          <w:szCs w:val="28"/>
          <w:lang w:val="uk-UA"/>
        </w:rPr>
        <w:t>Консультанти з питань кар’єри також повинні взяти на себе відповідальність і заохочувати працівників включати ідіосинкратичне визначення сенсу в сво</w:t>
      </w:r>
      <w:r>
        <w:rPr>
          <w:rFonts w:ascii="Times New Roman" w:hAnsi="Times New Roman" w:cs="Times New Roman"/>
          <w:sz w:val="28"/>
          <w:szCs w:val="28"/>
          <w:lang w:val="uk-UA"/>
        </w:rPr>
        <w:t>ї кар’єрні рішення та переходи</w:t>
      </w:r>
      <w:r w:rsidRPr="0057732D">
        <w:rPr>
          <w:rFonts w:ascii="Times New Roman" w:hAnsi="Times New Roman" w:cs="Times New Roman"/>
          <w:sz w:val="28"/>
          <w:szCs w:val="28"/>
          <w:lang w:val="uk-UA"/>
        </w:rPr>
        <w:t xml:space="preserve">. Консультування з питань кар’єри традиційно зосереджувалося на вирішенні проблем у тому сенсі, що його метою було зіставити знання про себе зі знаннями про світ праці. Однак такі надто спрощені моделі кар’єри не відображають і навіть приблизно не описують, як </w:t>
      </w:r>
      <w:r>
        <w:rPr>
          <w:rFonts w:ascii="Times New Roman" w:hAnsi="Times New Roman" w:cs="Times New Roman"/>
          <w:sz w:val="28"/>
          <w:szCs w:val="28"/>
          <w:lang w:val="uk-UA"/>
        </w:rPr>
        <w:t>насправді робиться вибір кар’єрного шляху</w:t>
      </w:r>
      <w:r w:rsidRPr="0057732D">
        <w:rPr>
          <w:rFonts w:ascii="Times New Roman" w:hAnsi="Times New Roman" w:cs="Times New Roman"/>
          <w:sz w:val="28"/>
          <w:szCs w:val="28"/>
          <w:lang w:val="uk-UA"/>
        </w:rPr>
        <w:t xml:space="preserve">. Сучасні кар’єрні консультанти мають бути співучасниками чи </w:t>
      </w:r>
      <w:proofErr w:type="spellStart"/>
      <w:r w:rsidRPr="0057732D">
        <w:rPr>
          <w:rFonts w:ascii="Times New Roman" w:hAnsi="Times New Roman" w:cs="Times New Roman"/>
          <w:sz w:val="28"/>
          <w:szCs w:val="28"/>
          <w:lang w:val="uk-UA"/>
        </w:rPr>
        <w:t>співконструкторами</w:t>
      </w:r>
      <w:proofErr w:type="spellEnd"/>
      <w:r w:rsidRPr="0057732D">
        <w:rPr>
          <w:rFonts w:ascii="Times New Roman" w:hAnsi="Times New Roman" w:cs="Times New Roman"/>
          <w:sz w:val="28"/>
          <w:szCs w:val="28"/>
          <w:lang w:val="uk-UA"/>
        </w:rPr>
        <w:t xml:space="preserve"> життєвих історій своїх клієнтів і заохочувати їх розповідати свої нерозказані історії – історії з неробочої сфери, які вказують на покликання (іншими словами, вони не повинні </w:t>
      </w:r>
      <w:r>
        <w:rPr>
          <w:rFonts w:ascii="Times New Roman" w:hAnsi="Times New Roman" w:cs="Times New Roman"/>
          <w:sz w:val="28"/>
          <w:szCs w:val="28"/>
          <w:lang w:val="uk-UA"/>
        </w:rPr>
        <w:t>застосовувати твердження «</w:t>
      </w:r>
      <w:r w:rsidRPr="0057732D">
        <w:rPr>
          <w:rFonts w:ascii="Times New Roman" w:hAnsi="Times New Roman" w:cs="Times New Roman"/>
          <w:sz w:val="28"/>
          <w:szCs w:val="28"/>
          <w:lang w:val="uk-UA"/>
        </w:rPr>
        <w:t xml:space="preserve">але </w:t>
      </w:r>
      <w:r>
        <w:rPr>
          <w:rFonts w:ascii="Times New Roman" w:hAnsi="Times New Roman" w:cs="Times New Roman"/>
          <w:sz w:val="28"/>
          <w:szCs w:val="28"/>
          <w:lang w:val="uk-UA"/>
        </w:rPr>
        <w:t xml:space="preserve">ж </w:t>
      </w:r>
      <w:r w:rsidRPr="0057732D">
        <w:rPr>
          <w:rFonts w:ascii="Times New Roman" w:hAnsi="Times New Roman" w:cs="Times New Roman"/>
          <w:sz w:val="28"/>
          <w:szCs w:val="28"/>
          <w:lang w:val="uk-UA"/>
        </w:rPr>
        <w:t xml:space="preserve">я не маю </w:t>
      </w:r>
      <w:r>
        <w:rPr>
          <w:rFonts w:ascii="Times New Roman" w:hAnsi="Times New Roman" w:cs="Times New Roman"/>
          <w:sz w:val="28"/>
          <w:szCs w:val="28"/>
          <w:lang w:val="uk-UA"/>
        </w:rPr>
        <w:t xml:space="preserve">досвіду </w:t>
      </w:r>
      <w:r w:rsidRPr="0057732D">
        <w:rPr>
          <w:rFonts w:ascii="Times New Roman" w:hAnsi="Times New Roman" w:cs="Times New Roman"/>
          <w:sz w:val="28"/>
          <w:szCs w:val="28"/>
          <w:lang w:val="uk-UA"/>
        </w:rPr>
        <w:t>кар'єр</w:t>
      </w:r>
      <w:r>
        <w:rPr>
          <w:rFonts w:ascii="Times New Roman" w:hAnsi="Times New Roman" w:cs="Times New Roman"/>
          <w:sz w:val="28"/>
          <w:szCs w:val="28"/>
          <w:lang w:val="uk-UA"/>
        </w:rPr>
        <w:t>ного зростання</w:t>
      </w:r>
      <w:r w:rsidRPr="0057732D">
        <w:rPr>
          <w:rFonts w:ascii="Times New Roman" w:hAnsi="Times New Roman" w:cs="Times New Roman"/>
          <w:sz w:val="28"/>
          <w:szCs w:val="28"/>
          <w:lang w:val="uk-UA"/>
        </w:rPr>
        <w:t>» для відповіді). Ці нерозказані історії можуть потім створити цінні точки входу в ідіосинкратичне визначення клієнтом успіху в кар’єрі.</w:t>
      </w:r>
    </w:p>
    <w:p w14:paraId="2B9AC270" w14:textId="77777777" w:rsidR="00571B42" w:rsidRPr="0057732D" w:rsidRDefault="00571B42" w:rsidP="00571B42">
      <w:pPr>
        <w:spacing w:after="0" w:line="360" w:lineRule="auto"/>
        <w:ind w:firstLine="720"/>
        <w:jc w:val="both"/>
        <w:rPr>
          <w:rFonts w:ascii="Times New Roman" w:hAnsi="Times New Roman" w:cs="Times New Roman"/>
          <w:sz w:val="28"/>
          <w:szCs w:val="28"/>
          <w:lang w:val="uk-UA"/>
        </w:rPr>
      </w:pPr>
      <w:r w:rsidRPr="0057732D">
        <w:rPr>
          <w:rFonts w:ascii="Times New Roman" w:hAnsi="Times New Roman" w:cs="Times New Roman"/>
          <w:sz w:val="28"/>
          <w:szCs w:val="28"/>
          <w:lang w:val="uk-UA"/>
        </w:rPr>
        <w:t xml:space="preserve">Роботодавці, зі свого боку, повинні впроваджувати програми управління кар’єрою, які допомагають працівникам виробити ширше визначення успіху. Щорічно менше </w:t>
      </w:r>
      <w:r>
        <w:rPr>
          <w:rFonts w:ascii="Times New Roman" w:hAnsi="Times New Roman" w:cs="Times New Roman"/>
          <w:sz w:val="28"/>
          <w:szCs w:val="28"/>
          <w:lang w:val="uk-UA"/>
        </w:rPr>
        <w:t>одного</w:t>
      </w:r>
      <w:r w:rsidRPr="0057732D">
        <w:rPr>
          <w:rFonts w:ascii="Times New Roman" w:hAnsi="Times New Roman" w:cs="Times New Roman"/>
          <w:sz w:val="28"/>
          <w:szCs w:val="28"/>
          <w:lang w:val="uk-UA"/>
        </w:rPr>
        <w:t xml:space="preserve"> відсотка співробітників організації досягають найвищих </w:t>
      </w:r>
      <w:r w:rsidRPr="0057732D">
        <w:rPr>
          <w:rFonts w:ascii="Times New Roman" w:hAnsi="Times New Roman" w:cs="Times New Roman"/>
          <w:sz w:val="28"/>
          <w:szCs w:val="28"/>
          <w:lang w:val="uk-UA"/>
        </w:rPr>
        <w:lastRenderedPageBreak/>
        <w:t>рівнів. Це означає, що невдача, з точки зору недосягнення найвищих рівнів організації, майже неминуча. Заохочуючи працівників бачити сенс кар’єрного успіху набагато ширшим, ніж лінійна прогресія – і скоріше.</w:t>
      </w:r>
    </w:p>
    <w:p w14:paraId="6B22018D" w14:textId="77777777" w:rsidR="00571B42" w:rsidRPr="0057732D" w:rsidRDefault="00571B42" w:rsidP="00571B42">
      <w:pPr>
        <w:spacing w:after="0" w:line="360" w:lineRule="auto"/>
        <w:ind w:firstLine="720"/>
        <w:jc w:val="both"/>
        <w:rPr>
          <w:rFonts w:ascii="Times New Roman" w:hAnsi="Times New Roman" w:cs="Times New Roman"/>
          <w:sz w:val="28"/>
          <w:szCs w:val="28"/>
          <w:lang w:val="uk-UA"/>
        </w:rPr>
      </w:pPr>
      <w:r w:rsidRPr="0057732D">
        <w:rPr>
          <w:rFonts w:ascii="Times New Roman" w:hAnsi="Times New Roman" w:cs="Times New Roman"/>
          <w:sz w:val="28"/>
          <w:szCs w:val="28"/>
          <w:lang w:val="uk-UA"/>
        </w:rPr>
        <w:t>Соціальна конструкція «успіху в кар’єрі» має відчутні наслідки для окремих людей, організацій і суспільств</w:t>
      </w:r>
      <w:r>
        <w:rPr>
          <w:rFonts w:ascii="Times New Roman" w:hAnsi="Times New Roman" w:cs="Times New Roman"/>
          <w:sz w:val="28"/>
          <w:szCs w:val="28"/>
          <w:lang w:val="uk-UA"/>
        </w:rPr>
        <w:t>а</w:t>
      </w:r>
      <w:r w:rsidRPr="0057732D">
        <w:rPr>
          <w:rFonts w:ascii="Times New Roman" w:hAnsi="Times New Roman" w:cs="Times New Roman"/>
          <w:sz w:val="28"/>
          <w:szCs w:val="28"/>
          <w:lang w:val="uk-UA"/>
        </w:rPr>
        <w:t>, оскільки задоволення кількома життєвими ролями – почуття автентичності посилиться</w:t>
      </w:r>
      <w:r>
        <w:rPr>
          <w:rFonts w:ascii="Times New Roman" w:hAnsi="Times New Roman" w:cs="Times New Roman"/>
          <w:sz w:val="28"/>
          <w:szCs w:val="28"/>
          <w:lang w:val="uk-UA"/>
        </w:rPr>
        <w:t xml:space="preserve"> з кожним днем</w:t>
      </w:r>
      <w:r w:rsidRPr="0057732D">
        <w:rPr>
          <w:rFonts w:ascii="Times New Roman" w:hAnsi="Times New Roman" w:cs="Times New Roman"/>
          <w:sz w:val="28"/>
          <w:szCs w:val="28"/>
          <w:lang w:val="uk-UA"/>
        </w:rPr>
        <w:t xml:space="preserve">. Роблячи це, співробітники відчують підтримку в тому, щоб залучити себе до роботи, що зрештою повернеться </w:t>
      </w:r>
      <w:r>
        <w:rPr>
          <w:rFonts w:ascii="Times New Roman" w:hAnsi="Times New Roman" w:cs="Times New Roman"/>
          <w:sz w:val="28"/>
          <w:szCs w:val="28"/>
          <w:lang w:val="uk-UA"/>
        </w:rPr>
        <w:t>до</w:t>
      </w:r>
      <w:r w:rsidRPr="0057732D">
        <w:rPr>
          <w:rFonts w:ascii="Times New Roman" w:hAnsi="Times New Roman" w:cs="Times New Roman"/>
          <w:sz w:val="28"/>
          <w:szCs w:val="28"/>
          <w:lang w:val="uk-UA"/>
        </w:rPr>
        <w:t xml:space="preserve"> організації, підвищивши задоволеність, мотивацію та </w:t>
      </w:r>
      <w:r>
        <w:rPr>
          <w:rFonts w:ascii="Times New Roman" w:hAnsi="Times New Roman" w:cs="Times New Roman"/>
          <w:sz w:val="28"/>
          <w:szCs w:val="28"/>
          <w:lang w:val="uk-UA"/>
        </w:rPr>
        <w:t>зацікавленість</w:t>
      </w:r>
      <w:r w:rsidRPr="0057732D">
        <w:rPr>
          <w:rFonts w:ascii="Times New Roman" w:hAnsi="Times New Roman" w:cs="Times New Roman"/>
          <w:sz w:val="28"/>
          <w:szCs w:val="28"/>
          <w:lang w:val="uk-UA"/>
        </w:rPr>
        <w:t xml:space="preserve"> працівників. Це також сприятиме різноманітності на роботі, яка буде необхідною в умовах </w:t>
      </w:r>
      <w:r>
        <w:rPr>
          <w:rFonts w:ascii="Times New Roman" w:hAnsi="Times New Roman" w:cs="Times New Roman"/>
          <w:sz w:val="28"/>
          <w:szCs w:val="28"/>
          <w:lang w:val="uk-UA"/>
        </w:rPr>
        <w:t>потужної</w:t>
      </w:r>
      <w:r w:rsidRPr="0057732D">
        <w:rPr>
          <w:rFonts w:ascii="Times New Roman" w:hAnsi="Times New Roman" w:cs="Times New Roman"/>
          <w:sz w:val="28"/>
          <w:szCs w:val="28"/>
          <w:lang w:val="uk-UA"/>
        </w:rPr>
        <w:t xml:space="preserve"> війни за таланти, що підживлюється поточними демографічними та психологічними контрактними тенденціями.</w:t>
      </w:r>
    </w:p>
    <w:p w14:paraId="12A26746" w14:textId="6BCE6540"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14563B">
        <w:rPr>
          <w:rFonts w:ascii="Times New Roman" w:hAnsi="Times New Roman" w:cs="Times New Roman"/>
          <w:sz w:val="28"/>
          <w:szCs w:val="28"/>
          <w:lang w:val="uk-UA"/>
        </w:rPr>
        <w:t xml:space="preserve">Традиційний підхід до розвитку кар'єри з точки зору управління людськими ресурсами (УЛР) полягав у підтримці працівників у досягненні їхніх кар'єрних цілей за допомогою таких кадрових практик, як наставництво та плани особистого розвитку </w:t>
      </w:r>
      <w:r w:rsidRPr="005D1B01">
        <w:rPr>
          <w:rFonts w:ascii="Times New Roman" w:hAnsi="Times New Roman" w:cs="Times New Roman"/>
          <w:sz w:val="28"/>
          <w:szCs w:val="28"/>
          <w:lang w:val="uk-UA"/>
        </w:rPr>
        <w:t>[1]</w:t>
      </w:r>
      <w:r w:rsidRPr="0014563B">
        <w:rPr>
          <w:rFonts w:ascii="Times New Roman" w:hAnsi="Times New Roman" w:cs="Times New Roman"/>
          <w:sz w:val="28"/>
          <w:szCs w:val="28"/>
          <w:lang w:val="uk-UA"/>
        </w:rPr>
        <w:t>. Таким чином, управління кар'єрою в організації - завжди певною мірою пов'язане з</w:t>
      </w:r>
      <w:r w:rsidRPr="00874DE7">
        <w:rPr>
          <w:rFonts w:ascii="Times New Roman" w:hAnsi="Times New Roman" w:cs="Times New Roman"/>
          <w:sz w:val="28"/>
          <w:szCs w:val="28"/>
          <w:lang w:val="uk-UA"/>
        </w:rPr>
        <w:t xml:space="preserve"> кар'єрними шляхами, доступними для працівників у даній організації - зосереджується на допомозі працівникам отримати просування по службі, підвищення заробітної плати та перехід на керівні посади </w:t>
      </w:r>
      <w:r w:rsidRPr="005D1B01">
        <w:rPr>
          <w:rFonts w:ascii="Times New Roman" w:hAnsi="Times New Roman" w:cs="Times New Roman"/>
          <w:sz w:val="28"/>
          <w:szCs w:val="28"/>
          <w:lang w:val="uk-UA"/>
        </w:rPr>
        <w:t>[2]</w:t>
      </w:r>
      <w:r w:rsidRPr="00874DE7">
        <w:rPr>
          <w:rFonts w:ascii="Times New Roman" w:hAnsi="Times New Roman" w:cs="Times New Roman"/>
          <w:sz w:val="28"/>
          <w:szCs w:val="28"/>
          <w:lang w:val="uk-UA"/>
        </w:rPr>
        <w:t xml:space="preserve">. Хоча в літературі з управління персоналом та кар'єри останніми роками визнається, що кар'єрний успіх перетворився на поняття ширше, ніж просто оплата праці, просування по службі та статус, в </w:t>
      </w:r>
      <w:r>
        <w:rPr>
          <w:rFonts w:ascii="Times New Roman" w:hAnsi="Times New Roman" w:cs="Times New Roman"/>
          <w:sz w:val="28"/>
          <w:szCs w:val="28"/>
          <w:lang w:val="uk-UA"/>
        </w:rPr>
        <w:t>дослідженнях вчених з цього напрямі</w:t>
      </w:r>
      <w:r w:rsidRPr="00874DE7">
        <w:rPr>
          <w:rFonts w:ascii="Times New Roman" w:hAnsi="Times New Roman" w:cs="Times New Roman"/>
          <w:sz w:val="28"/>
          <w:szCs w:val="28"/>
          <w:lang w:val="uk-UA"/>
        </w:rPr>
        <w:t xml:space="preserve"> ці ідеї майже не відображені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3</w:t>
      </w:r>
      <w:r w:rsidR="002C3DBA">
        <w:rPr>
          <w:rFonts w:ascii="Times New Roman" w:hAnsi="Times New Roman" w:cs="Times New Roman"/>
          <w:sz w:val="28"/>
          <w:szCs w:val="28"/>
          <w:lang w:val="uk-UA"/>
        </w:rPr>
        <w:t>;</w:t>
      </w:r>
      <w:r>
        <w:rPr>
          <w:rFonts w:ascii="Times New Roman" w:hAnsi="Times New Roman" w:cs="Times New Roman"/>
          <w:sz w:val="28"/>
          <w:szCs w:val="28"/>
          <w:lang w:val="uk-UA"/>
        </w:rPr>
        <w:t xml:space="preserve"> 4</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w:t>
      </w:r>
    </w:p>
    <w:p w14:paraId="7B60B561" w14:textId="77777777"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 xml:space="preserve">Зокрема, незрозуміло, якою мірою і яким чином сучасний, більш суб'єктивістський підхід до кар'єрного успіху (тобто те,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як люди ставляться до свого досвіду роботи</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може впливати на кар'єрний успіх,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те, що люди відчувають щодо свого досвіду роботи</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Pr="00874DE7">
        <w:rPr>
          <w:rFonts w:ascii="Times New Roman" w:hAnsi="Times New Roman" w:cs="Times New Roman"/>
          <w:sz w:val="28"/>
          <w:szCs w:val="28"/>
          <w:lang w:val="uk-UA"/>
        </w:rPr>
        <w:t xml:space="preserve">], що охоплює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суб'єктивні судження людей про кар'єрні досягнення, такі як задоволеність роботою та кар'єрою</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6]</w:t>
      </w:r>
      <w:r w:rsidRPr="00874DE7">
        <w:rPr>
          <w:rFonts w:ascii="Times New Roman" w:hAnsi="Times New Roman" w:cs="Times New Roman"/>
          <w:sz w:val="28"/>
          <w:szCs w:val="28"/>
          <w:lang w:val="uk-UA"/>
        </w:rPr>
        <w:t xml:space="preserve"> може чи не може відповідати більш об'єктивістському підходу до кар'єрного успіху, зосередженому на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видимих ззовні проявах успіху</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Pr="00874DE7">
        <w:rPr>
          <w:rFonts w:ascii="Times New Roman" w:hAnsi="Times New Roman" w:cs="Times New Roman"/>
          <w:sz w:val="28"/>
          <w:szCs w:val="28"/>
          <w:lang w:val="uk-UA"/>
        </w:rPr>
        <w:t xml:space="preserve">]. Таким чином, краще розуміння того, який внесок люди роблять у кар'єрний успіх, може мати </w:t>
      </w:r>
      <w:r w:rsidRPr="00874DE7">
        <w:rPr>
          <w:rFonts w:ascii="Times New Roman" w:hAnsi="Times New Roman" w:cs="Times New Roman"/>
          <w:sz w:val="28"/>
          <w:szCs w:val="28"/>
          <w:lang w:val="uk-UA"/>
        </w:rPr>
        <w:lastRenderedPageBreak/>
        <w:t>важливі наслідки для управління кар'єрою в організаціях, особливо в багатонаціональних підприємствах (БНП), що працюють у різних культурах [</w:t>
      </w:r>
      <w:r>
        <w:rPr>
          <w:rFonts w:ascii="Times New Roman" w:hAnsi="Times New Roman" w:cs="Times New Roman"/>
          <w:sz w:val="28"/>
          <w:szCs w:val="28"/>
          <w:lang w:val="uk-UA"/>
        </w:rPr>
        <w:t>7]</w:t>
      </w:r>
      <w:r w:rsidRPr="00874DE7">
        <w:rPr>
          <w:rFonts w:ascii="Times New Roman" w:hAnsi="Times New Roman" w:cs="Times New Roman"/>
          <w:sz w:val="28"/>
          <w:szCs w:val="28"/>
          <w:lang w:val="uk-UA"/>
        </w:rPr>
        <w:t>.</w:t>
      </w:r>
    </w:p>
    <w:p w14:paraId="481B38FB" w14:textId="2C7E05EC"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Важливим викликом для БНП є розуміння того, як бачать і розуміють кар'єрний успіх у різних країнах. У нечисленній літературі, присвяченій відмінностям у системах управління кар'єрою на рівні країн, виокремлено латинську, німецьку, англо-голландську та японську системи управління кар'єрою в БНП [</w:t>
      </w:r>
      <w:r>
        <w:rPr>
          <w:rFonts w:ascii="Times New Roman" w:hAnsi="Times New Roman" w:cs="Times New Roman"/>
          <w:sz w:val="28"/>
          <w:szCs w:val="28"/>
          <w:lang w:val="uk-UA"/>
        </w:rPr>
        <w:t>8]</w:t>
      </w:r>
      <w:r w:rsidRPr="00874DE7">
        <w:rPr>
          <w:rFonts w:ascii="Times New Roman" w:hAnsi="Times New Roman" w:cs="Times New Roman"/>
          <w:sz w:val="28"/>
          <w:szCs w:val="28"/>
          <w:lang w:val="uk-UA"/>
        </w:rPr>
        <w:t xml:space="preserve"> і встановлено, що кожна з них формує у працівників дуже специфічне розуміння того, як будувати успішну кар'єру. Останні наукові дослідження зосереджені на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зіткненнях</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між кар'єрними системами різних країн і підкреслюють загальне визнання вирішального впливу інституційних чинників на крос-культурне управління кар'єрою в БНП [</w:t>
      </w:r>
      <w:r>
        <w:rPr>
          <w:rFonts w:ascii="Times New Roman" w:hAnsi="Times New Roman" w:cs="Times New Roman"/>
          <w:sz w:val="28"/>
          <w:szCs w:val="28"/>
          <w:lang w:val="uk-UA"/>
        </w:rPr>
        <w:t>9</w:t>
      </w:r>
      <w:r w:rsidR="002C3DBA">
        <w:rPr>
          <w:rFonts w:ascii="Times New Roman" w:hAnsi="Times New Roman" w:cs="Times New Roman"/>
          <w:sz w:val="28"/>
          <w:szCs w:val="28"/>
          <w:lang w:val="uk-UA"/>
        </w:rPr>
        <w:t>–</w:t>
      </w:r>
      <w:r>
        <w:rPr>
          <w:rFonts w:ascii="Times New Roman" w:hAnsi="Times New Roman" w:cs="Times New Roman"/>
          <w:sz w:val="28"/>
          <w:szCs w:val="28"/>
          <w:lang w:val="uk-UA"/>
        </w:rPr>
        <w:t>12]</w:t>
      </w:r>
      <w:r w:rsidRPr="00874DE7">
        <w:rPr>
          <w:rFonts w:ascii="Times New Roman" w:hAnsi="Times New Roman" w:cs="Times New Roman"/>
          <w:sz w:val="28"/>
          <w:szCs w:val="28"/>
          <w:lang w:val="uk-UA"/>
        </w:rPr>
        <w:t>.</w:t>
      </w:r>
    </w:p>
    <w:p w14:paraId="5765E101" w14:textId="77777777"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Водночас, натхненні закликами до більш суб'єктивістсько</w:t>
      </w:r>
      <w:r>
        <w:rPr>
          <w:rFonts w:ascii="Times New Roman" w:hAnsi="Times New Roman" w:cs="Times New Roman"/>
          <w:sz w:val="28"/>
          <w:szCs w:val="28"/>
          <w:lang w:val="uk-UA"/>
        </w:rPr>
        <w:t xml:space="preserve">го розуміння кар'єрного успіху </w:t>
      </w:r>
      <w:r w:rsidRPr="00874DE7">
        <w:rPr>
          <w:rFonts w:ascii="Times New Roman" w:hAnsi="Times New Roman" w:cs="Times New Roman"/>
          <w:sz w:val="28"/>
          <w:szCs w:val="28"/>
          <w:lang w:val="uk-UA"/>
        </w:rPr>
        <w:t>[</w:t>
      </w:r>
      <w:r>
        <w:rPr>
          <w:rFonts w:ascii="Times New Roman" w:hAnsi="Times New Roman" w:cs="Times New Roman"/>
          <w:sz w:val="28"/>
          <w:szCs w:val="28"/>
          <w:lang w:val="uk-UA"/>
        </w:rPr>
        <w:t>5]</w:t>
      </w:r>
      <w:r w:rsidRPr="00874DE7">
        <w:rPr>
          <w:rFonts w:ascii="Times New Roman" w:hAnsi="Times New Roman" w:cs="Times New Roman"/>
          <w:sz w:val="28"/>
          <w:szCs w:val="28"/>
          <w:lang w:val="uk-UA"/>
        </w:rPr>
        <w:t>, дослідники кар'єри нещодавно розробили багатовимірні моделі та шкали, дотримуючись логіки, що суб'єктивний кар'єрний успіх може (або повинен) бути представлений за допомогою декількох вимірів [</w:t>
      </w:r>
      <w:r>
        <w:rPr>
          <w:rFonts w:ascii="Times New Roman" w:hAnsi="Times New Roman" w:cs="Times New Roman"/>
          <w:sz w:val="28"/>
          <w:szCs w:val="28"/>
          <w:lang w:val="uk-UA"/>
        </w:rPr>
        <w:t>13]</w:t>
      </w:r>
      <w:r w:rsidRPr="00874DE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Ці нові моделі та шкали дозволяють дослідникам і практикам у сфері управління персоналом оцінити, як різні (групи) людей визначають кар'єрний успіх, і, таким чином, представляють більш комплексний підхід до розуміння кар'єрного успіху. Як наслідок, суб'єктивістському, багатовимірному підходу до кар'єрного успіху приписують великий потенціал для кращого розуміння того, як люди з різних країн і культур бачать і переживають кар'єрний успіх.</w:t>
      </w:r>
    </w:p>
    <w:p w14:paraId="7A75CBCF" w14:textId="08992337"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Тим не менш, дослідники, які вивчають взаємозв'язок між культурою та пізнанням, після десятиліть досліджень дійшли висновку, що люди по всьому світу бачать світ принципово по-різному [</w:t>
      </w:r>
      <w:r>
        <w:rPr>
          <w:rFonts w:ascii="Times New Roman" w:hAnsi="Times New Roman" w:cs="Times New Roman"/>
          <w:sz w:val="28"/>
          <w:szCs w:val="28"/>
          <w:lang w:val="uk-UA"/>
        </w:rPr>
        <w:t>14]</w:t>
      </w:r>
      <w:r w:rsidRPr="00874DE7">
        <w:rPr>
          <w:rFonts w:ascii="Times New Roman" w:hAnsi="Times New Roman" w:cs="Times New Roman"/>
          <w:sz w:val="28"/>
          <w:szCs w:val="28"/>
          <w:lang w:val="uk-UA"/>
        </w:rPr>
        <w:t xml:space="preserve">. Зокрема, західні </w:t>
      </w:r>
      <w:r>
        <w:rPr>
          <w:rFonts w:ascii="Times New Roman" w:hAnsi="Times New Roman" w:cs="Times New Roman"/>
          <w:sz w:val="28"/>
          <w:szCs w:val="28"/>
          <w:lang w:val="uk-UA"/>
        </w:rPr>
        <w:t>працівники</w:t>
      </w:r>
      <w:r w:rsidRPr="00874DE7">
        <w:rPr>
          <w:rFonts w:ascii="Times New Roman" w:hAnsi="Times New Roman" w:cs="Times New Roman"/>
          <w:sz w:val="28"/>
          <w:szCs w:val="28"/>
          <w:lang w:val="uk-UA"/>
        </w:rPr>
        <w:t xml:space="preserve"> схильні розвивати незалежні від контексту, засновані на правилах і сильно </w:t>
      </w:r>
      <w:proofErr w:type="spellStart"/>
      <w:r w:rsidRPr="00874DE7">
        <w:rPr>
          <w:rFonts w:ascii="Times New Roman" w:hAnsi="Times New Roman" w:cs="Times New Roman"/>
          <w:sz w:val="28"/>
          <w:szCs w:val="28"/>
          <w:lang w:val="uk-UA"/>
        </w:rPr>
        <w:t>кластеризовані</w:t>
      </w:r>
      <w:proofErr w:type="spellEnd"/>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схеми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визначені як </w:t>
      </w:r>
      <w:proofErr w:type="spellStart"/>
      <w:r w:rsidRPr="00874DE7">
        <w:rPr>
          <w:rFonts w:ascii="Times New Roman" w:hAnsi="Times New Roman" w:cs="Times New Roman"/>
          <w:sz w:val="28"/>
          <w:szCs w:val="28"/>
          <w:lang w:val="uk-UA"/>
        </w:rPr>
        <w:t>інтерналізовані</w:t>
      </w:r>
      <w:proofErr w:type="spellEnd"/>
      <w:r w:rsidRPr="00874DE7">
        <w:rPr>
          <w:rFonts w:ascii="Times New Roman" w:hAnsi="Times New Roman" w:cs="Times New Roman"/>
          <w:sz w:val="28"/>
          <w:szCs w:val="28"/>
          <w:lang w:val="uk-UA"/>
        </w:rPr>
        <w:t xml:space="preserve"> когнітивні репрезентації знань, які поступово розвиваються з досвіду і згодом визначають спосіб організації та інтерпретації нової інформації [</w:t>
      </w:r>
      <w:r>
        <w:rPr>
          <w:rFonts w:ascii="Times New Roman" w:hAnsi="Times New Roman" w:cs="Times New Roman"/>
          <w:sz w:val="28"/>
          <w:szCs w:val="28"/>
          <w:lang w:val="uk-UA"/>
        </w:rPr>
        <w:t>15</w:t>
      </w:r>
      <w:r w:rsidR="002C3DBA">
        <w:rPr>
          <w:rFonts w:ascii="Times New Roman" w:hAnsi="Times New Roman" w:cs="Times New Roman"/>
          <w:sz w:val="28"/>
          <w:szCs w:val="28"/>
          <w:lang w:val="uk-UA"/>
        </w:rPr>
        <w:t>;</w:t>
      </w:r>
      <w:r>
        <w:rPr>
          <w:rFonts w:ascii="Times New Roman" w:hAnsi="Times New Roman" w:cs="Times New Roman"/>
          <w:sz w:val="28"/>
          <w:szCs w:val="28"/>
          <w:lang w:val="uk-UA"/>
        </w:rPr>
        <w:t xml:space="preserve"> 16]</w:t>
      </w:r>
      <w:r w:rsidRPr="00874DE7">
        <w:rPr>
          <w:rFonts w:ascii="Times New Roman" w:hAnsi="Times New Roman" w:cs="Times New Roman"/>
          <w:sz w:val="28"/>
          <w:szCs w:val="28"/>
          <w:lang w:val="uk-UA"/>
        </w:rPr>
        <w:t xml:space="preserve">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тоді як східні люди схильні дотримуватися більш залежних від контексту,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цілісних</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схем, в яких </w:t>
      </w:r>
      <w:r>
        <w:rPr>
          <w:rFonts w:ascii="Times New Roman" w:hAnsi="Times New Roman" w:cs="Times New Roman"/>
          <w:sz w:val="28"/>
          <w:szCs w:val="28"/>
          <w:lang w:val="uk-UA"/>
        </w:rPr>
        <w:t xml:space="preserve">відображені </w:t>
      </w:r>
      <w:r w:rsidRPr="00874DE7">
        <w:rPr>
          <w:rFonts w:ascii="Times New Roman" w:hAnsi="Times New Roman" w:cs="Times New Roman"/>
          <w:sz w:val="28"/>
          <w:szCs w:val="28"/>
          <w:lang w:val="uk-UA"/>
        </w:rPr>
        <w:t xml:space="preserve">відносини між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елементами</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схеми (тобто, значеннями), а не </w:t>
      </w:r>
      <w:r w:rsidRPr="00874DE7">
        <w:rPr>
          <w:rFonts w:ascii="Times New Roman" w:hAnsi="Times New Roman" w:cs="Times New Roman"/>
          <w:sz w:val="28"/>
          <w:szCs w:val="28"/>
          <w:lang w:val="uk-UA"/>
        </w:rPr>
        <w:lastRenderedPageBreak/>
        <w:t>відмінності між ними [</w:t>
      </w:r>
      <w:r>
        <w:rPr>
          <w:rFonts w:ascii="Times New Roman" w:hAnsi="Times New Roman" w:cs="Times New Roman"/>
          <w:sz w:val="28"/>
          <w:szCs w:val="28"/>
          <w:lang w:val="uk-UA"/>
        </w:rPr>
        <w:t>17]</w:t>
      </w:r>
      <w:r w:rsidRPr="00874DE7">
        <w:rPr>
          <w:rFonts w:ascii="Times New Roman" w:hAnsi="Times New Roman" w:cs="Times New Roman"/>
          <w:sz w:val="28"/>
          <w:szCs w:val="28"/>
          <w:lang w:val="uk-UA"/>
        </w:rPr>
        <w:t xml:space="preserve">. Простіше кажучи, хоча суб'єктивістський підхід до кар'єрного успіху є багатообіцяючим </w:t>
      </w:r>
      <w:r>
        <w:rPr>
          <w:rFonts w:ascii="Times New Roman" w:hAnsi="Times New Roman" w:cs="Times New Roman"/>
          <w:sz w:val="28"/>
          <w:szCs w:val="28"/>
          <w:lang w:val="uk-UA"/>
        </w:rPr>
        <w:t>відокремленням</w:t>
      </w:r>
      <w:r w:rsidRPr="00874DE7">
        <w:rPr>
          <w:rFonts w:ascii="Times New Roman" w:hAnsi="Times New Roman" w:cs="Times New Roman"/>
          <w:sz w:val="28"/>
          <w:szCs w:val="28"/>
          <w:lang w:val="uk-UA"/>
        </w:rPr>
        <w:t xml:space="preserve"> від більш нормативного, традиційного погляду на кар'єру, нещодавній фокус на визначенні наборів окремих, незалежних факторів значення кар'єрного успіху може насправді представляти інший тип західного упередження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тенденцію до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розщеплення</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конструктів на дискретні категорії [</w:t>
      </w:r>
      <w:r>
        <w:rPr>
          <w:rFonts w:ascii="Times New Roman" w:hAnsi="Times New Roman" w:cs="Times New Roman"/>
          <w:sz w:val="28"/>
          <w:szCs w:val="28"/>
          <w:lang w:val="uk-UA"/>
        </w:rPr>
        <w:t>18]</w:t>
      </w:r>
      <w:r w:rsidRPr="00874DE7">
        <w:rPr>
          <w:rFonts w:ascii="Times New Roman" w:hAnsi="Times New Roman" w:cs="Times New Roman"/>
          <w:sz w:val="28"/>
          <w:szCs w:val="28"/>
          <w:lang w:val="uk-UA"/>
        </w:rPr>
        <w:t>.</w:t>
      </w:r>
    </w:p>
    <w:p w14:paraId="1418CC59" w14:textId="77777777" w:rsidR="00571B42" w:rsidRDefault="00571B42" w:rsidP="00571B42">
      <w:pPr>
        <w:spacing w:after="0" w:line="360" w:lineRule="auto"/>
        <w:ind w:firstLine="720"/>
        <w:jc w:val="both"/>
        <w:rPr>
          <w:lang w:val="uk-UA"/>
        </w:rPr>
      </w:pPr>
      <w:r w:rsidRPr="00874DE7">
        <w:rPr>
          <w:rFonts w:ascii="Times New Roman" w:hAnsi="Times New Roman" w:cs="Times New Roman"/>
          <w:sz w:val="28"/>
          <w:szCs w:val="28"/>
          <w:lang w:val="uk-UA"/>
        </w:rPr>
        <w:t xml:space="preserve">Тому, </w:t>
      </w:r>
      <w:r>
        <w:rPr>
          <w:rFonts w:ascii="Times New Roman" w:hAnsi="Times New Roman" w:cs="Times New Roman"/>
          <w:sz w:val="28"/>
          <w:szCs w:val="28"/>
          <w:lang w:val="uk-UA"/>
        </w:rPr>
        <w:t>для розуміння</w:t>
      </w:r>
      <w:r w:rsidRPr="00874DE7">
        <w:rPr>
          <w:rFonts w:ascii="Times New Roman" w:hAnsi="Times New Roman" w:cs="Times New Roman"/>
          <w:sz w:val="28"/>
          <w:szCs w:val="28"/>
          <w:lang w:val="uk-UA"/>
        </w:rPr>
        <w:t xml:space="preserve"> значення кар'єрного успіху в різних країнах, </w:t>
      </w:r>
      <w:r>
        <w:rPr>
          <w:rFonts w:ascii="Times New Roman" w:hAnsi="Times New Roman" w:cs="Times New Roman"/>
          <w:sz w:val="28"/>
          <w:szCs w:val="28"/>
          <w:lang w:val="uk-UA"/>
        </w:rPr>
        <w:t>доцільно</w:t>
      </w:r>
      <w:r w:rsidRPr="00874DE7">
        <w:rPr>
          <w:rFonts w:ascii="Times New Roman" w:hAnsi="Times New Roman" w:cs="Times New Roman"/>
          <w:sz w:val="28"/>
          <w:szCs w:val="28"/>
          <w:lang w:val="uk-UA"/>
        </w:rPr>
        <w:t xml:space="preserve"> спочатку зрозуміти, як люди в різних країнах бачать і розуміють кар'єрний успіх як такий; тобто, як вони </w:t>
      </w:r>
      <w:proofErr w:type="spellStart"/>
      <w:r w:rsidRPr="00874DE7">
        <w:rPr>
          <w:rFonts w:ascii="Times New Roman" w:hAnsi="Times New Roman" w:cs="Times New Roman"/>
          <w:sz w:val="28"/>
          <w:szCs w:val="28"/>
          <w:lang w:val="uk-UA"/>
        </w:rPr>
        <w:t>когнітивно</w:t>
      </w:r>
      <w:proofErr w:type="spellEnd"/>
      <w:r w:rsidRPr="00874DE7">
        <w:rPr>
          <w:rFonts w:ascii="Times New Roman" w:hAnsi="Times New Roman" w:cs="Times New Roman"/>
          <w:sz w:val="28"/>
          <w:szCs w:val="28"/>
          <w:lang w:val="uk-UA"/>
        </w:rPr>
        <w:t xml:space="preserve"> організовують мережу значень, що приписуються кар'єрному успіху [</w:t>
      </w:r>
      <w:r>
        <w:rPr>
          <w:rFonts w:ascii="Times New Roman" w:hAnsi="Times New Roman" w:cs="Times New Roman"/>
          <w:sz w:val="28"/>
          <w:szCs w:val="28"/>
          <w:lang w:val="uk-UA"/>
        </w:rPr>
        <w:t>1</w:t>
      </w:r>
      <w:r w:rsidRPr="005D1B01">
        <w:rPr>
          <w:rFonts w:ascii="Times New Roman" w:hAnsi="Times New Roman" w:cs="Times New Roman"/>
          <w:sz w:val="28"/>
          <w:szCs w:val="28"/>
          <w:lang w:val="uk-UA"/>
        </w:rPr>
        <w:t>5</w:t>
      </w:r>
      <w:r>
        <w:rPr>
          <w:rFonts w:ascii="Times New Roman" w:hAnsi="Times New Roman" w:cs="Times New Roman"/>
          <w:sz w:val="28"/>
          <w:szCs w:val="28"/>
          <w:lang w:val="uk-UA"/>
        </w:rPr>
        <w:t>]. Для проведення даного дослідження доцільно було б</w:t>
      </w:r>
      <w:r w:rsidRPr="00874DE7">
        <w:rPr>
          <w:rFonts w:ascii="Times New Roman" w:hAnsi="Times New Roman" w:cs="Times New Roman"/>
          <w:sz w:val="28"/>
          <w:szCs w:val="28"/>
          <w:lang w:val="uk-UA"/>
        </w:rPr>
        <w:t xml:space="preserve"> припус</w:t>
      </w:r>
      <w:r>
        <w:rPr>
          <w:rFonts w:ascii="Times New Roman" w:hAnsi="Times New Roman" w:cs="Times New Roman"/>
          <w:sz w:val="28"/>
          <w:szCs w:val="28"/>
          <w:lang w:val="uk-UA"/>
        </w:rPr>
        <w:t>тити</w:t>
      </w:r>
      <w:r w:rsidRPr="00874DE7">
        <w:rPr>
          <w:rFonts w:ascii="Times New Roman" w:hAnsi="Times New Roman" w:cs="Times New Roman"/>
          <w:sz w:val="28"/>
          <w:szCs w:val="28"/>
          <w:lang w:val="uk-UA"/>
        </w:rPr>
        <w:t xml:space="preserve">, що справжнє </w:t>
      </w:r>
      <w:r>
        <w:rPr>
          <w:rFonts w:ascii="Times New Roman" w:hAnsi="Times New Roman" w:cs="Times New Roman"/>
          <w:sz w:val="28"/>
          <w:szCs w:val="28"/>
          <w:lang w:val="uk-UA"/>
        </w:rPr>
        <w:t>«</w:t>
      </w:r>
      <w:proofErr w:type="spellStart"/>
      <w:r w:rsidRPr="00874DE7">
        <w:rPr>
          <w:rFonts w:ascii="Times New Roman" w:hAnsi="Times New Roman" w:cs="Times New Roman"/>
          <w:sz w:val="28"/>
          <w:szCs w:val="28"/>
          <w:lang w:val="uk-UA"/>
        </w:rPr>
        <w:t>децентроване</w:t>
      </w:r>
      <w:proofErr w:type="spellEnd"/>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Pr="005D1B01">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розуміння кар'єрного успіху вимагає знання основних структурних характеристик схем кар'єрного успіху і того, як вони пов'язані з конкретними інституційними та культурними механізмами соціалізації в країні [</w:t>
      </w:r>
      <w:r>
        <w:rPr>
          <w:rFonts w:ascii="Times New Roman" w:hAnsi="Times New Roman" w:cs="Times New Roman"/>
          <w:sz w:val="28"/>
          <w:szCs w:val="28"/>
          <w:lang w:val="uk-UA"/>
        </w:rPr>
        <w:t>20]</w:t>
      </w:r>
      <w:r w:rsidRPr="00874DE7">
        <w:rPr>
          <w:rFonts w:ascii="Times New Roman" w:hAnsi="Times New Roman" w:cs="Times New Roman"/>
          <w:sz w:val="28"/>
          <w:szCs w:val="28"/>
          <w:lang w:val="uk-UA"/>
        </w:rPr>
        <w:t xml:space="preserve">. </w:t>
      </w:r>
      <w:r w:rsidRPr="00F24E82">
        <w:rPr>
          <w:rFonts w:ascii="Times New Roman" w:hAnsi="Times New Roman" w:cs="Times New Roman"/>
          <w:sz w:val="28"/>
          <w:szCs w:val="28"/>
          <w:lang w:val="uk-UA"/>
        </w:rPr>
        <w:t xml:space="preserve">З цією метою </w:t>
      </w:r>
      <w:r>
        <w:rPr>
          <w:rFonts w:ascii="Times New Roman" w:hAnsi="Times New Roman" w:cs="Times New Roman"/>
          <w:sz w:val="28"/>
          <w:szCs w:val="28"/>
          <w:lang w:val="uk-UA"/>
        </w:rPr>
        <w:t>доцільно застосувати</w:t>
      </w:r>
      <w:r w:rsidRPr="00F24E82">
        <w:rPr>
          <w:rFonts w:ascii="Times New Roman" w:hAnsi="Times New Roman" w:cs="Times New Roman"/>
          <w:sz w:val="28"/>
          <w:szCs w:val="28"/>
          <w:lang w:val="uk-UA"/>
        </w:rPr>
        <w:t xml:space="preserve"> та зосеред</w:t>
      </w:r>
      <w:r>
        <w:rPr>
          <w:rFonts w:ascii="Times New Roman" w:hAnsi="Times New Roman" w:cs="Times New Roman"/>
          <w:sz w:val="28"/>
          <w:szCs w:val="28"/>
          <w:lang w:val="uk-UA"/>
        </w:rPr>
        <w:t>ити увагу</w:t>
      </w:r>
      <w:r w:rsidRPr="00F24E82">
        <w:rPr>
          <w:rFonts w:ascii="Times New Roman" w:hAnsi="Times New Roman" w:cs="Times New Roman"/>
          <w:sz w:val="28"/>
          <w:szCs w:val="28"/>
          <w:lang w:val="uk-UA"/>
        </w:rPr>
        <w:t xml:space="preserve"> на складності схеми та конвергенції, двох надійних, </w:t>
      </w:r>
      <w:proofErr w:type="spellStart"/>
      <w:r>
        <w:rPr>
          <w:rFonts w:ascii="Times New Roman" w:hAnsi="Times New Roman" w:cs="Times New Roman"/>
          <w:sz w:val="28"/>
          <w:szCs w:val="28"/>
          <w:lang w:val="uk-UA"/>
        </w:rPr>
        <w:t>загально</w:t>
      </w:r>
      <w:r w:rsidRPr="00F24E82">
        <w:rPr>
          <w:rFonts w:ascii="Times New Roman" w:hAnsi="Times New Roman" w:cs="Times New Roman"/>
          <w:sz w:val="28"/>
          <w:szCs w:val="28"/>
          <w:lang w:val="uk-UA"/>
        </w:rPr>
        <w:t>застосо</w:t>
      </w:r>
      <w:r>
        <w:rPr>
          <w:rFonts w:ascii="Times New Roman" w:hAnsi="Times New Roman" w:cs="Times New Roman"/>
          <w:sz w:val="28"/>
          <w:szCs w:val="28"/>
          <w:lang w:val="uk-UA"/>
        </w:rPr>
        <w:t>вув</w:t>
      </w:r>
      <w:r w:rsidRPr="00F24E82">
        <w:rPr>
          <w:rFonts w:ascii="Times New Roman" w:hAnsi="Times New Roman" w:cs="Times New Roman"/>
          <w:sz w:val="28"/>
          <w:szCs w:val="28"/>
          <w:lang w:val="uk-UA"/>
        </w:rPr>
        <w:t>аних</w:t>
      </w:r>
      <w:proofErr w:type="spellEnd"/>
      <w:r w:rsidRPr="00F24E82">
        <w:rPr>
          <w:rFonts w:ascii="Times New Roman" w:hAnsi="Times New Roman" w:cs="Times New Roman"/>
          <w:sz w:val="28"/>
          <w:szCs w:val="28"/>
          <w:lang w:val="uk-UA"/>
        </w:rPr>
        <w:t xml:space="preserve"> структурних характеристиках когнітивних схем.</w:t>
      </w:r>
      <w:r>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 xml:space="preserve">Вони стосуються кількості </w:t>
      </w:r>
      <w:r>
        <w:rPr>
          <w:rFonts w:ascii="Times New Roman" w:hAnsi="Times New Roman" w:cs="Times New Roman"/>
          <w:sz w:val="28"/>
          <w:szCs w:val="28"/>
          <w:lang w:val="uk-UA"/>
        </w:rPr>
        <w:t>відмінностей між людьми</w:t>
      </w:r>
      <w:r w:rsidRPr="00874DE7">
        <w:rPr>
          <w:rFonts w:ascii="Times New Roman" w:hAnsi="Times New Roman" w:cs="Times New Roman"/>
          <w:sz w:val="28"/>
          <w:szCs w:val="28"/>
          <w:lang w:val="uk-UA"/>
        </w:rPr>
        <w:t xml:space="preserve"> (тобто складності</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[18]</w:t>
      </w:r>
      <w:r w:rsidRPr="00874DE7">
        <w:rPr>
          <w:rFonts w:ascii="Times New Roman" w:hAnsi="Times New Roman" w:cs="Times New Roman"/>
          <w:sz w:val="28"/>
          <w:szCs w:val="28"/>
          <w:lang w:val="uk-UA"/>
        </w:rPr>
        <w:t xml:space="preserve"> та консенсусу між людьми (тобто конвергенції</w:t>
      </w:r>
      <w:r>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[21]</w:t>
      </w:r>
      <w:r w:rsidRPr="00874DE7">
        <w:rPr>
          <w:rFonts w:ascii="Times New Roman" w:hAnsi="Times New Roman" w:cs="Times New Roman"/>
          <w:sz w:val="28"/>
          <w:szCs w:val="28"/>
          <w:lang w:val="uk-UA"/>
        </w:rPr>
        <w:t xml:space="preserve">, які також </w:t>
      </w:r>
      <w:r>
        <w:rPr>
          <w:rFonts w:ascii="Times New Roman" w:hAnsi="Times New Roman" w:cs="Times New Roman"/>
          <w:sz w:val="28"/>
          <w:szCs w:val="28"/>
          <w:lang w:val="uk-UA"/>
        </w:rPr>
        <w:t xml:space="preserve">доцільно позначити як </w:t>
      </w:r>
      <w:r w:rsidRPr="00874DE7">
        <w:rPr>
          <w:rFonts w:ascii="Times New Roman" w:hAnsi="Times New Roman" w:cs="Times New Roman"/>
          <w:sz w:val="28"/>
          <w:szCs w:val="28"/>
          <w:lang w:val="uk-UA"/>
        </w:rPr>
        <w:t>важлив</w:t>
      </w:r>
      <w:r>
        <w:rPr>
          <w:rFonts w:ascii="Times New Roman" w:hAnsi="Times New Roman" w:cs="Times New Roman"/>
          <w:sz w:val="28"/>
          <w:szCs w:val="28"/>
          <w:lang w:val="uk-UA"/>
        </w:rPr>
        <w:t>і</w:t>
      </w:r>
      <w:r w:rsidRPr="00874DE7">
        <w:rPr>
          <w:rFonts w:ascii="Times New Roman" w:hAnsi="Times New Roman" w:cs="Times New Roman"/>
          <w:sz w:val="28"/>
          <w:szCs w:val="28"/>
          <w:lang w:val="uk-UA"/>
        </w:rPr>
        <w:t xml:space="preserve"> для вивчення </w:t>
      </w:r>
      <w:proofErr w:type="spellStart"/>
      <w:r w:rsidRPr="00874DE7">
        <w:rPr>
          <w:rFonts w:ascii="Times New Roman" w:hAnsi="Times New Roman" w:cs="Times New Roman"/>
          <w:sz w:val="28"/>
          <w:szCs w:val="28"/>
          <w:lang w:val="uk-UA"/>
        </w:rPr>
        <w:t>подібностей</w:t>
      </w:r>
      <w:proofErr w:type="spellEnd"/>
      <w:r w:rsidRPr="00874DE7">
        <w:rPr>
          <w:rFonts w:ascii="Times New Roman" w:hAnsi="Times New Roman" w:cs="Times New Roman"/>
          <w:sz w:val="28"/>
          <w:szCs w:val="28"/>
          <w:lang w:val="uk-UA"/>
        </w:rPr>
        <w:t xml:space="preserve"> та відмінностей у пізнанні значен</w:t>
      </w:r>
      <w:r>
        <w:rPr>
          <w:rFonts w:ascii="Times New Roman" w:hAnsi="Times New Roman" w:cs="Times New Roman"/>
          <w:sz w:val="28"/>
          <w:szCs w:val="28"/>
          <w:lang w:val="uk-UA"/>
        </w:rPr>
        <w:t>ня</w:t>
      </w:r>
      <w:r w:rsidRPr="00874DE7">
        <w:rPr>
          <w:rFonts w:ascii="Times New Roman" w:hAnsi="Times New Roman" w:cs="Times New Roman"/>
          <w:sz w:val="28"/>
          <w:szCs w:val="28"/>
          <w:lang w:val="uk-UA"/>
        </w:rPr>
        <w:t xml:space="preserve"> кар'єрного успіху.</w:t>
      </w:r>
      <w:r w:rsidRPr="00874DE7">
        <w:rPr>
          <w:lang w:val="uk-UA"/>
        </w:rPr>
        <w:t xml:space="preserve"> </w:t>
      </w:r>
    </w:p>
    <w:p w14:paraId="16642776" w14:textId="77777777" w:rsidR="00571B42" w:rsidRPr="00874DE7"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Першочерговим завданням має стати</w:t>
      </w:r>
      <w:r w:rsidRPr="00874DE7">
        <w:rPr>
          <w:rFonts w:ascii="Times New Roman" w:hAnsi="Times New Roman" w:cs="Times New Roman"/>
          <w:sz w:val="28"/>
          <w:szCs w:val="28"/>
          <w:lang w:val="uk-UA"/>
        </w:rPr>
        <w:t xml:space="preserve"> концептуаліз</w:t>
      </w:r>
      <w:r>
        <w:rPr>
          <w:rFonts w:ascii="Times New Roman" w:hAnsi="Times New Roman" w:cs="Times New Roman"/>
          <w:sz w:val="28"/>
          <w:szCs w:val="28"/>
          <w:lang w:val="uk-UA"/>
        </w:rPr>
        <w:t>ація</w:t>
      </w:r>
      <w:r w:rsidRPr="00874DE7">
        <w:rPr>
          <w:rFonts w:ascii="Times New Roman" w:hAnsi="Times New Roman" w:cs="Times New Roman"/>
          <w:sz w:val="28"/>
          <w:szCs w:val="28"/>
          <w:lang w:val="uk-UA"/>
        </w:rPr>
        <w:t xml:space="preserve"> схеми кар'єрного успіху і відповідно узгодж</w:t>
      </w:r>
      <w:r>
        <w:rPr>
          <w:rFonts w:ascii="Times New Roman" w:hAnsi="Times New Roman" w:cs="Times New Roman"/>
          <w:sz w:val="28"/>
          <w:szCs w:val="28"/>
          <w:lang w:val="uk-UA"/>
        </w:rPr>
        <w:t>ення</w:t>
      </w:r>
      <w:r w:rsidRPr="00874DE7">
        <w:rPr>
          <w:rFonts w:ascii="Times New Roman" w:hAnsi="Times New Roman" w:cs="Times New Roman"/>
          <w:sz w:val="28"/>
          <w:szCs w:val="28"/>
          <w:lang w:val="uk-UA"/>
        </w:rPr>
        <w:t xml:space="preserve"> дв</w:t>
      </w:r>
      <w:r>
        <w:rPr>
          <w:rFonts w:ascii="Times New Roman" w:hAnsi="Times New Roman" w:cs="Times New Roman"/>
          <w:sz w:val="28"/>
          <w:szCs w:val="28"/>
          <w:lang w:val="uk-UA"/>
        </w:rPr>
        <w:t>ох</w:t>
      </w:r>
      <w:r w:rsidRPr="00874DE7">
        <w:rPr>
          <w:rFonts w:ascii="Times New Roman" w:hAnsi="Times New Roman" w:cs="Times New Roman"/>
          <w:sz w:val="28"/>
          <w:szCs w:val="28"/>
          <w:lang w:val="uk-UA"/>
        </w:rPr>
        <w:t xml:space="preserve"> структурн</w:t>
      </w:r>
      <w:r>
        <w:rPr>
          <w:rFonts w:ascii="Times New Roman" w:hAnsi="Times New Roman" w:cs="Times New Roman"/>
          <w:sz w:val="28"/>
          <w:szCs w:val="28"/>
          <w:lang w:val="uk-UA"/>
        </w:rPr>
        <w:t>их характеристик</w:t>
      </w:r>
      <w:r w:rsidRPr="00874DE7">
        <w:rPr>
          <w:rFonts w:ascii="Times New Roman" w:hAnsi="Times New Roman" w:cs="Times New Roman"/>
          <w:sz w:val="28"/>
          <w:szCs w:val="28"/>
          <w:lang w:val="uk-UA"/>
        </w:rPr>
        <w:t xml:space="preserve"> - складність і конвергенці</w:t>
      </w:r>
      <w:r>
        <w:rPr>
          <w:rFonts w:ascii="Times New Roman" w:hAnsi="Times New Roman" w:cs="Times New Roman"/>
          <w:sz w:val="28"/>
          <w:szCs w:val="28"/>
          <w:lang w:val="uk-UA"/>
        </w:rPr>
        <w:t>я</w:t>
      </w:r>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Наступним етапом має стати</w:t>
      </w:r>
      <w:r w:rsidRPr="00874DE7">
        <w:rPr>
          <w:rFonts w:ascii="Times New Roman" w:hAnsi="Times New Roman" w:cs="Times New Roman"/>
          <w:sz w:val="28"/>
          <w:szCs w:val="28"/>
          <w:lang w:val="uk-UA"/>
        </w:rPr>
        <w:t xml:space="preserve"> застосув</w:t>
      </w:r>
      <w:r>
        <w:rPr>
          <w:rFonts w:ascii="Times New Roman" w:hAnsi="Times New Roman" w:cs="Times New Roman"/>
          <w:sz w:val="28"/>
          <w:szCs w:val="28"/>
          <w:lang w:val="uk-UA"/>
        </w:rPr>
        <w:t>ання</w:t>
      </w:r>
      <w:r w:rsidRPr="00874DE7">
        <w:rPr>
          <w:rFonts w:ascii="Times New Roman" w:hAnsi="Times New Roman" w:cs="Times New Roman"/>
          <w:sz w:val="28"/>
          <w:szCs w:val="28"/>
          <w:lang w:val="uk-UA"/>
        </w:rPr>
        <w:t xml:space="preserve"> конфігураційн</w:t>
      </w:r>
      <w:r>
        <w:rPr>
          <w:rFonts w:ascii="Times New Roman" w:hAnsi="Times New Roman" w:cs="Times New Roman"/>
          <w:sz w:val="28"/>
          <w:szCs w:val="28"/>
          <w:lang w:val="uk-UA"/>
        </w:rPr>
        <w:t>ої</w:t>
      </w:r>
      <w:r w:rsidRPr="00874DE7">
        <w:rPr>
          <w:rFonts w:ascii="Times New Roman" w:hAnsi="Times New Roman" w:cs="Times New Roman"/>
          <w:sz w:val="28"/>
          <w:szCs w:val="28"/>
          <w:lang w:val="uk-UA"/>
        </w:rPr>
        <w:t xml:space="preserve"> логік</w:t>
      </w:r>
      <w:r>
        <w:rPr>
          <w:rFonts w:ascii="Times New Roman" w:hAnsi="Times New Roman" w:cs="Times New Roman"/>
          <w:sz w:val="28"/>
          <w:szCs w:val="28"/>
          <w:lang w:val="uk-UA"/>
        </w:rPr>
        <w:t>и</w:t>
      </w:r>
      <w:r w:rsidRPr="00874DE7">
        <w:rPr>
          <w:rFonts w:ascii="Times New Roman" w:hAnsi="Times New Roman" w:cs="Times New Roman"/>
          <w:sz w:val="28"/>
          <w:szCs w:val="28"/>
          <w:lang w:val="uk-UA"/>
        </w:rPr>
        <w:t xml:space="preserve"> для визначення набору інституційних факторів та ключових контекстуальних механізмів у формуванні цих схем. Акцент тут робиться на конфігураціях факторів, а не на окремих інституційних факторах, оскільки через складну взаємодію контекстуальних факторів у формуванні схем кар'єрного успіху, конфігурації мають уможливити більш надійне врахування контекстуальних </w:t>
      </w:r>
      <w:r>
        <w:rPr>
          <w:rFonts w:ascii="Times New Roman" w:hAnsi="Times New Roman" w:cs="Times New Roman"/>
          <w:sz w:val="28"/>
          <w:szCs w:val="28"/>
          <w:lang w:val="uk-UA"/>
        </w:rPr>
        <w:t xml:space="preserve">особливостей </w:t>
      </w:r>
      <w:r w:rsidRPr="005D1B01">
        <w:rPr>
          <w:rFonts w:ascii="Times New Roman" w:hAnsi="Times New Roman" w:cs="Times New Roman"/>
          <w:sz w:val="28"/>
          <w:szCs w:val="28"/>
          <w:lang w:val="uk-UA"/>
        </w:rPr>
        <w:t>[2</w:t>
      </w:r>
      <w:r>
        <w:rPr>
          <w:rFonts w:ascii="Times New Roman" w:hAnsi="Times New Roman" w:cs="Times New Roman"/>
          <w:sz w:val="28"/>
          <w:szCs w:val="28"/>
          <w:lang w:val="uk-UA"/>
        </w:rPr>
        <w:t>2</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Подібна к</w:t>
      </w:r>
      <w:r w:rsidRPr="00874DE7">
        <w:rPr>
          <w:rFonts w:ascii="Times New Roman" w:hAnsi="Times New Roman" w:cs="Times New Roman"/>
          <w:sz w:val="28"/>
          <w:szCs w:val="28"/>
          <w:lang w:val="uk-UA"/>
        </w:rPr>
        <w:t xml:space="preserve">онфігураційна логіка </w:t>
      </w:r>
      <w:r>
        <w:rPr>
          <w:rFonts w:ascii="Times New Roman" w:hAnsi="Times New Roman" w:cs="Times New Roman"/>
          <w:sz w:val="28"/>
          <w:szCs w:val="28"/>
          <w:lang w:val="uk-UA"/>
        </w:rPr>
        <w:t xml:space="preserve">залишається важливою складовою у наведеному дослідженні. Найважливішим етапом є побудова </w:t>
      </w:r>
      <w:r w:rsidRPr="00874DE7">
        <w:rPr>
          <w:rFonts w:ascii="Times New Roman" w:hAnsi="Times New Roman" w:cs="Times New Roman"/>
          <w:sz w:val="28"/>
          <w:szCs w:val="28"/>
          <w:lang w:val="uk-UA"/>
        </w:rPr>
        <w:lastRenderedPageBreak/>
        <w:t xml:space="preserve">когнітивного </w:t>
      </w:r>
      <w:proofErr w:type="spellStart"/>
      <w:r w:rsidRPr="00874DE7">
        <w:rPr>
          <w:rFonts w:ascii="Times New Roman" w:hAnsi="Times New Roman" w:cs="Times New Roman"/>
          <w:sz w:val="28"/>
          <w:szCs w:val="28"/>
          <w:lang w:val="uk-UA"/>
        </w:rPr>
        <w:t>мапування</w:t>
      </w:r>
      <w:proofErr w:type="spellEnd"/>
      <w:r w:rsidRPr="00874DE7">
        <w:rPr>
          <w:rFonts w:ascii="Times New Roman" w:hAnsi="Times New Roman" w:cs="Times New Roman"/>
          <w:sz w:val="28"/>
          <w:szCs w:val="28"/>
          <w:lang w:val="uk-UA"/>
        </w:rPr>
        <w:t xml:space="preserve"> схем кар'єрного успіху окремих респондентів з </w:t>
      </w:r>
      <w:r>
        <w:rPr>
          <w:rFonts w:ascii="Times New Roman" w:hAnsi="Times New Roman" w:cs="Times New Roman"/>
          <w:sz w:val="28"/>
          <w:szCs w:val="28"/>
          <w:lang w:val="uk-UA"/>
        </w:rPr>
        <w:t>різних</w:t>
      </w:r>
      <w:r w:rsidRPr="00874DE7">
        <w:rPr>
          <w:rFonts w:ascii="Times New Roman" w:hAnsi="Times New Roman" w:cs="Times New Roman"/>
          <w:sz w:val="28"/>
          <w:szCs w:val="28"/>
          <w:lang w:val="uk-UA"/>
        </w:rPr>
        <w:t xml:space="preserve"> країн, визнач</w:t>
      </w:r>
      <w:r>
        <w:rPr>
          <w:rFonts w:ascii="Times New Roman" w:hAnsi="Times New Roman" w:cs="Times New Roman"/>
          <w:sz w:val="28"/>
          <w:szCs w:val="28"/>
          <w:lang w:val="uk-UA"/>
        </w:rPr>
        <w:t>ення</w:t>
      </w:r>
      <w:r w:rsidRPr="00874DE7">
        <w:rPr>
          <w:rFonts w:ascii="Times New Roman" w:hAnsi="Times New Roman" w:cs="Times New Roman"/>
          <w:sz w:val="28"/>
          <w:szCs w:val="28"/>
          <w:lang w:val="uk-UA"/>
        </w:rPr>
        <w:t xml:space="preserve"> сукупні показники складності та конвергенції для кожної країни, а також розробл</w:t>
      </w:r>
      <w:r>
        <w:rPr>
          <w:rFonts w:ascii="Times New Roman" w:hAnsi="Times New Roman" w:cs="Times New Roman"/>
          <w:sz w:val="28"/>
          <w:szCs w:val="28"/>
          <w:lang w:val="uk-UA"/>
        </w:rPr>
        <w:t>ення</w:t>
      </w:r>
      <w:r w:rsidRPr="00874DE7">
        <w:rPr>
          <w:rFonts w:ascii="Times New Roman" w:hAnsi="Times New Roman" w:cs="Times New Roman"/>
          <w:sz w:val="28"/>
          <w:szCs w:val="28"/>
          <w:lang w:val="uk-UA"/>
        </w:rPr>
        <w:t xml:space="preserve"> таксономі</w:t>
      </w:r>
      <w:r>
        <w:rPr>
          <w:rFonts w:ascii="Times New Roman" w:hAnsi="Times New Roman" w:cs="Times New Roman"/>
          <w:sz w:val="28"/>
          <w:szCs w:val="28"/>
          <w:lang w:val="uk-UA"/>
        </w:rPr>
        <w:t>ї</w:t>
      </w:r>
      <w:r w:rsidRPr="00874DE7">
        <w:rPr>
          <w:rFonts w:ascii="Times New Roman" w:hAnsi="Times New Roman" w:cs="Times New Roman"/>
          <w:sz w:val="28"/>
          <w:szCs w:val="28"/>
          <w:lang w:val="uk-UA"/>
        </w:rPr>
        <w:t xml:space="preserve"> схем кар'єрного успіху на рівні країн. Згодом </w:t>
      </w:r>
      <w:r>
        <w:rPr>
          <w:rFonts w:ascii="Times New Roman" w:hAnsi="Times New Roman" w:cs="Times New Roman"/>
          <w:sz w:val="28"/>
          <w:szCs w:val="28"/>
          <w:lang w:val="uk-UA"/>
        </w:rPr>
        <w:t>доцільно використати</w:t>
      </w:r>
      <w:r w:rsidRPr="00874DE7">
        <w:rPr>
          <w:rFonts w:ascii="Times New Roman" w:hAnsi="Times New Roman" w:cs="Times New Roman"/>
          <w:sz w:val="28"/>
          <w:szCs w:val="28"/>
          <w:lang w:val="uk-UA"/>
        </w:rPr>
        <w:t xml:space="preserve"> якісний порівняльний аналіз (QCA), щоб визначити конфігурації контекстуальних факторів, які формують складність та конвергенцію схем кар'єрного успіху на рівні країн.</w:t>
      </w:r>
    </w:p>
    <w:p w14:paraId="1B4A8507" w14:textId="3DFC53A4"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 xml:space="preserve">У сукупності дослідження вказують на необхідність більш детального та </w:t>
      </w:r>
      <w:r>
        <w:rPr>
          <w:rFonts w:ascii="Times New Roman" w:hAnsi="Times New Roman" w:cs="Times New Roman"/>
          <w:sz w:val="28"/>
          <w:szCs w:val="28"/>
          <w:lang w:val="uk-UA"/>
        </w:rPr>
        <w:t>особливого</w:t>
      </w:r>
      <w:r w:rsidRPr="00874DE7">
        <w:rPr>
          <w:rFonts w:ascii="Times New Roman" w:hAnsi="Times New Roman" w:cs="Times New Roman"/>
          <w:sz w:val="28"/>
          <w:szCs w:val="28"/>
          <w:lang w:val="uk-UA"/>
        </w:rPr>
        <w:t xml:space="preserve"> розгляду контексту </w:t>
      </w:r>
      <w:r>
        <w:rPr>
          <w:rFonts w:ascii="Times New Roman" w:hAnsi="Times New Roman" w:cs="Times New Roman"/>
          <w:sz w:val="28"/>
          <w:szCs w:val="28"/>
          <w:lang w:val="uk-UA"/>
        </w:rPr>
        <w:t>щодо</w:t>
      </w:r>
      <w:r w:rsidRPr="00874DE7">
        <w:rPr>
          <w:rFonts w:ascii="Times New Roman" w:hAnsi="Times New Roman" w:cs="Times New Roman"/>
          <w:sz w:val="28"/>
          <w:szCs w:val="28"/>
          <w:lang w:val="uk-UA"/>
        </w:rPr>
        <w:t xml:space="preserve"> розумінн</w:t>
      </w:r>
      <w:r>
        <w:rPr>
          <w:rFonts w:ascii="Times New Roman" w:hAnsi="Times New Roman" w:cs="Times New Roman"/>
          <w:sz w:val="28"/>
          <w:szCs w:val="28"/>
          <w:lang w:val="uk-UA"/>
        </w:rPr>
        <w:t>я</w:t>
      </w:r>
      <w:r w:rsidRPr="00874DE7">
        <w:rPr>
          <w:rFonts w:ascii="Times New Roman" w:hAnsi="Times New Roman" w:cs="Times New Roman"/>
          <w:sz w:val="28"/>
          <w:szCs w:val="28"/>
          <w:lang w:val="uk-UA"/>
        </w:rPr>
        <w:t xml:space="preserve"> схем кар'єрного успіху як основи для розуміння суб'єктивного кар'єрного успіху в різних національних культурах і, зокрема, його наслідків для си</w:t>
      </w:r>
      <w:r>
        <w:rPr>
          <w:rFonts w:ascii="Times New Roman" w:hAnsi="Times New Roman" w:cs="Times New Roman"/>
          <w:sz w:val="28"/>
          <w:szCs w:val="28"/>
          <w:lang w:val="uk-UA"/>
        </w:rPr>
        <w:t xml:space="preserve">стем управління кар'єрою в БНП </w:t>
      </w:r>
      <w:r w:rsidRPr="005D1B01">
        <w:rPr>
          <w:rFonts w:ascii="Times New Roman" w:hAnsi="Times New Roman" w:cs="Times New Roman"/>
          <w:sz w:val="28"/>
          <w:szCs w:val="28"/>
          <w:lang w:val="uk-UA"/>
        </w:rPr>
        <w:t>[2</w:t>
      </w:r>
      <w:r>
        <w:rPr>
          <w:rFonts w:ascii="Times New Roman" w:hAnsi="Times New Roman" w:cs="Times New Roman"/>
          <w:sz w:val="28"/>
          <w:szCs w:val="28"/>
          <w:lang w:val="uk-UA"/>
        </w:rPr>
        <w:t>3</w:t>
      </w:r>
      <w:r w:rsidRPr="005D1B01">
        <w:rPr>
          <w:rFonts w:ascii="Times New Roman" w:hAnsi="Times New Roman" w:cs="Times New Roman"/>
          <w:sz w:val="28"/>
          <w:szCs w:val="28"/>
          <w:lang w:val="uk-UA"/>
        </w:rPr>
        <w:t>]</w:t>
      </w:r>
      <w:r>
        <w:rPr>
          <w:rFonts w:ascii="Times New Roman" w:hAnsi="Times New Roman" w:cs="Times New Roman"/>
          <w:sz w:val="28"/>
          <w:szCs w:val="28"/>
          <w:lang w:val="uk-UA"/>
        </w:rPr>
        <w:t>.</w:t>
      </w:r>
      <w:r w:rsidRPr="00874DE7">
        <w:rPr>
          <w:lang w:val="uk-UA"/>
        </w:rPr>
        <w:t xml:space="preserve"> </w:t>
      </w:r>
      <w:r w:rsidRPr="00874DE7">
        <w:rPr>
          <w:rFonts w:ascii="Times New Roman" w:hAnsi="Times New Roman" w:cs="Times New Roman"/>
          <w:sz w:val="28"/>
          <w:szCs w:val="28"/>
          <w:lang w:val="uk-UA"/>
        </w:rPr>
        <w:t xml:space="preserve">Зокрема, </w:t>
      </w:r>
      <w:r>
        <w:rPr>
          <w:rFonts w:ascii="Times New Roman" w:hAnsi="Times New Roman" w:cs="Times New Roman"/>
          <w:sz w:val="28"/>
          <w:szCs w:val="28"/>
          <w:lang w:val="uk-UA"/>
        </w:rPr>
        <w:t>важливо відокремити висновки щодо</w:t>
      </w:r>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внеску</w:t>
      </w:r>
      <w:r w:rsidRPr="00874DE7">
        <w:rPr>
          <w:rFonts w:ascii="Times New Roman" w:hAnsi="Times New Roman" w:cs="Times New Roman"/>
          <w:sz w:val="28"/>
          <w:szCs w:val="28"/>
          <w:lang w:val="uk-UA"/>
        </w:rPr>
        <w:t xml:space="preserve"> у міжнародну літературу з управління персоналом трьома способами. По-перше, </w:t>
      </w:r>
      <w:r>
        <w:rPr>
          <w:rFonts w:ascii="Times New Roman" w:hAnsi="Times New Roman" w:cs="Times New Roman"/>
          <w:sz w:val="28"/>
          <w:szCs w:val="28"/>
          <w:lang w:val="uk-UA"/>
        </w:rPr>
        <w:t>щодо введення окремого</w:t>
      </w:r>
      <w:r w:rsidRPr="00874DE7">
        <w:rPr>
          <w:rFonts w:ascii="Times New Roman" w:hAnsi="Times New Roman" w:cs="Times New Roman"/>
          <w:sz w:val="28"/>
          <w:szCs w:val="28"/>
          <w:lang w:val="uk-UA"/>
        </w:rPr>
        <w:t xml:space="preserve"> конструкт</w:t>
      </w:r>
      <w:r>
        <w:rPr>
          <w:rFonts w:ascii="Times New Roman" w:hAnsi="Times New Roman" w:cs="Times New Roman"/>
          <w:sz w:val="28"/>
          <w:szCs w:val="28"/>
          <w:lang w:val="uk-UA"/>
        </w:rPr>
        <w:t>у</w:t>
      </w:r>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схема кар'єрного успіху</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та його структурн</w:t>
      </w:r>
      <w:r>
        <w:rPr>
          <w:rFonts w:ascii="Times New Roman" w:hAnsi="Times New Roman" w:cs="Times New Roman"/>
          <w:sz w:val="28"/>
          <w:szCs w:val="28"/>
          <w:lang w:val="uk-UA"/>
        </w:rPr>
        <w:t>их характеристик</w:t>
      </w:r>
      <w:r w:rsidRPr="00874DE7">
        <w:rPr>
          <w:rFonts w:ascii="Times New Roman" w:hAnsi="Times New Roman" w:cs="Times New Roman"/>
          <w:sz w:val="28"/>
          <w:szCs w:val="28"/>
          <w:lang w:val="uk-UA"/>
        </w:rPr>
        <w:t xml:space="preserve"> як на індивідуальному, так і на колективному (тобто спільному) рівні. По-друге, </w:t>
      </w:r>
      <w:r>
        <w:rPr>
          <w:rFonts w:ascii="Times New Roman" w:hAnsi="Times New Roman" w:cs="Times New Roman"/>
          <w:sz w:val="28"/>
          <w:szCs w:val="28"/>
          <w:lang w:val="uk-UA"/>
        </w:rPr>
        <w:t>щодо</w:t>
      </w:r>
      <w:r w:rsidRPr="00874DE7">
        <w:rPr>
          <w:rFonts w:ascii="Times New Roman" w:hAnsi="Times New Roman" w:cs="Times New Roman"/>
          <w:sz w:val="28"/>
          <w:szCs w:val="28"/>
          <w:lang w:val="uk-UA"/>
        </w:rPr>
        <w:t xml:space="preserve"> визнач</w:t>
      </w:r>
      <w:r>
        <w:rPr>
          <w:rFonts w:ascii="Times New Roman" w:hAnsi="Times New Roman" w:cs="Times New Roman"/>
          <w:sz w:val="28"/>
          <w:szCs w:val="28"/>
          <w:lang w:val="uk-UA"/>
        </w:rPr>
        <w:t>ення</w:t>
      </w:r>
      <w:r w:rsidRPr="00874DE7">
        <w:rPr>
          <w:rFonts w:ascii="Times New Roman" w:hAnsi="Times New Roman" w:cs="Times New Roman"/>
          <w:sz w:val="28"/>
          <w:szCs w:val="28"/>
          <w:lang w:val="uk-UA"/>
        </w:rPr>
        <w:t xml:space="preserve"> чотир</w:t>
      </w:r>
      <w:r>
        <w:rPr>
          <w:rFonts w:ascii="Times New Roman" w:hAnsi="Times New Roman" w:cs="Times New Roman"/>
          <w:sz w:val="28"/>
          <w:szCs w:val="28"/>
          <w:lang w:val="uk-UA"/>
        </w:rPr>
        <w:t>ьох</w:t>
      </w:r>
      <w:r w:rsidRPr="00874DE7">
        <w:rPr>
          <w:rFonts w:ascii="Times New Roman" w:hAnsi="Times New Roman" w:cs="Times New Roman"/>
          <w:sz w:val="28"/>
          <w:szCs w:val="28"/>
          <w:lang w:val="uk-UA"/>
        </w:rPr>
        <w:t xml:space="preserve"> архетип</w:t>
      </w:r>
      <w:r>
        <w:rPr>
          <w:rFonts w:ascii="Times New Roman" w:hAnsi="Times New Roman" w:cs="Times New Roman"/>
          <w:sz w:val="28"/>
          <w:szCs w:val="28"/>
          <w:lang w:val="uk-UA"/>
        </w:rPr>
        <w:t>ів</w:t>
      </w:r>
      <w:r w:rsidRPr="00874DE7">
        <w:rPr>
          <w:rFonts w:ascii="Times New Roman" w:hAnsi="Times New Roman" w:cs="Times New Roman"/>
          <w:sz w:val="28"/>
          <w:szCs w:val="28"/>
          <w:lang w:val="uk-UA"/>
        </w:rPr>
        <w:t xml:space="preserve"> схем кар'єрного успіху на основі двох вимірів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складності та конвергенції, які дозволяють класифікувати країни за таксономією кар'єрного успіху, що базується на схемах. Нарешті, </w:t>
      </w:r>
      <w:r>
        <w:rPr>
          <w:rFonts w:ascii="Times New Roman" w:hAnsi="Times New Roman" w:cs="Times New Roman"/>
          <w:sz w:val="28"/>
          <w:szCs w:val="28"/>
          <w:lang w:val="uk-UA"/>
        </w:rPr>
        <w:t>щодо</w:t>
      </w:r>
      <w:r w:rsidRPr="00874DE7">
        <w:rPr>
          <w:rFonts w:ascii="Times New Roman" w:hAnsi="Times New Roman" w:cs="Times New Roman"/>
          <w:sz w:val="28"/>
          <w:szCs w:val="28"/>
          <w:lang w:val="uk-UA"/>
        </w:rPr>
        <w:t xml:space="preserve"> визнач</w:t>
      </w:r>
      <w:r>
        <w:rPr>
          <w:rFonts w:ascii="Times New Roman" w:hAnsi="Times New Roman" w:cs="Times New Roman"/>
          <w:sz w:val="28"/>
          <w:szCs w:val="28"/>
          <w:lang w:val="uk-UA"/>
        </w:rPr>
        <w:t>ення</w:t>
      </w:r>
      <w:r w:rsidRPr="00874DE7">
        <w:rPr>
          <w:rFonts w:ascii="Times New Roman" w:hAnsi="Times New Roman" w:cs="Times New Roman"/>
          <w:sz w:val="28"/>
          <w:szCs w:val="28"/>
          <w:lang w:val="uk-UA"/>
        </w:rPr>
        <w:t xml:space="preserve"> конфігурації інституційних факторів та контекстуальних механізмів, які формують схеми кар'єрного успіху на рівні країн.</w:t>
      </w:r>
    </w:p>
    <w:p w14:paraId="14DE2900" w14:textId="08EBB4DD"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 xml:space="preserve">Схема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це організована структура, яка існує в пам'яті </w:t>
      </w:r>
      <w:r w:rsidRPr="005D1B01">
        <w:rPr>
          <w:rFonts w:ascii="Times New Roman" w:hAnsi="Times New Roman" w:cs="Times New Roman"/>
          <w:sz w:val="28"/>
          <w:szCs w:val="28"/>
          <w:lang w:val="uk-UA"/>
        </w:rPr>
        <w:t>[2</w:t>
      </w:r>
      <w:r>
        <w:rPr>
          <w:rFonts w:ascii="Times New Roman" w:hAnsi="Times New Roman" w:cs="Times New Roman"/>
          <w:sz w:val="28"/>
          <w:szCs w:val="28"/>
          <w:lang w:val="uk-UA"/>
        </w:rPr>
        <w:t>4</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і яка разом з усіма іншими схемами, якими володіє індивід, представляє його або її повне знання про світ </w:t>
      </w:r>
      <w:r w:rsidRPr="005D1B01">
        <w:rPr>
          <w:rFonts w:ascii="Times New Roman" w:hAnsi="Times New Roman" w:cs="Times New Roman"/>
          <w:sz w:val="28"/>
          <w:szCs w:val="28"/>
          <w:lang w:val="uk-UA"/>
        </w:rPr>
        <w:t>[2</w:t>
      </w:r>
      <w:r>
        <w:rPr>
          <w:rFonts w:ascii="Times New Roman" w:hAnsi="Times New Roman" w:cs="Times New Roman"/>
          <w:sz w:val="28"/>
          <w:szCs w:val="28"/>
          <w:lang w:val="uk-UA"/>
        </w:rPr>
        <w:t>5</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Схеми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це абстрактні, </w:t>
      </w:r>
      <w:proofErr w:type="spellStart"/>
      <w:r w:rsidRPr="00874DE7">
        <w:rPr>
          <w:rFonts w:ascii="Times New Roman" w:hAnsi="Times New Roman" w:cs="Times New Roman"/>
          <w:sz w:val="28"/>
          <w:szCs w:val="28"/>
          <w:lang w:val="uk-UA"/>
        </w:rPr>
        <w:t>інтерналізовані</w:t>
      </w:r>
      <w:proofErr w:type="spellEnd"/>
      <w:r w:rsidRPr="00874DE7">
        <w:rPr>
          <w:rFonts w:ascii="Times New Roman" w:hAnsi="Times New Roman" w:cs="Times New Roman"/>
          <w:sz w:val="28"/>
          <w:szCs w:val="28"/>
          <w:lang w:val="uk-UA"/>
        </w:rPr>
        <w:t xml:space="preserve"> когнітивні репрезентації знань, які можуть змінюватися відповідно до життєвого досвіду людини. Вони слугують фільтром для інтерпретації нової інформації, і таким чином підвищують когнітивну ефективність. Важко уявити собі необхідність переосмислення повсякденних явищ без можливості покладатися на пам'ять, що базується на схемах</w:t>
      </w:r>
      <w:r>
        <w:rPr>
          <w:rFonts w:ascii="Times New Roman" w:hAnsi="Times New Roman" w:cs="Times New Roman"/>
          <w:sz w:val="28"/>
          <w:szCs w:val="28"/>
          <w:lang w:val="uk-UA"/>
        </w:rPr>
        <w:t xml:space="preserve"> </w:t>
      </w:r>
      <w:r w:rsidRPr="005D1B01">
        <w:rPr>
          <w:rFonts w:ascii="Times New Roman" w:hAnsi="Times New Roman" w:cs="Times New Roman"/>
          <w:sz w:val="28"/>
          <w:szCs w:val="28"/>
        </w:rPr>
        <w:t>[2</w:t>
      </w:r>
      <w:r>
        <w:rPr>
          <w:rFonts w:ascii="Times New Roman" w:hAnsi="Times New Roman" w:cs="Times New Roman"/>
          <w:sz w:val="28"/>
          <w:szCs w:val="28"/>
          <w:lang w:val="uk-UA"/>
        </w:rPr>
        <w:t>4</w:t>
      </w:r>
      <w:r w:rsidR="002C3DBA">
        <w:rPr>
          <w:rFonts w:ascii="Times New Roman" w:hAnsi="Times New Roman" w:cs="Times New Roman"/>
          <w:sz w:val="28"/>
          <w:szCs w:val="28"/>
          <w:lang w:val="uk-UA"/>
        </w:rPr>
        <w:t>;</w:t>
      </w:r>
      <w:r>
        <w:rPr>
          <w:rFonts w:ascii="Times New Roman" w:hAnsi="Times New Roman" w:cs="Times New Roman"/>
          <w:sz w:val="28"/>
          <w:szCs w:val="28"/>
          <w:lang w:val="uk-UA"/>
        </w:rPr>
        <w:t xml:space="preserve"> 26</w:t>
      </w:r>
      <w:r w:rsidRPr="005D1B01">
        <w:rPr>
          <w:rFonts w:ascii="Times New Roman" w:hAnsi="Times New Roman" w:cs="Times New Roman"/>
          <w:sz w:val="28"/>
          <w:szCs w:val="28"/>
        </w:rPr>
        <w:t>]</w:t>
      </w:r>
      <w:r w:rsidRPr="00874DE7">
        <w:rPr>
          <w:rFonts w:ascii="Times New Roman" w:hAnsi="Times New Roman" w:cs="Times New Roman"/>
          <w:sz w:val="28"/>
          <w:szCs w:val="28"/>
          <w:lang w:val="uk-UA"/>
        </w:rPr>
        <w:t xml:space="preserve">. Хоча схеми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це лише репрезентація декларативних знань про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що</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явища </w:t>
      </w:r>
      <w:r w:rsidRPr="005D1B01">
        <w:rPr>
          <w:rFonts w:ascii="Times New Roman" w:hAnsi="Times New Roman" w:cs="Times New Roman"/>
          <w:sz w:val="28"/>
          <w:szCs w:val="28"/>
        </w:rPr>
        <w:t>[2</w:t>
      </w:r>
      <w:r>
        <w:rPr>
          <w:rFonts w:ascii="Times New Roman" w:hAnsi="Times New Roman" w:cs="Times New Roman"/>
          <w:sz w:val="28"/>
          <w:szCs w:val="28"/>
          <w:lang w:val="uk-UA"/>
        </w:rPr>
        <w:t>4</w:t>
      </w:r>
      <w:r w:rsidRPr="005D1B01">
        <w:rPr>
          <w:rFonts w:ascii="Times New Roman" w:hAnsi="Times New Roman" w:cs="Times New Roman"/>
          <w:sz w:val="28"/>
          <w:szCs w:val="28"/>
        </w:rPr>
        <w:t>]</w:t>
      </w:r>
      <w:r w:rsidRPr="00874DE7">
        <w:rPr>
          <w:rFonts w:ascii="Times New Roman" w:hAnsi="Times New Roman" w:cs="Times New Roman"/>
          <w:sz w:val="28"/>
          <w:szCs w:val="28"/>
          <w:lang w:val="uk-UA"/>
        </w:rPr>
        <w:t>,</w:t>
      </w:r>
      <w:r w:rsidRPr="00874DE7">
        <w:rPr>
          <w:lang w:val="uk-UA"/>
        </w:rPr>
        <w:t xml:space="preserve"> </w:t>
      </w:r>
      <w:r w:rsidRPr="00874DE7">
        <w:rPr>
          <w:rFonts w:ascii="Times New Roman" w:hAnsi="Times New Roman" w:cs="Times New Roman"/>
          <w:sz w:val="28"/>
          <w:szCs w:val="28"/>
          <w:lang w:val="uk-UA"/>
        </w:rPr>
        <w:t xml:space="preserve">люди використовують їх як фундаментальну основу для міркувань, прогнозів і рішень щодо конкретної життєвої сфери, яку вони представляють </w:t>
      </w:r>
      <w:r w:rsidRPr="005D1B01">
        <w:rPr>
          <w:rFonts w:ascii="Times New Roman" w:hAnsi="Times New Roman" w:cs="Times New Roman"/>
          <w:sz w:val="28"/>
          <w:szCs w:val="28"/>
        </w:rPr>
        <w:t>[2</w:t>
      </w:r>
      <w:r>
        <w:rPr>
          <w:rFonts w:ascii="Times New Roman" w:hAnsi="Times New Roman" w:cs="Times New Roman"/>
          <w:sz w:val="28"/>
          <w:szCs w:val="28"/>
          <w:lang w:val="uk-UA"/>
        </w:rPr>
        <w:t>7</w:t>
      </w:r>
      <w:r w:rsidRPr="005D1B01">
        <w:rPr>
          <w:rFonts w:ascii="Times New Roman" w:hAnsi="Times New Roman" w:cs="Times New Roman"/>
          <w:sz w:val="28"/>
          <w:szCs w:val="28"/>
        </w:rPr>
        <w:t>]</w:t>
      </w:r>
      <w:r w:rsidRPr="00874DE7">
        <w:rPr>
          <w:rFonts w:ascii="Times New Roman" w:hAnsi="Times New Roman" w:cs="Times New Roman"/>
          <w:sz w:val="28"/>
          <w:szCs w:val="28"/>
          <w:lang w:val="uk-UA"/>
        </w:rPr>
        <w:t>.</w:t>
      </w:r>
    </w:p>
    <w:p w14:paraId="29D7951B" w14:textId="06CB834A"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lastRenderedPageBreak/>
        <w:t xml:space="preserve">Схеми кар'єрного успіху, зокрема, можна визначити як мережеві структури суб'єктивних значень кар'єрного успіху (включаючи такі аспекти, як досягнення багатства, перевершення інших, хороший баланс між роботою та особистим життям, постійне навчання та становлення кращої людини), які спрямовують інтерпретацію людьми свого кар'єрного досвіду, а згодом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їхні кар'єрні рішення та поведінку </w:t>
      </w:r>
      <w:r w:rsidRPr="005D1B01">
        <w:rPr>
          <w:rFonts w:ascii="Times New Roman" w:hAnsi="Times New Roman" w:cs="Times New Roman"/>
          <w:sz w:val="28"/>
          <w:szCs w:val="28"/>
          <w:lang w:val="uk-UA"/>
        </w:rPr>
        <w:t>[15]</w:t>
      </w:r>
      <w:r w:rsidRPr="00874DE7">
        <w:rPr>
          <w:rFonts w:ascii="Times New Roman" w:hAnsi="Times New Roman" w:cs="Times New Roman"/>
          <w:sz w:val="28"/>
          <w:szCs w:val="28"/>
          <w:lang w:val="uk-UA"/>
        </w:rPr>
        <w:t>.</w:t>
      </w:r>
      <w:r>
        <w:rPr>
          <w:rFonts w:ascii="Times New Roman" w:hAnsi="Times New Roman" w:cs="Times New Roman"/>
          <w:sz w:val="28"/>
          <w:szCs w:val="28"/>
          <w:lang w:val="cs-CZ"/>
        </w:rPr>
        <w:t xml:space="preserve"> </w:t>
      </w:r>
      <w:r w:rsidRPr="00874DE7">
        <w:rPr>
          <w:rFonts w:ascii="Times New Roman" w:hAnsi="Times New Roman" w:cs="Times New Roman"/>
          <w:sz w:val="28"/>
          <w:szCs w:val="28"/>
          <w:lang w:val="uk-UA"/>
        </w:rPr>
        <w:t xml:space="preserve">Дослідження в галузі кар'єри виявили, що сприйняття кар'єрних можливостей, які є результатом практики внутрішнього ринку праці, створюють очікування та систему координат для власного очікуваного майбутнього кар'єрного успіху </w:t>
      </w:r>
      <w:r w:rsidRPr="005D1B01">
        <w:rPr>
          <w:rFonts w:ascii="Times New Roman" w:hAnsi="Times New Roman" w:cs="Times New Roman"/>
          <w:sz w:val="28"/>
          <w:szCs w:val="28"/>
          <w:lang w:val="cs-CZ"/>
        </w:rPr>
        <w:t>[2</w:t>
      </w:r>
      <w:r>
        <w:rPr>
          <w:rFonts w:ascii="Times New Roman" w:hAnsi="Times New Roman" w:cs="Times New Roman"/>
          <w:sz w:val="28"/>
          <w:szCs w:val="28"/>
          <w:lang w:val="uk-UA"/>
        </w:rPr>
        <w:t>8</w:t>
      </w:r>
      <w:r w:rsidR="002C3DBA">
        <w:rPr>
          <w:rFonts w:ascii="Times New Roman" w:hAnsi="Times New Roman" w:cs="Times New Roman"/>
          <w:sz w:val="28"/>
          <w:szCs w:val="28"/>
          <w:lang w:val="uk-UA"/>
        </w:rPr>
        <w:t>;</w:t>
      </w:r>
      <w:r>
        <w:rPr>
          <w:rFonts w:ascii="Times New Roman" w:hAnsi="Times New Roman" w:cs="Times New Roman"/>
          <w:sz w:val="28"/>
          <w:szCs w:val="28"/>
          <w:lang w:val="uk-UA"/>
        </w:rPr>
        <w:t xml:space="preserve"> 29</w:t>
      </w:r>
      <w:r w:rsidRPr="005D1B01">
        <w:rPr>
          <w:rFonts w:ascii="Times New Roman" w:hAnsi="Times New Roman" w:cs="Times New Roman"/>
          <w:sz w:val="28"/>
          <w:szCs w:val="28"/>
          <w:lang w:val="cs-CZ"/>
        </w:rPr>
        <w:t>]</w:t>
      </w:r>
      <w:r w:rsidRPr="00874DE7">
        <w:rPr>
          <w:rFonts w:ascii="Times New Roman" w:hAnsi="Times New Roman" w:cs="Times New Roman"/>
          <w:sz w:val="28"/>
          <w:szCs w:val="28"/>
          <w:lang w:val="uk-UA"/>
        </w:rPr>
        <w:t xml:space="preserve">. Хоча минулий досвід кар'єрного успіху формує схеми кар'єрного успіху і призводить до сприятливого прогнозування майбутніх кар'єрних перспектив </w:t>
      </w:r>
      <w:r w:rsidRPr="005D1B01">
        <w:rPr>
          <w:rFonts w:ascii="Times New Roman" w:hAnsi="Times New Roman" w:cs="Times New Roman"/>
          <w:sz w:val="28"/>
          <w:szCs w:val="28"/>
          <w:lang w:val="uk-UA"/>
        </w:rPr>
        <w:t>[30]</w:t>
      </w:r>
      <w:r w:rsidRPr="00874DE7">
        <w:rPr>
          <w:rFonts w:ascii="Times New Roman" w:hAnsi="Times New Roman" w:cs="Times New Roman"/>
          <w:sz w:val="28"/>
          <w:szCs w:val="28"/>
          <w:lang w:val="uk-UA"/>
        </w:rPr>
        <w:t xml:space="preserve">, невпевненість у кар'єрі та занепокоєння призводять до зниження </w:t>
      </w:r>
      <w:proofErr w:type="spellStart"/>
      <w:r w:rsidRPr="00874DE7">
        <w:rPr>
          <w:rFonts w:ascii="Times New Roman" w:hAnsi="Times New Roman" w:cs="Times New Roman"/>
          <w:sz w:val="28"/>
          <w:szCs w:val="28"/>
          <w:lang w:val="uk-UA"/>
        </w:rPr>
        <w:t>самоефективності</w:t>
      </w:r>
      <w:proofErr w:type="spellEnd"/>
      <w:r w:rsidRPr="00874DE7">
        <w:rPr>
          <w:rFonts w:ascii="Times New Roman" w:hAnsi="Times New Roman" w:cs="Times New Roman"/>
          <w:sz w:val="28"/>
          <w:szCs w:val="28"/>
          <w:lang w:val="uk-UA"/>
        </w:rPr>
        <w:t xml:space="preserve">, пов'язаної з кар'єрою, і, таким чином, до більш вузького когнітивного уявлення про те, що є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мислимим</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[31]</w:t>
      </w:r>
      <w:r w:rsidRPr="00874DE7">
        <w:rPr>
          <w:rFonts w:ascii="Times New Roman" w:hAnsi="Times New Roman" w:cs="Times New Roman"/>
          <w:sz w:val="28"/>
          <w:szCs w:val="28"/>
          <w:lang w:val="uk-UA"/>
        </w:rPr>
        <w:t>.</w:t>
      </w:r>
    </w:p>
    <w:p w14:paraId="4E7FF7D0" w14:textId="4C55E270" w:rsidR="00571B42" w:rsidRDefault="00571B42" w:rsidP="00571B42">
      <w:pPr>
        <w:spacing w:after="0" w:line="360" w:lineRule="auto"/>
        <w:ind w:firstLine="720"/>
        <w:jc w:val="both"/>
        <w:rPr>
          <w:lang w:val="uk-UA"/>
        </w:rPr>
      </w:pPr>
      <w:r w:rsidRPr="00874DE7">
        <w:rPr>
          <w:rFonts w:ascii="Times New Roman" w:hAnsi="Times New Roman" w:cs="Times New Roman"/>
          <w:sz w:val="28"/>
          <w:szCs w:val="28"/>
          <w:lang w:val="uk-UA"/>
        </w:rPr>
        <w:t xml:space="preserve">Важливо зазначити, що кар'єрні можливості та обмеження існують не лише на індивідуальному рівні, але й на рівні суспільства та ринку праці </w:t>
      </w:r>
      <w:r w:rsidRPr="005D1B01">
        <w:rPr>
          <w:rFonts w:ascii="Times New Roman" w:hAnsi="Times New Roman" w:cs="Times New Roman"/>
          <w:sz w:val="28"/>
          <w:szCs w:val="28"/>
          <w:lang w:val="uk-UA"/>
        </w:rPr>
        <w:t>[20]</w:t>
      </w:r>
      <w:r w:rsidRPr="00874DE7">
        <w:rPr>
          <w:rFonts w:ascii="Times New Roman" w:hAnsi="Times New Roman" w:cs="Times New Roman"/>
          <w:sz w:val="28"/>
          <w:szCs w:val="28"/>
          <w:lang w:val="uk-UA"/>
        </w:rPr>
        <w:t>.</w:t>
      </w:r>
      <w:r w:rsidRPr="00874DE7">
        <w:rPr>
          <w:lang w:val="uk-UA"/>
        </w:rPr>
        <w:t xml:space="preserve"> </w:t>
      </w:r>
      <w:r w:rsidRPr="00874DE7">
        <w:rPr>
          <w:rFonts w:ascii="Times New Roman" w:hAnsi="Times New Roman" w:cs="Times New Roman"/>
          <w:sz w:val="28"/>
          <w:szCs w:val="28"/>
          <w:lang w:val="uk-UA"/>
        </w:rPr>
        <w:t xml:space="preserve">Варто лише уявити, що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кар'єрний успіх</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може означати для нещодавніх випускників в Іспанії та Греції, де економічні негаразди та надзвичайно високий рівень безробіття серед молоді тривають роками, порівняно з тим, що він може означати для випускників природничо-наукових, технологічних, інженерних та математичних спеціальностей (STEM) у Сполучених Штатах, де в період з 2014 по 2024 рік </w:t>
      </w:r>
      <w:r>
        <w:rPr>
          <w:rFonts w:ascii="Times New Roman" w:hAnsi="Times New Roman" w:cs="Times New Roman"/>
          <w:sz w:val="28"/>
          <w:szCs w:val="28"/>
          <w:lang w:val="uk-UA"/>
        </w:rPr>
        <w:t>з’явився</w:t>
      </w:r>
      <w:r w:rsidRPr="00874DE7">
        <w:rPr>
          <w:rFonts w:ascii="Times New Roman" w:hAnsi="Times New Roman" w:cs="Times New Roman"/>
          <w:sz w:val="28"/>
          <w:szCs w:val="28"/>
          <w:lang w:val="uk-UA"/>
        </w:rPr>
        <w:t xml:space="preserve"> мільйон </w:t>
      </w:r>
      <w:r>
        <w:rPr>
          <w:rFonts w:ascii="Times New Roman" w:hAnsi="Times New Roman" w:cs="Times New Roman"/>
          <w:sz w:val="28"/>
          <w:szCs w:val="28"/>
          <w:lang w:val="uk-UA"/>
        </w:rPr>
        <w:t xml:space="preserve">незатребуваних </w:t>
      </w:r>
      <w:r w:rsidRPr="00874DE7">
        <w:rPr>
          <w:rFonts w:ascii="Times New Roman" w:hAnsi="Times New Roman" w:cs="Times New Roman"/>
          <w:sz w:val="28"/>
          <w:szCs w:val="28"/>
          <w:lang w:val="uk-UA"/>
        </w:rPr>
        <w:t xml:space="preserve">вакансій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32</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w:t>
      </w:r>
      <w:r w:rsidRPr="00874DE7">
        <w:rPr>
          <w:lang w:val="uk-UA"/>
        </w:rPr>
        <w:t xml:space="preserve"> </w:t>
      </w:r>
      <w:r w:rsidRPr="00874DE7">
        <w:rPr>
          <w:rFonts w:ascii="Times New Roman" w:hAnsi="Times New Roman" w:cs="Times New Roman"/>
          <w:sz w:val="28"/>
          <w:szCs w:val="28"/>
          <w:lang w:val="uk-UA"/>
        </w:rPr>
        <w:t xml:space="preserve">Як видно </w:t>
      </w:r>
      <w:r>
        <w:rPr>
          <w:rFonts w:ascii="Times New Roman" w:hAnsi="Times New Roman" w:cs="Times New Roman"/>
          <w:sz w:val="28"/>
          <w:szCs w:val="28"/>
          <w:lang w:val="uk-UA"/>
        </w:rPr>
        <w:t>з наведеного прикладу</w:t>
      </w:r>
      <w:r w:rsidRPr="00874DE7">
        <w:rPr>
          <w:rFonts w:ascii="Times New Roman" w:hAnsi="Times New Roman" w:cs="Times New Roman"/>
          <w:sz w:val="28"/>
          <w:szCs w:val="28"/>
          <w:lang w:val="uk-UA"/>
        </w:rPr>
        <w:t>, схеми кар'єрного успіху можна по-справжньому зрозуміти лише в контексті</w:t>
      </w:r>
      <w:r>
        <w:rPr>
          <w:rFonts w:ascii="Times New Roman" w:hAnsi="Times New Roman" w:cs="Times New Roman"/>
          <w:sz w:val="28"/>
          <w:szCs w:val="28"/>
          <w:lang w:val="uk-UA"/>
        </w:rPr>
        <w:t xml:space="preserve"> </w:t>
      </w:r>
      <w:r w:rsidRPr="005D1B01">
        <w:rPr>
          <w:rFonts w:ascii="Times New Roman" w:hAnsi="Times New Roman" w:cs="Times New Roman"/>
          <w:sz w:val="28"/>
          <w:szCs w:val="28"/>
        </w:rPr>
        <w:t>[</w:t>
      </w:r>
      <w:r>
        <w:rPr>
          <w:rFonts w:ascii="Times New Roman" w:hAnsi="Times New Roman" w:cs="Times New Roman"/>
          <w:sz w:val="28"/>
          <w:szCs w:val="28"/>
          <w:lang w:val="uk-UA"/>
        </w:rPr>
        <w:t>23</w:t>
      </w:r>
      <w:r w:rsidR="002C3DB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2</w:t>
      </w:r>
      <w:r>
        <w:rPr>
          <w:rFonts w:ascii="Times New Roman" w:hAnsi="Times New Roman" w:cs="Times New Roman"/>
          <w:sz w:val="28"/>
          <w:szCs w:val="28"/>
          <w:lang w:val="uk-UA"/>
        </w:rPr>
        <w:t>7</w:t>
      </w:r>
      <w:r w:rsidRPr="005D1B01">
        <w:rPr>
          <w:rFonts w:ascii="Times New Roman" w:hAnsi="Times New Roman" w:cs="Times New Roman"/>
          <w:sz w:val="28"/>
          <w:szCs w:val="28"/>
        </w:rPr>
        <w:t>]</w:t>
      </w:r>
      <w:r w:rsidRPr="00874DE7">
        <w:rPr>
          <w:rFonts w:ascii="Times New Roman" w:hAnsi="Times New Roman" w:cs="Times New Roman"/>
          <w:sz w:val="28"/>
          <w:szCs w:val="28"/>
          <w:lang w:val="uk-UA"/>
        </w:rPr>
        <w:t>.</w:t>
      </w:r>
    </w:p>
    <w:p w14:paraId="1E52B996" w14:textId="05F89892"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 xml:space="preserve">Щоб додати контекст і зробити концептуальний і методологічний стрибок від індивідуальних до колективних схем, </w:t>
      </w:r>
      <w:r>
        <w:rPr>
          <w:rFonts w:ascii="Times New Roman" w:hAnsi="Times New Roman" w:cs="Times New Roman"/>
          <w:sz w:val="28"/>
          <w:szCs w:val="28"/>
          <w:lang w:val="uk-UA"/>
        </w:rPr>
        <w:t xml:space="preserve">доцільно </w:t>
      </w:r>
      <w:r w:rsidRPr="00874DE7">
        <w:rPr>
          <w:rFonts w:ascii="Times New Roman" w:hAnsi="Times New Roman" w:cs="Times New Roman"/>
          <w:sz w:val="28"/>
          <w:szCs w:val="28"/>
          <w:lang w:val="uk-UA"/>
        </w:rPr>
        <w:t>проаналізува</w:t>
      </w:r>
      <w:r>
        <w:rPr>
          <w:rFonts w:ascii="Times New Roman" w:hAnsi="Times New Roman" w:cs="Times New Roman"/>
          <w:sz w:val="28"/>
          <w:szCs w:val="28"/>
          <w:lang w:val="uk-UA"/>
        </w:rPr>
        <w:t>т</w:t>
      </w:r>
      <w:r w:rsidRPr="00874DE7">
        <w:rPr>
          <w:rFonts w:ascii="Times New Roman" w:hAnsi="Times New Roman" w:cs="Times New Roman"/>
          <w:sz w:val="28"/>
          <w:szCs w:val="28"/>
          <w:lang w:val="uk-UA"/>
        </w:rPr>
        <w:t xml:space="preserve">и схеми кар'єрного успіху за двома структурними вимірами: складність схеми і конвергенція схеми. В академічних дослідженнях схеми зазвичай </w:t>
      </w:r>
      <w:proofErr w:type="spellStart"/>
      <w:r w:rsidRPr="00874DE7">
        <w:rPr>
          <w:rFonts w:ascii="Times New Roman" w:hAnsi="Times New Roman" w:cs="Times New Roman"/>
          <w:sz w:val="28"/>
          <w:szCs w:val="28"/>
          <w:lang w:val="uk-UA"/>
        </w:rPr>
        <w:t>візуалізуються</w:t>
      </w:r>
      <w:proofErr w:type="spellEnd"/>
      <w:r w:rsidRPr="00874DE7">
        <w:rPr>
          <w:rFonts w:ascii="Times New Roman" w:hAnsi="Times New Roman" w:cs="Times New Roman"/>
          <w:sz w:val="28"/>
          <w:szCs w:val="28"/>
          <w:lang w:val="uk-UA"/>
        </w:rPr>
        <w:t xml:space="preserve"> у вигляді мереж (також </w:t>
      </w:r>
      <w:r>
        <w:rPr>
          <w:rFonts w:ascii="Times New Roman" w:hAnsi="Times New Roman" w:cs="Times New Roman"/>
          <w:sz w:val="28"/>
          <w:szCs w:val="28"/>
          <w:lang w:val="uk-UA"/>
        </w:rPr>
        <w:t>їх називають когнітивними картами</w:t>
      </w:r>
      <w:r w:rsidRPr="00874DE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D1B01">
        <w:rPr>
          <w:rFonts w:ascii="Times New Roman" w:hAnsi="Times New Roman" w:cs="Times New Roman"/>
          <w:sz w:val="28"/>
          <w:szCs w:val="28"/>
        </w:rPr>
        <w:t>[</w:t>
      </w:r>
      <w:r>
        <w:rPr>
          <w:rFonts w:ascii="Times New Roman" w:hAnsi="Times New Roman" w:cs="Times New Roman"/>
          <w:sz w:val="28"/>
          <w:szCs w:val="28"/>
          <w:lang w:val="uk-UA"/>
        </w:rPr>
        <w:t>33</w:t>
      </w:r>
      <w:r w:rsidRPr="005D1B01">
        <w:rPr>
          <w:rFonts w:ascii="Times New Roman" w:hAnsi="Times New Roman" w:cs="Times New Roman"/>
          <w:sz w:val="28"/>
          <w:szCs w:val="28"/>
        </w:rPr>
        <w:t>]</w:t>
      </w:r>
      <w:r w:rsidRPr="00874DE7">
        <w:rPr>
          <w:rFonts w:ascii="Times New Roman" w:hAnsi="Times New Roman" w:cs="Times New Roman"/>
          <w:sz w:val="28"/>
          <w:szCs w:val="28"/>
          <w:lang w:val="uk-UA"/>
        </w:rPr>
        <w:t xml:space="preserve">. У цих мережах взаємопов'язаних понять створюються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острівці значення</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кластери значень, які більше схожі між собою, ніж зі значеннями поза кожним кластером </w:t>
      </w:r>
      <w:r w:rsidRPr="005D1B01">
        <w:rPr>
          <w:rFonts w:ascii="Times New Roman" w:hAnsi="Times New Roman" w:cs="Times New Roman"/>
          <w:sz w:val="28"/>
          <w:szCs w:val="28"/>
        </w:rPr>
        <w:t>[</w:t>
      </w:r>
      <w:r>
        <w:rPr>
          <w:rFonts w:ascii="Times New Roman" w:hAnsi="Times New Roman" w:cs="Times New Roman"/>
          <w:sz w:val="28"/>
          <w:szCs w:val="28"/>
          <w:lang w:val="uk-UA"/>
        </w:rPr>
        <w:t>34</w:t>
      </w:r>
      <w:r w:rsidRPr="005D1B01">
        <w:rPr>
          <w:rFonts w:ascii="Times New Roman" w:hAnsi="Times New Roman" w:cs="Times New Roman"/>
          <w:sz w:val="28"/>
          <w:szCs w:val="28"/>
        </w:rPr>
        <w:t>]</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lastRenderedPageBreak/>
        <w:t xml:space="preserve">Виокремлення таких кластерів у схемі вимагає одночасної роботи двох діаметрально </w:t>
      </w:r>
      <w:r w:rsidRPr="002C3DBA">
        <w:rPr>
          <w:rFonts w:ascii="Times New Roman" w:hAnsi="Times New Roman" w:cs="Times New Roman"/>
          <w:spacing w:val="-6"/>
          <w:sz w:val="28"/>
          <w:szCs w:val="28"/>
          <w:lang w:val="uk-UA"/>
        </w:rPr>
        <w:t xml:space="preserve">протилежних когнітивних актів </w:t>
      </w:r>
      <w:r w:rsidR="002C3DBA" w:rsidRPr="002C3DBA">
        <w:rPr>
          <w:rFonts w:ascii="Times New Roman" w:hAnsi="Times New Roman" w:cs="Times New Roman"/>
          <w:spacing w:val="-6"/>
          <w:sz w:val="28"/>
          <w:szCs w:val="28"/>
          <w:lang w:val="uk-UA"/>
        </w:rPr>
        <w:t>–</w:t>
      </w:r>
      <w:r w:rsidRPr="002C3DBA">
        <w:rPr>
          <w:rFonts w:ascii="Times New Roman" w:hAnsi="Times New Roman" w:cs="Times New Roman"/>
          <w:spacing w:val="-6"/>
          <w:sz w:val="28"/>
          <w:szCs w:val="28"/>
          <w:lang w:val="uk-UA"/>
        </w:rPr>
        <w:t xml:space="preserve"> асиміляції (або «злиття») та диференціації (або «розділення»).</w:t>
      </w:r>
      <w:r w:rsidR="002C3DBA" w:rsidRPr="002C3DBA">
        <w:rPr>
          <w:rFonts w:ascii="Times New Roman" w:hAnsi="Times New Roman" w:cs="Times New Roman"/>
          <w:spacing w:val="-6"/>
          <w:sz w:val="28"/>
          <w:szCs w:val="28"/>
          <w:lang w:val="uk-UA"/>
        </w:rPr>
        <w:t xml:space="preserve"> </w:t>
      </w:r>
      <w:r w:rsidRPr="002C3DBA">
        <w:rPr>
          <w:rFonts w:ascii="Times New Roman" w:hAnsi="Times New Roman" w:cs="Times New Roman"/>
          <w:spacing w:val="-6"/>
          <w:sz w:val="28"/>
          <w:szCs w:val="28"/>
          <w:lang w:val="uk-UA"/>
        </w:rPr>
        <w:t>Об'єднання означає (</w:t>
      </w:r>
      <w:proofErr w:type="spellStart"/>
      <w:r w:rsidRPr="002C3DBA">
        <w:rPr>
          <w:rFonts w:ascii="Times New Roman" w:hAnsi="Times New Roman" w:cs="Times New Roman"/>
          <w:spacing w:val="-6"/>
          <w:sz w:val="28"/>
          <w:szCs w:val="28"/>
          <w:lang w:val="uk-UA"/>
        </w:rPr>
        <w:t>внутрішньокатегоріальне</w:t>
      </w:r>
      <w:proofErr w:type="spellEnd"/>
      <w:r w:rsidRPr="002C3DBA">
        <w:rPr>
          <w:rFonts w:ascii="Times New Roman" w:hAnsi="Times New Roman" w:cs="Times New Roman"/>
          <w:spacing w:val="-6"/>
          <w:sz w:val="28"/>
          <w:szCs w:val="28"/>
          <w:lang w:val="uk-UA"/>
        </w:rPr>
        <w:t>) групування схожих значень в одному ментальному кластері, тоді як розщеплення означає</w:t>
      </w:r>
      <w:r w:rsidRPr="00874DE7">
        <w:rPr>
          <w:rFonts w:ascii="Times New Roman" w:hAnsi="Times New Roman" w:cs="Times New Roman"/>
          <w:sz w:val="28"/>
          <w:szCs w:val="28"/>
          <w:lang w:val="uk-UA"/>
        </w:rPr>
        <w:t xml:space="preserve"> (</w:t>
      </w:r>
      <w:proofErr w:type="spellStart"/>
      <w:r w:rsidRPr="00874DE7">
        <w:rPr>
          <w:rFonts w:ascii="Times New Roman" w:hAnsi="Times New Roman" w:cs="Times New Roman"/>
          <w:sz w:val="28"/>
          <w:szCs w:val="28"/>
          <w:lang w:val="uk-UA"/>
        </w:rPr>
        <w:t>міжкатегоріальне</w:t>
      </w:r>
      <w:proofErr w:type="spellEnd"/>
      <w:r w:rsidRPr="00874DE7">
        <w:rPr>
          <w:rFonts w:ascii="Times New Roman" w:hAnsi="Times New Roman" w:cs="Times New Roman"/>
          <w:sz w:val="28"/>
          <w:szCs w:val="28"/>
          <w:lang w:val="uk-UA"/>
        </w:rPr>
        <w:t xml:space="preserve">) розділення різних значень на різні ментальні кластери </w:t>
      </w:r>
      <w:r w:rsidRPr="005D1B01">
        <w:rPr>
          <w:rFonts w:ascii="Times New Roman" w:hAnsi="Times New Roman" w:cs="Times New Roman"/>
          <w:sz w:val="28"/>
          <w:szCs w:val="28"/>
        </w:rPr>
        <w:t>[</w:t>
      </w:r>
      <w:r>
        <w:rPr>
          <w:rFonts w:ascii="Times New Roman" w:hAnsi="Times New Roman" w:cs="Times New Roman"/>
          <w:sz w:val="28"/>
          <w:szCs w:val="28"/>
          <w:lang w:val="uk-UA"/>
        </w:rPr>
        <w:t>18</w:t>
      </w:r>
      <w:r w:rsidRPr="005D1B01">
        <w:rPr>
          <w:rFonts w:ascii="Times New Roman" w:hAnsi="Times New Roman" w:cs="Times New Roman"/>
          <w:sz w:val="28"/>
          <w:szCs w:val="28"/>
        </w:rPr>
        <w:t>]</w:t>
      </w:r>
      <w:r w:rsidRPr="00874DE7">
        <w:rPr>
          <w:rFonts w:ascii="Times New Roman" w:hAnsi="Times New Roman" w:cs="Times New Roman"/>
          <w:sz w:val="28"/>
          <w:szCs w:val="28"/>
          <w:lang w:val="uk-UA"/>
        </w:rPr>
        <w:t>.</w:t>
      </w:r>
    </w:p>
    <w:p w14:paraId="66A66CDB" w14:textId="7114730A"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Таким чином, складність схеми означає ступінь, до якого індивід або члени певної соціальної групи (наприклад, країни) колективно мають тенденцію до злиття або роз</w:t>
      </w:r>
      <w:r>
        <w:rPr>
          <w:rFonts w:ascii="Times New Roman" w:hAnsi="Times New Roman" w:cs="Times New Roman"/>
          <w:sz w:val="28"/>
          <w:szCs w:val="28"/>
          <w:lang w:val="uk-UA"/>
        </w:rPr>
        <w:t xml:space="preserve">ділення </w:t>
      </w:r>
      <w:r w:rsidRPr="005D1B01">
        <w:rPr>
          <w:rFonts w:ascii="Times New Roman" w:hAnsi="Times New Roman" w:cs="Times New Roman"/>
          <w:sz w:val="28"/>
          <w:szCs w:val="28"/>
        </w:rPr>
        <w:t>[</w:t>
      </w:r>
      <w:r>
        <w:rPr>
          <w:rFonts w:ascii="Times New Roman" w:hAnsi="Times New Roman" w:cs="Times New Roman"/>
          <w:sz w:val="28"/>
          <w:szCs w:val="28"/>
          <w:lang w:val="uk-UA"/>
        </w:rPr>
        <w:t>35</w:t>
      </w:r>
      <w:r w:rsidRPr="005D1B01">
        <w:rPr>
          <w:rFonts w:ascii="Times New Roman" w:hAnsi="Times New Roman" w:cs="Times New Roman"/>
          <w:sz w:val="28"/>
          <w:szCs w:val="28"/>
        </w:rPr>
        <w:t>]</w:t>
      </w:r>
      <w:r w:rsidRPr="00874DE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 xml:space="preserve">Вважається, що це залежить від рівня досвіду, який люди з цієї соціальної групи мають з об'єктом схеми, а також від її інституційних та культурних механізмів соціалізації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36</w:t>
      </w:r>
      <w:r w:rsidR="002C3DBA">
        <w:rPr>
          <w:rFonts w:ascii="Times New Roman" w:hAnsi="Times New Roman" w:cs="Times New Roman"/>
          <w:sz w:val="28"/>
          <w:szCs w:val="28"/>
          <w:lang w:val="uk-UA"/>
        </w:rPr>
        <w:t>;</w:t>
      </w:r>
      <w:r>
        <w:rPr>
          <w:rFonts w:ascii="Times New Roman" w:hAnsi="Times New Roman" w:cs="Times New Roman"/>
          <w:sz w:val="28"/>
          <w:szCs w:val="28"/>
          <w:lang w:val="uk-UA"/>
        </w:rPr>
        <w:t xml:space="preserve"> 37</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C3DBA">
        <w:rPr>
          <w:rFonts w:ascii="Times New Roman" w:hAnsi="Times New Roman" w:cs="Times New Roman"/>
          <w:sz w:val="28"/>
          <w:szCs w:val="28"/>
          <w:lang w:val="uk-UA"/>
        </w:rPr>
        <w:t xml:space="preserve">Д. М. </w:t>
      </w:r>
      <w:r w:rsidRPr="00D00FF1">
        <w:rPr>
          <w:rFonts w:ascii="Times New Roman" w:hAnsi="Times New Roman" w:cs="Times New Roman"/>
          <w:sz w:val="28"/>
          <w:szCs w:val="28"/>
          <w:lang w:val="uk-UA"/>
        </w:rPr>
        <w:t>Руссо</w:t>
      </w:r>
      <w:r w:rsidRPr="00874DE7">
        <w:rPr>
          <w:rFonts w:ascii="Times New Roman" w:hAnsi="Times New Roman" w:cs="Times New Roman"/>
          <w:sz w:val="28"/>
          <w:szCs w:val="28"/>
          <w:lang w:val="uk-UA"/>
        </w:rPr>
        <w:t>, наприклад, зазначає, що професійні схеми людей цих професій містять більше елементів порівняно зі схемами цих професій у нефахівців (наприклад, не</w:t>
      </w:r>
      <w:r>
        <w:rPr>
          <w:rFonts w:ascii="Times New Roman" w:hAnsi="Times New Roman" w:cs="Times New Roman"/>
          <w:sz w:val="28"/>
          <w:szCs w:val="28"/>
          <w:lang w:val="uk-UA"/>
        </w:rPr>
        <w:t>академічні працівники</w:t>
      </w:r>
      <w:r w:rsidRPr="00874DE7">
        <w:rPr>
          <w:rFonts w:ascii="Times New Roman" w:hAnsi="Times New Roman" w:cs="Times New Roman"/>
          <w:sz w:val="28"/>
          <w:szCs w:val="28"/>
          <w:lang w:val="uk-UA"/>
        </w:rPr>
        <w:t xml:space="preserve"> бачать професорів насамперед як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вчителів</w:t>
      </w:r>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15</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w:t>
      </w:r>
    </w:p>
    <w:p w14:paraId="19AB04B2" w14:textId="5492E5DD"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 xml:space="preserve">Хоча складність схеми стосується кількості значень і кількості </w:t>
      </w:r>
      <w:proofErr w:type="spellStart"/>
      <w:r w:rsidRPr="00874DE7">
        <w:rPr>
          <w:rFonts w:ascii="Times New Roman" w:hAnsi="Times New Roman" w:cs="Times New Roman"/>
          <w:sz w:val="28"/>
          <w:szCs w:val="28"/>
          <w:lang w:val="uk-UA"/>
        </w:rPr>
        <w:t>зв'язків</w:t>
      </w:r>
      <w:proofErr w:type="spellEnd"/>
      <w:r w:rsidRPr="00874DE7">
        <w:rPr>
          <w:rFonts w:ascii="Times New Roman" w:hAnsi="Times New Roman" w:cs="Times New Roman"/>
          <w:sz w:val="28"/>
          <w:szCs w:val="28"/>
          <w:lang w:val="uk-UA"/>
        </w:rPr>
        <w:t xml:space="preserve"> між значеннями, конвергенція схеми стосується ступеня, до якого люди, що належать до певної соціальної групи (наприклад, країни), групують елементи схеми (наприклад, значення кар'єрного успіху) разом у схожий спосіб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38</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Хоча термін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конвергенція</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передбачає повну схожість між схемами двох або більше людей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схожість визначається як схеми, що містять багато однакових значень і/або схожі зв'язки між значеннями, </w:t>
      </w:r>
      <w:r w:rsidR="002C3DBA">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зазвичай це не так</w:t>
      </w:r>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39</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Скоріше, для того, щоб спільні схеми можна було інтерпретувати, необхідно досягти певного порогу подібності </w:t>
      </w:r>
      <w:r w:rsidRPr="005D1B01">
        <w:rPr>
          <w:rFonts w:ascii="Times New Roman" w:hAnsi="Times New Roman" w:cs="Times New Roman"/>
          <w:sz w:val="28"/>
          <w:szCs w:val="28"/>
        </w:rPr>
        <w:t>[</w:t>
      </w:r>
      <w:r>
        <w:rPr>
          <w:rFonts w:ascii="Times New Roman" w:hAnsi="Times New Roman" w:cs="Times New Roman"/>
          <w:sz w:val="28"/>
          <w:szCs w:val="28"/>
          <w:lang w:val="uk-UA"/>
        </w:rPr>
        <w:t>21</w:t>
      </w:r>
      <w:r w:rsidRPr="005D1B01">
        <w:rPr>
          <w:rFonts w:ascii="Times New Roman" w:hAnsi="Times New Roman" w:cs="Times New Roman"/>
          <w:sz w:val="28"/>
          <w:szCs w:val="28"/>
        </w:rPr>
        <w:t>]</w:t>
      </w:r>
      <w:r w:rsidRPr="00874DE7">
        <w:rPr>
          <w:rFonts w:ascii="Times New Roman" w:hAnsi="Times New Roman" w:cs="Times New Roman"/>
          <w:sz w:val="28"/>
          <w:szCs w:val="28"/>
          <w:lang w:val="uk-UA"/>
        </w:rPr>
        <w:t xml:space="preserve">. Конвергенція схем кар'єрного успіху зазвичай досягається завдяки </w:t>
      </w:r>
      <w:proofErr w:type="spellStart"/>
      <w:r w:rsidRPr="00874DE7">
        <w:rPr>
          <w:rFonts w:ascii="Times New Roman" w:hAnsi="Times New Roman" w:cs="Times New Roman"/>
          <w:sz w:val="28"/>
          <w:szCs w:val="28"/>
          <w:lang w:val="uk-UA"/>
        </w:rPr>
        <w:t>інституціоналізованим</w:t>
      </w:r>
      <w:proofErr w:type="spellEnd"/>
      <w:r w:rsidRPr="00874DE7">
        <w:rPr>
          <w:rFonts w:ascii="Times New Roman" w:hAnsi="Times New Roman" w:cs="Times New Roman"/>
          <w:sz w:val="28"/>
          <w:szCs w:val="28"/>
          <w:lang w:val="uk-UA"/>
        </w:rPr>
        <w:t xml:space="preserve"> механізмам соціалізації, які трансформують приватні, індивідуальні уявлення в публічні, спільні уявлення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40</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Таким чином, </w:t>
      </w:r>
      <w:proofErr w:type="spellStart"/>
      <w:r w:rsidRPr="00874DE7">
        <w:rPr>
          <w:rFonts w:ascii="Times New Roman" w:hAnsi="Times New Roman" w:cs="Times New Roman"/>
          <w:sz w:val="28"/>
          <w:szCs w:val="28"/>
          <w:lang w:val="uk-UA"/>
        </w:rPr>
        <w:t>висококонвергентні</w:t>
      </w:r>
      <w:proofErr w:type="spellEnd"/>
      <w:r w:rsidRPr="00874DE7">
        <w:rPr>
          <w:rFonts w:ascii="Times New Roman" w:hAnsi="Times New Roman" w:cs="Times New Roman"/>
          <w:sz w:val="28"/>
          <w:szCs w:val="28"/>
          <w:lang w:val="uk-UA"/>
        </w:rPr>
        <w:t xml:space="preserve"> схеми кар'єрного успіху означають, що люди в країні схильні погоджуватися з тим, які конкретні значення кар'єрного успіху належать до одного кластеру, тоді як </w:t>
      </w:r>
      <w:proofErr w:type="spellStart"/>
      <w:r w:rsidRPr="00874DE7">
        <w:rPr>
          <w:rFonts w:ascii="Times New Roman" w:hAnsi="Times New Roman" w:cs="Times New Roman"/>
          <w:sz w:val="28"/>
          <w:szCs w:val="28"/>
          <w:lang w:val="uk-UA"/>
        </w:rPr>
        <w:t>слабоконвергентні</w:t>
      </w:r>
      <w:proofErr w:type="spellEnd"/>
      <w:r w:rsidRPr="00874DE7">
        <w:rPr>
          <w:rFonts w:ascii="Times New Roman" w:hAnsi="Times New Roman" w:cs="Times New Roman"/>
          <w:sz w:val="28"/>
          <w:szCs w:val="28"/>
          <w:lang w:val="uk-UA"/>
        </w:rPr>
        <w:t xml:space="preserve"> схеми кар'єрного успіху означають, що люди в країні суттєво відрізняються в тому, які значення кар'єрного успіху вони групують разом і як саме. Отже, чим більше збігаються </w:t>
      </w:r>
      <w:r w:rsidRPr="00874DE7">
        <w:rPr>
          <w:rFonts w:ascii="Times New Roman" w:hAnsi="Times New Roman" w:cs="Times New Roman"/>
          <w:sz w:val="28"/>
          <w:szCs w:val="28"/>
          <w:lang w:val="uk-UA"/>
        </w:rPr>
        <w:lastRenderedPageBreak/>
        <w:t xml:space="preserve">схеми кар'єрного успіху людей у певній країні, тим доречніше говорити про </w:t>
      </w:r>
      <w:r>
        <w:rPr>
          <w:rFonts w:ascii="Times New Roman" w:hAnsi="Times New Roman" w:cs="Times New Roman"/>
          <w:sz w:val="28"/>
          <w:szCs w:val="28"/>
          <w:lang w:val="uk-UA"/>
        </w:rPr>
        <w:t>«</w:t>
      </w:r>
      <w:r w:rsidRPr="00874DE7">
        <w:rPr>
          <w:rFonts w:ascii="Times New Roman" w:hAnsi="Times New Roman" w:cs="Times New Roman"/>
          <w:sz w:val="28"/>
          <w:szCs w:val="28"/>
          <w:lang w:val="uk-UA"/>
        </w:rPr>
        <w:t>спільну</w:t>
      </w:r>
      <w:r>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схему кар'єрного успіху та інтерпретувати колективне розуміння кар'єрного успіху в цій країні. </w:t>
      </w:r>
      <w:r>
        <w:rPr>
          <w:rFonts w:ascii="Times New Roman" w:hAnsi="Times New Roman" w:cs="Times New Roman"/>
          <w:sz w:val="28"/>
          <w:szCs w:val="28"/>
          <w:lang w:val="uk-UA"/>
        </w:rPr>
        <w:t>Доцільно також розглянути</w:t>
      </w:r>
      <w:r w:rsidRPr="00874DE7">
        <w:rPr>
          <w:rFonts w:ascii="Times New Roman" w:hAnsi="Times New Roman" w:cs="Times New Roman"/>
          <w:sz w:val="28"/>
          <w:szCs w:val="28"/>
          <w:lang w:val="uk-UA"/>
        </w:rPr>
        <w:t xml:space="preserve"> контекстуальні механізми, за допомогою яких формуються спільні схеми кар'єрного успіху.</w:t>
      </w:r>
    </w:p>
    <w:p w14:paraId="50DFF329" w14:textId="052EE8F4"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 xml:space="preserve">У фундаментальній роботі </w:t>
      </w:r>
      <w:r>
        <w:rPr>
          <w:rFonts w:ascii="Times New Roman" w:hAnsi="Times New Roman" w:cs="Times New Roman"/>
          <w:sz w:val="28"/>
          <w:szCs w:val="28"/>
          <w:lang w:val="uk-UA"/>
        </w:rPr>
        <w:t xml:space="preserve">К. </w:t>
      </w:r>
      <w:r w:rsidRPr="00780774">
        <w:rPr>
          <w:rFonts w:ascii="Times New Roman" w:hAnsi="Times New Roman" w:cs="Times New Roman"/>
          <w:sz w:val="28"/>
          <w:szCs w:val="28"/>
          <w:lang w:val="uk-UA"/>
        </w:rPr>
        <w:t>Вебер</w:t>
      </w:r>
      <w:r>
        <w:rPr>
          <w:rFonts w:ascii="Times New Roman" w:hAnsi="Times New Roman" w:cs="Times New Roman"/>
          <w:sz w:val="28"/>
          <w:szCs w:val="28"/>
          <w:lang w:val="uk-UA"/>
        </w:rPr>
        <w:t>а та</w:t>
      </w:r>
      <w:r w:rsidRPr="00780774">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w:t>
      </w:r>
      <w:r w:rsidRPr="00780774">
        <w:rPr>
          <w:rFonts w:ascii="Times New Roman" w:hAnsi="Times New Roman" w:cs="Times New Roman"/>
          <w:sz w:val="28"/>
          <w:szCs w:val="28"/>
          <w:lang w:val="uk-UA"/>
        </w:rPr>
        <w:t xml:space="preserve">А. </w:t>
      </w:r>
      <w:proofErr w:type="spellStart"/>
      <w:r w:rsidRPr="00780774">
        <w:rPr>
          <w:rFonts w:ascii="Times New Roman" w:hAnsi="Times New Roman" w:cs="Times New Roman"/>
          <w:sz w:val="28"/>
          <w:szCs w:val="28"/>
          <w:lang w:val="uk-UA"/>
        </w:rPr>
        <w:t>Глинн</w:t>
      </w:r>
      <w:r>
        <w:rPr>
          <w:rFonts w:ascii="Times New Roman" w:hAnsi="Times New Roman" w:cs="Times New Roman"/>
          <w:sz w:val="28"/>
          <w:szCs w:val="28"/>
          <w:lang w:val="uk-UA"/>
        </w:rPr>
        <w:t>а</w:t>
      </w:r>
      <w:proofErr w:type="spellEnd"/>
      <w:r w:rsidRPr="00780774">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20</w:t>
      </w:r>
      <w:r w:rsidRPr="005D1B0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 xml:space="preserve">про роль інституційного контексту в поясненні пізнання визначено три релевантні контекстуальні механізми, що пов'язують інституції зі </w:t>
      </w:r>
      <w:proofErr w:type="spellStart"/>
      <w:r w:rsidRPr="00874DE7">
        <w:rPr>
          <w:rFonts w:ascii="Times New Roman" w:hAnsi="Times New Roman" w:cs="Times New Roman"/>
          <w:sz w:val="28"/>
          <w:szCs w:val="28"/>
          <w:lang w:val="uk-UA"/>
        </w:rPr>
        <w:t>смислотворенням</w:t>
      </w:r>
      <w:proofErr w:type="spellEnd"/>
      <w:r w:rsidRPr="00874DE7">
        <w:rPr>
          <w:rFonts w:ascii="Times New Roman" w:hAnsi="Times New Roman" w:cs="Times New Roman"/>
          <w:sz w:val="28"/>
          <w:szCs w:val="28"/>
          <w:lang w:val="uk-UA"/>
        </w:rPr>
        <w:t xml:space="preserve">: обмеження, </w:t>
      </w:r>
      <w:proofErr w:type="spellStart"/>
      <w:r w:rsidRPr="00874DE7">
        <w:rPr>
          <w:rFonts w:ascii="Times New Roman" w:hAnsi="Times New Roman" w:cs="Times New Roman"/>
          <w:sz w:val="28"/>
          <w:szCs w:val="28"/>
          <w:lang w:val="uk-UA"/>
        </w:rPr>
        <w:t>праймінг</w:t>
      </w:r>
      <w:proofErr w:type="spellEnd"/>
      <w:r w:rsidRPr="00874DE7">
        <w:rPr>
          <w:rFonts w:ascii="Times New Roman" w:hAnsi="Times New Roman" w:cs="Times New Roman"/>
          <w:sz w:val="28"/>
          <w:szCs w:val="28"/>
          <w:lang w:val="uk-UA"/>
        </w:rPr>
        <w:t xml:space="preserve"> та редагування. По-перше, характеристики інституцій можуть обмежувати наявність (тобто існування знань у пам'яті), доступність (тобто очевидність знань для людини) та активацію (тобто застосування знань для формування суджень) схем, які люди формують у певному інституційному </w:t>
      </w:r>
      <w:r w:rsidRPr="00F64581">
        <w:rPr>
          <w:rFonts w:ascii="Times New Roman" w:hAnsi="Times New Roman" w:cs="Times New Roman"/>
          <w:sz w:val="28"/>
          <w:szCs w:val="28"/>
          <w:lang w:val="uk-UA"/>
        </w:rPr>
        <w:t xml:space="preserve">середовищі </w:t>
      </w:r>
      <w:r w:rsidRPr="005D1B01">
        <w:rPr>
          <w:rFonts w:ascii="Times New Roman" w:hAnsi="Times New Roman" w:cs="Times New Roman"/>
          <w:sz w:val="28"/>
          <w:szCs w:val="28"/>
        </w:rPr>
        <w:t>[</w:t>
      </w:r>
      <w:r w:rsidRPr="00F64581">
        <w:rPr>
          <w:rFonts w:ascii="Times New Roman" w:hAnsi="Times New Roman" w:cs="Times New Roman"/>
          <w:sz w:val="28"/>
          <w:szCs w:val="28"/>
          <w:lang w:val="uk-UA"/>
        </w:rPr>
        <w:t>41</w:t>
      </w:r>
      <w:r w:rsidRPr="005D1B01">
        <w:rPr>
          <w:rFonts w:ascii="Times New Roman" w:hAnsi="Times New Roman" w:cs="Times New Roman"/>
          <w:sz w:val="28"/>
          <w:szCs w:val="28"/>
        </w:rPr>
        <w:t>]</w:t>
      </w:r>
      <w:r w:rsidRPr="00F64581">
        <w:rPr>
          <w:rFonts w:ascii="Times New Roman" w:hAnsi="Times New Roman" w:cs="Times New Roman"/>
          <w:sz w:val="28"/>
          <w:szCs w:val="28"/>
          <w:lang w:val="uk-UA"/>
        </w:rPr>
        <w:t>.</w:t>
      </w:r>
      <w:r w:rsidRPr="00F64581">
        <w:rPr>
          <w:lang w:val="uk-UA"/>
        </w:rPr>
        <w:t xml:space="preserve"> </w:t>
      </w:r>
      <w:r w:rsidRPr="00F64581">
        <w:rPr>
          <w:rFonts w:ascii="Times New Roman" w:hAnsi="Times New Roman" w:cs="Times New Roman"/>
          <w:sz w:val="28"/>
          <w:szCs w:val="28"/>
          <w:lang w:val="uk-UA"/>
        </w:rPr>
        <w:t xml:space="preserve">Наприклад, фінське дослідження, проведене серед шахтарів, показало, що термін «кар'єрний успіх» має для них дуже несуттєве значення, і що натомість вони схильні тлумачити своє розуміння кар'єри через поняття </w:t>
      </w:r>
      <w:proofErr w:type="spellStart"/>
      <w:r w:rsidRPr="00F64581">
        <w:rPr>
          <w:rFonts w:ascii="Times New Roman" w:hAnsi="Times New Roman" w:cs="Times New Roman"/>
          <w:sz w:val="28"/>
          <w:szCs w:val="28"/>
          <w:lang w:val="uk-UA"/>
        </w:rPr>
        <w:t>sisu</w:t>
      </w:r>
      <w:proofErr w:type="spellEnd"/>
      <w:r w:rsidRPr="00F64581">
        <w:rPr>
          <w:rFonts w:ascii="Times New Roman" w:hAnsi="Times New Roman" w:cs="Times New Roman"/>
          <w:sz w:val="28"/>
          <w:szCs w:val="28"/>
          <w:lang w:val="uk-UA"/>
        </w:rPr>
        <w:t xml:space="preserve"> </w:t>
      </w:r>
      <w:r w:rsidR="002C3DBA">
        <w:rPr>
          <w:rFonts w:ascii="Times New Roman" w:hAnsi="Times New Roman" w:cs="Times New Roman"/>
          <w:sz w:val="28"/>
          <w:szCs w:val="28"/>
          <w:lang w:val="uk-UA"/>
        </w:rPr>
        <w:t>–</w:t>
      </w:r>
      <w:r w:rsidRPr="00F64581">
        <w:rPr>
          <w:rFonts w:ascii="Times New Roman" w:hAnsi="Times New Roman" w:cs="Times New Roman"/>
          <w:sz w:val="28"/>
          <w:szCs w:val="28"/>
          <w:lang w:val="uk-UA"/>
        </w:rPr>
        <w:t xml:space="preserve"> фінське слово, яке приблизно перекладається як «внутрішня рішучість» і асоціюється з такими якостями, як наполегливість, цілеспрямованість, сміливість і мужність </w:t>
      </w:r>
      <w:r w:rsidRPr="005D1B01">
        <w:rPr>
          <w:rFonts w:ascii="Times New Roman" w:hAnsi="Times New Roman" w:cs="Times New Roman"/>
          <w:sz w:val="28"/>
          <w:szCs w:val="28"/>
          <w:lang w:val="uk-UA"/>
        </w:rPr>
        <w:t>[</w:t>
      </w:r>
      <w:r w:rsidRPr="00F64581">
        <w:rPr>
          <w:rFonts w:ascii="Times New Roman" w:hAnsi="Times New Roman" w:cs="Times New Roman"/>
          <w:sz w:val="28"/>
          <w:szCs w:val="28"/>
          <w:lang w:val="uk-UA"/>
        </w:rPr>
        <w:t>42</w:t>
      </w:r>
      <w:r w:rsidRPr="005D1B01">
        <w:rPr>
          <w:rFonts w:ascii="Times New Roman" w:hAnsi="Times New Roman" w:cs="Times New Roman"/>
          <w:sz w:val="28"/>
          <w:szCs w:val="28"/>
          <w:lang w:val="uk-UA"/>
        </w:rPr>
        <w:t>]</w:t>
      </w:r>
      <w:r w:rsidRPr="00F64581">
        <w:rPr>
          <w:rFonts w:ascii="Times New Roman" w:hAnsi="Times New Roman" w:cs="Times New Roman"/>
          <w:sz w:val="28"/>
          <w:szCs w:val="28"/>
          <w:lang w:val="uk-UA"/>
        </w:rPr>
        <w:t>.</w:t>
      </w:r>
      <w:r w:rsidRPr="00F64581">
        <w:rPr>
          <w:lang w:val="uk-UA"/>
        </w:rPr>
        <w:t xml:space="preserve"> </w:t>
      </w:r>
      <w:r w:rsidRPr="00F64581">
        <w:rPr>
          <w:rFonts w:ascii="Times New Roman" w:hAnsi="Times New Roman" w:cs="Times New Roman"/>
          <w:sz w:val="28"/>
          <w:szCs w:val="28"/>
          <w:lang w:val="uk-UA"/>
        </w:rPr>
        <w:t>Автори стверджують, що відсутність у суспільстві відповідних значень кар'єрного успіху, застосовних і впізнаваних для «синіх комірців», обмежує когнітивні репрезентації кар'єрного успіху в цій групі. Іншими словами, можна припустити, що інститут професії обмежує складність</w:t>
      </w:r>
      <w:r w:rsidRPr="00874DE7">
        <w:rPr>
          <w:rFonts w:ascii="Times New Roman" w:hAnsi="Times New Roman" w:cs="Times New Roman"/>
          <w:sz w:val="28"/>
          <w:szCs w:val="28"/>
          <w:lang w:val="uk-UA"/>
        </w:rPr>
        <w:t xml:space="preserve"> схеми кар'єрного успіху (у конкретному випадку цього дослідження - серед фінських шахтарів). Інші інституційні чинники, які, як можна очікувати, обмежують складність схем кар'єрного успіху, включають низький рівень економічного розвитку </w:t>
      </w:r>
      <w:r w:rsidRPr="005D1B01">
        <w:rPr>
          <w:rFonts w:ascii="Times New Roman" w:hAnsi="Times New Roman" w:cs="Times New Roman"/>
          <w:sz w:val="28"/>
          <w:szCs w:val="28"/>
          <w:lang w:val="uk-UA"/>
        </w:rPr>
        <w:t>[</w:t>
      </w:r>
      <w:r w:rsidRPr="00F64581">
        <w:rPr>
          <w:rFonts w:ascii="Times New Roman" w:hAnsi="Times New Roman" w:cs="Times New Roman"/>
          <w:sz w:val="28"/>
          <w:szCs w:val="28"/>
          <w:lang w:val="uk-UA"/>
        </w:rPr>
        <w:t>4</w:t>
      </w:r>
      <w:r>
        <w:rPr>
          <w:rFonts w:ascii="Times New Roman" w:hAnsi="Times New Roman" w:cs="Times New Roman"/>
          <w:sz w:val="28"/>
          <w:szCs w:val="28"/>
          <w:lang w:val="uk-UA"/>
        </w:rPr>
        <w:t>3</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та колективістські культурні норми </w:t>
      </w:r>
      <w:r w:rsidRPr="005D1B01">
        <w:rPr>
          <w:rFonts w:ascii="Times New Roman" w:hAnsi="Times New Roman" w:cs="Times New Roman"/>
          <w:sz w:val="28"/>
          <w:szCs w:val="28"/>
          <w:lang w:val="uk-UA"/>
        </w:rPr>
        <w:t>[</w:t>
      </w:r>
      <w:r w:rsidRPr="00F64581">
        <w:rPr>
          <w:rFonts w:ascii="Times New Roman" w:hAnsi="Times New Roman" w:cs="Times New Roman"/>
          <w:sz w:val="28"/>
          <w:szCs w:val="28"/>
          <w:lang w:val="uk-UA"/>
        </w:rPr>
        <w:t>4</w:t>
      </w:r>
      <w:r>
        <w:rPr>
          <w:rFonts w:ascii="Times New Roman" w:hAnsi="Times New Roman" w:cs="Times New Roman"/>
          <w:sz w:val="28"/>
          <w:szCs w:val="28"/>
          <w:lang w:val="uk-UA"/>
        </w:rPr>
        <w:t>4</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Перші представляють собою об'єктивне обмеження різноманітності доступних кар'єрних можливостей </w:t>
      </w:r>
      <w:r w:rsidRPr="005D1B01">
        <w:rPr>
          <w:rFonts w:ascii="Times New Roman" w:hAnsi="Times New Roman" w:cs="Times New Roman"/>
          <w:sz w:val="28"/>
          <w:szCs w:val="28"/>
          <w:lang w:val="uk-UA"/>
        </w:rPr>
        <w:t>[</w:t>
      </w:r>
      <w:r w:rsidRPr="00F64581">
        <w:rPr>
          <w:rFonts w:ascii="Times New Roman" w:hAnsi="Times New Roman" w:cs="Times New Roman"/>
          <w:sz w:val="28"/>
          <w:szCs w:val="28"/>
          <w:lang w:val="uk-UA"/>
        </w:rPr>
        <w:t>4</w:t>
      </w:r>
      <w:r>
        <w:rPr>
          <w:rFonts w:ascii="Times New Roman" w:hAnsi="Times New Roman" w:cs="Times New Roman"/>
          <w:sz w:val="28"/>
          <w:szCs w:val="28"/>
          <w:lang w:val="uk-UA"/>
        </w:rPr>
        <w:t>5</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тоді як другі діють через зв'язок між колективізмом і тенденцією до цілісних, реляційних схем </w:t>
      </w:r>
      <w:r w:rsidRPr="005D1B01">
        <w:rPr>
          <w:rFonts w:ascii="Times New Roman" w:hAnsi="Times New Roman" w:cs="Times New Roman"/>
          <w:sz w:val="28"/>
          <w:szCs w:val="28"/>
          <w:lang w:val="uk-UA"/>
        </w:rPr>
        <w:t>[</w:t>
      </w:r>
      <w:r w:rsidRPr="00F64581">
        <w:rPr>
          <w:rFonts w:ascii="Times New Roman" w:hAnsi="Times New Roman" w:cs="Times New Roman"/>
          <w:sz w:val="28"/>
          <w:szCs w:val="28"/>
          <w:lang w:val="uk-UA"/>
        </w:rPr>
        <w:t>4</w:t>
      </w:r>
      <w:r>
        <w:rPr>
          <w:rFonts w:ascii="Times New Roman" w:hAnsi="Times New Roman" w:cs="Times New Roman"/>
          <w:sz w:val="28"/>
          <w:szCs w:val="28"/>
          <w:lang w:val="uk-UA"/>
        </w:rPr>
        <w:t>6</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w:t>
      </w:r>
    </w:p>
    <w:p w14:paraId="3A804536" w14:textId="77777777"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E162B7">
        <w:rPr>
          <w:rFonts w:ascii="Times New Roman" w:hAnsi="Times New Roman" w:cs="Times New Roman"/>
          <w:sz w:val="28"/>
          <w:szCs w:val="28"/>
          <w:lang w:val="uk-UA"/>
        </w:rPr>
        <w:t xml:space="preserve">По-друге, прописуючи відповідні ідентичності, ролі та рамки для своїх громадян, інституції впливають на формування спільних схем за допомогою того, що </w:t>
      </w:r>
      <w:r>
        <w:rPr>
          <w:rFonts w:ascii="Times New Roman" w:hAnsi="Times New Roman" w:cs="Times New Roman"/>
          <w:sz w:val="28"/>
          <w:szCs w:val="28"/>
          <w:lang w:val="uk-UA"/>
        </w:rPr>
        <w:t xml:space="preserve">К. </w:t>
      </w:r>
      <w:r w:rsidRPr="00E162B7">
        <w:rPr>
          <w:rFonts w:ascii="Times New Roman" w:hAnsi="Times New Roman" w:cs="Times New Roman"/>
          <w:sz w:val="28"/>
          <w:szCs w:val="28"/>
          <w:lang w:val="uk-UA"/>
        </w:rPr>
        <w:t xml:space="preserve">Вебер і </w:t>
      </w:r>
      <w:r>
        <w:rPr>
          <w:rFonts w:ascii="Times New Roman" w:hAnsi="Times New Roman" w:cs="Times New Roman"/>
          <w:sz w:val="28"/>
          <w:szCs w:val="28"/>
          <w:lang w:val="uk-UA"/>
        </w:rPr>
        <w:t xml:space="preserve">М. А. </w:t>
      </w:r>
      <w:proofErr w:type="spellStart"/>
      <w:r w:rsidRPr="00E162B7">
        <w:rPr>
          <w:rFonts w:ascii="Times New Roman" w:hAnsi="Times New Roman" w:cs="Times New Roman"/>
          <w:sz w:val="28"/>
          <w:szCs w:val="28"/>
          <w:lang w:val="uk-UA"/>
        </w:rPr>
        <w:t>Глінн</w:t>
      </w:r>
      <w:proofErr w:type="spellEnd"/>
      <w:r w:rsidRPr="00E162B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 xml:space="preserve">[20] </w:t>
      </w:r>
      <w:r w:rsidRPr="00E162B7">
        <w:rPr>
          <w:rFonts w:ascii="Times New Roman" w:hAnsi="Times New Roman" w:cs="Times New Roman"/>
          <w:sz w:val="28"/>
          <w:szCs w:val="28"/>
          <w:lang w:val="uk-UA"/>
        </w:rPr>
        <w:t xml:space="preserve">називають механізмом «підготовки», що </w:t>
      </w:r>
      <w:r w:rsidRPr="00E162B7">
        <w:rPr>
          <w:rFonts w:ascii="Times New Roman" w:hAnsi="Times New Roman" w:cs="Times New Roman"/>
          <w:sz w:val="28"/>
          <w:szCs w:val="28"/>
          <w:lang w:val="uk-UA"/>
        </w:rPr>
        <w:lastRenderedPageBreak/>
        <w:t>лежить в основі колективного формування сенсу. Мова, ідеологія та дискурс, які зазвичай поширюються через засоби масової інформації, відіграють важливу роль. Прикладом ідеології кар’єрного успіху з чітким інституційним корінням є «Американська мрія».</w:t>
      </w:r>
      <w:r>
        <w:rPr>
          <w:rFonts w:ascii="Times New Roman" w:hAnsi="Times New Roman" w:cs="Times New Roman"/>
          <w:sz w:val="28"/>
          <w:szCs w:val="28"/>
          <w:lang w:val="uk-UA"/>
        </w:rPr>
        <w:t xml:space="preserve"> </w:t>
      </w:r>
      <w:r w:rsidRPr="00E162B7">
        <w:rPr>
          <w:rFonts w:ascii="Times New Roman" w:hAnsi="Times New Roman" w:cs="Times New Roman"/>
          <w:sz w:val="28"/>
          <w:szCs w:val="28"/>
          <w:lang w:val="uk-UA"/>
        </w:rPr>
        <w:t>За допомогою фільмів, розповідей про людей, що досягли успіху, і книг про само</w:t>
      </w:r>
      <w:r>
        <w:rPr>
          <w:rFonts w:ascii="Times New Roman" w:hAnsi="Times New Roman" w:cs="Times New Roman"/>
          <w:sz w:val="28"/>
          <w:szCs w:val="28"/>
          <w:lang w:val="uk-UA"/>
        </w:rPr>
        <w:t>розвиток</w:t>
      </w:r>
      <w:r w:rsidRPr="00E162B7">
        <w:rPr>
          <w:rFonts w:ascii="Times New Roman" w:hAnsi="Times New Roman" w:cs="Times New Roman"/>
          <w:sz w:val="28"/>
          <w:szCs w:val="28"/>
          <w:lang w:val="uk-UA"/>
        </w:rPr>
        <w:t xml:space="preserve"> ця ідеологія формує дуже конкретне бачення успіху в кар’єрі, одночасно зміцнюючи капіталістичну </w:t>
      </w:r>
      <w:proofErr w:type="spellStart"/>
      <w:r w:rsidRPr="00E162B7">
        <w:rPr>
          <w:rFonts w:ascii="Times New Roman" w:hAnsi="Times New Roman" w:cs="Times New Roman"/>
          <w:sz w:val="28"/>
          <w:szCs w:val="28"/>
          <w:lang w:val="uk-UA"/>
        </w:rPr>
        <w:t>меритократичну</w:t>
      </w:r>
      <w:proofErr w:type="spellEnd"/>
      <w:r w:rsidRPr="00E162B7">
        <w:rPr>
          <w:rFonts w:ascii="Times New Roman" w:hAnsi="Times New Roman" w:cs="Times New Roman"/>
          <w:sz w:val="28"/>
          <w:szCs w:val="28"/>
          <w:lang w:val="uk-UA"/>
        </w:rPr>
        <w:t xml:space="preserve"> соціально-політичну систему, що лежить в її основі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47</w:t>
      </w:r>
      <w:r w:rsidRPr="005D1B01">
        <w:rPr>
          <w:rFonts w:ascii="Times New Roman" w:hAnsi="Times New Roman" w:cs="Times New Roman"/>
          <w:sz w:val="28"/>
          <w:szCs w:val="28"/>
          <w:lang w:val="uk-UA"/>
        </w:rPr>
        <w:t>]</w:t>
      </w:r>
      <w:r w:rsidRPr="00E162B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 xml:space="preserve">Значною мірою протилежна кар'єрна ідеологія поширюється в соціалістичному або комуністичному інституційному контексті </w:t>
      </w:r>
      <w:r w:rsidRPr="005D1B01">
        <w:rPr>
          <w:rFonts w:ascii="Times New Roman" w:hAnsi="Times New Roman" w:cs="Times New Roman"/>
          <w:sz w:val="28"/>
          <w:szCs w:val="28"/>
        </w:rPr>
        <w:t>[42]</w:t>
      </w:r>
      <w:r w:rsidRPr="00874DE7">
        <w:rPr>
          <w:rFonts w:ascii="Times New Roman" w:hAnsi="Times New Roman" w:cs="Times New Roman"/>
          <w:sz w:val="28"/>
          <w:szCs w:val="28"/>
          <w:lang w:val="uk-UA"/>
        </w:rPr>
        <w:t xml:space="preserve">. Культурні норми, такі як індивідуалізм і </w:t>
      </w:r>
      <w:proofErr w:type="spellStart"/>
      <w:r w:rsidRPr="00874DE7">
        <w:rPr>
          <w:rFonts w:ascii="Times New Roman" w:hAnsi="Times New Roman" w:cs="Times New Roman"/>
          <w:sz w:val="28"/>
          <w:szCs w:val="28"/>
          <w:lang w:val="uk-UA"/>
        </w:rPr>
        <w:t>маскулінність</w:t>
      </w:r>
      <w:proofErr w:type="spellEnd"/>
      <w:r w:rsidRPr="00874DE7">
        <w:rPr>
          <w:rFonts w:ascii="Times New Roman" w:hAnsi="Times New Roman" w:cs="Times New Roman"/>
          <w:sz w:val="28"/>
          <w:szCs w:val="28"/>
          <w:lang w:val="uk-UA"/>
        </w:rPr>
        <w:t xml:space="preserve">, є частиною дискурсу, що підкріплює капіталістичну ідеологію </w:t>
      </w:r>
      <w:r w:rsidRPr="005D1B01">
        <w:rPr>
          <w:rFonts w:ascii="Times New Roman" w:hAnsi="Times New Roman" w:cs="Times New Roman"/>
          <w:sz w:val="28"/>
          <w:szCs w:val="28"/>
        </w:rPr>
        <w:t>[48]</w:t>
      </w:r>
      <w:r w:rsidRPr="00874DE7">
        <w:rPr>
          <w:rFonts w:ascii="Times New Roman" w:hAnsi="Times New Roman" w:cs="Times New Roman"/>
          <w:sz w:val="28"/>
          <w:szCs w:val="28"/>
          <w:lang w:val="uk-UA"/>
        </w:rPr>
        <w:t xml:space="preserve">, а отже, можна очікувати, що вони впливатимуть на схеми кар'єрного успіху як окремо, так і в інтерактивному режимі </w:t>
      </w:r>
      <w:r w:rsidRPr="005D1B01">
        <w:rPr>
          <w:rFonts w:ascii="Times New Roman" w:hAnsi="Times New Roman" w:cs="Times New Roman"/>
          <w:sz w:val="28"/>
          <w:szCs w:val="28"/>
        </w:rPr>
        <w:t>[49]</w:t>
      </w:r>
      <w:r w:rsidRPr="00874DE7">
        <w:rPr>
          <w:rFonts w:ascii="Times New Roman" w:hAnsi="Times New Roman" w:cs="Times New Roman"/>
          <w:sz w:val="28"/>
          <w:szCs w:val="28"/>
          <w:lang w:val="uk-UA"/>
        </w:rPr>
        <w:t xml:space="preserve">. Наприклад, у </w:t>
      </w:r>
      <w:proofErr w:type="spellStart"/>
      <w:r w:rsidRPr="00874DE7">
        <w:rPr>
          <w:rFonts w:ascii="Times New Roman" w:hAnsi="Times New Roman" w:cs="Times New Roman"/>
          <w:sz w:val="28"/>
          <w:szCs w:val="28"/>
          <w:lang w:val="uk-UA"/>
        </w:rPr>
        <w:t>маскулінному</w:t>
      </w:r>
      <w:proofErr w:type="spellEnd"/>
      <w:r w:rsidRPr="00874DE7">
        <w:rPr>
          <w:rFonts w:ascii="Times New Roman" w:hAnsi="Times New Roman" w:cs="Times New Roman"/>
          <w:sz w:val="28"/>
          <w:szCs w:val="28"/>
          <w:lang w:val="uk-UA"/>
        </w:rPr>
        <w:t xml:space="preserve"> суспільстві люди в середньому схильні до матеріалізму, а не до ідеалізму. Матеріалізм, у свою чергу, заохочує мислити вужчими категоріями, тоді як ідеалізм асоціюється з мисленням ширшими категоріями </w:t>
      </w:r>
      <w:r w:rsidRPr="005D1B01">
        <w:rPr>
          <w:rFonts w:ascii="Times New Roman" w:hAnsi="Times New Roman" w:cs="Times New Roman"/>
          <w:sz w:val="28"/>
          <w:szCs w:val="28"/>
          <w:lang w:val="uk-UA"/>
        </w:rPr>
        <w:t>[50]</w:t>
      </w:r>
      <w:r w:rsidRPr="00874DE7">
        <w:rPr>
          <w:rFonts w:ascii="Times New Roman" w:hAnsi="Times New Roman" w:cs="Times New Roman"/>
          <w:sz w:val="28"/>
          <w:szCs w:val="28"/>
          <w:lang w:val="uk-UA"/>
        </w:rPr>
        <w:t>.</w:t>
      </w:r>
    </w:p>
    <w:p w14:paraId="65EBEFDF" w14:textId="2AE1D1F6" w:rsidR="00571B42" w:rsidRPr="00C469C9"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По-третє, завдяки механізмам соціаліза</w:t>
      </w:r>
      <w:r>
        <w:rPr>
          <w:rFonts w:ascii="Times New Roman" w:hAnsi="Times New Roman" w:cs="Times New Roman"/>
          <w:sz w:val="28"/>
          <w:szCs w:val="28"/>
          <w:lang w:val="uk-UA"/>
        </w:rPr>
        <w:t>ції до і після працевлаштування,</w:t>
      </w:r>
      <w:r w:rsidRPr="00874DE7">
        <w:rPr>
          <w:rFonts w:ascii="Times New Roman" w:hAnsi="Times New Roman" w:cs="Times New Roman"/>
          <w:sz w:val="28"/>
          <w:szCs w:val="28"/>
          <w:lang w:val="uk-UA"/>
        </w:rPr>
        <w:t xml:space="preserve"> тобто соціальним нормам, які викладаються і підкріплюються накопиченим досвідом освіти і ринку праці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можна очікувати, що схеми кар'єрного успіху з часом будуть редагуватися </w:t>
      </w:r>
      <w:r w:rsidRPr="005D1B01">
        <w:rPr>
          <w:rFonts w:ascii="Times New Roman" w:hAnsi="Times New Roman" w:cs="Times New Roman"/>
          <w:sz w:val="28"/>
          <w:szCs w:val="28"/>
          <w:lang w:val="uk-UA"/>
        </w:rPr>
        <w:t>[20]</w:t>
      </w:r>
      <w:r w:rsidRPr="00874DE7">
        <w:rPr>
          <w:rFonts w:ascii="Times New Roman" w:hAnsi="Times New Roman" w:cs="Times New Roman"/>
          <w:sz w:val="28"/>
          <w:szCs w:val="28"/>
          <w:lang w:val="uk-UA"/>
        </w:rPr>
        <w:t xml:space="preserve">. Усі суспільства характеризуються тиском </w:t>
      </w:r>
      <w:proofErr w:type="spellStart"/>
      <w:r w:rsidRPr="00874DE7">
        <w:rPr>
          <w:rFonts w:ascii="Times New Roman" w:hAnsi="Times New Roman" w:cs="Times New Roman"/>
          <w:sz w:val="28"/>
          <w:szCs w:val="28"/>
          <w:lang w:val="uk-UA"/>
        </w:rPr>
        <w:t>конформності</w:t>
      </w:r>
      <w:proofErr w:type="spellEnd"/>
      <w:r w:rsidRPr="00874DE7">
        <w:rPr>
          <w:rFonts w:ascii="Times New Roman" w:hAnsi="Times New Roman" w:cs="Times New Roman"/>
          <w:sz w:val="28"/>
          <w:szCs w:val="28"/>
          <w:lang w:val="uk-UA"/>
        </w:rPr>
        <w:t xml:space="preserve">, оскільки дотримання соціальних норм утримує соціальні групи разом </w:t>
      </w:r>
      <w:r w:rsidRPr="005D1B01">
        <w:rPr>
          <w:rFonts w:ascii="Times New Roman" w:hAnsi="Times New Roman" w:cs="Times New Roman"/>
          <w:sz w:val="28"/>
          <w:szCs w:val="28"/>
        </w:rPr>
        <w:t>[51]</w:t>
      </w:r>
      <w:r w:rsidRPr="00874DE7">
        <w:rPr>
          <w:rFonts w:ascii="Times New Roman" w:hAnsi="Times New Roman" w:cs="Times New Roman"/>
          <w:sz w:val="28"/>
          <w:szCs w:val="28"/>
          <w:lang w:val="uk-UA"/>
        </w:rPr>
        <w:t xml:space="preserve">. Чим сильніша соціальна норма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наприклад, як це виражено через стандартизацію освітньої системи чи жорсткі правила ринку праці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тим більша ймовірність, що вона призведе до високої конвергенції схем </w:t>
      </w:r>
      <w:r w:rsidRPr="005D1B01">
        <w:rPr>
          <w:rFonts w:ascii="Times New Roman" w:hAnsi="Times New Roman" w:cs="Times New Roman"/>
          <w:sz w:val="28"/>
          <w:szCs w:val="28"/>
          <w:lang w:val="uk-UA"/>
        </w:rPr>
        <w:t>[23]</w:t>
      </w:r>
      <w:r w:rsidRPr="00874DE7">
        <w:rPr>
          <w:rFonts w:ascii="Times New Roman" w:hAnsi="Times New Roman" w:cs="Times New Roman"/>
          <w:sz w:val="28"/>
          <w:szCs w:val="28"/>
          <w:lang w:val="uk-UA"/>
        </w:rPr>
        <w:t xml:space="preserve">. Навпаки, менш регульовані інституційні умови, швидше за все, сприятимуть меншій конвергенції схем успіху кар’єри, оскільки вони допускають більше особливостей у встановленні кар’єри </w:t>
      </w:r>
      <w:r w:rsidRPr="005D1B01">
        <w:rPr>
          <w:rFonts w:ascii="Times New Roman" w:hAnsi="Times New Roman" w:cs="Times New Roman"/>
          <w:sz w:val="28"/>
          <w:szCs w:val="28"/>
        </w:rPr>
        <w:t>[52]</w:t>
      </w:r>
      <w:r w:rsidRPr="00874DE7">
        <w:rPr>
          <w:rFonts w:ascii="Times New Roman" w:hAnsi="Times New Roman" w:cs="Times New Roman"/>
          <w:sz w:val="28"/>
          <w:szCs w:val="28"/>
          <w:lang w:val="uk-UA"/>
        </w:rPr>
        <w:t xml:space="preserve">. Подібним чином культурні норми впливають на формування сенсу щодо успіху в кар’єрі і, таким чином, на конвергенцію схем успіху в кар’єрі. Зокрема, індивіди в колективістських суспільствах частіше, ніж в індивідуалістичних суспільствах, колективно </w:t>
      </w:r>
      <w:r w:rsidRPr="00874DE7">
        <w:rPr>
          <w:rFonts w:ascii="Times New Roman" w:hAnsi="Times New Roman" w:cs="Times New Roman"/>
          <w:sz w:val="28"/>
          <w:szCs w:val="28"/>
          <w:lang w:val="uk-UA"/>
        </w:rPr>
        <w:lastRenderedPageBreak/>
        <w:t xml:space="preserve">редагують значення успіху в кар’єрі, а члени культур з низьким рівнем дистанції (на відміну від культур з високою дистанцією) частіше беруть участь у </w:t>
      </w:r>
      <w:proofErr w:type="spellStart"/>
      <w:r w:rsidRPr="00874DE7">
        <w:rPr>
          <w:rFonts w:ascii="Times New Roman" w:hAnsi="Times New Roman" w:cs="Times New Roman"/>
          <w:sz w:val="28"/>
          <w:szCs w:val="28"/>
          <w:lang w:val="uk-UA"/>
        </w:rPr>
        <w:t>проактивних</w:t>
      </w:r>
      <w:proofErr w:type="spellEnd"/>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дискусіях щодо успіху в кар’єрі,</w:t>
      </w:r>
      <w:r w:rsidRPr="00874DE7">
        <w:rPr>
          <w:rFonts w:ascii="Times New Roman" w:hAnsi="Times New Roman" w:cs="Times New Roman"/>
          <w:sz w:val="28"/>
          <w:szCs w:val="28"/>
          <w:lang w:val="uk-UA"/>
        </w:rPr>
        <w:t xml:space="preserve"> з особами з </w:t>
      </w:r>
      <w:r w:rsidRPr="00C469C9">
        <w:rPr>
          <w:rFonts w:ascii="Times New Roman" w:hAnsi="Times New Roman" w:cs="Times New Roman"/>
          <w:sz w:val="28"/>
          <w:szCs w:val="28"/>
          <w:lang w:val="uk-UA"/>
        </w:rPr>
        <w:t xml:space="preserve">вищим статусом </w:t>
      </w:r>
      <w:r w:rsidRPr="005D1B01">
        <w:rPr>
          <w:rFonts w:ascii="Times New Roman" w:hAnsi="Times New Roman" w:cs="Times New Roman"/>
          <w:sz w:val="28"/>
          <w:szCs w:val="28"/>
          <w:lang w:val="uk-UA"/>
        </w:rPr>
        <w:t>[53]</w:t>
      </w:r>
      <w:r w:rsidRPr="00C469C9">
        <w:rPr>
          <w:rFonts w:ascii="Times New Roman" w:hAnsi="Times New Roman" w:cs="Times New Roman"/>
          <w:sz w:val="28"/>
          <w:szCs w:val="28"/>
          <w:lang w:val="uk-UA"/>
        </w:rPr>
        <w:t>.</w:t>
      </w:r>
    </w:p>
    <w:p w14:paraId="275E3440" w14:textId="2C2AF67C" w:rsidR="00571B42" w:rsidRDefault="00571B42" w:rsidP="00571B42">
      <w:pPr>
        <w:spacing w:after="0" w:line="360" w:lineRule="auto"/>
        <w:ind w:firstLine="720"/>
        <w:jc w:val="both"/>
        <w:rPr>
          <w:rFonts w:ascii="Times New Roman" w:hAnsi="Times New Roman" w:cs="Times New Roman"/>
          <w:sz w:val="28"/>
          <w:szCs w:val="28"/>
          <w:lang w:val="uk-UA"/>
        </w:rPr>
      </w:pPr>
      <w:r w:rsidRPr="00C469C9">
        <w:rPr>
          <w:rFonts w:ascii="Times New Roman" w:hAnsi="Times New Roman" w:cs="Times New Roman"/>
          <w:sz w:val="28"/>
          <w:szCs w:val="28"/>
          <w:lang w:val="uk-UA"/>
        </w:rPr>
        <w:t xml:space="preserve">Незважаючи на те, що були запропоновані деякі пропозиції щодо того, як конкретні інституційні чинники, такі як економічний розвиток, системи освіти, регулювання ринку праці та культурні норми, такі як колективізм, дистанція влади та </w:t>
      </w:r>
      <w:proofErr w:type="spellStart"/>
      <w:r w:rsidRPr="00C469C9">
        <w:rPr>
          <w:rFonts w:ascii="Times New Roman" w:hAnsi="Times New Roman" w:cs="Times New Roman"/>
          <w:sz w:val="28"/>
          <w:szCs w:val="28"/>
          <w:lang w:val="uk-UA"/>
        </w:rPr>
        <w:t>маскулінність</w:t>
      </w:r>
      <w:proofErr w:type="spellEnd"/>
      <w:r w:rsidRPr="00C469C9">
        <w:rPr>
          <w:rFonts w:ascii="Times New Roman" w:hAnsi="Times New Roman" w:cs="Times New Roman"/>
          <w:sz w:val="28"/>
          <w:szCs w:val="28"/>
          <w:lang w:val="uk-UA"/>
        </w:rPr>
        <w:t xml:space="preserve">, можуть вплинути на складність схеми успішної кар’єри та конвергенцію в на рівні країни, важливо розуміти, що доцільно використати індуктивний, конфігураційний підхід до вивчення </w:t>
      </w:r>
      <w:proofErr w:type="spellStart"/>
      <w:r w:rsidRPr="00C469C9">
        <w:rPr>
          <w:rFonts w:ascii="Times New Roman" w:hAnsi="Times New Roman" w:cs="Times New Roman"/>
          <w:sz w:val="28"/>
          <w:szCs w:val="28"/>
          <w:lang w:val="uk-UA"/>
        </w:rPr>
        <w:t>зв’язків</w:t>
      </w:r>
      <w:proofErr w:type="spellEnd"/>
      <w:r w:rsidRPr="00C469C9">
        <w:rPr>
          <w:rFonts w:ascii="Times New Roman" w:hAnsi="Times New Roman" w:cs="Times New Roman"/>
          <w:sz w:val="28"/>
          <w:szCs w:val="28"/>
          <w:lang w:val="uk-UA"/>
        </w:rPr>
        <w:t xml:space="preserve"> між інституційними факторами та схемами успіху в кар’єрі. Причина цього полягає в тому, що інституційні чинники </w:t>
      </w:r>
      <w:r w:rsidRPr="005D1B01">
        <w:rPr>
          <w:rFonts w:ascii="Times New Roman" w:hAnsi="Times New Roman" w:cs="Times New Roman"/>
          <w:sz w:val="28"/>
          <w:szCs w:val="28"/>
        </w:rPr>
        <w:t>-</w:t>
      </w:r>
      <w:r w:rsidRPr="00C469C9">
        <w:rPr>
          <w:rFonts w:ascii="Times New Roman" w:hAnsi="Times New Roman" w:cs="Times New Roman"/>
          <w:sz w:val="28"/>
          <w:szCs w:val="28"/>
          <w:lang w:val="uk-UA"/>
        </w:rPr>
        <w:t xml:space="preserve"> особливо під час проведення порівняльних досліджень на рівні країни </w:t>
      </w:r>
      <w:r w:rsidRPr="005D1B01">
        <w:rPr>
          <w:rFonts w:ascii="Times New Roman" w:hAnsi="Times New Roman" w:cs="Times New Roman"/>
          <w:sz w:val="28"/>
          <w:szCs w:val="28"/>
        </w:rPr>
        <w:t>-</w:t>
      </w:r>
      <w:r w:rsidRPr="00C469C9">
        <w:rPr>
          <w:rFonts w:ascii="Times New Roman" w:hAnsi="Times New Roman" w:cs="Times New Roman"/>
          <w:sz w:val="28"/>
          <w:szCs w:val="28"/>
          <w:lang w:val="uk-UA"/>
        </w:rPr>
        <w:t xml:space="preserve"> найкраще вивчати комплексно </w:t>
      </w:r>
      <w:r w:rsidRPr="005D1B01">
        <w:rPr>
          <w:rFonts w:ascii="Times New Roman" w:hAnsi="Times New Roman" w:cs="Times New Roman"/>
          <w:sz w:val="28"/>
          <w:szCs w:val="28"/>
        </w:rPr>
        <w:t>[22]</w:t>
      </w:r>
      <w:r w:rsidRPr="00C469C9">
        <w:rPr>
          <w:rFonts w:ascii="Times New Roman" w:hAnsi="Times New Roman" w:cs="Times New Roman"/>
          <w:sz w:val="28"/>
          <w:szCs w:val="28"/>
          <w:lang w:val="uk-UA"/>
        </w:rPr>
        <w:t>. З цією метою було прийнято</w:t>
      </w:r>
      <w:r w:rsidRPr="00874DE7">
        <w:rPr>
          <w:rFonts w:ascii="Times New Roman" w:hAnsi="Times New Roman" w:cs="Times New Roman"/>
          <w:sz w:val="28"/>
          <w:szCs w:val="28"/>
          <w:lang w:val="uk-UA"/>
        </w:rPr>
        <w:t xml:space="preserve"> конфігураційний підхід, заснований на літературі з QCA (</w:t>
      </w:r>
      <w:proofErr w:type="spellStart"/>
      <w:r w:rsidRPr="005360FB">
        <w:rPr>
          <w:rFonts w:ascii="Times New Roman" w:hAnsi="Times New Roman" w:cs="Times New Roman"/>
          <w:sz w:val="28"/>
          <w:szCs w:val="28"/>
          <w:lang w:val="uk-UA"/>
        </w:rPr>
        <w:t>Qualitative</w:t>
      </w:r>
      <w:proofErr w:type="spellEnd"/>
      <w:r w:rsidRPr="005360FB">
        <w:rPr>
          <w:rFonts w:ascii="Times New Roman" w:hAnsi="Times New Roman" w:cs="Times New Roman"/>
          <w:sz w:val="28"/>
          <w:szCs w:val="28"/>
          <w:lang w:val="uk-UA"/>
        </w:rPr>
        <w:t xml:space="preserve"> </w:t>
      </w:r>
      <w:proofErr w:type="spellStart"/>
      <w:r w:rsidRPr="005360FB">
        <w:rPr>
          <w:rFonts w:ascii="Times New Roman" w:hAnsi="Times New Roman" w:cs="Times New Roman"/>
          <w:sz w:val="28"/>
          <w:szCs w:val="28"/>
          <w:lang w:val="uk-UA"/>
        </w:rPr>
        <w:t>comparative</w:t>
      </w:r>
      <w:proofErr w:type="spellEnd"/>
      <w:r w:rsidRPr="005360FB">
        <w:rPr>
          <w:rFonts w:ascii="Times New Roman" w:hAnsi="Times New Roman" w:cs="Times New Roman"/>
          <w:sz w:val="28"/>
          <w:szCs w:val="28"/>
          <w:lang w:val="uk-UA"/>
        </w:rPr>
        <w:t xml:space="preserve"> </w:t>
      </w:r>
      <w:proofErr w:type="spellStart"/>
      <w:r w:rsidRPr="005360FB">
        <w:rPr>
          <w:rFonts w:ascii="Times New Roman" w:hAnsi="Times New Roman" w:cs="Times New Roman"/>
          <w:sz w:val="28"/>
          <w:szCs w:val="28"/>
          <w:lang w:val="uk-UA"/>
        </w:rPr>
        <w:t>analysis</w:t>
      </w:r>
      <w:proofErr w:type="spellEnd"/>
      <w:r w:rsidRPr="00874DE7">
        <w:rPr>
          <w:rFonts w:ascii="Times New Roman" w:hAnsi="Times New Roman" w:cs="Times New Roman"/>
          <w:sz w:val="28"/>
          <w:szCs w:val="28"/>
          <w:lang w:val="uk-UA"/>
        </w:rPr>
        <w:t xml:space="preserve">). QCA дозволяє досліджувати конфігурації теоретично значущих умов і ґрунтується на </w:t>
      </w:r>
      <w:proofErr w:type="spellStart"/>
      <w:r w:rsidRPr="00874DE7">
        <w:rPr>
          <w:rFonts w:ascii="Times New Roman" w:hAnsi="Times New Roman" w:cs="Times New Roman"/>
          <w:sz w:val="28"/>
          <w:szCs w:val="28"/>
          <w:lang w:val="uk-UA"/>
        </w:rPr>
        <w:t>логіці</w:t>
      </w:r>
      <w:proofErr w:type="spellEnd"/>
      <w:r w:rsidRPr="00874DE7">
        <w:rPr>
          <w:rFonts w:ascii="Times New Roman" w:hAnsi="Times New Roman" w:cs="Times New Roman"/>
          <w:sz w:val="28"/>
          <w:szCs w:val="28"/>
          <w:lang w:val="uk-UA"/>
        </w:rPr>
        <w:t xml:space="preserve"> кон’юнкції, </w:t>
      </w:r>
      <w:proofErr w:type="spellStart"/>
      <w:r w:rsidRPr="00874DE7">
        <w:rPr>
          <w:rFonts w:ascii="Times New Roman" w:hAnsi="Times New Roman" w:cs="Times New Roman"/>
          <w:sz w:val="28"/>
          <w:szCs w:val="28"/>
          <w:lang w:val="uk-UA"/>
        </w:rPr>
        <w:t>еквіфінальності</w:t>
      </w:r>
      <w:proofErr w:type="spellEnd"/>
      <w:r w:rsidRPr="00874DE7">
        <w:rPr>
          <w:rFonts w:ascii="Times New Roman" w:hAnsi="Times New Roman" w:cs="Times New Roman"/>
          <w:sz w:val="28"/>
          <w:szCs w:val="28"/>
          <w:lang w:val="uk-UA"/>
        </w:rPr>
        <w:t xml:space="preserve"> та асиметрії </w:t>
      </w:r>
      <w:r w:rsidRPr="005D1B01">
        <w:rPr>
          <w:rFonts w:ascii="Times New Roman" w:hAnsi="Times New Roman" w:cs="Times New Roman"/>
          <w:sz w:val="28"/>
          <w:szCs w:val="28"/>
          <w:lang w:val="uk-UA"/>
        </w:rPr>
        <w:t>[54</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55]</w:t>
      </w:r>
      <w:r w:rsidRPr="00C469C9">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Для цього дослідження це означає, що конкретні інституційні фактори можуть не впливати на складність або конвергенцію схеми кар’єрного успіху окремо, а радше в поєднанні з іншими факторами. Як наслідок, як складність, так і конвергенцію схеми кар’єрного успіху можна передбачити за допомогою різних конфігурацій інституційних факторів, утворюючи якісно різні, але однакові шляхи прогнозування до того самого результату (наприклад, високої складності). Нарешті, конфігурації інституційних факторів, що спричиняють наявність складності або конвергенції, не обов’язково будуть зворотними конфігураціям, я</w:t>
      </w:r>
      <w:r>
        <w:rPr>
          <w:rFonts w:ascii="Times New Roman" w:hAnsi="Times New Roman" w:cs="Times New Roman"/>
          <w:sz w:val="28"/>
          <w:szCs w:val="28"/>
          <w:lang w:val="uk-UA"/>
        </w:rPr>
        <w:t>кі призводять до їх відсутності. Це</w:t>
      </w:r>
      <w:r w:rsidRPr="00874DE7">
        <w:rPr>
          <w:rFonts w:ascii="Times New Roman" w:hAnsi="Times New Roman" w:cs="Times New Roman"/>
          <w:sz w:val="28"/>
          <w:szCs w:val="28"/>
          <w:lang w:val="uk-UA"/>
        </w:rPr>
        <w:t xml:space="preserve"> означає, що конкуруючі шляхи прогнозування характеризуют</w:t>
      </w:r>
      <w:r>
        <w:rPr>
          <w:rFonts w:ascii="Times New Roman" w:hAnsi="Times New Roman" w:cs="Times New Roman"/>
          <w:sz w:val="28"/>
          <w:szCs w:val="28"/>
          <w:lang w:val="uk-UA"/>
        </w:rPr>
        <w:t xml:space="preserve">ься асиметрією </w:t>
      </w:r>
      <w:r w:rsidRPr="005D1B01">
        <w:rPr>
          <w:rFonts w:ascii="Times New Roman" w:hAnsi="Times New Roman" w:cs="Times New Roman"/>
          <w:sz w:val="28"/>
          <w:szCs w:val="28"/>
          <w:lang w:val="uk-UA"/>
        </w:rPr>
        <w:t>[54]</w:t>
      </w:r>
      <w:r w:rsidRPr="00C469C9">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w:t>
      </w:r>
    </w:p>
    <w:p w14:paraId="640746DA" w14:textId="0AAC672A" w:rsidR="00571B42" w:rsidRPr="00874DE7"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проведеного дослідження проводять порівняння</w:t>
      </w:r>
      <w:r w:rsidRPr="005D1B01">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 xml:space="preserve">між країнами, що містить комбінацію когнітивного картування </w:t>
      </w:r>
      <w:r w:rsidRPr="005D1B01">
        <w:rPr>
          <w:rFonts w:ascii="Times New Roman" w:hAnsi="Times New Roman" w:cs="Times New Roman"/>
          <w:sz w:val="28"/>
          <w:szCs w:val="28"/>
          <w:lang w:val="uk-UA"/>
        </w:rPr>
        <w:t>[33]</w:t>
      </w:r>
      <w:r>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 xml:space="preserve">і QCA </w:t>
      </w:r>
      <w:r w:rsidRPr="005D1B01">
        <w:rPr>
          <w:rFonts w:ascii="Times New Roman" w:hAnsi="Times New Roman" w:cs="Times New Roman"/>
          <w:sz w:val="28"/>
          <w:szCs w:val="28"/>
          <w:lang w:val="uk-UA"/>
        </w:rPr>
        <w:t>[30</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54]</w:t>
      </w:r>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874DE7">
        <w:rPr>
          <w:rFonts w:ascii="Times New Roman" w:hAnsi="Times New Roman" w:cs="Times New Roman"/>
          <w:sz w:val="28"/>
          <w:szCs w:val="28"/>
          <w:lang w:val="uk-UA"/>
        </w:rPr>
        <w:t xml:space="preserve">ервинні дані </w:t>
      </w:r>
      <w:r>
        <w:rPr>
          <w:rFonts w:ascii="Times New Roman" w:hAnsi="Times New Roman" w:cs="Times New Roman"/>
          <w:sz w:val="28"/>
          <w:szCs w:val="28"/>
          <w:lang w:val="uk-UA"/>
        </w:rPr>
        <w:t xml:space="preserve">доцільно використати </w:t>
      </w:r>
      <w:r w:rsidRPr="00874DE7">
        <w:rPr>
          <w:rFonts w:ascii="Times New Roman" w:hAnsi="Times New Roman" w:cs="Times New Roman"/>
          <w:sz w:val="28"/>
          <w:szCs w:val="28"/>
          <w:lang w:val="uk-UA"/>
        </w:rPr>
        <w:t>для когнітивного картування та об’єдна</w:t>
      </w:r>
      <w:r>
        <w:rPr>
          <w:rFonts w:ascii="Times New Roman" w:hAnsi="Times New Roman" w:cs="Times New Roman"/>
          <w:sz w:val="28"/>
          <w:szCs w:val="28"/>
          <w:lang w:val="uk-UA"/>
        </w:rPr>
        <w:t>но</w:t>
      </w:r>
      <w:r w:rsidRPr="00874DE7">
        <w:rPr>
          <w:rFonts w:ascii="Times New Roman" w:hAnsi="Times New Roman" w:cs="Times New Roman"/>
          <w:sz w:val="28"/>
          <w:szCs w:val="28"/>
          <w:lang w:val="uk-UA"/>
        </w:rPr>
        <w:t xml:space="preserve"> їх із загальнодоступними вторинними даними для виконання QCA. </w:t>
      </w:r>
      <w:r>
        <w:rPr>
          <w:rFonts w:ascii="Times New Roman" w:hAnsi="Times New Roman" w:cs="Times New Roman"/>
          <w:sz w:val="28"/>
          <w:szCs w:val="28"/>
          <w:lang w:val="uk-UA"/>
        </w:rPr>
        <w:t>В</w:t>
      </w:r>
      <w:r w:rsidRPr="00874DE7">
        <w:rPr>
          <w:rFonts w:ascii="Times New Roman" w:hAnsi="Times New Roman" w:cs="Times New Roman"/>
          <w:sz w:val="28"/>
          <w:szCs w:val="28"/>
          <w:lang w:val="uk-UA"/>
        </w:rPr>
        <w:t>ибірку стратифік</w:t>
      </w:r>
      <w:r>
        <w:rPr>
          <w:rFonts w:ascii="Times New Roman" w:hAnsi="Times New Roman" w:cs="Times New Roman"/>
          <w:sz w:val="28"/>
          <w:szCs w:val="28"/>
          <w:lang w:val="uk-UA"/>
        </w:rPr>
        <w:t>ують</w:t>
      </w:r>
      <w:r w:rsidRPr="00874DE7">
        <w:rPr>
          <w:rFonts w:ascii="Times New Roman" w:hAnsi="Times New Roman" w:cs="Times New Roman"/>
          <w:sz w:val="28"/>
          <w:szCs w:val="28"/>
          <w:lang w:val="uk-UA"/>
        </w:rPr>
        <w:t xml:space="preserve">, щоб забезпечити неоднорідність як на рівні між країнами, так і </w:t>
      </w:r>
      <w:r w:rsidRPr="00874DE7">
        <w:rPr>
          <w:rFonts w:ascii="Times New Roman" w:hAnsi="Times New Roman" w:cs="Times New Roman"/>
          <w:sz w:val="28"/>
          <w:szCs w:val="28"/>
          <w:lang w:val="uk-UA"/>
        </w:rPr>
        <w:lastRenderedPageBreak/>
        <w:t xml:space="preserve">всередині країни. На рівні між країнами </w:t>
      </w:r>
      <w:r>
        <w:rPr>
          <w:rFonts w:ascii="Times New Roman" w:hAnsi="Times New Roman" w:cs="Times New Roman"/>
          <w:sz w:val="28"/>
          <w:szCs w:val="28"/>
          <w:lang w:val="uk-UA"/>
        </w:rPr>
        <w:t>від</w:t>
      </w:r>
      <w:r w:rsidRPr="00874DE7">
        <w:rPr>
          <w:rFonts w:ascii="Times New Roman" w:hAnsi="Times New Roman" w:cs="Times New Roman"/>
          <w:sz w:val="28"/>
          <w:szCs w:val="28"/>
          <w:lang w:val="uk-UA"/>
        </w:rPr>
        <w:t>б</w:t>
      </w:r>
      <w:r>
        <w:rPr>
          <w:rFonts w:ascii="Times New Roman" w:hAnsi="Times New Roman" w:cs="Times New Roman"/>
          <w:sz w:val="28"/>
          <w:szCs w:val="28"/>
          <w:lang w:val="uk-UA"/>
        </w:rPr>
        <w:t>и</w:t>
      </w:r>
      <w:r w:rsidRPr="00874DE7">
        <w:rPr>
          <w:rFonts w:ascii="Times New Roman" w:hAnsi="Times New Roman" w:cs="Times New Roman"/>
          <w:sz w:val="28"/>
          <w:szCs w:val="28"/>
          <w:lang w:val="uk-UA"/>
        </w:rPr>
        <w:t>ра</w:t>
      </w:r>
      <w:r>
        <w:rPr>
          <w:rFonts w:ascii="Times New Roman" w:hAnsi="Times New Roman" w:cs="Times New Roman"/>
          <w:sz w:val="28"/>
          <w:szCs w:val="28"/>
          <w:lang w:val="uk-UA"/>
        </w:rPr>
        <w:t>ють</w:t>
      </w:r>
      <w:r w:rsidRPr="00874DE7">
        <w:rPr>
          <w:rFonts w:ascii="Times New Roman" w:hAnsi="Times New Roman" w:cs="Times New Roman"/>
          <w:sz w:val="28"/>
          <w:szCs w:val="28"/>
          <w:lang w:val="uk-UA"/>
        </w:rPr>
        <w:t xml:space="preserve"> країни, щоб представити культурні регіони </w:t>
      </w:r>
      <w:r w:rsidRPr="005D1B01">
        <w:rPr>
          <w:rFonts w:ascii="Times New Roman" w:hAnsi="Times New Roman" w:cs="Times New Roman"/>
          <w:sz w:val="28"/>
          <w:szCs w:val="28"/>
        </w:rPr>
        <w:t>[5</w:t>
      </w:r>
      <w:r>
        <w:rPr>
          <w:rFonts w:ascii="Times New Roman" w:hAnsi="Times New Roman" w:cs="Times New Roman"/>
          <w:sz w:val="28"/>
          <w:szCs w:val="28"/>
          <w:lang w:val="uk-UA"/>
        </w:rPr>
        <w:t>6</w:t>
      </w:r>
      <w:r w:rsidRPr="005D1B01">
        <w:rPr>
          <w:rFonts w:ascii="Times New Roman" w:hAnsi="Times New Roman" w:cs="Times New Roman"/>
          <w:sz w:val="28"/>
          <w:szCs w:val="28"/>
        </w:rPr>
        <w:t>]</w:t>
      </w:r>
      <w:r w:rsidRPr="00C469C9">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Стратегія вибірки всередині країни </w:t>
      </w:r>
      <w:r>
        <w:rPr>
          <w:rFonts w:ascii="Times New Roman" w:hAnsi="Times New Roman" w:cs="Times New Roman"/>
          <w:sz w:val="28"/>
          <w:szCs w:val="28"/>
          <w:lang w:val="uk-UA"/>
        </w:rPr>
        <w:t>має бути</w:t>
      </w:r>
      <w:r w:rsidRPr="00874DE7">
        <w:rPr>
          <w:rFonts w:ascii="Times New Roman" w:hAnsi="Times New Roman" w:cs="Times New Roman"/>
          <w:sz w:val="28"/>
          <w:szCs w:val="28"/>
          <w:lang w:val="uk-UA"/>
        </w:rPr>
        <w:t xml:space="preserve"> спрямована на неоднорідність, зокрема, з точки зору професій респондентів. Важливо враховувати професії, оскільки вони справляють інституційний вплив, як показав попередній приклад фінських шахтарів </w:t>
      </w:r>
      <w:r w:rsidRPr="005D1B01">
        <w:rPr>
          <w:rFonts w:ascii="Times New Roman" w:hAnsi="Times New Roman" w:cs="Times New Roman"/>
          <w:sz w:val="28"/>
          <w:szCs w:val="28"/>
        </w:rPr>
        <w:t>[</w:t>
      </w:r>
      <w:r>
        <w:rPr>
          <w:rFonts w:ascii="Times New Roman" w:hAnsi="Times New Roman" w:cs="Times New Roman"/>
          <w:sz w:val="28"/>
          <w:szCs w:val="28"/>
          <w:lang w:val="uk-UA"/>
        </w:rPr>
        <w:t>42</w:t>
      </w:r>
      <w:r w:rsidRPr="005D1B01">
        <w:rPr>
          <w:rFonts w:ascii="Times New Roman" w:hAnsi="Times New Roman" w:cs="Times New Roman"/>
          <w:sz w:val="28"/>
          <w:szCs w:val="28"/>
        </w:rPr>
        <w:t>]</w:t>
      </w:r>
      <w:r w:rsidRPr="00874DE7">
        <w:rPr>
          <w:rFonts w:ascii="Times New Roman" w:hAnsi="Times New Roman" w:cs="Times New Roman"/>
          <w:sz w:val="28"/>
          <w:szCs w:val="28"/>
          <w:lang w:val="uk-UA"/>
        </w:rPr>
        <w:t>.</w:t>
      </w:r>
    </w:p>
    <w:p w14:paraId="0635FD9A" w14:textId="455920E6" w:rsidR="00571B42" w:rsidRPr="00874DE7"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 xml:space="preserve">План вибірки </w:t>
      </w:r>
      <w:r>
        <w:rPr>
          <w:rFonts w:ascii="Times New Roman" w:hAnsi="Times New Roman" w:cs="Times New Roman"/>
          <w:sz w:val="28"/>
          <w:szCs w:val="28"/>
          <w:lang w:val="uk-UA"/>
        </w:rPr>
        <w:t xml:space="preserve">має бути </w:t>
      </w:r>
      <w:r w:rsidRPr="00874DE7">
        <w:rPr>
          <w:rFonts w:ascii="Times New Roman" w:hAnsi="Times New Roman" w:cs="Times New Roman"/>
          <w:sz w:val="28"/>
          <w:szCs w:val="28"/>
          <w:lang w:val="uk-UA"/>
        </w:rPr>
        <w:t xml:space="preserve">ідентичним для всіх країн. </w:t>
      </w:r>
      <w:r>
        <w:rPr>
          <w:rFonts w:ascii="Times New Roman" w:hAnsi="Times New Roman" w:cs="Times New Roman"/>
          <w:sz w:val="28"/>
          <w:szCs w:val="28"/>
          <w:lang w:val="uk-UA"/>
        </w:rPr>
        <w:t>У к</w:t>
      </w:r>
      <w:r w:rsidRPr="00874DE7">
        <w:rPr>
          <w:rFonts w:ascii="Times New Roman" w:hAnsi="Times New Roman" w:cs="Times New Roman"/>
          <w:sz w:val="28"/>
          <w:szCs w:val="28"/>
          <w:lang w:val="uk-UA"/>
        </w:rPr>
        <w:t>ожн</w:t>
      </w:r>
      <w:r>
        <w:rPr>
          <w:rFonts w:ascii="Times New Roman" w:hAnsi="Times New Roman" w:cs="Times New Roman"/>
          <w:sz w:val="28"/>
          <w:szCs w:val="28"/>
          <w:lang w:val="uk-UA"/>
        </w:rPr>
        <w:t>ій</w:t>
      </w:r>
      <w:r w:rsidRPr="00874DE7">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і</w:t>
      </w:r>
      <w:r w:rsidRPr="00874DE7">
        <w:rPr>
          <w:rFonts w:ascii="Times New Roman" w:hAnsi="Times New Roman" w:cs="Times New Roman"/>
          <w:sz w:val="28"/>
          <w:szCs w:val="28"/>
          <w:lang w:val="uk-UA"/>
        </w:rPr>
        <w:t>-учасниц</w:t>
      </w:r>
      <w:r>
        <w:rPr>
          <w:rFonts w:ascii="Times New Roman" w:hAnsi="Times New Roman" w:cs="Times New Roman"/>
          <w:sz w:val="28"/>
          <w:szCs w:val="28"/>
          <w:lang w:val="uk-UA"/>
        </w:rPr>
        <w:t>і</w:t>
      </w:r>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доцільно </w:t>
      </w:r>
      <w:r w:rsidRPr="00874DE7">
        <w:rPr>
          <w:rFonts w:ascii="Times New Roman" w:hAnsi="Times New Roman" w:cs="Times New Roman"/>
          <w:sz w:val="28"/>
          <w:szCs w:val="28"/>
          <w:lang w:val="uk-UA"/>
        </w:rPr>
        <w:t>відібр</w:t>
      </w:r>
      <w:r>
        <w:rPr>
          <w:rFonts w:ascii="Times New Roman" w:hAnsi="Times New Roman" w:cs="Times New Roman"/>
          <w:sz w:val="28"/>
          <w:szCs w:val="28"/>
          <w:lang w:val="uk-UA"/>
        </w:rPr>
        <w:t>ати щонайменше</w:t>
      </w:r>
      <w:r w:rsidRPr="00874DE7">
        <w:rPr>
          <w:rFonts w:ascii="Times New Roman" w:hAnsi="Times New Roman" w:cs="Times New Roman"/>
          <w:sz w:val="28"/>
          <w:szCs w:val="28"/>
          <w:lang w:val="uk-UA"/>
        </w:rPr>
        <w:t xml:space="preserve"> 28 працюючих осіб (загальна точка насичення для досліджень когнітивного картування за картками) із принаймні 5-річним досвідом роботи, збалансованим за статтю та репрезентуючи сім різних професійних </w:t>
      </w:r>
      <w:r>
        <w:rPr>
          <w:rFonts w:ascii="Times New Roman" w:hAnsi="Times New Roman" w:cs="Times New Roman"/>
          <w:sz w:val="28"/>
          <w:szCs w:val="28"/>
          <w:lang w:val="uk-UA"/>
        </w:rPr>
        <w:t xml:space="preserve">напрямів відповідно до типології інтересів Кемпбелла </w:t>
      </w:r>
      <w:r w:rsidRPr="005D1B01">
        <w:rPr>
          <w:rFonts w:ascii="Times New Roman" w:hAnsi="Times New Roman" w:cs="Times New Roman"/>
          <w:sz w:val="28"/>
          <w:szCs w:val="28"/>
          <w:lang w:val="uk-UA"/>
        </w:rPr>
        <w:t>[58]</w:t>
      </w:r>
      <w:r>
        <w:rPr>
          <w:rFonts w:ascii="Times New Roman" w:hAnsi="Times New Roman" w:cs="Times New Roman"/>
          <w:sz w:val="28"/>
          <w:szCs w:val="28"/>
          <w:lang w:val="uk-UA"/>
        </w:rPr>
        <w:t>: к</w:t>
      </w:r>
      <w:r w:rsidRPr="00307600">
        <w:rPr>
          <w:rFonts w:ascii="Times New Roman" w:hAnsi="Times New Roman" w:cs="Times New Roman"/>
          <w:sz w:val="28"/>
          <w:szCs w:val="28"/>
          <w:lang w:val="uk-UA"/>
        </w:rPr>
        <w:t xml:space="preserve">ерівник, </w:t>
      </w:r>
      <w:r>
        <w:rPr>
          <w:rFonts w:ascii="Times New Roman" w:hAnsi="Times New Roman" w:cs="Times New Roman"/>
          <w:sz w:val="28"/>
          <w:szCs w:val="28"/>
          <w:lang w:val="uk-UA"/>
        </w:rPr>
        <w:t>бухгалтер</w:t>
      </w:r>
      <w:r w:rsidRPr="00307600">
        <w:rPr>
          <w:rFonts w:ascii="Times New Roman" w:hAnsi="Times New Roman" w:cs="Times New Roman"/>
          <w:sz w:val="28"/>
          <w:szCs w:val="28"/>
          <w:lang w:val="uk-UA"/>
        </w:rPr>
        <w:t xml:space="preserve">, </w:t>
      </w:r>
      <w:r>
        <w:rPr>
          <w:rFonts w:ascii="Times New Roman" w:hAnsi="Times New Roman" w:cs="Times New Roman"/>
          <w:sz w:val="28"/>
          <w:szCs w:val="28"/>
          <w:lang w:val="uk-UA"/>
        </w:rPr>
        <w:t>медсестра</w:t>
      </w:r>
      <w:r w:rsidRPr="00307600">
        <w:rPr>
          <w:rFonts w:ascii="Times New Roman" w:hAnsi="Times New Roman" w:cs="Times New Roman"/>
          <w:sz w:val="28"/>
          <w:szCs w:val="28"/>
          <w:lang w:val="uk-UA"/>
        </w:rPr>
        <w:t xml:space="preserve">, </w:t>
      </w:r>
      <w:r>
        <w:rPr>
          <w:rFonts w:ascii="Times New Roman" w:hAnsi="Times New Roman" w:cs="Times New Roman"/>
          <w:sz w:val="28"/>
          <w:szCs w:val="28"/>
          <w:lang w:val="uk-UA"/>
        </w:rPr>
        <w:t>письменник</w:t>
      </w:r>
      <w:r w:rsidRPr="00307600">
        <w:rPr>
          <w:rFonts w:ascii="Times New Roman" w:hAnsi="Times New Roman" w:cs="Times New Roman"/>
          <w:sz w:val="28"/>
          <w:szCs w:val="28"/>
          <w:lang w:val="uk-UA"/>
        </w:rPr>
        <w:t xml:space="preserve">, </w:t>
      </w:r>
      <w:r>
        <w:rPr>
          <w:rFonts w:ascii="Times New Roman" w:hAnsi="Times New Roman" w:cs="Times New Roman"/>
          <w:sz w:val="28"/>
          <w:szCs w:val="28"/>
          <w:lang w:val="uk-UA"/>
        </w:rPr>
        <w:t>інженер</w:t>
      </w:r>
      <w:r w:rsidRPr="00307600">
        <w:rPr>
          <w:rFonts w:ascii="Times New Roman" w:hAnsi="Times New Roman" w:cs="Times New Roman"/>
          <w:sz w:val="28"/>
          <w:szCs w:val="28"/>
          <w:lang w:val="uk-UA"/>
        </w:rPr>
        <w:t xml:space="preserve">, </w:t>
      </w:r>
      <w:r>
        <w:rPr>
          <w:rFonts w:ascii="Times New Roman" w:hAnsi="Times New Roman" w:cs="Times New Roman"/>
          <w:sz w:val="28"/>
          <w:szCs w:val="28"/>
          <w:lang w:val="uk-UA"/>
        </w:rPr>
        <w:t>електрик</w:t>
      </w:r>
      <w:r w:rsidRPr="00307600">
        <w:rPr>
          <w:rFonts w:ascii="Times New Roman" w:hAnsi="Times New Roman" w:cs="Times New Roman"/>
          <w:sz w:val="28"/>
          <w:szCs w:val="28"/>
          <w:lang w:val="uk-UA"/>
        </w:rPr>
        <w:t xml:space="preserve"> і </w:t>
      </w:r>
      <w:r>
        <w:rPr>
          <w:rFonts w:ascii="Times New Roman" w:hAnsi="Times New Roman" w:cs="Times New Roman"/>
          <w:sz w:val="28"/>
          <w:szCs w:val="28"/>
          <w:lang w:val="uk-UA"/>
        </w:rPr>
        <w:t>офіцер поліції</w:t>
      </w:r>
      <w:r w:rsidRPr="0030760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У кожній професійній групі для кожної країни відб</w:t>
      </w:r>
      <w:r w:rsidR="002C3DBA">
        <w:rPr>
          <w:rFonts w:ascii="Times New Roman" w:hAnsi="Times New Roman" w:cs="Times New Roman"/>
          <w:sz w:val="28"/>
          <w:szCs w:val="28"/>
          <w:lang w:val="uk-UA"/>
        </w:rPr>
        <w:t>и</w:t>
      </w:r>
      <w:r w:rsidRPr="00874DE7">
        <w:rPr>
          <w:rFonts w:ascii="Times New Roman" w:hAnsi="Times New Roman" w:cs="Times New Roman"/>
          <w:sz w:val="28"/>
          <w:szCs w:val="28"/>
          <w:lang w:val="uk-UA"/>
        </w:rPr>
        <w:t>ра</w:t>
      </w:r>
      <w:r>
        <w:rPr>
          <w:rFonts w:ascii="Times New Roman" w:hAnsi="Times New Roman" w:cs="Times New Roman"/>
          <w:sz w:val="28"/>
          <w:szCs w:val="28"/>
          <w:lang w:val="uk-UA"/>
        </w:rPr>
        <w:t>ють</w:t>
      </w:r>
      <w:r w:rsidRPr="00874DE7">
        <w:rPr>
          <w:rFonts w:ascii="Times New Roman" w:hAnsi="Times New Roman" w:cs="Times New Roman"/>
          <w:sz w:val="28"/>
          <w:szCs w:val="28"/>
          <w:lang w:val="uk-UA"/>
        </w:rPr>
        <w:t xml:space="preserve"> чотири репрезентативні професії. Наприклад, для Словенії прошарок авантюристів представляли слідчий, фітнес-інструктор, керівник експедиції, пожежник.</w:t>
      </w:r>
    </w:p>
    <w:p w14:paraId="604EBFB4" w14:textId="68B6168D" w:rsidR="00571B42" w:rsidRPr="00874DE7"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w:t>
      </w:r>
      <w:r w:rsidRPr="00874DE7">
        <w:rPr>
          <w:rFonts w:ascii="Times New Roman" w:hAnsi="Times New Roman" w:cs="Times New Roman"/>
          <w:sz w:val="28"/>
          <w:szCs w:val="28"/>
          <w:lang w:val="uk-UA"/>
        </w:rPr>
        <w:t xml:space="preserve"> проаналізувати схеми успіху в кар’єрі, якими володіють окремі респонденти, і отримати показники складності та конвергенції на рівні країни</w:t>
      </w:r>
      <w:r>
        <w:rPr>
          <w:rFonts w:ascii="Times New Roman" w:hAnsi="Times New Roman" w:cs="Times New Roman"/>
          <w:sz w:val="28"/>
          <w:szCs w:val="28"/>
          <w:lang w:val="uk-UA"/>
        </w:rPr>
        <w:t>, доцільно</w:t>
      </w:r>
      <w:r w:rsidRPr="00B74AF2">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використа</w:t>
      </w:r>
      <w:r>
        <w:rPr>
          <w:rFonts w:ascii="Times New Roman" w:hAnsi="Times New Roman" w:cs="Times New Roman"/>
          <w:sz w:val="28"/>
          <w:szCs w:val="28"/>
          <w:lang w:val="uk-UA"/>
        </w:rPr>
        <w:t>ти когнітивне картування</w:t>
      </w:r>
      <w:r w:rsidRPr="00874DE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Крім того, доцільно провести </w:t>
      </w:r>
      <w:r w:rsidRPr="00874DE7">
        <w:rPr>
          <w:rFonts w:ascii="Times New Roman" w:hAnsi="Times New Roman" w:cs="Times New Roman"/>
          <w:sz w:val="28"/>
          <w:szCs w:val="28"/>
          <w:lang w:val="uk-UA"/>
        </w:rPr>
        <w:t>оцінк</w:t>
      </w:r>
      <w:r>
        <w:rPr>
          <w:rFonts w:ascii="Times New Roman" w:hAnsi="Times New Roman" w:cs="Times New Roman"/>
          <w:sz w:val="28"/>
          <w:szCs w:val="28"/>
          <w:lang w:val="uk-UA"/>
        </w:rPr>
        <w:t>у</w:t>
      </w:r>
      <w:r w:rsidRPr="00874DE7">
        <w:rPr>
          <w:rFonts w:ascii="Times New Roman" w:hAnsi="Times New Roman" w:cs="Times New Roman"/>
          <w:sz w:val="28"/>
          <w:szCs w:val="28"/>
          <w:lang w:val="uk-UA"/>
        </w:rPr>
        <w:t xml:space="preserve"> складності та конвергенції для кожної країни. Ці бали </w:t>
      </w:r>
      <w:r>
        <w:rPr>
          <w:rFonts w:ascii="Times New Roman" w:hAnsi="Times New Roman" w:cs="Times New Roman"/>
          <w:sz w:val="28"/>
          <w:szCs w:val="28"/>
          <w:lang w:val="uk-UA"/>
        </w:rPr>
        <w:t>мають стати</w:t>
      </w:r>
      <w:r w:rsidRPr="00874DE7">
        <w:rPr>
          <w:rFonts w:ascii="Times New Roman" w:hAnsi="Times New Roman" w:cs="Times New Roman"/>
          <w:sz w:val="28"/>
          <w:szCs w:val="28"/>
          <w:lang w:val="uk-UA"/>
        </w:rPr>
        <w:t xml:space="preserve"> основою для розробки таксономії схеми успішної кар’єри на рівні країни.</w:t>
      </w:r>
      <w:r>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 xml:space="preserve">Складність схеми успіху в кар’єрі </w:t>
      </w:r>
      <w:r>
        <w:rPr>
          <w:rFonts w:ascii="Times New Roman" w:hAnsi="Times New Roman" w:cs="Times New Roman"/>
          <w:sz w:val="28"/>
          <w:szCs w:val="28"/>
          <w:lang w:val="uk-UA"/>
        </w:rPr>
        <w:t>може бути</w:t>
      </w:r>
      <w:r w:rsidRPr="00874DE7">
        <w:rPr>
          <w:rFonts w:ascii="Times New Roman" w:hAnsi="Times New Roman" w:cs="Times New Roman"/>
          <w:sz w:val="28"/>
          <w:szCs w:val="28"/>
          <w:lang w:val="uk-UA"/>
        </w:rPr>
        <w:t xml:space="preserve"> </w:t>
      </w:r>
      <w:proofErr w:type="spellStart"/>
      <w:r w:rsidRPr="00874DE7">
        <w:rPr>
          <w:rFonts w:ascii="Times New Roman" w:hAnsi="Times New Roman" w:cs="Times New Roman"/>
          <w:sz w:val="28"/>
          <w:szCs w:val="28"/>
          <w:lang w:val="uk-UA"/>
        </w:rPr>
        <w:t>операціоналізована</w:t>
      </w:r>
      <w:proofErr w:type="spellEnd"/>
      <w:r w:rsidRPr="00874DE7">
        <w:rPr>
          <w:rFonts w:ascii="Times New Roman" w:hAnsi="Times New Roman" w:cs="Times New Roman"/>
          <w:sz w:val="28"/>
          <w:szCs w:val="28"/>
          <w:lang w:val="uk-UA"/>
        </w:rPr>
        <w:t xml:space="preserve"> як протилежність загальному зв’язку значень успіху в кар’єрі між респондентами країни </w:t>
      </w:r>
      <w:r w:rsidRPr="005D1B01">
        <w:rPr>
          <w:rFonts w:ascii="Times New Roman" w:hAnsi="Times New Roman" w:cs="Times New Roman"/>
          <w:sz w:val="28"/>
          <w:szCs w:val="28"/>
        </w:rPr>
        <w:t>[18]</w:t>
      </w:r>
      <w:r w:rsidRPr="00874DE7">
        <w:rPr>
          <w:rFonts w:ascii="Times New Roman" w:hAnsi="Times New Roman" w:cs="Times New Roman"/>
          <w:sz w:val="28"/>
          <w:szCs w:val="28"/>
          <w:lang w:val="uk-UA"/>
        </w:rPr>
        <w:t xml:space="preserve">. Загальний зв’язок підраховує загальну кількість разів, коли будь-яка пара значень успіху в кар’єрі </w:t>
      </w:r>
      <w:r>
        <w:rPr>
          <w:rFonts w:ascii="Times New Roman" w:hAnsi="Times New Roman" w:cs="Times New Roman"/>
          <w:sz w:val="28"/>
          <w:szCs w:val="28"/>
          <w:lang w:val="uk-UA"/>
        </w:rPr>
        <w:t>має бути</w:t>
      </w:r>
      <w:r w:rsidRPr="00874DE7">
        <w:rPr>
          <w:rFonts w:ascii="Times New Roman" w:hAnsi="Times New Roman" w:cs="Times New Roman"/>
          <w:sz w:val="28"/>
          <w:szCs w:val="28"/>
          <w:lang w:val="uk-UA"/>
        </w:rPr>
        <w:t xml:space="preserve"> згрупована разом</w:t>
      </w:r>
      <w:r>
        <w:rPr>
          <w:rFonts w:ascii="Times New Roman" w:hAnsi="Times New Roman" w:cs="Times New Roman"/>
          <w:sz w:val="28"/>
          <w:szCs w:val="28"/>
          <w:lang w:val="uk-UA"/>
        </w:rPr>
        <w:t xml:space="preserve"> з </w:t>
      </w:r>
      <w:r w:rsidRPr="00874DE7">
        <w:rPr>
          <w:rFonts w:ascii="Times New Roman" w:hAnsi="Times New Roman" w:cs="Times New Roman"/>
          <w:sz w:val="28"/>
          <w:szCs w:val="28"/>
          <w:lang w:val="uk-UA"/>
        </w:rPr>
        <w:t>окремими респондентами. Для ілюстрації, якщо всі респонденти країни розділять кожне з 63 значень кар’єрного успіху на 63 окремі кластери, це призведе до найвищої можливої складності схем кар’єрного успіху в країні (тобто екстремальне розщеплення). З іншого боку, якби всі респонденти в країні об’єднали всі значення кар’єрного успіху в один кластер, це призвело б до найменшої можливої складності (тобто надзвичайного згрупування).</w:t>
      </w:r>
      <w:r>
        <w:rPr>
          <w:rFonts w:ascii="Times New Roman" w:hAnsi="Times New Roman" w:cs="Times New Roman"/>
          <w:sz w:val="28"/>
          <w:szCs w:val="28"/>
          <w:lang w:val="uk-UA"/>
        </w:rPr>
        <w:t xml:space="preserve"> </w:t>
      </w:r>
      <w:r w:rsidRPr="00874DE7">
        <w:rPr>
          <w:rFonts w:ascii="Times New Roman" w:hAnsi="Times New Roman" w:cs="Times New Roman"/>
          <w:sz w:val="28"/>
          <w:szCs w:val="28"/>
          <w:lang w:val="uk-UA"/>
        </w:rPr>
        <w:t xml:space="preserve">Конвергенція схеми успіху в кар’єрі </w:t>
      </w:r>
      <w:r>
        <w:rPr>
          <w:rFonts w:ascii="Times New Roman" w:hAnsi="Times New Roman" w:cs="Times New Roman"/>
          <w:sz w:val="28"/>
          <w:szCs w:val="28"/>
          <w:lang w:val="uk-UA"/>
        </w:rPr>
        <w:t>може бути</w:t>
      </w:r>
      <w:r w:rsidRPr="00874DE7">
        <w:rPr>
          <w:rFonts w:ascii="Times New Roman" w:hAnsi="Times New Roman" w:cs="Times New Roman"/>
          <w:sz w:val="28"/>
          <w:szCs w:val="28"/>
          <w:lang w:val="uk-UA"/>
        </w:rPr>
        <w:t xml:space="preserve"> </w:t>
      </w:r>
      <w:proofErr w:type="spellStart"/>
      <w:r w:rsidRPr="00874DE7">
        <w:rPr>
          <w:rFonts w:ascii="Times New Roman" w:hAnsi="Times New Roman" w:cs="Times New Roman"/>
          <w:sz w:val="28"/>
          <w:szCs w:val="28"/>
          <w:lang w:val="uk-UA"/>
        </w:rPr>
        <w:t>операціоналізована</w:t>
      </w:r>
      <w:proofErr w:type="spellEnd"/>
      <w:r w:rsidRPr="00874DE7">
        <w:rPr>
          <w:rFonts w:ascii="Times New Roman" w:hAnsi="Times New Roman" w:cs="Times New Roman"/>
          <w:sz w:val="28"/>
          <w:szCs w:val="28"/>
          <w:lang w:val="uk-UA"/>
        </w:rPr>
        <w:t xml:space="preserve"> як частка зв’язності серед значень </w:t>
      </w:r>
      <w:r w:rsidRPr="00874DE7">
        <w:rPr>
          <w:rFonts w:ascii="Times New Roman" w:hAnsi="Times New Roman" w:cs="Times New Roman"/>
          <w:sz w:val="28"/>
          <w:szCs w:val="28"/>
          <w:lang w:val="uk-UA"/>
        </w:rPr>
        <w:lastRenderedPageBreak/>
        <w:t xml:space="preserve">успіху в кар’єрі, яку поділяли більшість респондентів у країні. Він </w:t>
      </w:r>
      <w:r>
        <w:rPr>
          <w:rFonts w:ascii="Times New Roman" w:hAnsi="Times New Roman" w:cs="Times New Roman"/>
          <w:sz w:val="28"/>
          <w:szCs w:val="28"/>
          <w:lang w:val="uk-UA"/>
        </w:rPr>
        <w:t xml:space="preserve">може бути </w:t>
      </w:r>
      <w:r w:rsidRPr="00874DE7">
        <w:rPr>
          <w:rFonts w:ascii="Times New Roman" w:hAnsi="Times New Roman" w:cs="Times New Roman"/>
          <w:sz w:val="28"/>
          <w:szCs w:val="28"/>
          <w:lang w:val="uk-UA"/>
        </w:rPr>
        <w:t>розрахов</w:t>
      </w:r>
      <w:r>
        <w:rPr>
          <w:rFonts w:ascii="Times New Roman" w:hAnsi="Times New Roman" w:cs="Times New Roman"/>
          <w:sz w:val="28"/>
          <w:szCs w:val="28"/>
          <w:lang w:val="uk-UA"/>
        </w:rPr>
        <w:t>аний</w:t>
      </w:r>
      <w:r w:rsidRPr="00874DE7">
        <w:rPr>
          <w:rFonts w:ascii="Times New Roman" w:hAnsi="Times New Roman" w:cs="Times New Roman"/>
          <w:sz w:val="28"/>
          <w:szCs w:val="28"/>
          <w:lang w:val="uk-UA"/>
        </w:rPr>
        <w:t xml:space="preserve"> як співвідношення між спільним зв’язком </w:t>
      </w:r>
      <w:r w:rsidRPr="005D1B01">
        <w:rPr>
          <w:rFonts w:ascii="Times New Roman" w:hAnsi="Times New Roman" w:cs="Times New Roman"/>
          <w:sz w:val="28"/>
          <w:szCs w:val="28"/>
          <w:lang w:val="uk-UA"/>
        </w:rPr>
        <w:t xml:space="preserve">[21]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загальна кількість разів, коли будь-яка пара значень успіху в кар’єрі була згрупована разом більшістю або респондентами в країні </w:t>
      </w:r>
      <w:r w:rsidR="002C3DBA">
        <w:rPr>
          <w:rFonts w:ascii="Times New Roman" w:hAnsi="Times New Roman" w:cs="Times New Roman"/>
          <w:sz w:val="28"/>
          <w:szCs w:val="28"/>
          <w:lang w:val="uk-UA"/>
        </w:rPr>
        <w:t>–</w:t>
      </w:r>
      <w:r w:rsidRPr="00874DE7">
        <w:rPr>
          <w:rFonts w:ascii="Times New Roman" w:hAnsi="Times New Roman" w:cs="Times New Roman"/>
          <w:sz w:val="28"/>
          <w:szCs w:val="28"/>
          <w:lang w:val="uk-UA"/>
        </w:rPr>
        <w:t xml:space="preserve"> та загальним зв’язком.</w:t>
      </w:r>
    </w:p>
    <w:p w14:paraId="481D5686" w14:textId="166AAC9A" w:rsidR="00571B42"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визначення </w:t>
      </w:r>
      <w:r w:rsidRPr="00874DE7">
        <w:rPr>
          <w:rFonts w:ascii="Times New Roman" w:hAnsi="Times New Roman" w:cs="Times New Roman"/>
          <w:sz w:val="28"/>
          <w:szCs w:val="28"/>
          <w:lang w:val="uk-UA"/>
        </w:rPr>
        <w:t>конфігурації контекстуальних факторів</w:t>
      </w:r>
      <w:r>
        <w:rPr>
          <w:rFonts w:ascii="Times New Roman" w:hAnsi="Times New Roman" w:cs="Times New Roman"/>
          <w:sz w:val="28"/>
          <w:szCs w:val="28"/>
          <w:lang w:val="uk-UA"/>
        </w:rPr>
        <w:t>, які</w:t>
      </w:r>
      <w:r w:rsidRPr="00874DE7">
        <w:rPr>
          <w:rFonts w:ascii="Times New Roman" w:hAnsi="Times New Roman" w:cs="Times New Roman"/>
          <w:sz w:val="28"/>
          <w:szCs w:val="28"/>
          <w:lang w:val="uk-UA"/>
        </w:rPr>
        <w:t xml:space="preserve"> пов’язані з наявністю та відсутністю складності та конвергенції схеми кар’єрного успіху на рівні країни, а також конфігурації</w:t>
      </w:r>
      <w:r>
        <w:rPr>
          <w:rFonts w:ascii="Times New Roman" w:hAnsi="Times New Roman" w:cs="Times New Roman"/>
          <w:sz w:val="28"/>
          <w:szCs w:val="28"/>
          <w:lang w:val="uk-UA"/>
        </w:rPr>
        <w:t>, яка</w:t>
      </w:r>
      <w:r w:rsidRPr="00874DE7">
        <w:rPr>
          <w:rFonts w:ascii="Times New Roman" w:hAnsi="Times New Roman" w:cs="Times New Roman"/>
          <w:sz w:val="28"/>
          <w:szCs w:val="28"/>
          <w:lang w:val="uk-UA"/>
        </w:rPr>
        <w:t xml:space="preserve"> стосуються конкретних архетипів у таксономії</w:t>
      </w:r>
      <w:r>
        <w:rPr>
          <w:rFonts w:ascii="Times New Roman" w:hAnsi="Times New Roman" w:cs="Times New Roman"/>
          <w:sz w:val="28"/>
          <w:szCs w:val="28"/>
          <w:lang w:val="uk-UA"/>
        </w:rPr>
        <w:t xml:space="preserve">, доцільно використати </w:t>
      </w:r>
      <w:r w:rsidRPr="00874DE7">
        <w:rPr>
          <w:rFonts w:ascii="Times New Roman" w:hAnsi="Times New Roman" w:cs="Times New Roman"/>
          <w:sz w:val="28"/>
          <w:szCs w:val="28"/>
          <w:lang w:val="uk-UA"/>
        </w:rPr>
        <w:t xml:space="preserve">QCA. Першим кроком у QCA є визначення наборів, що представляють результати (тобто країни з наявністю та відсутністю високої складності та конвергенції схеми успіху в кар’єрі) та причинні умови (тобто країни з високим рівнем відповідних контекстуальних факторів). Набори </w:t>
      </w:r>
      <w:r>
        <w:rPr>
          <w:rFonts w:ascii="Times New Roman" w:hAnsi="Times New Roman" w:cs="Times New Roman"/>
          <w:sz w:val="28"/>
          <w:szCs w:val="28"/>
          <w:lang w:val="uk-UA"/>
        </w:rPr>
        <w:t xml:space="preserve">доцільно </w:t>
      </w:r>
      <w:r w:rsidRPr="00874DE7">
        <w:rPr>
          <w:rFonts w:ascii="Times New Roman" w:hAnsi="Times New Roman" w:cs="Times New Roman"/>
          <w:sz w:val="28"/>
          <w:szCs w:val="28"/>
          <w:lang w:val="uk-UA"/>
        </w:rPr>
        <w:t>визнач</w:t>
      </w:r>
      <w:r>
        <w:rPr>
          <w:rFonts w:ascii="Times New Roman" w:hAnsi="Times New Roman" w:cs="Times New Roman"/>
          <w:sz w:val="28"/>
          <w:szCs w:val="28"/>
          <w:lang w:val="uk-UA"/>
        </w:rPr>
        <w:t>ати</w:t>
      </w:r>
      <w:r w:rsidRPr="00874DE7">
        <w:rPr>
          <w:rFonts w:ascii="Times New Roman" w:hAnsi="Times New Roman" w:cs="Times New Roman"/>
          <w:sz w:val="28"/>
          <w:szCs w:val="28"/>
          <w:lang w:val="uk-UA"/>
        </w:rPr>
        <w:t xml:space="preserve"> за допомогою калібрування, де теоретичні та емпіричні знання використовувалися для встановлення порогових значень для чіткого QCA (тобто типу QCA, який працює з бінарними змінними</w:t>
      </w:r>
      <w:r w:rsidRPr="005D1B01">
        <w:rPr>
          <w:rFonts w:ascii="Times New Roman" w:hAnsi="Times New Roman" w:cs="Times New Roman"/>
          <w:sz w:val="28"/>
          <w:szCs w:val="28"/>
          <w:lang w:val="uk-UA"/>
        </w:rPr>
        <w:t>) [30</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54]</w:t>
      </w:r>
      <w:r w:rsidRPr="00874DE7">
        <w:rPr>
          <w:rFonts w:ascii="Times New Roman" w:hAnsi="Times New Roman" w:cs="Times New Roman"/>
          <w:sz w:val="28"/>
          <w:szCs w:val="28"/>
          <w:lang w:val="uk-UA"/>
        </w:rPr>
        <w:t xml:space="preserve">. </w:t>
      </w:r>
      <w:r w:rsidRPr="00C469C9">
        <w:rPr>
          <w:rFonts w:ascii="Times New Roman" w:hAnsi="Times New Roman" w:cs="Times New Roman"/>
          <w:sz w:val="28"/>
          <w:szCs w:val="28"/>
          <w:lang w:val="uk-UA"/>
        </w:rPr>
        <w:t xml:space="preserve">Результати та умови </w:t>
      </w:r>
      <w:r>
        <w:rPr>
          <w:rFonts w:ascii="Times New Roman" w:hAnsi="Times New Roman" w:cs="Times New Roman"/>
          <w:sz w:val="28"/>
          <w:szCs w:val="28"/>
          <w:lang w:val="uk-UA"/>
        </w:rPr>
        <w:t>доцільно поділити</w:t>
      </w:r>
      <w:r w:rsidRPr="00C469C9">
        <w:rPr>
          <w:rFonts w:ascii="Times New Roman" w:hAnsi="Times New Roman" w:cs="Times New Roman"/>
          <w:sz w:val="28"/>
          <w:szCs w:val="28"/>
          <w:lang w:val="uk-UA"/>
        </w:rPr>
        <w:t>, що призве</w:t>
      </w:r>
      <w:r>
        <w:rPr>
          <w:rFonts w:ascii="Times New Roman" w:hAnsi="Times New Roman" w:cs="Times New Roman"/>
          <w:sz w:val="28"/>
          <w:szCs w:val="28"/>
          <w:lang w:val="uk-UA"/>
        </w:rPr>
        <w:t>де</w:t>
      </w:r>
      <w:r w:rsidRPr="00C469C9">
        <w:rPr>
          <w:rFonts w:ascii="Times New Roman" w:hAnsi="Times New Roman" w:cs="Times New Roman"/>
          <w:sz w:val="28"/>
          <w:szCs w:val="28"/>
          <w:lang w:val="uk-UA"/>
        </w:rPr>
        <w:t xml:space="preserve"> до </w:t>
      </w:r>
      <w:r>
        <w:rPr>
          <w:rFonts w:ascii="Times New Roman" w:hAnsi="Times New Roman" w:cs="Times New Roman"/>
          <w:sz w:val="28"/>
          <w:szCs w:val="28"/>
          <w:lang w:val="uk-UA"/>
        </w:rPr>
        <w:t xml:space="preserve">створення </w:t>
      </w:r>
      <w:r w:rsidRPr="00C469C9">
        <w:rPr>
          <w:rFonts w:ascii="Times New Roman" w:hAnsi="Times New Roman" w:cs="Times New Roman"/>
          <w:sz w:val="28"/>
          <w:szCs w:val="28"/>
          <w:lang w:val="uk-UA"/>
        </w:rPr>
        <w:t xml:space="preserve">підгруп випадків (країн) вище порогу або виконання заданої умови для визначення як членів групи, і нижче порогу (або невиконання заданої умови) як не-членів. Членство країни для результатів (складності та конвергенції) </w:t>
      </w:r>
      <w:r>
        <w:rPr>
          <w:rFonts w:ascii="Times New Roman" w:hAnsi="Times New Roman" w:cs="Times New Roman"/>
          <w:sz w:val="28"/>
          <w:szCs w:val="28"/>
          <w:lang w:val="uk-UA"/>
        </w:rPr>
        <w:t>можна</w:t>
      </w:r>
      <w:r w:rsidRPr="00C469C9">
        <w:rPr>
          <w:rFonts w:ascii="Times New Roman" w:hAnsi="Times New Roman" w:cs="Times New Roman"/>
          <w:sz w:val="28"/>
          <w:szCs w:val="28"/>
          <w:lang w:val="uk-UA"/>
        </w:rPr>
        <w:t xml:space="preserve"> отрима</w:t>
      </w:r>
      <w:r>
        <w:rPr>
          <w:rFonts w:ascii="Times New Roman" w:hAnsi="Times New Roman" w:cs="Times New Roman"/>
          <w:sz w:val="28"/>
          <w:szCs w:val="28"/>
          <w:lang w:val="uk-UA"/>
        </w:rPr>
        <w:t>ти</w:t>
      </w:r>
      <w:r w:rsidRPr="00C469C9">
        <w:rPr>
          <w:rFonts w:ascii="Times New Roman" w:hAnsi="Times New Roman" w:cs="Times New Roman"/>
          <w:sz w:val="28"/>
          <w:szCs w:val="28"/>
          <w:lang w:val="uk-UA"/>
        </w:rPr>
        <w:t xml:space="preserve"> з порівняльного дослідження когнітивного картування, тоді як членство кра</w:t>
      </w:r>
      <w:r>
        <w:rPr>
          <w:rFonts w:ascii="Times New Roman" w:hAnsi="Times New Roman" w:cs="Times New Roman"/>
          <w:sz w:val="28"/>
          <w:szCs w:val="28"/>
          <w:lang w:val="uk-UA"/>
        </w:rPr>
        <w:t>їни для інституційних умов базується</w:t>
      </w:r>
      <w:r w:rsidRPr="00C469C9">
        <w:rPr>
          <w:rFonts w:ascii="Times New Roman" w:hAnsi="Times New Roman" w:cs="Times New Roman"/>
          <w:sz w:val="28"/>
          <w:szCs w:val="28"/>
          <w:lang w:val="uk-UA"/>
        </w:rPr>
        <w:t xml:space="preserve"> на загальнодоступних вторинних даних за рік збору даних або найближчий доступний рік до цього року. </w:t>
      </w:r>
    </w:p>
    <w:p w14:paraId="288D2F5E"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874DE7">
        <w:rPr>
          <w:rFonts w:ascii="Times New Roman" w:hAnsi="Times New Roman" w:cs="Times New Roman"/>
          <w:sz w:val="28"/>
          <w:szCs w:val="28"/>
          <w:lang w:val="uk-UA"/>
        </w:rPr>
        <w:t>Загальний розвиток країни вимірю</w:t>
      </w:r>
      <w:r>
        <w:rPr>
          <w:rFonts w:ascii="Times New Roman" w:hAnsi="Times New Roman" w:cs="Times New Roman"/>
          <w:sz w:val="28"/>
          <w:szCs w:val="28"/>
          <w:lang w:val="uk-UA"/>
        </w:rPr>
        <w:t>ється</w:t>
      </w:r>
      <w:r w:rsidRPr="00874DE7">
        <w:rPr>
          <w:rFonts w:ascii="Times New Roman" w:hAnsi="Times New Roman" w:cs="Times New Roman"/>
          <w:sz w:val="28"/>
          <w:szCs w:val="28"/>
          <w:lang w:val="uk-UA"/>
        </w:rPr>
        <w:t xml:space="preserve"> Індексом людського розвитку ЮНЕСКО (ІЛР). ІЛР є надійним індексом, який охоплює очікувану тривалість життя при народженні, очікувані роки навчання, середні роки навчання для дорослих у віці 25 років і рівень життя (валовий національний дохід на душу населення). Гнучкість ринку праці вимірю</w:t>
      </w:r>
      <w:r>
        <w:rPr>
          <w:rFonts w:ascii="Times New Roman" w:hAnsi="Times New Roman" w:cs="Times New Roman"/>
          <w:sz w:val="28"/>
          <w:szCs w:val="28"/>
          <w:lang w:val="uk-UA"/>
        </w:rPr>
        <w:t>ється</w:t>
      </w:r>
      <w:r w:rsidRPr="00874DE7">
        <w:rPr>
          <w:rFonts w:ascii="Times New Roman" w:hAnsi="Times New Roman" w:cs="Times New Roman"/>
          <w:sz w:val="28"/>
          <w:szCs w:val="28"/>
          <w:lang w:val="uk-UA"/>
        </w:rPr>
        <w:t xml:space="preserve"> за допомогою індексу суворості захисту зайнятості Організації економічного співробітництва та розвитку (ОЕСР). Середнє глобальне значення цього показника (2,084) </w:t>
      </w:r>
      <w:r>
        <w:rPr>
          <w:rFonts w:ascii="Times New Roman" w:hAnsi="Times New Roman" w:cs="Times New Roman"/>
          <w:sz w:val="28"/>
          <w:szCs w:val="28"/>
          <w:lang w:val="uk-UA"/>
        </w:rPr>
        <w:t>доцільно</w:t>
      </w:r>
      <w:r w:rsidRPr="00874DE7">
        <w:rPr>
          <w:rFonts w:ascii="Times New Roman" w:hAnsi="Times New Roman" w:cs="Times New Roman"/>
          <w:sz w:val="28"/>
          <w:szCs w:val="28"/>
          <w:lang w:val="uk-UA"/>
        </w:rPr>
        <w:t xml:space="preserve"> використа</w:t>
      </w:r>
      <w:r>
        <w:rPr>
          <w:rFonts w:ascii="Times New Roman" w:hAnsi="Times New Roman" w:cs="Times New Roman"/>
          <w:sz w:val="28"/>
          <w:szCs w:val="28"/>
          <w:lang w:val="uk-UA"/>
        </w:rPr>
        <w:t>ти</w:t>
      </w:r>
      <w:r w:rsidRPr="00874DE7">
        <w:rPr>
          <w:rFonts w:ascii="Times New Roman" w:hAnsi="Times New Roman" w:cs="Times New Roman"/>
          <w:sz w:val="28"/>
          <w:szCs w:val="28"/>
          <w:lang w:val="uk-UA"/>
        </w:rPr>
        <w:t xml:space="preserve"> як порогове значення для визначення членства країни. </w:t>
      </w:r>
      <w:r w:rsidRPr="005F612C">
        <w:rPr>
          <w:rFonts w:ascii="Times New Roman" w:hAnsi="Times New Roman" w:cs="Times New Roman"/>
          <w:sz w:val="28"/>
          <w:szCs w:val="28"/>
          <w:lang w:val="uk-UA"/>
        </w:rPr>
        <w:t xml:space="preserve">Стандартизацію освітньої системи </w:t>
      </w:r>
      <w:r>
        <w:rPr>
          <w:rFonts w:ascii="Times New Roman" w:hAnsi="Times New Roman" w:cs="Times New Roman"/>
          <w:sz w:val="28"/>
          <w:szCs w:val="28"/>
          <w:lang w:val="uk-UA"/>
        </w:rPr>
        <w:t xml:space="preserve">доцільно </w:t>
      </w:r>
      <w:r w:rsidRPr="005F612C">
        <w:rPr>
          <w:rFonts w:ascii="Times New Roman" w:hAnsi="Times New Roman" w:cs="Times New Roman"/>
          <w:sz w:val="28"/>
          <w:szCs w:val="28"/>
          <w:lang w:val="uk-UA"/>
        </w:rPr>
        <w:t>вимірюва</w:t>
      </w:r>
      <w:r>
        <w:rPr>
          <w:rFonts w:ascii="Times New Roman" w:hAnsi="Times New Roman" w:cs="Times New Roman"/>
          <w:sz w:val="28"/>
          <w:szCs w:val="28"/>
          <w:lang w:val="uk-UA"/>
        </w:rPr>
        <w:t>т</w:t>
      </w:r>
      <w:r w:rsidRPr="005F612C">
        <w:rPr>
          <w:rFonts w:ascii="Times New Roman" w:hAnsi="Times New Roman" w:cs="Times New Roman"/>
          <w:sz w:val="28"/>
          <w:szCs w:val="28"/>
          <w:lang w:val="uk-UA"/>
        </w:rPr>
        <w:t xml:space="preserve">и за допомогою </w:t>
      </w:r>
      <w:r w:rsidRPr="005F612C">
        <w:rPr>
          <w:rFonts w:ascii="Times New Roman" w:hAnsi="Times New Roman" w:cs="Times New Roman"/>
          <w:sz w:val="28"/>
          <w:szCs w:val="28"/>
          <w:lang w:val="uk-UA"/>
        </w:rPr>
        <w:lastRenderedPageBreak/>
        <w:t xml:space="preserve">факторних балів показників стандартизації вхідних ресурсів освітніх систем (тобто, наскільки </w:t>
      </w:r>
      <w:r>
        <w:rPr>
          <w:rFonts w:ascii="Times New Roman" w:hAnsi="Times New Roman" w:cs="Times New Roman"/>
          <w:sz w:val="28"/>
          <w:szCs w:val="28"/>
          <w:lang w:val="uk-UA"/>
        </w:rPr>
        <w:t>заклади вищої освіти</w:t>
      </w:r>
      <w:r w:rsidRPr="005F612C">
        <w:rPr>
          <w:rFonts w:ascii="Times New Roman" w:hAnsi="Times New Roman" w:cs="Times New Roman"/>
          <w:sz w:val="28"/>
          <w:szCs w:val="28"/>
          <w:lang w:val="uk-UA"/>
        </w:rPr>
        <w:t xml:space="preserve"> автономні у виборі </w:t>
      </w:r>
      <w:r>
        <w:rPr>
          <w:rFonts w:ascii="Times New Roman" w:hAnsi="Times New Roman" w:cs="Times New Roman"/>
          <w:sz w:val="28"/>
          <w:szCs w:val="28"/>
          <w:lang w:val="uk-UA"/>
        </w:rPr>
        <w:t>навчальних посібників</w:t>
      </w:r>
      <w:r w:rsidRPr="005F612C">
        <w:rPr>
          <w:rFonts w:ascii="Times New Roman" w:hAnsi="Times New Roman" w:cs="Times New Roman"/>
          <w:sz w:val="28"/>
          <w:szCs w:val="28"/>
          <w:lang w:val="uk-UA"/>
        </w:rPr>
        <w:t>, визначенні змісту курсу та пропозиції курсів</w:t>
      </w:r>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[58]</w:t>
      </w:r>
      <w:r w:rsidRPr="00874DE7">
        <w:rPr>
          <w:rFonts w:ascii="Times New Roman" w:hAnsi="Times New Roman" w:cs="Times New Roman"/>
          <w:sz w:val="28"/>
          <w:szCs w:val="28"/>
          <w:lang w:val="uk-UA"/>
        </w:rPr>
        <w:t xml:space="preserve">. </w:t>
      </w:r>
      <w:r w:rsidRPr="005F612C">
        <w:rPr>
          <w:rFonts w:ascii="Times New Roman" w:hAnsi="Times New Roman" w:cs="Times New Roman"/>
          <w:sz w:val="28"/>
          <w:szCs w:val="28"/>
          <w:lang w:val="uk-UA"/>
        </w:rPr>
        <w:t xml:space="preserve">Дані для цього показника </w:t>
      </w:r>
      <w:r>
        <w:rPr>
          <w:rFonts w:ascii="Times New Roman" w:hAnsi="Times New Roman" w:cs="Times New Roman"/>
          <w:sz w:val="28"/>
          <w:szCs w:val="28"/>
          <w:lang w:val="uk-UA"/>
        </w:rPr>
        <w:t>доцільно зібрати</w:t>
      </w:r>
      <w:r w:rsidRPr="005F612C">
        <w:rPr>
          <w:rFonts w:ascii="Times New Roman" w:hAnsi="Times New Roman" w:cs="Times New Roman"/>
          <w:sz w:val="28"/>
          <w:szCs w:val="28"/>
          <w:lang w:val="uk-UA"/>
        </w:rPr>
        <w:t xml:space="preserve"> в рамках Програми ОЕСР для міжнародного оцінювання студентів. Порогове значення для фактор</w:t>
      </w:r>
      <w:r>
        <w:rPr>
          <w:rFonts w:ascii="Times New Roman" w:hAnsi="Times New Roman" w:cs="Times New Roman"/>
          <w:sz w:val="28"/>
          <w:szCs w:val="28"/>
          <w:lang w:val="uk-UA"/>
        </w:rPr>
        <w:t>у</w:t>
      </w:r>
      <w:r w:rsidRPr="005F612C">
        <w:rPr>
          <w:rFonts w:ascii="Times New Roman" w:hAnsi="Times New Roman" w:cs="Times New Roman"/>
          <w:sz w:val="28"/>
          <w:szCs w:val="28"/>
          <w:lang w:val="uk-UA"/>
        </w:rPr>
        <w:t xml:space="preserve"> </w:t>
      </w:r>
      <w:r>
        <w:rPr>
          <w:rFonts w:ascii="Times New Roman" w:hAnsi="Times New Roman" w:cs="Times New Roman"/>
          <w:sz w:val="28"/>
          <w:szCs w:val="28"/>
          <w:lang w:val="uk-UA"/>
        </w:rPr>
        <w:t>зазвичай встановлюють</w:t>
      </w:r>
      <w:r w:rsidRPr="005F612C">
        <w:rPr>
          <w:rFonts w:ascii="Times New Roman" w:hAnsi="Times New Roman" w:cs="Times New Roman"/>
          <w:sz w:val="28"/>
          <w:szCs w:val="28"/>
          <w:lang w:val="uk-UA"/>
        </w:rPr>
        <w:t xml:space="preserve"> на рівні 1,00. Оцінки для Китаю, Індії та Нігерії </w:t>
      </w:r>
      <w:r>
        <w:rPr>
          <w:rFonts w:ascii="Times New Roman" w:hAnsi="Times New Roman" w:cs="Times New Roman"/>
          <w:sz w:val="28"/>
          <w:szCs w:val="28"/>
          <w:lang w:val="uk-UA"/>
        </w:rPr>
        <w:t>можна</w:t>
      </w:r>
      <w:r w:rsidRPr="005F612C">
        <w:rPr>
          <w:rFonts w:ascii="Times New Roman" w:hAnsi="Times New Roman" w:cs="Times New Roman"/>
          <w:sz w:val="28"/>
          <w:szCs w:val="28"/>
          <w:lang w:val="uk-UA"/>
        </w:rPr>
        <w:t xml:space="preserve"> визнач</w:t>
      </w:r>
      <w:r>
        <w:rPr>
          <w:rFonts w:ascii="Times New Roman" w:hAnsi="Times New Roman" w:cs="Times New Roman"/>
          <w:sz w:val="28"/>
          <w:szCs w:val="28"/>
          <w:lang w:val="uk-UA"/>
        </w:rPr>
        <w:t>ати</w:t>
      </w:r>
      <w:r w:rsidRPr="005F612C">
        <w:rPr>
          <w:rFonts w:ascii="Times New Roman" w:hAnsi="Times New Roman" w:cs="Times New Roman"/>
          <w:sz w:val="28"/>
          <w:szCs w:val="28"/>
          <w:lang w:val="uk-UA"/>
        </w:rPr>
        <w:t xml:space="preserve"> на основі загальнодоступних описів їхніх освітніх систем і шляхом порівняння з країнами, які мають доступні дані. Отже, Китай і Нігерія (але не Індія) </w:t>
      </w:r>
      <w:r>
        <w:rPr>
          <w:rFonts w:ascii="Times New Roman" w:hAnsi="Times New Roman" w:cs="Times New Roman"/>
          <w:sz w:val="28"/>
          <w:szCs w:val="28"/>
          <w:lang w:val="uk-UA"/>
        </w:rPr>
        <w:t>можуть бути</w:t>
      </w:r>
      <w:r w:rsidRPr="005F612C">
        <w:rPr>
          <w:rFonts w:ascii="Times New Roman" w:hAnsi="Times New Roman" w:cs="Times New Roman"/>
          <w:sz w:val="28"/>
          <w:szCs w:val="28"/>
          <w:lang w:val="uk-UA"/>
        </w:rPr>
        <w:t xml:space="preserve"> класифіковані як країни з високо станда</w:t>
      </w:r>
      <w:r>
        <w:rPr>
          <w:rFonts w:ascii="Times New Roman" w:hAnsi="Times New Roman" w:cs="Times New Roman"/>
          <w:sz w:val="28"/>
          <w:szCs w:val="28"/>
          <w:lang w:val="uk-UA"/>
        </w:rPr>
        <w:t xml:space="preserve">ртизованими освітніми системами </w:t>
      </w:r>
      <w:r w:rsidRPr="005D1B01">
        <w:rPr>
          <w:rFonts w:ascii="Times New Roman" w:hAnsi="Times New Roman" w:cs="Times New Roman"/>
          <w:sz w:val="28"/>
          <w:szCs w:val="28"/>
        </w:rPr>
        <w:t>[</w:t>
      </w:r>
      <w:r>
        <w:rPr>
          <w:rFonts w:ascii="Times New Roman" w:hAnsi="Times New Roman" w:cs="Times New Roman"/>
          <w:sz w:val="28"/>
          <w:szCs w:val="28"/>
        </w:rPr>
        <w:t>5</w:t>
      </w:r>
      <w:r>
        <w:rPr>
          <w:rFonts w:ascii="Times New Roman" w:hAnsi="Times New Roman" w:cs="Times New Roman"/>
          <w:sz w:val="28"/>
          <w:szCs w:val="28"/>
          <w:lang w:val="uk-UA"/>
        </w:rPr>
        <w:t>9</w:t>
      </w:r>
      <w:r w:rsidRPr="005D1B01">
        <w:rPr>
          <w:rFonts w:ascii="Times New Roman" w:hAnsi="Times New Roman" w:cs="Times New Roman"/>
          <w:sz w:val="28"/>
          <w:szCs w:val="28"/>
        </w:rPr>
        <w:t>]</w:t>
      </w:r>
      <w:r w:rsidRPr="00874DE7">
        <w:rPr>
          <w:rFonts w:ascii="Times New Roman" w:hAnsi="Times New Roman" w:cs="Times New Roman"/>
          <w:sz w:val="28"/>
          <w:szCs w:val="28"/>
          <w:lang w:val="uk-UA"/>
        </w:rPr>
        <w:t>.</w:t>
      </w:r>
    </w:p>
    <w:p w14:paraId="4B5EF713" w14:textId="77777777" w:rsidR="00571B42" w:rsidRPr="005F612C" w:rsidRDefault="00571B42" w:rsidP="00571B42">
      <w:pPr>
        <w:spacing w:after="0" w:line="360" w:lineRule="auto"/>
        <w:ind w:firstLine="720"/>
        <w:jc w:val="both"/>
        <w:rPr>
          <w:rFonts w:ascii="Times New Roman" w:hAnsi="Times New Roman" w:cs="Times New Roman"/>
          <w:sz w:val="28"/>
          <w:szCs w:val="28"/>
          <w:lang w:val="uk-UA"/>
        </w:rPr>
      </w:pPr>
      <w:r w:rsidRPr="005F612C">
        <w:rPr>
          <w:rFonts w:ascii="Times New Roman" w:hAnsi="Times New Roman" w:cs="Times New Roman"/>
          <w:sz w:val="28"/>
          <w:szCs w:val="28"/>
          <w:lang w:val="uk-UA"/>
        </w:rPr>
        <w:t xml:space="preserve">Цінності для трьох культурних вимірів (тобто індивідуалізм, </w:t>
      </w:r>
      <w:proofErr w:type="spellStart"/>
      <w:r w:rsidRPr="005F612C">
        <w:rPr>
          <w:rFonts w:ascii="Times New Roman" w:hAnsi="Times New Roman" w:cs="Times New Roman"/>
          <w:sz w:val="28"/>
          <w:szCs w:val="28"/>
          <w:lang w:val="uk-UA"/>
        </w:rPr>
        <w:t>маскулінність</w:t>
      </w:r>
      <w:proofErr w:type="spellEnd"/>
      <w:r w:rsidRPr="005F612C">
        <w:rPr>
          <w:rFonts w:ascii="Times New Roman" w:hAnsi="Times New Roman" w:cs="Times New Roman"/>
          <w:sz w:val="28"/>
          <w:szCs w:val="28"/>
          <w:lang w:val="uk-UA"/>
        </w:rPr>
        <w:t xml:space="preserve"> і дистанція влади) </w:t>
      </w:r>
      <w:r>
        <w:rPr>
          <w:rFonts w:ascii="Times New Roman" w:hAnsi="Times New Roman" w:cs="Times New Roman"/>
          <w:sz w:val="28"/>
          <w:szCs w:val="28"/>
          <w:lang w:val="uk-UA"/>
        </w:rPr>
        <w:t xml:space="preserve">мають </w:t>
      </w:r>
      <w:r w:rsidRPr="005F612C">
        <w:rPr>
          <w:rFonts w:ascii="Times New Roman" w:hAnsi="Times New Roman" w:cs="Times New Roman"/>
          <w:sz w:val="28"/>
          <w:szCs w:val="28"/>
          <w:lang w:val="uk-UA"/>
        </w:rPr>
        <w:t>базува</w:t>
      </w:r>
      <w:r>
        <w:rPr>
          <w:rFonts w:ascii="Times New Roman" w:hAnsi="Times New Roman" w:cs="Times New Roman"/>
          <w:sz w:val="28"/>
          <w:szCs w:val="28"/>
          <w:lang w:val="uk-UA"/>
        </w:rPr>
        <w:t>т</w:t>
      </w:r>
      <w:r w:rsidRPr="005F612C">
        <w:rPr>
          <w:rFonts w:ascii="Times New Roman" w:hAnsi="Times New Roman" w:cs="Times New Roman"/>
          <w:sz w:val="28"/>
          <w:szCs w:val="28"/>
          <w:lang w:val="uk-UA"/>
        </w:rPr>
        <w:t xml:space="preserve">ися на загальнодоступних балах для кожної країни. </w:t>
      </w:r>
      <w:r>
        <w:rPr>
          <w:rFonts w:ascii="Times New Roman" w:hAnsi="Times New Roman" w:cs="Times New Roman"/>
          <w:sz w:val="28"/>
          <w:szCs w:val="28"/>
          <w:lang w:val="uk-UA"/>
        </w:rPr>
        <w:t xml:space="preserve">З цією метою можуть бути </w:t>
      </w:r>
      <w:r w:rsidRPr="005F612C">
        <w:rPr>
          <w:rFonts w:ascii="Times New Roman" w:hAnsi="Times New Roman" w:cs="Times New Roman"/>
          <w:sz w:val="28"/>
          <w:szCs w:val="28"/>
          <w:lang w:val="uk-UA"/>
        </w:rPr>
        <w:t>використа</w:t>
      </w:r>
      <w:r>
        <w:rPr>
          <w:rFonts w:ascii="Times New Roman" w:hAnsi="Times New Roman" w:cs="Times New Roman"/>
          <w:sz w:val="28"/>
          <w:szCs w:val="28"/>
          <w:lang w:val="uk-UA"/>
        </w:rPr>
        <w:t>ні</w:t>
      </w:r>
      <w:r w:rsidRPr="005F612C">
        <w:rPr>
          <w:rFonts w:ascii="Times New Roman" w:hAnsi="Times New Roman" w:cs="Times New Roman"/>
          <w:sz w:val="28"/>
          <w:szCs w:val="28"/>
          <w:lang w:val="uk-UA"/>
        </w:rPr>
        <w:t xml:space="preserve"> оцінки культурних показників через скупість культурних аспектів, доступність даних для всіх країн у вибірці та заздалегідь визначені глобальні порогові значення. Відповідно до цих порогів членство країни </w:t>
      </w:r>
      <w:r>
        <w:rPr>
          <w:rFonts w:ascii="Times New Roman" w:hAnsi="Times New Roman" w:cs="Times New Roman"/>
          <w:sz w:val="28"/>
          <w:szCs w:val="28"/>
          <w:lang w:val="uk-UA"/>
        </w:rPr>
        <w:t>може бути</w:t>
      </w:r>
      <w:r w:rsidRPr="005F612C">
        <w:rPr>
          <w:rFonts w:ascii="Times New Roman" w:hAnsi="Times New Roman" w:cs="Times New Roman"/>
          <w:sz w:val="28"/>
          <w:szCs w:val="28"/>
          <w:lang w:val="uk-UA"/>
        </w:rPr>
        <w:t xml:space="preserve"> встановлено на основі критичного знач</w:t>
      </w:r>
      <w:r>
        <w:rPr>
          <w:rFonts w:ascii="Times New Roman" w:hAnsi="Times New Roman" w:cs="Times New Roman"/>
          <w:sz w:val="28"/>
          <w:szCs w:val="28"/>
          <w:lang w:val="uk-UA"/>
        </w:rPr>
        <w:t xml:space="preserve">ення 50 (за 100-бальною шкалою)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60</w:t>
      </w:r>
      <w:r w:rsidRPr="005D1B01">
        <w:rPr>
          <w:rFonts w:ascii="Times New Roman" w:hAnsi="Times New Roman" w:cs="Times New Roman"/>
          <w:sz w:val="28"/>
          <w:szCs w:val="28"/>
          <w:lang w:val="uk-UA"/>
        </w:rPr>
        <w:t>]</w:t>
      </w:r>
      <w:r w:rsidRPr="00874DE7">
        <w:rPr>
          <w:rFonts w:ascii="Times New Roman" w:hAnsi="Times New Roman" w:cs="Times New Roman"/>
          <w:sz w:val="28"/>
          <w:szCs w:val="28"/>
          <w:lang w:val="uk-UA"/>
        </w:rPr>
        <w:t>.</w:t>
      </w:r>
    </w:p>
    <w:p w14:paraId="15396A26"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5F612C">
        <w:rPr>
          <w:rFonts w:ascii="Times New Roman" w:hAnsi="Times New Roman" w:cs="Times New Roman"/>
          <w:sz w:val="28"/>
          <w:szCs w:val="28"/>
          <w:lang w:val="uk-UA"/>
        </w:rPr>
        <w:t xml:space="preserve">QCA базується на визначених </w:t>
      </w:r>
      <w:proofErr w:type="spellStart"/>
      <w:r w:rsidRPr="005F612C">
        <w:rPr>
          <w:rFonts w:ascii="Times New Roman" w:hAnsi="Times New Roman" w:cs="Times New Roman"/>
          <w:sz w:val="28"/>
          <w:szCs w:val="28"/>
          <w:lang w:val="uk-UA"/>
        </w:rPr>
        <w:t>членствах</w:t>
      </w:r>
      <w:proofErr w:type="spellEnd"/>
      <w:r w:rsidRPr="005F612C">
        <w:rPr>
          <w:rFonts w:ascii="Times New Roman" w:hAnsi="Times New Roman" w:cs="Times New Roman"/>
          <w:sz w:val="28"/>
          <w:szCs w:val="28"/>
          <w:lang w:val="uk-UA"/>
        </w:rPr>
        <w:t xml:space="preserve"> країни як для результатів, так і для інституційних факторів, щоб визначити, як різні конфігурації контекстуальних факторів призводять до наявності та відсутності кожної комбінації результатів. Конфігурації порівнюються та </w:t>
      </w:r>
      <w:proofErr w:type="spellStart"/>
      <w:r w:rsidRPr="005F612C">
        <w:rPr>
          <w:rFonts w:ascii="Times New Roman" w:hAnsi="Times New Roman" w:cs="Times New Roman"/>
          <w:sz w:val="28"/>
          <w:szCs w:val="28"/>
          <w:lang w:val="uk-UA"/>
        </w:rPr>
        <w:t>логічно</w:t>
      </w:r>
      <w:proofErr w:type="spellEnd"/>
      <w:r w:rsidRPr="005F612C">
        <w:rPr>
          <w:rFonts w:ascii="Times New Roman" w:hAnsi="Times New Roman" w:cs="Times New Roman"/>
          <w:sz w:val="28"/>
          <w:szCs w:val="28"/>
          <w:lang w:val="uk-UA"/>
        </w:rPr>
        <w:t xml:space="preserve"> спрощуються </w:t>
      </w:r>
      <w:r w:rsidRPr="005D1B01">
        <w:rPr>
          <w:rFonts w:ascii="Times New Roman" w:hAnsi="Times New Roman" w:cs="Times New Roman"/>
          <w:sz w:val="28"/>
          <w:szCs w:val="28"/>
        </w:rPr>
        <w:t>[</w:t>
      </w:r>
      <w:r>
        <w:rPr>
          <w:rFonts w:ascii="Times New Roman" w:hAnsi="Times New Roman" w:cs="Times New Roman"/>
          <w:sz w:val="28"/>
          <w:szCs w:val="28"/>
          <w:lang w:val="uk-UA"/>
        </w:rPr>
        <w:t>6</w:t>
      </w:r>
      <w:r w:rsidRPr="005D1B01">
        <w:rPr>
          <w:rFonts w:ascii="Times New Roman" w:hAnsi="Times New Roman" w:cs="Times New Roman"/>
          <w:sz w:val="28"/>
          <w:szCs w:val="28"/>
        </w:rPr>
        <w:t>1]</w:t>
      </w:r>
      <w:r w:rsidRPr="005F612C">
        <w:rPr>
          <w:rFonts w:ascii="Times New Roman" w:hAnsi="Times New Roman" w:cs="Times New Roman"/>
          <w:sz w:val="28"/>
          <w:szCs w:val="28"/>
          <w:lang w:val="uk-UA"/>
        </w:rPr>
        <w:t>, щоб визначити, які з них призводять до наявності, а які до відсутності результатів. Повторюємо, що QCA зосереджується не на перевірці значущості впливу окремих факторів на результати, а на виявленні конфігурацій факторів, які призводять до наявності та/або відсутності результатів.</w:t>
      </w:r>
    </w:p>
    <w:p w14:paraId="56A9E9E7" w14:textId="77777777" w:rsidR="00571B42" w:rsidRPr="00A40FA0" w:rsidRDefault="00571B42" w:rsidP="00571B42">
      <w:pPr>
        <w:spacing w:after="0" w:line="360" w:lineRule="auto"/>
        <w:ind w:firstLine="720"/>
        <w:jc w:val="both"/>
        <w:rPr>
          <w:rFonts w:ascii="Times New Roman" w:hAnsi="Times New Roman" w:cs="Times New Roman"/>
          <w:sz w:val="28"/>
          <w:szCs w:val="28"/>
          <w:lang w:val="uk-UA"/>
        </w:rPr>
      </w:pPr>
      <w:r w:rsidRPr="00A40FA0">
        <w:rPr>
          <w:rFonts w:ascii="Times New Roman" w:hAnsi="Times New Roman" w:cs="Times New Roman"/>
          <w:sz w:val="28"/>
          <w:szCs w:val="28"/>
          <w:lang w:val="uk-UA"/>
        </w:rPr>
        <w:t>Процедура когнітивного картування нада</w:t>
      </w:r>
      <w:r>
        <w:rPr>
          <w:rFonts w:ascii="Times New Roman" w:hAnsi="Times New Roman" w:cs="Times New Roman"/>
          <w:sz w:val="28"/>
          <w:szCs w:val="28"/>
          <w:lang w:val="uk-UA"/>
        </w:rPr>
        <w:t>є</w:t>
      </w:r>
      <w:r w:rsidRPr="00A40FA0">
        <w:rPr>
          <w:rFonts w:ascii="Times New Roman" w:hAnsi="Times New Roman" w:cs="Times New Roman"/>
          <w:sz w:val="28"/>
          <w:szCs w:val="28"/>
          <w:lang w:val="uk-UA"/>
        </w:rPr>
        <w:t xml:space="preserve"> вхідні дані для розрахунку балів складності та конвергенції між країнами. На основі розподілу балів </w:t>
      </w:r>
      <w:r>
        <w:rPr>
          <w:rFonts w:ascii="Times New Roman" w:hAnsi="Times New Roman" w:cs="Times New Roman"/>
          <w:sz w:val="28"/>
          <w:szCs w:val="28"/>
          <w:lang w:val="uk-UA"/>
        </w:rPr>
        <w:t xml:space="preserve">можна </w:t>
      </w:r>
      <w:r w:rsidRPr="00A40FA0">
        <w:rPr>
          <w:rFonts w:ascii="Times New Roman" w:hAnsi="Times New Roman" w:cs="Times New Roman"/>
          <w:sz w:val="28"/>
          <w:szCs w:val="28"/>
          <w:lang w:val="uk-UA"/>
        </w:rPr>
        <w:t>визначи</w:t>
      </w:r>
      <w:r>
        <w:rPr>
          <w:rFonts w:ascii="Times New Roman" w:hAnsi="Times New Roman" w:cs="Times New Roman"/>
          <w:sz w:val="28"/>
          <w:szCs w:val="28"/>
          <w:lang w:val="uk-UA"/>
        </w:rPr>
        <w:t>т</w:t>
      </w:r>
      <w:r w:rsidRPr="00A40FA0">
        <w:rPr>
          <w:rFonts w:ascii="Times New Roman" w:hAnsi="Times New Roman" w:cs="Times New Roman"/>
          <w:sz w:val="28"/>
          <w:szCs w:val="28"/>
          <w:lang w:val="uk-UA"/>
        </w:rPr>
        <w:t xml:space="preserve">и порогове значення для обох показників </w:t>
      </w:r>
      <w:r w:rsidRPr="005D1B01">
        <w:rPr>
          <w:rFonts w:ascii="Times New Roman" w:hAnsi="Times New Roman" w:cs="Times New Roman"/>
          <w:sz w:val="28"/>
          <w:szCs w:val="28"/>
        </w:rPr>
        <w:t>[</w:t>
      </w:r>
      <w:r>
        <w:rPr>
          <w:rFonts w:ascii="Times New Roman" w:hAnsi="Times New Roman" w:cs="Times New Roman"/>
          <w:sz w:val="28"/>
          <w:szCs w:val="28"/>
          <w:lang w:val="uk-UA"/>
        </w:rPr>
        <w:t>6</w:t>
      </w:r>
      <w:r w:rsidRPr="005D1B01">
        <w:rPr>
          <w:rFonts w:ascii="Times New Roman" w:hAnsi="Times New Roman" w:cs="Times New Roman"/>
          <w:sz w:val="28"/>
          <w:szCs w:val="28"/>
        </w:rPr>
        <w:t>2]</w:t>
      </w:r>
      <w:r w:rsidRPr="00A40FA0">
        <w:rPr>
          <w:rFonts w:ascii="Times New Roman" w:hAnsi="Times New Roman" w:cs="Times New Roman"/>
          <w:sz w:val="28"/>
          <w:szCs w:val="28"/>
          <w:lang w:val="uk-UA"/>
        </w:rPr>
        <w:t xml:space="preserve">. Виходячи з одиниць вимірювання для </w:t>
      </w:r>
      <w:r>
        <w:rPr>
          <w:rFonts w:ascii="Times New Roman" w:hAnsi="Times New Roman" w:cs="Times New Roman"/>
          <w:sz w:val="28"/>
          <w:szCs w:val="28"/>
          <w:lang w:val="uk-UA"/>
        </w:rPr>
        <w:t>цього розміру, поріг складності доцільно</w:t>
      </w:r>
      <w:r w:rsidRPr="00A40FA0">
        <w:rPr>
          <w:rFonts w:ascii="Times New Roman" w:hAnsi="Times New Roman" w:cs="Times New Roman"/>
          <w:sz w:val="28"/>
          <w:szCs w:val="28"/>
          <w:lang w:val="uk-UA"/>
        </w:rPr>
        <w:t xml:space="preserve"> встанов</w:t>
      </w:r>
      <w:r>
        <w:rPr>
          <w:rFonts w:ascii="Times New Roman" w:hAnsi="Times New Roman" w:cs="Times New Roman"/>
          <w:sz w:val="28"/>
          <w:szCs w:val="28"/>
          <w:lang w:val="uk-UA"/>
        </w:rPr>
        <w:t>ити</w:t>
      </w:r>
      <w:r w:rsidRPr="00A40FA0">
        <w:rPr>
          <w:rFonts w:ascii="Times New Roman" w:hAnsi="Times New Roman" w:cs="Times New Roman"/>
          <w:sz w:val="28"/>
          <w:szCs w:val="28"/>
          <w:lang w:val="uk-UA"/>
        </w:rPr>
        <w:t xml:space="preserve"> на рівні 75 000; в результаті Бельгія, США, Італія, Франція, Норвегія, Словенія та Греція </w:t>
      </w:r>
      <w:r>
        <w:rPr>
          <w:rFonts w:ascii="Times New Roman" w:hAnsi="Times New Roman" w:cs="Times New Roman"/>
          <w:sz w:val="28"/>
          <w:szCs w:val="28"/>
          <w:lang w:val="uk-UA"/>
        </w:rPr>
        <w:t>можуть бути</w:t>
      </w:r>
      <w:r w:rsidRPr="00A40FA0">
        <w:rPr>
          <w:rFonts w:ascii="Times New Roman" w:hAnsi="Times New Roman" w:cs="Times New Roman"/>
          <w:sz w:val="28"/>
          <w:szCs w:val="28"/>
          <w:lang w:val="uk-UA"/>
        </w:rPr>
        <w:t xml:space="preserve"> класифіковані як члени кластера високої складності. Так само, на </w:t>
      </w:r>
      <w:r w:rsidRPr="00A40FA0">
        <w:rPr>
          <w:rFonts w:ascii="Times New Roman" w:hAnsi="Times New Roman" w:cs="Times New Roman"/>
          <w:sz w:val="28"/>
          <w:szCs w:val="28"/>
          <w:lang w:val="uk-UA"/>
        </w:rPr>
        <w:lastRenderedPageBreak/>
        <w:t xml:space="preserve">основі одиниць вимірювання збіжності схеми (коефіцієнта), порогове значення </w:t>
      </w:r>
      <w:r>
        <w:rPr>
          <w:rFonts w:ascii="Times New Roman" w:hAnsi="Times New Roman" w:cs="Times New Roman"/>
          <w:sz w:val="28"/>
          <w:szCs w:val="28"/>
          <w:lang w:val="uk-UA"/>
        </w:rPr>
        <w:t>можуть бути</w:t>
      </w:r>
      <w:r w:rsidRPr="00A40FA0">
        <w:rPr>
          <w:rFonts w:ascii="Times New Roman" w:hAnsi="Times New Roman" w:cs="Times New Roman"/>
          <w:sz w:val="28"/>
          <w:szCs w:val="28"/>
          <w:lang w:val="uk-UA"/>
        </w:rPr>
        <w:t xml:space="preserve"> встановлено на 0,15. У результаті Італія, Словенія, Південна Корея, Греція, Бельгія, Сполучені Штати та Норвегія </w:t>
      </w:r>
      <w:r>
        <w:rPr>
          <w:rFonts w:ascii="Times New Roman" w:hAnsi="Times New Roman" w:cs="Times New Roman"/>
          <w:sz w:val="28"/>
          <w:szCs w:val="28"/>
          <w:lang w:val="uk-UA"/>
        </w:rPr>
        <w:t>можуть бути</w:t>
      </w:r>
      <w:r w:rsidRPr="00A40FA0">
        <w:rPr>
          <w:rFonts w:ascii="Times New Roman" w:hAnsi="Times New Roman" w:cs="Times New Roman"/>
          <w:sz w:val="28"/>
          <w:szCs w:val="28"/>
          <w:lang w:val="uk-UA"/>
        </w:rPr>
        <w:t xml:space="preserve"> класифіковані як члени кластера з високою конвергенцією.</w:t>
      </w:r>
    </w:p>
    <w:p w14:paraId="4F7F224D"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A40FA0">
        <w:rPr>
          <w:rFonts w:ascii="Times New Roman" w:hAnsi="Times New Roman" w:cs="Times New Roman"/>
          <w:sz w:val="28"/>
          <w:szCs w:val="28"/>
          <w:lang w:val="uk-UA"/>
        </w:rPr>
        <w:t>Визначивши країни, що характеризуються високою складн</w:t>
      </w:r>
      <w:r>
        <w:rPr>
          <w:rFonts w:ascii="Times New Roman" w:hAnsi="Times New Roman" w:cs="Times New Roman"/>
          <w:sz w:val="28"/>
          <w:szCs w:val="28"/>
          <w:lang w:val="uk-UA"/>
        </w:rPr>
        <w:t>і</w:t>
      </w:r>
      <w:r w:rsidRPr="00A40FA0">
        <w:rPr>
          <w:rFonts w:ascii="Times New Roman" w:hAnsi="Times New Roman" w:cs="Times New Roman"/>
          <w:sz w:val="28"/>
          <w:szCs w:val="28"/>
          <w:lang w:val="uk-UA"/>
        </w:rPr>
        <w:t>ст</w:t>
      </w:r>
      <w:r>
        <w:rPr>
          <w:rFonts w:ascii="Times New Roman" w:hAnsi="Times New Roman" w:cs="Times New Roman"/>
          <w:sz w:val="28"/>
          <w:szCs w:val="28"/>
          <w:lang w:val="uk-UA"/>
        </w:rPr>
        <w:t>ю</w:t>
      </w:r>
      <w:r w:rsidRPr="00A40FA0">
        <w:rPr>
          <w:rFonts w:ascii="Times New Roman" w:hAnsi="Times New Roman" w:cs="Times New Roman"/>
          <w:sz w:val="28"/>
          <w:szCs w:val="28"/>
          <w:lang w:val="uk-UA"/>
        </w:rPr>
        <w:t xml:space="preserve"> та високою конвергенці</w:t>
      </w:r>
      <w:r>
        <w:rPr>
          <w:rFonts w:ascii="Times New Roman" w:hAnsi="Times New Roman" w:cs="Times New Roman"/>
          <w:sz w:val="28"/>
          <w:szCs w:val="28"/>
          <w:lang w:val="uk-UA"/>
        </w:rPr>
        <w:t>єю</w:t>
      </w:r>
      <w:r w:rsidRPr="00A40FA0">
        <w:rPr>
          <w:rFonts w:ascii="Times New Roman" w:hAnsi="Times New Roman" w:cs="Times New Roman"/>
          <w:sz w:val="28"/>
          <w:szCs w:val="28"/>
          <w:lang w:val="uk-UA"/>
        </w:rPr>
        <w:t xml:space="preserve">, </w:t>
      </w:r>
      <w:r>
        <w:rPr>
          <w:rFonts w:ascii="Times New Roman" w:hAnsi="Times New Roman" w:cs="Times New Roman"/>
          <w:sz w:val="28"/>
          <w:szCs w:val="28"/>
          <w:lang w:val="uk-UA"/>
        </w:rPr>
        <w:t>наступним етапом може стати</w:t>
      </w:r>
      <w:r w:rsidRPr="00A40FA0">
        <w:rPr>
          <w:rFonts w:ascii="Times New Roman" w:hAnsi="Times New Roman" w:cs="Times New Roman"/>
          <w:sz w:val="28"/>
          <w:szCs w:val="28"/>
          <w:lang w:val="uk-UA"/>
        </w:rPr>
        <w:t xml:space="preserve"> розроб</w:t>
      </w:r>
      <w:r>
        <w:rPr>
          <w:rFonts w:ascii="Times New Roman" w:hAnsi="Times New Roman" w:cs="Times New Roman"/>
          <w:sz w:val="28"/>
          <w:szCs w:val="28"/>
          <w:lang w:val="uk-UA"/>
        </w:rPr>
        <w:t>ка</w:t>
      </w:r>
      <w:r w:rsidRPr="00A40FA0">
        <w:rPr>
          <w:rFonts w:ascii="Times New Roman" w:hAnsi="Times New Roman" w:cs="Times New Roman"/>
          <w:sz w:val="28"/>
          <w:szCs w:val="28"/>
          <w:lang w:val="uk-UA"/>
        </w:rPr>
        <w:t xml:space="preserve"> таксономі</w:t>
      </w:r>
      <w:r>
        <w:rPr>
          <w:rFonts w:ascii="Times New Roman" w:hAnsi="Times New Roman" w:cs="Times New Roman"/>
          <w:sz w:val="28"/>
          <w:szCs w:val="28"/>
          <w:lang w:val="uk-UA"/>
        </w:rPr>
        <w:t>ї</w:t>
      </w:r>
      <w:r w:rsidRPr="00A40FA0">
        <w:rPr>
          <w:rFonts w:ascii="Times New Roman" w:hAnsi="Times New Roman" w:cs="Times New Roman"/>
          <w:sz w:val="28"/>
          <w:szCs w:val="28"/>
          <w:lang w:val="uk-UA"/>
        </w:rPr>
        <w:t xml:space="preserve"> два на два. </w:t>
      </w:r>
      <w:r>
        <w:rPr>
          <w:rFonts w:ascii="Times New Roman" w:hAnsi="Times New Roman" w:cs="Times New Roman"/>
          <w:sz w:val="28"/>
          <w:szCs w:val="28"/>
          <w:lang w:val="uk-UA"/>
        </w:rPr>
        <w:t>Цікавим є підхід щодо</w:t>
      </w:r>
      <w:r w:rsidRPr="00A40FA0">
        <w:rPr>
          <w:rFonts w:ascii="Times New Roman" w:hAnsi="Times New Roman" w:cs="Times New Roman"/>
          <w:sz w:val="28"/>
          <w:szCs w:val="28"/>
          <w:lang w:val="uk-UA"/>
        </w:rPr>
        <w:t xml:space="preserve"> класифік</w:t>
      </w:r>
      <w:r>
        <w:rPr>
          <w:rFonts w:ascii="Times New Roman" w:hAnsi="Times New Roman" w:cs="Times New Roman"/>
          <w:sz w:val="28"/>
          <w:szCs w:val="28"/>
          <w:lang w:val="uk-UA"/>
        </w:rPr>
        <w:t>ації</w:t>
      </w:r>
      <w:r w:rsidRPr="00A40FA0">
        <w:rPr>
          <w:rFonts w:ascii="Times New Roman" w:hAnsi="Times New Roman" w:cs="Times New Roman"/>
          <w:sz w:val="28"/>
          <w:szCs w:val="28"/>
          <w:lang w:val="uk-UA"/>
        </w:rPr>
        <w:t xml:space="preserve"> схеми успішної кар’єри на рівні країни за чотирма архетипами, які </w:t>
      </w:r>
      <w:r>
        <w:rPr>
          <w:rFonts w:ascii="Times New Roman" w:hAnsi="Times New Roman" w:cs="Times New Roman"/>
          <w:sz w:val="28"/>
          <w:szCs w:val="28"/>
          <w:lang w:val="uk-UA"/>
        </w:rPr>
        <w:t>доцільно</w:t>
      </w:r>
      <w:r w:rsidRPr="00A40FA0">
        <w:rPr>
          <w:rFonts w:ascii="Times New Roman" w:hAnsi="Times New Roman" w:cs="Times New Roman"/>
          <w:sz w:val="28"/>
          <w:szCs w:val="28"/>
          <w:lang w:val="uk-UA"/>
        </w:rPr>
        <w:t xml:space="preserve"> позначи</w:t>
      </w:r>
      <w:r>
        <w:rPr>
          <w:rFonts w:ascii="Times New Roman" w:hAnsi="Times New Roman" w:cs="Times New Roman"/>
          <w:sz w:val="28"/>
          <w:szCs w:val="28"/>
          <w:lang w:val="uk-UA"/>
        </w:rPr>
        <w:t>т</w:t>
      </w:r>
      <w:r w:rsidRPr="00A40FA0">
        <w:rPr>
          <w:rFonts w:ascii="Times New Roman" w:hAnsi="Times New Roman" w:cs="Times New Roman"/>
          <w:sz w:val="28"/>
          <w:szCs w:val="28"/>
          <w:lang w:val="uk-UA"/>
        </w:rPr>
        <w:t xml:space="preserve">и як: модульні (висока складність, висока конвергенція; </w:t>
      </w:r>
      <w:proofErr w:type="spellStart"/>
      <w:r w:rsidRPr="00A40FA0">
        <w:rPr>
          <w:rFonts w:ascii="Times New Roman" w:hAnsi="Times New Roman" w:cs="Times New Roman"/>
          <w:sz w:val="28"/>
          <w:szCs w:val="28"/>
          <w:lang w:val="uk-UA"/>
        </w:rPr>
        <w:t>прототипний</w:t>
      </w:r>
      <w:proofErr w:type="spellEnd"/>
      <w:r w:rsidRPr="00A40FA0">
        <w:rPr>
          <w:rFonts w:ascii="Times New Roman" w:hAnsi="Times New Roman" w:cs="Times New Roman"/>
          <w:sz w:val="28"/>
          <w:szCs w:val="28"/>
          <w:lang w:val="uk-UA"/>
        </w:rPr>
        <w:t xml:space="preserve"> приклад: Бельгія), </w:t>
      </w:r>
      <w:proofErr w:type="spellStart"/>
      <w:r w:rsidRPr="00A40FA0">
        <w:rPr>
          <w:rFonts w:ascii="Times New Roman" w:hAnsi="Times New Roman" w:cs="Times New Roman"/>
          <w:sz w:val="28"/>
          <w:szCs w:val="28"/>
          <w:lang w:val="uk-UA"/>
        </w:rPr>
        <w:t>холістичний</w:t>
      </w:r>
      <w:proofErr w:type="spellEnd"/>
      <w:r w:rsidRPr="00A40FA0">
        <w:rPr>
          <w:rFonts w:ascii="Times New Roman" w:hAnsi="Times New Roman" w:cs="Times New Roman"/>
          <w:sz w:val="28"/>
          <w:szCs w:val="28"/>
          <w:lang w:val="uk-UA"/>
        </w:rPr>
        <w:t xml:space="preserve"> (низька складність, висока конвергенція; </w:t>
      </w:r>
      <w:proofErr w:type="spellStart"/>
      <w:r w:rsidRPr="00A40FA0">
        <w:rPr>
          <w:rFonts w:ascii="Times New Roman" w:hAnsi="Times New Roman" w:cs="Times New Roman"/>
          <w:sz w:val="28"/>
          <w:szCs w:val="28"/>
          <w:lang w:val="uk-UA"/>
        </w:rPr>
        <w:t>прототипний</w:t>
      </w:r>
      <w:proofErr w:type="spellEnd"/>
      <w:r w:rsidRPr="00A40FA0">
        <w:rPr>
          <w:rFonts w:ascii="Times New Roman" w:hAnsi="Times New Roman" w:cs="Times New Roman"/>
          <w:sz w:val="28"/>
          <w:szCs w:val="28"/>
          <w:lang w:val="uk-UA"/>
        </w:rPr>
        <w:t xml:space="preserve"> приклад: Пів</w:t>
      </w:r>
      <w:r>
        <w:rPr>
          <w:rFonts w:ascii="Times New Roman" w:hAnsi="Times New Roman" w:cs="Times New Roman"/>
          <w:sz w:val="28"/>
          <w:szCs w:val="28"/>
          <w:lang w:val="uk-UA"/>
        </w:rPr>
        <w:t>денна Корея), слабко модульна (</w:t>
      </w:r>
      <w:r w:rsidRPr="00A40FA0">
        <w:rPr>
          <w:rFonts w:ascii="Times New Roman" w:hAnsi="Times New Roman" w:cs="Times New Roman"/>
          <w:sz w:val="28"/>
          <w:szCs w:val="28"/>
          <w:lang w:val="uk-UA"/>
        </w:rPr>
        <w:t xml:space="preserve">висока складність, низька конвергенція; </w:t>
      </w:r>
      <w:proofErr w:type="spellStart"/>
      <w:r w:rsidRPr="00A40FA0">
        <w:rPr>
          <w:rFonts w:ascii="Times New Roman" w:hAnsi="Times New Roman" w:cs="Times New Roman"/>
          <w:sz w:val="28"/>
          <w:szCs w:val="28"/>
          <w:lang w:val="uk-UA"/>
        </w:rPr>
        <w:t>прототипний</w:t>
      </w:r>
      <w:proofErr w:type="spellEnd"/>
      <w:r w:rsidRPr="00A40FA0">
        <w:rPr>
          <w:rFonts w:ascii="Times New Roman" w:hAnsi="Times New Roman" w:cs="Times New Roman"/>
          <w:sz w:val="28"/>
          <w:szCs w:val="28"/>
          <w:lang w:val="uk-UA"/>
        </w:rPr>
        <w:t xml:space="preserve"> приклад: Франція) і дифузний (низька складність, низька конвергенція; </w:t>
      </w:r>
      <w:proofErr w:type="spellStart"/>
      <w:r w:rsidRPr="00A40FA0">
        <w:rPr>
          <w:rFonts w:ascii="Times New Roman" w:hAnsi="Times New Roman" w:cs="Times New Roman"/>
          <w:sz w:val="28"/>
          <w:szCs w:val="28"/>
          <w:lang w:val="uk-UA"/>
        </w:rPr>
        <w:t>прототипний</w:t>
      </w:r>
      <w:proofErr w:type="spellEnd"/>
      <w:r w:rsidRPr="00A40FA0">
        <w:rPr>
          <w:rFonts w:ascii="Times New Roman" w:hAnsi="Times New Roman" w:cs="Times New Roman"/>
          <w:sz w:val="28"/>
          <w:szCs w:val="28"/>
          <w:lang w:val="uk-UA"/>
        </w:rPr>
        <w:t xml:space="preserve"> приклад: Китай)</w:t>
      </w:r>
      <w:r w:rsidRPr="005D1B01">
        <w:rPr>
          <w:rFonts w:ascii="Times New Roman" w:hAnsi="Times New Roman" w:cs="Times New Roman"/>
          <w:sz w:val="28"/>
          <w:szCs w:val="28"/>
          <w:lang w:val="uk-UA"/>
        </w:rPr>
        <w:t xml:space="preserve"> [</w:t>
      </w:r>
      <w:r>
        <w:rPr>
          <w:rFonts w:ascii="Times New Roman" w:hAnsi="Times New Roman" w:cs="Times New Roman"/>
          <w:sz w:val="28"/>
          <w:szCs w:val="28"/>
          <w:lang w:val="uk-UA"/>
        </w:rPr>
        <w:t>63</w:t>
      </w:r>
      <w:r w:rsidRPr="005D1B01">
        <w:rPr>
          <w:rFonts w:ascii="Times New Roman" w:hAnsi="Times New Roman" w:cs="Times New Roman"/>
          <w:sz w:val="28"/>
          <w:szCs w:val="28"/>
          <w:lang w:val="uk-UA"/>
        </w:rPr>
        <w:t>]</w:t>
      </w:r>
      <w:r w:rsidRPr="00A40FA0">
        <w:rPr>
          <w:rFonts w:ascii="Times New Roman" w:hAnsi="Times New Roman" w:cs="Times New Roman"/>
          <w:sz w:val="28"/>
          <w:szCs w:val="28"/>
          <w:lang w:val="uk-UA"/>
        </w:rPr>
        <w:t>.</w:t>
      </w:r>
    </w:p>
    <w:p w14:paraId="5B53C694" w14:textId="740E64AC" w:rsidR="00571B42"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можна зробити висновки</w:t>
      </w:r>
      <w:r w:rsidRPr="004740F0">
        <w:rPr>
          <w:rFonts w:ascii="Times New Roman" w:hAnsi="Times New Roman" w:cs="Times New Roman"/>
          <w:sz w:val="28"/>
          <w:szCs w:val="28"/>
          <w:lang w:val="uk-UA"/>
        </w:rPr>
        <w:t xml:space="preserve">, що цілісні та слабко модульні архетипи </w:t>
      </w:r>
      <w:r>
        <w:rPr>
          <w:rFonts w:ascii="Times New Roman" w:hAnsi="Times New Roman" w:cs="Times New Roman"/>
          <w:sz w:val="28"/>
          <w:szCs w:val="28"/>
          <w:lang w:val="uk-UA"/>
        </w:rPr>
        <w:t>можуть бути</w:t>
      </w:r>
      <w:r w:rsidRPr="004740F0">
        <w:rPr>
          <w:rFonts w:ascii="Times New Roman" w:hAnsi="Times New Roman" w:cs="Times New Roman"/>
          <w:sz w:val="28"/>
          <w:szCs w:val="28"/>
          <w:lang w:val="uk-UA"/>
        </w:rPr>
        <w:t xml:space="preserve"> слабко представлені в </w:t>
      </w:r>
      <w:r>
        <w:rPr>
          <w:rFonts w:ascii="Times New Roman" w:hAnsi="Times New Roman" w:cs="Times New Roman"/>
          <w:sz w:val="28"/>
          <w:szCs w:val="28"/>
          <w:lang w:val="uk-UA"/>
        </w:rPr>
        <w:t xml:space="preserve">деяких </w:t>
      </w:r>
      <w:r w:rsidRPr="004740F0">
        <w:rPr>
          <w:rFonts w:ascii="Times New Roman" w:hAnsi="Times New Roman" w:cs="Times New Roman"/>
          <w:sz w:val="28"/>
          <w:szCs w:val="28"/>
          <w:lang w:val="uk-UA"/>
        </w:rPr>
        <w:t xml:space="preserve">країнах (тільки один представник країни в кожній), тоді як модульні та дифузні типи мали сильнішу репрезентацію (обидва показали кілька репрезентативних країн). Рішення для модульного архетипу </w:t>
      </w:r>
      <w:r>
        <w:rPr>
          <w:rFonts w:ascii="Times New Roman" w:hAnsi="Times New Roman" w:cs="Times New Roman"/>
          <w:sz w:val="28"/>
          <w:szCs w:val="28"/>
          <w:lang w:val="uk-UA"/>
        </w:rPr>
        <w:t>являється</w:t>
      </w:r>
      <w:r w:rsidRPr="004740F0">
        <w:rPr>
          <w:rFonts w:ascii="Times New Roman" w:hAnsi="Times New Roman" w:cs="Times New Roman"/>
          <w:sz w:val="28"/>
          <w:szCs w:val="28"/>
          <w:lang w:val="uk-UA"/>
        </w:rPr>
        <w:t>, безумовно, найскладнішим: воно включа</w:t>
      </w:r>
      <w:r>
        <w:rPr>
          <w:rFonts w:ascii="Times New Roman" w:hAnsi="Times New Roman" w:cs="Times New Roman"/>
          <w:sz w:val="28"/>
          <w:szCs w:val="28"/>
          <w:lang w:val="uk-UA"/>
        </w:rPr>
        <w:t>є</w:t>
      </w:r>
      <w:r w:rsidRPr="004740F0">
        <w:rPr>
          <w:rFonts w:ascii="Times New Roman" w:hAnsi="Times New Roman" w:cs="Times New Roman"/>
          <w:sz w:val="28"/>
          <w:szCs w:val="28"/>
          <w:lang w:val="uk-UA"/>
        </w:rPr>
        <w:t xml:space="preserve"> чотири конфігурації. Хоча всі чотири конфігурації включа</w:t>
      </w:r>
      <w:r>
        <w:rPr>
          <w:rFonts w:ascii="Times New Roman" w:hAnsi="Times New Roman" w:cs="Times New Roman"/>
          <w:sz w:val="28"/>
          <w:szCs w:val="28"/>
          <w:lang w:val="uk-UA"/>
        </w:rPr>
        <w:t>ють</w:t>
      </w:r>
      <w:r w:rsidRPr="004740F0">
        <w:rPr>
          <w:rFonts w:ascii="Times New Roman" w:hAnsi="Times New Roman" w:cs="Times New Roman"/>
          <w:sz w:val="28"/>
          <w:szCs w:val="28"/>
          <w:lang w:val="uk-UA"/>
        </w:rPr>
        <w:t xml:space="preserve"> високий загальний розвиток країни </w:t>
      </w:r>
      <w:r w:rsidR="002C3DBA">
        <w:rPr>
          <w:rFonts w:ascii="Times New Roman" w:hAnsi="Times New Roman" w:cs="Times New Roman"/>
          <w:sz w:val="28"/>
          <w:szCs w:val="28"/>
          <w:lang w:val="uk-UA"/>
        </w:rPr>
        <w:t>–</w:t>
      </w:r>
      <w:r w:rsidRPr="004740F0">
        <w:rPr>
          <w:rFonts w:ascii="Times New Roman" w:hAnsi="Times New Roman" w:cs="Times New Roman"/>
          <w:sz w:val="28"/>
          <w:szCs w:val="28"/>
          <w:lang w:val="uk-UA"/>
        </w:rPr>
        <w:t xml:space="preserve"> необхідну умову для цього архетипу </w:t>
      </w:r>
      <w:r w:rsidR="002C3DBA">
        <w:rPr>
          <w:rFonts w:ascii="Times New Roman" w:hAnsi="Times New Roman" w:cs="Times New Roman"/>
          <w:sz w:val="28"/>
          <w:szCs w:val="28"/>
          <w:lang w:val="uk-UA"/>
        </w:rPr>
        <w:t>–</w:t>
      </w:r>
      <w:r w:rsidRPr="004740F0">
        <w:rPr>
          <w:rFonts w:ascii="Times New Roman" w:hAnsi="Times New Roman" w:cs="Times New Roman"/>
          <w:sz w:val="28"/>
          <w:szCs w:val="28"/>
          <w:lang w:val="uk-UA"/>
        </w:rPr>
        <w:t xml:space="preserve"> точне поєднання інституційних факторів, що призвело до модульного архетипу, було досить різноманітним. Цей висновок підкреслює принцип </w:t>
      </w:r>
      <w:proofErr w:type="spellStart"/>
      <w:r w:rsidRPr="004740F0">
        <w:rPr>
          <w:rFonts w:ascii="Times New Roman" w:hAnsi="Times New Roman" w:cs="Times New Roman"/>
          <w:sz w:val="28"/>
          <w:szCs w:val="28"/>
          <w:lang w:val="uk-UA"/>
        </w:rPr>
        <w:t>еквіфінальності</w:t>
      </w:r>
      <w:proofErr w:type="spellEnd"/>
      <w:r w:rsidRPr="004740F0">
        <w:rPr>
          <w:rFonts w:ascii="Times New Roman" w:hAnsi="Times New Roman" w:cs="Times New Roman"/>
          <w:sz w:val="28"/>
          <w:szCs w:val="28"/>
          <w:lang w:val="uk-UA"/>
        </w:rPr>
        <w:t xml:space="preserve"> та демонструє, що конфігураційний підхід дуже застосовний до теми схем кар’єрного успіху.</w:t>
      </w:r>
    </w:p>
    <w:p w14:paraId="37F5F71B" w14:textId="52CDDBB6" w:rsidR="00571B42" w:rsidRPr="004740F0"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Наведений аналіз</w:t>
      </w:r>
      <w:r w:rsidRPr="004740F0">
        <w:rPr>
          <w:rFonts w:ascii="Times New Roman" w:hAnsi="Times New Roman" w:cs="Times New Roman"/>
          <w:sz w:val="28"/>
          <w:szCs w:val="28"/>
          <w:lang w:val="uk-UA"/>
        </w:rPr>
        <w:t xml:space="preserve"> </w:t>
      </w:r>
      <w:proofErr w:type="spellStart"/>
      <w:r w:rsidRPr="004740F0">
        <w:rPr>
          <w:rFonts w:ascii="Times New Roman" w:hAnsi="Times New Roman" w:cs="Times New Roman"/>
          <w:sz w:val="28"/>
          <w:szCs w:val="28"/>
          <w:lang w:val="uk-UA"/>
        </w:rPr>
        <w:t>концептуалізує</w:t>
      </w:r>
      <w:proofErr w:type="spellEnd"/>
      <w:r w:rsidRPr="004740F0">
        <w:rPr>
          <w:rFonts w:ascii="Times New Roman" w:hAnsi="Times New Roman" w:cs="Times New Roman"/>
          <w:sz w:val="28"/>
          <w:szCs w:val="28"/>
          <w:lang w:val="uk-UA"/>
        </w:rPr>
        <w:t xml:space="preserve"> та методологічно демонструє, як значення кар’єрного успіху конструюється не лише індивідуально, а й колективно. Загальновідомо, що сучасна література про кар’єру надмірно зосереджена на окремих агентствах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6</w:t>
      </w:r>
      <w:r w:rsidRPr="005D1B01">
        <w:rPr>
          <w:rFonts w:ascii="Times New Roman" w:hAnsi="Times New Roman" w:cs="Times New Roman"/>
          <w:sz w:val="28"/>
          <w:szCs w:val="28"/>
          <w:lang w:val="uk-UA"/>
        </w:rPr>
        <w:t>4]</w:t>
      </w:r>
      <w:r w:rsidRPr="004740F0">
        <w:rPr>
          <w:rFonts w:ascii="Times New Roman" w:hAnsi="Times New Roman" w:cs="Times New Roman"/>
          <w:sz w:val="28"/>
          <w:szCs w:val="28"/>
          <w:lang w:val="uk-UA"/>
        </w:rPr>
        <w:t xml:space="preserve">, і що існує брак розуміння того, як змінні контексту макрорівня впливають на кар’єру </w:t>
      </w:r>
      <w:r w:rsidRPr="005D1B01">
        <w:rPr>
          <w:rFonts w:ascii="Times New Roman" w:hAnsi="Times New Roman" w:cs="Times New Roman"/>
          <w:sz w:val="28"/>
          <w:szCs w:val="28"/>
          <w:lang w:val="uk-UA"/>
        </w:rPr>
        <w:t>[4]</w:t>
      </w:r>
      <w:r w:rsidRPr="004740F0">
        <w:rPr>
          <w:rFonts w:ascii="Times New Roman" w:hAnsi="Times New Roman" w:cs="Times New Roman"/>
          <w:sz w:val="28"/>
          <w:szCs w:val="28"/>
          <w:lang w:val="uk-UA"/>
        </w:rPr>
        <w:t xml:space="preserve">. Крім того, дослідження систем кар’єрного зростання </w:t>
      </w:r>
      <w:r>
        <w:rPr>
          <w:rFonts w:ascii="Times New Roman" w:hAnsi="Times New Roman" w:cs="Times New Roman"/>
          <w:sz w:val="28"/>
          <w:szCs w:val="28"/>
          <w:lang w:val="uk-UA"/>
        </w:rPr>
        <w:t>висвітлює</w:t>
      </w:r>
      <w:r w:rsidRPr="004740F0">
        <w:rPr>
          <w:rFonts w:ascii="Times New Roman" w:hAnsi="Times New Roman" w:cs="Times New Roman"/>
          <w:sz w:val="28"/>
          <w:szCs w:val="28"/>
          <w:lang w:val="uk-UA"/>
        </w:rPr>
        <w:t xml:space="preserve">, що </w:t>
      </w:r>
      <w:proofErr w:type="spellStart"/>
      <w:r w:rsidRPr="004740F0">
        <w:rPr>
          <w:rFonts w:ascii="Times New Roman" w:hAnsi="Times New Roman" w:cs="Times New Roman"/>
          <w:sz w:val="28"/>
          <w:szCs w:val="28"/>
          <w:lang w:val="uk-UA"/>
        </w:rPr>
        <w:t>етноцентричний</w:t>
      </w:r>
      <w:proofErr w:type="spellEnd"/>
      <w:r w:rsidRPr="004740F0">
        <w:rPr>
          <w:rFonts w:ascii="Times New Roman" w:hAnsi="Times New Roman" w:cs="Times New Roman"/>
          <w:sz w:val="28"/>
          <w:szCs w:val="28"/>
          <w:lang w:val="uk-UA"/>
        </w:rPr>
        <w:t xml:space="preserve"> підхід, за якого система </w:t>
      </w:r>
      <w:r w:rsidRPr="004740F0">
        <w:rPr>
          <w:rFonts w:ascii="Times New Roman" w:hAnsi="Times New Roman" w:cs="Times New Roman"/>
          <w:sz w:val="28"/>
          <w:szCs w:val="28"/>
          <w:lang w:val="uk-UA"/>
        </w:rPr>
        <w:lastRenderedPageBreak/>
        <w:t xml:space="preserve">кар’єрного зростання розробляється в головному офісі та «експортується» до всіх дочірніх компаній, часто не дає </w:t>
      </w:r>
      <w:r>
        <w:rPr>
          <w:rFonts w:ascii="Times New Roman" w:hAnsi="Times New Roman" w:cs="Times New Roman"/>
          <w:sz w:val="28"/>
          <w:szCs w:val="28"/>
          <w:lang w:val="uk-UA"/>
        </w:rPr>
        <w:t>очікуваних результатів розвитку</w:t>
      </w:r>
      <w:r w:rsidRPr="004740F0">
        <w:rPr>
          <w:rFonts w:ascii="Times New Roman" w:hAnsi="Times New Roman" w:cs="Times New Roman"/>
          <w:sz w:val="28"/>
          <w:szCs w:val="28"/>
          <w:lang w:val="uk-UA"/>
        </w:rPr>
        <w:t xml:space="preserve">, а ігнорування інституційних і культурних відмінностей між країнами може призвести до конфліктні ситуації </w:t>
      </w:r>
      <w:r w:rsidRPr="005D1B01">
        <w:rPr>
          <w:rFonts w:ascii="Times New Roman" w:hAnsi="Times New Roman" w:cs="Times New Roman"/>
          <w:sz w:val="28"/>
          <w:szCs w:val="28"/>
          <w:lang w:val="uk-UA"/>
        </w:rPr>
        <w:t>[11]</w:t>
      </w:r>
      <w:r w:rsidRPr="004740F0">
        <w:rPr>
          <w:rFonts w:ascii="Times New Roman" w:hAnsi="Times New Roman" w:cs="Times New Roman"/>
          <w:sz w:val="28"/>
          <w:szCs w:val="28"/>
          <w:lang w:val="uk-UA"/>
        </w:rPr>
        <w:t xml:space="preserve">. Відповідаючи на заклики до кращого розуміння кар’єрного успіху в різних контекстах країни </w:t>
      </w:r>
      <w:r w:rsidRPr="005D1B01">
        <w:rPr>
          <w:rFonts w:ascii="Times New Roman" w:hAnsi="Times New Roman" w:cs="Times New Roman"/>
          <w:sz w:val="28"/>
          <w:szCs w:val="28"/>
          <w:lang w:val="uk-UA"/>
        </w:rPr>
        <w:t>[3</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4]</w:t>
      </w:r>
      <w:r w:rsidRPr="004740F0">
        <w:rPr>
          <w:rFonts w:ascii="Times New Roman" w:hAnsi="Times New Roman" w:cs="Times New Roman"/>
          <w:sz w:val="28"/>
          <w:szCs w:val="28"/>
          <w:lang w:val="uk-UA"/>
        </w:rPr>
        <w:t xml:space="preserve">, </w:t>
      </w:r>
      <w:r>
        <w:rPr>
          <w:rFonts w:ascii="Times New Roman" w:hAnsi="Times New Roman" w:cs="Times New Roman"/>
          <w:sz w:val="28"/>
          <w:szCs w:val="28"/>
          <w:lang w:val="uk-UA"/>
        </w:rPr>
        <w:t>доцільно запропонувати, що</w:t>
      </w:r>
      <w:r w:rsidRPr="004740F0">
        <w:rPr>
          <w:rFonts w:ascii="Times New Roman" w:hAnsi="Times New Roman" w:cs="Times New Roman"/>
          <w:sz w:val="28"/>
          <w:szCs w:val="28"/>
          <w:lang w:val="uk-UA"/>
        </w:rPr>
        <w:t xml:space="preserve"> таке розуміння повинне починатися з фундаментальних будівельних блоків кар’єри, тобто пізнання, що лежать в їх основі, значною мірою підсвідомо сформовані через соціалізацію та досвід </w:t>
      </w:r>
      <w:r w:rsidRPr="005D1B01">
        <w:rPr>
          <w:rFonts w:ascii="Times New Roman" w:hAnsi="Times New Roman" w:cs="Times New Roman"/>
          <w:sz w:val="28"/>
          <w:szCs w:val="28"/>
          <w:lang w:val="uk-UA"/>
        </w:rPr>
        <w:t>[15</w:t>
      </w:r>
      <w:r w:rsidR="002C3DBA">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20]</w:t>
      </w:r>
      <w:r w:rsidRPr="004740F0">
        <w:rPr>
          <w:rFonts w:ascii="Times New Roman" w:hAnsi="Times New Roman" w:cs="Times New Roman"/>
          <w:sz w:val="28"/>
          <w:szCs w:val="28"/>
          <w:lang w:val="uk-UA"/>
        </w:rPr>
        <w:t xml:space="preserve">. Лише тоді, коли </w:t>
      </w:r>
      <w:r>
        <w:rPr>
          <w:rFonts w:ascii="Times New Roman" w:hAnsi="Times New Roman" w:cs="Times New Roman"/>
          <w:sz w:val="28"/>
          <w:szCs w:val="28"/>
          <w:lang w:val="uk-UA"/>
        </w:rPr>
        <w:t>особа зрозуміє</w:t>
      </w:r>
      <w:r w:rsidRPr="004740F0">
        <w:rPr>
          <w:rFonts w:ascii="Times New Roman" w:hAnsi="Times New Roman" w:cs="Times New Roman"/>
          <w:sz w:val="28"/>
          <w:szCs w:val="28"/>
          <w:lang w:val="uk-UA"/>
        </w:rPr>
        <w:t xml:space="preserve">, як люди з різних куточків світу «бачать» кар’єру, </w:t>
      </w:r>
      <w:r>
        <w:rPr>
          <w:rFonts w:ascii="Times New Roman" w:hAnsi="Times New Roman" w:cs="Times New Roman"/>
          <w:sz w:val="28"/>
          <w:szCs w:val="28"/>
          <w:lang w:val="uk-UA"/>
        </w:rPr>
        <w:t xml:space="preserve">з’явиться можливість </w:t>
      </w:r>
      <w:r w:rsidRPr="004740F0">
        <w:rPr>
          <w:rFonts w:ascii="Times New Roman" w:hAnsi="Times New Roman" w:cs="Times New Roman"/>
          <w:sz w:val="28"/>
          <w:szCs w:val="28"/>
          <w:lang w:val="uk-UA"/>
        </w:rPr>
        <w:t xml:space="preserve">почати розробляти системи управління кар’єрою, які мають сенс у міжнаціональних масштабах </w:t>
      </w:r>
      <w:r w:rsidRPr="005D1B01">
        <w:rPr>
          <w:rFonts w:ascii="Times New Roman" w:hAnsi="Times New Roman" w:cs="Times New Roman"/>
          <w:sz w:val="28"/>
          <w:szCs w:val="28"/>
          <w:lang w:val="uk-UA"/>
        </w:rPr>
        <w:t>[66]</w:t>
      </w:r>
      <w:r w:rsidRPr="004740F0">
        <w:rPr>
          <w:rFonts w:ascii="Times New Roman" w:hAnsi="Times New Roman" w:cs="Times New Roman"/>
          <w:sz w:val="28"/>
          <w:szCs w:val="28"/>
          <w:lang w:val="uk-UA"/>
        </w:rPr>
        <w:t>.</w:t>
      </w:r>
    </w:p>
    <w:p w14:paraId="72158A64" w14:textId="77777777" w:rsidR="00571B42" w:rsidRPr="00743742" w:rsidRDefault="00571B42" w:rsidP="00571B42">
      <w:pPr>
        <w:spacing w:after="0" w:line="360" w:lineRule="auto"/>
        <w:ind w:firstLine="720"/>
        <w:jc w:val="both"/>
      </w:pPr>
      <w:r w:rsidRPr="00AE39D0">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було</w:t>
      </w:r>
      <w:r w:rsidRPr="00AE39D0">
        <w:rPr>
          <w:rFonts w:ascii="Times New Roman" w:hAnsi="Times New Roman" w:cs="Times New Roman"/>
          <w:sz w:val="28"/>
          <w:szCs w:val="28"/>
          <w:lang w:val="uk-UA"/>
        </w:rPr>
        <w:t xml:space="preserve"> представл</w:t>
      </w:r>
      <w:r>
        <w:rPr>
          <w:rFonts w:ascii="Times New Roman" w:hAnsi="Times New Roman" w:cs="Times New Roman"/>
          <w:sz w:val="28"/>
          <w:szCs w:val="28"/>
          <w:lang w:val="uk-UA"/>
        </w:rPr>
        <w:t>ено</w:t>
      </w:r>
      <w:r w:rsidRPr="00AE39D0">
        <w:rPr>
          <w:rFonts w:ascii="Times New Roman" w:hAnsi="Times New Roman" w:cs="Times New Roman"/>
          <w:sz w:val="28"/>
          <w:szCs w:val="28"/>
          <w:lang w:val="uk-UA"/>
        </w:rPr>
        <w:t xml:space="preserve"> концепцію схем успішної кар’єри та дослід</w:t>
      </w:r>
      <w:r>
        <w:rPr>
          <w:rFonts w:ascii="Times New Roman" w:hAnsi="Times New Roman" w:cs="Times New Roman"/>
          <w:sz w:val="28"/>
          <w:szCs w:val="28"/>
          <w:lang w:val="uk-UA"/>
        </w:rPr>
        <w:t>жено</w:t>
      </w:r>
      <w:r w:rsidRPr="00AE39D0">
        <w:rPr>
          <w:rFonts w:ascii="Times New Roman" w:hAnsi="Times New Roman" w:cs="Times New Roman"/>
          <w:sz w:val="28"/>
          <w:szCs w:val="28"/>
          <w:lang w:val="uk-UA"/>
        </w:rPr>
        <w:t xml:space="preserve"> відмінності між країнами в їх структурних характеристиках. Зокрема, прийнявши складність схеми та конвергенцію як основні виміри, </w:t>
      </w:r>
      <w:r>
        <w:rPr>
          <w:rFonts w:ascii="Times New Roman" w:hAnsi="Times New Roman" w:cs="Times New Roman"/>
          <w:sz w:val="28"/>
          <w:szCs w:val="28"/>
          <w:lang w:val="uk-UA"/>
        </w:rPr>
        <w:t xml:space="preserve">доцільно </w:t>
      </w:r>
      <w:r w:rsidRPr="00AE39D0">
        <w:rPr>
          <w:rFonts w:ascii="Times New Roman" w:hAnsi="Times New Roman" w:cs="Times New Roman"/>
          <w:sz w:val="28"/>
          <w:szCs w:val="28"/>
          <w:lang w:val="uk-UA"/>
        </w:rPr>
        <w:t>запропонува</w:t>
      </w:r>
      <w:r>
        <w:rPr>
          <w:rFonts w:ascii="Times New Roman" w:hAnsi="Times New Roman" w:cs="Times New Roman"/>
          <w:sz w:val="28"/>
          <w:szCs w:val="28"/>
          <w:lang w:val="uk-UA"/>
        </w:rPr>
        <w:t>т</w:t>
      </w:r>
      <w:r w:rsidRPr="00AE39D0">
        <w:rPr>
          <w:rFonts w:ascii="Times New Roman" w:hAnsi="Times New Roman" w:cs="Times New Roman"/>
          <w:sz w:val="28"/>
          <w:szCs w:val="28"/>
          <w:lang w:val="uk-UA"/>
        </w:rPr>
        <w:t>и таксономію два на два, яку можна використовувати для класифікації схем кар’єрного успіху на рівні країни, а потім виведені конфігурації відповідних контекстуальних факторів, що призводять до високо</w:t>
      </w:r>
      <w:r>
        <w:rPr>
          <w:rFonts w:ascii="Times New Roman" w:hAnsi="Times New Roman" w:cs="Times New Roman"/>
          <w:sz w:val="28"/>
          <w:szCs w:val="28"/>
          <w:lang w:val="uk-UA"/>
        </w:rPr>
        <w:t>ї</w:t>
      </w:r>
      <w:r w:rsidRPr="00AE39D0">
        <w:rPr>
          <w:rFonts w:ascii="Times New Roman" w:hAnsi="Times New Roman" w:cs="Times New Roman"/>
          <w:sz w:val="28"/>
          <w:szCs w:val="28"/>
          <w:lang w:val="uk-UA"/>
        </w:rPr>
        <w:t xml:space="preserve"> складн</w:t>
      </w:r>
      <w:r>
        <w:rPr>
          <w:rFonts w:ascii="Times New Roman" w:hAnsi="Times New Roman" w:cs="Times New Roman"/>
          <w:sz w:val="28"/>
          <w:szCs w:val="28"/>
          <w:lang w:val="uk-UA"/>
        </w:rPr>
        <w:t>о</w:t>
      </w:r>
      <w:r w:rsidRPr="00AE39D0">
        <w:rPr>
          <w:rFonts w:ascii="Times New Roman" w:hAnsi="Times New Roman" w:cs="Times New Roman"/>
          <w:sz w:val="28"/>
          <w:szCs w:val="28"/>
          <w:lang w:val="uk-UA"/>
        </w:rPr>
        <w:t>ст</w:t>
      </w:r>
      <w:r>
        <w:rPr>
          <w:rFonts w:ascii="Times New Roman" w:hAnsi="Times New Roman" w:cs="Times New Roman"/>
          <w:sz w:val="28"/>
          <w:szCs w:val="28"/>
          <w:lang w:val="uk-UA"/>
        </w:rPr>
        <w:t>і</w:t>
      </w:r>
      <w:r w:rsidRPr="00AE39D0">
        <w:rPr>
          <w:rFonts w:ascii="Times New Roman" w:hAnsi="Times New Roman" w:cs="Times New Roman"/>
          <w:sz w:val="28"/>
          <w:szCs w:val="28"/>
          <w:lang w:val="uk-UA"/>
        </w:rPr>
        <w:t xml:space="preserve"> і збіжн</w:t>
      </w:r>
      <w:r>
        <w:rPr>
          <w:rFonts w:ascii="Times New Roman" w:hAnsi="Times New Roman" w:cs="Times New Roman"/>
          <w:sz w:val="28"/>
          <w:szCs w:val="28"/>
          <w:lang w:val="uk-UA"/>
        </w:rPr>
        <w:t>о</w:t>
      </w:r>
      <w:r w:rsidRPr="00AE39D0">
        <w:rPr>
          <w:rFonts w:ascii="Times New Roman" w:hAnsi="Times New Roman" w:cs="Times New Roman"/>
          <w:sz w:val="28"/>
          <w:szCs w:val="28"/>
          <w:lang w:val="uk-UA"/>
        </w:rPr>
        <w:t>ст</w:t>
      </w:r>
      <w:r>
        <w:rPr>
          <w:rFonts w:ascii="Times New Roman" w:hAnsi="Times New Roman" w:cs="Times New Roman"/>
          <w:sz w:val="28"/>
          <w:szCs w:val="28"/>
          <w:lang w:val="uk-UA"/>
        </w:rPr>
        <w:t>і</w:t>
      </w:r>
      <w:r w:rsidRPr="00AE39D0">
        <w:rPr>
          <w:rFonts w:ascii="Times New Roman" w:hAnsi="Times New Roman" w:cs="Times New Roman"/>
          <w:sz w:val="28"/>
          <w:szCs w:val="28"/>
          <w:lang w:val="uk-UA"/>
        </w:rPr>
        <w:t xml:space="preserve"> схем</w:t>
      </w:r>
      <w:r>
        <w:rPr>
          <w:rFonts w:ascii="Times New Roman" w:hAnsi="Times New Roman" w:cs="Times New Roman"/>
          <w:sz w:val="28"/>
          <w:szCs w:val="28"/>
          <w:lang w:val="uk-UA"/>
        </w:rPr>
        <w:t>и</w:t>
      </w:r>
      <w:r w:rsidRPr="00AE39D0">
        <w:rPr>
          <w:rFonts w:ascii="Times New Roman" w:hAnsi="Times New Roman" w:cs="Times New Roman"/>
          <w:sz w:val="28"/>
          <w:szCs w:val="28"/>
          <w:lang w:val="uk-UA"/>
        </w:rPr>
        <w:t xml:space="preserve"> кар'єрного успіху. </w:t>
      </w:r>
      <w:r>
        <w:rPr>
          <w:rFonts w:ascii="Times New Roman" w:hAnsi="Times New Roman" w:cs="Times New Roman"/>
          <w:sz w:val="28"/>
          <w:szCs w:val="28"/>
          <w:lang w:val="uk-UA"/>
        </w:rPr>
        <w:t>наведені результати дослідження</w:t>
      </w:r>
      <w:r w:rsidRPr="00AE39D0">
        <w:rPr>
          <w:rFonts w:ascii="Times New Roman" w:hAnsi="Times New Roman" w:cs="Times New Roman"/>
          <w:sz w:val="28"/>
          <w:szCs w:val="28"/>
          <w:lang w:val="uk-UA"/>
        </w:rPr>
        <w:t xml:space="preserve"> показали, що існують важливі відмінності в структурних характеристиках схем кар’єрного успіху в </w:t>
      </w:r>
      <w:proofErr w:type="spellStart"/>
      <w:r w:rsidRPr="00AE39D0">
        <w:rPr>
          <w:rFonts w:ascii="Times New Roman" w:hAnsi="Times New Roman" w:cs="Times New Roman"/>
          <w:sz w:val="28"/>
          <w:szCs w:val="28"/>
          <w:lang w:val="uk-UA"/>
        </w:rPr>
        <w:t>глобально</w:t>
      </w:r>
      <w:proofErr w:type="spellEnd"/>
      <w:r w:rsidRPr="00AE39D0">
        <w:rPr>
          <w:rFonts w:ascii="Times New Roman" w:hAnsi="Times New Roman" w:cs="Times New Roman"/>
          <w:sz w:val="28"/>
          <w:szCs w:val="28"/>
          <w:lang w:val="uk-UA"/>
        </w:rPr>
        <w:t xml:space="preserve"> різноманітній вибірці. </w:t>
      </w:r>
      <w:r>
        <w:rPr>
          <w:rFonts w:ascii="Times New Roman" w:hAnsi="Times New Roman" w:cs="Times New Roman"/>
          <w:sz w:val="28"/>
          <w:szCs w:val="28"/>
          <w:lang w:val="uk-UA"/>
        </w:rPr>
        <w:t>Тому вважаємо раціональним</w:t>
      </w:r>
      <w:r w:rsidRPr="00AE39D0">
        <w:rPr>
          <w:rFonts w:ascii="Times New Roman" w:hAnsi="Times New Roman" w:cs="Times New Roman"/>
          <w:sz w:val="28"/>
          <w:szCs w:val="28"/>
          <w:lang w:val="uk-UA"/>
        </w:rPr>
        <w:t xml:space="preserve"> розгля</w:t>
      </w:r>
      <w:r>
        <w:rPr>
          <w:rFonts w:ascii="Times New Roman" w:hAnsi="Times New Roman" w:cs="Times New Roman"/>
          <w:sz w:val="28"/>
          <w:szCs w:val="28"/>
          <w:lang w:val="uk-UA"/>
        </w:rPr>
        <w:t>нути</w:t>
      </w:r>
      <w:r w:rsidRPr="00AE39D0">
        <w:rPr>
          <w:rFonts w:ascii="Times New Roman" w:hAnsi="Times New Roman" w:cs="Times New Roman"/>
          <w:sz w:val="28"/>
          <w:szCs w:val="28"/>
          <w:lang w:val="uk-UA"/>
        </w:rPr>
        <w:t xml:space="preserve"> основні результати дослідження та </w:t>
      </w:r>
      <w:r>
        <w:rPr>
          <w:rFonts w:ascii="Times New Roman" w:hAnsi="Times New Roman" w:cs="Times New Roman"/>
          <w:sz w:val="28"/>
          <w:szCs w:val="28"/>
          <w:lang w:val="uk-UA"/>
        </w:rPr>
        <w:t>запропонувати</w:t>
      </w:r>
      <w:r w:rsidRPr="00AE39D0">
        <w:rPr>
          <w:rFonts w:ascii="Times New Roman" w:hAnsi="Times New Roman" w:cs="Times New Roman"/>
          <w:sz w:val="28"/>
          <w:szCs w:val="28"/>
          <w:lang w:val="uk-UA"/>
        </w:rPr>
        <w:t xml:space="preserve"> </w:t>
      </w:r>
      <w:r w:rsidRPr="00743742">
        <w:rPr>
          <w:rFonts w:ascii="Times New Roman" w:hAnsi="Times New Roman" w:cs="Times New Roman"/>
          <w:sz w:val="28"/>
          <w:szCs w:val="28"/>
          <w:lang w:val="uk-UA"/>
        </w:rPr>
        <w:t>деякі конкретні пропозиції щодо появи схем успішної кар’єри на рівні країни.</w:t>
      </w:r>
    </w:p>
    <w:p w14:paraId="3F6B1863" w14:textId="77777777" w:rsidR="00571B42" w:rsidRPr="004740F0" w:rsidRDefault="00571B42" w:rsidP="00571B42">
      <w:pPr>
        <w:spacing w:after="0" w:line="360" w:lineRule="auto"/>
        <w:ind w:firstLine="720"/>
        <w:jc w:val="both"/>
        <w:rPr>
          <w:rFonts w:ascii="Times New Roman" w:hAnsi="Times New Roman" w:cs="Times New Roman"/>
          <w:sz w:val="28"/>
          <w:szCs w:val="28"/>
          <w:lang w:val="uk-UA"/>
        </w:rPr>
      </w:pPr>
      <w:r w:rsidRPr="00743742">
        <w:rPr>
          <w:rFonts w:ascii="Times New Roman" w:hAnsi="Times New Roman" w:cs="Times New Roman"/>
          <w:sz w:val="28"/>
          <w:szCs w:val="28"/>
          <w:lang w:val="uk-UA"/>
        </w:rPr>
        <w:t>У той час як в деяких країнах (наприклад, Південна Корея, Бразилія та Китай) люди мали тенденцію об’єднувати багато значень успіху в кар’єрі, в інших країнах (наприклад, у Бельгії, Італії та Сполучених Штатах) люди згруповують значення успіху в кар’єрі за більш складними способами. Крім того, рівень конвергенції схем кар’єрного успіху окремих людей сильно відрізняється в різних країнах. Норвегія, наприклад, продемонструє найсильнішу конвергенцію, а Індія – найменшу</w:t>
      </w:r>
      <w:r w:rsidRPr="005D1B01">
        <w:rPr>
          <w:rFonts w:ascii="Times New Roman" w:hAnsi="Times New Roman" w:cs="Times New Roman"/>
          <w:sz w:val="28"/>
          <w:szCs w:val="28"/>
          <w:lang w:val="uk-UA"/>
        </w:rPr>
        <w:t xml:space="preserve"> [67]</w:t>
      </w:r>
      <w:r w:rsidRPr="00743742">
        <w:rPr>
          <w:rFonts w:ascii="Times New Roman" w:hAnsi="Times New Roman" w:cs="Times New Roman"/>
          <w:sz w:val="28"/>
          <w:szCs w:val="28"/>
          <w:lang w:val="uk-UA"/>
        </w:rPr>
        <w:t>.</w:t>
      </w:r>
    </w:p>
    <w:p w14:paraId="0A9363C3" w14:textId="77777777" w:rsidR="00571B42" w:rsidRPr="004740F0" w:rsidRDefault="00571B42" w:rsidP="00571B42">
      <w:pPr>
        <w:spacing w:after="0" w:line="360" w:lineRule="auto"/>
        <w:ind w:firstLine="720"/>
        <w:jc w:val="both"/>
        <w:rPr>
          <w:rFonts w:ascii="Times New Roman" w:hAnsi="Times New Roman" w:cs="Times New Roman"/>
          <w:sz w:val="28"/>
          <w:szCs w:val="28"/>
          <w:lang w:val="uk-UA"/>
        </w:rPr>
      </w:pPr>
      <w:r w:rsidRPr="004740F0">
        <w:rPr>
          <w:rFonts w:ascii="Times New Roman" w:hAnsi="Times New Roman" w:cs="Times New Roman"/>
          <w:sz w:val="28"/>
          <w:szCs w:val="28"/>
          <w:lang w:val="uk-UA"/>
        </w:rPr>
        <w:lastRenderedPageBreak/>
        <w:t>Крім того</w:t>
      </w:r>
      <w:r>
        <w:rPr>
          <w:rFonts w:ascii="Times New Roman" w:hAnsi="Times New Roman" w:cs="Times New Roman"/>
          <w:sz w:val="28"/>
          <w:szCs w:val="28"/>
          <w:lang w:val="uk-UA"/>
        </w:rPr>
        <w:t>, варто зазначити, що</w:t>
      </w:r>
      <w:r w:rsidRPr="004740F0">
        <w:rPr>
          <w:rFonts w:ascii="Times New Roman" w:hAnsi="Times New Roman" w:cs="Times New Roman"/>
          <w:sz w:val="28"/>
          <w:szCs w:val="28"/>
          <w:lang w:val="uk-UA"/>
        </w:rPr>
        <w:t xml:space="preserve"> модульна схема успіху кар’єри, яка представляє домінуючий, багатовимірний погляд на суб’єктивний успіх кар’єри в сучасній літературі про кар’єру </w:t>
      </w:r>
      <w:r w:rsidRPr="005D1B01">
        <w:rPr>
          <w:rFonts w:ascii="Times New Roman" w:hAnsi="Times New Roman" w:cs="Times New Roman"/>
          <w:sz w:val="28"/>
          <w:szCs w:val="28"/>
          <w:lang w:val="uk-UA"/>
        </w:rPr>
        <w:t>[13]</w:t>
      </w:r>
      <w:r w:rsidRPr="004740F0">
        <w:rPr>
          <w:rFonts w:ascii="Times New Roman" w:hAnsi="Times New Roman" w:cs="Times New Roman"/>
          <w:sz w:val="28"/>
          <w:szCs w:val="28"/>
          <w:lang w:val="uk-UA"/>
        </w:rPr>
        <w:t xml:space="preserve">, є лише одним із чотирьох архетипів схем успіху кар’єри, інші є цілісними, дифузними та слабко модульними. Додатковим зауваженням є те, що країни, де було проведено більшість досліджень щодо багатовимірної природи успіху в кар’єрі, зазвичай належать до цього кластеру. Таким чином, </w:t>
      </w:r>
      <w:r>
        <w:rPr>
          <w:rFonts w:ascii="Times New Roman" w:hAnsi="Times New Roman" w:cs="Times New Roman"/>
          <w:sz w:val="28"/>
          <w:szCs w:val="28"/>
          <w:lang w:val="uk-UA"/>
        </w:rPr>
        <w:t>доцільно</w:t>
      </w:r>
      <w:r w:rsidRPr="004740F0">
        <w:rPr>
          <w:rFonts w:ascii="Times New Roman" w:hAnsi="Times New Roman" w:cs="Times New Roman"/>
          <w:sz w:val="28"/>
          <w:szCs w:val="28"/>
          <w:lang w:val="uk-UA"/>
        </w:rPr>
        <w:t xml:space="preserve"> зробити висновок, по-перше, що різні схеми успішної кар’єри зустрічаються в різних країнах, і, по-друге, що порівняльні дослідники та практики HRM у багатонаціональних компаніях повинні пам’ятати про домінування модульної точки зору на успіх кар’єри.</w:t>
      </w:r>
    </w:p>
    <w:p w14:paraId="5366E27E" w14:textId="5BC10711" w:rsidR="00571B42" w:rsidRPr="004740F0" w:rsidRDefault="00571B42" w:rsidP="00571B42">
      <w:pPr>
        <w:spacing w:after="0" w:line="360" w:lineRule="auto"/>
        <w:ind w:firstLine="720"/>
        <w:jc w:val="both"/>
        <w:rPr>
          <w:rFonts w:ascii="Times New Roman" w:hAnsi="Times New Roman" w:cs="Times New Roman"/>
          <w:sz w:val="28"/>
          <w:szCs w:val="28"/>
          <w:lang w:val="uk-UA"/>
        </w:rPr>
      </w:pPr>
      <w:r w:rsidRPr="004740F0">
        <w:rPr>
          <w:rFonts w:ascii="Times New Roman" w:hAnsi="Times New Roman" w:cs="Times New Roman"/>
          <w:sz w:val="28"/>
          <w:szCs w:val="28"/>
          <w:lang w:val="uk-UA"/>
        </w:rPr>
        <w:t xml:space="preserve">Це не лише теоретично важливо, але, ймовірно, також впливає на практику організаційного управління кар’єрою в </w:t>
      </w:r>
      <w:r>
        <w:rPr>
          <w:rFonts w:ascii="Times New Roman" w:hAnsi="Times New Roman" w:cs="Times New Roman"/>
          <w:sz w:val="28"/>
          <w:szCs w:val="28"/>
          <w:lang w:val="uk-UA"/>
        </w:rPr>
        <w:t>міжнародних компаніях</w:t>
      </w:r>
      <w:r w:rsidRPr="004740F0">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Таким чином можна припустити</w:t>
      </w:r>
      <w:r w:rsidRPr="004740F0">
        <w:rPr>
          <w:rFonts w:ascii="Times New Roman" w:hAnsi="Times New Roman" w:cs="Times New Roman"/>
          <w:sz w:val="28"/>
          <w:szCs w:val="28"/>
          <w:lang w:val="uk-UA"/>
        </w:rPr>
        <w:t xml:space="preserve">, що одночасна наявність високої складності та конвергенції схеми на рівні країни є важливою умовою для осмисленої інтерпретації багатовимірних моделей кар’єрного успіху, з одного боку, та значущих порівнянь між країнами, з іншого. Конвергенція схем, зокрема, важлива для інтерпретації схем кар’єрного успіху в країні як «спільних». Коли конвергенція низька, стає важко інтерпретувати розуміння країни кар’єрного успіху на колективному рівні </w:t>
      </w:r>
      <w:r w:rsidRPr="005D1B01">
        <w:rPr>
          <w:rFonts w:ascii="Times New Roman" w:hAnsi="Times New Roman" w:cs="Times New Roman"/>
          <w:sz w:val="28"/>
          <w:szCs w:val="28"/>
        </w:rPr>
        <w:t>[21</w:t>
      </w:r>
      <w:r w:rsidR="002C3DBA">
        <w:rPr>
          <w:rFonts w:ascii="Times New Roman" w:hAnsi="Times New Roman" w:cs="Times New Roman"/>
          <w:sz w:val="28"/>
          <w:szCs w:val="28"/>
          <w:lang w:val="uk-UA"/>
        </w:rPr>
        <w:t>;</w:t>
      </w:r>
      <w:r w:rsidRPr="005D1B01">
        <w:rPr>
          <w:rFonts w:ascii="Times New Roman" w:hAnsi="Times New Roman" w:cs="Times New Roman"/>
          <w:sz w:val="28"/>
          <w:szCs w:val="28"/>
        </w:rPr>
        <w:t xml:space="preserve"> 36</w:t>
      </w:r>
      <w:r w:rsidR="002C3DBA">
        <w:rPr>
          <w:rFonts w:ascii="Times New Roman" w:hAnsi="Times New Roman" w:cs="Times New Roman"/>
          <w:sz w:val="28"/>
          <w:szCs w:val="28"/>
          <w:lang w:val="uk-UA"/>
        </w:rPr>
        <w:t>;</w:t>
      </w:r>
      <w:r w:rsidRPr="005D1B01">
        <w:rPr>
          <w:rFonts w:ascii="Times New Roman" w:hAnsi="Times New Roman" w:cs="Times New Roman"/>
          <w:sz w:val="28"/>
          <w:szCs w:val="28"/>
        </w:rPr>
        <w:t xml:space="preserve"> 68]</w:t>
      </w:r>
      <w:r w:rsidRPr="004740F0">
        <w:rPr>
          <w:rFonts w:ascii="Times New Roman" w:hAnsi="Times New Roman" w:cs="Times New Roman"/>
          <w:sz w:val="28"/>
          <w:szCs w:val="28"/>
          <w:lang w:val="uk-UA"/>
        </w:rPr>
        <w:t>.</w:t>
      </w:r>
    </w:p>
    <w:p w14:paraId="2D0BCD86" w14:textId="77777777" w:rsidR="00571B42" w:rsidRPr="004740F0"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висновком може стати те</w:t>
      </w:r>
      <w:r w:rsidRPr="004740F0">
        <w:rPr>
          <w:rFonts w:ascii="Times New Roman" w:hAnsi="Times New Roman" w:cs="Times New Roman"/>
          <w:sz w:val="28"/>
          <w:szCs w:val="28"/>
          <w:lang w:val="uk-UA"/>
        </w:rPr>
        <w:t xml:space="preserve">, що відмінності між країнами в характеристиках схем суттєво пов’язані з різними конфігураціями контекстуальних факторів, що демонструє контекстну </w:t>
      </w:r>
      <w:proofErr w:type="spellStart"/>
      <w:r w:rsidRPr="004740F0">
        <w:rPr>
          <w:rFonts w:ascii="Times New Roman" w:hAnsi="Times New Roman" w:cs="Times New Roman"/>
          <w:sz w:val="28"/>
          <w:szCs w:val="28"/>
          <w:lang w:val="uk-UA"/>
        </w:rPr>
        <w:t>вбудованість</w:t>
      </w:r>
      <w:proofErr w:type="spellEnd"/>
      <w:r w:rsidRPr="004740F0">
        <w:rPr>
          <w:rFonts w:ascii="Times New Roman" w:hAnsi="Times New Roman" w:cs="Times New Roman"/>
          <w:sz w:val="28"/>
          <w:szCs w:val="28"/>
          <w:lang w:val="uk-UA"/>
        </w:rPr>
        <w:t xml:space="preserve"> схем кар’єрного успіху. Особливо </w:t>
      </w:r>
      <w:r>
        <w:rPr>
          <w:rFonts w:ascii="Times New Roman" w:hAnsi="Times New Roman" w:cs="Times New Roman"/>
          <w:sz w:val="28"/>
          <w:szCs w:val="28"/>
          <w:lang w:val="uk-UA"/>
        </w:rPr>
        <w:t>варто виділити</w:t>
      </w:r>
      <w:r w:rsidRPr="004740F0">
        <w:rPr>
          <w:rFonts w:ascii="Times New Roman" w:hAnsi="Times New Roman" w:cs="Times New Roman"/>
          <w:sz w:val="28"/>
          <w:szCs w:val="28"/>
          <w:lang w:val="uk-UA"/>
        </w:rPr>
        <w:t xml:space="preserve">, </w:t>
      </w:r>
      <w:r>
        <w:rPr>
          <w:rFonts w:ascii="Times New Roman" w:hAnsi="Times New Roman" w:cs="Times New Roman"/>
          <w:sz w:val="28"/>
          <w:szCs w:val="28"/>
          <w:lang w:val="uk-UA"/>
        </w:rPr>
        <w:t>що н</w:t>
      </w:r>
      <w:r w:rsidRPr="004740F0">
        <w:rPr>
          <w:rFonts w:ascii="Times New Roman" w:hAnsi="Times New Roman" w:cs="Times New Roman"/>
          <w:sz w:val="28"/>
          <w:szCs w:val="28"/>
          <w:lang w:val="uk-UA"/>
        </w:rPr>
        <w:t>изька складність кар’єрної схеми зазвичай спостерігається в інституційних умовах, що характеризуються поєднанням низького рівня індивідуалізму та високої дистанції влади.</w:t>
      </w:r>
      <w:r>
        <w:rPr>
          <w:rFonts w:ascii="Times New Roman" w:hAnsi="Times New Roman" w:cs="Times New Roman"/>
          <w:sz w:val="28"/>
          <w:szCs w:val="28"/>
          <w:lang w:val="uk-UA"/>
        </w:rPr>
        <w:t xml:space="preserve"> В свою чергу, в</w:t>
      </w:r>
      <w:r w:rsidRPr="004740F0">
        <w:rPr>
          <w:rFonts w:ascii="Times New Roman" w:hAnsi="Times New Roman" w:cs="Times New Roman"/>
          <w:sz w:val="28"/>
          <w:szCs w:val="28"/>
          <w:lang w:val="uk-UA"/>
        </w:rPr>
        <w:t>исока конвергенція схем кар’єри зазвичай спостерігається в інституційних умовах, що характеризуються високим загальним розвитком країни.</w:t>
      </w:r>
      <w:r>
        <w:rPr>
          <w:rFonts w:ascii="Times New Roman" w:hAnsi="Times New Roman" w:cs="Times New Roman"/>
          <w:sz w:val="28"/>
          <w:szCs w:val="28"/>
          <w:lang w:val="uk-UA"/>
        </w:rPr>
        <w:t xml:space="preserve"> </w:t>
      </w:r>
      <w:r w:rsidRPr="004740F0">
        <w:rPr>
          <w:rFonts w:ascii="Times New Roman" w:hAnsi="Times New Roman" w:cs="Times New Roman"/>
          <w:sz w:val="28"/>
          <w:szCs w:val="28"/>
          <w:lang w:val="uk-UA"/>
        </w:rPr>
        <w:t>Високий загальний розвиток країни також став необхідною умовою для модульної схеми успішної кар’єри, де мають бути присутні як висока</w:t>
      </w:r>
      <w:r>
        <w:rPr>
          <w:rFonts w:ascii="Times New Roman" w:hAnsi="Times New Roman" w:cs="Times New Roman"/>
          <w:sz w:val="28"/>
          <w:szCs w:val="28"/>
          <w:lang w:val="uk-UA"/>
        </w:rPr>
        <w:t xml:space="preserve"> складність, </w:t>
      </w:r>
      <w:r>
        <w:rPr>
          <w:rFonts w:ascii="Times New Roman" w:hAnsi="Times New Roman" w:cs="Times New Roman"/>
          <w:sz w:val="28"/>
          <w:szCs w:val="28"/>
          <w:lang w:val="uk-UA"/>
        </w:rPr>
        <w:lastRenderedPageBreak/>
        <w:t>так і конвергенція. Саме тому</w:t>
      </w:r>
      <w:r w:rsidRPr="004740F0">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4740F0">
        <w:rPr>
          <w:rFonts w:ascii="Times New Roman" w:hAnsi="Times New Roman" w:cs="Times New Roman"/>
          <w:sz w:val="28"/>
          <w:szCs w:val="28"/>
          <w:lang w:val="uk-UA"/>
        </w:rPr>
        <w:t>исокий загальний розвиток країни є необхідною умовою для розробки модульної схеми успіху кар'єри на рівні країни</w:t>
      </w:r>
      <w:r>
        <w:rPr>
          <w:rFonts w:ascii="Times New Roman" w:hAnsi="Times New Roman" w:cs="Times New Roman"/>
          <w:sz w:val="28"/>
          <w:szCs w:val="28"/>
          <w:lang w:val="uk-UA"/>
        </w:rPr>
        <w:t xml:space="preserve"> </w:t>
      </w:r>
      <w:r w:rsidRPr="005D1B01">
        <w:rPr>
          <w:rFonts w:ascii="Times New Roman" w:hAnsi="Times New Roman" w:cs="Times New Roman"/>
          <w:sz w:val="28"/>
          <w:szCs w:val="28"/>
        </w:rPr>
        <w:t>[</w:t>
      </w:r>
      <w:r>
        <w:rPr>
          <w:rFonts w:ascii="Times New Roman" w:hAnsi="Times New Roman" w:cs="Times New Roman"/>
          <w:sz w:val="28"/>
          <w:szCs w:val="28"/>
          <w:lang w:val="uk-UA"/>
        </w:rPr>
        <w:t>69</w:t>
      </w:r>
      <w:r w:rsidRPr="005D1B01">
        <w:rPr>
          <w:rFonts w:ascii="Times New Roman" w:hAnsi="Times New Roman" w:cs="Times New Roman"/>
          <w:sz w:val="28"/>
          <w:szCs w:val="28"/>
        </w:rPr>
        <w:t>]</w:t>
      </w:r>
      <w:r w:rsidRPr="004740F0">
        <w:rPr>
          <w:rFonts w:ascii="Times New Roman" w:hAnsi="Times New Roman" w:cs="Times New Roman"/>
          <w:sz w:val="28"/>
          <w:szCs w:val="28"/>
          <w:lang w:val="uk-UA"/>
        </w:rPr>
        <w:t>.</w:t>
      </w:r>
    </w:p>
    <w:p w14:paraId="38D847AD" w14:textId="5B5956AE" w:rsidR="00571B42" w:rsidRPr="004740F0" w:rsidRDefault="00571B42" w:rsidP="00571B42">
      <w:pPr>
        <w:spacing w:after="0" w:line="360" w:lineRule="auto"/>
        <w:ind w:firstLine="720"/>
        <w:jc w:val="both"/>
        <w:rPr>
          <w:rFonts w:ascii="Times New Roman" w:hAnsi="Times New Roman" w:cs="Times New Roman"/>
          <w:sz w:val="28"/>
          <w:szCs w:val="28"/>
          <w:lang w:val="uk-UA"/>
        </w:rPr>
      </w:pPr>
      <w:r w:rsidRPr="004740F0">
        <w:rPr>
          <w:rFonts w:ascii="Times New Roman" w:hAnsi="Times New Roman" w:cs="Times New Roman"/>
          <w:sz w:val="28"/>
          <w:szCs w:val="28"/>
          <w:lang w:val="uk-UA"/>
        </w:rPr>
        <w:t xml:space="preserve">У </w:t>
      </w:r>
      <w:proofErr w:type="spellStart"/>
      <w:r w:rsidRPr="004740F0">
        <w:rPr>
          <w:rFonts w:ascii="Times New Roman" w:hAnsi="Times New Roman" w:cs="Times New Roman"/>
          <w:sz w:val="28"/>
          <w:szCs w:val="28"/>
          <w:lang w:val="uk-UA"/>
        </w:rPr>
        <w:t>високорозвинутих</w:t>
      </w:r>
      <w:proofErr w:type="spellEnd"/>
      <w:r w:rsidRPr="004740F0">
        <w:rPr>
          <w:rFonts w:ascii="Times New Roman" w:hAnsi="Times New Roman" w:cs="Times New Roman"/>
          <w:sz w:val="28"/>
          <w:szCs w:val="28"/>
          <w:lang w:val="uk-UA"/>
        </w:rPr>
        <w:t xml:space="preserve"> країнах, швидше за все, буде менше обмежень щодо наявності, доступності та активації різних значень успіху в кар’єрі, а отже, складніше схеми успіху в кар’єрі </w:t>
      </w:r>
      <w:r w:rsidRPr="005D1B01">
        <w:rPr>
          <w:rFonts w:ascii="Times New Roman" w:hAnsi="Times New Roman" w:cs="Times New Roman"/>
          <w:sz w:val="28"/>
          <w:szCs w:val="28"/>
        </w:rPr>
        <w:t>[</w:t>
      </w:r>
      <w:r>
        <w:rPr>
          <w:rFonts w:ascii="Times New Roman" w:hAnsi="Times New Roman" w:cs="Times New Roman"/>
          <w:sz w:val="28"/>
          <w:szCs w:val="28"/>
          <w:lang w:val="uk-UA"/>
        </w:rPr>
        <w:t>70</w:t>
      </w:r>
      <w:r w:rsidRPr="005D1B01">
        <w:rPr>
          <w:rFonts w:ascii="Times New Roman" w:hAnsi="Times New Roman" w:cs="Times New Roman"/>
          <w:sz w:val="28"/>
          <w:szCs w:val="28"/>
        </w:rPr>
        <w:t>]</w:t>
      </w:r>
      <w:r w:rsidRPr="004740F0">
        <w:rPr>
          <w:rFonts w:ascii="Times New Roman" w:hAnsi="Times New Roman" w:cs="Times New Roman"/>
          <w:sz w:val="28"/>
          <w:szCs w:val="28"/>
          <w:lang w:val="uk-UA"/>
        </w:rPr>
        <w:t xml:space="preserve">. Простіше кажучи, це означає, що ширший діапазон значень успіху в кар’єрі буде доступним для більшого кола людей у таких країнах </w:t>
      </w:r>
      <w:r w:rsidRPr="005D1B01">
        <w:rPr>
          <w:rFonts w:ascii="Times New Roman" w:hAnsi="Times New Roman" w:cs="Times New Roman"/>
          <w:sz w:val="28"/>
          <w:szCs w:val="28"/>
        </w:rPr>
        <w:t>[42</w:t>
      </w:r>
      <w:r w:rsidR="00A4269D">
        <w:rPr>
          <w:rFonts w:ascii="Times New Roman" w:hAnsi="Times New Roman" w:cs="Times New Roman"/>
          <w:sz w:val="28"/>
          <w:szCs w:val="28"/>
          <w:lang w:val="uk-UA"/>
        </w:rPr>
        <w:t>;</w:t>
      </w:r>
      <w:r w:rsidRPr="005D1B01">
        <w:rPr>
          <w:rFonts w:ascii="Times New Roman" w:hAnsi="Times New Roman" w:cs="Times New Roman"/>
          <w:sz w:val="28"/>
          <w:szCs w:val="28"/>
        </w:rPr>
        <w:t xml:space="preserve"> 71]</w:t>
      </w:r>
      <w:r w:rsidRPr="004740F0">
        <w:rPr>
          <w:rFonts w:ascii="Times New Roman" w:hAnsi="Times New Roman" w:cs="Times New Roman"/>
          <w:sz w:val="28"/>
          <w:szCs w:val="28"/>
          <w:lang w:val="uk-UA"/>
        </w:rPr>
        <w:t xml:space="preserve">. У той же час ці країни мають більше шансів досягти конвергенції схем, можливо, через те, що їхні освітні системи є більш стандартизованими, що стимулює спільне редагування </w:t>
      </w:r>
      <w:r w:rsidR="00A4269D">
        <w:rPr>
          <w:rFonts w:ascii="Times New Roman" w:hAnsi="Times New Roman" w:cs="Times New Roman"/>
          <w:sz w:val="28"/>
          <w:szCs w:val="28"/>
          <w:lang w:val="uk-UA"/>
        </w:rPr>
        <w:t>–</w:t>
      </w:r>
      <w:r w:rsidRPr="004740F0">
        <w:rPr>
          <w:rFonts w:ascii="Times New Roman" w:hAnsi="Times New Roman" w:cs="Times New Roman"/>
          <w:sz w:val="28"/>
          <w:szCs w:val="28"/>
          <w:lang w:val="uk-UA"/>
        </w:rPr>
        <w:t xml:space="preserve"> тобто жорстку нормативну соціалізацію </w:t>
      </w:r>
      <w:r w:rsidR="00A4269D">
        <w:rPr>
          <w:rFonts w:ascii="Times New Roman" w:hAnsi="Times New Roman" w:cs="Times New Roman"/>
          <w:sz w:val="28"/>
          <w:szCs w:val="28"/>
          <w:lang w:val="uk-UA"/>
        </w:rPr>
        <w:t>–</w:t>
      </w:r>
      <w:r w:rsidRPr="004740F0">
        <w:rPr>
          <w:rFonts w:ascii="Times New Roman" w:hAnsi="Times New Roman" w:cs="Times New Roman"/>
          <w:sz w:val="28"/>
          <w:szCs w:val="28"/>
          <w:lang w:val="uk-UA"/>
        </w:rPr>
        <w:t xml:space="preserve"> значень кар’єрного успіху людей, коли вони досягають працездатного віку</w:t>
      </w:r>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w:t>
      </w:r>
      <w:r>
        <w:rPr>
          <w:rFonts w:ascii="Times New Roman" w:hAnsi="Times New Roman" w:cs="Times New Roman"/>
          <w:sz w:val="28"/>
          <w:szCs w:val="28"/>
          <w:lang w:val="uk-UA"/>
        </w:rPr>
        <w:t>0</w:t>
      </w:r>
      <w:r w:rsidRPr="005D1B01">
        <w:rPr>
          <w:rFonts w:ascii="Times New Roman" w:hAnsi="Times New Roman" w:cs="Times New Roman"/>
          <w:sz w:val="28"/>
          <w:szCs w:val="28"/>
          <w:lang w:val="uk-UA"/>
        </w:rPr>
        <w:t>]</w:t>
      </w:r>
      <w:r w:rsidRPr="004740F0">
        <w:rPr>
          <w:rFonts w:ascii="Times New Roman" w:hAnsi="Times New Roman" w:cs="Times New Roman"/>
          <w:sz w:val="28"/>
          <w:szCs w:val="28"/>
          <w:lang w:val="uk-UA"/>
        </w:rPr>
        <w:t xml:space="preserve">. Однак </w:t>
      </w:r>
      <w:r>
        <w:rPr>
          <w:rFonts w:ascii="Times New Roman" w:hAnsi="Times New Roman" w:cs="Times New Roman"/>
          <w:sz w:val="28"/>
          <w:szCs w:val="28"/>
          <w:lang w:val="uk-UA"/>
        </w:rPr>
        <w:t xml:space="preserve">наведені твердження </w:t>
      </w:r>
      <w:r w:rsidRPr="004740F0">
        <w:rPr>
          <w:rFonts w:ascii="Times New Roman" w:hAnsi="Times New Roman" w:cs="Times New Roman"/>
          <w:sz w:val="28"/>
          <w:szCs w:val="28"/>
          <w:lang w:val="uk-UA"/>
        </w:rPr>
        <w:t xml:space="preserve">не означають автоматично, що всі високорозвинені країни матимуть </w:t>
      </w:r>
      <w:r>
        <w:rPr>
          <w:rFonts w:ascii="Times New Roman" w:hAnsi="Times New Roman" w:cs="Times New Roman"/>
          <w:sz w:val="28"/>
          <w:szCs w:val="28"/>
          <w:lang w:val="uk-UA"/>
        </w:rPr>
        <w:t xml:space="preserve">модульну схему успішної кар’єри. </w:t>
      </w:r>
      <w:r w:rsidRPr="004740F0">
        <w:rPr>
          <w:rFonts w:ascii="Times New Roman" w:hAnsi="Times New Roman" w:cs="Times New Roman"/>
          <w:sz w:val="28"/>
          <w:szCs w:val="28"/>
          <w:lang w:val="uk-UA"/>
        </w:rPr>
        <w:t>Високий загальний розвиток країни є необхідною, але недостатньою умовою для розробки модульної схеми успішності кар’єри на рівні країни.</w:t>
      </w:r>
    </w:p>
    <w:p w14:paraId="5C4281F3"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4740F0">
        <w:rPr>
          <w:rFonts w:ascii="Times New Roman" w:hAnsi="Times New Roman" w:cs="Times New Roman"/>
          <w:sz w:val="28"/>
          <w:szCs w:val="28"/>
          <w:lang w:val="uk-UA"/>
        </w:rPr>
        <w:t xml:space="preserve">Щоб підтвердити це твердження, </w:t>
      </w:r>
      <w:r>
        <w:rPr>
          <w:rFonts w:ascii="Times New Roman" w:hAnsi="Times New Roman" w:cs="Times New Roman"/>
          <w:sz w:val="28"/>
          <w:szCs w:val="28"/>
          <w:lang w:val="uk-UA"/>
        </w:rPr>
        <w:t>важливо зауважити</w:t>
      </w:r>
      <w:r w:rsidRPr="004740F0">
        <w:rPr>
          <w:rFonts w:ascii="Times New Roman" w:hAnsi="Times New Roman" w:cs="Times New Roman"/>
          <w:sz w:val="28"/>
          <w:szCs w:val="28"/>
          <w:lang w:val="uk-UA"/>
        </w:rPr>
        <w:t xml:space="preserve">, що Південна Корея та Франція не належали до модульного архетипу, незважаючи на високий рівень загального розвитку країни. Таким чином, </w:t>
      </w:r>
      <w:r>
        <w:rPr>
          <w:rFonts w:ascii="Times New Roman" w:hAnsi="Times New Roman" w:cs="Times New Roman"/>
          <w:sz w:val="28"/>
          <w:szCs w:val="28"/>
          <w:lang w:val="uk-UA"/>
        </w:rPr>
        <w:t>наведені результати</w:t>
      </w:r>
      <w:r w:rsidRPr="004740F0">
        <w:rPr>
          <w:rFonts w:ascii="Times New Roman" w:hAnsi="Times New Roman" w:cs="Times New Roman"/>
          <w:sz w:val="28"/>
          <w:szCs w:val="28"/>
          <w:lang w:val="uk-UA"/>
        </w:rPr>
        <w:t xml:space="preserve"> дослідження підтверджу</w:t>
      </w:r>
      <w:r>
        <w:rPr>
          <w:rFonts w:ascii="Times New Roman" w:hAnsi="Times New Roman" w:cs="Times New Roman"/>
          <w:sz w:val="28"/>
          <w:szCs w:val="28"/>
          <w:lang w:val="uk-UA"/>
        </w:rPr>
        <w:t>ють</w:t>
      </w:r>
      <w:r w:rsidRPr="004740F0">
        <w:rPr>
          <w:rFonts w:ascii="Times New Roman" w:hAnsi="Times New Roman" w:cs="Times New Roman"/>
          <w:sz w:val="28"/>
          <w:szCs w:val="28"/>
          <w:lang w:val="uk-UA"/>
        </w:rPr>
        <w:t xml:space="preserve">, що хоча певні інституційні фактори можуть відігравати ключову роль у розумінні відмінностей країн у схемах успішної кар’єри, конфігураційний підхід є більш доцільним, щоб повністю зрозуміти, як набори інституційних факторів пов’язані зі складністю та конвергенцією схем кар’єрного успіху та їх взаємовпливом </w:t>
      </w:r>
      <w:r w:rsidRPr="005D1B01">
        <w:rPr>
          <w:rFonts w:ascii="Times New Roman" w:hAnsi="Times New Roman" w:cs="Times New Roman"/>
          <w:sz w:val="28"/>
          <w:szCs w:val="28"/>
          <w:lang w:val="uk-UA"/>
        </w:rPr>
        <w:t>[27]</w:t>
      </w:r>
      <w:r w:rsidRPr="004740F0">
        <w:rPr>
          <w:rFonts w:ascii="Times New Roman" w:hAnsi="Times New Roman" w:cs="Times New Roman"/>
          <w:sz w:val="28"/>
          <w:szCs w:val="28"/>
          <w:lang w:val="uk-UA"/>
        </w:rPr>
        <w:t>.</w:t>
      </w:r>
    </w:p>
    <w:p w14:paraId="7E8039C4" w14:textId="77777777" w:rsidR="00571B42" w:rsidRPr="004740F0" w:rsidRDefault="00571B42" w:rsidP="00571B42">
      <w:pPr>
        <w:spacing w:after="0" w:line="360" w:lineRule="auto"/>
        <w:ind w:firstLine="720"/>
        <w:jc w:val="both"/>
        <w:rPr>
          <w:rFonts w:ascii="Times New Roman" w:hAnsi="Times New Roman" w:cs="Times New Roman"/>
          <w:sz w:val="28"/>
          <w:szCs w:val="28"/>
          <w:lang w:val="uk-UA"/>
        </w:rPr>
      </w:pPr>
      <w:r w:rsidRPr="004740F0">
        <w:rPr>
          <w:rFonts w:ascii="Times New Roman" w:hAnsi="Times New Roman" w:cs="Times New Roman"/>
          <w:sz w:val="28"/>
          <w:szCs w:val="28"/>
          <w:lang w:val="uk-UA"/>
        </w:rPr>
        <w:t xml:space="preserve">По-перше, </w:t>
      </w:r>
      <w:r>
        <w:rPr>
          <w:rFonts w:ascii="Times New Roman" w:hAnsi="Times New Roman" w:cs="Times New Roman"/>
          <w:sz w:val="28"/>
          <w:szCs w:val="28"/>
          <w:lang w:val="uk-UA"/>
        </w:rPr>
        <w:t>описані</w:t>
      </w:r>
      <w:r w:rsidRPr="004740F0">
        <w:rPr>
          <w:rFonts w:ascii="Times New Roman" w:hAnsi="Times New Roman" w:cs="Times New Roman"/>
          <w:sz w:val="28"/>
          <w:szCs w:val="28"/>
          <w:lang w:val="uk-UA"/>
        </w:rPr>
        <w:t xml:space="preserve"> результати демонструють і ставлять під сумнів домінування модульних схем кар’єрного успіху в кар’єрних дослідженнях, зокрема неявне припущення, що суб’єктивний кар’єрний успіх є багатовимірною конструкцією, яка складається з відносно великої кількості різних незалежних факторів. </w:t>
      </w:r>
      <w:r>
        <w:rPr>
          <w:rFonts w:ascii="Times New Roman" w:hAnsi="Times New Roman" w:cs="Times New Roman"/>
          <w:sz w:val="28"/>
          <w:szCs w:val="28"/>
          <w:lang w:val="uk-UA"/>
        </w:rPr>
        <w:t>Важливо підкреслити</w:t>
      </w:r>
      <w:r w:rsidRPr="004740F0">
        <w:rPr>
          <w:rFonts w:ascii="Times New Roman" w:hAnsi="Times New Roman" w:cs="Times New Roman"/>
          <w:sz w:val="28"/>
          <w:szCs w:val="28"/>
          <w:lang w:val="uk-UA"/>
        </w:rPr>
        <w:t xml:space="preserve">, що модульна схема успішної кар’єри застосовна лише в певних країнах. Тому актуальним для майбутніх досліджень дослідити, як можна розробити суб’єктивні моделі та показники успіху кар’єри, які можна застосовувати в країнах із немодульними схемами успіху кар’єри. Одним із </w:t>
      </w:r>
      <w:r w:rsidRPr="004740F0">
        <w:rPr>
          <w:rFonts w:ascii="Times New Roman" w:hAnsi="Times New Roman" w:cs="Times New Roman"/>
          <w:sz w:val="28"/>
          <w:szCs w:val="28"/>
          <w:lang w:val="uk-UA"/>
        </w:rPr>
        <w:lastRenderedPageBreak/>
        <w:t xml:space="preserve">рішень може бути визначення розмірності будь-яких таких моделей, покладаючись на методи когнітивного картографування, а не на традиційні підходи факторного аналізу </w:t>
      </w:r>
      <w:r w:rsidRPr="005D1B01">
        <w:rPr>
          <w:rFonts w:ascii="Times New Roman" w:hAnsi="Times New Roman" w:cs="Times New Roman"/>
          <w:sz w:val="28"/>
          <w:szCs w:val="28"/>
        </w:rPr>
        <w:t>[72]</w:t>
      </w:r>
      <w:r w:rsidRPr="004740F0">
        <w:rPr>
          <w:rFonts w:ascii="Times New Roman" w:hAnsi="Times New Roman" w:cs="Times New Roman"/>
          <w:sz w:val="28"/>
          <w:szCs w:val="28"/>
          <w:lang w:val="uk-UA"/>
        </w:rPr>
        <w:t xml:space="preserve">. У майбутніх дослідженнях було б краще розглянути зв’язки між суб’єктивними значеннями успіху в кар’єрі </w:t>
      </w:r>
      <w:r w:rsidRPr="005D1B01">
        <w:rPr>
          <w:rFonts w:ascii="Times New Roman" w:hAnsi="Times New Roman" w:cs="Times New Roman"/>
          <w:sz w:val="28"/>
          <w:szCs w:val="28"/>
          <w:lang w:val="uk-UA"/>
        </w:rPr>
        <w:t>[73]</w:t>
      </w:r>
      <w:r w:rsidRPr="004740F0">
        <w:rPr>
          <w:rFonts w:ascii="Times New Roman" w:hAnsi="Times New Roman" w:cs="Times New Roman"/>
          <w:sz w:val="28"/>
          <w:szCs w:val="28"/>
          <w:lang w:val="uk-UA"/>
        </w:rPr>
        <w:t xml:space="preserve">, а не слідувати </w:t>
      </w:r>
      <w:proofErr w:type="spellStart"/>
      <w:r w:rsidRPr="004740F0">
        <w:rPr>
          <w:rFonts w:ascii="Times New Roman" w:hAnsi="Times New Roman" w:cs="Times New Roman"/>
          <w:sz w:val="28"/>
          <w:szCs w:val="28"/>
          <w:lang w:val="uk-UA"/>
        </w:rPr>
        <w:t>логіці</w:t>
      </w:r>
      <w:proofErr w:type="spellEnd"/>
      <w:r w:rsidRPr="004740F0">
        <w:rPr>
          <w:rFonts w:ascii="Times New Roman" w:hAnsi="Times New Roman" w:cs="Times New Roman"/>
          <w:sz w:val="28"/>
          <w:szCs w:val="28"/>
          <w:lang w:val="uk-UA"/>
        </w:rPr>
        <w:t xml:space="preserve"> жорсткої структури факторів, яка передбачає «відокремлення» значень одне від одного. Така процедура може дозволити дослідникам знайти надійні кластери значень успіху в кар’єрі, які є спільними для різних країн, у порівнянні з кластерами, які є більш специфічними для окремих країн </w:t>
      </w:r>
      <w:r w:rsidRPr="005D1B01">
        <w:rPr>
          <w:rFonts w:ascii="Times New Roman" w:hAnsi="Times New Roman" w:cs="Times New Roman"/>
          <w:sz w:val="28"/>
          <w:szCs w:val="28"/>
        </w:rPr>
        <w:t>[4]</w:t>
      </w:r>
      <w:r w:rsidRPr="004740F0">
        <w:rPr>
          <w:rFonts w:ascii="Times New Roman" w:hAnsi="Times New Roman" w:cs="Times New Roman"/>
          <w:sz w:val="28"/>
          <w:szCs w:val="28"/>
          <w:lang w:val="uk-UA"/>
        </w:rPr>
        <w:t>.</w:t>
      </w:r>
    </w:p>
    <w:p w14:paraId="18350306" w14:textId="166B0A40" w:rsidR="00571B42" w:rsidRPr="004740F0" w:rsidRDefault="00571B42" w:rsidP="00571B42">
      <w:pPr>
        <w:spacing w:after="0" w:line="360" w:lineRule="auto"/>
        <w:ind w:firstLine="720"/>
        <w:jc w:val="both"/>
        <w:rPr>
          <w:rFonts w:ascii="Times New Roman" w:hAnsi="Times New Roman" w:cs="Times New Roman"/>
          <w:sz w:val="28"/>
          <w:szCs w:val="28"/>
          <w:lang w:val="uk-UA"/>
        </w:rPr>
      </w:pPr>
      <w:r w:rsidRPr="004740F0">
        <w:rPr>
          <w:rFonts w:ascii="Times New Roman" w:hAnsi="Times New Roman" w:cs="Times New Roman"/>
          <w:sz w:val="28"/>
          <w:szCs w:val="28"/>
          <w:lang w:val="uk-UA"/>
        </w:rPr>
        <w:t xml:space="preserve">По-друге, дослідження показує, що схеми успішної кар’єри є корисною конструкцією для кращого розуміння ролі контексту в порівняльних дослідженнях систем кар’єри в </w:t>
      </w:r>
      <w:r>
        <w:rPr>
          <w:rFonts w:ascii="Times New Roman" w:hAnsi="Times New Roman" w:cs="Times New Roman"/>
          <w:sz w:val="28"/>
          <w:szCs w:val="28"/>
          <w:lang w:val="uk-UA"/>
        </w:rPr>
        <w:t>міжнародних компаніях</w:t>
      </w:r>
      <w:r w:rsidRPr="004740F0">
        <w:rPr>
          <w:rFonts w:ascii="Times New Roman" w:hAnsi="Times New Roman" w:cs="Times New Roman"/>
          <w:sz w:val="28"/>
          <w:szCs w:val="28"/>
          <w:lang w:val="uk-UA"/>
        </w:rPr>
        <w:t xml:space="preserve">. Література про кар’єру, як правило, наголошує на свободі волі та </w:t>
      </w:r>
      <w:proofErr w:type="spellStart"/>
      <w:r w:rsidRPr="004740F0">
        <w:rPr>
          <w:rFonts w:ascii="Times New Roman" w:hAnsi="Times New Roman" w:cs="Times New Roman"/>
          <w:sz w:val="28"/>
          <w:szCs w:val="28"/>
          <w:lang w:val="uk-UA"/>
        </w:rPr>
        <w:t>самоспрямованості</w:t>
      </w:r>
      <w:proofErr w:type="spellEnd"/>
      <w:r w:rsidRPr="004740F0">
        <w:rPr>
          <w:rFonts w:ascii="Times New Roman" w:hAnsi="Times New Roman" w:cs="Times New Roman"/>
          <w:sz w:val="28"/>
          <w:szCs w:val="28"/>
          <w:lang w:val="uk-UA"/>
        </w:rPr>
        <w:t xml:space="preserve"> </w:t>
      </w:r>
      <w:r w:rsidR="00A4269D">
        <w:rPr>
          <w:rFonts w:ascii="Times New Roman" w:hAnsi="Times New Roman" w:cs="Times New Roman"/>
          <w:sz w:val="28"/>
          <w:szCs w:val="28"/>
          <w:lang w:val="uk-UA"/>
        </w:rPr>
        <w:t>–</w:t>
      </w:r>
      <w:r w:rsidRPr="004740F0">
        <w:rPr>
          <w:rFonts w:ascii="Times New Roman" w:hAnsi="Times New Roman" w:cs="Times New Roman"/>
          <w:sz w:val="28"/>
          <w:szCs w:val="28"/>
          <w:lang w:val="uk-UA"/>
        </w:rPr>
        <w:t xml:space="preserve"> підході, який дедалі частіше критикують за надто однобокість і приховування багатьох структурних факторів, які також відіграють роль у розвитку кар’єри </w:t>
      </w:r>
      <w:r w:rsidRPr="005D1B01">
        <w:rPr>
          <w:rFonts w:ascii="Times New Roman" w:hAnsi="Times New Roman" w:cs="Times New Roman"/>
          <w:sz w:val="28"/>
          <w:szCs w:val="28"/>
          <w:lang w:val="uk-UA"/>
        </w:rPr>
        <w:t>[64]</w:t>
      </w:r>
      <w:r w:rsidRPr="004740F0">
        <w:rPr>
          <w:rFonts w:ascii="Times New Roman" w:hAnsi="Times New Roman" w:cs="Times New Roman"/>
          <w:sz w:val="28"/>
          <w:szCs w:val="28"/>
          <w:lang w:val="uk-UA"/>
        </w:rPr>
        <w:t xml:space="preserve">. У цьому дослідженні </w:t>
      </w:r>
      <w:r>
        <w:rPr>
          <w:rFonts w:ascii="Times New Roman" w:hAnsi="Times New Roman" w:cs="Times New Roman"/>
          <w:sz w:val="28"/>
          <w:szCs w:val="28"/>
          <w:lang w:val="uk-UA"/>
        </w:rPr>
        <w:t>представлено</w:t>
      </w:r>
      <w:r w:rsidRPr="004740F0">
        <w:rPr>
          <w:rFonts w:ascii="Times New Roman" w:hAnsi="Times New Roman" w:cs="Times New Roman"/>
          <w:sz w:val="28"/>
          <w:szCs w:val="28"/>
          <w:lang w:val="uk-UA"/>
        </w:rPr>
        <w:t xml:space="preserve"> розроб</w:t>
      </w:r>
      <w:r>
        <w:rPr>
          <w:rFonts w:ascii="Times New Roman" w:hAnsi="Times New Roman" w:cs="Times New Roman"/>
          <w:sz w:val="28"/>
          <w:szCs w:val="28"/>
          <w:lang w:val="uk-UA"/>
        </w:rPr>
        <w:t>лену</w:t>
      </w:r>
      <w:r w:rsidRPr="004740F0">
        <w:rPr>
          <w:rFonts w:ascii="Times New Roman" w:hAnsi="Times New Roman" w:cs="Times New Roman"/>
          <w:sz w:val="28"/>
          <w:szCs w:val="28"/>
          <w:lang w:val="uk-UA"/>
        </w:rPr>
        <w:t xml:space="preserve"> теоретичну структуру, яка поєднує інституційну теорію з колективним формуванням сенсу </w:t>
      </w:r>
      <w:r w:rsidRPr="005D1B01">
        <w:rPr>
          <w:rFonts w:ascii="Times New Roman" w:hAnsi="Times New Roman" w:cs="Times New Roman"/>
          <w:sz w:val="28"/>
          <w:szCs w:val="28"/>
          <w:lang w:val="uk-UA"/>
        </w:rPr>
        <w:t>[20]</w:t>
      </w:r>
      <w:r w:rsidRPr="004740F0">
        <w:rPr>
          <w:rFonts w:ascii="Times New Roman" w:hAnsi="Times New Roman" w:cs="Times New Roman"/>
          <w:sz w:val="28"/>
          <w:szCs w:val="28"/>
          <w:lang w:val="uk-UA"/>
        </w:rPr>
        <w:t xml:space="preserve">, щоб сприяти ідентифікації механізмів, через які інституційні контексти впливають на розвиток спільних схем успіху в кар’єрі. Таким чином, </w:t>
      </w:r>
      <w:r>
        <w:rPr>
          <w:rFonts w:ascii="Times New Roman" w:hAnsi="Times New Roman" w:cs="Times New Roman"/>
          <w:sz w:val="28"/>
          <w:szCs w:val="28"/>
          <w:lang w:val="uk-UA"/>
        </w:rPr>
        <w:t xml:space="preserve">наведене </w:t>
      </w:r>
      <w:r w:rsidRPr="004740F0">
        <w:rPr>
          <w:rFonts w:ascii="Times New Roman" w:hAnsi="Times New Roman" w:cs="Times New Roman"/>
          <w:sz w:val="28"/>
          <w:szCs w:val="28"/>
          <w:lang w:val="uk-UA"/>
        </w:rPr>
        <w:t xml:space="preserve">дослідження пропонує важливу основу для </w:t>
      </w:r>
      <w:proofErr w:type="spellStart"/>
      <w:r w:rsidRPr="004740F0">
        <w:rPr>
          <w:rFonts w:ascii="Times New Roman" w:hAnsi="Times New Roman" w:cs="Times New Roman"/>
          <w:sz w:val="28"/>
          <w:szCs w:val="28"/>
          <w:lang w:val="uk-UA"/>
        </w:rPr>
        <w:t>теоретизації</w:t>
      </w:r>
      <w:proofErr w:type="spellEnd"/>
      <w:r w:rsidRPr="004740F0">
        <w:rPr>
          <w:rFonts w:ascii="Times New Roman" w:hAnsi="Times New Roman" w:cs="Times New Roman"/>
          <w:sz w:val="28"/>
          <w:szCs w:val="28"/>
          <w:lang w:val="uk-UA"/>
        </w:rPr>
        <w:t xml:space="preserve"> того, як суб’єктивний успіх кар’єри сконструйований суспільством. У майбутніх дослідженнях слід враховувати колективно спільне значення успіху в кар’єрі та далі досліджувати, як ці значення формуються порівняно з іншими інституційними контекстами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74</w:t>
      </w:r>
      <w:r w:rsidRPr="005D1B01">
        <w:rPr>
          <w:rFonts w:ascii="Times New Roman" w:hAnsi="Times New Roman" w:cs="Times New Roman"/>
          <w:sz w:val="28"/>
          <w:szCs w:val="28"/>
          <w:lang w:val="uk-UA"/>
        </w:rPr>
        <w:t>]</w:t>
      </w:r>
      <w:r w:rsidRPr="004740F0">
        <w:rPr>
          <w:rFonts w:ascii="Times New Roman" w:hAnsi="Times New Roman" w:cs="Times New Roman"/>
          <w:sz w:val="28"/>
          <w:szCs w:val="28"/>
          <w:lang w:val="uk-UA"/>
        </w:rPr>
        <w:t>.</w:t>
      </w:r>
    </w:p>
    <w:p w14:paraId="44C1C988" w14:textId="77777777" w:rsidR="00571B42" w:rsidRPr="004740F0" w:rsidRDefault="00571B42" w:rsidP="00571B42">
      <w:pPr>
        <w:spacing w:after="0" w:line="360" w:lineRule="auto"/>
        <w:ind w:firstLine="720"/>
        <w:jc w:val="both"/>
        <w:rPr>
          <w:rFonts w:ascii="Times New Roman" w:hAnsi="Times New Roman" w:cs="Times New Roman"/>
          <w:sz w:val="28"/>
          <w:szCs w:val="28"/>
          <w:lang w:val="uk-UA"/>
        </w:rPr>
      </w:pPr>
      <w:r w:rsidRPr="004740F0">
        <w:rPr>
          <w:rFonts w:ascii="Times New Roman" w:hAnsi="Times New Roman" w:cs="Times New Roman"/>
          <w:sz w:val="28"/>
          <w:szCs w:val="28"/>
          <w:lang w:val="uk-UA"/>
        </w:rPr>
        <w:t xml:space="preserve">По-третє, відповідно до </w:t>
      </w:r>
      <w:r>
        <w:rPr>
          <w:rFonts w:ascii="Times New Roman" w:hAnsi="Times New Roman" w:cs="Times New Roman"/>
          <w:sz w:val="28"/>
          <w:szCs w:val="28"/>
          <w:lang w:val="uk-UA"/>
        </w:rPr>
        <w:t xml:space="preserve">існуючих у науковій літературі дискусійних моментів щодо </w:t>
      </w:r>
      <w:r w:rsidRPr="004740F0">
        <w:rPr>
          <w:rFonts w:ascii="Times New Roman" w:hAnsi="Times New Roman" w:cs="Times New Roman"/>
          <w:sz w:val="28"/>
          <w:szCs w:val="28"/>
          <w:lang w:val="uk-UA"/>
        </w:rPr>
        <w:t>структур</w:t>
      </w:r>
      <w:r>
        <w:rPr>
          <w:rFonts w:ascii="Times New Roman" w:hAnsi="Times New Roman" w:cs="Times New Roman"/>
          <w:sz w:val="28"/>
          <w:szCs w:val="28"/>
          <w:lang w:val="uk-UA"/>
        </w:rPr>
        <w:t>и</w:t>
      </w:r>
      <w:r w:rsidRPr="004740F0">
        <w:rPr>
          <w:rFonts w:ascii="Times New Roman" w:hAnsi="Times New Roman" w:cs="Times New Roman"/>
          <w:sz w:val="28"/>
          <w:szCs w:val="28"/>
          <w:lang w:val="uk-UA"/>
        </w:rPr>
        <w:t xml:space="preserve"> агентств </w:t>
      </w:r>
      <w:r>
        <w:rPr>
          <w:rFonts w:ascii="Times New Roman" w:hAnsi="Times New Roman" w:cs="Times New Roman"/>
          <w:sz w:val="28"/>
          <w:szCs w:val="28"/>
          <w:lang w:val="uk-UA"/>
        </w:rPr>
        <w:t xml:space="preserve">під час процесу </w:t>
      </w:r>
      <w:r w:rsidRPr="004740F0">
        <w:rPr>
          <w:rFonts w:ascii="Times New Roman" w:hAnsi="Times New Roman" w:cs="Times New Roman"/>
          <w:sz w:val="28"/>
          <w:szCs w:val="28"/>
          <w:lang w:val="uk-UA"/>
        </w:rPr>
        <w:t>дослідженн</w:t>
      </w:r>
      <w:r>
        <w:rPr>
          <w:rFonts w:ascii="Times New Roman" w:hAnsi="Times New Roman" w:cs="Times New Roman"/>
          <w:sz w:val="28"/>
          <w:szCs w:val="28"/>
          <w:lang w:val="uk-UA"/>
        </w:rPr>
        <w:t>я</w:t>
      </w:r>
      <w:r w:rsidRPr="004740F0">
        <w:rPr>
          <w:rFonts w:ascii="Times New Roman" w:hAnsi="Times New Roman" w:cs="Times New Roman"/>
          <w:sz w:val="28"/>
          <w:szCs w:val="28"/>
          <w:lang w:val="uk-UA"/>
        </w:rPr>
        <w:t xml:space="preserve"> кар’єри </w:t>
      </w:r>
      <w:r w:rsidRPr="005D1B01">
        <w:rPr>
          <w:rFonts w:ascii="Times New Roman" w:hAnsi="Times New Roman" w:cs="Times New Roman"/>
          <w:sz w:val="28"/>
          <w:szCs w:val="28"/>
          <w:lang w:val="uk-UA"/>
        </w:rPr>
        <w:t>[64]</w:t>
      </w:r>
      <w:r>
        <w:rPr>
          <w:rFonts w:ascii="Times New Roman" w:hAnsi="Times New Roman" w:cs="Times New Roman"/>
          <w:sz w:val="28"/>
          <w:szCs w:val="28"/>
          <w:lang w:val="uk-UA"/>
        </w:rPr>
        <w:t xml:space="preserve">, ще одним </w:t>
      </w:r>
      <w:proofErr w:type="spellStart"/>
      <w:r>
        <w:rPr>
          <w:rFonts w:ascii="Times New Roman" w:hAnsi="Times New Roman" w:cs="Times New Roman"/>
          <w:sz w:val="28"/>
          <w:szCs w:val="28"/>
          <w:lang w:val="uk-UA"/>
        </w:rPr>
        <w:t>інтригуючим</w:t>
      </w:r>
      <w:proofErr w:type="spellEnd"/>
      <w:r>
        <w:rPr>
          <w:rFonts w:ascii="Times New Roman" w:hAnsi="Times New Roman" w:cs="Times New Roman"/>
          <w:sz w:val="28"/>
          <w:szCs w:val="28"/>
          <w:lang w:val="uk-UA"/>
        </w:rPr>
        <w:t xml:space="preserve"> напрям</w:t>
      </w:r>
      <w:r w:rsidRPr="004740F0">
        <w:rPr>
          <w:rFonts w:ascii="Times New Roman" w:hAnsi="Times New Roman" w:cs="Times New Roman"/>
          <w:sz w:val="28"/>
          <w:szCs w:val="28"/>
          <w:lang w:val="uk-UA"/>
        </w:rPr>
        <w:t xml:space="preserve">ом для подальших досліджень може бути </w:t>
      </w:r>
      <w:r>
        <w:rPr>
          <w:rFonts w:ascii="Times New Roman" w:hAnsi="Times New Roman" w:cs="Times New Roman"/>
          <w:sz w:val="28"/>
          <w:szCs w:val="28"/>
          <w:lang w:val="uk-UA"/>
        </w:rPr>
        <w:t xml:space="preserve">моніторинг </w:t>
      </w:r>
      <w:r w:rsidRPr="004740F0">
        <w:rPr>
          <w:rFonts w:ascii="Times New Roman" w:hAnsi="Times New Roman" w:cs="Times New Roman"/>
          <w:sz w:val="28"/>
          <w:szCs w:val="28"/>
          <w:lang w:val="uk-UA"/>
        </w:rPr>
        <w:t xml:space="preserve">того, як схеми успішної кар’єри на рівні країни впливають на формування </w:t>
      </w:r>
      <w:proofErr w:type="spellStart"/>
      <w:r w:rsidRPr="004740F0">
        <w:rPr>
          <w:rFonts w:ascii="Times New Roman" w:hAnsi="Times New Roman" w:cs="Times New Roman"/>
          <w:sz w:val="28"/>
          <w:szCs w:val="28"/>
          <w:lang w:val="uk-UA"/>
        </w:rPr>
        <w:t>сенс</w:t>
      </w:r>
      <w:r>
        <w:rPr>
          <w:rFonts w:ascii="Times New Roman" w:hAnsi="Times New Roman" w:cs="Times New Roman"/>
          <w:sz w:val="28"/>
          <w:szCs w:val="28"/>
          <w:lang w:val="uk-UA"/>
        </w:rPr>
        <w:t>ів</w:t>
      </w:r>
      <w:proofErr w:type="spellEnd"/>
      <w:r w:rsidRPr="004740F0">
        <w:rPr>
          <w:rFonts w:ascii="Times New Roman" w:hAnsi="Times New Roman" w:cs="Times New Roman"/>
          <w:sz w:val="28"/>
          <w:szCs w:val="28"/>
          <w:lang w:val="uk-UA"/>
        </w:rPr>
        <w:t xml:space="preserve"> та рішень, пов’язаних із</w:t>
      </w:r>
      <w:r>
        <w:rPr>
          <w:rFonts w:ascii="Times New Roman" w:hAnsi="Times New Roman" w:cs="Times New Roman"/>
          <w:sz w:val="28"/>
          <w:szCs w:val="28"/>
          <w:lang w:val="uk-UA"/>
        </w:rPr>
        <w:t xml:space="preserve"> кар’єрою,</w:t>
      </w:r>
      <w:r w:rsidRPr="004740F0">
        <w:rPr>
          <w:rFonts w:ascii="Times New Roman" w:hAnsi="Times New Roman" w:cs="Times New Roman"/>
          <w:sz w:val="28"/>
          <w:szCs w:val="28"/>
          <w:lang w:val="uk-UA"/>
        </w:rPr>
        <w:t xml:space="preserve"> і поведінки, а також наслідки (не)відповідності між індивідуальними та колективними схемами. Можна очікувати, що в країнах із високою конвергенцією більше людей матимуть розуміння кар’єрного успіху, яке відповідає домінуючій схемі кар’єрного успіху. </w:t>
      </w:r>
      <w:r w:rsidRPr="004740F0">
        <w:rPr>
          <w:rFonts w:ascii="Times New Roman" w:hAnsi="Times New Roman" w:cs="Times New Roman"/>
          <w:sz w:val="28"/>
          <w:szCs w:val="28"/>
          <w:lang w:val="uk-UA"/>
        </w:rPr>
        <w:lastRenderedPageBreak/>
        <w:t xml:space="preserve">Однак у такому контексті наявність невідповідної індивідуальної схеми кар’єри може бути складнішою та потенційно більш шкідливою. Дійсно, дотримуючись теорії норм </w:t>
      </w:r>
      <w:r w:rsidRPr="005D1B01">
        <w:rPr>
          <w:rFonts w:ascii="Times New Roman" w:hAnsi="Times New Roman" w:cs="Times New Roman"/>
          <w:sz w:val="28"/>
          <w:szCs w:val="28"/>
          <w:lang w:val="uk-UA"/>
        </w:rPr>
        <w:t>[75],</w:t>
      </w:r>
      <w:r w:rsidRPr="004740F0">
        <w:rPr>
          <w:rFonts w:ascii="Times New Roman" w:hAnsi="Times New Roman" w:cs="Times New Roman"/>
          <w:sz w:val="28"/>
          <w:szCs w:val="28"/>
          <w:lang w:val="uk-UA"/>
        </w:rPr>
        <w:t xml:space="preserve"> сильніша конвергенція схем у певному контексті передбачає сильніші норми щодо того, що вважається успішною кар’єрою, а що ні. Чим сильніша норма, тим більша ймовірність того, що відхилення можуть сприйматися як ненормальні та виклик</w:t>
      </w:r>
      <w:r>
        <w:rPr>
          <w:rFonts w:ascii="Times New Roman" w:hAnsi="Times New Roman" w:cs="Times New Roman"/>
          <w:sz w:val="28"/>
          <w:szCs w:val="28"/>
          <w:lang w:val="uk-UA"/>
        </w:rPr>
        <w:t xml:space="preserve">ати негативні емоційні реакції </w:t>
      </w:r>
      <w:r w:rsidRPr="005D1B01">
        <w:rPr>
          <w:rFonts w:ascii="Times New Roman" w:hAnsi="Times New Roman" w:cs="Times New Roman"/>
          <w:sz w:val="28"/>
          <w:szCs w:val="28"/>
          <w:lang w:val="uk-UA"/>
        </w:rPr>
        <w:t>[27]</w:t>
      </w:r>
      <w:r w:rsidRPr="004740F0">
        <w:rPr>
          <w:rFonts w:ascii="Times New Roman" w:hAnsi="Times New Roman" w:cs="Times New Roman"/>
          <w:sz w:val="28"/>
          <w:szCs w:val="28"/>
          <w:lang w:val="uk-UA"/>
        </w:rPr>
        <w:t xml:space="preserve">. І навпаки, у контекстах із меншою конвергенцією схем норми можуть бути слабшими, залишаючи більше простору для </w:t>
      </w:r>
      <w:r>
        <w:rPr>
          <w:rFonts w:ascii="Times New Roman" w:hAnsi="Times New Roman" w:cs="Times New Roman"/>
          <w:sz w:val="28"/>
          <w:szCs w:val="28"/>
          <w:lang w:val="uk-UA"/>
        </w:rPr>
        <w:t>комунікативної</w:t>
      </w:r>
      <w:r w:rsidRPr="004740F0">
        <w:rPr>
          <w:rFonts w:ascii="Times New Roman" w:hAnsi="Times New Roman" w:cs="Times New Roman"/>
          <w:sz w:val="28"/>
          <w:szCs w:val="28"/>
          <w:lang w:val="uk-UA"/>
        </w:rPr>
        <w:t xml:space="preserve"> кар’єрної поведінки. Загалом </w:t>
      </w:r>
      <w:r>
        <w:rPr>
          <w:rFonts w:ascii="Times New Roman" w:hAnsi="Times New Roman" w:cs="Times New Roman"/>
          <w:sz w:val="28"/>
          <w:szCs w:val="28"/>
          <w:lang w:val="uk-UA"/>
        </w:rPr>
        <w:t>можна зробити висновок</w:t>
      </w:r>
      <w:r w:rsidRPr="004740F0">
        <w:rPr>
          <w:rFonts w:ascii="Times New Roman" w:hAnsi="Times New Roman" w:cs="Times New Roman"/>
          <w:sz w:val="28"/>
          <w:szCs w:val="28"/>
          <w:lang w:val="uk-UA"/>
        </w:rPr>
        <w:t>, що міжкультурні дослідження індивідуальних і колективних схем кар’єрного успіху можу</w:t>
      </w:r>
      <w:r>
        <w:rPr>
          <w:rFonts w:ascii="Times New Roman" w:hAnsi="Times New Roman" w:cs="Times New Roman"/>
          <w:sz w:val="28"/>
          <w:szCs w:val="28"/>
          <w:lang w:val="uk-UA"/>
        </w:rPr>
        <w:t xml:space="preserve">ть дати нове розуміння дебатів щодо комунікативної </w:t>
      </w:r>
      <w:r w:rsidRPr="004740F0">
        <w:rPr>
          <w:rFonts w:ascii="Times New Roman" w:hAnsi="Times New Roman" w:cs="Times New Roman"/>
          <w:sz w:val="28"/>
          <w:szCs w:val="28"/>
          <w:lang w:val="uk-UA"/>
        </w:rPr>
        <w:t>структур</w:t>
      </w:r>
      <w:r>
        <w:rPr>
          <w:rFonts w:ascii="Times New Roman" w:hAnsi="Times New Roman" w:cs="Times New Roman"/>
          <w:sz w:val="28"/>
          <w:szCs w:val="28"/>
          <w:lang w:val="uk-UA"/>
        </w:rPr>
        <w:t xml:space="preserve">и </w:t>
      </w:r>
      <w:r w:rsidRPr="005D1B01">
        <w:rPr>
          <w:rFonts w:ascii="Times New Roman" w:hAnsi="Times New Roman" w:cs="Times New Roman"/>
          <w:sz w:val="28"/>
          <w:szCs w:val="28"/>
          <w:lang w:val="uk-UA"/>
        </w:rPr>
        <w:t>[76]</w:t>
      </w:r>
      <w:r w:rsidRPr="004740F0">
        <w:rPr>
          <w:rFonts w:ascii="Times New Roman" w:hAnsi="Times New Roman" w:cs="Times New Roman"/>
          <w:sz w:val="28"/>
          <w:szCs w:val="28"/>
          <w:lang w:val="uk-UA"/>
        </w:rPr>
        <w:t>.</w:t>
      </w:r>
    </w:p>
    <w:p w14:paraId="595D43C4" w14:textId="77777777" w:rsidR="00571B42" w:rsidRPr="004740F0"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Нарешті, важливим напрям</w:t>
      </w:r>
      <w:r w:rsidRPr="004740F0">
        <w:rPr>
          <w:rFonts w:ascii="Times New Roman" w:hAnsi="Times New Roman" w:cs="Times New Roman"/>
          <w:sz w:val="28"/>
          <w:szCs w:val="28"/>
          <w:lang w:val="uk-UA"/>
        </w:rPr>
        <w:t xml:space="preserve">ом для подальших досліджень є вивчення конкретних значень успіху в кар’єрі як усередині країни, так і між країнами, а також взаємозв’язків між значеннями в конкретній країні. Розуміння того, які конкретні значення пов’язані одне з одним у певному контексті, може бути особливо корисним для HR-практиків у багатонаціональних підприємствах, щоб налаштувати свої системи управління кар’єрою відповідно до конкретних моделей дочірніх країн. </w:t>
      </w:r>
      <w:r w:rsidRPr="00672C3D">
        <w:rPr>
          <w:rFonts w:ascii="Times New Roman" w:hAnsi="Times New Roman" w:cs="Times New Roman"/>
          <w:sz w:val="28"/>
          <w:szCs w:val="28"/>
          <w:lang w:val="uk-UA"/>
        </w:rPr>
        <w:t xml:space="preserve">Такий підхід може допомогти </w:t>
      </w:r>
      <w:r>
        <w:rPr>
          <w:rFonts w:ascii="Times New Roman" w:hAnsi="Times New Roman" w:cs="Times New Roman"/>
          <w:sz w:val="28"/>
          <w:szCs w:val="28"/>
          <w:lang w:val="uk-UA"/>
        </w:rPr>
        <w:t>міжнародним компаніям</w:t>
      </w:r>
      <w:r w:rsidRPr="00672C3D">
        <w:rPr>
          <w:rFonts w:ascii="Times New Roman" w:hAnsi="Times New Roman" w:cs="Times New Roman"/>
          <w:sz w:val="28"/>
          <w:szCs w:val="28"/>
          <w:lang w:val="uk-UA"/>
        </w:rPr>
        <w:t xml:space="preserve"> розробити системи управління кар’єрою, які застосовуютьс</w:t>
      </w:r>
      <w:r>
        <w:rPr>
          <w:rFonts w:ascii="Times New Roman" w:hAnsi="Times New Roman" w:cs="Times New Roman"/>
          <w:sz w:val="28"/>
          <w:szCs w:val="28"/>
          <w:lang w:val="uk-UA"/>
        </w:rPr>
        <w:t xml:space="preserve">я </w:t>
      </w:r>
      <w:proofErr w:type="spellStart"/>
      <w:r>
        <w:rPr>
          <w:rFonts w:ascii="Times New Roman" w:hAnsi="Times New Roman" w:cs="Times New Roman"/>
          <w:sz w:val="28"/>
          <w:szCs w:val="28"/>
          <w:lang w:val="uk-UA"/>
        </w:rPr>
        <w:t>глобально</w:t>
      </w:r>
      <w:proofErr w:type="spellEnd"/>
      <w:r>
        <w:rPr>
          <w:rFonts w:ascii="Times New Roman" w:hAnsi="Times New Roman" w:cs="Times New Roman"/>
          <w:sz w:val="28"/>
          <w:szCs w:val="28"/>
          <w:lang w:val="uk-UA"/>
        </w:rPr>
        <w:t xml:space="preserve"> або альтернативно «</w:t>
      </w:r>
      <w:r w:rsidRPr="00672C3D">
        <w:rPr>
          <w:rFonts w:ascii="Times New Roman" w:hAnsi="Times New Roman" w:cs="Times New Roman"/>
          <w:sz w:val="28"/>
          <w:szCs w:val="28"/>
          <w:lang w:val="uk-UA"/>
        </w:rPr>
        <w:t>локалізовані» у визнанні культурних та інституційних відмінностей у розумінні</w:t>
      </w:r>
      <w:r>
        <w:rPr>
          <w:rFonts w:ascii="Times New Roman" w:hAnsi="Times New Roman" w:cs="Times New Roman"/>
          <w:sz w:val="28"/>
          <w:szCs w:val="28"/>
          <w:lang w:val="uk-UA"/>
        </w:rPr>
        <w:t xml:space="preserve"> кар’єрного успіху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8</w:t>
      </w:r>
      <w:r w:rsidRPr="005D1B01">
        <w:rPr>
          <w:rFonts w:ascii="Times New Roman" w:hAnsi="Times New Roman" w:cs="Times New Roman"/>
          <w:sz w:val="28"/>
          <w:szCs w:val="28"/>
          <w:lang w:val="uk-UA"/>
        </w:rPr>
        <w:t>]</w:t>
      </w:r>
      <w:r w:rsidRPr="00672C3D">
        <w:rPr>
          <w:rFonts w:ascii="Times New Roman" w:hAnsi="Times New Roman" w:cs="Times New Roman"/>
          <w:sz w:val="28"/>
          <w:szCs w:val="28"/>
          <w:lang w:val="uk-UA"/>
        </w:rPr>
        <w:t xml:space="preserve">. </w:t>
      </w:r>
    </w:p>
    <w:p w14:paraId="69FD9C7A" w14:textId="5B95A01B" w:rsidR="00571B42" w:rsidRDefault="00571B42" w:rsidP="00571B42">
      <w:pPr>
        <w:spacing w:after="0" w:line="360" w:lineRule="auto"/>
        <w:ind w:firstLine="720"/>
        <w:jc w:val="both"/>
        <w:rPr>
          <w:rFonts w:ascii="Times New Roman" w:hAnsi="Times New Roman" w:cs="Times New Roman"/>
          <w:sz w:val="28"/>
          <w:szCs w:val="28"/>
          <w:lang w:val="uk-UA"/>
        </w:rPr>
      </w:pPr>
      <w:r w:rsidRPr="004740F0">
        <w:rPr>
          <w:rFonts w:ascii="Times New Roman" w:hAnsi="Times New Roman" w:cs="Times New Roman"/>
          <w:sz w:val="28"/>
          <w:szCs w:val="28"/>
          <w:lang w:val="uk-UA"/>
        </w:rPr>
        <w:t xml:space="preserve">Таким чином, у подальших дослідженнях може знадобитися змістити акцент зі структурних характеристик схем успіху кар’єри на їх зміст, оскільки значення аспекту кар’єри для індивіда залежить від його зв’язку з іншими аспектами в когнітивній мережі </w:t>
      </w:r>
      <w:r w:rsidRPr="005D1B01">
        <w:rPr>
          <w:rFonts w:ascii="Times New Roman" w:hAnsi="Times New Roman" w:cs="Times New Roman"/>
          <w:sz w:val="28"/>
          <w:szCs w:val="28"/>
          <w:lang w:val="uk-UA"/>
        </w:rPr>
        <w:t>[15]</w:t>
      </w:r>
      <w:r w:rsidRPr="004740F0">
        <w:rPr>
          <w:rFonts w:ascii="Times New Roman" w:hAnsi="Times New Roman" w:cs="Times New Roman"/>
          <w:sz w:val="28"/>
          <w:szCs w:val="28"/>
          <w:lang w:val="uk-UA"/>
        </w:rPr>
        <w:t xml:space="preserve">. Наприклад, дві особи можуть вказати, що обидва вважають зарплату дуже важливою для свого особистого розуміння успіху в кар’єрі. Однак при перевірці з'ясовується, що для одного з них оплата праці асоціюється зі статусом і визнанням, а для іншого </w:t>
      </w:r>
      <w:r w:rsidR="00A4269D">
        <w:rPr>
          <w:rFonts w:ascii="Times New Roman" w:hAnsi="Times New Roman" w:cs="Times New Roman"/>
          <w:sz w:val="28"/>
          <w:szCs w:val="28"/>
          <w:lang w:val="uk-UA"/>
        </w:rPr>
        <w:t>–</w:t>
      </w:r>
      <w:r w:rsidRPr="004740F0">
        <w:rPr>
          <w:rFonts w:ascii="Times New Roman" w:hAnsi="Times New Roman" w:cs="Times New Roman"/>
          <w:sz w:val="28"/>
          <w:szCs w:val="28"/>
          <w:lang w:val="uk-UA"/>
        </w:rPr>
        <w:t xml:space="preserve"> з сім'єю, обов'язком і матеріальним забезпеченням. Хоча перший розглядає кар’єрний успіх як особисте досягнення, другий розглядає його більше як структуру відносин, </w:t>
      </w:r>
      <w:r w:rsidRPr="004740F0">
        <w:rPr>
          <w:rFonts w:ascii="Times New Roman" w:hAnsi="Times New Roman" w:cs="Times New Roman"/>
          <w:sz w:val="28"/>
          <w:szCs w:val="28"/>
          <w:lang w:val="uk-UA"/>
        </w:rPr>
        <w:lastRenderedPageBreak/>
        <w:t>оскільки гроші є засобом забезпечення</w:t>
      </w:r>
      <w:r w:rsidRPr="005D1B01">
        <w:rPr>
          <w:lang w:val="uk-UA"/>
        </w:rPr>
        <w:t xml:space="preserve"> </w:t>
      </w:r>
      <w:r w:rsidRPr="004740F0">
        <w:rPr>
          <w:rFonts w:ascii="Times New Roman" w:hAnsi="Times New Roman" w:cs="Times New Roman"/>
          <w:sz w:val="28"/>
          <w:szCs w:val="28"/>
          <w:lang w:val="uk-UA"/>
        </w:rPr>
        <w:t xml:space="preserve">для своєї родини чи громади. Іншими словами, хоча оцінка за </w:t>
      </w:r>
      <w:proofErr w:type="spellStart"/>
      <w:r w:rsidRPr="004740F0">
        <w:rPr>
          <w:rFonts w:ascii="Times New Roman" w:hAnsi="Times New Roman" w:cs="Times New Roman"/>
          <w:sz w:val="28"/>
          <w:szCs w:val="28"/>
          <w:lang w:val="uk-UA"/>
        </w:rPr>
        <w:t>підшкалою</w:t>
      </w:r>
      <w:proofErr w:type="spellEnd"/>
      <w:r w:rsidRPr="004740F0">
        <w:rPr>
          <w:rFonts w:ascii="Times New Roman" w:hAnsi="Times New Roman" w:cs="Times New Roman"/>
          <w:sz w:val="28"/>
          <w:szCs w:val="28"/>
          <w:lang w:val="uk-UA"/>
        </w:rPr>
        <w:t xml:space="preserve"> (тобто на рівні факторів) для фінансових досягнень як показника успіху може бути однаковою для обох, фінансові досягнення самі по собі мають принципово різне значення для кожного з них </w:t>
      </w:r>
      <w:r w:rsidRPr="005D1B01">
        <w:rPr>
          <w:rFonts w:ascii="Times New Roman" w:hAnsi="Times New Roman" w:cs="Times New Roman"/>
          <w:sz w:val="28"/>
          <w:szCs w:val="28"/>
        </w:rPr>
        <w:t>[15]</w:t>
      </w:r>
      <w:r w:rsidRPr="004740F0">
        <w:rPr>
          <w:rFonts w:ascii="Times New Roman" w:hAnsi="Times New Roman" w:cs="Times New Roman"/>
          <w:sz w:val="28"/>
          <w:szCs w:val="28"/>
          <w:lang w:val="uk-UA"/>
        </w:rPr>
        <w:t xml:space="preserve">. Підсумовуючи, краще розуміння «змісту» схем успішної кар’єри на рівні країни може дати корисну інформацію для порівняльного дослідження систем кар’єри в </w:t>
      </w:r>
      <w:r>
        <w:rPr>
          <w:rFonts w:ascii="Times New Roman" w:hAnsi="Times New Roman" w:cs="Times New Roman"/>
          <w:sz w:val="28"/>
          <w:szCs w:val="28"/>
          <w:lang w:val="uk-UA"/>
        </w:rPr>
        <w:t>міжнародній компанії</w:t>
      </w:r>
      <w:r w:rsidRPr="004740F0">
        <w:rPr>
          <w:rFonts w:ascii="Times New Roman" w:hAnsi="Times New Roman" w:cs="Times New Roman"/>
          <w:sz w:val="28"/>
          <w:szCs w:val="28"/>
          <w:lang w:val="uk-UA"/>
        </w:rPr>
        <w:t>, особливо в країнах із високою конвергенцією.</w:t>
      </w:r>
    </w:p>
    <w:p w14:paraId="4168F233" w14:textId="77777777" w:rsidR="00571B42" w:rsidRPr="00D56052" w:rsidRDefault="00571B42" w:rsidP="00571B42">
      <w:pPr>
        <w:spacing w:after="0" w:line="360" w:lineRule="auto"/>
        <w:ind w:firstLine="720"/>
        <w:jc w:val="both"/>
        <w:rPr>
          <w:rFonts w:ascii="Times New Roman" w:hAnsi="Times New Roman" w:cs="Times New Roman"/>
          <w:sz w:val="28"/>
          <w:szCs w:val="28"/>
          <w:lang w:val="uk-UA"/>
        </w:rPr>
      </w:pPr>
      <w:r w:rsidRPr="004740F0">
        <w:rPr>
          <w:rFonts w:ascii="Times New Roman" w:hAnsi="Times New Roman" w:cs="Times New Roman"/>
          <w:sz w:val="28"/>
          <w:szCs w:val="28"/>
          <w:lang w:val="uk-UA"/>
        </w:rPr>
        <w:t xml:space="preserve">Як і в будь-якому дослідженні, слід визнати обмеження. По-перше, через якісний та індуктивний характер дослідження лише обмежену кількість контекстуальних факторів (з дуже великої кількості потенційних факторів) було обрано як ймовірні умови складності та конвергенції схеми кар’єри. Наш індуктивний підхід не перешкоджає ідентифікації нових конфігурацій, які призведуть до результатів у майбутніх дослідженнях, що узгоджується з принципом </w:t>
      </w:r>
      <w:proofErr w:type="spellStart"/>
      <w:r w:rsidRPr="004740F0">
        <w:rPr>
          <w:rFonts w:ascii="Times New Roman" w:hAnsi="Times New Roman" w:cs="Times New Roman"/>
          <w:sz w:val="28"/>
          <w:szCs w:val="28"/>
          <w:lang w:val="uk-UA"/>
        </w:rPr>
        <w:t>еквіфінальності</w:t>
      </w:r>
      <w:proofErr w:type="spellEnd"/>
      <w:r w:rsidRPr="004740F0">
        <w:rPr>
          <w:rFonts w:ascii="Times New Roman" w:hAnsi="Times New Roman" w:cs="Times New Roman"/>
          <w:sz w:val="28"/>
          <w:szCs w:val="28"/>
          <w:lang w:val="uk-UA"/>
        </w:rPr>
        <w:t>, який є одним із наріжних каменів QCA</w:t>
      </w:r>
      <w:r w:rsidRPr="005D1B01">
        <w:rPr>
          <w:rFonts w:ascii="Times New Roman" w:hAnsi="Times New Roman" w:cs="Times New Roman"/>
          <w:sz w:val="28"/>
          <w:szCs w:val="28"/>
          <w:lang w:val="uk-UA"/>
        </w:rPr>
        <w:t xml:space="preserve"> [54, 61]</w:t>
      </w:r>
      <w:r w:rsidRPr="004740F0">
        <w:rPr>
          <w:rFonts w:ascii="Times New Roman" w:hAnsi="Times New Roman" w:cs="Times New Roman"/>
          <w:sz w:val="28"/>
          <w:szCs w:val="28"/>
          <w:lang w:val="uk-UA"/>
        </w:rPr>
        <w:t xml:space="preserve">. По-друге, </w:t>
      </w:r>
      <w:r>
        <w:rPr>
          <w:rFonts w:ascii="Times New Roman" w:hAnsi="Times New Roman" w:cs="Times New Roman"/>
          <w:sz w:val="28"/>
          <w:szCs w:val="28"/>
          <w:lang w:val="uk-UA"/>
        </w:rPr>
        <w:t xml:space="preserve">при аналізі були </w:t>
      </w:r>
      <w:r w:rsidRPr="004740F0">
        <w:rPr>
          <w:rFonts w:ascii="Times New Roman" w:hAnsi="Times New Roman" w:cs="Times New Roman"/>
          <w:sz w:val="28"/>
          <w:szCs w:val="28"/>
          <w:lang w:val="uk-UA"/>
        </w:rPr>
        <w:t>використа</w:t>
      </w:r>
      <w:r>
        <w:rPr>
          <w:rFonts w:ascii="Times New Roman" w:hAnsi="Times New Roman" w:cs="Times New Roman"/>
          <w:sz w:val="28"/>
          <w:szCs w:val="28"/>
          <w:lang w:val="uk-UA"/>
        </w:rPr>
        <w:t>ні</w:t>
      </w:r>
      <w:r w:rsidRPr="004740F0">
        <w:rPr>
          <w:rFonts w:ascii="Times New Roman" w:hAnsi="Times New Roman" w:cs="Times New Roman"/>
          <w:sz w:val="28"/>
          <w:szCs w:val="28"/>
          <w:lang w:val="uk-UA"/>
        </w:rPr>
        <w:t xml:space="preserve"> дані на рівні країни з джерел, які узгоджувалися з нашими теоретичними рамками та доступні для досліджуваних країн. Наприклад, вибираючи між культурними вимірами GLOBE та </w:t>
      </w:r>
      <w:proofErr w:type="spellStart"/>
      <w:r w:rsidRPr="004740F0">
        <w:rPr>
          <w:rFonts w:ascii="Times New Roman" w:hAnsi="Times New Roman" w:cs="Times New Roman"/>
          <w:sz w:val="28"/>
          <w:szCs w:val="28"/>
          <w:lang w:val="uk-UA"/>
        </w:rPr>
        <w:t>Хофстеда</w:t>
      </w:r>
      <w:proofErr w:type="spellEnd"/>
      <w:r w:rsidRPr="004740F0">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вважаємо за доцільне</w:t>
      </w:r>
      <w:r w:rsidRPr="004740F0">
        <w:rPr>
          <w:rFonts w:ascii="Times New Roman" w:hAnsi="Times New Roman" w:cs="Times New Roman"/>
          <w:sz w:val="28"/>
          <w:szCs w:val="28"/>
          <w:lang w:val="uk-UA"/>
        </w:rPr>
        <w:t xml:space="preserve"> зупини</w:t>
      </w:r>
      <w:r>
        <w:rPr>
          <w:rFonts w:ascii="Times New Roman" w:hAnsi="Times New Roman" w:cs="Times New Roman"/>
          <w:sz w:val="28"/>
          <w:szCs w:val="28"/>
          <w:lang w:val="uk-UA"/>
        </w:rPr>
        <w:t>т</w:t>
      </w:r>
      <w:r w:rsidRPr="004740F0">
        <w:rPr>
          <w:rFonts w:ascii="Times New Roman" w:hAnsi="Times New Roman" w:cs="Times New Roman"/>
          <w:sz w:val="28"/>
          <w:szCs w:val="28"/>
          <w:lang w:val="uk-UA"/>
        </w:rPr>
        <w:t xml:space="preserve">ися на останньому через його теоретичне значення для успіху в кар’єрі </w:t>
      </w:r>
      <w:r w:rsidRPr="005D1B01">
        <w:rPr>
          <w:rFonts w:ascii="Times New Roman" w:hAnsi="Times New Roman" w:cs="Times New Roman"/>
          <w:sz w:val="28"/>
          <w:szCs w:val="28"/>
          <w:lang w:val="uk-UA"/>
        </w:rPr>
        <w:t>[77]</w:t>
      </w:r>
      <w:r w:rsidRPr="004740F0">
        <w:rPr>
          <w:rFonts w:ascii="Times New Roman" w:hAnsi="Times New Roman" w:cs="Times New Roman"/>
          <w:sz w:val="28"/>
          <w:szCs w:val="28"/>
          <w:lang w:val="uk-UA"/>
        </w:rPr>
        <w:t xml:space="preserve">, широке охоплення країни </w:t>
      </w:r>
      <w:r>
        <w:rPr>
          <w:rFonts w:ascii="Times New Roman" w:hAnsi="Times New Roman" w:cs="Times New Roman"/>
          <w:sz w:val="28"/>
          <w:szCs w:val="28"/>
          <w:lang w:val="uk-UA"/>
        </w:rPr>
        <w:t xml:space="preserve">та його обмеженість. </w:t>
      </w:r>
      <w:r w:rsidRPr="004740F0">
        <w:rPr>
          <w:rFonts w:ascii="Times New Roman" w:hAnsi="Times New Roman" w:cs="Times New Roman"/>
          <w:sz w:val="28"/>
          <w:szCs w:val="28"/>
          <w:lang w:val="uk-UA"/>
        </w:rPr>
        <w:t>Таким</w:t>
      </w:r>
      <w:r>
        <w:rPr>
          <w:rFonts w:ascii="Times New Roman" w:hAnsi="Times New Roman" w:cs="Times New Roman"/>
          <w:sz w:val="28"/>
          <w:szCs w:val="28"/>
          <w:lang w:val="uk-UA"/>
        </w:rPr>
        <w:t xml:space="preserve"> чином, можна було </w:t>
      </w:r>
      <w:r w:rsidRPr="004740F0">
        <w:rPr>
          <w:rFonts w:ascii="Times New Roman" w:hAnsi="Times New Roman" w:cs="Times New Roman"/>
          <w:sz w:val="28"/>
          <w:szCs w:val="28"/>
          <w:lang w:val="uk-UA"/>
        </w:rPr>
        <w:t xml:space="preserve">охопити </w:t>
      </w:r>
      <w:r>
        <w:rPr>
          <w:rFonts w:ascii="Times New Roman" w:hAnsi="Times New Roman" w:cs="Times New Roman"/>
          <w:sz w:val="28"/>
          <w:szCs w:val="28"/>
          <w:lang w:val="uk-UA"/>
        </w:rPr>
        <w:t>певні</w:t>
      </w:r>
      <w:r w:rsidRPr="004740F0">
        <w:rPr>
          <w:rFonts w:ascii="Times New Roman" w:hAnsi="Times New Roman" w:cs="Times New Roman"/>
          <w:sz w:val="28"/>
          <w:szCs w:val="28"/>
          <w:lang w:val="uk-UA"/>
        </w:rPr>
        <w:t xml:space="preserve"> культурні норми, що відповідають теоретичним механізмам, меншою кількістю вимірів у QCA. Незважаючи на те, що культурна структура </w:t>
      </w:r>
      <w:proofErr w:type="spellStart"/>
      <w:r w:rsidRPr="004740F0">
        <w:rPr>
          <w:rFonts w:ascii="Times New Roman" w:hAnsi="Times New Roman" w:cs="Times New Roman"/>
          <w:sz w:val="28"/>
          <w:szCs w:val="28"/>
          <w:lang w:val="uk-UA"/>
        </w:rPr>
        <w:t>Хофстеда</w:t>
      </w:r>
      <w:proofErr w:type="spellEnd"/>
      <w:r w:rsidRPr="004740F0">
        <w:rPr>
          <w:rFonts w:ascii="Times New Roman" w:hAnsi="Times New Roman" w:cs="Times New Roman"/>
          <w:sz w:val="28"/>
          <w:szCs w:val="28"/>
          <w:lang w:val="uk-UA"/>
        </w:rPr>
        <w:t xml:space="preserve"> була піддана критиці, вона продовжувала надавати цінні міжкультурні дослідницькі ідеї. Нарешті, хоча кількість окремих респондентів (28 на країну) та охоплення країн (13 </w:t>
      </w:r>
      <w:r>
        <w:rPr>
          <w:rFonts w:ascii="Times New Roman" w:hAnsi="Times New Roman" w:cs="Times New Roman"/>
          <w:sz w:val="28"/>
          <w:szCs w:val="28"/>
          <w:lang w:val="uk-UA"/>
        </w:rPr>
        <w:t>країн із різноманітних регіонів</w:t>
      </w:r>
      <w:r w:rsidRPr="004740F0">
        <w:rPr>
          <w:rFonts w:ascii="Times New Roman" w:hAnsi="Times New Roman" w:cs="Times New Roman"/>
          <w:sz w:val="28"/>
          <w:szCs w:val="28"/>
          <w:lang w:val="uk-UA"/>
        </w:rPr>
        <w:t xml:space="preserve">) були більш ніж достатніми для цілей </w:t>
      </w:r>
      <w:r>
        <w:rPr>
          <w:rFonts w:ascii="Times New Roman" w:hAnsi="Times New Roman" w:cs="Times New Roman"/>
          <w:sz w:val="28"/>
          <w:szCs w:val="28"/>
          <w:lang w:val="uk-UA"/>
        </w:rPr>
        <w:t>наведеного дослідження</w:t>
      </w:r>
      <w:r w:rsidRPr="004740F0">
        <w:rPr>
          <w:rFonts w:ascii="Times New Roman" w:hAnsi="Times New Roman" w:cs="Times New Roman"/>
          <w:sz w:val="28"/>
          <w:szCs w:val="28"/>
          <w:lang w:val="uk-UA"/>
        </w:rPr>
        <w:t>, у майбутн</w:t>
      </w:r>
      <w:r>
        <w:rPr>
          <w:rFonts w:ascii="Times New Roman" w:hAnsi="Times New Roman" w:cs="Times New Roman"/>
          <w:sz w:val="28"/>
          <w:szCs w:val="28"/>
          <w:lang w:val="uk-UA"/>
        </w:rPr>
        <w:t xml:space="preserve">ьому </w:t>
      </w:r>
      <w:r w:rsidRPr="004740F0">
        <w:rPr>
          <w:rFonts w:ascii="Times New Roman" w:hAnsi="Times New Roman" w:cs="Times New Roman"/>
          <w:sz w:val="28"/>
          <w:szCs w:val="28"/>
          <w:lang w:val="uk-UA"/>
        </w:rPr>
        <w:t xml:space="preserve">слід спробувати емпірично протестувати запропоновану </w:t>
      </w:r>
      <w:r w:rsidRPr="00D56052">
        <w:rPr>
          <w:rFonts w:ascii="Times New Roman" w:hAnsi="Times New Roman" w:cs="Times New Roman"/>
          <w:sz w:val="28"/>
          <w:szCs w:val="28"/>
          <w:lang w:val="uk-UA"/>
        </w:rPr>
        <w:t xml:space="preserve">таксономію на більшій вибірці країн, використовуючи дедуктивний підхід або більш масштабну </w:t>
      </w:r>
      <w:r w:rsidRPr="00D56052">
        <w:rPr>
          <w:rFonts w:ascii="Times New Roman" w:eastAsiaTheme="minorHAnsi" w:hAnsi="Times New Roman" w:cs="Times New Roman"/>
          <w:sz w:val="28"/>
          <w:szCs w:val="28"/>
          <w:lang w:val="uk-UA" w:eastAsia="en-US"/>
        </w:rPr>
        <w:t>QCA</w:t>
      </w:r>
      <w:r>
        <w:rPr>
          <w:rFonts w:ascii="Times New Roman" w:eastAsiaTheme="minorHAnsi" w:hAnsi="Times New Roman" w:cs="Times New Roman"/>
          <w:sz w:val="28"/>
          <w:szCs w:val="28"/>
          <w:lang w:val="uk-UA" w:eastAsia="en-US"/>
        </w:rPr>
        <w:t xml:space="preserve"> </w:t>
      </w:r>
      <w:r w:rsidRPr="005D1B01">
        <w:rPr>
          <w:rFonts w:ascii="Times New Roman" w:hAnsi="Times New Roman" w:cs="Times New Roman"/>
          <w:sz w:val="28"/>
          <w:szCs w:val="28"/>
          <w:lang w:val="uk-UA"/>
        </w:rPr>
        <w:t>[78]</w:t>
      </w:r>
      <w:r w:rsidRPr="00D56052">
        <w:rPr>
          <w:rFonts w:ascii="Times New Roman" w:hAnsi="Times New Roman" w:cs="Times New Roman"/>
          <w:sz w:val="28"/>
          <w:szCs w:val="28"/>
          <w:lang w:val="uk-UA"/>
        </w:rPr>
        <w:t>.</w:t>
      </w:r>
    </w:p>
    <w:p w14:paraId="72206E5C" w14:textId="77777777" w:rsidR="00571B42" w:rsidRPr="004740F0" w:rsidRDefault="00571B42" w:rsidP="00571B42">
      <w:pPr>
        <w:spacing w:after="0" w:line="360" w:lineRule="auto"/>
        <w:ind w:firstLine="720"/>
        <w:jc w:val="both"/>
        <w:rPr>
          <w:rFonts w:ascii="Times New Roman" w:hAnsi="Times New Roman" w:cs="Times New Roman"/>
          <w:sz w:val="28"/>
          <w:szCs w:val="28"/>
          <w:lang w:val="uk-UA"/>
        </w:rPr>
      </w:pPr>
      <w:r w:rsidRPr="00D56052">
        <w:rPr>
          <w:rFonts w:ascii="Times New Roman" w:hAnsi="Times New Roman" w:cs="Times New Roman"/>
          <w:sz w:val="28"/>
          <w:szCs w:val="28"/>
          <w:lang w:val="uk-UA"/>
        </w:rPr>
        <w:t xml:space="preserve">Наші висновки свідчать про те, що </w:t>
      </w:r>
      <w:r>
        <w:rPr>
          <w:rFonts w:ascii="Times New Roman" w:hAnsi="Times New Roman" w:cs="Times New Roman"/>
          <w:sz w:val="28"/>
          <w:szCs w:val="28"/>
          <w:lang w:val="uk-UA"/>
        </w:rPr>
        <w:t>міжнародні компанії</w:t>
      </w:r>
      <w:r w:rsidRPr="00D56052">
        <w:rPr>
          <w:rFonts w:ascii="Times New Roman" w:hAnsi="Times New Roman" w:cs="Times New Roman"/>
          <w:sz w:val="28"/>
          <w:szCs w:val="28"/>
          <w:lang w:val="uk-UA"/>
        </w:rPr>
        <w:t xml:space="preserve"> повинні оцінити та переосмислити відповідність своїх систем управління кар’єрою в різних </w:t>
      </w:r>
      <w:r w:rsidRPr="00D56052">
        <w:rPr>
          <w:rFonts w:ascii="Times New Roman" w:hAnsi="Times New Roman" w:cs="Times New Roman"/>
          <w:sz w:val="28"/>
          <w:szCs w:val="28"/>
          <w:lang w:val="uk-UA"/>
        </w:rPr>
        <w:lastRenderedPageBreak/>
        <w:t xml:space="preserve">інституційних умовах, ґрунтуючись на основоположних схемах успішної кар’єри, на яких, ймовірно, базуються ці системи. </w:t>
      </w:r>
      <w:r>
        <w:rPr>
          <w:rFonts w:ascii="Times New Roman" w:hAnsi="Times New Roman" w:cs="Times New Roman"/>
          <w:sz w:val="28"/>
          <w:szCs w:val="28"/>
          <w:lang w:val="uk-UA"/>
        </w:rPr>
        <w:t xml:space="preserve">Доцільно показати </w:t>
      </w:r>
      <w:r w:rsidRPr="00D56052">
        <w:rPr>
          <w:rFonts w:ascii="Times New Roman" w:hAnsi="Times New Roman" w:cs="Times New Roman"/>
          <w:sz w:val="28"/>
          <w:szCs w:val="28"/>
          <w:lang w:val="uk-UA"/>
        </w:rPr>
        <w:t>значні відмінності на рівні країни в складності та збіжності схем кар’єрного успіху, що має важливі наслідки для політиків, спеціалістів з управління персоналом і, зокрема, багатонаціональних компаній, оскільки не всі країни формують кар’єрні схеми «традиційним» модульним</w:t>
      </w:r>
      <w:r w:rsidRPr="004740F0">
        <w:rPr>
          <w:rFonts w:ascii="Times New Roman" w:hAnsi="Times New Roman" w:cs="Times New Roman"/>
          <w:sz w:val="28"/>
          <w:szCs w:val="28"/>
          <w:lang w:val="uk-UA"/>
        </w:rPr>
        <w:t xml:space="preserve"> способом. Іншими словами, </w:t>
      </w:r>
      <w:proofErr w:type="spellStart"/>
      <w:r w:rsidRPr="004740F0">
        <w:rPr>
          <w:rFonts w:ascii="Times New Roman" w:hAnsi="Times New Roman" w:cs="Times New Roman"/>
          <w:sz w:val="28"/>
          <w:szCs w:val="28"/>
          <w:lang w:val="uk-UA"/>
        </w:rPr>
        <w:t>етноцентричний</w:t>
      </w:r>
      <w:proofErr w:type="spellEnd"/>
      <w:r w:rsidRPr="004740F0">
        <w:rPr>
          <w:rFonts w:ascii="Times New Roman" w:hAnsi="Times New Roman" w:cs="Times New Roman"/>
          <w:sz w:val="28"/>
          <w:szCs w:val="28"/>
          <w:lang w:val="uk-UA"/>
        </w:rPr>
        <w:t xml:space="preserve"> підхід до управління кар’єрою, ймовірно, підходить лише для </w:t>
      </w:r>
      <w:r>
        <w:rPr>
          <w:rFonts w:ascii="Times New Roman" w:hAnsi="Times New Roman" w:cs="Times New Roman"/>
          <w:sz w:val="28"/>
          <w:szCs w:val="28"/>
          <w:lang w:val="uk-UA"/>
        </w:rPr>
        <w:t>міжнародних компаній</w:t>
      </w:r>
      <w:r w:rsidRPr="004740F0">
        <w:rPr>
          <w:rFonts w:ascii="Times New Roman" w:hAnsi="Times New Roman" w:cs="Times New Roman"/>
          <w:sz w:val="28"/>
          <w:szCs w:val="28"/>
          <w:lang w:val="uk-UA"/>
        </w:rPr>
        <w:t xml:space="preserve"> з дочірніми компаніями, що належать до того самого </w:t>
      </w:r>
      <w:r>
        <w:rPr>
          <w:rFonts w:ascii="Times New Roman" w:hAnsi="Times New Roman" w:cs="Times New Roman"/>
          <w:sz w:val="28"/>
          <w:szCs w:val="28"/>
          <w:lang w:val="uk-UA"/>
        </w:rPr>
        <w:t>архетипу схеми успішної кар’єри</w:t>
      </w:r>
      <w:r w:rsidRPr="004740F0">
        <w:rPr>
          <w:rFonts w:ascii="Times New Roman" w:hAnsi="Times New Roman" w:cs="Times New Roman"/>
          <w:sz w:val="28"/>
          <w:szCs w:val="28"/>
          <w:lang w:val="uk-UA"/>
        </w:rPr>
        <w:t>.</w:t>
      </w:r>
    </w:p>
    <w:p w14:paraId="6136A579"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4740F0">
        <w:rPr>
          <w:rFonts w:ascii="Times New Roman" w:hAnsi="Times New Roman" w:cs="Times New Roman"/>
          <w:sz w:val="28"/>
          <w:szCs w:val="28"/>
          <w:lang w:val="uk-UA"/>
        </w:rPr>
        <w:t>У країнах, які мають більш модульні схеми успіху в кар’єрі, традиційні системи управління кар’єрою та практики управління персоналом, ймовірно, добре підходять, оскільки вони, ймовірно, зосереджуються на різноманітних добре зрозумілих значеннях успіху в кар’єрі (наприклад, надання кар’єрних шляхів угору, пов’язаних зі значенням успіху як заробітної плати та статусу; дружніх до сім’ї організацій роботи, налаштованих на успіх кар’єри, тобто балансу між роботою та особистим життям). Однак у країнах, де існує невелика конвергенція схем кар’єрного успіху, може бути складно та ймовірно неефективно нав’язати всім однакові методи управління кар’єрою (</w:t>
      </w:r>
      <w:r w:rsidRPr="00E54936">
        <w:rPr>
          <w:rFonts w:ascii="Times New Roman" w:hAnsi="Times New Roman" w:cs="Times New Roman"/>
          <w:sz w:val="28"/>
          <w:szCs w:val="28"/>
          <w:lang w:val="uk-UA"/>
        </w:rPr>
        <w:t xml:space="preserve">наприклад, людина може прагнути отримати вищу зарплату, але якщо зарплата цієї людини пов’язана з кращим балансом між роботою та особистим життям, просування по службі не буде для неї ідеальною практикою в області </w:t>
      </w:r>
      <w:r>
        <w:rPr>
          <w:rFonts w:ascii="Times New Roman" w:hAnsi="Times New Roman" w:cs="Times New Roman"/>
          <w:sz w:val="28"/>
          <w:szCs w:val="28"/>
          <w:lang w:val="uk-UA"/>
        </w:rPr>
        <w:t>управління кар’єрою</w:t>
      </w:r>
      <w:r w:rsidRPr="004740F0">
        <w:rPr>
          <w:rFonts w:ascii="Times New Roman" w:hAnsi="Times New Roman" w:cs="Times New Roman"/>
          <w:sz w:val="28"/>
          <w:szCs w:val="28"/>
          <w:lang w:val="uk-UA"/>
        </w:rPr>
        <w:t>). Ще більш проблематичним є те, що в країнах, які характеризуються низькою складністю, використання (західної) практики управління персоналом, що виділяє конкретні значення успіху в кар’єрі (наприклад, бонуси та зарплати розглядаються окремо від навчання та розвитку), може перешкоджати прогнозуванню та вимірюванню вплив</w:t>
      </w:r>
      <w:r>
        <w:rPr>
          <w:rFonts w:ascii="Times New Roman" w:hAnsi="Times New Roman" w:cs="Times New Roman"/>
          <w:sz w:val="28"/>
          <w:szCs w:val="28"/>
          <w:lang w:val="uk-UA"/>
        </w:rPr>
        <w:t>ів</w:t>
      </w:r>
      <w:r w:rsidRPr="004740F0">
        <w:rPr>
          <w:rFonts w:ascii="Times New Roman" w:hAnsi="Times New Roman" w:cs="Times New Roman"/>
          <w:sz w:val="28"/>
          <w:szCs w:val="28"/>
          <w:lang w:val="uk-UA"/>
        </w:rPr>
        <w:t xml:space="preserve"> індивідуальних </w:t>
      </w:r>
      <w:proofErr w:type="spellStart"/>
      <w:r w:rsidRPr="004740F0">
        <w:rPr>
          <w:rFonts w:ascii="Times New Roman" w:hAnsi="Times New Roman" w:cs="Times New Roman"/>
          <w:sz w:val="28"/>
          <w:szCs w:val="28"/>
          <w:lang w:val="uk-UA"/>
        </w:rPr>
        <w:t>втручань</w:t>
      </w:r>
      <w:proofErr w:type="spellEnd"/>
      <w:r w:rsidRPr="004740F0">
        <w:rPr>
          <w:rFonts w:ascii="Times New Roman" w:hAnsi="Times New Roman" w:cs="Times New Roman"/>
          <w:sz w:val="28"/>
          <w:szCs w:val="28"/>
          <w:lang w:val="uk-UA"/>
        </w:rPr>
        <w:t xml:space="preserve"> HR</w:t>
      </w:r>
      <w:r>
        <w:rPr>
          <w:rFonts w:ascii="Times New Roman" w:hAnsi="Times New Roman" w:cs="Times New Roman"/>
          <w:sz w:val="28"/>
          <w:szCs w:val="28"/>
          <w:lang w:val="uk-UA"/>
        </w:rPr>
        <w:t>М</w:t>
      </w:r>
      <w:r w:rsidRPr="004740F0">
        <w:rPr>
          <w:rFonts w:ascii="Times New Roman" w:hAnsi="Times New Roman" w:cs="Times New Roman"/>
          <w:sz w:val="28"/>
          <w:szCs w:val="28"/>
          <w:lang w:val="uk-UA"/>
        </w:rPr>
        <w:t xml:space="preserve"> на моральний стан працівників. У таких країнах організаційне управління кар’єрою та практики управління персоналом можуть бути більш цілісними, оскільки в таких умовах значення кар’єрного успіху взаємопов’язані, і їх важко розділити. Оскільки </w:t>
      </w:r>
      <w:r>
        <w:rPr>
          <w:rFonts w:ascii="Times New Roman" w:hAnsi="Times New Roman" w:cs="Times New Roman"/>
          <w:sz w:val="28"/>
          <w:szCs w:val="28"/>
          <w:lang w:val="uk-UA"/>
        </w:rPr>
        <w:t>міжнародні компанії</w:t>
      </w:r>
      <w:r w:rsidRPr="004740F0">
        <w:rPr>
          <w:rFonts w:ascii="Times New Roman" w:hAnsi="Times New Roman" w:cs="Times New Roman"/>
          <w:sz w:val="28"/>
          <w:szCs w:val="28"/>
          <w:lang w:val="uk-UA"/>
        </w:rPr>
        <w:t xml:space="preserve"> та інші фірми із західних і розвинутих країн </w:t>
      </w:r>
      <w:r w:rsidRPr="004740F0">
        <w:rPr>
          <w:rFonts w:ascii="Times New Roman" w:hAnsi="Times New Roman" w:cs="Times New Roman"/>
          <w:sz w:val="28"/>
          <w:szCs w:val="28"/>
          <w:lang w:val="uk-UA"/>
        </w:rPr>
        <w:lastRenderedPageBreak/>
        <w:t xml:space="preserve">продовжують шукати вищий відсоток доходу від діяльності в країнах, що розвиваються та лідирують у зростанні, що, згідно з </w:t>
      </w:r>
      <w:r>
        <w:rPr>
          <w:rFonts w:ascii="Times New Roman" w:hAnsi="Times New Roman" w:cs="Times New Roman"/>
          <w:sz w:val="28"/>
          <w:szCs w:val="28"/>
          <w:lang w:val="uk-UA"/>
        </w:rPr>
        <w:t>наведеними</w:t>
      </w:r>
      <w:r w:rsidRPr="004740F0">
        <w:rPr>
          <w:rFonts w:ascii="Times New Roman" w:hAnsi="Times New Roman" w:cs="Times New Roman"/>
          <w:sz w:val="28"/>
          <w:szCs w:val="28"/>
          <w:lang w:val="uk-UA"/>
        </w:rPr>
        <w:t xml:space="preserve"> висновками, можна очікувати</w:t>
      </w:r>
      <w:r>
        <w:rPr>
          <w:rFonts w:ascii="Times New Roman" w:hAnsi="Times New Roman" w:cs="Times New Roman"/>
          <w:sz w:val="28"/>
          <w:szCs w:val="28"/>
          <w:lang w:val="uk-UA"/>
        </w:rPr>
        <w:t>,</w:t>
      </w:r>
      <w:r w:rsidRPr="004740F0">
        <w:rPr>
          <w:rFonts w:ascii="Times New Roman" w:hAnsi="Times New Roman" w:cs="Times New Roman"/>
          <w:sz w:val="28"/>
          <w:szCs w:val="28"/>
          <w:lang w:val="uk-UA"/>
        </w:rPr>
        <w:t xml:space="preserve"> характеризуються дифузними схемами успіху в кар’єрі </w:t>
      </w:r>
      <w:r>
        <w:rPr>
          <w:rFonts w:ascii="Times New Roman" w:hAnsi="Times New Roman" w:cs="Times New Roman"/>
          <w:sz w:val="28"/>
          <w:szCs w:val="28"/>
          <w:lang w:val="uk-UA"/>
        </w:rPr>
        <w:t>-</w:t>
      </w:r>
      <w:r w:rsidRPr="004740F0">
        <w:rPr>
          <w:rFonts w:ascii="Times New Roman" w:hAnsi="Times New Roman" w:cs="Times New Roman"/>
          <w:sz w:val="28"/>
          <w:szCs w:val="28"/>
          <w:lang w:val="uk-UA"/>
        </w:rPr>
        <w:t xml:space="preserve"> ці </w:t>
      </w:r>
      <w:r w:rsidRPr="00771488">
        <w:rPr>
          <w:rFonts w:ascii="Times New Roman" w:hAnsi="Times New Roman" w:cs="Times New Roman"/>
          <w:sz w:val="28"/>
          <w:szCs w:val="28"/>
          <w:lang w:val="uk-UA"/>
        </w:rPr>
        <w:t>застереження можуть бути особливо помітними.</w:t>
      </w:r>
    </w:p>
    <w:p w14:paraId="0876FC16" w14:textId="77777777" w:rsidR="00571B42" w:rsidRPr="00E937D5"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Цікавим для аналізу може стати к</w:t>
      </w:r>
      <w:r w:rsidRPr="00E937D5">
        <w:rPr>
          <w:rFonts w:ascii="Times New Roman" w:hAnsi="Times New Roman" w:cs="Times New Roman"/>
          <w:sz w:val="28"/>
          <w:szCs w:val="28"/>
          <w:lang w:val="uk-UA"/>
        </w:rPr>
        <w:t>ритичний аналіз міжнар</w:t>
      </w:r>
      <w:r>
        <w:rPr>
          <w:rFonts w:ascii="Times New Roman" w:hAnsi="Times New Roman" w:cs="Times New Roman"/>
          <w:sz w:val="28"/>
          <w:szCs w:val="28"/>
          <w:lang w:val="uk-UA"/>
        </w:rPr>
        <w:t>одної дискусії про конвергенцію</w:t>
      </w:r>
      <w:r w:rsidRPr="00E937D5">
        <w:rPr>
          <w:rFonts w:ascii="Times New Roman" w:hAnsi="Times New Roman" w:cs="Times New Roman"/>
          <w:sz w:val="28"/>
          <w:szCs w:val="28"/>
          <w:lang w:val="uk-UA"/>
        </w:rPr>
        <w:t xml:space="preserve"> щодо практики міжнародного управління людськими ресурсами на основі конкретних прикладів для </w:t>
      </w:r>
      <w:proofErr w:type="spellStart"/>
      <w:r w:rsidRPr="00E937D5">
        <w:rPr>
          <w:rFonts w:ascii="Times New Roman" w:hAnsi="Times New Roman" w:cs="Times New Roman"/>
          <w:sz w:val="28"/>
          <w:szCs w:val="28"/>
          <w:lang w:val="uk-UA"/>
        </w:rPr>
        <w:t>контекстуалізації</w:t>
      </w:r>
      <w:proofErr w:type="spellEnd"/>
      <w:r w:rsidRPr="00E937D5">
        <w:rPr>
          <w:rFonts w:ascii="Times New Roman" w:hAnsi="Times New Roman" w:cs="Times New Roman"/>
          <w:sz w:val="28"/>
          <w:szCs w:val="28"/>
          <w:lang w:val="uk-UA"/>
        </w:rPr>
        <w:t xml:space="preserve"> академічної теорії.</w:t>
      </w:r>
      <w:r>
        <w:rPr>
          <w:rFonts w:ascii="Times New Roman" w:hAnsi="Times New Roman" w:cs="Times New Roman"/>
          <w:sz w:val="28"/>
          <w:szCs w:val="28"/>
          <w:lang w:val="uk-UA"/>
        </w:rPr>
        <w:t xml:space="preserve"> Міжнародне</w:t>
      </w:r>
      <w:r w:rsidRPr="00E937D5">
        <w:rPr>
          <w:rFonts w:ascii="Times New Roman" w:hAnsi="Times New Roman" w:cs="Times New Roman"/>
          <w:sz w:val="28"/>
          <w:szCs w:val="28"/>
          <w:lang w:val="uk-UA"/>
        </w:rPr>
        <w:t xml:space="preserve"> управління людськими ресурсами є важливим атрибутом у </w:t>
      </w:r>
      <w:r>
        <w:rPr>
          <w:rFonts w:ascii="Times New Roman" w:hAnsi="Times New Roman" w:cs="Times New Roman"/>
          <w:sz w:val="28"/>
          <w:szCs w:val="28"/>
          <w:lang w:val="uk-UA"/>
        </w:rPr>
        <w:t xml:space="preserve">сьогочасної системи побудови успішної кар’єри, який може бути визначений як </w:t>
      </w:r>
      <w:r w:rsidRPr="00E937D5">
        <w:rPr>
          <w:rFonts w:ascii="Times New Roman" w:hAnsi="Times New Roman" w:cs="Times New Roman"/>
          <w:sz w:val="28"/>
          <w:szCs w:val="28"/>
          <w:lang w:val="uk-UA"/>
        </w:rPr>
        <w:t>розуміння, дослідження, застосування та перегляд усіх видів людських ресурсів у їхньому внутрі</w:t>
      </w:r>
      <w:r>
        <w:rPr>
          <w:rFonts w:ascii="Times New Roman" w:hAnsi="Times New Roman" w:cs="Times New Roman"/>
          <w:sz w:val="28"/>
          <w:szCs w:val="28"/>
          <w:lang w:val="uk-UA"/>
        </w:rPr>
        <w:t>шньому та зовнішньому контексті</w:t>
      </w:r>
      <w:r w:rsidRPr="00E937D5">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усьому глобальному середовищі.</w:t>
      </w:r>
      <w:r w:rsidRPr="00E937D5">
        <w:rPr>
          <w:rFonts w:ascii="Times New Roman" w:hAnsi="Times New Roman" w:cs="Times New Roman"/>
          <w:sz w:val="28"/>
          <w:szCs w:val="28"/>
          <w:lang w:val="uk-UA"/>
        </w:rPr>
        <w:t xml:space="preserve"> Зростання глобалізації лише збільшує важливість міжнародного управління людськими ресурсами, оскільки організації покладаються навіть більше на міжнародну, мультикультурну робочу силу, щоб </w:t>
      </w:r>
      <w:r>
        <w:rPr>
          <w:rFonts w:ascii="Times New Roman" w:hAnsi="Times New Roman" w:cs="Times New Roman"/>
          <w:sz w:val="28"/>
          <w:szCs w:val="28"/>
          <w:lang w:val="uk-UA"/>
        </w:rPr>
        <w:t xml:space="preserve">успішно </w:t>
      </w:r>
      <w:r w:rsidRPr="00E937D5">
        <w:rPr>
          <w:rFonts w:ascii="Times New Roman" w:hAnsi="Times New Roman" w:cs="Times New Roman"/>
          <w:sz w:val="28"/>
          <w:szCs w:val="28"/>
          <w:lang w:val="uk-UA"/>
        </w:rPr>
        <w:t>конкурувати</w:t>
      </w:r>
      <w:r>
        <w:rPr>
          <w:rFonts w:ascii="Times New Roman" w:hAnsi="Times New Roman" w:cs="Times New Roman"/>
          <w:sz w:val="28"/>
          <w:szCs w:val="28"/>
          <w:lang w:val="uk-UA"/>
        </w:rPr>
        <w:t xml:space="preserve"> в турбулентних умовах сьогодення</w:t>
      </w:r>
      <w:r w:rsidRPr="00E937D5">
        <w:rPr>
          <w:rFonts w:ascii="Times New Roman" w:hAnsi="Times New Roman" w:cs="Times New Roman"/>
          <w:sz w:val="28"/>
          <w:szCs w:val="28"/>
          <w:lang w:val="uk-UA"/>
        </w:rPr>
        <w:t xml:space="preserve">. Що стосується організацій з кількома міжнародними дочірніми компаніями, практики управління персоналом, які слід використовувати, були предметом багатьох наукових дебатів; </w:t>
      </w:r>
      <w:r>
        <w:rPr>
          <w:rFonts w:ascii="Times New Roman" w:hAnsi="Times New Roman" w:cs="Times New Roman"/>
          <w:sz w:val="28"/>
          <w:szCs w:val="28"/>
          <w:lang w:val="uk-UA"/>
        </w:rPr>
        <w:t xml:space="preserve">зокрема щодо </w:t>
      </w:r>
      <w:r w:rsidRPr="00E937D5">
        <w:rPr>
          <w:rFonts w:ascii="Times New Roman" w:hAnsi="Times New Roman" w:cs="Times New Roman"/>
          <w:sz w:val="28"/>
          <w:szCs w:val="28"/>
          <w:lang w:val="uk-UA"/>
        </w:rPr>
        <w:t>конвергенці</w:t>
      </w:r>
      <w:r>
        <w:rPr>
          <w:rFonts w:ascii="Times New Roman" w:hAnsi="Times New Roman" w:cs="Times New Roman"/>
          <w:sz w:val="28"/>
          <w:szCs w:val="28"/>
          <w:lang w:val="uk-UA"/>
        </w:rPr>
        <w:t>ї</w:t>
      </w:r>
      <w:r w:rsidRPr="00E937D5">
        <w:rPr>
          <w:rFonts w:ascii="Times New Roman" w:hAnsi="Times New Roman" w:cs="Times New Roman"/>
          <w:sz w:val="28"/>
          <w:szCs w:val="28"/>
          <w:lang w:val="uk-UA"/>
        </w:rPr>
        <w:t xml:space="preserve"> проти дивергенції.</w:t>
      </w:r>
    </w:p>
    <w:p w14:paraId="57B18566" w14:textId="77777777" w:rsidR="00571B42"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Конвергенція зазначає, що </w:t>
      </w:r>
      <w:r w:rsidRPr="00E937D5">
        <w:rPr>
          <w:rFonts w:ascii="Times New Roman" w:hAnsi="Times New Roman" w:cs="Times New Roman"/>
          <w:sz w:val="28"/>
          <w:szCs w:val="28"/>
          <w:lang w:val="uk-UA"/>
        </w:rPr>
        <w:t>практики міжнародного управління людськими ресурсами стають більш схожими та з часом «</w:t>
      </w:r>
      <w:proofErr w:type="spellStart"/>
      <w:r w:rsidRPr="00E937D5">
        <w:rPr>
          <w:rFonts w:ascii="Times New Roman" w:hAnsi="Times New Roman" w:cs="Times New Roman"/>
          <w:sz w:val="28"/>
          <w:szCs w:val="28"/>
          <w:lang w:val="uk-UA"/>
        </w:rPr>
        <w:t>конвергентують</w:t>
      </w:r>
      <w:proofErr w:type="spellEnd"/>
      <w:r w:rsidRPr="00E937D5">
        <w:rPr>
          <w:rFonts w:ascii="Times New Roman" w:hAnsi="Times New Roman" w:cs="Times New Roman"/>
          <w:sz w:val="28"/>
          <w:szCs w:val="28"/>
          <w:lang w:val="uk-UA"/>
        </w:rPr>
        <w:t xml:space="preserve">», щоб однакові найкращі практики використовувалися в усьому світі. Однак розбіжності виступають проти цього, стверджуючи, що міжнародна практика управління людськими ресурсами залишатиметься відмінною одна від одної, незважаючи на глобалізацію. Це подання спочатку розглядатиме дискусію про конвергенцію, прийнявши критичний погляд. Хоча дані свідчать про те, що деякі </w:t>
      </w:r>
      <w:r>
        <w:rPr>
          <w:rFonts w:ascii="Times New Roman" w:hAnsi="Times New Roman" w:cs="Times New Roman"/>
          <w:sz w:val="28"/>
          <w:szCs w:val="28"/>
          <w:lang w:val="uk-UA"/>
        </w:rPr>
        <w:t xml:space="preserve">міжнародні </w:t>
      </w:r>
      <w:r w:rsidRPr="00E937D5">
        <w:rPr>
          <w:rFonts w:ascii="Times New Roman" w:hAnsi="Times New Roman" w:cs="Times New Roman"/>
          <w:sz w:val="28"/>
          <w:szCs w:val="28"/>
          <w:lang w:val="uk-UA"/>
        </w:rPr>
        <w:t xml:space="preserve">практики стали більш схожими, вони ніколи не зійдуться повністю з різних причин. </w:t>
      </w:r>
      <w:r>
        <w:rPr>
          <w:rFonts w:ascii="Times New Roman" w:hAnsi="Times New Roman" w:cs="Times New Roman"/>
          <w:sz w:val="28"/>
          <w:szCs w:val="28"/>
          <w:lang w:val="uk-UA"/>
        </w:rPr>
        <w:t xml:space="preserve">Наступним кроком було формулювання </w:t>
      </w:r>
      <w:r w:rsidRPr="00E937D5">
        <w:rPr>
          <w:rFonts w:ascii="Times New Roman" w:hAnsi="Times New Roman" w:cs="Times New Roman"/>
          <w:sz w:val="28"/>
          <w:szCs w:val="28"/>
          <w:lang w:val="uk-UA"/>
        </w:rPr>
        <w:t>аналіз</w:t>
      </w:r>
      <w:r>
        <w:rPr>
          <w:rFonts w:ascii="Times New Roman" w:hAnsi="Times New Roman" w:cs="Times New Roman"/>
          <w:sz w:val="28"/>
          <w:szCs w:val="28"/>
          <w:lang w:val="uk-UA"/>
        </w:rPr>
        <w:t>у</w:t>
      </w:r>
      <w:r w:rsidRPr="00E937D5">
        <w:rPr>
          <w:rFonts w:ascii="Times New Roman" w:hAnsi="Times New Roman" w:cs="Times New Roman"/>
          <w:sz w:val="28"/>
          <w:szCs w:val="28"/>
          <w:lang w:val="uk-UA"/>
        </w:rPr>
        <w:t xml:space="preserve"> дебатів щодо розбіжностей. </w:t>
      </w:r>
    </w:p>
    <w:p w14:paraId="505776BE" w14:textId="77777777" w:rsidR="00571B42" w:rsidRPr="00E937D5" w:rsidRDefault="00571B42" w:rsidP="00571B42">
      <w:pPr>
        <w:spacing w:after="0" w:line="360" w:lineRule="auto"/>
        <w:ind w:firstLine="720"/>
        <w:jc w:val="both"/>
        <w:rPr>
          <w:rFonts w:ascii="Times New Roman" w:hAnsi="Times New Roman" w:cs="Times New Roman"/>
          <w:sz w:val="28"/>
          <w:szCs w:val="28"/>
          <w:lang w:val="uk-UA"/>
        </w:rPr>
      </w:pPr>
      <w:r w:rsidRPr="00E937D5">
        <w:rPr>
          <w:rFonts w:ascii="Times New Roman" w:hAnsi="Times New Roman" w:cs="Times New Roman"/>
          <w:sz w:val="28"/>
          <w:szCs w:val="28"/>
          <w:lang w:val="uk-UA"/>
        </w:rPr>
        <w:t xml:space="preserve">Теза про конвергенцію ефективно показує, що практика міжнародного управління людськими ресурсами зближуватиметься у всьому світі з двох </w:t>
      </w:r>
      <w:r w:rsidRPr="00E937D5">
        <w:rPr>
          <w:rFonts w:ascii="Times New Roman" w:hAnsi="Times New Roman" w:cs="Times New Roman"/>
          <w:sz w:val="28"/>
          <w:szCs w:val="28"/>
          <w:lang w:val="uk-UA"/>
        </w:rPr>
        <w:lastRenderedPageBreak/>
        <w:t xml:space="preserve">ключових причин: глобалізація та індустріалізація. Важливо визнати, що є вагомі докази, які підтверджують цю теорію. Що стосується дебатів про індустріалізацію, </w:t>
      </w:r>
      <w:r>
        <w:rPr>
          <w:rFonts w:ascii="Times New Roman" w:hAnsi="Times New Roman" w:cs="Times New Roman"/>
          <w:sz w:val="28"/>
          <w:szCs w:val="28"/>
          <w:lang w:val="uk-UA"/>
        </w:rPr>
        <w:t>в суспільстві було сформовані погляди</w:t>
      </w:r>
      <w:r w:rsidRPr="00E937D5">
        <w:rPr>
          <w:rFonts w:ascii="Times New Roman" w:hAnsi="Times New Roman" w:cs="Times New Roman"/>
          <w:sz w:val="28"/>
          <w:szCs w:val="28"/>
          <w:lang w:val="uk-UA"/>
        </w:rPr>
        <w:t xml:space="preserve">, що компаніям доведеться </w:t>
      </w:r>
      <w:proofErr w:type="spellStart"/>
      <w:r w:rsidRPr="00E937D5">
        <w:rPr>
          <w:rFonts w:ascii="Times New Roman" w:hAnsi="Times New Roman" w:cs="Times New Roman"/>
          <w:sz w:val="28"/>
          <w:szCs w:val="28"/>
          <w:lang w:val="uk-UA"/>
        </w:rPr>
        <w:t>конвергувати</w:t>
      </w:r>
      <w:proofErr w:type="spellEnd"/>
      <w:r w:rsidRPr="00E937D5">
        <w:rPr>
          <w:rFonts w:ascii="Times New Roman" w:hAnsi="Times New Roman" w:cs="Times New Roman"/>
          <w:sz w:val="28"/>
          <w:szCs w:val="28"/>
          <w:lang w:val="uk-UA"/>
        </w:rPr>
        <w:t xml:space="preserve"> свої виробничі практики, щоб зберегти свою конкурентну перевагу, щоб компанії могли конкурувати в глобальній економіці. </w:t>
      </w:r>
      <w:r>
        <w:rPr>
          <w:rFonts w:ascii="Times New Roman" w:hAnsi="Times New Roman" w:cs="Times New Roman"/>
          <w:sz w:val="28"/>
          <w:szCs w:val="28"/>
          <w:lang w:val="uk-UA"/>
        </w:rPr>
        <w:t>Крім того, було виявлено, що</w:t>
      </w:r>
      <w:r w:rsidRPr="00E937D5">
        <w:rPr>
          <w:rFonts w:ascii="Times New Roman" w:hAnsi="Times New Roman" w:cs="Times New Roman"/>
          <w:sz w:val="28"/>
          <w:szCs w:val="28"/>
          <w:lang w:val="uk-UA"/>
        </w:rPr>
        <w:t xml:space="preserve"> виробничі процедури повинні приймати методи ощадливого виробництва. Якщо одна МНК застосує ці заходи, але її конкуренти не </w:t>
      </w:r>
      <w:r>
        <w:rPr>
          <w:rFonts w:ascii="Times New Roman" w:hAnsi="Times New Roman" w:cs="Times New Roman"/>
          <w:sz w:val="28"/>
          <w:szCs w:val="28"/>
          <w:lang w:val="uk-UA"/>
        </w:rPr>
        <w:t>стануть використовувати подібний досвід</w:t>
      </w:r>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 </w:t>
      </w:r>
      <w:r w:rsidRPr="00E937D5">
        <w:rPr>
          <w:rFonts w:ascii="Times New Roman" w:hAnsi="Times New Roman" w:cs="Times New Roman"/>
          <w:sz w:val="28"/>
          <w:szCs w:val="28"/>
          <w:lang w:val="uk-UA"/>
        </w:rPr>
        <w:t xml:space="preserve">вони ризикують втратити клієнтів через низьку ефективність і ціну. Цей принцип був застосований до практики міжнародного управління людськими ресурсами і </w:t>
      </w:r>
      <w:r>
        <w:rPr>
          <w:rFonts w:ascii="Times New Roman" w:hAnsi="Times New Roman" w:cs="Times New Roman"/>
          <w:sz w:val="28"/>
          <w:szCs w:val="28"/>
          <w:lang w:val="uk-UA"/>
        </w:rPr>
        <w:t xml:space="preserve">став </w:t>
      </w:r>
      <w:r w:rsidRPr="00E937D5">
        <w:rPr>
          <w:rFonts w:ascii="Times New Roman" w:hAnsi="Times New Roman" w:cs="Times New Roman"/>
          <w:sz w:val="28"/>
          <w:szCs w:val="28"/>
          <w:lang w:val="uk-UA"/>
        </w:rPr>
        <w:t>відомий як універсалістський підхід.</w:t>
      </w:r>
    </w:p>
    <w:p w14:paraId="467324F3" w14:textId="77777777" w:rsidR="00571B42" w:rsidRPr="00E937D5" w:rsidRDefault="00571B42" w:rsidP="00571B42">
      <w:pPr>
        <w:spacing w:after="0" w:line="360" w:lineRule="auto"/>
        <w:ind w:firstLine="720"/>
        <w:jc w:val="both"/>
        <w:rPr>
          <w:rFonts w:ascii="Times New Roman" w:hAnsi="Times New Roman" w:cs="Times New Roman"/>
          <w:sz w:val="28"/>
          <w:szCs w:val="28"/>
          <w:lang w:val="uk-UA"/>
        </w:rPr>
      </w:pPr>
      <w:r w:rsidRPr="00E937D5">
        <w:rPr>
          <w:rFonts w:ascii="Times New Roman" w:hAnsi="Times New Roman" w:cs="Times New Roman"/>
          <w:sz w:val="28"/>
          <w:szCs w:val="28"/>
          <w:lang w:val="uk-UA"/>
        </w:rPr>
        <w:t xml:space="preserve">Крім того, зв’язок між глобалізацією та цим аргументом великий. Історично ортодоксальні економісти вважали, що необмежений потік міжнародної торгівлі фактично призведе до копіювання біднішими країнами практики багатших країн. Це створило б уніфікованість національних моделей бізнесу. Хоча ця модель піддавалася критиці в міру зростання глобалізації, вона ставала все більш актуальною. Стосовно міжнародного управління людськими ресурсами </w:t>
      </w:r>
      <w:r>
        <w:rPr>
          <w:rFonts w:ascii="Times New Roman" w:hAnsi="Times New Roman" w:cs="Times New Roman"/>
          <w:sz w:val="28"/>
          <w:szCs w:val="28"/>
          <w:lang w:val="uk-UA"/>
        </w:rPr>
        <w:t xml:space="preserve">було запроваджено, що </w:t>
      </w:r>
      <w:r w:rsidRPr="00E937D5">
        <w:rPr>
          <w:rFonts w:ascii="Times New Roman" w:hAnsi="Times New Roman" w:cs="Times New Roman"/>
          <w:sz w:val="28"/>
          <w:szCs w:val="28"/>
          <w:lang w:val="uk-UA"/>
        </w:rPr>
        <w:t>компанії все більше будуть прагнути приймати, базуючись на ефективних ринках, подібні підходи до організації роботи, навчання, оплати пр</w:t>
      </w:r>
      <w:r>
        <w:rPr>
          <w:rFonts w:ascii="Times New Roman" w:hAnsi="Times New Roman" w:cs="Times New Roman"/>
          <w:sz w:val="28"/>
          <w:szCs w:val="28"/>
          <w:lang w:val="uk-UA"/>
        </w:rPr>
        <w:t>аці, залучення працівників тощо</w:t>
      </w:r>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Важливо підкреслити, що, </w:t>
      </w:r>
      <w:r w:rsidRPr="00E937D5">
        <w:rPr>
          <w:rFonts w:ascii="Times New Roman" w:hAnsi="Times New Roman" w:cs="Times New Roman"/>
          <w:sz w:val="28"/>
          <w:szCs w:val="28"/>
          <w:lang w:val="uk-UA"/>
        </w:rPr>
        <w:t>на думку теоретиків конвергенції</w:t>
      </w:r>
      <w:r>
        <w:rPr>
          <w:rFonts w:ascii="Times New Roman" w:hAnsi="Times New Roman" w:cs="Times New Roman"/>
          <w:sz w:val="28"/>
          <w:szCs w:val="28"/>
          <w:lang w:val="uk-UA"/>
        </w:rPr>
        <w:t>,</w:t>
      </w:r>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E937D5">
        <w:rPr>
          <w:rFonts w:ascii="Times New Roman" w:hAnsi="Times New Roman" w:cs="Times New Roman"/>
          <w:sz w:val="28"/>
          <w:szCs w:val="28"/>
          <w:lang w:val="uk-UA"/>
        </w:rPr>
        <w:t>снує широки</w:t>
      </w:r>
      <w:r>
        <w:rPr>
          <w:rFonts w:ascii="Times New Roman" w:hAnsi="Times New Roman" w:cs="Times New Roman"/>
          <w:sz w:val="28"/>
          <w:szCs w:val="28"/>
          <w:lang w:val="uk-UA"/>
        </w:rPr>
        <w:t>й діапазон практики, на які</w:t>
      </w:r>
      <w:r w:rsidRPr="00E937D5">
        <w:rPr>
          <w:rFonts w:ascii="Times New Roman" w:hAnsi="Times New Roman" w:cs="Times New Roman"/>
          <w:sz w:val="28"/>
          <w:szCs w:val="28"/>
          <w:lang w:val="uk-UA"/>
        </w:rPr>
        <w:t xml:space="preserve"> вплине глобалізація. Потім цей аргумент був розвинений далі, щоб стверджувати, що в рамках міжнародного управління людськими ресурсами існують принципи, які діють краще за всі інші, і що, зрештою, вони будуть застосовані у всьому світі. Ця ідея «найкращих рішень» або «найкращих практик» передбачає, що міжнародн</w:t>
      </w:r>
      <w:r>
        <w:rPr>
          <w:rFonts w:ascii="Times New Roman" w:hAnsi="Times New Roman" w:cs="Times New Roman"/>
          <w:sz w:val="28"/>
          <w:szCs w:val="28"/>
          <w:lang w:val="uk-UA"/>
        </w:rPr>
        <w:t>е</w:t>
      </w:r>
      <w:r w:rsidRPr="00E937D5">
        <w:rPr>
          <w:rFonts w:ascii="Times New Roman" w:hAnsi="Times New Roman" w:cs="Times New Roman"/>
          <w:sz w:val="28"/>
          <w:szCs w:val="28"/>
          <w:lang w:val="uk-UA"/>
        </w:rPr>
        <w:t xml:space="preserve"> управління людськими ресурсами підштовхнуть до гомогенізації.</w:t>
      </w:r>
    </w:p>
    <w:p w14:paraId="4A5D5485" w14:textId="77777777" w:rsidR="00571B42" w:rsidRPr="00E937D5" w:rsidRDefault="00571B42" w:rsidP="00571B42">
      <w:pPr>
        <w:spacing w:after="0" w:line="360" w:lineRule="auto"/>
        <w:ind w:firstLine="720"/>
        <w:jc w:val="both"/>
        <w:rPr>
          <w:rFonts w:ascii="Times New Roman" w:hAnsi="Times New Roman" w:cs="Times New Roman"/>
          <w:sz w:val="28"/>
          <w:szCs w:val="28"/>
          <w:lang w:val="uk-UA"/>
        </w:rPr>
      </w:pPr>
      <w:r w:rsidRPr="00E937D5">
        <w:rPr>
          <w:rFonts w:ascii="Times New Roman" w:hAnsi="Times New Roman" w:cs="Times New Roman"/>
          <w:sz w:val="28"/>
          <w:szCs w:val="28"/>
          <w:lang w:val="uk-UA"/>
        </w:rPr>
        <w:t xml:space="preserve">На підтвердження цієї теорії представлено наступне дослідження. Кріс </w:t>
      </w:r>
      <w:proofErr w:type="spellStart"/>
      <w:r w:rsidRPr="00E937D5">
        <w:rPr>
          <w:rFonts w:ascii="Times New Roman" w:hAnsi="Times New Roman" w:cs="Times New Roman"/>
          <w:sz w:val="28"/>
          <w:szCs w:val="28"/>
          <w:lang w:val="uk-UA"/>
        </w:rPr>
        <w:t>Брюстер</w:t>
      </w:r>
      <w:proofErr w:type="spellEnd"/>
      <w:r w:rsidRPr="00E937D5">
        <w:rPr>
          <w:rFonts w:ascii="Times New Roman" w:hAnsi="Times New Roman" w:cs="Times New Roman"/>
          <w:sz w:val="28"/>
          <w:szCs w:val="28"/>
          <w:lang w:val="uk-UA"/>
        </w:rPr>
        <w:t xml:space="preserve"> провів 3-річне опитування 14 європейських країн, які просували ідею нової європейської </w:t>
      </w:r>
      <w:r w:rsidRPr="008145FE">
        <w:rPr>
          <w:rFonts w:ascii="Times New Roman" w:hAnsi="Times New Roman" w:cs="Times New Roman"/>
          <w:sz w:val="28"/>
          <w:szCs w:val="28"/>
          <w:lang w:val="uk-UA"/>
        </w:rPr>
        <w:t xml:space="preserve">моделі HRM </w:t>
      </w:r>
      <w:r w:rsidRPr="008145FE">
        <w:rPr>
          <w:rFonts w:ascii="Times New Roman" w:hAnsi="Times New Roman" w:cs="Times New Roman"/>
          <w:sz w:val="28"/>
          <w:szCs w:val="28"/>
          <w:lang w:val="cs-CZ"/>
        </w:rPr>
        <w:t>[79]</w:t>
      </w:r>
      <w:r w:rsidRPr="008145FE">
        <w:rPr>
          <w:rFonts w:ascii="Times New Roman" w:hAnsi="Times New Roman" w:cs="Times New Roman"/>
          <w:sz w:val="28"/>
          <w:szCs w:val="28"/>
          <w:lang w:val="uk-UA"/>
        </w:rPr>
        <w:t>. Це дослідження</w:t>
      </w:r>
      <w:r w:rsidRPr="00E937D5">
        <w:rPr>
          <w:rFonts w:ascii="Times New Roman" w:hAnsi="Times New Roman" w:cs="Times New Roman"/>
          <w:sz w:val="28"/>
          <w:szCs w:val="28"/>
          <w:lang w:val="uk-UA"/>
        </w:rPr>
        <w:t xml:space="preserve"> визнало підвищену </w:t>
      </w:r>
      <w:r w:rsidRPr="00E937D5">
        <w:rPr>
          <w:rFonts w:ascii="Times New Roman" w:hAnsi="Times New Roman" w:cs="Times New Roman"/>
          <w:sz w:val="28"/>
          <w:szCs w:val="28"/>
          <w:lang w:val="uk-UA"/>
        </w:rPr>
        <w:lastRenderedPageBreak/>
        <w:t>гомогенізацію профспілок і практик міжнародно</w:t>
      </w:r>
      <w:r>
        <w:rPr>
          <w:rFonts w:ascii="Times New Roman" w:hAnsi="Times New Roman" w:cs="Times New Roman"/>
          <w:sz w:val="28"/>
          <w:szCs w:val="28"/>
          <w:lang w:val="uk-UA"/>
        </w:rPr>
        <w:t>му</w:t>
      </w:r>
      <w:r w:rsidRPr="00E937D5">
        <w:rPr>
          <w:rFonts w:ascii="Times New Roman" w:hAnsi="Times New Roman" w:cs="Times New Roman"/>
          <w:sz w:val="28"/>
          <w:szCs w:val="28"/>
          <w:lang w:val="uk-UA"/>
        </w:rPr>
        <w:t xml:space="preserve"> управлінн</w:t>
      </w:r>
      <w:r>
        <w:rPr>
          <w:rFonts w:ascii="Times New Roman" w:hAnsi="Times New Roman" w:cs="Times New Roman"/>
          <w:sz w:val="28"/>
          <w:szCs w:val="28"/>
          <w:lang w:val="uk-UA"/>
        </w:rPr>
        <w:t>і</w:t>
      </w:r>
      <w:r w:rsidRPr="00E937D5">
        <w:rPr>
          <w:rFonts w:ascii="Times New Roman" w:hAnsi="Times New Roman" w:cs="Times New Roman"/>
          <w:sz w:val="28"/>
          <w:szCs w:val="28"/>
          <w:lang w:val="uk-UA"/>
        </w:rPr>
        <w:t xml:space="preserve"> людськими ресурсами у сфері зайнятості у своїй вибірці. Однак важливо визнати, що дослідження </w:t>
      </w:r>
      <w:proofErr w:type="spellStart"/>
      <w:r w:rsidRPr="00E937D5">
        <w:rPr>
          <w:rFonts w:ascii="Times New Roman" w:hAnsi="Times New Roman" w:cs="Times New Roman"/>
          <w:sz w:val="28"/>
          <w:szCs w:val="28"/>
          <w:lang w:val="uk-UA"/>
        </w:rPr>
        <w:t>Гулда</w:t>
      </w:r>
      <w:proofErr w:type="spellEnd"/>
      <w:r w:rsidRPr="00E937D5">
        <w:rPr>
          <w:rFonts w:ascii="Times New Roman" w:hAnsi="Times New Roman" w:cs="Times New Roman"/>
          <w:sz w:val="28"/>
          <w:szCs w:val="28"/>
          <w:lang w:val="uk-UA"/>
        </w:rPr>
        <w:t>-Вільяма також виявило негативний вплив на найкращі практики</w:t>
      </w:r>
      <w:r>
        <w:rPr>
          <w:rFonts w:ascii="Times New Roman" w:hAnsi="Times New Roman" w:cs="Times New Roman"/>
          <w:sz w:val="28"/>
          <w:szCs w:val="28"/>
          <w:lang w:val="uk-UA"/>
        </w:rPr>
        <w:t xml:space="preserve"> </w:t>
      </w:r>
      <w:r w:rsidRPr="005D1B01">
        <w:rPr>
          <w:rFonts w:ascii="Times New Roman" w:hAnsi="Times New Roman" w:cs="Times New Roman"/>
          <w:sz w:val="28"/>
          <w:szCs w:val="28"/>
        </w:rPr>
        <w:t>[80]</w:t>
      </w:r>
      <w:r w:rsidRPr="00E937D5">
        <w:rPr>
          <w:rFonts w:ascii="Times New Roman" w:hAnsi="Times New Roman" w:cs="Times New Roman"/>
          <w:sz w:val="28"/>
          <w:szCs w:val="28"/>
          <w:lang w:val="uk-UA"/>
        </w:rPr>
        <w:t xml:space="preserve">. Крім того, європейські країни знаходяться в унікальній ситуації, оскільки більшість </w:t>
      </w:r>
      <w:r>
        <w:rPr>
          <w:rFonts w:ascii="Times New Roman" w:hAnsi="Times New Roman" w:cs="Times New Roman"/>
          <w:sz w:val="28"/>
          <w:szCs w:val="28"/>
          <w:lang w:val="uk-UA"/>
        </w:rPr>
        <w:t xml:space="preserve">знаходяться під впливом Великобританії, причому це є </w:t>
      </w:r>
      <w:r w:rsidRPr="00E937D5">
        <w:rPr>
          <w:rFonts w:ascii="Times New Roman" w:hAnsi="Times New Roman" w:cs="Times New Roman"/>
          <w:sz w:val="28"/>
          <w:szCs w:val="28"/>
          <w:lang w:val="uk-UA"/>
        </w:rPr>
        <w:t xml:space="preserve">політичний союз, який уже прагне до гомогенізації. Оскільки шаблони європейських національних </w:t>
      </w:r>
      <w:r>
        <w:rPr>
          <w:rFonts w:ascii="Times New Roman" w:hAnsi="Times New Roman" w:cs="Times New Roman"/>
          <w:sz w:val="28"/>
          <w:szCs w:val="28"/>
          <w:lang w:val="uk-UA"/>
        </w:rPr>
        <w:t xml:space="preserve">інституцій настільки різні, що </w:t>
      </w:r>
      <w:r w:rsidRPr="00E937D5">
        <w:rPr>
          <w:rFonts w:ascii="Times New Roman" w:hAnsi="Times New Roman" w:cs="Times New Roman"/>
          <w:sz w:val="28"/>
          <w:szCs w:val="28"/>
          <w:lang w:val="uk-UA"/>
        </w:rPr>
        <w:t xml:space="preserve">в </w:t>
      </w:r>
      <w:proofErr w:type="spellStart"/>
      <w:r w:rsidRPr="00E937D5">
        <w:rPr>
          <w:rFonts w:ascii="Times New Roman" w:hAnsi="Times New Roman" w:cs="Times New Roman"/>
          <w:sz w:val="28"/>
          <w:szCs w:val="28"/>
          <w:lang w:val="uk-UA"/>
        </w:rPr>
        <w:t>осяжному</w:t>
      </w:r>
      <w:proofErr w:type="spellEnd"/>
      <w:r w:rsidRPr="00E937D5">
        <w:rPr>
          <w:rFonts w:ascii="Times New Roman" w:hAnsi="Times New Roman" w:cs="Times New Roman"/>
          <w:sz w:val="28"/>
          <w:szCs w:val="28"/>
          <w:lang w:val="uk-UA"/>
        </w:rPr>
        <w:t xml:space="preserve"> майбутньому навряд чи з’явиться стандартна модель, це дослідження не </w:t>
      </w:r>
      <w:r>
        <w:rPr>
          <w:rFonts w:ascii="Times New Roman" w:hAnsi="Times New Roman" w:cs="Times New Roman"/>
          <w:sz w:val="28"/>
          <w:szCs w:val="28"/>
          <w:lang w:val="uk-UA"/>
        </w:rPr>
        <w:t>з</w:t>
      </w:r>
      <w:r w:rsidRPr="00E937D5">
        <w:rPr>
          <w:rFonts w:ascii="Times New Roman" w:hAnsi="Times New Roman" w:cs="Times New Roman"/>
          <w:sz w:val="28"/>
          <w:szCs w:val="28"/>
          <w:lang w:val="uk-UA"/>
        </w:rPr>
        <w:t>може під</w:t>
      </w:r>
      <w:r>
        <w:rPr>
          <w:rFonts w:ascii="Times New Roman" w:hAnsi="Times New Roman" w:cs="Times New Roman"/>
          <w:sz w:val="28"/>
          <w:szCs w:val="28"/>
          <w:lang w:val="uk-UA"/>
        </w:rPr>
        <w:t>твердити глобальну конвергенцію</w:t>
      </w:r>
      <w:r w:rsidRPr="00E937D5">
        <w:rPr>
          <w:rFonts w:ascii="Times New Roman" w:hAnsi="Times New Roman" w:cs="Times New Roman"/>
          <w:sz w:val="28"/>
          <w:szCs w:val="28"/>
          <w:lang w:val="uk-UA"/>
        </w:rPr>
        <w:t>. Хоча дискусія про конвергенцію є логічною та має певні докази на її підтримку, загальна теза передбачає, що глобалізація автоматично призведе до конвергенції. Тому стверджується, що теза про конвергенцію базується на хибній передумові.</w:t>
      </w:r>
    </w:p>
    <w:p w14:paraId="79804EC6"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E937D5">
        <w:rPr>
          <w:rFonts w:ascii="Times New Roman" w:hAnsi="Times New Roman" w:cs="Times New Roman"/>
          <w:sz w:val="28"/>
          <w:szCs w:val="28"/>
          <w:lang w:val="uk-UA"/>
        </w:rPr>
        <w:t xml:space="preserve">Як зазначалося раніше, глобалізація не </w:t>
      </w:r>
      <w:r>
        <w:rPr>
          <w:rFonts w:ascii="Times New Roman" w:hAnsi="Times New Roman" w:cs="Times New Roman"/>
          <w:sz w:val="28"/>
          <w:szCs w:val="28"/>
          <w:lang w:val="uk-UA"/>
        </w:rPr>
        <w:t>означає автоматично конвергенцію</w:t>
      </w:r>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Pr>
          <w:rFonts w:ascii="Times New Roman" w:hAnsi="Times New Roman" w:cs="Times New Roman"/>
          <w:sz w:val="28"/>
          <w:szCs w:val="28"/>
          <w:lang w:val="uk-UA"/>
        </w:rPr>
        <w:t xml:space="preserve">. </w:t>
      </w:r>
      <w:proofErr w:type="spellStart"/>
      <w:r w:rsidRPr="00E937D5">
        <w:rPr>
          <w:rFonts w:ascii="Times New Roman" w:hAnsi="Times New Roman" w:cs="Times New Roman"/>
          <w:sz w:val="28"/>
          <w:szCs w:val="28"/>
          <w:lang w:val="uk-UA"/>
        </w:rPr>
        <w:t>Фернер</w:t>
      </w:r>
      <w:proofErr w:type="spellEnd"/>
      <w:r w:rsidRPr="00E937D5">
        <w:rPr>
          <w:rFonts w:ascii="Times New Roman" w:hAnsi="Times New Roman" w:cs="Times New Roman"/>
          <w:sz w:val="28"/>
          <w:szCs w:val="28"/>
          <w:lang w:val="uk-UA"/>
        </w:rPr>
        <w:t xml:space="preserve"> та ін. </w:t>
      </w:r>
      <w:r>
        <w:rPr>
          <w:rFonts w:ascii="Times New Roman" w:hAnsi="Times New Roman" w:cs="Times New Roman"/>
          <w:sz w:val="28"/>
          <w:szCs w:val="28"/>
          <w:lang w:val="uk-UA"/>
        </w:rPr>
        <w:t xml:space="preserve">підтвердив це, заявивши, що ці </w:t>
      </w:r>
      <w:r w:rsidRPr="00E937D5">
        <w:rPr>
          <w:rFonts w:ascii="Times New Roman" w:hAnsi="Times New Roman" w:cs="Times New Roman"/>
          <w:sz w:val="28"/>
          <w:szCs w:val="28"/>
          <w:lang w:val="uk-UA"/>
        </w:rPr>
        <w:t>найкращі практики часто суттєво трансформуються, коли їх вводять в інші країни</w:t>
      </w:r>
      <w:r>
        <w:rPr>
          <w:rFonts w:ascii="Times New Roman" w:hAnsi="Times New Roman" w:cs="Times New Roman"/>
          <w:sz w:val="28"/>
          <w:szCs w:val="28"/>
          <w:lang w:val="uk-UA"/>
        </w:rPr>
        <w:t xml:space="preserve"> </w:t>
      </w:r>
      <w:r w:rsidRPr="005D1B01">
        <w:rPr>
          <w:rFonts w:ascii="Times New Roman" w:hAnsi="Times New Roman" w:cs="Times New Roman"/>
          <w:sz w:val="28"/>
          <w:szCs w:val="28"/>
        </w:rPr>
        <w:t>[81]</w:t>
      </w:r>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 </w:t>
      </w:r>
      <w:proofErr w:type="spellStart"/>
      <w:r w:rsidRPr="00E937D5">
        <w:rPr>
          <w:rFonts w:ascii="Times New Roman" w:hAnsi="Times New Roman" w:cs="Times New Roman"/>
          <w:sz w:val="28"/>
          <w:szCs w:val="28"/>
          <w:lang w:val="uk-UA"/>
        </w:rPr>
        <w:t>Еленков</w:t>
      </w:r>
      <w:proofErr w:type="spellEnd"/>
      <w:r w:rsidRPr="00E937D5">
        <w:rPr>
          <w:rFonts w:ascii="Times New Roman" w:hAnsi="Times New Roman" w:cs="Times New Roman"/>
          <w:sz w:val="28"/>
          <w:szCs w:val="28"/>
          <w:lang w:val="uk-UA"/>
        </w:rPr>
        <w:t xml:space="preserve"> також підтримує це, </w:t>
      </w:r>
      <w:r w:rsidRPr="00E45934">
        <w:rPr>
          <w:rFonts w:ascii="Times New Roman" w:hAnsi="Times New Roman" w:cs="Times New Roman"/>
          <w:sz w:val="28"/>
          <w:szCs w:val="28"/>
          <w:lang w:val="uk-UA"/>
        </w:rPr>
        <w:t>стверджуючи, що відмінний стан національних контекстів перешкоджає конвергенції як міжкультурним відмінностям.</w:t>
      </w:r>
      <w:r w:rsidRPr="005D1B01">
        <w:rPr>
          <w:rFonts w:ascii="Times New Roman" w:hAnsi="Times New Roman" w:cs="Times New Roman"/>
          <w:sz w:val="28"/>
          <w:szCs w:val="28"/>
          <w:lang w:val="uk-UA"/>
        </w:rPr>
        <w:t xml:space="preserve"> </w:t>
      </w:r>
      <w:r w:rsidRPr="00E45934">
        <w:rPr>
          <w:rFonts w:ascii="Times New Roman" w:hAnsi="Times New Roman" w:cs="Times New Roman"/>
          <w:sz w:val="28"/>
          <w:szCs w:val="28"/>
          <w:lang w:val="uk-UA"/>
        </w:rPr>
        <w:t>Він зазначає, що цей стан</w:t>
      </w:r>
      <w:r w:rsidRPr="005D1B01">
        <w:rPr>
          <w:rFonts w:ascii="Times New Roman" w:hAnsi="Times New Roman" w:cs="Times New Roman"/>
          <w:sz w:val="28"/>
          <w:szCs w:val="28"/>
        </w:rPr>
        <w:t xml:space="preserve"> </w:t>
      </w:r>
      <w:r w:rsidRPr="00E45934">
        <w:rPr>
          <w:rFonts w:ascii="Times New Roman" w:hAnsi="Times New Roman" w:cs="Times New Roman"/>
          <w:sz w:val="28"/>
          <w:szCs w:val="28"/>
          <w:lang w:val="uk-UA"/>
        </w:rPr>
        <w:t xml:space="preserve">є надто широкими, щоб припустити, що англо-американські методи </w:t>
      </w:r>
      <w:r w:rsidRPr="00E937D5">
        <w:rPr>
          <w:rFonts w:ascii="Times New Roman" w:hAnsi="Times New Roman" w:cs="Times New Roman"/>
          <w:sz w:val="28"/>
          <w:szCs w:val="28"/>
          <w:lang w:val="uk-UA"/>
        </w:rPr>
        <w:t>міжнародн</w:t>
      </w:r>
      <w:r>
        <w:rPr>
          <w:rFonts w:ascii="Times New Roman" w:hAnsi="Times New Roman" w:cs="Times New Roman"/>
          <w:sz w:val="28"/>
          <w:szCs w:val="28"/>
          <w:lang w:val="uk-UA"/>
        </w:rPr>
        <w:t>ого</w:t>
      </w:r>
      <w:r w:rsidRPr="00E937D5">
        <w:rPr>
          <w:rFonts w:ascii="Times New Roman" w:hAnsi="Times New Roman" w:cs="Times New Roman"/>
          <w:sz w:val="28"/>
          <w:szCs w:val="28"/>
          <w:lang w:val="uk-UA"/>
        </w:rPr>
        <w:t xml:space="preserve"> управління людськими ресурсами </w:t>
      </w:r>
      <w:r w:rsidRPr="00E45934">
        <w:rPr>
          <w:rFonts w:ascii="Times New Roman" w:hAnsi="Times New Roman" w:cs="Times New Roman"/>
          <w:sz w:val="28"/>
          <w:szCs w:val="28"/>
          <w:lang w:val="uk-UA"/>
        </w:rPr>
        <w:t>можна безпосередньо передати</w:t>
      </w:r>
      <w:r>
        <w:rPr>
          <w:rFonts w:ascii="Times New Roman" w:hAnsi="Times New Roman" w:cs="Times New Roman"/>
          <w:sz w:val="28"/>
          <w:szCs w:val="28"/>
          <w:lang w:val="uk-UA"/>
        </w:rPr>
        <w:t xml:space="preserve"> </w:t>
      </w:r>
      <w:r w:rsidRPr="005D1B01">
        <w:rPr>
          <w:rFonts w:ascii="Times New Roman" w:hAnsi="Times New Roman" w:cs="Times New Roman"/>
          <w:sz w:val="28"/>
          <w:szCs w:val="28"/>
        </w:rPr>
        <w:t>[82]</w:t>
      </w:r>
      <w:r w:rsidRPr="00652D96">
        <w:rPr>
          <w:rFonts w:ascii="Times New Roman" w:hAnsi="Times New Roman" w:cs="Times New Roman"/>
          <w:sz w:val="28"/>
          <w:szCs w:val="28"/>
          <w:lang w:val="uk-UA"/>
        </w:rPr>
        <w:t>.</w:t>
      </w:r>
      <w:r w:rsidRPr="00E937D5">
        <w:rPr>
          <w:rFonts w:ascii="Times New Roman" w:hAnsi="Times New Roman" w:cs="Times New Roman"/>
          <w:sz w:val="28"/>
          <w:szCs w:val="28"/>
          <w:lang w:val="uk-UA"/>
        </w:rPr>
        <w:t xml:space="preserve"> Теза про конвергенцію є хибною з кількох причин. Насамперед, національні </w:t>
      </w:r>
      <w:r>
        <w:rPr>
          <w:rFonts w:ascii="Times New Roman" w:hAnsi="Times New Roman" w:cs="Times New Roman"/>
          <w:sz w:val="28"/>
          <w:szCs w:val="28"/>
          <w:lang w:val="uk-UA"/>
        </w:rPr>
        <w:t xml:space="preserve">економіки кожної окремої </w:t>
      </w:r>
      <w:r w:rsidRPr="00E937D5">
        <w:rPr>
          <w:rFonts w:ascii="Times New Roman" w:hAnsi="Times New Roman" w:cs="Times New Roman"/>
          <w:sz w:val="28"/>
          <w:szCs w:val="28"/>
          <w:lang w:val="uk-UA"/>
        </w:rPr>
        <w:t xml:space="preserve">держави все ще відіграватимуть ключову роль у </w:t>
      </w:r>
      <w:r>
        <w:rPr>
          <w:rFonts w:ascii="Times New Roman" w:hAnsi="Times New Roman" w:cs="Times New Roman"/>
          <w:sz w:val="28"/>
          <w:szCs w:val="28"/>
          <w:lang w:val="uk-UA"/>
        </w:rPr>
        <w:t xml:space="preserve">їхньому власному </w:t>
      </w:r>
      <w:r w:rsidRPr="00E937D5">
        <w:rPr>
          <w:rFonts w:ascii="Times New Roman" w:hAnsi="Times New Roman" w:cs="Times New Roman"/>
          <w:sz w:val="28"/>
          <w:szCs w:val="28"/>
          <w:lang w:val="uk-UA"/>
        </w:rPr>
        <w:t>регулюванні</w:t>
      </w:r>
      <w:r>
        <w:rPr>
          <w:rFonts w:ascii="Times New Roman" w:hAnsi="Times New Roman" w:cs="Times New Roman"/>
          <w:sz w:val="28"/>
          <w:szCs w:val="28"/>
          <w:lang w:val="uk-UA"/>
        </w:rPr>
        <w:t>, тобто є досить автономними</w:t>
      </w:r>
      <w:r w:rsidRPr="00E937D5">
        <w:rPr>
          <w:rFonts w:ascii="Times New Roman" w:hAnsi="Times New Roman" w:cs="Times New Roman"/>
          <w:sz w:val="28"/>
          <w:szCs w:val="28"/>
          <w:lang w:val="uk-UA"/>
        </w:rPr>
        <w:t xml:space="preserve">. Концепція того, що </w:t>
      </w:r>
      <w:r>
        <w:rPr>
          <w:rFonts w:ascii="Times New Roman" w:hAnsi="Times New Roman" w:cs="Times New Roman"/>
          <w:sz w:val="28"/>
          <w:szCs w:val="28"/>
          <w:lang w:val="uk-UA"/>
        </w:rPr>
        <w:t>міжнаціональні компанії</w:t>
      </w:r>
      <w:r w:rsidRPr="00E937D5">
        <w:rPr>
          <w:rFonts w:ascii="Times New Roman" w:hAnsi="Times New Roman" w:cs="Times New Roman"/>
          <w:sz w:val="28"/>
          <w:szCs w:val="28"/>
          <w:lang w:val="uk-UA"/>
        </w:rPr>
        <w:t xml:space="preserve"> зменшують суверенітет націй, у кращому випадку перебільшена. Незважаючи на те, що кількість і потужність </w:t>
      </w:r>
      <w:r>
        <w:rPr>
          <w:rFonts w:ascii="Times New Roman" w:hAnsi="Times New Roman" w:cs="Times New Roman"/>
          <w:sz w:val="28"/>
          <w:szCs w:val="28"/>
          <w:lang w:val="uk-UA"/>
        </w:rPr>
        <w:t>транснаціональних корпорацій</w:t>
      </w:r>
      <w:r w:rsidRPr="00E937D5">
        <w:rPr>
          <w:rFonts w:ascii="Times New Roman" w:hAnsi="Times New Roman" w:cs="Times New Roman"/>
          <w:sz w:val="28"/>
          <w:szCs w:val="28"/>
          <w:lang w:val="uk-UA"/>
        </w:rPr>
        <w:t xml:space="preserve"> зростає, справжніх </w:t>
      </w:r>
      <w:r>
        <w:rPr>
          <w:rFonts w:ascii="Times New Roman" w:hAnsi="Times New Roman" w:cs="Times New Roman"/>
          <w:sz w:val="28"/>
          <w:szCs w:val="28"/>
          <w:lang w:val="uk-UA"/>
        </w:rPr>
        <w:t xml:space="preserve">їхніх </w:t>
      </w:r>
      <w:r w:rsidRPr="00E937D5">
        <w:rPr>
          <w:rFonts w:ascii="Times New Roman" w:hAnsi="Times New Roman" w:cs="Times New Roman"/>
          <w:sz w:val="28"/>
          <w:szCs w:val="28"/>
          <w:lang w:val="uk-UA"/>
        </w:rPr>
        <w:t>прикладів небагато. Часто ці міжнародні організації просто діють між добре налагодженими мережами краї</w:t>
      </w:r>
      <w:r>
        <w:rPr>
          <w:rFonts w:ascii="Times New Roman" w:hAnsi="Times New Roman" w:cs="Times New Roman"/>
          <w:sz w:val="28"/>
          <w:szCs w:val="28"/>
          <w:lang w:val="uk-UA"/>
        </w:rPr>
        <w:t xml:space="preserve">н. Л. </w:t>
      </w:r>
      <w:proofErr w:type="spellStart"/>
      <w:r>
        <w:rPr>
          <w:rFonts w:ascii="Times New Roman" w:hAnsi="Times New Roman" w:cs="Times New Roman"/>
          <w:sz w:val="28"/>
          <w:szCs w:val="28"/>
          <w:lang w:val="uk-UA"/>
        </w:rPr>
        <w:t>Мартінес</w:t>
      </w:r>
      <w:proofErr w:type="spellEnd"/>
      <w:r>
        <w:rPr>
          <w:rFonts w:ascii="Times New Roman" w:hAnsi="Times New Roman" w:cs="Times New Roman"/>
          <w:sz w:val="28"/>
          <w:szCs w:val="28"/>
          <w:lang w:val="uk-UA"/>
        </w:rPr>
        <w:t xml:space="preserve"> висвітлює подібне твердження у своїх працях та зазначає, що</w:t>
      </w:r>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uk-UA"/>
        </w:rPr>
        <w:t>міжнаціональні компанії</w:t>
      </w:r>
      <w:r w:rsidRPr="00E937D5">
        <w:rPr>
          <w:rFonts w:ascii="Times New Roman" w:hAnsi="Times New Roman" w:cs="Times New Roman"/>
          <w:sz w:val="28"/>
          <w:szCs w:val="28"/>
          <w:lang w:val="uk-UA"/>
        </w:rPr>
        <w:t xml:space="preserve"> продовжують вимагати </w:t>
      </w:r>
      <w:r>
        <w:rPr>
          <w:rFonts w:ascii="Times New Roman" w:hAnsi="Times New Roman" w:cs="Times New Roman"/>
          <w:sz w:val="28"/>
          <w:szCs w:val="28"/>
          <w:lang w:val="uk-UA"/>
        </w:rPr>
        <w:t>перелік</w:t>
      </w:r>
      <w:r w:rsidRPr="00E937D5">
        <w:rPr>
          <w:rFonts w:ascii="Times New Roman" w:hAnsi="Times New Roman" w:cs="Times New Roman"/>
          <w:sz w:val="28"/>
          <w:szCs w:val="28"/>
          <w:lang w:val="uk-UA"/>
        </w:rPr>
        <w:t xml:space="preserve"> політичних і регуляторних </w:t>
      </w:r>
      <w:proofErr w:type="spellStart"/>
      <w:r w:rsidRPr="00E937D5">
        <w:rPr>
          <w:rFonts w:ascii="Times New Roman" w:hAnsi="Times New Roman" w:cs="Times New Roman"/>
          <w:sz w:val="28"/>
          <w:szCs w:val="28"/>
          <w:lang w:val="uk-UA"/>
        </w:rPr>
        <w:t>втручань</w:t>
      </w:r>
      <w:proofErr w:type="spellEnd"/>
      <w:r w:rsidRPr="00E937D5">
        <w:rPr>
          <w:rFonts w:ascii="Times New Roman" w:hAnsi="Times New Roman" w:cs="Times New Roman"/>
          <w:sz w:val="28"/>
          <w:szCs w:val="28"/>
          <w:lang w:val="uk-UA"/>
        </w:rPr>
        <w:t xml:space="preserve"> і підтримки з боку країн, які вони як приватні організації не можуть надати. Думка про те, що ми бачимо появу всемогутніх компаній, таких як </w:t>
      </w:r>
      <w:proofErr w:type="spellStart"/>
      <w:r w:rsidRPr="00E937D5">
        <w:rPr>
          <w:rFonts w:ascii="Times New Roman" w:hAnsi="Times New Roman" w:cs="Times New Roman"/>
          <w:sz w:val="28"/>
          <w:szCs w:val="28"/>
          <w:lang w:val="uk-UA"/>
        </w:rPr>
        <w:t>Apple</w:t>
      </w:r>
      <w:proofErr w:type="spellEnd"/>
      <w:r w:rsidRPr="00E937D5">
        <w:rPr>
          <w:rFonts w:ascii="Times New Roman" w:hAnsi="Times New Roman" w:cs="Times New Roman"/>
          <w:sz w:val="28"/>
          <w:szCs w:val="28"/>
          <w:lang w:val="uk-UA"/>
        </w:rPr>
        <w:t xml:space="preserve"> або </w:t>
      </w:r>
      <w:proofErr w:type="spellStart"/>
      <w:r w:rsidRPr="00E937D5">
        <w:rPr>
          <w:rFonts w:ascii="Times New Roman" w:hAnsi="Times New Roman" w:cs="Times New Roman"/>
          <w:sz w:val="28"/>
          <w:szCs w:val="28"/>
          <w:lang w:val="uk-UA"/>
        </w:rPr>
        <w:t>Sony</w:t>
      </w:r>
      <w:proofErr w:type="spellEnd"/>
      <w:r w:rsidRPr="00E937D5">
        <w:rPr>
          <w:rFonts w:ascii="Times New Roman" w:hAnsi="Times New Roman" w:cs="Times New Roman"/>
          <w:sz w:val="28"/>
          <w:szCs w:val="28"/>
          <w:lang w:val="uk-UA"/>
        </w:rPr>
        <w:t xml:space="preserve">, </w:t>
      </w:r>
      <w:r w:rsidRPr="00E937D5">
        <w:rPr>
          <w:rFonts w:ascii="Times New Roman" w:hAnsi="Times New Roman" w:cs="Times New Roman"/>
          <w:sz w:val="28"/>
          <w:szCs w:val="28"/>
          <w:lang w:val="uk-UA"/>
        </w:rPr>
        <w:lastRenderedPageBreak/>
        <w:t>ігнорує складну реальність глобалізації та незмінну роль національних систем рег</w:t>
      </w:r>
      <w:r>
        <w:rPr>
          <w:rFonts w:ascii="Times New Roman" w:hAnsi="Times New Roman" w:cs="Times New Roman"/>
          <w:sz w:val="28"/>
          <w:szCs w:val="28"/>
          <w:lang w:val="uk-UA"/>
        </w:rPr>
        <w:t xml:space="preserve">улювання </w:t>
      </w:r>
      <w:r w:rsidRPr="005D1B01">
        <w:rPr>
          <w:rFonts w:ascii="Times New Roman" w:hAnsi="Times New Roman" w:cs="Times New Roman"/>
          <w:sz w:val="28"/>
          <w:szCs w:val="28"/>
          <w:lang w:val="uk-UA"/>
        </w:rPr>
        <w:t>[83]</w:t>
      </w:r>
      <w:r>
        <w:rPr>
          <w:rFonts w:ascii="Times New Roman" w:hAnsi="Times New Roman" w:cs="Times New Roman"/>
          <w:sz w:val="28"/>
          <w:szCs w:val="28"/>
          <w:lang w:val="uk-UA"/>
        </w:rPr>
        <w:t>.</w:t>
      </w:r>
    </w:p>
    <w:p w14:paraId="4A5B07AD" w14:textId="77777777" w:rsidR="00571B42" w:rsidRPr="00E937D5" w:rsidRDefault="00571B42" w:rsidP="00571B42">
      <w:pPr>
        <w:spacing w:after="0" w:line="360" w:lineRule="auto"/>
        <w:ind w:firstLine="720"/>
        <w:jc w:val="both"/>
        <w:rPr>
          <w:rFonts w:ascii="Times New Roman" w:hAnsi="Times New Roman" w:cs="Times New Roman"/>
          <w:sz w:val="28"/>
          <w:szCs w:val="28"/>
          <w:lang w:val="uk-UA"/>
        </w:rPr>
      </w:pPr>
      <w:r w:rsidRPr="00E937D5">
        <w:rPr>
          <w:rFonts w:ascii="Times New Roman" w:hAnsi="Times New Roman" w:cs="Times New Roman"/>
          <w:sz w:val="28"/>
          <w:szCs w:val="28"/>
          <w:lang w:val="uk-UA"/>
        </w:rPr>
        <w:t xml:space="preserve">Це свідчить про те, що національні контексти все ще суттєво впливають на практику міжнародного управління людськими ресурсами через закони та нормативні акти, і хоча </w:t>
      </w:r>
      <w:r>
        <w:rPr>
          <w:rFonts w:ascii="Times New Roman" w:hAnsi="Times New Roman" w:cs="Times New Roman"/>
          <w:sz w:val="28"/>
          <w:szCs w:val="28"/>
          <w:lang w:val="uk-UA"/>
        </w:rPr>
        <w:t>транснаціональні корпорації</w:t>
      </w:r>
      <w:r w:rsidRPr="00E937D5">
        <w:rPr>
          <w:rFonts w:ascii="Times New Roman" w:hAnsi="Times New Roman" w:cs="Times New Roman"/>
          <w:sz w:val="28"/>
          <w:szCs w:val="28"/>
          <w:lang w:val="uk-UA"/>
        </w:rPr>
        <w:t xml:space="preserve"> можуть використовувати це, повної конвергенції не може відбутися. По-друге, критики дискусії про конвергенцію також припускають, що національний контекст впливає на ефективність «найкращих практик». </w:t>
      </w:r>
      <w:r>
        <w:rPr>
          <w:rFonts w:ascii="Times New Roman" w:hAnsi="Times New Roman" w:cs="Times New Roman"/>
          <w:sz w:val="28"/>
          <w:szCs w:val="28"/>
          <w:lang w:val="uk-UA"/>
        </w:rPr>
        <w:t>Дослідники</w:t>
      </w:r>
      <w:r w:rsidRPr="005D1B01">
        <w:rPr>
          <w:rFonts w:ascii="Times New Roman" w:hAnsi="Times New Roman" w:cs="Times New Roman"/>
          <w:sz w:val="28"/>
          <w:szCs w:val="28"/>
        </w:rPr>
        <w:t xml:space="preserve"> </w:t>
      </w:r>
      <w:r w:rsidRPr="00E937D5">
        <w:rPr>
          <w:rFonts w:ascii="Times New Roman" w:hAnsi="Times New Roman" w:cs="Times New Roman"/>
          <w:sz w:val="28"/>
          <w:szCs w:val="28"/>
          <w:lang w:val="uk-UA"/>
        </w:rPr>
        <w:t xml:space="preserve">стверджують, що успішне впровадження практик міжнародного управління людськими ресурсами залежить від продуктивності та </w:t>
      </w:r>
      <w:proofErr w:type="spellStart"/>
      <w:r w:rsidRPr="00E937D5">
        <w:rPr>
          <w:rFonts w:ascii="Times New Roman" w:hAnsi="Times New Roman" w:cs="Times New Roman"/>
          <w:sz w:val="28"/>
          <w:szCs w:val="28"/>
          <w:lang w:val="uk-UA"/>
        </w:rPr>
        <w:t>інтерналізації</w:t>
      </w:r>
      <w:proofErr w:type="spellEnd"/>
      <w:r>
        <w:rPr>
          <w:rFonts w:ascii="Times New Roman" w:hAnsi="Times New Roman" w:cs="Times New Roman"/>
          <w:sz w:val="28"/>
          <w:szCs w:val="28"/>
          <w:lang w:val="uk-UA"/>
        </w:rPr>
        <w:t xml:space="preserve"> </w:t>
      </w:r>
      <w:r w:rsidRPr="005D1B01">
        <w:rPr>
          <w:rFonts w:ascii="Times New Roman" w:hAnsi="Times New Roman" w:cs="Times New Roman"/>
          <w:sz w:val="28"/>
          <w:szCs w:val="28"/>
        </w:rPr>
        <w:t>[84]</w:t>
      </w:r>
      <w:r w:rsidRPr="00E937D5">
        <w:rPr>
          <w:rFonts w:ascii="Times New Roman" w:hAnsi="Times New Roman" w:cs="Times New Roman"/>
          <w:sz w:val="28"/>
          <w:szCs w:val="28"/>
          <w:lang w:val="uk-UA"/>
        </w:rPr>
        <w:t xml:space="preserve">. По суті, навіть якщо існує набір найкращих практик, їх успіх усе одно залежить від того, чи працівники кожної країни їх приймають. Щоб конвергенція справді відбулася, потрібно набагато більше, ніж просто наявність найкращих практик. По-третє, це питання субкультур. Культура є широким і невловимим поняттям, і, отже, лише розгляд конвергенції, адаптації до національної культури, є величезним спрощенням самої культури. </w:t>
      </w:r>
      <w:proofErr w:type="spellStart"/>
      <w:r w:rsidRPr="00E937D5">
        <w:rPr>
          <w:rFonts w:ascii="Times New Roman" w:hAnsi="Times New Roman" w:cs="Times New Roman"/>
          <w:sz w:val="28"/>
          <w:szCs w:val="28"/>
          <w:lang w:val="uk-UA"/>
        </w:rPr>
        <w:t>Рідко</w:t>
      </w:r>
      <w:proofErr w:type="spellEnd"/>
      <w:r w:rsidRPr="00E937D5">
        <w:rPr>
          <w:rFonts w:ascii="Times New Roman" w:hAnsi="Times New Roman" w:cs="Times New Roman"/>
          <w:sz w:val="28"/>
          <w:szCs w:val="28"/>
          <w:lang w:val="uk-UA"/>
        </w:rPr>
        <w:t>, якщо взагалі, одна країна має «одну культуру», а окремі міста часто мають свої субкультури. Ці субкультури також можуть впливати на міжнародн</w:t>
      </w:r>
      <w:r>
        <w:rPr>
          <w:rFonts w:ascii="Times New Roman" w:hAnsi="Times New Roman" w:cs="Times New Roman"/>
          <w:sz w:val="28"/>
          <w:szCs w:val="28"/>
          <w:lang w:val="uk-UA"/>
        </w:rPr>
        <w:t>е</w:t>
      </w:r>
      <w:r w:rsidRPr="00E937D5">
        <w:rPr>
          <w:rFonts w:ascii="Times New Roman" w:hAnsi="Times New Roman" w:cs="Times New Roman"/>
          <w:sz w:val="28"/>
          <w:szCs w:val="28"/>
          <w:lang w:val="uk-UA"/>
        </w:rPr>
        <w:t xml:space="preserve"> управління людськими ресурсами, при цьому </w:t>
      </w:r>
      <w:r>
        <w:rPr>
          <w:rFonts w:ascii="Times New Roman" w:hAnsi="Times New Roman" w:cs="Times New Roman"/>
          <w:sz w:val="28"/>
          <w:szCs w:val="28"/>
          <w:lang w:val="uk-UA"/>
        </w:rPr>
        <w:t xml:space="preserve">науковці </w:t>
      </w:r>
      <w:r w:rsidRPr="00E937D5">
        <w:rPr>
          <w:rFonts w:ascii="Times New Roman" w:hAnsi="Times New Roman" w:cs="Times New Roman"/>
          <w:sz w:val="28"/>
          <w:szCs w:val="28"/>
          <w:lang w:val="uk-UA"/>
        </w:rPr>
        <w:t>припуска</w:t>
      </w:r>
      <w:r>
        <w:rPr>
          <w:rFonts w:ascii="Times New Roman" w:hAnsi="Times New Roman" w:cs="Times New Roman"/>
          <w:sz w:val="28"/>
          <w:szCs w:val="28"/>
          <w:lang w:val="uk-UA"/>
        </w:rPr>
        <w:t>ють</w:t>
      </w:r>
      <w:r w:rsidRPr="00E937D5">
        <w:rPr>
          <w:rFonts w:ascii="Times New Roman" w:hAnsi="Times New Roman" w:cs="Times New Roman"/>
          <w:sz w:val="28"/>
          <w:szCs w:val="28"/>
          <w:lang w:val="uk-UA"/>
        </w:rPr>
        <w:t>, що ці відмінності можуть призвести до різних стилів спілкування, невербальної комунікації, правил спілкування, ввічливості та обмежень у розмові</w:t>
      </w:r>
      <w:r w:rsidRPr="005D1B01">
        <w:rPr>
          <w:rFonts w:ascii="Times New Roman" w:hAnsi="Times New Roman" w:cs="Times New Roman"/>
          <w:sz w:val="28"/>
          <w:szCs w:val="28"/>
          <w:lang w:val="uk-UA"/>
        </w:rPr>
        <w:t xml:space="preserve"> [85]</w:t>
      </w:r>
      <w:r w:rsidRPr="00E937D5">
        <w:rPr>
          <w:rFonts w:ascii="Times New Roman" w:hAnsi="Times New Roman" w:cs="Times New Roman"/>
          <w:sz w:val="28"/>
          <w:szCs w:val="28"/>
          <w:lang w:val="uk-UA"/>
        </w:rPr>
        <w:t>. По суті, дебати про конвергенцію недооцінюють питання, які обговорювалися вище, і є ще більш далекими від реалізації, ніж це часто визнається в літературі.</w:t>
      </w:r>
    </w:p>
    <w:p w14:paraId="21425A88" w14:textId="77777777" w:rsidR="00571B42" w:rsidRPr="00E937D5" w:rsidRDefault="00571B42" w:rsidP="00571B42">
      <w:pPr>
        <w:spacing w:after="0" w:line="360" w:lineRule="auto"/>
        <w:ind w:firstLine="720"/>
        <w:jc w:val="both"/>
        <w:rPr>
          <w:rFonts w:ascii="Times New Roman" w:hAnsi="Times New Roman" w:cs="Times New Roman"/>
          <w:sz w:val="28"/>
          <w:szCs w:val="28"/>
          <w:lang w:val="uk-UA"/>
        </w:rPr>
      </w:pPr>
      <w:r w:rsidRPr="00E937D5">
        <w:rPr>
          <w:rFonts w:ascii="Times New Roman" w:hAnsi="Times New Roman" w:cs="Times New Roman"/>
          <w:sz w:val="28"/>
          <w:szCs w:val="28"/>
          <w:lang w:val="uk-UA"/>
        </w:rPr>
        <w:t xml:space="preserve">Дискусія щодо розбіжностей ґрунтується на передумові, що практики та стратегії міжнародного управління людськими ресурсами відрізнятимуться в різних країнах. Ці практики є вбудованими в соціально-економічні контексти, і часто найкращі практики вимагають адаптації відповідно до національних умов. </w:t>
      </w:r>
      <w:proofErr w:type="spellStart"/>
      <w:r w:rsidRPr="00FB0A3E">
        <w:rPr>
          <w:rFonts w:ascii="Times New Roman" w:hAnsi="Times New Roman" w:cs="Times New Roman"/>
          <w:sz w:val="28"/>
          <w:szCs w:val="28"/>
          <w:lang w:val="uk-UA"/>
        </w:rPr>
        <w:t>Соскіце</w:t>
      </w:r>
      <w:proofErr w:type="spellEnd"/>
      <w:r w:rsidRPr="00FB0A3E">
        <w:rPr>
          <w:rFonts w:ascii="Times New Roman" w:hAnsi="Times New Roman" w:cs="Times New Roman"/>
          <w:sz w:val="28"/>
          <w:szCs w:val="28"/>
          <w:lang w:val="uk-UA"/>
        </w:rPr>
        <w:t xml:space="preserve"> Девід і </w:t>
      </w:r>
      <w:proofErr w:type="spellStart"/>
      <w:r w:rsidRPr="00FB0A3E">
        <w:rPr>
          <w:rFonts w:ascii="Times New Roman" w:hAnsi="Times New Roman" w:cs="Times New Roman"/>
          <w:sz w:val="28"/>
          <w:szCs w:val="28"/>
          <w:lang w:val="uk-UA"/>
        </w:rPr>
        <w:t>Холл</w:t>
      </w:r>
      <w:proofErr w:type="spellEnd"/>
      <w:r w:rsidRPr="00FB0A3E">
        <w:rPr>
          <w:rFonts w:ascii="Times New Roman" w:hAnsi="Times New Roman" w:cs="Times New Roman"/>
          <w:sz w:val="28"/>
          <w:szCs w:val="28"/>
          <w:lang w:val="uk-UA"/>
        </w:rPr>
        <w:t xml:space="preserve"> Пітер</w:t>
      </w:r>
      <w:r w:rsidRPr="005D1B01">
        <w:rPr>
          <w:rFonts w:ascii="Times New Roman" w:hAnsi="Times New Roman" w:cs="Times New Roman"/>
          <w:sz w:val="28"/>
          <w:szCs w:val="28"/>
          <w:lang w:val="uk-UA"/>
        </w:rPr>
        <w:t xml:space="preserve"> </w:t>
      </w:r>
      <w:r w:rsidRPr="00E937D5">
        <w:rPr>
          <w:rFonts w:ascii="Times New Roman" w:hAnsi="Times New Roman" w:cs="Times New Roman"/>
          <w:sz w:val="28"/>
          <w:szCs w:val="28"/>
          <w:lang w:val="uk-UA"/>
        </w:rPr>
        <w:t>демонструють постійне розмаїття місцевих і національних моделей через різноманітні рамки капіталізму</w:t>
      </w:r>
      <w:r w:rsidRPr="005D1B01">
        <w:rPr>
          <w:rFonts w:ascii="Times New Roman" w:hAnsi="Times New Roman" w:cs="Times New Roman"/>
          <w:sz w:val="28"/>
          <w:szCs w:val="28"/>
          <w:lang w:val="uk-UA"/>
        </w:rPr>
        <w:t xml:space="preserve"> [86]</w:t>
      </w:r>
      <w:r w:rsidRPr="00E937D5">
        <w:rPr>
          <w:rFonts w:ascii="Times New Roman" w:hAnsi="Times New Roman" w:cs="Times New Roman"/>
          <w:sz w:val="28"/>
          <w:szCs w:val="28"/>
          <w:lang w:val="uk-UA"/>
        </w:rPr>
        <w:t xml:space="preserve">. Науковці </w:t>
      </w:r>
      <w:r>
        <w:rPr>
          <w:rFonts w:ascii="Times New Roman" w:hAnsi="Times New Roman" w:cs="Times New Roman"/>
          <w:sz w:val="28"/>
          <w:szCs w:val="28"/>
          <w:lang w:val="uk-UA"/>
        </w:rPr>
        <w:t xml:space="preserve">Алекс </w:t>
      </w:r>
      <w:proofErr w:type="spellStart"/>
      <w:r>
        <w:rPr>
          <w:rFonts w:ascii="Times New Roman" w:hAnsi="Times New Roman" w:cs="Times New Roman"/>
          <w:sz w:val="28"/>
          <w:szCs w:val="28"/>
          <w:lang w:val="uk-UA"/>
        </w:rPr>
        <w:t>Брайсон</w:t>
      </w:r>
      <w:proofErr w:type="spellEnd"/>
      <w:r>
        <w:rPr>
          <w:rFonts w:ascii="Times New Roman" w:hAnsi="Times New Roman" w:cs="Times New Roman"/>
          <w:sz w:val="28"/>
          <w:szCs w:val="28"/>
          <w:lang w:val="uk-UA"/>
        </w:rPr>
        <w:t xml:space="preserve"> та</w:t>
      </w:r>
      <w:r w:rsidRPr="001754A4">
        <w:rPr>
          <w:rFonts w:ascii="Times New Roman" w:hAnsi="Times New Roman" w:cs="Times New Roman"/>
          <w:sz w:val="28"/>
          <w:szCs w:val="28"/>
          <w:lang w:val="uk-UA"/>
        </w:rPr>
        <w:t xml:space="preserve"> </w:t>
      </w:r>
      <w:proofErr w:type="spellStart"/>
      <w:r w:rsidRPr="001754A4">
        <w:rPr>
          <w:rFonts w:ascii="Times New Roman" w:hAnsi="Times New Roman" w:cs="Times New Roman"/>
          <w:sz w:val="28"/>
          <w:szCs w:val="28"/>
          <w:lang w:val="uk-UA"/>
        </w:rPr>
        <w:t>Карола</w:t>
      </w:r>
      <w:proofErr w:type="spellEnd"/>
      <w:r w:rsidRPr="001754A4">
        <w:rPr>
          <w:rFonts w:ascii="Times New Roman" w:hAnsi="Times New Roman" w:cs="Times New Roman"/>
          <w:sz w:val="28"/>
          <w:szCs w:val="28"/>
          <w:lang w:val="uk-UA"/>
        </w:rPr>
        <w:t xml:space="preserve"> </w:t>
      </w:r>
      <w:proofErr w:type="spellStart"/>
      <w:r w:rsidRPr="001754A4">
        <w:rPr>
          <w:rFonts w:ascii="Times New Roman" w:hAnsi="Times New Roman" w:cs="Times New Roman"/>
          <w:sz w:val="28"/>
          <w:szCs w:val="28"/>
          <w:lang w:val="uk-UA"/>
        </w:rPr>
        <w:t>Фреге</w:t>
      </w:r>
      <w:proofErr w:type="spellEnd"/>
      <w:r w:rsidRPr="005D1B01">
        <w:rPr>
          <w:rFonts w:ascii="Times New Roman" w:hAnsi="Times New Roman" w:cs="Times New Roman"/>
          <w:sz w:val="28"/>
          <w:szCs w:val="28"/>
          <w:lang w:val="uk-UA"/>
        </w:rPr>
        <w:t xml:space="preserve"> </w:t>
      </w:r>
      <w:r w:rsidRPr="00E937D5">
        <w:rPr>
          <w:rFonts w:ascii="Times New Roman" w:hAnsi="Times New Roman" w:cs="Times New Roman"/>
          <w:sz w:val="28"/>
          <w:szCs w:val="28"/>
          <w:lang w:val="uk-UA"/>
        </w:rPr>
        <w:t xml:space="preserve">висвітлюють різні соціально-економічні </w:t>
      </w:r>
      <w:r w:rsidRPr="00E937D5">
        <w:rPr>
          <w:rFonts w:ascii="Times New Roman" w:hAnsi="Times New Roman" w:cs="Times New Roman"/>
          <w:sz w:val="28"/>
          <w:szCs w:val="28"/>
          <w:lang w:val="uk-UA"/>
        </w:rPr>
        <w:lastRenderedPageBreak/>
        <w:t xml:space="preserve">характеристики кожної країни на основі національної культури, економічних і політичних умов, інститутів та історичної спадщини, які суттєво формують трудові відносини </w:t>
      </w:r>
      <w:r w:rsidRPr="005D1B01">
        <w:rPr>
          <w:rFonts w:ascii="Times New Roman" w:hAnsi="Times New Roman" w:cs="Times New Roman"/>
          <w:sz w:val="28"/>
          <w:szCs w:val="28"/>
          <w:lang w:val="uk-UA"/>
        </w:rPr>
        <w:t>[87]</w:t>
      </w:r>
      <w:r w:rsidRPr="00E937D5">
        <w:rPr>
          <w:rFonts w:ascii="Times New Roman" w:hAnsi="Times New Roman" w:cs="Times New Roman"/>
          <w:sz w:val="28"/>
          <w:szCs w:val="28"/>
          <w:lang w:val="uk-UA"/>
        </w:rPr>
        <w:t xml:space="preserve">. Незважаючи на фінансовий тиск, який підштовхує до дивергенції, існує надзвичайна стійкість у культурному та інституційному контексті, підтримуючи різні трудові відносини та, як наслідок, практику міжнародного управління людськими ресурсами </w:t>
      </w:r>
      <w:r w:rsidRPr="005D1B01">
        <w:rPr>
          <w:rFonts w:ascii="Times New Roman" w:hAnsi="Times New Roman" w:cs="Times New Roman"/>
          <w:sz w:val="28"/>
          <w:szCs w:val="28"/>
          <w:lang w:val="uk-UA"/>
        </w:rPr>
        <w:t>[88]</w:t>
      </w:r>
      <w:r w:rsidRPr="001754A4">
        <w:rPr>
          <w:rFonts w:ascii="Times New Roman" w:hAnsi="Times New Roman" w:cs="Times New Roman"/>
          <w:sz w:val="28"/>
          <w:szCs w:val="28"/>
          <w:lang w:val="uk-UA"/>
        </w:rPr>
        <w:t>.</w:t>
      </w:r>
    </w:p>
    <w:p w14:paraId="0997CF5A" w14:textId="77777777" w:rsidR="00571B42" w:rsidRPr="00E937D5" w:rsidRDefault="00571B42" w:rsidP="00571B42">
      <w:pPr>
        <w:spacing w:after="0" w:line="360" w:lineRule="auto"/>
        <w:ind w:firstLine="720"/>
        <w:jc w:val="both"/>
        <w:rPr>
          <w:rFonts w:ascii="Times New Roman" w:hAnsi="Times New Roman" w:cs="Times New Roman"/>
          <w:sz w:val="28"/>
          <w:szCs w:val="28"/>
          <w:lang w:val="uk-UA"/>
        </w:rPr>
      </w:pPr>
      <w:r w:rsidRPr="00E937D5">
        <w:rPr>
          <w:rFonts w:ascii="Times New Roman" w:hAnsi="Times New Roman" w:cs="Times New Roman"/>
          <w:sz w:val="28"/>
          <w:szCs w:val="28"/>
          <w:lang w:val="uk-UA"/>
        </w:rPr>
        <w:t>Теза про дивергенцію базується на двох основних підставах: дивергенція через культуру та інституції. Що стосується дивергенції через культуру, аргумент полягає в тому, що культурна орієнтація національних контекстів формує практику міжнародного управління людськими ресурсами. Конкретні практики, на які можна вплинути, включають міжнародні переговори, важливість справедливості розподілу та характер відносин між керівниками та підлеглими. Крім того, це також може вплинути на заробітну плату, центральну концепцію в міжнародно</w:t>
      </w:r>
      <w:r>
        <w:rPr>
          <w:rFonts w:ascii="Times New Roman" w:hAnsi="Times New Roman" w:cs="Times New Roman"/>
          <w:sz w:val="28"/>
          <w:szCs w:val="28"/>
          <w:lang w:val="uk-UA"/>
        </w:rPr>
        <w:t>му</w:t>
      </w:r>
      <w:r w:rsidRPr="00E937D5">
        <w:rPr>
          <w:rFonts w:ascii="Times New Roman" w:hAnsi="Times New Roman" w:cs="Times New Roman"/>
          <w:sz w:val="28"/>
          <w:szCs w:val="28"/>
          <w:lang w:val="uk-UA"/>
        </w:rPr>
        <w:t xml:space="preserve"> управлінн</w:t>
      </w:r>
      <w:r>
        <w:rPr>
          <w:rFonts w:ascii="Times New Roman" w:hAnsi="Times New Roman" w:cs="Times New Roman"/>
          <w:sz w:val="28"/>
          <w:szCs w:val="28"/>
          <w:lang w:val="uk-UA"/>
        </w:rPr>
        <w:t>і</w:t>
      </w:r>
      <w:r w:rsidRPr="00E937D5">
        <w:rPr>
          <w:rFonts w:ascii="Times New Roman" w:hAnsi="Times New Roman" w:cs="Times New Roman"/>
          <w:sz w:val="28"/>
          <w:szCs w:val="28"/>
          <w:lang w:val="uk-UA"/>
        </w:rPr>
        <w:t xml:space="preserve"> людськими ресурсами. Приклад </w:t>
      </w:r>
      <w:proofErr w:type="spellStart"/>
      <w:r w:rsidRPr="00E937D5">
        <w:rPr>
          <w:rFonts w:ascii="Times New Roman" w:hAnsi="Times New Roman" w:cs="Times New Roman"/>
          <w:sz w:val="28"/>
          <w:szCs w:val="28"/>
          <w:lang w:val="uk-UA"/>
        </w:rPr>
        <w:t>контекстуалізує</w:t>
      </w:r>
      <w:proofErr w:type="spellEnd"/>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E937D5">
        <w:rPr>
          <w:rFonts w:ascii="Times New Roman" w:hAnsi="Times New Roman" w:cs="Times New Roman"/>
          <w:sz w:val="28"/>
          <w:szCs w:val="28"/>
          <w:lang w:val="uk-UA"/>
        </w:rPr>
        <w:t xml:space="preserve"> Нідерландах «жіноча» культура (використовуючи крос-культурну структуру </w:t>
      </w:r>
      <w:proofErr w:type="spellStart"/>
      <w:r w:rsidRPr="00E937D5">
        <w:rPr>
          <w:rFonts w:ascii="Times New Roman" w:hAnsi="Times New Roman" w:cs="Times New Roman"/>
          <w:sz w:val="28"/>
          <w:szCs w:val="28"/>
          <w:lang w:val="uk-UA"/>
        </w:rPr>
        <w:t>Хофстеде</w:t>
      </w:r>
      <w:proofErr w:type="spellEnd"/>
      <w:r>
        <w:rPr>
          <w:rFonts w:ascii="Times New Roman" w:hAnsi="Times New Roman" w:cs="Times New Roman"/>
          <w:sz w:val="28"/>
          <w:szCs w:val="28"/>
          <w:lang w:val="uk-UA"/>
        </w:rPr>
        <w:t xml:space="preserve"> </w:t>
      </w:r>
      <w:r w:rsidRPr="005D1B01">
        <w:rPr>
          <w:rFonts w:ascii="Times New Roman" w:hAnsi="Times New Roman" w:cs="Times New Roman"/>
          <w:sz w:val="28"/>
          <w:szCs w:val="28"/>
        </w:rPr>
        <w:t>[60]</w:t>
      </w:r>
      <w:r w:rsidRPr="00E937D5">
        <w:rPr>
          <w:rFonts w:ascii="Times New Roman" w:hAnsi="Times New Roman" w:cs="Times New Roman"/>
          <w:sz w:val="28"/>
          <w:szCs w:val="28"/>
          <w:lang w:val="uk-UA"/>
        </w:rPr>
        <w:t>) заохочує антипатію голландських працівників до «</w:t>
      </w:r>
      <w:r>
        <w:rPr>
          <w:rFonts w:ascii="Times New Roman" w:hAnsi="Times New Roman" w:cs="Times New Roman"/>
          <w:sz w:val="28"/>
          <w:szCs w:val="28"/>
          <w:lang w:val="uk-UA"/>
        </w:rPr>
        <w:t xml:space="preserve">жорстких» практик HRM. Тоді як </w:t>
      </w:r>
      <w:r w:rsidRPr="00E937D5">
        <w:rPr>
          <w:rFonts w:ascii="Times New Roman" w:hAnsi="Times New Roman" w:cs="Times New Roman"/>
          <w:sz w:val="28"/>
          <w:szCs w:val="28"/>
          <w:lang w:val="uk-UA"/>
        </w:rPr>
        <w:t>сильна колективістська культура Швеції протидіє розвитку індивідуалістичної о</w:t>
      </w:r>
      <w:r>
        <w:rPr>
          <w:rFonts w:ascii="Times New Roman" w:hAnsi="Times New Roman" w:cs="Times New Roman"/>
          <w:sz w:val="28"/>
          <w:szCs w:val="28"/>
          <w:lang w:val="uk-UA"/>
        </w:rPr>
        <w:t>рієнтації у трудових відносинах</w:t>
      </w:r>
      <w:r w:rsidRPr="00E937D5">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[88]</w:t>
      </w:r>
      <w:r w:rsidRPr="00E937D5">
        <w:rPr>
          <w:rFonts w:ascii="Times New Roman" w:hAnsi="Times New Roman" w:cs="Times New Roman"/>
          <w:sz w:val="28"/>
          <w:szCs w:val="28"/>
          <w:lang w:val="uk-UA"/>
        </w:rPr>
        <w:t xml:space="preserve">. Це ілюструє, як культурні відмінності впливають на різні практики міжнародного управління людськими ресурсами. Крім того, </w:t>
      </w:r>
      <w:r>
        <w:rPr>
          <w:rFonts w:ascii="Times New Roman" w:hAnsi="Times New Roman" w:cs="Times New Roman"/>
          <w:sz w:val="28"/>
          <w:szCs w:val="28"/>
          <w:lang w:val="uk-UA"/>
        </w:rPr>
        <w:t>Хан-</w:t>
      </w:r>
      <w:proofErr w:type="spellStart"/>
      <w:r>
        <w:rPr>
          <w:rFonts w:ascii="Times New Roman" w:hAnsi="Times New Roman" w:cs="Times New Roman"/>
          <w:sz w:val="28"/>
          <w:szCs w:val="28"/>
          <w:lang w:val="uk-UA"/>
        </w:rPr>
        <w:t>Юе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Нго</w:t>
      </w:r>
      <w:proofErr w:type="spellEnd"/>
      <w:r w:rsidRPr="005D1B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зі співавторами </w:t>
      </w:r>
      <w:r w:rsidRPr="00E937D5">
        <w:rPr>
          <w:rFonts w:ascii="Times New Roman" w:hAnsi="Times New Roman" w:cs="Times New Roman"/>
          <w:sz w:val="28"/>
          <w:szCs w:val="28"/>
          <w:lang w:val="uk-UA"/>
        </w:rPr>
        <w:t xml:space="preserve">досліджували вплив країни походження через американські, британські та японські </w:t>
      </w:r>
      <w:r>
        <w:rPr>
          <w:rFonts w:ascii="Times New Roman" w:hAnsi="Times New Roman" w:cs="Times New Roman"/>
          <w:sz w:val="28"/>
          <w:szCs w:val="28"/>
          <w:lang w:val="uk-UA"/>
        </w:rPr>
        <w:t>транснаціональні корпорації</w:t>
      </w:r>
      <w:r w:rsidRPr="00E937D5">
        <w:rPr>
          <w:rFonts w:ascii="Times New Roman" w:hAnsi="Times New Roman" w:cs="Times New Roman"/>
          <w:sz w:val="28"/>
          <w:szCs w:val="28"/>
          <w:lang w:val="uk-UA"/>
        </w:rPr>
        <w:t xml:space="preserve"> у Гонконзі – результат показав, що кілька різних аспектів практики рідної країни вплинули на міжнародн</w:t>
      </w:r>
      <w:r>
        <w:rPr>
          <w:rFonts w:ascii="Times New Roman" w:hAnsi="Times New Roman" w:cs="Times New Roman"/>
          <w:sz w:val="28"/>
          <w:szCs w:val="28"/>
          <w:lang w:val="uk-UA"/>
        </w:rPr>
        <w:t>е</w:t>
      </w:r>
      <w:r w:rsidRPr="00E937D5">
        <w:rPr>
          <w:rFonts w:ascii="Times New Roman" w:hAnsi="Times New Roman" w:cs="Times New Roman"/>
          <w:sz w:val="28"/>
          <w:szCs w:val="28"/>
          <w:lang w:val="uk-UA"/>
        </w:rPr>
        <w:t xml:space="preserve"> управління людськими ресурсами, запроваджен</w:t>
      </w:r>
      <w:r>
        <w:rPr>
          <w:rFonts w:ascii="Times New Roman" w:hAnsi="Times New Roman" w:cs="Times New Roman"/>
          <w:sz w:val="28"/>
          <w:szCs w:val="28"/>
          <w:lang w:val="uk-UA"/>
        </w:rPr>
        <w:t>е</w:t>
      </w:r>
      <w:r w:rsidRPr="00E937D5">
        <w:rPr>
          <w:rFonts w:ascii="Times New Roman" w:hAnsi="Times New Roman" w:cs="Times New Roman"/>
          <w:sz w:val="28"/>
          <w:szCs w:val="28"/>
          <w:lang w:val="uk-UA"/>
        </w:rPr>
        <w:t xml:space="preserve"> в іноземних філіях</w:t>
      </w:r>
      <w:r w:rsidRPr="005D1B01">
        <w:rPr>
          <w:rFonts w:ascii="Times New Roman" w:hAnsi="Times New Roman" w:cs="Times New Roman"/>
          <w:sz w:val="28"/>
          <w:szCs w:val="28"/>
          <w:lang w:val="uk-UA"/>
        </w:rPr>
        <w:t xml:space="preserve"> [89]</w:t>
      </w:r>
      <w:r w:rsidRPr="00E937D5">
        <w:rPr>
          <w:rFonts w:ascii="Times New Roman" w:hAnsi="Times New Roman" w:cs="Times New Roman"/>
          <w:sz w:val="28"/>
          <w:szCs w:val="28"/>
          <w:lang w:val="uk-UA"/>
        </w:rPr>
        <w:t xml:space="preserve">. Країна походження </w:t>
      </w:r>
      <w:r>
        <w:rPr>
          <w:rFonts w:ascii="Times New Roman" w:hAnsi="Times New Roman" w:cs="Times New Roman"/>
          <w:sz w:val="28"/>
          <w:szCs w:val="28"/>
          <w:lang w:val="uk-UA"/>
        </w:rPr>
        <w:t>міжнародних компаній</w:t>
      </w:r>
      <w:r w:rsidRPr="00E937D5">
        <w:rPr>
          <w:rFonts w:ascii="Times New Roman" w:hAnsi="Times New Roman" w:cs="Times New Roman"/>
          <w:sz w:val="28"/>
          <w:szCs w:val="28"/>
          <w:lang w:val="uk-UA"/>
        </w:rPr>
        <w:t xml:space="preserve"> використовувала свою культуру, щоб неявно чи явно впливати на практику міжнародного управління людськими ресурсами. Більш того, ця розбіжність ще більш очевидна в Азії, де </w:t>
      </w:r>
      <w:proofErr w:type="spellStart"/>
      <w:r>
        <w:rPr>
          <w:rFonts w:ascii="Times New Roman" w:hAnsi="Times New Roman" w:cs="Times New Roman"/>
          <w:sz w:val="28"/>
          <w:szCs w:val="28"/>
          <w:lang w:val="uk-UA"/>
        </w:rPr>
        <w:t>Янгсан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Паик</w:t>
      </w:r>
      <w:proofErr w:type="spellEnd"/>
      <w:r w:rsidRPr="009636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зі співавторами </w:t>
      </w:r>
      <w:r w:rsidRPr="00E937D5">
        <w:rPr>
          <w:rFonts w:ascii="Times New Roman" w:hAnsi="Times New Roman" w:cs="Times New Roman"/>
          <w:sz w:val="28"/>
          <w:szCs w:val="28"/>
          <w:lang w:val="uk-UA"/>
        </w:rPr>
        <w:t>знайшли сильну підтримку гіпотези розбіжності навіть серед кр</w:t>
      </w:r>
      <w:r>
        <w:rPr>
          <w:rFonts w:ascii="Times New Roman" w:hAnsi="Times New Roman" w:cs="Times New Roman"/>
          <w:sz w:val="28"/>
          <w:szCs w:val="28"/>
          <w:lang w:val="uk-UA"/>
        </w:rPr>
        <w:t>аїн, що базуються в Китаї, наприклад,</w:t>
      </w:r>
      <w:r w:rsidRPr="00E937D5">
        <w:rPr>
          <w:rFonts w:ascii="Times New Roman" w:hAnsi="Times New Roman" w:cs="Times New Roman"/>
          <w:sz w:val="28"/>
          <w:szCs w:val="28"/>
          <w:lang w:val="uk-UA"/>
        </w:rPr>
        <w:t xml:space="preserve"> Гонконг, Сінгапур і </w:t>
      </w:r>
      <w:r w:rsidRPr="00E937D5">
        <w:rPr>
          <w:rFonts w:ascii="Times New Roman" w:hAnsi="Times New Roman" w:cs="Times New Roman"/>
          <w:sz w:val="28"/>
          <w:szCs w:val="28"/>
          <w:lang w:val="uk-UA"/>
        </w:rPr>
        <w:lastRenderedPageBreak/>
        <w:t>Тайвань</w:t>
      </w:r>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[90]</w:t>
      </w:r>
      <w:r w:rsidRPr="00E937D5">
        <w:rPr>
          <w:rFonts w:ascii="Times New Roman" w:hAnsi="Times New Roman" w:cs="Times New Roman"/>
          <w:sz w:val="28"/>
          <w:szCs w:val="28"/>
          <w:lang w:val="uk-UA"/>
        </w:rPr>
        <w:t xml:space="preserve">. Навіть країни зі, здавалося б, схожими культурами </w:t>
      </w:r>
      <w:r>
        <w:rPr>
          <w:rFonts w:ascii="Times New Roman" w:hAnsi="Times New Roman" w:cs="Times New Roman"/>
          <w:sz w:val="28"/>
          <w:szCs w:val="28"/>
          <w:lang w:val="uk-UA"/>
        </w:rPr>
        <w:t>можуть мати суттєві розбіжності</w:t>
      </w:r>
      <w:r w:rsidRPr="00E937D5">
        <w:rPr>
          <w:rFonts w:ascii="Times New Roman" w:hAnsi="Times New Roman" w:cs="Times New Roman"/>
          <w:sz w:val="28"/>
          <w:szCs w:val="28"/>
          <w:lang w:val="uk-UA"/>
        </w:rPr>
        <w:t>.</w:t>
      </w:r>
    </w:p>
    <w:p w14:paraId="1FFA6F29" w14:textId="77777777" w:rsidR="00571B42" w:rsidRPr="00E937D5" w:rsidRDefault="00571B42" w:rsidP="00571B42">
      <w:pPr>
        <w:spacing w:after="0" w:line="360" w:lineRule="auto"/>
        <w:ind w:firstLine="720"/>
        <w:jc w:val="both"/>
        <w:rPr>
          <w:rFonts w:ascii="Times New Roman" w:hAnsi="Times New Roman" w:cs="Times New Roman"/>
          <w:sz w:val="28"/>
          <w:szCs w:val="28"/>
          <w:lang w:val="uk-UA"/>
        </w:rPr>
      </w:pPr>
      <w:r w:rsidRPr="00E937D5">
        <w:rPr>
          <w:rFonts w:ascii="Times New Roman" w:hAnsi="Times New Roman" w:cs="Times New Roman"/>
          <w:sz w:val="28"/>
          <w:szCs w:val="28"/>
          <w:lang w:val="uk-UA"/>
        </w:rPr>
        <w:t xml:space="preserve">По-друге, формальні та неформальні інституції в національному контексті впливають на практику міжнародного управління людськими ресурсами щодо розбіжностей між інституціями. </w:t>
      </w:r>
      <w:r w:rsidRPr="009636E5">
        <w:rPr>
          <w:rFonts w:ascii="Times New Roman" w:hAnsi="Times New Roman" w:cs="Times New Roman"/>
          <w:sz w:val="28"/>
          <w:szCs w:val="28"/>
          <w:lang w:val="uk-UA"/>
        </w:rPr>
        <w:t xml:space="preserve">Бернард </w:t>
      </w:r>
      <w:proofErr w:type="spellStart"/>
      <w:r w:rsidRPr="009636E5">
        <w:rPr>
          <w:rFonts w:ascii="Times New Roman" w:hAnsi="Times New Roman" w:cs="Times New Roman"/>
          <w:sz w:val="28"/>
          <w:szCs w:val="28"/>
          <w:lang w:val="uk-UA"/>
        </w:rPr>
        <w:t>Вітлі</w:t>
      </w:r>
      <w:proofErr w:type="spellEnd"/>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uk-UA"/>
        </w:rPr>
        <w:t>зазначає</w:t>
      </w:r>
      <w:r w:rsidRPr="00E937D5">
        <w:rPr>
          <w:rFonts w:ascii="Times New Roman" w:hAnsi="Times New Roman" w:cs="Times New Roman"/>
          <w:sz w:val="28"/>
          <w:szCs w:val="28"/>
          <w:lang w:val="uk-UA"/>
        </w:rPr>
        <w:t>, що незважаючи на те, що глобальні еконо</w:t>
      </w:r>
      <w:r>
        <w:rPr>
          <w:rFonts w:ascii="Times New Roman" w:hAnsi="Times New Roman" w:cs="Times New Roman"/>
          <w:sz w:val="28"/>
          <w:szCs w:val="28"/>
          <w:lang w:val="uk-UA"/>
        </w:rPr>
        <w:t>міки є більш взаємопов’язаними, с</w:t>
      </w:r>
      <w:r w:rsidRPr="00E937D5">
        <w:rPr>
          <w:rFonts w:ascii="Times New Roman" w:hAnsi="Times New Roman" w:cs="Times New Roman"/>
          <w:sz w:val="28"/>
          <w:szCs w:val="28"/>
          <w:lang w:val="uk-UA"/>
        </w:rPr>
        <w:t>успільства з різними інститутами</w:t>
      </w:r>
      <w:r w:rsidRPr="005D1B01">
        <w:rPr>
          <w:lang w:val="uk-UA"/>
        </w:rPr>
        <w:t xml:space="preserve"> </w:t>
      </w:r>
      <w:r w:rsidRPr="00E937D5">
        <w:rPr>
          <w:rFonts w:ascii="Times New Roman" w:hAnsi="Times New Roman" w:cs="Times New Roman"/>
          <w:sz w:val="28"/>
          <w:szCs w:val="28"/>
          <w:lang w:val="uk-UA"/>
        </w:rPr>
        <w:t>національні механізми продовжуватимуть розвивати та відтворювати різноманітні системи економічної організації з різними економічними та соціальними можливостям</w:t>
      </w:r>
      <w:r>
        <w:rPr>
          <w:rFonts w:ascii="Times New Roman" w:hAnsi="Times New Roman" w:cs="Times New Roman"/>
          <w:sz w:val="28"/>
          <w:szCs w:val="28"/>
          <w:lang w:val="uk-UA"/>
        </w:rPr>
        <w:t>и в окремих галузях та секторах</w:t>
      </w:r>
      <w:r w:rsidRPr="005D1B01">
        <w:rPr>
          <w:rFonts w:ascii="Times New Roman" w:hAnsi="Times New Roman" w:cs="Times New Roman"/>
          <w:sz w:val="28"/>
          <w:szCs w:val="28"/>
          <w:lang w:val="uk-UA"/>
        </w:rPr>
        <w:t xml:space="preserve"> [91]</w:t>
      </w:r>
      <w:r>
        <w:rPr>
          <w:rFonts w:ascii="Times New Roman" w:hAnsi="Times New Roman" w:cs="Times New Roman"/>
          <w:sz w:val="28"/>
          <w:szCs w:val="28"/>
          <w:lang w:val="uk-UA"/>
        </w:rPr>
        <w:t xml:space="preserve">. </w:t>
      </w:r>
      <w:r w:rsidRPr="00E937D5">
        <w:rPr>
          <w:rFonts w:ascii="Times New Roman" w:hAnsi="Times New Roman" w:cs="Times New Roman"/>
          <w:sz w:val="28"/>
          <w:szCs w:val="28"/>
          <w:lang w:val="uk-UA"/>
        </w:rPr>
        <w:t>Приклад цих відмінностей</w:t>
      </w:r>
      <w:r>
        <w:rPr>
          <w:rFonts w:ascii="Times New Roman" w:hAnsi="Times New Roman" w:cs="Times New Roman"/>
          <w:sz w:val="28"/>
          <w:szCs w:val="28"/>
          <w:lang w:val="uk-UA"/>
        </w:rPr>
        <w:t xml:space="preserve"> допоможе </w:t>
      </w:r>
      <w:proofErr w:type="spellStart"/>
      <w:r>
        <w:rPr>
          <w:rFonts w:ascii="Times New Roman" w:hAnsi="Times New Roman" w:cs="Times New Roman"/>
          <w:sz w:val="28"/>
          <w:szCs w:val="28"/>
          <w:lang w:val="uk-UA"/>
        </w:rPr>
        <w:t>контекстуалізувати</w:t>
      </w:r>
      <w:proofErr w:type="spellEnd"/>
      <w:r>
        <w:rPr>
          <w:rFonts w:ascii="Times New Roman" w:hAnsi="Times New Roman" w:cs="Times New Roman"/>
          <w:sz w:val="28"/>
          <w:szCs w:val="28"/>
          <w:lang w:val="uk-UA"/>
        </w:rPr>
        <w:t>, що</w:t>
      </w:r>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E937D5">
        <w:rPr>
          <w:rFonts w:ascii="Times New Roman" w:hAnsi="Times New Roman" w:cs="Times New Roman"/>
          <w:sz w:val="28"/>
          <w:szCs w:val="28"/>
          <w:lang w:val="uk-UA"/>
        </w:rPr>
        <w:t xml:space="preserve"> Німеччині профспілки та робочі ради гарантують, що заробітна плата в галузі має помітний вплив на практику працевлаштування та оплати праці кадрів. Навпаки, США не мають такої домовленості. Більше того, в Європі загалом існує більш жорстке регулювання щодо прийому на роботу та звільнення, більш формалізована освітня сертифікація та </w:t>
      </w:r>
      <w:proofErr w:type="spellStart"/>
      <w:r w:rsidRPr="00E937D5">
        <w:rPr>
          <w:rFonts w:ascii="Times New Roman" w:hAnsi="Times New Roman" w:cs="Times New Roman"/>
          <w:sz w:val="28"/>
          <w:szCs w:val="28"/>
          <w:lang w:val="uk-UA"/>
        </w:rPr>
        <w:t>квазі</w:t>
      </w:r>
      <w:proofErr w:type="spellEnd"/>
      <w:r w:rsidRPr="00E937D5">
        <w:rPr>
          <w:rFonts w:ascii="Times New Roman" w:hAnsi="Times New Roman" w:cs="Times New Roman"/>
          <w:sz w:val="28"/>
          <w:szCs w:val="28"/>
          <w:lang w:val="uk-UA"/>
        </w:rPr>
        <w:t xml:space="preserve">-правові аспекти системи трудових відносин </w:t>
      </w:r>
      <w:r w:rsidRPr="005D1B01">
        <w:rPr>
          <w:rFonts w:ascii="Times New Roman" w:hAnsi="Times New Roman" w:cs="Times New Roman"/>
          <w:sz w:val="28"/>
          <w:szCs w:val="28"/>
          <w:lang w:val="uk-UA"/>
        </w:rPr>
        <w:t>[92]</w:t>
      </w:r>
      <w:r w:rsidRPr="00467975">
        <w:rPr>
          <w:rFonts w:ascii="Times New Roman" w:hAnsi="Times New Roman" w:cs="Times New Roman"/>
          <w:sz w:val="28"/>
          <w:szCs w:val="28"/>
          <w:lang w:val="uk-UA"/>
        </w:rPr>
        <w:t>.</w:t>
      </w:r>
      <w:r w:rsidRPr="00E937D5">
        <w:rPr>
          <w:rFonts w:ascii="Times New Roman" w:hAnsi="Times New Roman" w:cs="Times New Roman"/>
          <w:sz w:val="28"/>
          <w:szCs w:val="28"/>
          <w:lang w:val="uk-UA"/>
        </w:rPr>
        <w:t xml:space="preserve"> Це знову ж таки значно відрізняється від Америки, оскільки нерегульовані та децентралізовані системи дають організаціям повноваження наймати та звільняти майже повністю без регулювання. Ці країни не змогли втілити одну «найкращу практику» щодо міжнародного управління людськими ресурсами, оскільки їхні національні інституції призвели до різних законів і норм у сфері зайнятості.</w:t>
      </w:r>
    </w:p>
    <w:p w14:paraId="65874BF6" w14:textId="77777777" w:rsidR="00571B42" w:rsidRPr="00E937D5" w:rsidRDefault="00571B42" w:rsidP="00571B42">
      <w:pPr>
        <w:spacing w:after="0" w:line="360" w:lineRule="auto"/>
        <w:ind w:firstLine="720"/>
        <w:jc w:val="both"/>
        <w:rPr>
          <w:rFonts w:ascii="Times New Roman" w:hAnsi="Times New Roman" w:cs="Times New Roman"/>
          <w:sz w:val="28"/>
          <w:szCs w:val="28"/>
          <w:lang w:val="uk-UA"/>
        </w:rPr>
      </w:pPr>
      <w:r w:rsidRPr="00E937D5">
        <w:rPr>
          <w:rFonts w:ascii="Times New Roman" w:hAnsi="Times New Roman" w:cs="Times New Roman"/>
          <w:sz w:val="28"/>
          <w:szCs w:val="28"/>
          <w:lang w:val="uk-UA"/>
        </w:rPr>
        <w:t xml:space="preserve">Критичним результатом цих дебатів стала гібридизація. По суті, це стратегія міжнародного управління людськими ресурсами, яка поєднує різні орієнтації та, мабуть, є більш прийнятною, ніж конвергенція чи розбіжність. </w:t>
      </w:r>
      <w:proofErr w:type="spellStart"/>
      <w:r>
        <w:rPr>
          <w:rFonts w:ascii="Times New Roman" w:hAnsi="Times New Roman" w:cs="Times New Roman"/>
          <w:sz w:val="28"/>
          <w:szCs w:val="28"/>
          <w:lang w:val="uk-UA"/>
        </w:rPr>
        <w:t>Чанг</w:t>
      </w:r>
      <w:proofErr w:type="spellEnd"/>
      <w:r w:rsidRPr="00681C6C">
        <w:rPr>
          <w:rFonts w:ascii="Times New Roman" w:hAnsi="Times New Roman" w:cs="Times New Roman"/>
          <w:sz w:val="28"/>
          <w:szCs w:val="28"/>
          <w:lang w:val="uk-UA"/>
        </w:rPr>
        <w:t xml:space="preserve">, </w:t>
      </w:r>
      <w:proofErr w:type="spellStart"/>
      <w:r w:rsidRPr="00681C6C">
        <w:rPr>
          <w:rFonts w:ascii="Times New Roman" w:hAnsi="Times New Roman" w:cs="Times New Roman"/>
          <w:sz w:val="28"/>
          <w:szCs w:val="28"/>
          <w:lang w:val="uk-UA"/>
        </w:rPr>
        <w:t>Сп</w:t>
      </w:r>
      <w:r>
        <w:rPr>
          <w:rFonts w:ascii="Times New Roman" w:hAnsi="Times New Roman" w:cs="Times New Roman"/>
          <w:sz w:val="28"/>
          <w:szCs w:val="28"/>
          <w:lang w:val="uk-UA"/>
        </w:rPr>
        <w:t>ерроу</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Бозкурт</w:t>
      </w:r>
      <w:proofErr w:type="spellEnd"/>
      <w:r>
        <w:rPr>
          <w:rFonts w:ascii="Times New Roman" w:hAnsi="Times New Roman" w:cs="Times New Roman"/>
          <w:sz w:val="28"/>
          <w:szCs w:val="28"/>
          <w:lang w:val="uk-UA"/>
        </w:rPr>
        <w:t xml:space="preserve"> </w:t>
      </w:r>
      <w:r w:rsidRPr="00E937D5">
        <w:rPr>
          <w:rFonts w:ascii="Times New Roman" w:hAnsi="Times New Roman" w:cs="Times New Roman"/>
          <w:sz w:val="28"/>
          <w:szCs w:val="28"/>
          <w:lang w:val="uk-UA"/>
        </w:rPr>
        <w:t>провели дослідження, і в усіх дев’яти компаніях їхня система міжнародного управління людськими ресурсами втілювала систему гібридизації</w:t>
      </w:r>
      <w:r w:rsidRPr="005D1B01">
        <w:rPr>
          <w:rFonts w:ascii="Times New Roman" w:hAnsi="Times New Roman" w:cs="Times New Roman"/>
          <w:sz w:val="28"/>
          <w:szCs w:val="28"/>
        </w:rPr>
        <w:t xml:space="preserve"> [93]</w:t>
      </w:r>
      <w:r w:rsidRPr="00E937D5">
        <w:rPr>
          <w:rFonts w:ascii="Times New Roman" w:hAnsi="Times New Roman" w:cs="Times New Roman"/>
          <w:sz w:val="28"/>
          <w:szCs w:val="28"/>
          <w:lang w:val="uk-UA"/>
        </w:rPr>
        <w:t xml:space="preserve">. Однак </w:t>
      </w:r>
      <w:r>
        <w:rPr>
          <w:rFonts w:ascii="Times New Roman" w:hAnsi="Times New Roman" w:cs="Times New Roman"/>
          <w:sz w:val="28"/>
          <w:szCs w:val="28"/>
          <w:lang w:val="uk-UA"/>
        </w:rPr>
        <w:t>подібний висновок</w:t>
      </w:r>
      <w:r w:rsidRPr="00E937D5">
        <w:rPr>
          <w:rFonts w:ascii="Times New Roman" w:hAnsi="Times New Roman" w:cs="Times New Roman"/>
          <w:sz w:val="28"/>
          <w:szCs w:val="28"/>
          <w:lang w:val="uk-UA"/>
        </w:rPr>
        <w:t xml:space="preserve"> використовуватиметься для представлення деталізованої картини дебатів про конвергенцію-розбіжність. Як і в більшості речей, жодна сторона цієї дискусії не є цілком правильною. Однак також важливо заз</w:t>
      </w:r>
      <w:r>
        <w:rPr>
          <w:rFonts w:ascii="Times New Roman" w:hAnsi="Times New Roman" w:cs="Times New Roman"/>
          <w:sz w:val="28"/>
          <w:szCs w:val="28"/>
          <w:lang w:val="uk-UA"/>
        </w:rPr>
        <w:t xml:space="preserve">начити, що вони не помиляються. </w:t>
      </w:r>
      <w:r w:rsidRPr="00681C6C">
        <w:rPr>
          <w:rFonts w:ascii="Times New Roman" w:hAnsi="Times New Roman" w:cs="Times New Roman"/>
          <w:sz w:val="28"/>
          <w:szCs w:val="28"/>
          <w:lang w:val="uk-UA"/>
        </w:rPr>
        <w:t xml:space="preserve">Кріс </w:t>
      </w:r>
      <w:proofErr w:type="spellStart"/>
      <w:r w:rsidRPr="00681C6C">
        <w:rPr>
          <w:rFonts w:ascii="Times New Roman" w:hAnsi="Times New Roman" w:cs="Times New Roman"/>
          <w:sz w:val="28"/>
          <w:szCs w:val="28"/>
          <w:lang w:val="uk-UA"/>
        </w:rPr>
        <w:t>Брюстер</w:t>
      </w:r>
      <w:proofErr w:type="spellEnd"/>
      <w:r>
        <w:rPr>
          <w:rFonts w:ascii="Times New Roman" w:hAnsi="Times New Roman" w:cs="Times New Roman"/>
          <w:sz w:val="28"/>
          <w:szCs w:val="28"/>
          <w:lang w:val="uk-UA"/>
        </w:rPr>
        <w:t xml:space="preserve"> свідчить про </w:t>
      </w:r>
      <w:r>
        <w:rPr>
          <w:rFonts w:ascii="Times New Roman" w:hAnsi="Times New Roman" w:cs="Times New Roman"/>
          <w:sz w:val="28"/>
          <w:szCs w:val="28"/>
          <w:lang w:val="uk-UA"/>
        </w:rPr>
        <w:lastRenderedPageBreak/>
        <w:t xml:space="preserve">те, </w:t>
      </w:r>
      <w:r w:rsidRPr="00E937D5">
        <w:rPr>
          <w:rFonts w:ascii="Times New Roman" w:hAnsi="Times New Roman" w:cs="Times New Roman"/>
          <w:sz w:val="28"/>
          <w:szCs w:val="28"/>
          <w:lang w:val="uk-UA"/>
        </w:rPr>
        <w:t>хто хоче відстоювати ту чи іншу позицію, можуть легко знайти докази на підтримку своєї позиції</w:t>
      </w:r>
      <w:r w:rsidRPr="005D1B01">
        <w:rPr>
          <w:rFonts w:ascii="Times New Roman" w:hAnsi="Times New Roman" w:cs="Times New Roman"/>
          <w:sz w:val="28"/>
          <w:szCs w:val="28"/>
        </w:rPr>
        <w:t xml:space="preserve"> [</w:t>
      </w:r>
      <w:r>
        <w:rPr>
          <w:rFonts w:ascii="Times New Roman" w:hAnsi="Times New Roman" w:cs="Times New Roman"/>
          <w:sz w:val="28"/>
          <w:szCs w:val="28"/>
        </w:rPr>
        <w:t>79</w:t>
      </w:r>
      <w:r w:rsidRPr="005D1B01">
        <w:rPr>
          <w:rFonts w:ascii="Times New Roman" w:hAnsi="Times New Roman" w:cs="Times New Roman"/>
          <w:sz w:val="28"/>
          <w:szCs w:val="28"/>
        </w:rPr>
        <w:t>]</w:t>
      </w:r>
      <w:r w:rsidRPr="00E937D5">
        <w:rPr>
          <w:rFonts w:ascii="Times New Roman" w:hAnsi="Times New Roman" w:cs="Times New Roman"/>
          <w:sz w:val="28"/>
          <w:szCs w:val="28"/>
          <w:lang w:val="uk-UA"/>
        </w:rPr>
        <w:t>. Таким чином, схоже, що існують тенденції… які є широко поширеними, навіть якщо вони, здається, не зменшують відмінностей між країнам</w:t>
      </w:r>
      <w:r>
        <w:rPr>
          <w:rFonts w:ascii="Times New Roman" w:hAnsi="Times New Roman" w:cs="Times New Roman"/>
          <w:sz w:val="28"/>
          <w:szCs w:val="28"/>
          <w:lang w:val="uk-UA"/>
        </w:rPr>
        <w:t>и в тому, як вони керують своїм</w:t>
      </w:r>
      <w:r w:rsidRPr="00E937D5">
        <w:rPr>
          <w:rFonts w:ascii="Times New Roman" w:hAnsi="Times New Roman" w:cs="Times New Roman"/>
          <w:sz w:val="28"/>
          <w:szCs w:val="28"/>
          <w:lang w:val="uk-UA"/>
        </w:rPr>
        <w:t xml:space="preserve"> міжнародн</w:t>
      </w:r>
      <w:r>
        <w:rPr>
          <w:rFonts w:ascii="Times New Roman" w:hAnsi="Times New Roman" w:cs="Times New Roman"/>
          <w:sz w:val="28"/>
          <w:szCs w:val="28"/>
          <w:lang w:val="uk-UA"/>
        </w:rPr>
        <w:t>им</w:t>
      </w:r>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en-US"/>
        </w:rPr>
        <w:t>HRM</w:t>
      </w:r>
      <w:r w:rsidRPr="00E937D5">
        <w:rPr>
          <w:rFonts w:ascii="Times New Roman" w:hAnsi="Times New Roman" w:cs="Times New Roman"/>
          <w:sz w:val="28"/>
          <w:szCs w:val="28"/>
          <w:lang w:val="uk-UA"/>
        </w:rPr>
        <w:t>.</w:t>
      </w:r>
    </w:p>
    <w:p w14:paraId="127A14EE" w14:textId="77777777" w:rsidR="00571B42" w:rsidRPr="00E937D5" w:rsidRDefault="00571B42" w:rsidP="00571B42">
      <w:pPr>
        <w:spacing w:after="0" w:line="360" w:lineRule="auto"/>
        <w:ind w:firstLine="720"/>
        <w:jc w:val="both"/>
        <w:rPr>
          <w:rFonts w:ascii="Times New Roman" w:hAnsi="Times New Roman" w:cs="Times New Roman"/>
          <w:sz w:val="28"/>
          <w:szCs w:val="28"/>
          <w:lang w:val="uk-UA"/>
        </w:rPr>
      </w:pPr>
      <w:r w:rsidRPr="00E937D5">
        <w:rPr>
          <w:rFonts w:ascii="Times New Roman" w:hAnsi="Times New Roman" w:cs="Times New Roman"/>
          <w:sz w:val="28"/>
          <w:szCs w:val="28"/>
          <w:lang w:val="uk-UA"/>
        </w:rPr>
        <w:t>Різні вчені зараз прийняли нюансовану точку зору, в основному стверджуючи, що хоча глобалізація сприяла «гомогенізації» (конвергенції), ступінь, до якої це відбувається, слід переоцінити з ранньої літератури на цю тему. Це подання приймає точку зору, що «конвергенція з</w:t>
      </w:r>
      <w:r>
        <w:rPr>
          <w:rFonts w:ascii="Times New Roman" w:hAnsi="Times New Roman" w:cs="Times New Roman"/>
          <w:sz w:val="28"/>
          <w:szCs w:val="28"/>
          <w:lang w:val="uk-UA"/>
        </w:rPr>
        <w:t>авжди пом’якшується розбіжністю</w:t>
      </w:r>
      <w:r w:rsidRPr="00E937D5">
        <w:rPr>
          <w:rFonts w:ascii="Times New Roman" w:hAnsi="Times New Roman" w:cs="Times New Roman"/>
          <w:sz w:val="28"/>
          <w:szCs w:val="28"/>
          <w:lang w:val="uk-UA"/>
        </w:rPr>
        <w:t>. Ці два</w:t>
      </w:r>
      <w:r w:rsidRPr="005D1B01">
        <w:rPr>
          <w:rFonts w:ascii="Times New Roman" w:hAnsi="Times New Roman" w:cs="Times New Roman"/>
          <w:sz w:val="28"/>
          <w:szCs w:val="28"/>
        </w:rPr>
        <w:t xml:space="preserve"> </w:t>
      </w:r>
      <w:r>
        <w:rPr>
          <w:rFonts w:ascii="Times New Roman" w:hAnsi="Times New Roman" w:cs="Times New Roman"/>
          <w:sz w:val="28"/>
          <w:szCs w:val="28"/>
          <w:lang w:val="uk-UA"/>
        </w:rPr>
        <w:t>твердження</w:t>
      </w:r>
      <w:r w:rsidRPr="00E937D5">
        <w:rPr>
          <w:rFonts w:ascii="Times New Roman" w:hAnsi="Times New Roman" w:cs="Times New Roman"/>
          <w:sz w:val="28"/>
          <w:szCs w:val="28"/>
          <w:lang w:val="uk-UA"/>
        </w:rPr>
        <w:t xml:space="preserve">, можливо, йдуть </w:t>
      </w:r>
      <w:r>
        <w:rPr>
          <w:rFonts w:ascii="Times New Roman" w:hAnsi="Times New Roman" w:cs="Times New Roman"/>
          <w:sz w:val="28"/>
          <w:szCs w:val="28"/>
          <w:lang w:val="uk-UA"/>
        </w:rPr>
        <w:t>поряд</w:t>
      </w:r>
      <w:r w:rsidRPr="00E937D5">
        <w:rPr>
          <w:rFonts w:ascii="Times New Roman" w:hAnsi="Times New Roman" w:cs="Times New Roman"/>
          <w:sz w:val="28"/>
          <w:szCs w:val="28"/>
          <w:lang w:val="uk-UA"/>
        </w:rPr>
        <w:t>, оскільки несправедливо говорити, що практики міжнародного управління людськими ресурсами стають менш схожими</w:t>
      </w:r>
      <w:r>
        <w:rPr>
          <w:rFonts w:ascii="Times New Roman" w:hAnsi="Times New Roman" w:cs="Times New Roman"/>
          <w:sz w:val="28"/>
          <w:szCs w:val="28"/>
          <w:lang w:val="uk-UA"/>
        </w:rPr>
        <w:t xml:space="preserve"> між собою</w:t>
      </w:r>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uk-UA"/>
        </w:rPr>
        <w:t>Однак,</w:t>
      </w:r>
      <w:r w:rsidRPr="00E937D5">
        <w:rPr>
          <w:rFonts w:ascii="Times New Roman" w:hAnsi="Times New Roman" w:cs="Times New Roman"/>
          <w:sz w:val="28"/>
          <w:szCs w:val="28"/>
          <w:lang w:val="uk-UA"/>
        </w:rPr>
        <w:t xml:space="preserve"> ідея про те, що вони об’єднаються в один набір принципів, є значним спрощенням глобалізації, культури та самого </w:t>
      </w:r>
      <w:r>
        <w:rPr>
          <w:rFonts w:ascii="Times New Roman" w:hAnsi="Times New Roman" w:cs="Times New Roman"/>
          <w:sz w:val="28"/>
          <w:szCs w:val="28"/>
          <w:lang w:val="uk-UA"/>
        </w:rPr>
        <w:t xml:space="preserve">міжнародного </w:t>
      </w:r>
      <w:r w:rsidRPr="00E937D5">
        <w:rPr>
          <w:rFonts w:ascii="Times New Roman" w:hAnsi="Times New Roman" w:cs="Times New Roman"/>
          <w:sz w:val="28"/>
          <w:szCs w:val="28"/>
          <w:lang w:val="uk-UA"/>
        </w:rPr>
        <w:t>HRM.</w:t>
      </w:r>
    </w:p>
    <w:p w14:paraId="7081ABE6" w14:textId="77777777" w:rsidR="00571B42"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Варто відзначити</w:t>
      </w:r>
      <w:r w:rsidRPr="00E937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Pr="00E937D5">
        <w:rPr>
          <w:rFonts w:ascii="Times New Roman" w:hAnsi="Times New Roman" w:cs="Times New Roman"/>
          <w:sz w:val="28"/>
          <w:szCs w:val="28"/>
          <w:lang w:val="uk-UA"/>
        </w:rPr>
        <w:t>хоча обидві сторони мають емпіричні докази та логіку, що підтверджують їхні теорії, дебати стосуються дедалі складнішої теми. Глобалізація не призводить до того, що люди стають виключно більш схожими чи більш різними; в</w:t>
      </w:r>
      <w:r>
        <w:rPr>
          <w:rFonts w:ascii="Times New Roman" w:hAnsi="Times New Roman" w:cs="Times New Roman"/>
          <w:sz w:val="28"/>
          <w:szCs w:val="28"/>
          <w:lang w:val="uk-UA"/>
        </w:rPr>
        <w:t xml:space="preserve">она одночасно робить і те, і інше. </w:t>
      </w:r>
      <w:r w:rsidRPr="00E937D5">
        <w:rPr>
          <w:rFonts w:ascii="Times New Roman" w:hAnsi="Times New Roman" w:cs="Times New Roman"/>
          <w:sz w:val="28"/>
          <w:szCs w:val="28"/>
          <w:lang w:val="uk-UA"/>
        </w:rPr>
        <w:t xml:space="preserve">Як це не парадоксально, у той самий час, коли </w:t>
      </w:r>
      <w:proofErr w:type="spellStart"/>
      <w:r w:rsidRPr="00E937D5">
        <w:rPr>
          <w:rFonts w:ascii="Times New Roman" w:hAnsi="Times New Roman" w:cs="Times New Roman"/>
          <w:sz w:val="28"/>
          <w:szCs w:val="28"/>
          <w:lang w:val="uk-UA"/>
        </w:rPr>
        <w:t>транзакційні</w:t>
      </w:r>
      <w:proofErr w:type="spellEnd"/>
      <w:r w:rsidRPr="00E937D5">
        <w:rPr>
          <w:rFonts w:ascii="Times New Roman" w:hAnsi="Times New Roman" w:cs="Times New Roman"/>
          <w:sz w:val="28"/>
          <w:szCs w:val="28"/>
          <w:lang w:val="uk-UA"/>
        </w:rPr>
        <w:t xml:space="preserve"> межі слабшають, зростає усвідомлення кул</w:t>
      </w:r>
      <w:r>
        <w:rPr>
          <w:rFonts w:ascii="Times New Roman" w:hAnsi="Times New Roman" w:cs="Times New Roman"/>
          <w:sz w:val="28"/>
          <w:szCs w:val="28"/>
          <w:lang w:val="uk-UA"/>
        </w:rPr>
        <w:t>ьтурних відмінностей і зростає розповсюдження культурного розмаїття.</w:t>
      </w:r>
      <w:r w:rsidRPr="00E937D5">
        <w:rPr>
          <w:rFonts w:ascii="Times New Roman" w:hAnsi="Times New Roman" w:cs="Times New Roman"/>
          <w:sz w:val="28"/>
          <w:szCs w:val="28"/>
          <w:lang w:val="uk-UA"/>
        </w:rPr>
        <w:t xml:space="preserve"> Отже, глобалізація може стимулювати як диверген</w:t>
      </w:r>
      <w:r>
        <w:rPr>
          <w:rFonts w:ascii="Times New Roman" w:hAnsi="Times New Roman" w:cs="Times New Roman"/>
          <w:sz w:val="28"/>
          <w:szCs w:val="28"/>
          <w:lang w:val="uk-UA"/>
        </w:rPr>
        <w:t xml:space="preserve">тні, так і конвергентні події. </w:t>
      </w:r>
    </w:p>
    <w:p w14:paraId="39AC94A9"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Соціокультурні, політичні та економічні зміни, які є наслідком кількісно нових трансформацій у відносинах між глобалізацією та локальністю, державою та суспільством, суспільством та індивідами впливають на стиль та якість життя, як приватне, так і професійне, включаючи розвиток кар’єри. Сучасні моделі кар’єри, такі як багатогранна кар’єра або безмежна кар’єра, дають змогу </w:t>
      </w:r>
      <w:proofErr w:type="spellStart"/>
      <w:r w:rsidRPr="009722DE">
        <w:rPr>
          <w:rFonts w:ascii="Times New Roman" w:hAnsi="Times New Roman" w:cs="Times New Roman"/>
          <w:color w:val="000000" w:themeColor="text1"/>
          <w:sz w:val="28"/>
          <w:szCs w:val="28"/>
          <w:lang w:val="uk-UA"/>
        </w:rPr>
        <w:t>самореалізуватися</w:t>
      </w:r>
      <w:proofErr w:type="spellEnd"/>
      <w:r w:rsidRPr="009722DE">
        <w:rPr>
          <w:rFonts w:ascii="Times New Roman" w:hAnsi="Times New Roman" w:cs="Times New Roman"/>
          <w:color w:val="000000" w:themeColor="text1"/>
          <w:sz w:val="28"/>
          <w:szCs w:val="28"/>
          <w:lang w:val="uk-UA"/>
        </w:rPr>
        <w:t xml:space="preserve">, особливо талановитим людям, щоб задовольнити свої прагнення. Талановиті працівники сприймаються суспільством сьогодні як джерело конкурентної переваги - вони володіють характеристиками, що визначаються як стратегічно цінні ресурси, зокрема, цінність, рідкість та складність імітації, крім того, важливо, що вони абсолютно точно не мають </w:t>
      </w:r>
      <w:r w:rsidRPr="009722DE">
        <w:rPr>
          <w:rFonts w:ascii="Times New Roman" w:hAnsi="Times New Roman" w:cs="Times New Roman"/>
          <w:color w:val="000000" w:themeColor="text1"/>
          <w:sz w:val="28"/>
          <w:szCs w:val="28"/>
          <w:lang w:val="uk-UA"/>
        </w:rPr>
        <w:lastRenderedPageBreak/>
        <w:t>замінників. Їхній стратегічний характер відображається щодо впливу на продуктивність організації, а втрата талантів є загрозою для її розвитку. Отже, перспектива стратегічного розвитку також може бути застосована для управління талановитими працівниками.</w:t>
      </w:r>
    </w:p>
    <w:p w14:paraId="2CCFE5D9"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Важливо зазначити, що доцільно прийняти трактування поняття кар'єра переважно з точки зору особистості та сприймати більше як індивідуальну складову, яка є протилежною позицією традиційному тлумаченню щодо структурної властивості організації чи професії. Співробітник відіграє ключову роль і несе основну відповідальність за свою кар’єру, її розвиток та прогрес. Увага приділяється діяльності, від якої людина може отримати користь і розвинути свій потенціал у контексті індивідуальних кар’єрних цілей. Кар'єра передбачає переходи між організаціями, а часто і зміну професії (спеціальності) або форми зайнятості. У той же час кар’єрою потрібно управляти в організації, що означає планування та виконання, моніторинг індивідуальних цілей і стратегій, узгодження потреб організацій і працівників. Управління кар'єрою - це формальний процес. В свою чергу, у формуванні кар'єри головну роль відіграє працівник - вирішальними є дії, які він реалізує з урахуванням індивідуальних цілей і цінностей. За допомогою управляння своєю індивідуальною кар’єрою співробітник має змогу управляти організацією, так і собою, тому це питання має ширше значення, ніж кар'єра.</w:t>
      </w:r>
    </w:p>
    <w:p w14:paraId="3EB17020" w14:textId="6248EB8C"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З організаційної точки зору питання управління кар'єрою, як процес управління людськими ресурсами, є операційним. Це означає, що важливість кар’єри для організації спускається на рівень нижче стратегічного. Питання кар’єри та талантів, незважаючи на суперечливі припущення в основних </w:t>
      </w:r>
      <w:proofErr w:type="spellStart"/>
      <w:r w:rsidRPr="009722DE">
        <w:rPr>
          <w:rFonts w:ascii="Times New Roman" w:hAnsi="Times New Roman" w:cs="Times New Roman"/>
          <w:color w:val="000000" w:themeColor="text1"/>
          <w:sz w:val="28"/>
          <w:szCs w:val="28"/>
          <w:lang w:val="uk-UA"/>
        </w:rPr>
        <w:t>стейкхолдерів</w:t>
      </w:r>
      <w:proofErr w:type="spellEnd"/>
      <w:r w:rsidRPr="009722DE">
        <w:rPr>
          <w:rFonts w:ascii="Times New Roman" w:hAnsi="Times New Roman" w:cs="Times New Roman"/>
          <w:color w:val="000000" w:themeColor="text1"/>
          <w:sz w:val="28"/>
          <w:szCs w:val="28"/>
          <w:lang w:val="uk-UA"/>
        </w:rPr>
        <w:t xml:space="preserve">, не є конкурентними, а доповнюють одне одного. Отже, метою теоретичної розробки було виявлення </w:t>
      </w:r>
      <w:proofErr w:type="spellStart"/>
      <w:r w:rsidRPr="009722DE">
        <w:rPr>
          <w:rFonts w:ascii="Times New Roman" w:hAnsi="Times New Roman" w:cs="Times New Roman"/>
          <w:color w:val="000000" w:themeColor="text1"/>
          <w:sz w:val="28"/>
          <w:szCs w:val="28"/>
          <w:lang w:val="uk-UA"/>
        </w:rPr>
        <w:t>взаємодоповнювального</w:t>
      </w:r>
      <w:proofErr w:type="spellEnd"/>
      <w:r w:rsidRPr="009722DE">
        <w:rPr>
          <w:rFonts w:ascii="Times New Roman" w:hAnsi="Times New Roman" w:cs="Times New Roman"/>
          <w:color w:val="000000" w:themeColor="text1"/>
          <w:sz w:val="28"/>
          <w:szCs w:val="28"/>
          <w:lang w:val="uk-UA"/>
        </w:rPr>
        <w:t xml:space="preserve"> характеру проблеми кар’єри та таланту. При наявності подібного завдання доцільним є представлення сутності таланту та виявлення його важливості для організації. Крім того, важливим є приділення уваги характеристикам обраних сучасних моделей кар’єри, що стосуються діяльності талановитих особистостей. Подібні </w:t>
      </w:r>
      <w:r w:rsidRPr="009722DE">
        <w:rPr>
          <w:rFonts w:ascii="Times New Roman" w:hAnsi="Times New Roman" w:cs="Times New Roman"/>
          <w:color w:val="000000" w:themeColor="text1"/>
          <w:sz w:val="28"/>
          <w:szCs w:val="28"/>
          <w:lang w:val="uk-UA"/>
        </w:rPr>
        <w:lastRenderedPageBreak/>
        <w:t>трактування зроблені на основі критичного аналізу вітчизняної та зарубіжної літератури, особливо в галузі наук про управління. Цікавим науковим надбанням стало те, що суттєву питому вагу в процесі дослідження кар’єри були зроблені в літературі з психології [94</w:t>
      </w:r>
      <w:r w:rsidR="00A4269D">
        <w:rPr>
          <w:rFonts w:ascii="Times New Roman" w:hAnsi="Times New Roman" w:cs="Times New Roman"/>
          <w:color w:val="000000" w:themeColor="text1"/>
          <w:sz w:val="28"/>
          <w:szCs w:val="28"/>
          <w:lang w:val="uk-UA"/>
        </w:rPr>
        <w:t>;</w:t>
      </w:r>
      <w:r w:rsidRPr="009722DE">
        <w:rPr>
          <w:rFonts w:ascii="Times New Roman" w:hAnsi="Times New Roman" w:cs="Times New Roman"/>
          <w:color w:val="000000" w:themeColor="text1"/>
          <w:sz w:val="28"/>
          <w:szCs w:val="28"/>
          <w:lang w:val="uk-UA"/>
        </w:rPr>
        <w:t xml:space="preserve"> 95</w:t>
      </w:r>
      <w:r w:rsidR="00A4269D">
        <w:rPr>
          <w:rFonts w:ascii="Times New Roman" w:hAnsi="Times New Roman" w:cs="Times New Roman"/>
          <w:color w:val="000000" w:themeColor="text1"/>
          <w:sz w:val="28"/>
          <w:szCs w:val="28"/>
          <w:lang w:val="uk-UA"/>
        </w:rPr>
        <w:t>;</w:t>
      </w:r>
      <w:r w:rsidRPr="009722DE">
        <w:rPr>
          <w:rFonts w:ascii="Times New Roman" w:hAnsi="Times New Roman" w:cs="Times New Roman"/>
          <w:color w:val="000000" w:themeColor="text1"/>
          <w:sz w:val="28"/>
          <w:szCs w:val="28"/>
          <w:lang w:val="uk-UA"/>
        </w:rPr>
        <w:t xml:space="preserve"> 96]. </w:t>
      </w:r>
    </w:p>
    <w:p w14:paraId="3827619A"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При проведенні теоретичного дослідження потрібно визначити взаємодоповнюючий характер проблеми кар’єри та таланту. Щоб досягти цієї мети, необхідно представити сутність таланту та показати його важливість для успіху організації. Наступна частина була зосереджена на характеристиках обраних сучасних моделей кар’єри, що стосуються діяльності талановитих особистостей. Подібні висновки зроблені шляхом критичного аналізу вітчизняної та зарубіжної літератури, особливо в галузі управлінських наук. Важливим доповненням до проведених досліджень мають стати спостереження, сформульовані в літературі з психології. </w:t>
      </w:r>
    </w:p>
    <w:p w14:paraId="59D832F3"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Цікавим є той факт, що традиційна організаційна форма кар’єри не залишилася в минулому, як вважають деякі дослідники [97]. В умовах сьогодення кар’єра продовжує залишатися засобом досягнення стратегічних намірів організації, особливо під час триваючої та турбулентної «війни талантів». Тимчасові трудові відносини та висока мобільність талановитих людей означають, що для цієї групи працівників організації повинні прагнути будувати довгострокові відносини в результаті управління їхньою кар’єрою всередині організації.</w:t>
      </w:r>
    </w:p>
    <w:p w14:paraId="56278498"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Тому кар’єри, які є індивідуальними та суб’єктивними, слід визначати з урахуванням ситуаційного контексту. Цей підхід підкреслює активну роль у формуванні кар’єри як організацій, так і окремих осіб. У той же час, аналіз кар’єри може зробити цінний внесок у формулювання рекомендацій щодо того, як організація може досягти успіху, використовуючи конкретні кар’єри для талановитих людей.</w:t>
      </w:r>
    </w:p>
    <w:p w14:paraId="45169FC6" w14:textId="52F3BCD3"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Поняття таланту є предметом інтересу протягом тривалого часу, але досі жодне з його визначень не мало успішних результатів. Як властивість, що має відношення до ефективності та людської діяльності, вона становить інтерес у </w:t>
      </w:r>
      <w:r w:rsidRPr="009722DE">
        <w:rPr>
          <w:rFonts w:ascii="Times New Roman" w:hAnsi="Times New Roman" w:cs="Times New Roman"/>
          <w:color w:val="000000" w:themeColor="text1"/>
          <w:sz w:val="28"/>
          <w:szCs w:val="28"/>
          <w:lang w:val="uk-UA"/>
        </w:rPr>
        <w:lastRenderedPageBreak/>
        <w:t xml:space="preserve">всіх сферах людського життя. Талант, який відображає людську діяльність та результати її діяльності, є однією з категорій, які постійно досліджуються в багатьох дисциплінарних науках, включаючи економіку, менеджмент, психологію, філософію та соціологію. Неоднозначність поняття таланту також полягає в тому, що він може розрізняється залежно від організацій або може змінюватися з часом у певній організації. З цієї причини талант </w:t>
      </w:r>
      <w:r w:rsidR="00A4269D">
        <w:rPr>
          <w:rFonts w:ascii="Times New Roman" w:hAnsi="Times New Roman" w:cs="Times New Roman"/>
          <w:sz w:val="28"/>
          <w:szCs w:val="28"/>
          <w:lang w:val="uk-UA"/>
        </w:rPr>
        <w:t>–</w:t>
      </w:r>
      <w:r w:rsidRPr="009722DE">
        <w:rPr>
          <w:rFonts w:ascii="Times New Roman" w:hAnsi="Times New Roman" w:cs="Times New Roman"/>
          <w:color w:val="000000" w:themeColor="text1"/>
          <w:sz w:val="28"/>
          <w:szCs w:val="28"/>
          <w:lang w:val="uk-UA"/>
        </w:rPr>
        <w:t xml:space="preserve"> це розмитий аспект, який важко визначити й виміряти. Фундаментальною основою диференціації розгляду таланту в предметній літературі є сприйняття його як атрибута індивіда чи суб’єкта, в якому ці властивості втілені, що є тотожним об’єктивному та суб’єктивному підходам. Талант стосується, насамперед, окремої людини, але його визначення також має наслідки на рівні організації. В організації його ототожнюють із вражаючими, видатними досягненнями [98], з великим потенціалом для подальшого розвитку [99], і, отже, перевершують очікування поточної організації, і очікується, що вони будуть такими й у майбутньому [100].</w:t>
      </w:r>
    </w:p>
    <w:p w14:paraId="0FFC3FA1" w14:textId="65705A3E"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Наводячи думку української дослідниці </w:t>
      </w:r>
      <w:r w:rsidR="00A4269D">
        <w:rPr>
          <w:rFonts w:ascii="Times New Roman" w:hAnsi="Times New Roman" w:cs="Times New Roman"/>
          <w:color w:val="000000" w:themeColor="text1"/>
          <w:sz w:val="28"/>
          <w:szCs w:val="28"/>
          <w:lang w:val="uk-UA"/>
        </w:rPr>
        <w:t xml:space="preserve">О. Є. </w:t>
      </w:r>
      <w:r w:rsidRPr="009722DE">
        <w:rPr>
          <w:rFonts w:ascii="Times New Roman" w:hAnsi="Times New Roman" w:cs="Times New Roman"/>
          <w:color w:val="000000" w:themeColor="text1"/>
          <w:sz w:val="28"/>
          <w:szCs w:val="28"/>
          <w:lang w:val="uk-UA"/>
        </w:rPr>
        <w:t>Антонової, можна стверджувати, що талановиті працівники характеризуються:</w:t>
      </w:r>
    </w:p>
    <w:p w14:paraId="5B21CF04"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спрямованістю до реалізації внутрішньої мети, яка залишається незмінною протягом тривалого часу;</w:t>
      </w:r>
    </w:p>
    <w:p w14:paraId="3B0FA9E4"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сильною внутрішньою мотивацією;</w:t>
      </w:r>
    </w:p>
    <w:p w14:paraId="62F556B5"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місцем внутрішнього контролю;</w:t>
      </w:r>
    </w:p>
    <w:p w14:paraId="790C5782" w14:textId="7BDE2028"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 інтересом до можливостей розвитку, самореалізації на роботі, меншою мірою </w:t>
      </w:r>
      <w:r w:rsidR="00A4269D">
        <w:rPr>
          <w:rFonts w:ascii="Times New Roman" w:hAnsi="Times New Roman" w:cs="Times New Roman"/>
          <w:sz w:val="28"/>
          <w:szCs w:val="28"/>
          <w:lang w:val="uk-UA"/>
        </w:rPr>
        <w:t>–</w:t>
      </w:r>
      <w:r w:rsidRPr="009722DE">
        <w:rPr>
          <w:rFonts w:ascii="Times New Roman" w:hAnsi="Times New Roman" w:cs="Times New Roman"/>
          <w:color w:val="000000" w:themeColor="text1"/>
          <w:sz w:val="28"/>
          <w:szCs w:val="28"/>
          <w:lang w:val="uk-UA"/>
        </w:rPr>
        <w:t xml:space="preserve"> зовнішнім підкріпленням (це важливо в рамках стандартів щодо досконалості, досвіду та знання особистих інтересів) [101].</w:t>
      </w:r>
    </w:p>
    <w:p w14:paraId="69861CCC" w14:textId="5887A4AA"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Представлені атрибути стосуються талановитого працівника як зразка, що означає, що вони представляють найвищу ідеальну позицію. Талановита особистість </w:t>
      </w:r>
      <w:r w:rsidR="00A4269D">
        <w:rPr>
          <w:rFonts w:ascii="Times New Roman" w:hAnsi="Times New Roman" w:cs="Times New Roman"/>
          <w:sz w:val="28"/>
          <w:szCs w:val="28"/>
          <w:lang w:val="uk-UA"/>
        </w:rPr>
        <w:t>–</w:t>
      </w:r>
      <w:r w:rsidRPr="009722DE">
        <w:rPr>
          <w:rFonts w:ascii="Times New Roman" w:hAnsi="Times New Roman" w:cs="Times New Roman"/>
          <w:color w:val="000000" w:themeColor="text1"/>
          <w:sz w:val="28"/>
          <w:szCs w:val="28"/>
          <w:lang w:val="uk-UA"/>
        </w:rPr>
        <w:t xml:space="preserve"> це особистість, яка не обов’язково представляє найвищий рівень цих якостей, але </w:t>
      </w:r>
      <w:r w:rsidR="00A4269D">
        <w:rPr>
          <w:rFonts w:ascii="Times New Roman" w:hAnsi="Times New Roman" w:cs="Times New Roman"/>
          <w:sz w:val="28"/>
          <w:szCs w:val="28"/>
          <w:lang w:val="uk-UA"/>
        </w:rPr>
        <w:t>–</w:t>
      </w:r>
      <w:r w:rsidRPr="009722DE">
        <w:rPr>
          <w:rFonts w:ascii="Times New Roman" w:hAnsi="Times New Roman" w:cs="Times New Roman"/>
          <w:color w:val="000000" w:themeColor="text1"/>
          <w:sz w:val="28"/>
          <w:szCs w:val="28"/>
          <w:lang w:val="uk-UA"/>
        </w:rPr>
        <w:t xml:space="preserve"> якщо інтерпретувати її в контексті критеріїв ідентифікації таланту </w:t>
      </w:r>
      <w:r w:rsidR="00A4269D">
        <w:rPr>
          <w:rFonts w:ascii="Times New Roman" w:hAnsi="Times New Roman" w:cs="Times New Roman"/>
          <w:sz w:val="28"/>
          <w:szCs w:val="28"/>
          <w:lang w:val="uk-UA"/>
        </w:rPr>
        <w:t>–</w:t>
      </w:r>
      <w:r w:rsidRPr="009722DE">
        <w:rPr>
          <w:rFonts w:ascii="Times New Roman" w:hAnsi="Times New Roman" w:cs="Times New Roman"/>
          <w:color w:val="000000" w:themeColor="text1"/>
          <w:sz w:val="28"/>
          <w:szCs w:val="28"/>
          <w:lang w:val="uk-UA"/>
        </w:rPr>
        <w:t xml:space="preserve"> краще відповідає очікуванням. Наведене тлумачення показує, що, з огляду на організаційний аспект, талант корисний для організації. У цьому </w:t>
      </w:r>
      <w:r w:rsidRPr="009722DE">
        <w:rPr>
          <w:rFonts w:ascii="Times New Roman" w:hAnsi="Times New Roman" w:cs="Times New Roman"/>
          <w:color w:val="000000" w:themeColor="text1"/>
          <w:sz w:val="28"/>
          <w:szCs w:val="28"/>
          <w:lang w:val="uk-UA"/>
        </w:rPr>
        <w:lastRenderedPageBreak/>
        <w:t>контексті таланти, які є невідповідними або непотрібними, не беруться до уваги. Критичні та відмінні таланти мають фундаментальне значення [102].</w:t>
      </w:r>
    </w:p>
    <w:p w14:paraId="590BA0A4"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Наведені вище визначення показують, що таланти мають відмінні характеристики, які визначають видатні результати. Як талановиті та творчі особистості, вони демонструють більшу внутрішню мотивацію, ніж інші, що робить їх більш стійкими до труднощів і більш схильними долати складні ситуації. Вони більш старанні і наполегливі, займаються улюбленою сферою і приділяють їй багато часу. Для них характерна допитливість і прагнення до особистого розвитку [103]. Ці якості сприяють позитивним результатам діяльності особистості на підприємстві. Спрямованість на рефлексію, усвідомлення власних можливостей, відчуття внутрішньої дистанції (до себе та активної діяльності) забезпечують ефективність дії. Адекватна та висока самооцінка дозволяє ставити амбітні завдання (виклики є мотиваційними факторами для талановитих особистостей) і задовільно їх виконувати. Успіхи ведуть до високої та позитивної самооцінки, яка зміцнює наполегливість щодо досягнення мети. Талановиті особистості також стійкі до стресу, що робить їх здатними виконувати завдання в складних ситуаціях [104]. Представлений профіль талантів показує, що неможливо переоцінити його значення в організації. Зокрема, він характеризується великою працездатністю у виконанні трудових функцій. Крім того, профіль висвітлює досягнення організаційних цілей і сприяє протистоянню конкурентному тиску [105].</w:t>
      </w:r>
    </w:p>
    <w:p w14:paraId="2E1E87F3"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Ефективність і тактильний аспект діяльності талановитого працівника відрізняє його від інших співробітників. Талановиті особистості мають значний вплив на функціонування організації, її нинішню та перспективну діяльність. Втрата або відсутність таланту становить серйозну загрозу для кількісних і якісних недоліків людського капіталу, значно сповільнюючи розвиток організації [106]. За словами сучасних науковців, ринок талантів є таким же важливим для успіху організації, як фінанси чи маркетинг [107]. У той же час слід мати на увазі, що талант незалежний від організації і залишається в її розпорядженні лише тимчасово. Отже, щоб отримати користь від роботи </w:t>
      </w:r>
      <w:r w:rsidRPr="009722DE">
        <w:rPr>
          <w:rFonts w:ascii="Times New Roman" w:hAnsi="Times New Roman" w:cs="Times New Roman"/>
          <w:color w:val="000000" w:themeColor="text1"/>
          <w:sz w:val="28"/>
          <w:szCs w:val="28"/>
          <w:lang w:val="uk-UA"/>
        </w:rPr>
        <w:lastRenderedPageBreak/>
        <w:t xml:space="preserve">талановитих людей, організація повинна створити умови для використання їхніх талантів і розвитку. Талантом можна управляти та використовувати для його подальшого розвитку. Це означає, що можна підвищити цінність таланту та вплинути на його активність у бажаному напрямі, і це може статися лише за умови бажання співробітників залишитися в організації [108]. Пріоритет має бути наданий створенню робочого середовища, що сприятиме їх високому залученню, оскільки здібності виникають у сприятливих умовах, коли виникає потреба [109]. Щоб задовольнити індивідуальні потреби та очікування талановитих людей, важливо створити можливості для продовження кар’єри в організації, що також допоможе призупинити їхній відтік з організації. </w:t>
      </w:r>
    </w:p>
    <w:p w14:paraId="64523CFB"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Сучасні моделі кар’єри значно відрізняються від традиційної кар’єрної характеристики організацій, що працюють у відносно стабільних умовах [110], де хід кар’єри був відносно передбачуваним [111]. Головним фактором успіху стало просування, яке реалізувалося переважно у вертикальних структурах. Якщо побудова кар'єри була реалізована в кількох організаціях (одна, дві), тоді можна засвідчити, що організація відповідала за управління нею [112].</w:t>
      </w:r>
    </w:p>
    <w:p w14:paraId="41FA62DE"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Сучасна кар’єра, через зміни у трудових відносинах – між індивідом та організацією, сприймається більше як реалізація надбання особистості [113]. Подібне поняття трактується особистісно, об'єктивно, стосується конкретної людини. Крім того, це не обмежується вертикальними просуваннями по службі або гучними професіями. Трактування трудових відносин подібним чином зосереджується на досвіді зайнятості в широкому тлумаченні, включаючи дозвілля, що пов’язане із зайнятістю [114]. Кар’єрні шляхи створюються в часі, у просторі, який людина визнає корисним. Крім того, напрямок кар'єри та інтерпретація успіху мають індивідуальний вимір.</w:t>
      </w:r>
    </w:p>
    <w:p w14:paraId="3DAFB7E3"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Це спостереження особливо актуальне для талановитих людей, які усвідомлюють свої сильні сторони та готові залишити організацію, якщо вони не можуть дозволити собі можливість досягти своїх особистих цілей і прагнень. У представленому контексті підкреслюється важливість безмежної кар’єри та </w:t>
      </w:r>
      <w:r w:rsidRPr="009722DE">
        <w:rPr>
          <w:rFonts w:ascii="Times New Roman" w:hAnsi="Times New Roman" w:cs="Times New Roman"/>
          <w:color w:val="000000" w:themeColor="text1"/>
          <w:sz w:val="28"/>
          <w:szCs w:val="28"/>
          <w:lang w:val="uk-UA"/>
        </w:rPr>
        <w:lastRenderedPageBreak/>
        <w:t>багатогранної кар’єри. Ці моделі представляють додаткову перспективу для вивчення розвитку сучасної кар’єри.</w:t>
      </w:r>
    </w:p>
    <w:p w14:paraId="192E661F"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Багатогранна кар’єра визначається як така, якою керує людина та яка базується на індивідуально визначених цілях, охоплює весь життєвий простір, керується психологічним успіхом, а не цілями, такими як винагорода чи авторитет [115]. Її визначають часті зміни, власний розвиток і самостійна робота [116]. Багатогранна кар’єра відображає свободу, її </w:t>
      </w:r>
      <w:proofErr w:type="spellStart"/>
      <w:r w:rsidRPr="009722DE">
        <w:rPr>
          <w:rFonts w:ascii="Times New Roman" w:hAnsi="Times New Roman" w:cs="Times New Roman"/>
          <w:color w:val="000000" w:themeColor="text1"/>
          <w:sz w:val="28"/>
          <w:szCs w:val="28"/>
          <w:lang w:val="uk-UA"/>
        </w:rPr>
        <w:t>самоспрямування</w:t>
      </w:r>
      <w:proofErr w:type="spellEnd"/>
      <w:r w:rsidRPr="009722DE">
        <w:rPr>
          <w:rFonts w:ascii="Times New Roman" w:hAnsi="Times New Roman" w:cs="Times New Roman"/>
          <w:color w:val="000000" w:themeColor="text1"/>
          <w:sz w:val="28"/>
          <w:szCs w:val="28"/>
          <w:lang w:val="uk-UA"/>
        </w:rPr>
        <w:t xml:space="preserve"> та вибір, заснований на особистих цінностях [117]. Ця модель забезпечує свободу і незалежність дій і різноманітність досвіду, що є основою для подальшого професійного розвитку. Підкреслюється важливість потенціалу працівника, актуального для побудови його успішної кар'єри, що особливо важливо для талановитих особистостей. У зв’язку зі збільшенням проникливості кордонів організації зростає також важливість обмеження, меншого за межі, яке характеризується тим, що кар’єра не пов’язаний з однією організацією, нецікава побудова її послідовності, у невеликому проміжку часу вона відзначається вертикальною координацією та стабільністю [117]. </w:t>
      </w:r>
    </w:p>
    <w:p w14:paraId="241060E5"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Працівники безмежної кар’єри мають більшу незалежність від роботодавця, ніж при традиційній кар’єрі. Ця модель підходить для талановитих особистостей, для яких знайти роботу в іншого роботодавця не проблематично через їхню високу цінність на ринку праці та водночас високу мобільність. Навпаки, безмежна кар'єра породжує багато можливостей для професійного розвитку, але, з іншого боку, це пов'язано з негативними наслідками, включаючи втрату цінних для організацій ресурсів. Тому організації повинні забезпечувати умови для побудови та розвитку кар’єри у своїх структурах, щоб запобігти відходу талантів. Це означає, що у випадку з талановитими особистостями увага має бути зосереджена на питаннях, характерних для багатогранної кар’єри. З іншого боку, питання, які розглядаються в контексті безмежної, мають бути актуальними для організації та формувати її шляхом створення умов для внутрішньої мобільності. Такий підхід допоможе задовольнити потреби </w:t>
      </w:r>
      <w:r w:rsidRPr="009722DE">
        <w:rPr>
          <w:rFonts w:ascii="Times New Roman" w:hAnsi="Times New Roman" w:cs="Times New Roman"/>
          <w:color w:val="000000" w:themeColor="text1"/>
          <w:sz w:val="28"/>
          <w:szCs w:val="28"/>
          <w:lang w:val="uk-UA"/>
        </w:rPr>
        <w:lastRenderedPageBreak/>
        <w:t>талановитих людей, а формування їх кар’єри сприятиме стратегічним напрямам розвитку організації.</w:t>
      </w:r>
    </w:p>
    <w:p w14:paraId="2361FC6C"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Розглянуті міркування показують, що питання таланту та кар’єри базуються на протилежних припущеннях – кар’єра сприймається в першу чергу з точки зору постановки цілей і відповідальності, і велика роль приписується мобільності співробітників між організаціями. Підкреслюється важливість особистісного потенціалу людини в її подальшому розвитку. Тлумачення кар’єри не стосується лише трудового життя. На противагу питанню таланту, який характеризується особливим чином по відношенню до його діяльності в організаційному аспекті, беручи до уваги досягнуті результати. Прийняття цього підходу означає зосередження на управлінні талантами зі стратегічної точки зору.</w:t>
      </w:r>
    </w:p>
    <w:p w14:paraId="011D7CCD"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Обидві проблеми, незважаючи на протиріччя в основних сферах інтересів, доповнюють одна одну. Управління кар'єрою талановитих працівників має сприяти досягненню стратегічних цілей організації. Характеристики талановитої людини (особливо прагнення до особистого розвитку) та її вчинки показують, що вона відіграє значну роль у формуванні своїх кар’єрних, особистих та організаційних досягнень. Кар’єра визначається з урахуванням ситуаційного контексту, який впливає на адаптацію і соціальне та емоційне функціонування особи (позитивну чи негативну), що відображається на рівні досягнень [118].</w:t>
      </w:r>
    </w:p>
    <w:p w14:paraId="63497579"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У той же час в організаціях з високою часткою талантів питання високої плинності є ключовим. Це означає необхідність посилення організаційної прихильності талановитих людей, щоб запобігти їх переходу до іншої організації та використати їхній потенціал. Отже, формування кар’єри талановитих працівників має бути стратегічним. Водночас, через їх специфіку, необхідно сприймати кар’єру як єдине ціле, що вимагає виконання вимог талановитих особистостей – пов’язаних із саморозвитком, самореалізацією та міжособистісним розвитком. Організація, в свою чергу, також повинна нести відповідальність за кар'єру талановитого працівника. З цією метою доцільно було б розглянути для організацій наступні акції [119]:</w:t>
      </w:r>
    </w:p>
    <w:p w14:paraId="142C9B39"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lastRenderedPageBreak/>
        <w:t xml:space="preserve">- надбавка на </w:t>
      </w:r>
      <w:proofErr w:type="spellStart"/>
      <w:r w:rsidRPr="009722DE">
        <w:rPr>
          <w:rFonts w:ascii="Times New Roman" w:hAnsi="Times New Roman" w:cs="Times New Roman"/>
          <w:color w:val="000000" w:themeColor="text1"/>
          <w:sz w:val="28"/>
          <w:szCs w:val="28"/>
          <w:lang w:val="uk-UA"/>
        </w:rPr>
        <w:t>внутрішньоорганізаційні</w:t>
      </w:r>
      <w:proofErr w:type="spellEnd"/>
      <w:r w:rsidRPr="009722DE">
        <w:rPr>
          <w:rFonts w:ascii="Times New Roman" w:hAnsi="Times New Roman" w:cs="Times New Roman"/>
          <w:color w:val="000000" w:themeColor="text1"/>
          <w:sz w:val="28"/>
          <w:szCs w:val="28"/>
          <w:lang w:val="uk-UA"/>
        </w:rPr>
        <w:t xml:space="preserve"> переміщення;</w:t>
      </w:r>
    </w:p>
    <w:p w14:paraId="0E4B86BE"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 пропозиція різноманітних методів управління кар’єрою (таких як планування заміщення, </w:t>
      </w:r>
      <w:proofErr w:type="spellStart"/>
      <w:r w:rsidRPr="009722DE">
        <w:rPr>
          <w:rFonts w:ascii="Times New Roman" w:hAnsi="Times New Roman" w:cs="Times New Roman"/>
          <w:color w:val="000000" w:themeColor="text1"/>
          <w:sz w:val="28"/>
          <w:szCs w:val="28"/>
          <w:lang w:val="uk-UA"/>
        </w:rPr>
        <w:t>коучинг</w:t>
      </w:r>
      <w:proofErr w:type="spellEnd"/>
      <w:r w:rsidRPr="009722DE">
        <w:rPr>
          <w:rFonts w:ascii="Times New Roman" w:hAnsi="Times New Roman" w:cs="Times New Roman"/>
          <w:color w:val="000000" w:themeColor="text1"/>
          <w:sz w:val="28"/>
          <w:szCs w:val="28"/>
          <w:lang w:val="uk-UA"/>
        </w:rPr>
        <w:t>, наставництво, ротація, індивідуальні плани розвитку, інформація про розвиток кар’єри тощо);</w:t>
      </w:r>
    </w:p>
    <w:p w14:paraId="027CE0DF"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орієнтація на індивідуальні досягнення та індивідуальну відповідальність.</w:t>
      </w:r>
    </w:p>
    <w:p w14:paraId="0BCB872F"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Рішення, розроблені в галузі управління кар'єрою, в тому числі традиційні, можуть бути застосовані до управління талантами. Особливого значення подібний підхід набув в теорії лідерства щодо планування, заміщення та розвитку лідерства [120]. Крім того, спостереження, пов’язані з кар’єрою, зокрема щодо суб’єктивного успіху в кар’єрі чи кар’єрної орієнтації, або окремих проблем, можуть зробити цінний внесок у формулювання рекомендацій щодо того, як організація може досягти успіху, використовуючи конкретні методи управління кар’єрою для талановитих людей.</w:t>
      </w:r>
    </w:p>
    <w:p w14:paraId="1A0DC416"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Представлені рішення також створюють сприятливі умови для залучення талантів, що дозволяє їм бути тісніше пов’язаними з організацією. Активність, ризик, трансгресія та креативність сприяють їхньому активному залученню [121]. Крім того, це сприяє індивідуальній самореалізації та задоволенню [12</w:t>
      </w:r>
      <w:r w:rsidRPr="005D1B01">
        <w:rPr>
          <w:rFonts w:ascii="Times New Roman" w:hAnsi="Times New Roman" w:cs="Times New Roman"/>
          <w:color w:val="000000" w:themeColor="text1"/>
          <w:sz w:val="28"/>
          <w:szCs w:val="28"/>
          <w:lang w:val="uk-UA"/>
        </w:rPr>
        <w:t>2</w:t>
      </w:r>
      <w:r w:rsidRPr="009722DE">
        <w:rPr>
          <w:rFonts w:ascii="Times New Roman" w:hAnsi="Times New Roman" w:cs="Times New Roman"/>
          <w:color w:val="000000" w:themeColor="text1"/>
          <w:sz w:val="28"/>
          <w:szCs w:val="28"/>
          <w:lang w:val="uk-UA"/>
        </w:rPr>
        <w:t>]. Деградація талановитої особистості до ролі продуктивного фактору, тобто пропонування свого внеску в роботу, без можливості її розвитку, самореалізації, призводить до незадоволеності, фрустрації, інтелектуальної бездіяльності, тим самим позбавляє організацію переваг, вільного мислення та творчих дій.</w:t>
      </w:r>
    </w:p>
    <w:p w14:paraId="1D283855"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Таким чином, сучасний підхід підкреслює активну роль у формуванні кар’єри як організацій, так і окремих осіб. Кар'єра продовжує залишатися засобом досягнення стратегічних цілей організації, особливо під час триваючої «війни талантів». У багатьох випадках кар’єра визначається організаційним контекстом, який є предметом організаційного занепокоєння. Це означає, що питання літератури, управління кар’єрою та управління талантами доповнюють одне одного.</w:t>
      </w:r>
    </w:p>
    <w:p w14:paraId="2B05CFE3" w14:textId="5AEBDB9A"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lastRenderedPageBreak/>
        <w:t>Незважаючи на більш ніж десятиліття дебатів і галасу про управління талантами як про важливу проблему людського капіталу [123], емпіричних досліджень було вкрай мало [124</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125]. Публікації часто відходять від чітко нормативної позиції </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зазвичай перелічують набір найкращих практик, запропонованих експертами з менеджменту або навіть «гуру» [126</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127]. Останні досягнення в цій галузі здебільшого зосереджені на глобальному управлінні талантами , значною мірою запозичуючи літературу з міжнародного управління людськими ресурсами [125</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128</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129</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130].</w:t>
      </w:r>
    </w:p>
    <w:p w14:paraId="1904FFBC"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Хоча на управління талантами зазвичай дивляться через призму HR [131], інші напрями в академічній літературі також можуть надати корисну інформацію. Література про кар’єру, зокрема, охоплює великий обсяг досліджень на індивідуальному та організаційному рівнях щодо кар’єри, яка реалізується як у системі управління кар’єрою організації, так і поза нею [132]. Порівнюючи літературу про кар’єру разом із літературою про управління талантами, можна виявити деякі суперечливі припущення: у той час як більшість авторів наукової літератури про кар’єру вважають, що традиційна організаційна кар’єра «мертва», література про управління талантами концентрує увагу на необхідності подальших досліджень з цих питань (наприклад, планування заміщення, ініціативи щодо утримання).</w:t>
      </w:r>
    </w:p>
    <w:p w14:paraId="6FD39D55" w14:textId="5C88738B"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Ґрунтуючись на інтегральному огляді обох потоків літератури, ми стверджуватимемо, що більшого значення організації надають безперервності </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залежно, принаймні частково, від складу їхнього людського капіталу з точки зору частки </w:t>
      </w:r>
      <w:proofErr w:type="spellStart"/>
      <w:r w:rsidRPr="00E2067D">
        <w:rPr>
          <w:rFonts w:ascii="Times New Roman" w:hAnsi="Times New Roman" w:cs="Times New Roman"/>
          <w:sz w:val="28"/>
          <w:szCs w:val="28"/>
          <w:lang w:val="uk-UA"/>
        </w:rPr>
        <w:t>високоцінних</w:t>
      </w:r>
      <w:proofErr w:type="spellEnd"/>
      <w:r w:rsidRPr="00E2067D">
        <w:rPr>
          <w:rFonts w:ascii="Times New Roman" w:hAnsi="Times New Roman" w:cs="Times New Roman"/>
          <w:sz w:val="28"/>
          <w:szCs w:val="28"/>
          <w:lang w:val="uk-UA"/>
        </w:rPr>
        <w:t xml:space="preserve">, унікальних працівників </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тим більше, що вони будуть дотримуватись традиційних моделей управління кар'єрою.</w:t>
      </w:r>
    </w:p>
    <w:p w14:paraId="6EAE0AAF" w14:textId="2AC33EEF"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Хоча в літературі можна знайти багато статей, які свідчать про важливість управління талантами [133</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134], лише кілька з них уточнюють, що саме автори мають на увазі під талантом [135]. Цікаві теоретичні основи можна знайти в літературі про обдарованість [136] і сильні сторони [137]. Проте, серед іншого, наступний крок нашого дослідження спрямований в більшій мірі на вивчення управління талантами в організації, ніж на індивідуальному рівні, тому </w:t>
      </w:r>
      <w:r w:rsidRPr="00E2067D">
        <w:rPr>
          <w:rFonts w:ascii="Times New Roman" w:hAnsi="Times New Roman" w:cs="Times New Roman"/>
          <w:sz w:val="28"/>
          <w:szCs w:val="28"/>
          <w:lang w:val="uk-UA"/>
        </w:rPr>
        <w:lastRenderedPageBreak/>
        <w:t xml:space="preserve">доцільним буде спиратися на модель архітектури кадрів </w:t>
      </w:r>
      <w:proofErr w:type="spellStart"/>
      <w:r w:rsidRPr="00E2067D">
        <w:rPr>
          <w:rFonts w:ascii="Times New Roman" w:hAnsi="Times New Roman" w:cs="Times New Roman"/>
          <w:sz w:val="28"/>
          <w:szCs w:val="28"/>
          <w:lang w:val="uk-UA"/>
        </w:rPr>
        <w:t>Лепака</w:t>
      </w:r>
      <w:proofErr w:type="spellEnd"/>
      <w:r w:rsidRPr="00E2067D">
        <w:rPr>
          <w:rFonts w:ascii="Times New Roman" w:hAnsi="Times New Roman" w:cs="Times New Roman"/>
          <w:sz w:val="28"/>
          <w:szCs w:val="28"/>
          <w:lang w:val="uk-UA"/>
        </w:rPr>
        <w:t xml:space="preserve"> та </w:t>
      </w:r>
      <w:proofErr w:type="spellStart"/>
      <w:r w:rsidRPr="00E2067D">
        <w:rPr>
          <w:rFonts w:ascii="Times New Roman" w:hAnsi="Times New Roman" w:cs="Times New Roman"/>
          <w:sz w:val="28"/>
          <w:szCs w:val="28"/>
          <w:lang w:val="uk-UA"/>
        </w:rPr>
        <w:t>Снелла</w:t>
      </w:r>
      <w:proofErr w:type="spellEnd"/>
      <w:r w:rsidRPr="00E2067D">
        <w:rPr>
          <w:rFonts w:ascii="Times New Roman" w:hAnsi="Times New Roman" w:cs="Times New Roman"/>
          <w:sz w:val="28"/>
          <w:szCs w:val="28"/>
          <w:lang w:val="uk-UA"/>
        </w:rPr>
        <w:t xml:space="preserve"> [138].</w:t>
      </w:r>
      <w:r w:rsidR="00A4269D">
        <w:rPr>
          <w:rFonts w:ascii="Times New Roman" w:hAnsi="Times New Roman" w:cs="Times New Roman"/>
          <w:sz w:val="28"/>
          <w:szCs w:val="28"/>
          <w:lang w:val="uk-UA"/>
        </w:rPr>
        <w:t xml:space="preserve"> Останні </w:t>
      </w:r>
      <w:r w:rsidRPr="00E2067D">
        <w:rPr>
          <w:rFonts w:ascii="Times New Roman" w:hAnsi="Times New Roman" w:cs="Times New Roman"/>
          <w:sz w:val="28"/>
          <w:szCs w:val="28"/>
          <w:lang w:val="uk-UA"/>
        </w:rPr>
        <w:t xml:space="preserve">стверджують, що людський капітал будь-якої певної організації можна класифікувати за двома вимірами, тобто за цінністю та унікальністю. Цінність стосується потенціалу наявного людського капіталу для сприяння основній компетенції організації та посиленню її конкурентних переваг. Таким чином, як було зазначено вище, </w:t>
      </w:r>
      <w:proofErr w:type="spellStart"/>
      <w:r w:rsidRPr="00E2067D">
        <w:rPr>
          <w:rFonts w:ascii="Times New Roman" w:hAnsi="Times New Roman" w:cs="Times New Roman"/>
          <w:sz w:val="28"/>
          <w:szCs w:val="28"/>
          <w:lang w:val="uk-UA"/>
        </w:rPr>
        <w:t>високоцінний</w:t>
      </w:r>
      <w:proofErr w:type="spellEnd"/>
      <w:r w:rsidRPr="00E2067D">
        <w:rPr>
          <w:rFonts w:ascii="Times New Roman" w:hAnsi="Times New Roman" w:cs="Times New Roman"/>
          <w:sz w:val="28"/>
          <w:szCs w:val="28"/>
          <w:lang w:val="uk-UA"/>
        </w:rPr>
        <w:t xml:space="preserve"> людський капітал відноситься до активів, які є ключовими для основного бізнесу організації, тоді як </w:t>
      </w:r>
      <w:proofErr w:type="spellStart"/>
      <w:r w:rsidRPr="00E2067D">
        <w:rPr>
          <w:rFonts w:ascii="Times New Roman" w:hAnsi="Times New Roman" w:cs="Times New Roman"/>
          <w:sz w:val="28"/>
          <w:szCs w:val="28"/>
          <w:lang w:val="uk-UA"/>
        </w:rPr>
        <w:t>низькоцінний</w:t>
      </w:r>
      <w:proofErr w:type="spellEnd"/>
      <w:r w:rsidRPr="00E2067D">
        <w:rPr>
          <w:rFonts w:ascii="Times New Roman" w:hAnsi="Times New Roman" w:cs="Times New Roman"/>
          <w:sz w:val="28"/>
          <w:szCs w:val="28"/>
          <w:lang w:val="uk-UA"/>
        </w:rPr>
        <w:t xml:space="preserve"> людський капітал, зазвичай, відноситься до, так званих, «периферійних» активів. Унікальність стосується ступеня, до якого людський капітал організації буде важко замінити (висока унікальність), на відміну від того, що він легко доступний на ринку праці та може бути легко скопійований конкурентами (низька унікальність). Базуючись на концептуальних вимірах цінності та унікальності, </w:t>
      </w:r>
      <w:proofErr w:type="spellStart"/>
      <w:r w:rsidRPr="00E2067D">
        <w:rPr>
          <w:rFonts w:ascii="Times New Roman" w:hAnsi="Times New Roman" w:cs="Times New Roman"/>
          <w:sz w:val="28"/>
          <w:szCs w:val="28"/>
          <w:lang w:val="uk-UA"/>
        </w:rPr>
        <w:t>Лепак</w:t>
      </w:r>
      <w:proofErr w:type="spellEnd"/>
      <w:r w:rsidRPr="00E2067D">
        <w:rPr>
          <w:rFonts w:ascii="Times New Roman" w:hAnsi="Times New Roman" w:cs="Times New Roman"/>
          <w:sz w:val="28"/>
          <w:szCs w:val="28"/>
          <w:lang w:val="uk-UA"/>
        </w:rPr>
        <w:t xml:space="preserve"> і </w:t>
      </w:r>
      <w:proofErr w:type="spellStart"/>
      <w:r w:rsidRPr="00E2067D">
        <w:rPr>
          <w:rFonts w:ascii="Times New Roman" w:hAnsi="Times New Roman" w:cs="Times New Roman"/>
          <w:sz w:val="28"/>
          <w:szCs w:val="28"/>
          <w:lang w:val="uk-UA"/>
        </w:rPr>
        <w:t>Снелл</w:t>
      </w:r>
      <w:proofErr w:type="spellEnd"/>
      <w:r w:rsidRPr="00E2067D">
        <w:rPr>
          <w:rFonts w:ascii="Times New Roman" w:hAnsi="Times New Roman" w:cs="Times New Roman"/>
          <w:sz w:val="28"/>
          <w:szCs w:val="28"/>
          <w:lang w:val="uk-UA"/>
        </w:rPr>
        <w:t xml:space="preserve"> [138] розрізняють чотири квадранти людського капіталу, кожен з яких має різні характеристики та несе різні наслідки для кадрів. У верхньому правому куті моделі (квадрант I) можна розташувати людський капітал, який є цінним і унікальним. Рекомендований спосіб працевлаштування для працівників, які потрапляють у цей квадрант, </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це внутрішній розвиток, оскільки надзвичайно унікальні навички непросто «купити» на загальному ринку праці. Таким чином, відповідні трудові відносини орієнтовані на організацію. Відносини обміну, орієнтовані на організацію, заохочують значні взаємні інвестиції як з боку роботодавців, так і з боку працівників для досягнення довгострокової конкурентної переваги. Щоб підтримувати або створювати такі трудові відносини, організації, швидше за все, покладатимуться на стратегію управління персоналом, що базується на безперервності, яка заохочує залучення працівників і оптимізує віддачу від інвестицій у людський капітал. Наприклад, вони могли б спонсорувати програми розвитку кар’єри та наставництва, спрямовані саме на розвиток організаційно-специфічних знань у їхніх </w:t>
      </w:r>
      <w:proofErr w:type="spellStart"/>
      <w:r w:rsidRPr="00E2067D">
        <w:rPr>
          <w:rFonts w:ascii="Times New Roman" w:hAnsi="Times New Roman" w:cs="Times New Roman"/>
          <w:sz w:val="28"/>
          <w:szCs w:val="28"/>
          <w:lang w:val="uk-UA"/>
        </w:rPr>
        <w:t>високоцінних</w:t>
      </w:r>
      <w:proofErr w:type="spellEnd"/>
      <w:r w:rsidRPr="00E2067D">
        <w:rPr>
          <w:rFonts w:ascii="Times New Roman" w:hAnsi="Times New Roman" w:cs="Times New Roman"/>
          <w:sz w:val="28"/>
          <w:szCs w:val="28"/>
          <w:lang w:val="uk-UA"/>
        </w:rPr>
        <w:t xml:space="preserve"> та унікальних співробітників (тобто знань, які є набагато ціннішими в їх конкретному контексті, ніж для конкурентів) [138].</w:t>
      </w:r>
    </w:p>
    <w:p w14:paraId="25DCD928" w14:textId="2E138796"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lastRenderedPageBreak/>
        <w:t xml:space="preserve">В цьому контексті доцільно навести власне бачення, що є «талант», принаймні з організаційно-стратегічної точки зору, що стосується людського капіталу в організації, який є водночас цінним і унікальним. Інші три квадранти з меншою ймовірністю будуть обрані для конкретних організаційних програм управління кар’єрою. «Внутрішні партнери» (квадрант II) </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це працівники з цінними навичками, але вони є широко доступними на ринку праці (тобто </w:t>
      </w:r>
      <w:proofErr w:type="spellStart"/>
      <w:r w:rsidRPr="00E2067D">
        <w:rPr>
          <w:rFonts w:ascii="Times New Roman" w:hAnsi="Times New Roman" w:cs="Times New Roman"/>
          <w:sz w:val="28"/>
          <w:szCs w:val="28"/>
          <w:lang w:val="uk-UA"/>
        </w:rPr>
        <w:t>високоцінні</w:t>
      </w:r>
      <w:proofErr w:type="spellEnd"/>
      <w:r w:rsidRPr="00E2067D">
        <w:rPr>
          <w:rFonts w:ascii="Times New Roman" w:hAnsi="Times New Roman" w:cs="Times New Roman"/>
          <w:sz w:val="28"/>
          <w:szCs w:val="28"/>
          <w:lang w:val="uk-UA"/>
        </w:rPr>
        <w:t xml:space="preserve">, </w:t>
      </w:r>
      <w:proofErr w:type="spellStart"/>
      <w:r w:rsidRPr="00E2067D">
        <w:rPr>
          <w:rFonts w:ascii="Times New Roman" w:hAnsi="Times New Roman" w:cs="Times New Roman"/>
          <w:sz w:val="28"/>
          <w:szCs w:val="28"/>
          <w:lang w:val="uk-UA"/>
        </w:rPr>
        <w:t>малоунікальні</w:t>
      </w:r>
      <w:proofErr w:type="spellEnd"/>
      <w:r w:rsidRPr="00E2067D">
        <w:rPr>
          <w:rFonts w:ascii="Times New Roman" w:hAnsi="Times New Roman" w:cs="Times New Roman"/>
          <w:sz w:val="28"/>
          <w:szCs w:val="28"/>
          <w:lang w:val="uk-UA"/>
        </w:rPr>
        <w:t xml:space="preserve">); «працівники за контрактом» (квадрант III) – це ті, хто має загальні навички обмеженої стратегічної цінності, які можна набути на ситуаційній основі (тобто малоцінні, </w:t>
      </w:r>
      <w:proofErr w:type="spellStart"/>
      <w:r w:rsidRPr="00E2067D">
        <w:rPr>
          <w:rFonts w:ascii="Times New Roman" w:hAnsi="Times New Roman" w:cs="Times New Roman"/>
          <w:sz w:val="28"/>
          <w:szCs w:val="28"/>
          <w:lang w:val="uk-UA"/>
        </w:rPr>
        <w:t>малоунікальні</w:t>
      </w:r>
      <w:proofErr w:type="spellEnd"/>
      <w:r w:rsidRPr="00E2067D">
        <w:rPr>
          <w:rFonts w:ascii="Times New Roman" w:hAnsi="Times New Roman" w:cs="Times New Roman"/>
          <w:sz w:val="28"/>
          <w:szCs w:val="28"/>
          <w:lang w:val="uk-UA"/>
        </w:rPr>
        <w:t>); нарешті, «зовнішні партнери» (квадрант IV) володіють навичками, які певним чином є унікальними, але не є прямим інструментом для конкурентної переваги організації (тобто малоцінні, із високою унікальністю) [138].</w:t>
      </w:r>
    </w:p>
    <w:p w14:paraId="2483977E"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В організації з високою часткою </w:t>
      </w:r>
      <w:proofErr w:type="spellStart"/>
      <w:r w:rsidRPr="00E2067D">
        <w:rPr>
          <w:rFonts w:ascii="Times New Roman" w:hAnsi="Times New Roman" w:cs="Times New Roman"/>
          <w:sz w:val="28"/>
          <w:szCs w:val="28"/>
          <w:lang w:val="uk-UA"/>
        </w:rPr>
        <w:t>високоцінних</w:t>
      </w:r>
      <w:proofErr w:type="spellEnd"/>
      <w:r w:rsidRPr="00E2067D">
        <w:rPr>
          <w:rFonts w:ascii="Times New Roman" w:hAnsi="Times New Roman" w:cs="Times New Roman"/>
          <w:sz w:val="28"/>
          <w:szCs w:val="28"/>
          <w:lang w:val="uk-UA"/>
        </w:rPr>
        <w:t xml:space="preserve"> та унікальних співробітників очікується, що безперервність (тобто утримання та наступність основних працівників [139]) буде на першому місці порядку денного, оскільки висока плинність кадрів, за цих умов становила б серйозну загрозу як з точки зору якісної, так і кількісної нестачі людського капіталу. Тому, можна вивести припущення, що, чим більша частка </w:t>
      </w:r>
      <w:proofErr w:type="spellStart"/>
      <w:r w:rsidRPr="00E2067D">
        <w:rPr>
          <w:rFonts w:ascii="Times New Roman" w:hAnsi="Times New Roman" w:cs="Times New Roman"/>
          <w:sz w:val="28"/>
          <w:szCs w:val="28"/>
          <w:lang w:val="uk-UA"/>
        </w:rPr>
        <w:t>високоцінних</w:t>
      </w:r>
      <w:proofErr w:type="spellEnd"/>
      <w:r w:rsidRPr="00E2067D">
        <w:rPr>
          <w:rFonts w:ascii="Times New Roman" w:hAnsi="Times New Roman" w:cs="Times New Roman"/>
          <w:sz w:val="28"/>
          <w:szCs w:val="28"/>
          <w:lang w:val="uk-UA"/>
        </w:rPr>
        <w:t>, унікальних співробітників та організації, тим більше значення вона надаватиме безперервності як меті своєї політики управління кар’єрою.</w:t>
      </w:r>
    </w:p>
    <w:p w14:paraId="67578CF2"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Навпаки, новітня література про кар’єру стверджує, що все більше талановитих працівників діють як «вільні агенти» [140] і, більше того, це сприятлива еволюція, яка звільняє працівників від патерналістської практики, коли організація керує їхньою кар’єрою [134]. Безперервність у літературі про кар’єру не відноситься до стратегічних цілей, які можуть служити організаціям для збереження та розвитку </w:t>
      </w:r>
      <w:proofErr w:type="spellStart"/>
      <w:r w:rsidRPr="00E2067D">
        <w:rPr>
          <w:rFonts w:ascii="Times New Roman" w:hAnsi="Times New Roman" w:cs="Times New Roman"/>
          <w:sz w:val="28"/>
          <w:szCs w:val="28"/>
          <w:lang w:val="uk-UA"/>
        </w:rPr>
        <w:t>високоцінних</w:t>
      </w:r>
      <w:proofErr w:type="spellEnd"/>
      <w:r w:rsidRPr="00E2067D">
        <w:rPr>
          <w:rFonts w:ascii="Times New Roman" w:hAnsi="Times New Roman" w:cs="Times New Roman"/>
          <w:sz w:val="28"/>
          <w:szCs w:val="28"/>
          <w:lang w:val="uk-UA"/>
        </w:rPr>
        <w:t>, унікальних співробітників – скоріше, це стосується поняття наявності стійкої професійної ідентичності, незалежно від того, чи є це в одній організації-роботодавці або з-поміж роботодавцями [141].</w:t>
      </w:r>
    </w:p>
    <w:p w14:paraId="24C70764" w14:textId="06E58BDD"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Більшість дослідників фокусуються на результатах індивідуальної кар’єри [142], особистій відповідальності за управління кар’єрою [143], </w:t>
      </w:r>
      <w:proofErr w:type="spellStart"/>
      <w:r w:rsidRPr="00E2067D">
        <w:rPr>
          <w:rFonts w:ascii="Times New Roman" w:hAnsi="Times New Roman" w:cs="Times New Roman"/>
          <w:sz w:val="28"/>
          <w:szCs w:val="28"/>
          <w:lang w:val="uk-UA"/>
        </w:rPr>
        <w:lastRenderedPageBreak/>
        <w:t>міжорганізаційну</w:t>
      </w:r>
      <w:proofErr w:type="spellEnd"/>
      <w:r w:rsidRPr="00E2067D">
        <w:rPr>
          <w:rFonts w:ascii="Times New Roman" w:hAnsi="Times New Roman" w:cs="Times New Roman"/>
          <w:sz w:val="28"/>
          <w:szCs w:val="28"/>
          <w:lang w:val="uk-UA"/>
        </w:rPr>
        <w:t xml:space="preserve"> мобільність [144], а також зниження інтересу до формалізованих практик управління кар’єрою в організаціях із жорсткими організованими структурами [145], нещодавня література про кар’єру - принаймні на перший погляд </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ґрунтується на ряді припущень, які діаметрально протилежні припущенням у літературі з управління талантами.</w:t>
      </w:r>
    </w:p>
    <w:p w14:paraId="02735B40"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Зрозуміло, однак, що перспектива теорії кар’єри відходить майже виключно від концепції окремого учасника кар’єри, при цьому значною мірою ігноруючи стратегічну функцію, яку кар’єра виконує для організацій [146]. Крім того, все більше вчених висловлюють сумніви щодо тверджень, зроблених в останній літературі про кар’єру, щодо швидкості та неминучості «смерті» традиційної організаційної кар’єри [147]. В той же час більшість емпіричних досліджень показали, що як особи, так і організації все ще віддають перевагу організаційній кар’єрі [148], що спонукає окремих авторів називати певні припущення, зроблені в «новій» літературі про кар’єру, риторичними висновками [134].</w:t>
      </w:r>
    </w:p>
    <w:p w14:paraId="1E806A83"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Хоча ми не заперечуємо, що фактично відбулися суттєві змістовні зміни в тому, як кар'єру бачать і будують окремі працівники, але в той же час важливо підкреслити, що багато організацій все ще дотримуються традиційних моделей управління кар'єрою. Проте особлива важливість полягає в безперервній, системній та стабільній залежності від складу людського капіталу організації, що являється одним із головних факторів, який визначає кар’єрну політику організації. Іншими словами, можна зазначити, що коли безперервність розглядається як ключовий результат організаційної політики управління кар’єрою, організації демонструватимуть зацікавленість насамперед в організаційних результатах, візьмуть на себе відповідальність за управління кар’єрою та матимуть чітку перевагу </w:t>
      </w:r>
      <w:proofErr w:type="spellStart"/>
      <w:r w:rsidRPr="00E2067D">
        <w:rPr>
          <w:rFonts w:ascii="Times New Roman" w:hAnsi="Times New Roman" w:cs="Times New Roman"/>
          <w:sz w:val="28"/>
          <w:szCs w:val="28"/>
          <w:lang w:val="uk-UA"/>
        </w:rPr>
        <w:t>внутрішньоорганізаційної</w:t>
      </w:r>
      <w:proofErr w:type="spellEnd"/>
      <w:r w:rsidRPr="00E2067D">
        <w:rPr>
          <w:rFonts w:ascii="Times New Roman" w:hAnsi="Times New Roman" w:cs="Times New Roman"/>
          <w:sz w:val="28"/>
          <w:szCs w:val="28"/>
          <w:lang w:val="uk-UA"/>
        </w:rPr>
        <w:t xml:space="preserve"> мобільності та </w:t>
      </w:r>
      <w:proofErr w:type="spellStart"/>
      <w:r w:rsidRPr="00E2067D">
        <w:rPr>
          <w:rFonts w:ascii="Times New Roman" w:hAnsi="Times New Roman" w:cs="Times New Roman"/>
          <w:sz w:val="28"/>
          <w:szCs w:val="28"/>
          <w:lang w:val="uk-UA"/>
        </w:rPr>
        <w:t>високоформалізованих</w:t>
      </w:r>
      <w:proofErr w:type="spellEnd"/>
      <w:r w:rsidRPr="00E2067D">
        <w:rPr>
          <w:rFonts w:ascii="Times New Roman" w:hAnsi="Times New Roman" w:cs="Times New Roman"/>
          <w:sz w:val="28"/>
          <w:szCs w:val="28"/>
          <w:lang w:val="uk-UA"/>
        </w:rPr>
        <w:t xml:space="preserve"> практик управління кар’єрою [148]. </w:t>
      </w:r>
    </w:p>
    <w:p w14:paraId="3F82E947"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Таким чином, можна дійти наступного висновку, що чим більшого значення організація надає безперервності як меті своєї політики управління кар’єрою, тим більш традиційним буде її підхід до кар’єри, про що свідчить, по-</w:t>
      </w:r>
      <w:r w:rsidRPr="00E2067D">
        <w:rPr>
          <w:rFonts w:ascii="Times New Roman" w:hAnsi="Times New Roman" w:cs="Times New Roman"/>
          <w:sz w:val="28"/>
          <w:szCs w:val="28"/>
          <w:lang w:val="uk-UA"/>
        </w:rPr>
        <w:lastRenderedPageBreak/>
        <w:t xml:space="preserve">перше, інтерес до результатів кар’єри в організації («стратегії»), а не до індивідуальних кар’єр; по-друге, припущення організаційної відповідальності за управління кар’єрою («патерналістська»), а не особиста відповідальність; по-третє, перевага </w:t>
      </w:r>
      <w:proofErr w:type="spellStart"/>
      <w:r w:rsidRPr="00E2067D">
        <w:rPr>
          <w:rFonts w:ascii="Times New Roman" w:hAnsi="Times New Roman" w:cs="Times New Roman"/>
          <w:sz w:val="28"/>
          <w:szCs w:val="28"/>
          <w:lang w:val="uk-UA"/>
        </w:rPr>
        <w:t>внутрішньоорганізаційної</w:t>
      </w:r>
      <w:proofErr w:type="spellEnd"/>
      <w:r w:rsidRPr="00E2067D">
        <w:rPr>
          <w:rFonts w:ascii="Times New Roman" w:hAnsi="Times New Roman" w:cs="Times New Roman"/>
          <w:sz w:val="28"/>
          <w:szCs w:val="28"/>
          <w:lang w:val="uk-UA"/>
        </w:rPr>
        <w:t xml:space="preserve">, а не </w:t>
      </w:r>
      <w:proofErr w:type="spellStart"/>
      <w:r w:rsidRPr="00E2067D">
        <w:rPr>
          <w:rFonts w:ascii="Times New Roman" w:hAnsi="Times New Roman" w:cs="Times New Roman"/>
          <w:sz w:val="28"/>
          <w:szCs w:val="28"/>
          <w:lang w:val="uk-UA"/>
        </w:rPr>
        <w:t>міжорганізаційної</w:t>
      </w:r>
      <w:proofErr w:type="spellEnd"/>
      <w:r w:rsidRPr="00E2067D">
        <w:rPr>
          <w:rFonts w:ascii="Times New Roman" w:hAnsi="Times New Roman" w:cs="Times New Roman"/>
          <w:sz w:val="28"/>
          <w:szCs w:val="28"/>
          <w:lang w:val="uk-UA"/>
        </w:rPr>
        <w:t xml:space="preserve"> мобільності; та по-четверте, велика кількість формалізованих практик управління кар’єрою, які зосереджені на організаційному управлінні кар’єрою, і низька кількість зосереджених на самоуправлінні кар’єрою. Саме тому можемо зробити припущення, що важливість, яку організація надає безперервності, діятиме як посередник у зв’язку між складом людського капіталу організації та її підходом до управління кар’єрою. Але при цьому, зв’язок між часткою </w:t>
      </w:r>
      <w:proofErr w:type="spellStart"/>
      <w:r w:rsidRPr="00E2067D">
        <w:rPr>
          <w:rFonts w:ascii="Times New Roman" w:hAnsi="Times New Roman" w:cs="Times New Roman"/>
          <w:sz w:val="28"/>
          <w:szCs w:val="28"/>
          <w:lang w:val="uk-UA"/>
        </w:rPr>
        <w:t>високоцінних</w:t>
      </w:r>
      <w:proofErr w:type="spellEnd"/>
      <w:r w:rsidRPr="00E2067D">
        <w:rPr>
          <w:rFonts w:ascii="Times New Roman" w:hAnsi="Times New Roman" w:cs="Times New Roman"/>
          <w:sz w:val="28"/>
          <w:szCs w:val="28"/>
          <w:lang w:val="uk-UA"/>
        </w:rPr>
        <w:t xml:space="preserve">, унікальних співробітників організації та її підходом до управління кар’єрою (тобто менш або більш традиційним) опосередковується важливістю, яку вона надає безперервності як меті своєї політики управління кар’єрою. Важливо зауважити, що наведені твердження діють щодо будь-яких організацій. </w:t>
      </w:r>
    </w:p>
    <w:p w14:paraId="1C3C106D"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Цікавим для аналізу є дослідження, яке проводилося в Бельгії у співпраці з провідною консалтинговою компанією з управління зарплатами та персоналом, що надала інформацію про дослідження та посилання на онлайн-опитування у своєму інформаційному бюлетені, надісланому електронною поштою всім своїм клієнтам із обсягом вибірки 306 організацій [149]. Більшість респондентів були представниками приватних компаній (86%), вагома частка яких відноситься до так званих малих (30% мають від 50 до 99 працівників) і середні підприємства (38% мають від 100 до 249 працівників). У 15% організацій-учасниць було зайнято від 250 до 499 працівників, а в 17% – понад 500 працівників. Розподіл у наведених даних є репрезентативним для частки компаній різного розміру в Бельгії [150]. Крім того, організації-учасниці порівну розподілилися між виробничими (33%), сфери послуг (36%) та державним сектором (31%). Більшість з них були місцевими компаніями або міжнародними компаніями зі штаб-квартирами в Бельгії (76%). Більшість респондентів були менеджерами з персоналу або директорами з персоналу (60%); 14% були генеральними </w:t>
      </w:r>
      <w:r w:rsidRPr="00E2067D">
        <w:rPr>
          <w:rFonts w:ascii="Times New Roman" w:hAnsi="Times New Roman" w:cs="Times New Roman"/>
          <w:sz w:val="28"/>
          <w:szCs w:val="28"/>
          <w:lang w:val="uk-UA"/>
        </w:rPr>
        <w:lastRenderedPageBreak/>
        <w:t>директорами; 9% були фінансовими директорами; і 1% респондентів займав ще одну керівну посаду в організації.</w:t>
      </w:r>
    </w:p>
    <w:p w14:paraId="474EF1F3" w14:textId="602F492E"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Вважаємо важливим надати деяку довідкову інформацію про Бельгію, щоб узагальнити наші висновки в рамках культурного контексту, в якому були зібрані дані. Бельгія примирює різні регіональні та культурні ідентичності в єдиній федеративній структурі. У цій країні є три спільноти - голландська (яка є першою мовою для 59% населення Бельгії), французька (40%) і німецькомовна (1%) </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і три регіони: Фландрія на півночі, де офіційною мовою є нідерландська; Валлонія на півдні, де французька є офіційною мовою (яка доповнюється дуже невеликою кількістю німецькомовного населення) і Брюссель, столиця, де французька та голландська мають статус офіційних мов. Хоча деякі науковці вважають, що Бельгія є німецькою країною (подібна за культурою до Німеччини та Австрії) [151]. Інші дослідники виявили, що її культура більше схожа на Францію та інші </w:t>
      </w:r>
      <w:proofErr w:type="spellStart"/>
      <w:r w:rsidRPr="00E2067D">
        <w:rPr>
          <w:rFonts w:ascii="Times New Roman" w:hAnsi="Times New Roman" w:cs="Times New Roman"/>
          <w:sz w:val="28"/>
          <w:szCs w:val="28"/>
          <w:lang w:val="uk-UA"/>
        </w:rPr>
        <w:t>латиноєвропейські</w:t>
      </w:r>
      <w:proofErr w:type="spellEnd"/>
      <w:r w:rsidRPr="00E2067D">
        <w:rPr>
          <w:rFonts w:ascii="Times New Roman" w:hAnsi="Times New Roman" w:cs="Times New Roman"/>
          <w:sz w:val="28"/>
          <w:szCs w:val="28"/>
          <w:lang w:val="uk-UA"/>
        </w:rPr>
        <w:t xml:space="preserve"> країни [152].</w:t>
      </w:r>
    </w:p>
    <w:p w14:paraId="3AA4D4A3"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Важливі події, що вплинули на поточну ситуацію на ринку праці в Бельгії, включають закриття великої кількості підприємств важкої промисловості у вісімдесятих роках, зростання державного дефіциту у вісімдесятих роках та зростання рівня безробіття у дев’яностих роках [153]. Крім того, як і в більшості розвинутих економік світу, Бельгія стикається зі швидким старінням робочої сили. Хоча молоді працівники в Європейському Союзі в середньому досягають вищого рівня освіти, попит на освічених працівників не задовольняється [154]. Що стосується Бельгії, то демографічні тенденції передбачають, що з 2025 року кількість працездатного населення припиниться. Після 2020 року працездатне населення почало скорочуватися, спричиняючи зменшення потенційних працівників [153]. Кажуть, що ці демографічні тенденції разом із низкою тенденцій психологічного контракту (наприклад, зниження лояльності роботодавець-працівник) спричинили справжню «війну за таланти», оскільки організації дедалі більше турбуються про свою здатність залучати найбільше талановитих людей з ринку праці [155].</w:t>
      </w:r>
    </w:p>
    <w:p w14:paraId="607E577E"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lastRenderedPageBreak/>
        <w:t xml:space="preserve">Загалом, специфічним для бельгійського контексту є те, що бельгійці особливо високо оцінюють уникнення невизначеності (перед ними є лише Японія) [156]. Подібна тенденція означає, що безперервність може бути важливішою для бельгійців, ніж для людей з інших країн. Масштабні міжкультурні проекти щодо цінностей праці постійно демонструють, що бельгійці загалом не схильні до ризику та стійкі до змін [60, 156]. Більше того, дослідження ставлення бельгійців до кар’єри, як правило, приходять до висновку, що переважна більшість бельгійців не має безмежної або багатогранної кар’єри [144], що їхня власна оцінка працевлаштування є неоптимальною [153], і що бельгійці, як правило, віддають перевагу традиційним психологічним контрактам, де лояльність співробітників пропонується в обмін на безпеку роботи [153]. Нарешті, Бельгія входить до числа європейських країн з найнижчими оцінками щодо кар’єрної мобільності, яка вимірюється кількістю змін у кар’єрі, посадою та строком перебуванням в організації [153]. Взяті разом, ці висновки справді означають, що бельгійці схильні реалізовувати свою кар’єру в досить «традиційному» контексті. </w:t>
      </w:r>
    </w:p>
    <w:p w14:paraId="69EF544A"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Наступними важливими факторами, які слід дослідити, є цінність та унікальність людського капіталу. Відповідно до концептуалізації </w:t>
      </w:r>
      <w:proofErr w:type="spellStart"/>
      <w:r w:rsidRPr="00E2067D">
        <w:rPr>
          <w:rFonts w:ascii="Times New Roman" w:hAnsi="Times New Roman" w:cs="Times New Roman"/>
          <w:sz w:val="28"/>
          <w:szCs w:val="28"/>
          <w:lang w:val="uk-UA"/>
        </w:rPr>
        <w:t>Лепака</w:t>
      </w:r>
      <w:proofErr w:type="spellEnd"/>
      <w:r w:rsidRPr="00E2067D">
        <w:rPr>
          <w:rFonts w:ascii="Times New Roman" w:hAnsi="Times New Roman" w:cs="Times New Roman"/>
          <w:sz w:val="28"/>
          <w:szCs w:val="28"/>
          <w:lang w:val="uk-UA"/>
        </w:rPr>
        <w:t xml:space="preserve"> та </w:t>
      </w:r>
      <w:proofErr w:type="spellStart"/>
      <w:r w:rsidRPr="00E2067D">
        <w:rPr>
          <w:rFonts w:ascii="Times New Roman" w:hAnsi="Times New Roman" w:cs="Times New Roman"/>
          <w:sz w:val="28"/>
          <w:szCs w:val="28"/>
          <w:lang w:val="uk-UA"/>
        </w:rPr>
        <w:t>Снелла</w:t>
      </w:r>
      <w:proofErr w:type="spellEnd"/>
      <w:r w:rsidRPr="00E2067D">
        <w:rPr>
          <w:rFonts w:ascii="Times New Roman" w:hAnsi="Times New Roman" w:cs="Times New Roman"/>
          <w:sz w:val="28"/>
          <w:szCs w:val="28"/>
          <w:lang w:val="uk-UA"/>
        </w:rPr>
        <w:t xml:space="preserve"> [138], цінність та унікальність людського капіталу оцінюються шляхом прохання респондентів вказати частку їхньої робочої сили, яка мала високу стратегічну цінність (вартість) і яку важко знайти на місцевому ринку праці (унікальність). Також варто зосередити увагу на безперервності, яка є, безумовно, важливою. Дослідники попросили респондентів вказати, наскільки важливою вони вважають безперервність як мету управління кар’єрою в їхній організації, використовуючи чотири пункти, засновані на роботі </w:t>
      </w:r>
      <w:proofErr w:type="spellStart"/>
      <w:r w:rsidRPr="00E2067D">
        <w:rPr>
          <w:rFonts w:ascii="Times New Roman" w:hAnsi="Times New Roman" w:cs="Times New Roman"/>
          <w:sz w:val="28"/>
          <w:szCs w:val="28"/>
          <w:lang w:val="uk-UA"/>
        </w:rPr>
        <w:t>Орпена</w:t>
      </w:r>
      <w:proofErr w:type="spellEnd"/>
      <w:r w:rsidRPr="00E2067D">
        <w:rPr>
          <w:rFonts w:ascii="Times New Roman" w:hAnsi="Times New Roman" w:cs="Times New Roman"/>
          <w:sz w:val="28"/>
          <w:szCs w:val="28"/>
          <w:lang w:val="uk-UA"/>
        </w:rPr>
        <w:t xml:space="preserve"> [157], наприклад, це утримання співробітників або передбачення чи реагування на нестачу на зовнішньому ринку праці. Респондентам було запропоновано вказати, наскільки важливою являється кожна з цих цілей управління кар’єрою.</w:t>
      </w:r>
    </w:p>
    <w:p w14:paraId="1D817AB8"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Важливо, що в опитування були включені інші можливі цілі політики управління кар’єрою, щоб контролювати інші відповідні відмінності між </w:t>
      </w:r>
      <w:r w:rsidRPr="00E2067D">
        <w:rPr>
          <w:rFonts w:ascii="Times New Roman" w:hAnsi="Times New Roman" w:cs="Times New Roman"/>
          <w:sz w:val="28"/>
          <w:szCs w:val="28"/>
          <w:lang w:val="uk-UA"/>
        </w:rPr>
        <w:lastRenderedPageBreak/>
        <w:t xml:space="preserve">організаціями з точки зору стратегії. Була використана типологія п’яти типів цілей </w:t>
      </w:r>
      <w:proofErr w:type="spellStart"/>
      <w:r w:rsidRPr="00E2067D">
        <w:rPr>
          <w:rFonts w:ascii="Times New Roman" w:hAnsi="Times New Roman" w:cs="Times New Roman"/>
          <w:sz w:val="28"/>
          <w:szCs w:val="28"/>
          <w:lang w:val="uk-UA"/>
        </w:rPr>
        <w:t>Нішіі</w:t>
      </w:r>
      <w:proofErr w:type="spellEnd"/>
      <w:r w:rsidRPr="00E2067D">
        <w:rPr>
          <w:rFonts w:ascii="Times New Roman" w:hAnsi="Times New Roman" w:cs="Times New Roman"/>
          <w:sz w:val="28"/>
          <w:szCs w:val="28"/>
          <w:lang w:val="uk-UA"/>
        </w:rPr>
        <w:t xml:space="preserve">, </w:t>
      </w:r>
      <w:proofErr w:type="spellStart"/>
      <w:r w:rsidRPr="00E2067D">
        <w:rPr>
          <w:rFonts w:ascii="Times New Roman" w:hAnsi="Times New Roman" w:cs="Times New Roman"/>
          <w:sz w:val="28"/>
          <w:szCs w:val="28"/>
          <w:lang w:val="uk-UA"/>
        </w:rPr>
        <w:t>Лепака</w:t>
      </w:r>
      <w:proofErr w:type="spellEnd"/>
      <w:r w:rsidRPr="00E2067D">
        <w:rPr>
          <w:rFonts w:ascii="Times New Roman" w:hAnsi="Times New Roman" w:cs="Times New Roman"/>
          <w:sz w:val="28"/>
          <w:szCs w:val="28"/>
          <w:lang w:val="uk-UA"/>
        </w:rPr>
        <w:t xml:space="preserve"> та Шнайдера [158], які переслідують організації під час реалізації своєї HR-стратегії: </w:t>
      </w:r>
    </w:p>
    <w:p w14:paraId="0B4DA489"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1) максимізація ефективності та продуктивності працівників; </w:t>
      </w:r>
    </w:p>
    <w:p w14:paraId="3CADDE62"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2) максимізація добробуту працівників; </w:t>
      </w:r>
    </w:p>
    <w:p w14:paraId="75391B6F"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3) контроль витрат на робочу силу; </w:t>
      </w:r>
    </w:p>
    <w:p w14:paraId="2ADE5641"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4) підвищення якості обслуговування; </w:t>
      </w:r>
    </w:p>
    <w:p w14:paraId="2E9FC8DE"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5) відповідність профспілці. </w:t>
      </w:r>
    </w:p>
    <w:p w14:paraId="42E9AA8A"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Наступною складовою аналізу стала відповідальність за управління кар'єрою. Згідно з пропозиціями </w:t>
      </w:r>
      <w:proofErr w:type="spellStart"/>
      <w:r w:rsidRPr="00E2067D">
        <w:rPr>
          <w:rFonts w:ascii="Times New Roman" w:hAnsi="Times New Roman" w:cs="Times New Roman"/>
          <w:sz w:val="28"/>
          <w:szCs w:val="28"/>
          <w:lang w:val="uk-UA"/>
        </w:rPr>
        <w:t>Бріско</w:t>
      </w:r>
      <w:proofErr w:type="spellEnd"/>
      <w:r w:rsidRPr="00E2067D">
        <w:rPr>
          <w:rFonts w:ascii="Times New Roman" w:hAnsi="Times New Roman" w:cs="Times New Roman"/>
          <w:sz w:val="28"/>
          <w:szCs w:val="28"/>
          <w:lang w:val="uk-UA"/>
        </w:rPr>
        <w:t xml:space="preserve">, </w:t>
      </w:r>
      <w:proofErr w:type="spellStart"/>
      <w:r w:rsidRPr="00E2067D">
        <w:rPr>
          <w:rFonts w:ascii="Times New Roman" w:hAnsi="Times New Roman" w:cs="Times New Roman"/>
          <w:sz w:val="28"/>
          <w:szCs w:val="28"/>
          <w:lang w:val="uk-UA"/>
        </w:rPr>
        <w:t>Холла</w:t>
      </w:r>
      <w:proofErr w:type="spellEnd"/>
      <w:r w:rsidRPr="00E2067D">
        <w:rPr>
          <w:rFonts w:ascii="Times New Roman" w:hAnsi="Times New Roman" w:cs="Times New Roman"/>
          <w:sz w:val="28"/>
          <w:szCs w:val="28"/>
          <w:lang w:val="uk-UA"/>
        </w:rPr>
        <w:t xml:space="preserve"> та </w:t>
      </w:r>
      <w:proofErr w:type="spellStart"/>
      <w:r w:rsidRPr="00E2067D">
        <w:rPr>
          <w:rFonts w:ascii="Times New Roman" w:hAnsi="Times New Roman" w:cs="Times New Roman"/>
          <w:sz w:val="28"/>
          <w:szCs w:val="28"/>
          <w:lang w:val="uk-UA"/>
        </w:rPr>
        <w:t>Демута</w:t>
      </w:r>
      <w:proofErr w:type="spellEnd"/>
      <w:r w:rsidRPr="00E2067D">
        <w:rPr>
          <w:rFonts w:ascii="Times New Roman" w:hAnsi="Times New Roman" w:cs="Times New Roman"/>
          <w:sz w:val="28"/>
          <w:szCs w:val="28"/>
          <w:lang w:val="uk-UA"/>
        </w:rPr>
        <w:t xml:space="preserve"> [159], відповідальність за управління кар’єрою вимірювалася шляхом прохання респондентів вказати ступінь відповідальності співробітників у їхній організації за управління власною кар’єрою. Перевага мобільності може бути </w:t>
      </w:r>
      <w:proofErr w:type="spellStart"/>
      <w:r w:rsidRPr="00E2067D">
        <w:rPr>
          <w:rFonts w:ascii="Times New Roman" w:hAnsi="Times New Roman" w:cs="Times New Roman"/>
          <w:sz w:val="28"/>
          <w:szCs w:val="28"/>
          <w:lang w:val="uk-UA"/>
        </w:rPr>
        <w:t>вимірена</w:t>
      </w:r>
      <w:proofErr w:type="spellEnd"/>
      <w:r w:rsidRPr="00E2067D">
        <w:rPr>
          <w:rFonts w:ascii="Times New Roman" w:hAnsi="Times New Roman" w:cs="Times New Roman"/>
          <w:sz w:val="28"/>
          <w:szCs w:val="28"/>
          <w:lang w:val="uk-UA"/>
        </w:rPr>
        <w:t xml:space="preserve"> шляхом прохання респондентів вказати, якою мірою їхня організація прагне запропонувати своїм співробітникам перспективу довгострокової кар’єри в організації [159]. Також доцільним було дослідження кількісті формалізованих практик управління кар'єрою. Респондентів попросили вказати список із п’ятнадцяти методів управління кар’єрою, заснований на роботах </w:t>
      </w:r>
      <w:proofErr w:type="spellStart"/>
      <w:r w:rsidRPr="00E2067D">
        <w:rPr>
          <w:rFonts w:ascii="Times New Roman" w:hAnsi="Times New Roman" w:cs="Times New Roman"/>
          <w:sz w:val="28"/>
          <w:szCs w:val="28"/>
          <w:lang w:val="uk-UA"/>
        </w:rPr>
        <w:t>Баруха</w:t>
      </w:r>
      <w:proofErr w:type="spellEnd"/>
      <w:r w:rsidRPr="00E2067D">
        <w:rPr>
          <w:rFonts w:ascii="Times New Roman" w:hAnsi="Times New Roman" w:cs="Times New Roman"/>
          <w:sz w:val="28"/>
          <w:szCs w:val="28"/>
          <w:lang w:val="uk-UA"/>
        </w:rPr>
        <w:t xml:space="preserve"> та </w:t>
      </w:r>
      <w:proofErr w:type="spellStart"/>
      <w:r w:rsidRPr="00E2067D">
        <w:rPr>
          <w:rFonts w:ascii="Times New Roman" w:hAnsi="Times New Roman" w:cs="Times New Roman"/>
          <w:sz w:val="28"/>
          <w:szCs w:val="28"/>
          <w:lang w:val="uk-UA"/>
        </w:rPr>
        <w:t>Пайперла</w:t>
      </w:r>
      <w:proofErr w:type="spellEnd"/>
      <w:r w:rsidRPr="00E2067D">
        <w:rPr>
          <w:rFonts w:ascii="Times New Roman" w:hAnsi="Times New Roman" w:cs="Times New Roman"/>
          <w:sz w:val="28"/>
          <w:szCs w:val="28"/>
          <w:lang w:val="uk-UA"/>
        </w:rPr>
        <w:t xml:space="preserve"> [132], </w:t>
      </w:r>
      <w:proofErr w:type="spellStart"/>
      <w:r w:rsidRPr="00E2067D">
        <w:rPr>
          <w:rFonts w:ascii="Times New Roman" w:hAnsi="Times New Roman" w:cs="Times New Roman"/>
          <w:sz w:val="28"/>
          <w:szCs w:val="28"/>
          <w:lang w:val="uk-UA"/>
        </w:rPr>
        <w:t>Ебі</w:t>
      </w:r>
      <w:proofErr w:type="spellEnd"/>
      <w:r w:rsidRPr="00E2067D">
        <w:rPr>
          <w:rFonts w:ascii="Times New Roman" w:hAnsi="Times New Roman" w:cs="Times New Roman"/>
          <w:sz w:val="28"/>
          <w:szCs w:val="28"/>
          <w:lang w:val="uk-UA"/>
        </w:rPr>
        <w:t xml:space="preserve">, </w:t>
      </w:r>
      <w:proofErr w:type="spellStart"/>
      <w:r w:rsidRPr="00E2067D">
        <w:rPr>
          <w:rFonts w:ascii="Times New Roman" w:hAnsi="Times New Roman" w:cs="Times New Roman"/>
          <w:sz w:val="28"/>
          <w:szCs w:val="28"/>
          <w:lang w:val="uk-UA"/>
        </w:rPr>
        <w:t>Аллена</w:t>
      </w:r>
      <w:proofErr w:type="spellEnd"/>
      <w:r w:rsidRPr="00E2067D">
        <w:rPr>
          <w:rFonts w:ascii="Times New Roman" w:hAnsi="Times New Roman" w:cs="Times New Roman"/>
          <w:sz w:val="28"/>
          <w:szCs w:val="28"/>
          <w:lang w:val="uk-UA"/>
        </w:rPr>
        <w:t xml:space="preserve"> та </w:t>
      </w:r>
      <w:proofErr w:type="spellStart"/>
      <w:r w:rsidRPr="00E2067D">
        <w:rPr>
          <w:rFonts w:ascii="Times New Roman" w:hAnsi="Times New Roman" w:cs="Times New Roman"/>
          <w:sz w:val="28"/>
          <w:szCs w:val="28"/>
          <w:lang w:val="uk-UA"/>
        </w:rPr>
        <w:t>Брінлі</w:t>
      </w:r>
      <w:proofErr w:type="spellEnd"/>
      <w:r w:rsidRPr="00E2067D">
        <w:rPr>
          <w:rFonts w:ascii="Times New Roman" w:hAnsi="Times New Roman" w:cs="Times New Roman"/>
          <w:sz w:val="28"/>
          <w:szCs w:val="28"/>
          <w:lang w:val="uk-UA"/>
        </w:rPr>
        <w:t xml:space="preserve"> [160] та Де </w:t>
      </w:r>
      <w:proofErr w:type="spellStart"/>
      <w:r w:rsidRPr="00E2067D">
        <w:rPr>
          <w:rFonts w:ascii="Times New Roman" w:hAnsi="Times New Roman" w:cs="Times New Roman"/>
          <w:sz w:val="28"/>
          <w:szCs w:val="28"/>
          <w:lang w:val="uk-UA"/>
        </w:rPr>
        <w:t>Воса</w:t>
      </w:r>
      <w:proofErr w:type="spellEnd"/>
      <w:r w:rsidRPr="00E2067D">
        <w:rPr>
          <w:rFonts w:ascii="Times New Roman" w:hAnsi="Times New Roman" w:cs="Times New Roman"/>
          <w:sz w:val="28"/>
          <w:szCs w:val="28"/>
          <w:lang w:val="uk-UA"/>
        </w:rPr>
        <w:t xml:space="preserve">, </w:t>
      </w:r>
      <w:proofErr w:type="spellStart"/>
      <w:r w:rsidRPr="00E2067D">
        <w:rPr>
          <w:rFonts w:ascii="Times New Roman" w:hAnsi="Times New Roman" w:cs="Times New Roman"/>
          <w:sz w:val="28"/>
          <w:szCs w:val="28"/>
          <w:lang w:val="uk-UA"/>
        </w:rPr>
        <w:t>Дьюеттінка</w:t>
      </w:r>
      <w:proofErr w:type="spellEnd"/>
      <w:r w:rsidRPr="00E2067D">
        <w:rPr>
          <w:rFonts w:ascii="Times New Roman" w:hAnsi="Times New Roman" w:cs="Times New Roman"/>
          <w:sz w:val="28"/>
          <w:szCs w:val="28"/>
          <w:lang w:val="uk-UA"/>
        </w:rPr>
        <w:t xml:space="preserve"> та </w:t>
      </w:r>
      <w:proofErr w:type="spellStart"/>
      <w:r w:rsidRPr="00E2067D">
        <w:rPr>
          <w:rFonts w:ascii="Times New Roman" w:hAnsi="Times New Roman" w:cs="Times New Roman"/>
          <w:sz w:val="28"/>
          <w:szCs w:val="28"/>
          <w:lang w:val="uk-UA"/>
        </w:rPr>
        <w:t>Бюєнса</w:t>
      </w:r>
      <w:proofErr w:type="spellEnd"/>
      <w:r w:rsidRPr="00E2067D">
        <w:rPr>
          <w:rFonts w:ascii="Times New Roman" w:hAnsi="Times New Roman" w:cs="Times New Roman"/>
          <w:sz w:val="28"/>
          <w:szCs w:val="28"/>
          <w:lang w:val="uk-UA"/>
        </w:rPr>
        <w:t xml:space="preserve"> [145] та ступінь їх використання в організації. Автори цього дослідження перекодували дані для цього елемента у фіктивну змінну, яка вказує, чи застосовувалася практика чи ні. Потім вони створили індекс, підсумувавши кількість методів управління кар’єрою, які використовували в організації. Приклади: семінари з планування кар’єри; внутрішнє оголошення про вакансії; професійні розмови між керівником і співробітником; інструменти самооцінки.</w:t>
      </w:r>
    </w:p>
    <w:p w14:paraId="19404B53"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Щоб побудувати типологію організацій з точки зору складу їхнього людського капіталу, у SPSS було виконано ієрархічний кластерний аналіз із використанням елементів цінності та унікальності. Був використаний метод </w:t>
      </w:r>
      <w:proofErr w:type="spellStart"/>
      <w:r w:rsidRPr="00E2067D">
        <w:rPr>
          <w:rFonts w:ascii="Times New Roman" w:hAnsi="Times New Roman" w:cs="Times New Roman"/>
          <w:sz w:val="28"/>
          <w:szCs w:val="28"/>
          <w:lang w:val="uk-UA"/>
        </w:rPr>
        <w:t>Уорда</w:t>
      </w:r>
      <w:proofErr w:type="spellEnd"/>
      <w:r w:rsidRPr="00E2067D">
        <w:rPr>
          <w:rFonts w:ascii="Times New Roman" w:hAnsi="Times New Roman" w:cs="Times New Roman"/>
          <w:sz w:val="28"/>
          <w:szCs w:val="28"/>
          <w:lang w:val="uk-UA"/>
        </w:rPr>
        <w:t xml:space="preserve">, який базується на евклідових відстанях, оскільки він мінімізує варіації в кожному кластері та шукає кластери однакового розміру. Він також вважається </w:t>
      </w:r>
      <w:r w:rsidRPr="00E2067D">
        <w:rPr>
          <w:rFonts w:ascii="Times New Roman" w:hAnsi="Times New Roman" w:cs="Times New Roman"/>
          <w:sz w:val="28"/>
          <w:szCs w:val="28"/>
          <w:lang w:val="uk-UA"/>
        </w:rPr>
        <w:lastRenderedPageBreak/>
        <w:t xml:space="preserve">найбільш надійним методом [161]. </w:t>
      </w:r>
      <w:proofErr w:type="spellStart"/>
      <w:r w:rsidRPr="00E2067D">
        <w:rPr>
          <w:rFonts w:ascii="Times New Roman" w:hAnsi="Times New Roman" w:cs="Times New Roman"/>
          <w:sz w:val="28"/>
          <w:szCs w:val="28"/>
          <w:lang w:val="uk-UA"/>
        </w:rPr>
        <w:t>Чотирьохкластерне</w:t>
      </w:r>
      <w:proofErr w:type="spellEnd"/>
      <w:r w:rsidRPr="00E2067D">
        <w:rPr>
          <w:rFonts w:ascii="Times New Roman" w:hAnsi="Times New Roman" w:cs="Times New Roman"/>
          <w:sz w:val="28"/>
          <w:szCs w:val="28"/>
          <w:lang w:val="uk-UA"/>
        </w:rPr>
        <w:t xml:space="preserve"> рішення було зрештою </w:t>
      </w:r>
      <w:proofErr w:type="spellStart"/>
      <w:r w:rsidRPr="00E2067D">
        <w:rPr>
          <w:rFonts w:ascii="Times New Roman" w:hAnsi="Times New Roman" w:cs="Times New Roman"/>
          <w:sz w:val="28"/>
          <w:szCs w:val="28"/>
          <w:lang w:val="uk-UA"/>
        </w:rPr>
        <w:t>відхилено</w:t>
      </w:r>
      <w:proofErr w:type="spellEnd"/>
      <w:r w:rsidRPr="00E2067D">
        <w:rPr>
          <w:rFonts w:ascii="Times New Roman" w:hAnsi="Times New Roman" w:cs="Times New Roman"/>
          <w:sz w:val="28"/>
          <w:szCs w:val="28"/>
          <w:lang w:val="uk-UA"/>
        </w:rPr>
        <w:t xml:space="preserve"> через чітко відмінну структуру двох вимірів людського капіталу в цьому рішенні та велику кількість респондентів, яких можна було віднести до кластера (тобто 289 із 306). Спочатку увага була зосереджена на пошуку значних відмінностей між кластерами за допомогою дисперсійного аналізу (ANOVA) з коригуванням </w:t>
      </w:r>
      <w:proofErr w:type="spellStart"/>
      <w:r w:rsidRPr="00E2067D">
        <w:rPr>
          <w:rFonts w:ascii="Times New Roman" w:hAnsi="Times New Roman" w:cs="Times New Roman"/>
          <w:sz w:val="28"/>
          <w:szCs w:val="28"/>
          <w:lang w:val="uk-UA"/>
        </w:rPr>
        <w:t>Бонферроні</w:t>
      </w:r>
      <w:proofErr w:type="spellEnd"/>
      <w:r w:rsidRPr="00E2067D">
        <w:rPr>
          <w:rFonts w:ascii="Times New Roman" w:hAnsi="Times New Roman" w:cs="Times New Roman"/>
          <w:sz w:val="28"/>
          <w:szCs w:val="28"/>
          <w:lang w:val="uk-UA"/>
        </w:rPr>
        <w:t xml:space="preserve">, а також тестів. Зробивши це, автори дослідження могли б сформулювати кластери з точки зору організаційних характеристик і шести цілей управління кар’єрою. Далі було використано ієрархічний регресійний аналіз для вивчення характеристик кожного кластера з точки зору фокусу управління кар’єрою, відповідальності за управління кар’єрою, переваги мобільності, кількості формалізованих практик управління кар’єрою та посередницької ролі, важливості якої надається різним цілям управління кар’єрою. Чотири кластери були перетворені в фіктивні змінні, використовуючи кластер з низьким значенням і низькою унікальністю як еталонну категорію. Наступним етапом була перевірка на важливість безперервності, яка опосередковує зв’язки між складом людського капіталу в організації та різними результатами в моделі, що було наступним кроком, запропонованим Бароном і </w:t>
      </w:r>
      <w:proofErr w:type="spellStart"/>
      <w:r w:rsidRPr="00E2067D">
        <w:rPr>
          <w:rFonts w:ascii="Times New Roman" w:hAnsi="Times New Roman" w:cs="Times New Roman"/>
          <w:sz w:val="28"/>
          <w:szCs w:val="28"/>
          <w:lang w:val="uk-UA"/>
        </w:rPr>
        <w:t>Кенні</w:t>
      </w:r>
      <w:proofErr w:type="spellEnd"/>
      <w:r w:rsidRPr="00E2067D">
        <w:rPr>
          <w:rFonts w:ascii="Times New Roman" w:hAnsi="Times New Roman" w:cs="Times New Roman"/>
          <w:sz w:val="28"/>
          <w:szCs w:val="28"/>
          <w:lang w:val="uk-UA"/>
        </w:rPr>
        <w:t xml:space="preserve"> [162]. Таким чином, було регресовано цілі управління кар’єрою на фіктивні кластери з кластером 1 (низька цінність, низька унікальність) як еталонну категорію. </w:t>
      </w:r>
      <w:r>
        <w:rPr>
          <w:rFonts w:ascii="Times New Roman" w:hAnsi="Times New Roman" w:cs="Times New Roman"/>
          <w:sz w:val="28"/>
          <w:szCs w:val="28"/>
          <w:lang w:val="uk-UA"/>
        </w:rPr>
        <w:t>Наступним було</w:t>
      </w:r>
      <w:r w:rsidRPr="00E2067D">
        <w:rPr>
          <w:rFonts w:ascii="Times New Roman" w:hAnsi="Times New Roman" w:cs="Times New Roman"/>
          <w:sz w:val="28"/>
          <w:szCs w:val="28"/>
          <w:lang w:val="uk-UA"/>
        </w:rPr>
        <w:t xml:space="preserve"> регрес</w:t>
      </w:r>
      <w:r>
        <w:rPr>
          <w:rFonts w:ascii="Times New Roman" w:hAnsi="Times New Roman" w:cs="Times New Roman"/>
          <w:sz w:val="28"/>
          <w:szCs w:val="28"/>
          <w:lang w:val="uk-UA"/>
        </w:rPr>
        <w:t>о</w:t>
      </w:r>
      <w:r w:rsidRPr="00E2067D">
        <w:rPr>
          <w:rFonts w:ascii="Times New Roman" w:hAnsi="Times New Roman" w:cs="Times New Roman"/>
          <w:sz w:val="28"/>
          <w:szCs w:val="28"/>
          <w:lang w:val="uk-UA"/>
        </w:rPr>
        <w:t>ва</w:t>
      </w:r>
      <w:r>
        <w:rPr>
          <w:rFonts w:ascii="Times New Roman" w:hAnsi="Times New Roman" w:cs="Times New Roman"/>
          <w:sz w:val="28"/>
          <w:szCs w:val="28"/>
          <w:lang w:val="uk-UA"/>
        </w:rPr>
        <w:t>но</w:t>
      </w:r>
      <w:r w:rsidRPr="00E2067D">
        <w:rPr>
          <w:rFonts w:ascii="Times New Roman" w:hAnsi="Times New Roman" w:cs="Times New Roman"/>
          <w:sz w:val="28"/>
          <w:szCs w:val="28"/>
          <w:lang w:val="uk-UA"/>
        </w:rPr>
        <w:t xml:space="preserve"> результати на кластерах. Нарешті, для тих результатів, які були суттєво пов’язані з метою управління кар’єрою та з кластерами, </w:t>
      </w:r>
      <w:r>
        <w:rPr>
          <w:rFonts w:ascii="Times New Roman" w:hAnsi="Times New Roman" w:cs="Times New Roman"/>
          <w:sz w:val="28"/>
          <w:szCs w:val="28"/>
          <w:lang w:val="uk-UA"/>
        </w:rPr>
        <w:t>було</w:t>
      </w:r>
      <w:r w:rsidRPr="00E2067D">
        <w:rPr>
          <w:rFonts w:ascii="Times New Roman" w:hAnsi="Times New Roman" w:cs="Times New Roman"/>
          <w:sz w:val="28"/>
          <w:szCs w:val="28"/>
          <w:lang w:val="uk-UA"/>
        </w:rPr>
        <w:t xml:space="preserve"> оцін</w:t>
      </w:r>
      <w:r>
        <w:rPr>
          <w:rFonts w:ascii="Times New Roman" w:hAnsi="Times New Roman" w:cs="Times New Roman"/>
          <w:sz w:val="28"/>
          <w:szCs w:val="28"/>
          <w:lang w:val="uk-UA"/>
        </w:rPr>
        <w:t>ено</w:t>
      </w:r>
      <w:r w:rsidRPr="00E2067D">
        <w:rPr>
          <w:rFonts w:ascii="Times New Roman" w:hAnsi="Times New Roman" w:cs="Times New Roman"/>
          <w:sz w:val="28"/>
          <w:szCs w:val="28"/>
          <w:lang w:val="uk-UA"/>
        </w:rPr>
        <w:t xml:space="preserve">, чи зв’язок кластера з результатом все ще був значущим, якщо в рівняння було введено важливість безперервності. У всіх регресійних аналізах </w:t>
      </w:r>
      <w:r>
        <w:rPr>
          <w:rFonts w:ascii="Times New Roman" w:hAnsi="Times New Roman" w:cs="Times New Roman"/>
          <w:sz w:val="28"/>
          <w:szCs w:val="28"/>
          <w:lang w:val="uk-UA"/>
        </w:rPr>
        <w:t>було</w:t>
      </w:r>
      <w:r w:rsidRPr="00E2067D">
        <w:rPr>
          <w:rFonts w:ascii="Times New Roman" w:hAnsi="Times New Roman" w:cs="Times New Roman"/>
          <w:sz w:val="28"/>
          <w:szCs w:val="28"/>
          <w:lang w:val="uk-UA"/>
        </w:rPr>
        <w:t xml:space="preserve"> контрол</w:t>
      </w:r>
      <w:r>
        <w:rPr>
          <w:rFonts w:ascii="Times New Roman" w:hAnsi="Times New Roman" w:cs="Times New Roman"/>
          <w:sz w:val="28"/>
          <w:szCs w:val="28"/>
          <w:lang w:val="uk-UA"/>
        </w:rPr>
        <w:t>ьо</w:t>
      </w:r>
      <w:r w:rsidRPr="00E2067D">
        <w:rPr>
          <w:rFonts w:ascii="Times New Roman" w:hAnsi="Times New Roman" w:cs="Times New Roman"/>
          <w:sz w:val="28"/>
          <w:szCs w:val="28"/>
          <w:lang w:val="uk-UA"/>
        </w:rPr>
        <w:t>ва</w:t>
      </w:r>
      <w:r>
        <w:rPr>
          <w:rFonts w:ascii="Times New Roman" w:hAnsi="Times New Roman" w:cs="Times New Roman"/>
          <w:sz w:val="28"/>
          <w:szCs w:val="28"/>
          <w:lang w:val="uk-UA"/>
        </w:rPr>
        <w:t>но</w:t>
      </w:r>
      <w:r w:rsidRPr="00E2067D">
        <w:rPr>
          <w:rFonts w:ascii="Times New Roman" w:hAnsi="Times New Roman" w:cs="Times New Roman"/>
          <w:sz w:val="28"/>
          <w:szCs w:val="28"/>
          <w:lang w:val="uk-UA"/>
        </w:rPr>
        <w:t xml:space="preserve"> характеристики компанії (тобто розмір, сектор), щоб покращити надійність перевірених </w:t>
      </w:r>
      <w:proofErr w:type="spellStart"/>
      <w:r w:rsidRPr="00E2067D">
        <w:rPr>
          <w:rFonts w:ascii="Times New Roman" w:hAnsi="Times New Roman" w:cs="Times New Roman"/>
          <w:sz w:val="28"/>
          <w:szCs w:val="28"/>
          <w:lang w:val="uk-UA"/>
        </w:rPr>
        <w:t>зв’язків</w:t>
      </w:r>
      <w:proofErr w:type="spellEnd"/>
      <w:r w:rsidRPr="00E2067D">
        <w:rPr>
          <w:rFonts w:ascii="Times New Roman" w:hAnsi="Times New Roman" w:cs="Times New Roman"/>
          <w:sz w:val="28"/>
          <w:szCs w:val="28"/>
          <w:lang w:val="uk-UA"/>
        </w:rPr>
        <w:t>.</w:t>
      </w:r>
    </w:p>
    <w:p w14:paraId="529664CD"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Ієрархічна кластеризація двох показників людського капіталу показала, що рішення з чотирьох кластерів є найбільш прийнятним. Кластер 1 містив 107 організацій з низькими оцінками унікальності та цінності людського капіталу. Кластер 2 був найменшим кластером: 19 організацій повідомили про високу оцінку унікальності та низьку оцінку цінності. Респонденти в кластері 3 мали </w:t>
      </w:r>
      <w:r w:rsidRPr="00E2067D">
        <w:rPr>
          <w:rFonts w:ascii="Times New Roman" w:hAnsi="Times New Roman" w:cs="Times New Roman"/>
          <w:sz w:val="28"/>
          <w:szCs w:val="28"/>
          <w:lang w:val="uk-UA"/>
        </w:rPr>
        <w:lastRenderedPageBreak/>
        <w:t xml:space="preserve">низький бал унікальності та високий бал цінності. Нарешті, респонденти в кластері </w:t>
      </w:r>
      <w:r>
        <w:rPr>
          <w:rFonts w:ascii="Times New Roman" w:hAnsi="Times New Roman" w:cs="Times New Roman"/>
          <w:sz w:val="28"/>
          <w:szCs w:val="28"/>
          <w:lang w:val="uk-UA"/>
        </w:rPr>
        <w:t>4</w:t>
      </w:r>
      <w:r w:rsidRPr="00E2067D">
        <w:rPr>
          <w:rFonts w:ascii="Times New Roman" w:hAnsi="Times New Roman" w:cs="Times New Roman"/>
          <w:sz w:val="28"/>
          <w:szCs w:val="28"/>
          <w:lang w:val="uk-UA"/>
        </w:rPr>
        <w:t xml:space="preserve"> отримали високий бал як за унікальністю, так і за цінністю.</w:t>
      </w:r>
      <w:r>
        <w:rPr>
          <w:rFonts w:ascii="Times New Roman" w:hAnsi="Times New Roman" w:cs="Times New Roman"/>
          <w:sz w:val="28"/>
          <w:szCs w:val="28"/>
          <w:lang w:val="uk-UA"/>
        </w:rPr>
        <w:t xml:space="preserve"> </w:t>
      </w:r>
      <w:r w:rsidRPr="00E2067D">
        <w:rPr>
          <w:rFonts w:ascii="Times New Roman" w:hAnsi="Times New Roman" w:cs="Times New Roman"/>
          <w:sz w:val="28"/>
          <w:szCs w:val="28"/>
          <w:lang w:val="uk-UA"/>
        </w:rPr>
        <w:t xml:space="preserve">Ці чотири кластери відповідають чотирьом квадрантам людського капіталу, запропонованим </w:t>
      </w:r>
      <w:proofErr w:type="spellStart"/>
      <w:r w:rsidRPr="00E2067D">
        <w:rPr>
          <w:rFonts w:ascii="Times New Roman" w:hAnsi="Times New Roman" w:cs="Times New Roman"/>
          <w:sz w:val="28"/>
          <w:szCs w:val="28"/>
          <w:lang w:val="uk-UA"/>
        </w:rPr>
        <w:t>Лепаком</w:t>
      </w:r>
      <w:proofErr w:type="spellEnd"/>
      <w:r w:rsidRPr="00E2067D">
        <w:rPr>
          <w:rFonts w:ascii="Times New Roman" w:hAnsi="Times New Roman" w:cs="Times New Roman"/>
          <w:sz w:val="28"/>
          <w:szCs w:val="28"/>
          <w:lang w:val="uk-UA"/>
        </w:rPr>
        <w:t xml:space="preserve"> і </w:t>
      </w:r>
      <w:proofErr w:type="spellStart"/>
      <w:r w:rsidRPr="00E2067D">
        <w:rPr>
          <w:rFonts w:ascii="Times New Roman" w:hAnsi="Times New Roman" w:cs="Times New Roman"/>
          <w:sz w:val="28"/>
          <w:szCs w:val="28"/>
          <w:lang w:val="uk-UA"/>
        </w:rPr>
        <w:t>Снеллом</w:t>
      </w:r>
      <w:proofErr w:type="spellEnd"/>
      <w:r w:rsidRPr="00E2067D">
        <w:rPr>
          <w:rFonts w:ascii="Times New Roman" w:hAnsi="Times New Roman" w:cs="Times New Roman"/>
          <w:sz w:val="28"/>
          <w:szCs w:val="28"/>
          <w:lang w:val="uk-UA"/>
        </w:rPr>
        <w:t xml:space="preserve"> </w:t>
      </w:r>
      <w:r>
        <w:rPr>
          <w:rFonts w:ascii="Times New Roman" w:hAnsi="Times New Roman" w:cs="Times New Roman"/>
          <w:sz w:val="28"/>
          <w:szCs w:val="28"/>
        </w:rPr>
        <w:t>[138]</w:t>
      </w:r>
      <w:r w:rsidRPr="00E2067D">
        <w:rPr>
          <w:rFonts w:ascii="Times New Roman" w:hAnsi="Times New Roman" w:cs="Times New Roman"/>
          <w:sz w:val="28"/>
          <w:szCs w:val="28"/>
          <w:lang w:val="uk-UA"/>
        </w:rPr>
        <w:t xml:space="preserve"> у їхній моделі архітектури кадрів.</w:t>
      </w:r>
      <w:r>
        <w:rPr>
          <w:rFonts w:ascii="Times New Roman" w:hAnsi="Times New Roman" w:cs="Times New Roman"/>
          <w:sz w:val="28"/>
          <w:szCs w:val="28"/>
          <w:lang w:val="uk-UA"/>
        </w:rPr>
        <w:t xml:space="preserve"> </w:t>
      </w:r>
      <w:r w:rsidRPr="00E2067D">
        <w:rPr>
          <w:rFonts w:ascii="Times New Roman" w:hAnsi="Times New Roman" w:cs="Times New Roman"/>
          <w:sz w:val="28"/>
          <w:szCs w:val="28"/>
          <w:lang w:val="uk-UA"/>
        </w:rPr>
        <w:t xml:space="preserve">Чотири кластери суттєво не відрізнялися ні за функціями респондентів, ні за характеристиками компанії. Не було суттєвих відмінностей у розмірі </w:t>
      </w:r>
      <w:r>
        <w:rPr>
          <w:rFonts w:ascii="Times New Roman" w:hAnsi="Times New Roman" w:cs="Times New Roman"/>
          <w:sz w:val="28"/>
          <w:szCs w:val="28"/>
          <w:lang w:val="uk-UA"/>
        </w:rPr>
        <w:t>організації, державній або</w:t>
      </w:r>
      <w:r w:rsidRPr="00E2067D">
        <w:rPr>
          <w:rFonts w:ascii="Times New Roman" w:hAnsi="Times New Roman" w:cs="Times New Roman"/>
          <w:sz w:val="28"/>
          <w:szCs w:val="28"/>
          <w:lang w:val="uk-UA"/>
        </w:rPr>
        <w:t xml:space="preserve"> приватній власності чи місцевій </w:t>
      </w:r>
      <w:r>
        <w:rPr>
          <w:rFonts w:ascii="Times New Roman" w:hAnsi="Times New Roman" w:cs="Times New Roman"/>
          <w:sz w:val="28"/>
          <w:szCs w:val="28"/>
          <w:lang w:val="uk-UA"/>
        </w:rPr>
        <w:t>або</w:t>
      </w:r>
      <w:r w:rsidRPr="00E2067D">
        <w:rPr>
          <w:rFonts w:ascii="Times New Roman" w:hAnsi="Times New Roman" w:cs="Times New Roman"/>
          <w:sz w:val="28"/>
          <w:szCs w:val="28"/>
          <w:lang w:val="uk-UA"/>
        </w:rPr>
        <w:t xml:space="preserve"> міжнародній власності. Кластери </w:t>
      </w:r>
      <w:r>
        <w:rPr>
          <w:rFonts w:ascii="Times New Roman" w:hAnsi="Times New Roman" w:cs="Times New Roman"/>
          <w:sz w:val="28"/>
          <w:szCs w:val="28"/>
          <w:lang w:val="uk-UA"/>
        </w:rPr>
        <w:t>1</w:t>
      </w:r>
      <w:r w:rsidRPr="00E2067D">
        <w:rPr>
          <w:rFonts w:ascii="Times New Roman" w:hAnsi="Times New Roman" w:cs="Times New Roman"/>
          <w:sz w:val="28"/>
          <w:szCs w:val="28"/>
          <w:lang w:val="uk-UA"/>
        </w:rPr>
        <w:t xml:space="preserve"> і 2 містили відносно більше організацій вторинного сектора (40,2 і 52,5 відсотка відповідно), тоді як цей сектор був відносно менше представлений у кластерах 3 і 4 (22,6 і 26,6 відповідно). Таким чином, у наступних аналізах </w:t>
      </w:r>
      <w:r>
        <w:rPr>
          <w:rFonts w:ascii="Times New Roman" w:hAnsi="Times New Roman" w:cs="Times New Roman"/>
          <w:sz w:val="28"/>
          <w:szCs w:val="28"/>
          <w:lang w:val="uk-UA"/>
        </w:rPr>
        <w:t xml:space="preserve">саме на </w:t>
      </w:r>
      <w:r w:rsidRPr="00E2067D">
        <w:rPr>
          <w:rFonts w:ascii="Times New Roman" w:hAnsi="Times New Roman" w:cs="Times New Roman"/>
          <w:sz w:val="28"/>
          <w:szCs w:val="28"/>
          <w:lang w:val="uk-UA"/>
        </w:rPr>
        <w:t>ц</w:t>
      </w:r>
      <w:r>
        <w:rPr>
          <w:rFonts w:ascii="Times New Roman" w:hAnsi="Times New Roman" w:cs="Times New Roman"/>
          <w:sz w:val="28"/>
          <w:szCs w:val="28"/>
          <w:lang w:val="uk-UA"/>
        </w:rPr>
        <w:t>ьому</w:t>
      </w:r>
      <w:r w:rsidRPr="00E2067D">
        <w:rPr>
          <w:rFonts w:ascii="Times New Roman" w:hAnsi="Times New Roman" w:cs="Times New Roman"/>
          <w:sz w:val="28"/>
          <w:szCs w:val="28"/>
          <w:lang w:val="uk-UA"/>
        </w:rPr>
        <w:t xml:space="preserve"> сектор</w:t>
      </w:r>
      <w:r>
        <w:rPr>
          <w:rFonts w:ascii="Times New Roman" w:hAnsi="Times New Roman" w:cs="Times New Roman"/>
          <w:sz w:val="28"/>
          <w:szCs w:val="28"/>
          <w:lang w:val="uk-UA"/>
        </w:rPr>
        <w:t>і було зосереджено увагу і він більше</w:t>
      </w:r>
      <w:r w:rsidRPr="00E2067D">
        <w:rPr>
          <w:rFonts w:ascii="Times New Roman" w:hAnsi="Times New Roman" w:cs="Times New Roman"/>
          <w:sz w:val="28"/>
          <w:szCs w:val="28"/>
          <w:lang w:val="uk-UA"/>
        </w:rPr>
        <w:t xml:space="preserve"> контролювався.</w:t>
      </w:r>
    </w:p>
    <w:p w14:paraId="6EA5E868"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Щоб оцінити, якою мірою відносна кількість </w:t>
      </w:r>
      <w:proofErr w:type="spellStart"/>
      <w:r w:rsidRPr="00E2067D">
        <w:rPr>
          <w:rFonts w:ascii="Times New Roman" w:hAnsi="Times New Roman" w:cs="Times New Roman"/>
          <w:sz w:val="28"/>
          <w:szCs w:val="28"/>
          <w:lang w:val="uk-UA"/>
        </w:rPr>
        <w:t>високоцінних</w:t>
      </w:r>
      <w:proofErr w:type="spellEnd"/>
      <w:r w:rsidRPr="00E2067D">
        <w:rPr>
          <w:rFonts w:ascii="Times New Roman" w:hAnsi="Times New Roman" w:cs="Times New Roman"/>
          <w:sz w:val="28"/>
          <w:szCs w:val="28"/>
          <w:lang w:val="uk-UA"/>
        </w:rPr>
        <w:t xml:space="preserve"> та унікальних працівників організації впливає на цілі управління кар’єрою, спочатку </w:t>
      </w:r>
      <w:r>
        <w:rPr>
          <w:rFonts w:ascii="Times New Roman" w:hAnsi="Times New Roman" w:cs="Times New Roman"/>
          <w:sz w:val="28"/>
          <w:szCs w:val="28"/>
          <w:lang w:val="uk-UA"/>
        </w:rPr>
        <w:t xml:space="preserve">було </w:t>
      </w:r>
      <w:r w:rsidRPr="00E2067D">
        <w:rPr>
          <w:rFonts w:ascii="Times New Roman" w:hAnsi="Times New Roman" w:cs="Times New Roman"/>
          <w:sz w:val="28"/>
          <w:szCs w:val="28"/>
          <w:lang w:val="uk-UA"/>
        </w:rPr>
        <w:t>перевір</w:t>
      </w:r>
      <w:r>
        <w:rPr>
          <w:rFonts w:ascii="Times New Roman" w:hAnsi="Times New Roman" w:cs="Times New Roman"/>
          <w:sz w:val="28"/>
          <w:szCs w:val="28"/>
          <w:lang w:val="uk-UA"/>
        </w:rPr>
        <w:t>ено</w:t>
      </w:r>
      <w:r w:rsidRPr="00E2067D">
        <w:rPr>
          <w:rFonts w:ascii="Times New Roman" w:hAnsi="Times New Roman" w:cs="Times New Roman"/>
          <w:sz w:val="28"/>
          <w:szCs w:val="28"/>
          <w:lang w:val="uk-UA"/>
        </w:rPr>
        <w:t xml:space="preserve"> чи існують значні відмінності між чотирма кластерами з точки зору шести цілей управління кар’єрою, використовуючи дисперсійний аналіз (ANOVA). </w:t>
      </w:r>
      <w:r>
        <w:rPr>
          <w:rFonts w:ascii="Times New Roman" w:hAnsi="Times New Roman" w:cs="Times New Roman"/>
          <w:sz w:val="28"/>
          <w:szCs w:val="28"/>
          <w:lang w:val="uk-UA"/>
        </w:rPr>
        <w:t xml:space="preserve">За результатами </w:t>
      </w:r>
      <w:r w:rsidRPr="001062E1">
        <w:rPr>
          <w:rFonts w:ascii="Times New Roman" w:hAnsi="Times New Roman" w:cs="Times New Roman"/>
          <w:sz w:val="28"/>
          <w:szCs w:val="28"/>
          <w:lang w:val="uk-UA"/>
        </w:rPr>
        <w:t xml:space="preserve">дослідження </w:t>
      </w:r>
      <w:r w:rsidRPr="001062E1">
        <w:rPr>
          <w:rFonts w:ascii="Times New Roman" w:hAnsi="Times New Roman" w:cs="Times New Roman"/>
          <w:sz w:val="28"/>
          <w:szCs w:val="28"/>
        </w:rPr>
        <w:t xml:space="preserve">[149] </w:t>
      </w:r>
      <w:r w:rsidRPr="001062E1">
        <w:rPr>
          <w:rFonts w:ascii="Times New Roman" w:hAnsi="Times New Roman" w:cs="Times New Roman"/>
          <w:sz w:val="28"/>
          <w:szCs w:val="28"/>
          <w:lang w:val="uk-UA"/>
        </w:rPr>
        <w:t>чотири</w:t>
      </w:r>
      <w:r w:rsidRPr="00E2067D">
        <w:rPr>
          <w:rFonts w:ascii="Times New Roman" w:hAnsi="Times New Roman" w:cs="Times New Roman"/>
          <w:sz w:val="28"/>
          <w:szCs w:val="28"/>
          <w:lang w:val="uk-UA"/>
        </w:rPr>
        <w:t xml:space="preserve"> кластери не відрізнялися суттєво з точки зору важливості, наданої п’яти цілям, визначеним </w:t>
      </w:r>
      <w:proofErr w:type="spellStart"/>
      <w:r>
        <w:rPr>
          <w:rFonts w:ascii="Times New Roman" w:hAnsi="Times New Roman" w:cs="Times New Roman"/>
          <w:sz w:val="28"/>
          <w:szCs w:val="28"/>
          <w:lang w:val="uk-UA"/>
        </w:rPr>
        <w:t>Нішії</w:t>
      </w:r>
      <w:proofErr w:type="spellEnd"/>
      <w:r>
        <w:rPr>
          <w:rFonts w:ascii="Times New Roman" w:hAnsi="Times New Roman" w:cs="Times New Roman"/>
          <w:sz w:val="28"/>
          <w:szCs w:val="28"/>
          <w:lang w:val="uk-UA"/>
        </w:rPr>
        <w:t xml:space="preserve"> та колегами</w:t>
      </w:r>
      <w:r w:rsidRPr="00E2067D">
        <w:rPr>
          <w:rFonts w:ascii="Times New Roman" w:hAnsi="Times New Roman" w:cs="Times New Roman"/>
          <w:sz w:val="28"/>
          <w:szCs w:val="28"/>
          <w:lang w:val="uk-UA"/>
        </w:rPr>
        <w:t xml:space="preserve"> [158]. Єдина значуща різниця між кластерами пов’язана з ціллю безперервності, що підтверджує попереднє припущення. Враховуючи, що не </w:t>
      </w:r>
      <w:r>
        <w:rPr>
          <w:rFonts w:ascii="Times New Roman" w:hAnsi="Times New Roman" w:cs="Times New Roman"/>
          <w:sz w:val="28"/>
          <w:szCs w:val="28"/>
          <w:lang w:val="uk-UA"/>
        </w:rPr>
        <w:t xml:space="preserve">було </w:t>
      </w:r>
      <w:r w:rsidRPr="00E2067D">
        <w:rPr>
          <w:rFonts w:ascii="Times New Roman" w:hAnsi="Times New Roman" w:cs="Times New Roman"/>
          <w:sz w:val="28"/>
          <w:szCs w:val="28"/>
          <w:lang w:val="uk-UA"/>
        </w:rPr>
        <w:t>вияв</w:t>
      </w:r>
      <w:r>
        <w:rPr>
          <w:rFonts w:ascii="Times New Roman" w:hAnsi="Times New Roman" w:cs="Times New Roman"/>
          <w:sz w:val="28"/>
          <w:szCs w:val="28"/>
          <w:lang w:val="uk-UA"/>
        </w:rPr>
        <w:t>лено</w:t>
      </w:r>
      <w:r w:rsidRPr="00E2067D">
        <w:rPr>
          <w:rFonts w:ascii="Times New Roman" w:hAnsi="Times New Roman" w:cs="Times New Roman"/>
          <w:sz w:val="28"/>
          <w:szCs w:val="28"/>
          <w:lang w:val="uk-UA"/>
        </w:rPr>
        <w:t xml:space="preserve"> суттєвих відмінностей між кластерами з точки зору п’яти більш загальних HR ціл</w:t>
      </w:r>
      <w:r>
        <w:rPr>
          <w:rFonts w:ascii="Times New Roman" w:hAnsi="Times New Roman" w:cs="Times New Roman"/>
          <w:sz w:val="28"/>
          <w:szCs w:val="28"/>
          <w:lang w:val="uk-UA"/>
        </w:rPr>
        <w:t>ей</w:t>
      </w:r>
      <w:r w:rsidRPr="00E2067D">
        <w:rPr>
          <w:rFonts w:ascii="Times New Roman" w:hAnsi="Times New Roman" w:cs="Times New Roman"/>
          <w:sz w:val="28"/>
          <w:szCs w:val="28"/>
          <w:lang w:val="uk-UA"/>
        </w:rPr>
        <w:t xml:space="preserve">, які організації можуть досягати шляхом управління кар’єрою, </w:t>
      </w:r>
      <w:r>
        <w:rPr>
          <w:rFonts w:ascii="Times New Roman" w:hAnsi="Times New Roman" w:cs="Times New Roman"/>
          <w:sz w:val="28"/>
          <w:szCs w:val="28"/>
          <w:lang w:val="uk-UA"/>
        </w:rPr>
        <w:t xml:space="preserve">то </w:t>
      </w:r>
      <w:r w:rsidRPr="00E2067D">
        <w:rPr>
          <w:rFonts w:ascii="Times New Roman" w:hAnsi="Times New Roman" w:cs="Times New Roman"/>
          <w:sz w:val="28"/>
          <w:szCs w:val="28"/>
          <w:lang w:val="uk-UA"/>
        </w:rPr>
        <w:t xml:space="preserve">не </w:t>
      </w:r>
      <w:r>
        <w:rPr>
          <w:rFonts w:ascii="Times New Roman" w:hAnsi="Times New Roman" w:cs="Times New Roman"/>
          <w:sz w:val="28"/>
          <w:szCs w:val="28"/>
          <w:lang w:val="uk-UA"/>
        </w:rPr>
        <w:t xml:space="preserve">було </w:t>
      </w:r>
      <w:r w:rsidRPr="00E2067D">
        <w:rPr>
          <w:rFonts w:ascii="Times New Roman" w:hAnsi="Times New Roman" w:cs="Times New Roman"/>
          <w:sz w:val="28"/>
          <w:szCs w:val="28"/>
          <w:lang w:val="uk-UA"/>
        </w:rPr>
        <w:t>включ</w:t>
      </w:r>
      <w:r>
        <w:rPr>
          <w:rFonts w:ascii="Times New Roman" w:hAnsi="Times New Roman" w:cs="Times New Roman"/>
          <w:sz w:val="28"/>
          <w:szCs w:val="28"/>
          <w:lang w:val="uk-UA"/>
        </w:rPr>
        <w:t>ено</w:t>
      </w:r>
      <w:r w:rsidRPr="00E2067D">
        <w:rPr>
          <w:rFonts w:ascii="Times New Roman" w:hAnsi="Times New Roman" w:cs="Times New Roman"/>
          <w:sz w:val="28"/>
          <w:szCs w:val="28"/>
          <w:lang w:val="uk-UA"/>
        </w:rPr>
        <w:t xml:space="preserve"> їх у подальший регресійний аналіз.</w:t>
      </w:r>
    </w:p>
    <w:p w14:paraId="6DD1D91C"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Результати </w:t>
      </w:r>
      <w:r>
        <w:rPr>
          <w:rFonts w:ascii="Times New Roman" w:hAnsi="Times New Roman" w:cs="Times New Roman"/>
          <w:sz w:val="28"/>
          <w:szCs w:val="28"/>
          <w:lang w:val="uk-UA"/>
        </w:rPr>
        <w:t>проведеного</w:t>
      </w:r>
      <w:r w:rsidRPr="00E2067D">
        <w:rPr>
          <w:rFonts w:ascii="Times New Roman" w:hAnsi="Times New Roman" w:cs="Times New Roman"/>
          <w:sz w:val="28"/>
          <w:szCs w:val="28"/>
          <w:lang w:val="uk-UA"/>
        </w:rPr>
        <w:t xml:space="preserve"> регресійного аналізу показують, що порівняно з організаціями з кластера 1 (тобто низька цінність, низька унікальність), організації з трьох інших кластерів надають значно більшого значення цілі управління кар’єрою щодо збереження організаційно</w:t>
      </w:r>
      <w:r>
        <w:rPr>
          <w:rFonts w:ascii="Times New Roman" w:hAnsi="Times New Roman" w:cs="Times New Roman"/>
          <w:sz w:val="28"/>
          <w:szCs w:val="28"/>
          <w:lang w:val="uk-UA"/>
        </w:rPr>
        <w:t>го</w:t>
      </w:r>
      <w:r w:rsidRPr="00E2067D">
        <w:rPr>
          <w:rFonts w:ascii="Times New Roman" w:hAnsi="Times New Roman" w:cs="Times New Roman"/>
          <w:sz w:val="28"/>
          <w:szCs w:val="28"/>
          <w:lang w:val="uk-UA"/>
        </w:rPr>
        <w:t xml:space="preserve"> </w:t>
      </w:r>
      <w:r>
        <w:rPr>
          <w:rFonts w:ascii="Times New Roman" w:hAnsi="Times New Roman" w:cs="Times New Roman"/>
          <w:sz w:val="28"/>
          <w:szCs w:val="28"/>
          <w:lang w:val="uk-UA"/>
        </w:rPr>
        <w:t>заміщення</w:t>
      </w:r>
      <w:r w:rsidRPr="00E2067D">
        <w:rPr>
          <w:rFonts w:ascii="Times New Roman" w:hAnsi="Times New Roman" w:cs="Times New Roman"/>
          <w:sz w:val="28"/>
          <w:szCs w:val="28"/>
          <w:lang w:val="uk-UA"/>
        </w:rPr>
        <w:t xml:space="preserve">, що узгоджується з дисперсійним аналізом, наведеним вище, і підтверджує </w:t>
      </w:r>
      <w:r>
        <w:rPr>
          <w:rFonts w:ascii="Times New Roman" w:hAnsi="Times New Roman" w:cs="Times New Roman"/>
          <w:sz w:val="28"/>
          <w:szCs w:val="28"/>
          <w:lang w:val="uk-UA"/>
        </w:rPr>
        <w:t>попереднє припущення</w:t>
      </w:r>
      <w:r w:rsidRPr="00E2067D">
        <w:rPr>
          <w:rFonts w:ascii="Times New Roman" w:hAnsi="Times New Roman" w:cs="Times New Roman"/>
          <w:sz w:val="28"/>
          <w:szCs w:val="28"/>
          <w:lang w:val="uk-UA"/>
        </w:rPr>
        <w:t>. Разом членство в кластері та контрольні змінні пояснюють 11% відхилень у важливості, яка надається безперервності як меті управління кар’єрою</w:t>
      </w:r>
      <w:r>
        <w:rPr>
          <w:rFonts w:ascii="Times New Roman" w:hAnsi="Times New Roman" w:cs="Times New Roman"/>
          <w:sz w:val="28"/>
          <w:szCs w:val="28"/>
          <w:lang w:val="uk-UA"/>
        </w:rPr>
        <w:t xml:space="preserve"> </w:t>
      </w:r>
      <w:r w:rsidRPr="001062E1">
        <w:rPr>
          <w:rFonts w:ascii="Times New Roman" w:hAnsi="Times New Roman" w:cs="Times New Roman"/>
          <w:sz w:val="28"/>
          <w:szCs w:val="28"/>
        </w:rPr>
        <w:t>[149]</w:t>
      </w:r>
      <w:r w:rsidRPr="00E2067D">
        <w:rPr>
          <w:rFonts w:ascii="Times New Roman" w:hAnsi="Times New Roman" w:cs="Times New Roman"/>
          <w:sz w:val="28"/>
          <w:szCs w:val="28"/>
          <w:lang w:val="uk-UA"/>
        </w:rPr>
        <w:t>.</w:t>
      </w:r>
    </w:p>
    <w:p w14:paraId="268306C7"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lastRenderedPageBreak/>
        <w:t xml:space="preserve">На наступному кроці </w:t>
      </w:r>
      <w:r>
        <w:rPr>
          <w:rFonts w:ascii="Times New Roman" w:hAnsi="Times New Roman" w:cs="Times New Roman"/>
          <w:sz w:val="28"/>
          <w:szCs w:val="28"/>
          <w:lang w:val="uk-UA"/>
        </w:rPr>
        <w:t xml:space="preserve">було </w:t>
      </w:r>
      <w:r w:rsidRPr="00E2067D">
        <w:rPr>
          <w:rFonts w:ascii="Times New Roman" w:hAnsi="Times New Roman" w:cs="Times New Roman"/>
          <w:sz w:val="28"/>
          <w:szCs w:val="28"/>
          <w:lang w:val="uk-UA"/>
        </w:rPr>
        <w:t>оцін</w:t>
      </w:r>
      <w:r>
        <w:rPr>
          <w:rFonts w:ascii="Times New Roman" w:hAnsi="Times New Roman" w:cs="Times New Roman"/>
          <w:sz w:val="28"/>
          <w:szCs w:val="28"/>
          <w:lang w:val="uk-UA"/>
        </w:rPr>
        <w:t>ено</w:t>
      </w:r>
      <w:r w:rsidRPr="00E2067D">
        <w:rPr>
          <w:rFonts w:ascii="Times New Roman" w:hAnsi="Times New Roman" w:cs="Times New Roman"/>
          <w:sz w:val="28"/>
          <w:szCs w:val="28"/>
          <w:lang w:val="uk-UA"/>
        </w:rPr>
        <w:t xml:space="preserve"> чи ціль безперервності суттєво пов’язана з показниками традиційного підходу до управління кар’єрою. </w:t>
      </w:r>
      <w:r>
        <w:rPr>
          <w:rFonts w:ascii="Times New Roman" w:hAnsi="Times New Roman" w:cs="Times New Roman"/>
          <w:sz w:val="28"/>
          <w:szCs w:val="28"/>
          <w:lang w:val="uk-UA"/>
        </w:rPr>
        <w:t>Отримані</w:t>
      </w:r>
      <w:r w:rsidRPr="00E2067D">
        <w:rPr>
          <w:rFonts w:ascii="Times New Roman" w:hAnsi="Times New Roman" w:cs="Times New Roman"/>
          <w:sz w:val="28"/>
          <w:szCs w:val="28"/>
          <w:lang w:val="uk-UA"/>
        </w:rPr>
        <w:t xml:space="preserve"> результати надають неоднозначні докази</w:t>
      </w:r>
      <w:r>
        <w:rPr>
          <w:rFonts w:ascii="Times New Roman" w:hAnsi="Times New Roman" w:cs="Times New Roman"/>
          <w:sz w:val="28"/>
          <w:szCs w:val="28"/>
          <w:lang w:val="uk-UA"/>
        </w:rPr>
        <w:t>, тому не можуть бути однозначно інтерпретовані</w:t>
      </w:r>
      <w:r w:rsidRPr="00E2067D">
        <w:rPr>
          <w:rFonts w:ascii="Times New Roman" w:hAnsi="Times New Roman" w:cs="Times New Roman"/>
          <w:sz w:val="28"/>
          <w:szCs w:val="28"/>
          <w:lang w:val="uk-UA"/>
        </w:rPr>
        <w:t xml:space="preserve">. По-перше, що стосується зосередженості на кар’єрних результатах організації, зв’язок із важливістю безперервності виявився негативним. По-друге, зв’язок з організаційною підзвітністю щодо управління кар’єрою виявився незначним. По-третє, </w:t>
      </w:r>
      <w:r>
        <w:rPr>
          <w:rFonts w:ascii="Times New Roman" w:hAnsi="Times New Roman" w:cs="Times New Roman"/>
          <w:sz w:val="28"/>
          <w:szCs w:val="28"/>
          <w:lang w:val="uk-UA"/>
        </w:rPr>
        <w:t>отриман</w:t>
      </w:r>
      <w:r w:rsidRPr="00E2067D">
        <w:rPr>
          <w:rFonts w:ascii="Times New Roman" w:hAnsi="Times New Roman" w:cs="Times New Roman"/>
          <w:sz w:val="28"/>
          <w:szCs w:val="28"/>
          <w:lang w:val="uk-UA"/>
        </w:rPr>
        <w:t xml:space="preserve">і результати показали, що важливість безперервності була суттєво та позитивно пов’язана з перевагою </w:t>
      </w:r>
      <w:proofErr w:type="spellStart"/>
      <w:r w:rsidRPr="00E2067D">
        <w:rPr>
          <w:rFonts w:ascii="Times New Roman" w:hAnsi="Times New Roman" w:cs="Times New Roman"/>
          <w:sz w:val="28"/>
          <w:szCs w:val="28"/>
          <w:lang w:val="uk-UA"/>
        </w:rPr>
        <w:t>внутрішньоорганізаційної</w:t>
      </w:r>
      <w:proofErr w:type="spellEnd"/>
      <w:r w:rsidRPr="00E2067D">
        <w:rPr>
          <w:rFonts w:ascii="Times New Roman" w:hAnsi="Times New Roman" w:cs="Times New Roman"/>
          <w:sz w:val="28"/>
          <w:szCs w:val="28"/>
          <w:lang w:val="uk-UA"/>
        </w:rPr>
        <w:t xml:space="preserve"> мобільності, що підтверджує </w:t>
      </w:r>
      <w:r>
        <w:rPr>
          <w:rFonts w:ascii="Times New Roman" w:hAnsi="Times New Roman" w:cs="Times New Roman"/>
          <w:sz w:val="28"/>
          <w:szCs w:val="28"/>
          <w:lang w:val="uk-UA"/>
        </w:rPr>
        <w:t>висунуте припущення</w:t>
      </w:r>
      <w:r w:rsidRPr="00E2067D">
        <w:rPr>
          <w:rFonts w:ascii="Times New Roman" w:hAnsi="Times New Roman" w:cs="Times New Roman"/>
          <w:sz w:val="28"/>
          <w:szCs w:val="28"/>
          <w:lang w:val="uk-UA"/>
        </w:rPr>
        <w:t>. По-четверте, було виявлено позитивний зв’язок із кількістю формалізованих методів управління кар’єрою</w:t>
      </w:r>
      <w:r>
        <w:rPr>
          <w:rFonts w:ascii="Times New Roman" w:hAnsi="Times New Roman" w:cs="Times New Roman"/>
          <w:sz w:val="28"/>
          <w:szCs w:val="28"/>
          <w:lang w:val="uk-UA"/>
        </w:rPr>
        <w:t xml:space="preserve"> </w:t>
      </w:r>
      <w:r w:rsidRPr="001062E1">
        <w:rPr>
          <w:rFonts w:ascii="Times New Roman" w:hAnsi="Times New Roman" w:cs="Times New Roman"/>
          <w:sz w:val="28"/>
          <w:szCs w:val="28"/>
        </w:rPr>
        <w:t>[149]</w:t>
      </w:r>
      <w:r w:rsidRPr="00E2067D">
        <w:rPr>
          <w:rFonts w:ascii="Times New Roman" w:hAnsi="Times New Roman" w:cs="Times New Roman"/>
          <w:sz w:val="28"/>
          <w:szCs w:val="28"/>
          <w:lang w:val="uk-UA"/>
        </w:rPr>
        <w:t>.</w:t>
      </w:r>
    </w:p>
    <w:p w14:paraId="0BA7C0A9"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етапом було перевірено</w:t>
      </w:r>
      <w:r w:rsidRPr="00E2067D">
        <w:rPr>
          <w:rFonts w:ascii="Times New Roman" w:hAnsi="Times New Roman" w:cs="Times New Roman"/>
          <w:sz w:val="28"/>
          <w:szCs w:val="28"/>
          <w:lang w:val="uk-UA"/>
        </w:rPr>
        <w:t xml:space="preserve"> чи членство в кластері безпосередньо пов’язане з показниками традиційного підходу до управління кар’єрою. Порівняно з кластером 1 (тобто низька цінність, низька унікальність), організації з кластера 4 (висока цінність, висока унікальність) були значно менше зосереджені</w:t>
      </w:r>
      <w:r>
        <w:rPr>
          <w:rFonts w:ascii="Times New Roman" w:hAnsi="Times New Roman" w:cs="Times New Roman"/>
          <w:sz w:val="28"/>
          <w:szCs w:val="28"/>
          <w:lang w:val="uk-UA"/>
        </w:rPr>
        <w:t xml:space="preserve"> на організаційних результатах </w:t>
      </w:r>
      <w:r w:rsidRPr="00E2067D">
        <w:rPr>
          <w:rFonts w:ascii="Times New Roman" w:hAnsi="Times New Roman" w:cs="Times New Roman"/>
          <w:sz w:val="28"/>
          <w:szCs w:val="28"/>
          <w:lang w:val="uk-UA"/>
        </w:rPr>
        <w:t xml:space="preserve">і отримали суттєві </w:t>
      </w:r>
      <w:r>
        <w:rPr>
          <w:rFonts w:ascii="Times New Roman" w:hAnsi="Times New Roman" w:cs="Times New Roman"/>
          <w:sz w:val="28"/>
          <w:szCs w:val="28"/>
          <w:lang w:val="uk-UA"/>
        </w:rPr>
        <w:t>значення</w:t>
      </w:r>
      <w:r w:rsidRPr="00E2067D">
        <w:rPr>
          <w:rFonts w:ascii="Times New Roman" w:hAnsi="Times New Roman" w:cs="Times New Roman"/>
          <w:sz w:val="28"/>
          <w:szCs w:val="28"/>
          <w:lang w:val="uk-UA"/>
        </w:rPr>
        <w:t xml:space="preserve"> нижче за організаційну підзвітність для управління кар'єрою. Вони отримали значно вищі бали за перевагу кар’єрної мо</w:t>
      </w:r>
      <w:r>
        <w:rPr>
          <w:rFonts w:ascii="Times New Roman" w:hAnsi="Times New Roman" w:cs="Times New Roman"/>
          <w:sz w:val="28"/>
          <w:szCs w:val="28"/>
          <w:lang w:val="uk-UA"/>
        </w:rPr>
        <w:t>більності всередині організації</w:t>
      </w:r>
      <w:r w:rsidRPr="00E2067D">
        <w:rPr>
          <w:rFonts w:ascii="Times New Roman" w:hAnsi="Times New Roman" w:cs="Times New Roman"/>
          <w:sz w:val="28"/>
          <w:szCs w:val="28"/>
          <w:lang w:val="uk-UA"/>
        </w:rPr>
        <w:t xml:space="preserve"> і мали значно більш формалізовані практики управління кар’єрою. Організації з кластера 2 (низька цінність, висока унікальність) також повідомили про значно більше формалізованих практик управління кар’єрою порівняно з кластером 1</w:t>
      </w:r>
      <w:r>
        <w:rPr>
          <w:rFonts w:ascii="Times New Roman" w:hAnsi="Times New Roman" w:cs="Times New Roman"/>
          <w:sz w:val="28"/>
          <w:szCs w:val="28"/>
          <w:lang w:val="uk-UA"/>
        </w:rPr>
        <w:t xml:space="preserve"> </w:t>
      </w:r>
      <w:r w:rsidRPr="001062E1">
        <w:rPr>
          <w:rFonts w:ascii="Times New Roman" w:hAnsi="Times New Roman" w:cs="Times New Roman"/>
          <w:sz w:val="28"/>
          <w:szCs w:val="28"/>
        </w:rPr>
        <w:t>[149]</w:t>
      </w:r>
      <w:r w:rsidRPr="00E2067D">
        <w:rPr>
          <w:rFonts w:ascii="Times New Roman" w:hAnsi="Times New Roman" w:cs="Times New Roman"/>
          <w:sz w:val="28"/>
          <w:szCs w:val="28"/>
          <w:lang w:val="uk-UA"/>
        </w:rPr>
        <w:t>.</w:t>
      </w:r>
    </w:p>
    <w:p w14:paraId="3D96C7FF"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Нарешті, щоб оцінити посередницьку роль, яку надають безперервності як меті управління кар’єрою у взаємозв’язку між складом людського капіталу та підходом до управління кар’єрою для тих результатів, для яких існує значний прямий зв’язок із безперервністю та складом людського капіталу було знайдено (тобто фокус управління кар’єрою, переваги мобільності та кількість формалізованих практик управління кар’єрою), </w:t>
      </w:r>
      <w:r>
        <w:rPr>
          <w:rFonts w:ascii="Times New Roman" w:hAnsi="Times New Roman" w:cs="Times New Roman"/>
          <w:sz w:val="28"/>
          <w:szCs w:val="28"/>
          <w:lang w:val="uk-UA"/>
        </w:rPr>
        <w:t>було</w:t>
      </w:r>
      <w:r w:rsidRPr="00E2067D">
        <w:rPr>
          <w:rFonts w:ascii="Times New Roman" w:hAnsi="Times New Roman" w:cs="Times New Roman"/>
          <w:sz w:val="28"/>
          <w:szCs w:val="28"/>
          <w:lang w:val="uk-UA"/>
        </w:rPr>
        <w:t xml:space="preserve"> перевір</w:t>
      </w:r>
      <w:r>
        <w:rPr>
          <w:rFonts w:ascii="Times New Roman" w:hAnsi="Times New Roman" w:cs="Times New Roman"/>
          <w:sz w:val="28"/>
          <w:szCs w:val="28"/>
          <w:lang w:val="uk-UA"/>
        </w:rPr>
        <w:t>ено</w:t>
      </w:r>
      <w:r w:rsidRPr="00E2067D">
        <w:rPr>
          <w:rFonts w:ascii="Times New Roman" w:hAnsi="Times New Roman" w:cs="Times New Roman"/>
          <w:sz w:val="28"/>
          <w:szCs w:val="28"/>
          <w:lang w:val="uk-UA"/>
        </w:rPr>
        <w:t xml:space="preserve"> чи зв’язок між кластером і результатом все ще був значущим при введенні безперервності в рівняння регресії. На підтримку </w:t>
      </w:r>
      <w:r>
        <w:rPr>
          <w:rFonts w:ascii="Times New Roman" w:hAnsi="Times New Roman" w:cs="Times New Roman"/>
          <w:sz w:val="28"/>
          <w:szCs w:val="28"/>
          <w:lang w:val="uk-UA"/>
        </w:rPr>
        <w:t xml:space="preserve">висунутого припущення отримані </w:t>
      </w:r>
      <w:r w:rsidRPr="00E2067D">
        <w:rPr>
          <w:rFonts w:ascii="Times New Roman" w:hAnsi="Times New Roman" w:cs="Times New Roman"/>
          <w:sz w:val="28"/>
          <w:szCs w:val="28"/>
          <w:lang w:val="uk-UA"/>
        </w:rPr>
        <w:t xml:space="preserve">результати показують, що безперервність повністю опосередковує всі вищезазначені зв’язки </w:t>
      </w:r>
      <w:r w:rsidRPr="00E2067D">
        <w:rPr>
          <w:rFonts w:ascii="Times New Roman" w:hAnsi="Times New Roman" w:cs="Times New Roman"/>
          <w:sz w:val="28"/>
          <w:szCs w:val="28"/>
          <w:lang w:val="uk-UA"/>
        </w:rPr>
        <w:lastRenderedPageBreak/>
        <w:t>між кластерами та результатами. У сукупності з чотирьох результатів управління кар’єрою, включених у дослідження, на параметр переваги мобільності найбільше вплинули склад людського капіталу та важливість безперервності, як вказує частка поясненої дисперсії, тоді як за іншими вимірами частка поясненої дисперсії була відносно низькою для кількості формалізованих практик управління кар’єрою</w:t>
      </w:r>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[149]</w:t>
      </w:r>
      <w:r w:rsidRPr="00E2067D">
        <w:rPr>
          <w:rFonts w:ascii="Times New Roman" w:hAnsi="Times New Roman" w:cs="Times New Roman"/>
          <w:sz w:val="28"/>
          <w:szCs w:val="28"/>
          <w:lang w:val="uk-UA"/>
        </w:rPr>
        <w:t>.</w:t>
      </w:r>
    </w:p>
    <w:p w14:paraId="5C8348BE"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наведеного дослідження</w:t>
      </w:r>
      <w:r w:rsidRPr="00E2067D">
        <w:rPr>
          <w:rFonts w:ascii="Times New Roman" w:hAnsi="Times New Roman" w:cs="Times New Roman"/>
          <w:sz w:val="28"/>
          <w:szCs w:val="28"/>
          <w:lang w:val="uk-UA"/>
        </w:rPr>
        <w:t xml:space="preserve"> ма</w:t>
      </w:r>
      <w:r>
        <w:rPr>
          <w:rFonts w:ascii="Times New Roman" w:hAnsi="Times New Roman" w:cs="Times New Roman"/>
          <w:sz w:val="28"/>
          <w:szCs w:val="28"/>
          <w:lang w:val="uk-UA"/>
        </w:rPr>
        <w:t>ли</w:t>
      </w:r>
      <w:r w:rsidRPr="00E2067D">
        <w:rPr>
          <w:rFonts w:ascii="Times New Roman" w:hAnsi="Times New Roman" w:cs="Times New Roman"/>
          <w:sz w:val="28"/>
          <w:szCs w:val="28"/>
          <w:lang w:val="uk-UA"/>
        </w:rPr>
        <w:t xml:space="preserve"> на меті отримати емпіричне розуміння того, як склад людського капіталу організацій (як з точки зору унікальності, так і стратегічної цінності) впливає на те, як вони розробляють і впроваджують свою політику управління кар’єрою. </w:t>
      </w:r>
      <w:r>
        <w:rPr>
          <w:rFonts w:ascii="Times New Roman" w:hAnsi="Times New Roman" w:cs="Times New Roman"/>
          <w:sz w:val="28"/>
          <w:szCs w:val="28"/>
          <w:lang w:val="uk-UA"/>
        </w:rPr>
        <w:t>О</w:t>
      </w:r>
      <w:r w:rsidRPr="00E2067D">
        <w:rPr>
          <w:rFonts w:ascii="Times New Roman" w:hAnsi="Times New Roman" w:cs="Times New Roman"/>
          <w:sz w:val="28"/>
          <w:szCs w:val="28"/>
          <w:lang w:val="uk-UA"/>
        </w:rPr>
        <w:t xml:space="preserve">сновне </w:t>
      </w:r>
      <w:r>
        <w:rPr>
          <w:rFonts w:ascii="Times New Roman" w:hAnsi="Times New Roman" w:cs="Times New Roman"/>
          <w:sz w:val="28"/>
          <w:szCs w:val="28"/>
          <w:lang w:val="uk-UA"/>
        </w:rPr>
        <w:t xml:space="preserve">наведене </w:t>
      </w:r>
      <w:r w:rsidRPr="00E2067D">
        <w:rPr>
          <w:rFonts w:ascii="Times New Roman" w:hAnsi="Times New Roman" w:cs="Times New Roman"/>
          <w:sz w:val="28"/>
          <w:szCs w:val="28"/>
          <w:lang w:val="uk-UA"/>
        </w:rPr>
        <w:t xml:space="preserve">припущення </w:t>
      </w:r>
      <w:r>
        <w:rPr>
          <w:rFonts w:ascii="Times New Roman" w:hAnsi="Times New Roman" w:cs="Times New Roman"/>
          <w:sz w:val="28"/>
          <w:szCs w:val="28"/>
          <w:lang w:val="uk-UA"/>
        </w:rPr>
        <w:t>(</w:t>
      </w:r>
      <w:r w:rsidRPr="00E2067D">
        <w:rPr>
          <w:rFonts w:ascii="Times New Roman" w:hAnsi="Times New Roman" w:cs="Times New Roman"/>
          <w:sz w:val="28"/>
          <w:szCs w:val="28"/>
          <w:lang w:val="uk-UA"/>
        </w:rPr>
        <w:t>на основі порівняння припущень у літературі про кар’єру та літературі з управління талантами</w:t>
      </w:r>
      <w:r>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полягало в тому, що чим більше значення організації надають безперервності у світлі складу свого людського капіталу, тим більше вони будуть приймати традиційний підхід до управління кар’єрою (тобто стратегічний, патерналістський, обмежений і формалізований).</w:t>
      </w:r>
    </w:p>
    <w:p w14:paraId="338A8953" w14:textId="77777777" w:rsidR="00571B42"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Але наведене </w:t>
      </w:r>
      <w:r w:rsidRPr="00E2067D">
        <w:rPr>
          <w:rFonts w:ascii="Times New Roman" w:hAnsi="Times New Roman" w:cs="Times New Roman"/>
          <w:sz w:val="28"/>
          <w:szCs w:val="28"/>
          <w:lang w:val="uk-UA"/>
        </w:rPr>
        <w:t>дослідження дал</w:t>
      </w:r>
      <w:r>
        <w:rPr>
          <w:rFonts w:ascii="Times New Roman" w:hAnsi="Times New Roman" w:cs="Times New Roman"/>
          <w:sz w:val="28"/>
          <w:szCs w:val="28"/>
          <w:lang w:val="uk-UA"/>
        </w:rPr>
        <w:t>и</w:t>
      </w:r>
      <w:r w:rsidRPr="00E2067D">
        <w:rPr>
          <w:rFonts w:ascii="Times New Roman" w:hAnsi="Times New Roman" w:cs="Times New Roman"/>
          <w:sz w:val="28"/>
          <w:szCs w:val="28"/>
          <w:lang w:val="uk-UA"/>
        </w:rPr>
        <w:t xml:space="preserve"> неоднозначні результати</w:t>
      </w:r>
      <w:r>
        <w:rPr>
          <w:rFonts w:ascii="Times New Roman" w:hAnsi="Times New Roman" w:cs="Times New Roman"/>
          <w:sz w:val="28"/>
          <w:szCs w:val="28"/>
          <w:lang w:val="uk-UA"/>
        </w:rPr>
        <w:t xml:space="preserve"> </w:t>
      </w:r>
      <w:r w:rsidRPr="001062E1">
        <w:rPr>
          <w:rFonts w:ascii="Times New Roman" w:hAnsi="Times New Roman" w:cs="Times New Roman"/>
          <w:sz w:val="28"/>
          <w:szCs w:val="28"/>
        </w:rPr>
        <w:t>[149]</w:t>
      </w:r>
      <w:r w:rsidRPr="00E2067D">
        <w:rPr>
          <w:rFonts w:ascii="Times New Roman" w:hAnsi="Times New Roman" w:cs="Times New Roman"/>
          <w:sz w:val="28"/>
          <w:szCs w:val="28"/>
          <w:lang w:val="uk-UA"/>
        </w:rPr>
        <w:t xml:space="preserve">. Згідно з очікуваннями, склад людського капіталу організації (що вимірюється відносною кількістю </w:t>
      </w:r>
      <w:proofErr w:type="spellStart"/>
      <w:r w:rsidRPr="00E2067D">
        <w:rPr>
          <w:rFonts w:ascii="Times New Roman" w:hAnsi="Times New Roman" w:cs="Times New Roman"/>
          <w:sz w:val="28"/>
          <w:szCs w:val="28"/>
          <w:lang w:val="uk-UA"/>
        </w:rPr>
        <w:t>високоцінних</w:t>
      </w:r>
      <w:proofErr w:type="spellEnd"/>
      <w:r w:rsidRPr="00E2067D">
        <w:rPr>
          <w:rFonts w:ascii="Times New Roman" w:hAnsi="Times New Roman" w:cs="Times New Roman"/>
          <w:sz w:val="28"/>
          <w:szCs w:val="28"/>
          <w:lang w:val="uk-UA"/>
        </w:rPr>
        <w:t xml:space="preserve"> та унікальних співробітників) передбачає, наскільки вона надає важливості безперервності як мети своєї практики управління кар’єрою (також як і очікувалося, не було виявлено відмінностей для інших потенційних цілей управління кар’єрою). Крім того, було встановлено, що важливість безперервності опосередковує зв’язок між складом людського капіталу та підходом до управління кар’єрою. Наші результати показують, що кар’єра може стати більш багатогранною (на що вказує зосередженість на індивідуальних результатах та індивідуальній відповідальності), як це запропоновано в літературі про кар’єру [159], але не більш безмежною (на що вказує чітка перевага для </w:t>
      </w:r>
      <w:proofErr w:type="spellStart"/>
      <w:r w:rsidRPr="00E2067D">
        <w:rPr>
          <w:rFonts w:ascii="Times New Roman" w:hAnsi="Times New Roman" w:cs="Times New Roman"/>
          <w:sz w:val="28"/>
          <w:szCs w:val="28"/>
          <w:lang w:val="uk-UA"/>
        </w:rPr>
        <w:t>внутрішньоорганізаційної</w:t>
      </w:r>
      <w:proofErr w:type="spellEnd"/>
      <w:r w:rsidRPr="00E2067D">
        <w:rPr>
          <w:rFonts w:ascii="Times New Roman" w:hAnsi="Times New Roman" w:cs="Times New Roman"/>
          <w:sz w:val="28"/>
          <w:szCs w:val="28"/>
          <w:lang w:val="uk-UA"/>
        </w:rPr>
        <w:t xml:space="preserve"> кар’єрної мобільності та формалізованих практик управління кар’єрою, які зазвичай вважаються «обмеженими» та «патерналістськими»</w:t>
      </w:r>
      <w:r>
        <w:rPr>
          <w:rFonts w:ascii="Times New Roman" w:hAnsi="Times New Roman" w:cs="Times New Roman"/>
          <w:sz w:val="28"/>
          <w:szCs w:val="28"/>
          <w:lang w:val="uk-UA"/>
        </w:rPr>
        <w:t xml:space="preserve"> сучасними дослідниками кар’єри</w:t>
      </w:r>
      <w:r w:rsidRPr="00E2067D">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[163]</w:t>
      </w:r>
      <w:r w:rsidRPr="00E2067D">
        <w:rPr>
          <w:rFonts w:ascii="Times New Roman" w:hAnsi="Times New Roman" w:cs="Times New Roman"/>
          <w:sz w:val="28"/>
          <w:szCs w:val="28"/>
          <w:lang w:val="uk-UA"/>
        </w:rPr>
        <w:t xml:space="preserve">. Насправді, змінна, на яку найбільше вплинули змінні в </w:t>
      </w:r>
      <w:r>
        <w:rPr>
          <w:rFonts w:ascii="Times New Roman" w:hAnsi="Times New Roman" w:cs="Times New Roman"/>
          <w:sz w:val="28"/>
          <w:szCs w:val="28"/>
          <w:lang w:val="uk-UA"/>
        </w:rPr>
        <w:t>наведеному дослідженні</w:t>
      </w:r>
      <w:r w:rsidRPr="00E2067D">
        <w:rPr>
          <w:rFonts w:ascii="Times New Roman" w:hAnsi="Times New Roman" w:cs="Times New Roman"/>
          <w:sz w:val="28"/>
          <w:szCs w:val="28"/>
          <w:lang w:val="uk-UA"/>
        </w:rPr>
        <w:t xml:space="preserve">, </w:t>
      </w:r>
      <w:r w:rsidRPr="00E2067D">
        <w:rPr>
          <w:rFonts w:ascii="Times New Roman" w:hAnsi="Times New Roman" w:cs="Times New Roman"/>
          <w:sz w:val="28"/>
          <w:szCs w:val="28"/>
          <w:lang w:val="uk-UA"/>
        </w:rPr>
        <w:lastRenderedPageBreak/>
        <w:t xml:space="preserve">була перевага мобільності, у тому сенсі, що більша важливість безперервності призводить до збільшення переваги </w:t>
      </w:r>
      <w:proofErr w:type="spellStart"/>
      <w:r w:rsidRPr="00E2067D">
        <w:rPr>
          <w:rFonts w:ascii="Times New Roman" w:hAnsi="Times New Roman" w:cs="Times New Roman"/>
          <w:sz w:val="28"/>
          <w:szCs w:val="28"/>
          <w:lang w:val="uk-UA"/>
        </w:rPr>
        <w:t>внутрішньоорганізаційних</w:t>
      </w:r>
      <w:proofErr w:type="spellEnd"/>
      <w:r w:rsidRPr="00E2067D">
        <w:rPr>
          <w:rFonts w:ascii="Times New Roman" w:hAnsi="Times New Roman" w:cs="Times New Roman"/>
          <w:sz w:val="28"/>
          <w:szCs w:val="28"/>
          <w:lang w:val="uk-UA"/>
        </w:rPr>
        <w:t xml:space="preserve"> (тобто «обмежених») кар’єр.</w:t>
      </w:r>
    </w:p>
    <w:p w14:paraId="64C308FF"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можна дійти логічних</w:t>
      </w:r>
      <w:r w:rsidRPr="00E2067D">
        <w:rPr>
          <w:rFonts w:ascii="Times New Roman" w:hAnsi="Times New Roman" w:cs="Times New Roman"/>
          <w:sz w:val="28"/>
          <w:szCs w:val="28"/>
          <w:lang w:val="uk-UA"/>
        </w:rPr>
        <w:t xml:space="preserve"> висновк</w:t>
      </w:r>
      <w:r>
        <w:rPr>
          <w:rFonts w:ascii="Times New Roman" w:hAnsi="Times New Roman" w:cs="Times New Roman"/>
          <w:sz w:val="28"/>
          <w:szCs w:val="28"/>
          <w:lang w:val="uk-UA"/>
        </w:rPr>
        <w:t>ів, які</w:t>
      </w:r>
      <w:r w:rsidRPr="00E2067D">
        <w:rPr>
          <w:rFonts w:ascii="Times New Roman" w:hAnsi="Times New Roman" w:cs="Times New Roman"/>
          <w:sz w:val="28"/>
          <w:szCs w:val="28"/>
          <w:lang w:val="uk-UA"/>
        </w:rPr>
        <w:t xml:space="preserve"> також вказують на те, що як загрози якісного (вартість), так і кількісного (унікальність) дефіциту людського капіталу є важливими детермінантами, які надають важливості безперервності та, як наслідок, підходу організації до управління кар’єрою. Однак, унікальність (тобто частка робочої сили організації, яку важко знайти на ринку праці) сама по собі безпосередньо пов’язана лише з важливістю безперервності, а не зі змінними управління кар’єрою. </w:t>
      </w:r>
      <w:r>
        <w:rPr>
          <w:rFonts w:ascii="Times New Roman" w:hAnsi="Times New Roman" w:cs="Times New Roman"/>
          <w:sz w:val="28"/>
          <w:szCs w:val="28"/>
          <w:lang w:val="uk-UA"/>
        </w:rPr>
        <w:t>Таким чином, було виявлено</w:t>
      </w:r>
      <w:r w:rsidRPr="00E2067D">
        <w:rPr>
          <w:rFonts w:ascii="Times New Roman" w:hAnsi="Times New Roman" w:cs="Times New Roman"/>
          <w:sz w:val="28"/>
          <w:szCs w:val="28"/>
          <w:lang w:val="uk-UA"/>
        </w:rPr>
        <w:t xml:space="preserve"> суттєві відмінності між організаціями з великою кількістю співробітників з низькою цінністю та низькою унікальністю та організаціями з іншим складом людського капіталу, таким чином продемонструвавши додаткову цінність спільного тлумачення двох вимірів людського капіталу. Зокрема, наші результати означають, що організації з </w:t>
      </w:r>
      <w:proofErr w:type="spellStart"/>
      <w:r w:rsidRPr="00E2067D">
        <w:rPr>
          <w:rFonts w:ascii="Times New Roman" w:hAnsi="Times New Roman" w:cs="Times New Roman"/>
          <w:sz w:val="28"/>
          <w:szCs w:val="28"/>
          <w:lang w:val="uk-UA"/>
        </w:rPr>
        <w:t>високоцінною</w:t>
      </w:r>
      <w:proofErr w:type="spellEnd"/>
      <w:r w:rsidRPr="00E2067D">
        <w:rPr>
          <w:rFonts w:ascii="Times New Roman" w:hAnsi="Times New Roman" w:cs="Times New Roman"/>
          <w:sz w:val="28"/>
          <w:szCs w:val="28"/>
          <w:lang w:val="uk-UA"/>
        </w:rPr>
        <w:t xml:space="preserve"> та унікальною робочою силою більше зосереджені на індивідуальних результатах і підзвітності, ніж організації з малоцінною та унікальною робочою силою, водночас надаючи можливості для </w:t>
      </w:r>
      <w:proofErr w:type="spellStart"/>
      <w:r w:rsidRPr="00E2067D">
        <w:rPr>
          <w:rFonts w:ascii="Times New Roman" w:hAnsi="Times New Roman" w:cs="Times New Roman"/>
          <w:sz w:val="28"/>
          <w:szCs w:val="28"/>
          <w:lang w:val="uk-UA"/>
        </w:rPr>
        <w:t>внутрішньоорганізаційної</w:t>
      </w:r>
      <w:proofErr w:type="spellEnd"/>
      <w:r w:rsidRPr="00E2067D">
        <w:rPr>
          <w:rFonts w:ascii="Times New Roman" w:hAnsi="Times New Roman" w:cs="Times New Roman"/>
          <w:sz w:val="28"/>
          <w:szCs w:val="28"/>
          <w:lang w:val="uk-UA"/>
        </w:rPr>
        <w:t xml:space="preserve"> мобільності та високо</w:t>
      </w:r>
      <w:r>
        <w:rPr>
          <w:rFonts w:ascii="Times New Roman" w:hAnsi="Times New Roman" w:cs="Times New Roman"/>
          <w:sz w:val="28"/>
          <w:szCs w:val="28"/>
          <w:lang w:val="uk-UA"/>
        </w:rPr>
        <w:t>ї</w:t>
      </w:r>
      <w:r w:rsidRPr="00E2067D">
        <w:rPr>
          <w:rFonts w:ascii="Times New Roman" w:hAnsi="Times New Roman" w:cs="Times New Roman"/>
          <w:sz w:val="28"/>
          <w:szCs w:val="28"/>
          <w:lang w:val="uk-UA"/>
        </w:rPr>
        <w:t xml:space="preserve"> кількіст</w:t>
      </w:r>
      <w:r>
        <w:rPr>
          <w:rFonts w:ascii="Times New Roman" w:hAnsi="Times New Roman" w:cs="Times New Roman"/>
          <w:sz w:val="28"/>
          <w:szCs w:val="28"/>
          <w:lang w:val="uk-UA"/>
        </w:rPr>
        <w:t>і</w:t>
      </w:r>
      <w:r w:rsidRPr="00E2067D">
        <w:rPr>
          <w:rFonts w:ascii="Times New Roman" w:hAnsi="Times New Roman" w:cs="Times New Roman"/>
          <w:sz w:val="28"/>
          <w:szCs w:val="28"/>
          <w:lang w:val="uk-UA"/>
        </w:rPr>
        <w:t xml:space="preserve"> формалізованих практик управління кар'єрою.</w:t>
      </w:r>
    </w:p>
    <w:p w14:paraId="293D024B"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Інтерпретуючи </w:t>
      </w:r>
      <w:r>
        <w:rPr>
          <w:rFonts w:ascii="Times New Roman" w:hAnsi="Times New Roman" w:cs="Times New Roman"/>
          <w:sz w:val="28"/>
          <w:szCs w:val="28"/>
          <w:lang w:val="uk-UA"/>
        </w:rPr>
        <w:t>наведені</w:t>
      </w:r>
      <w:r w:rsidRPr="00E2067D">
        <w:rPr>
          <w:rFonts w:ascii="Times New Roman" w:hAnsi="Times New Roman" w:cs="Times New Roman"/>
          <w:sz w:val="28"/>
          <w:szCs w:val="28"/>
          <w:lang w:val="uk-UA"/>
        </w:rPr>
        <w:t xml:space="preserve"> висновки з іншого боку, </w:t>
      </w:r>
      <w:r>
        <w:rPr>
          <w:rFonts w:ascii="Times New Roman" w:hAnsi="Times New Roman" w:cs="Times New Roman"/>
          <w:sz w:val="28"/>
          <w:szCs w:val="28"/>
          <w:lang w:val="uk-UA"/>
        </w:rPr>
        <w:t>можна</w:t>
      </w:r>
      <w:r w:rsidRPr="00E2067D">
        <w:rPr>
          <w:rFonts w:ascii="Times New Roman" w:hAnsi="Times New Roman" w:cs="Times New Roman"/>
          <w:sz w:val="28"/>
          <w:szCs w:val="28"/>
          <w:lang w:val="uk-UA"/>
        </w:rPr>
        <w:t xml:space="preserve"> </w:t>
      </w:r>
      <w:r>
        <w:rPr>
          <w:rFonts w:ascii="Times New Roman" w:hAnsi="Times New Roman" w:cs="Times New Roman"/>
          <w:sz w:val="28"/>
          <w:szCs w:val="28"/>
          <w:lang w:val="uk-UA"/>
        </w:rPr>
        <w:t>по</w:t>
      </w:r>
      <w:r w:rsidRPr="00E2067D">
        <w:rPr>
          <w:rFonts w:ascii="Times New Roman" w:hAnsi="Times New Roman" w:cs="Times New Roman"/>
          <w:sz w:val="28"/>
          <w:szCs w:val="28"/>
          <w:lang w:val="uk-UA"/>
        </w:rPr>
        <w:t>бачи</w:t>
      </w:r>
      <w:r>
        <w:rPr>
          <w:rFonts w:ascii="Times New Roman" w:hAnsi="Times New Roman" w:cs="Times New Roman"/>
          <w:sz w:val="28"/>
          <w:szCs w:val="28"/>
          <w:lang w:val="uk-UA"/>
        </w:rPr>
        <w:t>ти</w:t>
      </w:r>
      <w:r w:rsidRPr="00E2067D">
        <w:rPr>
          <w:rFonts w:ascii="Times New Roman" w:hAnsi="Times New Roman" w:cs="Times New Roman"/>
          <w:sz w:val="28"/>
          <w:szCs w:val="28"/>
          <w:lang w:val="uk-UA"/>
        </w:rPr>
        <w:t xml:space="preserve">, що організації з </w:t>
      </w:r>
      <w:proofErr w:type="spellStart"/>
      <w:r w:rsidRPr="00E2067D">
        <w:rPr>
          <w:rFonts w:ascii="Times New Roman" w:hAnsi="Times New Roman" w:cs="Times New Roman"/>
          <w:sz w:val="28"/>
          <w:szCs w:val="28"/>
          <w:lang w:val="uk-UA"/>
        </w:rPr>
        <w:t>низькоцінною</w:t>
      </w:r>
      <w:proofErr w:type="spellEnd"/>
      <w:r w:rsidRPr="00E2067D">
        <w:rPr>
          <w:rFonts w:ascii="Times New Roman" w:hAnsi="Times New Roman" w:cs="Times New Roman"/>
          <w:sz w:val="28"/>
          <w:szCs w:val="28"/>
          <w:lang w:val="uk-UA"/>
        </w:rPr>
        <w:t xml:space="preserve"> та </w:t>
      </w:r>
      <w:proofErr w:type="spellStart"/>
      <w:r w:rsidRPr="00E2067D">
        <w:rPr>
          <w:rFonts w:ascii="Times New Roman" w:hAnsi="Times New Roman" w:cs="Times New Roman"/>
          <w:sz w:val="28"/>
          <w:szCs w:val="28"/>
          <w:lang w:val="uk-UA"/>
        </w:rPr>
        <w:t>малоунікальною</w:t>
      </w:r>
      <w:proofErr w:type="spellEnd"/>
      <w:r w:rsidRPr="00E2067D">
        <w:rPr>
          <w:rFonts w:ascii="Times New Roman" w:hAnsi="Times New Roman" w:cs="Times New Roman"/>
          <w:sz w:val="28"/>
          <w:szCs w:val="28"/>
          <w:lang w:val="uk-UA"/>
        </w:rPr>
        <w:t xml:space="preserve"> робочою силою (яка, як не дивно, утворила найбільший кластер за даними</w:t>
      </w:r>
      <w:r>
        <w:rPr>
          <w:rFonts w:ascii="Times New Roman" w:hAnsi="Times New Roman" w:cs="Times New Roman"/>
          <w:sz w:val="28"/>
          <w:szCs w:val="28"/>
          <w:lang w:val="uk-UA"/>
        </w:rPr>
        <w:t xml:space="preserve"> дослідження</w:t>
      </w:r>
      <w:r w:rsidRPr="00E2067D">
        <w:rPr>
          <w:rFonts w:ascii="Times New Roman" w:hAnsi="Times New Roman" w:cs="Times New Roman"/>
          <w:sz w:val="28"/>
          <w:szCs w:val="28"/>
          <w:lang w:val="uk-UA"/>
        </w:rPr>
        <w:t xml:space="preserve">) здебільшого стурбовані організаційними результатами, менше стурбовані внутрішньою </w:t>
      </w:r>
      <w:r>
        <w:rPr>
          <w:rFonts w:ascii="Times New Roman" w:hAnsi="Times New Roman" w:cs="Times New Roman"/>
          <w:sz w:val="28"/>
          <w:szCs w:val="28"/>
          <w:lang w:val="uk-UA"/>
        </w:rPr>
        <w:t>діяльністю своїх співробітників,</w:t>
      </w:r>
      <w:r w:rsidRPr="00E2067D">
        <w:rPr>
          <w:rFonts w:ascii="Times New Roman" w:hAnsi="Times New Roman" w:cs="Times New Roman"/>
          <w:sz w:val="28"/>
          <w:szCs w:val="28"/>
          <w:lang w:val="uk-UA"/>
        </w:rPr>
        <w:t xml:space="preserve"> організаційно</w:t>
      </w:r>
      <w:r>
        <w:rPr>
          <w:rFonts w:ascii="Times New Roman" w:hAnsi="Times New Roman" w:cs="Times New Roman"/>
          <w:sz w:val="28"/>
          <w:szCs w:val="28"/>
          <w:lang w:val="uk-UA"/>
        </w:rPr>
        <w:t>ю</w:t>
      </w:r>
      <w:r w:rsidRPr="00E2067D">
        <w:rPr>
          <w:rFonts w:ascii="Times New Roman" w:hAnsi="Times New Roman" w:cs="Times New Roman"/>
          <w:sz w:val="28"/>
          <w:szCs w:val="28"/>
          <w:lang w:val="uk-UA"/>
        </w:rPr>
        <w:t xml:space="preserve"> </w:t>
      </w:r>
      <w:proofErr w:type="spellStart"/>
      <w:r w:rsidRPr="00E2067D">
        <w:rPr>
          <w:rFonts w:ascii="Times New Roman" w:hAnsi="Times New Roman" w:cs="Times New Roman"/>
          <w:sz w:val="28"/>
          <w:szCs w:val="28"/>
          <w:lang w:val="uk-UA"/>
        </w:rPr>
        <w:t>мобільност</w:t>
      </w:r>
      <w:r>
        <w:rPr>
          <w:rFonts w:ascii="Times New Roman" w:hAnsi="Times New Roman" w:cs="Times New Roman"/>
          <w:sz w:val="28"/>
          <w:szCs w:val="28"/>
          <w:lang w:val="uk-UA"/>
        </w:rPr>
        <w:t>ю</w:t>
      </w:r>
      <w:proofErr w:type="spellEnd"/>
      <w:r w:rsidRPr="00E2067D">
        <w:rPr>
          <w:rFonts w:ascii="Times New Roman" w:hAnsi="Times New Roman" w:cs="Times New Roman"/>
          <w:sz w:val="28"/>
          <w:szCs w:val="28"/>
          <w:lang w:val="uk-UA"/>
        </w:rPr>
        <w:t xml:space="preserve"> та пропонують менше методів управління кар’єрою, водночас зменшуючи відповідальність окремих працівників за управління власною кар’єрою. У сукупності ці висновки означають, що цей тип організацій використовує підхід «</w:t>
      </w:r>
      <w:proofErr w:type="spellStart"/>
      <w:r w:rsidRPr="00E2067D">
        <w:rPr>
          <w:rFonts w:ascii="Times New Roman" w:hAnsi="Times New Roman" w:cs="Times New Roman"/>
          <w:sz w:val="28"/>
          <w:szCs w:val="28"/>
          <w:lang w:val="uk-UA"/>
        </w:rPr>
        <w:t>laissez-faire</w:t>
      </w:r>
      <w:proofErr w:type="spellEnd"/>
      <w:r w:rsidRPr="00E2067D">
        <w:rPr>
          <w:rFonts w:ascii="Times New Roman" w:hAnsi="Times New Roman" w:cs="Times New Roman"/>
          <w:sz w:val="28"/>
          <w:szCs w:val="28"/>
          <w:lang w:val="uk-UA"/>
        </w:rPr>
        <w:t>» до управління кар’єрою, за якого ні управління кар’єрою, ні безперервність не є пріоритетом організації.</w:t>
      </w:r>
    </w:p>
    <w:p w14:paraId="248DC10D"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Наведене д</w:t>
      </w:r>
      <w:r w:rsidRPr="00E2067D">
        <w:rPr>
          <w:rFonts w:ascii="Times New Roman" w:hAnsi="Times New Roman" w:cs="Times New Roman"/>
          <w:sz w:val="28"/>
          <w:szCs w:val="28"/>
          <w:lang w:val="uk-UA"/>
        </w:rPr>
        <w:t>ослідження</w:t>
      </w:r>
      <w:r>
        <w:rPr>
          <w:rFonts w:ascii="Times New Roman" w:hAnsi="Times New Roman" w:cs="Times New Roman"/>
          <w:sz w:val="28"/>
          <w:szCs w:val="28"/>
          <w:lang w:val="uk-UA"/>
        </w:rPr>
        <w:t xml:space="preserve"> </w:t>
      </w:r>
      <w:r w:rsidRPr="00E2067D">
        <w:rPr>
          <w:rFonts w:ascii="Times New Roman" w:hAnsi="Times New Roman" w:cs="Times New Roman"/>
          <w:sz w:val="28"/>
          <w:szCs w:val="28"/>
          <w:lang w:val="uk-UA"/>
        </w:rPr>
        <w:t xml:space="preserve">було перехресним і базувалося на звітах з одного джерела. Хоча в поточному дослідженні увага була зосереджена не стільки на індивідуальному ставленні, скільки на більш-менш об’єктивно помітних особливостях організаційної політики управління кар’єрою, загальна дисперсія методу все ж могла вплинути на </w:t>
      </w:r>
      <w:r>
        <w:rPr>
          <w:rFonts w:ascii="Times New Roman" w:hAnsi="Times New Roman" w:cs="Times New Roman"/>
          <w:sz w:val="28"/>
          <w:szCs w:val="28"/>
          <w:lang w:val="uk-UA"/>
        </w:rPr>
        <w:t>отримані</w:t>
      </w:r>
      <w:r w:rsidRPr="00E2067D">
        <w:rPr>
          <w:rFonts w:ascii="Times New Roman" w:hAnsi="Times New Roman" w:cs="Times New Roman"/>
          <w:sz w:val="28"/>
          <w:szCs w:val="28"/>
          <w:lang w:val="uk-UA"/>
        </w:rPr>
        <w:t xml:space="preserve"> результати. Хоча важко повністю виключити цей тип упередженості, поздовжні конструкції або багаторівневі конструкції можуть виявитися плідними </w:t>
      </w:r>
      <w:r>
        <w:rPr>
          <w:rFonts w:ascii="Times New Roman" w:hAnsi="Times New Roman" w:cs="Times New Roman"/>
          <w:sz w:val="28"/>
          <w:szCs w:val="28"/>
          <w:lang w:val="uk-UA"/>
        </w:rPr>
        <w:t xml:space="preserve">напрямами </w:t>
      </w:r>
      <w:r w:rsidRPr="00E2067D">
        <w:rPr>
          <w:rFonts w:ascii="Times New Roman" w:hAnsi="Times New Roman" w:cs="Times New Roman"/>
          <w:sz w:val="28"/>
          <w:szCs w:val="28"/>
          <w:lang w:val="uk-UA"/>
        </w:rPr>
        <w:t xml:space="preserve">для майбутніх досліджень. Поздовжні плани, наприклад, уможливлюють порівняння всередині компанії з плином часу, коли змінюється склад людського капіталу (і тип дефіциту). Багаторівневі дослідження можуть </w:t>
      </w:r>
      <w:r>
        <w:rPr>
          <w:rFonts w:ascii="Times New Roman" w:hAnsi="Times New Roman" w:cs="Times New Roman"/>
          <w:sz w:val="28"/>
          <w:szCs w:val="28"/>
          <w:lang w:val="uk-UA"/>
        </w:rPr>
        <w:t>висвітлюв</w:t>
      </w:r>
      <w:r w:rsidRPr="00E2067D">
        <w:rPr>
          <w:rFonts w:ascii="Times New Roman" w:hAnsi="Times New Roman" w:cs="Times New Roman"/>
          <w:sz w:val="28"/>
          <w:szCs w:val="28"/>
          <w:lang w:val="uk-UA"/>
        </w:rPr>
        <w:t xml:space="preserve">ати, як різні типи стратегій управління талантами та кар’єрою впливають на бажані результати на рівні співробітника, команди та організації, такі як продуктивність, компетентність, залученість і намір залишитися </w:t>
      </w:r>
      <w:r w:rsidRPr="005D1B01">
        <w:rPr>
          <w:rFonts w:ascii="Times New Roman" w:hAnsi="Times New Roman" w:cs="Times New Roman"/>
          <w:sz w:val="28"/>
          <w:szCs w:val="28"/>
          <w:lang w:val="uk-UA"/>
        </w:rPr>
        <w:t>[146]</w:t>
      </w:r>
      <w:r w:rsidRPr="00E2067D">
        <w:rPr>
          <w:rFonts w:ascii="Times New Roman" w:hAnsi="Times New Roman" w:cs="Times New Roman"/>
          <w:sz w:val="28"/>
          <w:szCs w:val="28"/>
          <w:lang w:val="uk-UA"/>
        </w:rPr>
        <w:t xml:space="preserve">. Майбутні дослідження також можуть включати додаткові незалежні змінні, щоб </w:t>
      </w:r>
      <w:proofErr w:type="spellStart"/>
      <w:r w:rsidRPr="00E2067D">
        <w:rPr>
          <w:rFonts w:ascii="Times New Roman" w:hAnsi="Times New Roman" w:cs="Times New Roman"/>
          <w:sz w:val="28"/>
          <w:szCs w:val="28"/>
          <w:lang w:val="uk-UA"/>
        </w:rPr>
        <w:t>операціоналізувати</w:t>
      </w:r>
      <w:proofErr w:type="spellEnd"/>
      <w:r w:rsidRPr="00E2067D">
        <w:rPr>
          <w:rFonts w:ascii="Times New Roman" w:hAnsi="Times New Roman" w:cs="Times New Roman"/>
          <w:sz w:val="28"/>
          <w:szCs w:val="28"/>
          <w:lang w:val="uk-UA"/>
        </w:rPr>
        <w:t xml:space="preserve"> склад людського капіталу організацій, оскільки розміри їх впливу були лише малими або помірними. Це також може пролити світло на репрезентативність висновку про те, що багато організацій повідомляють, що їх власна робоча сила має низьку цінність та унікальність. Той факт, що </w:t>
      </w:r>
      <w:r>
        <w:rPr>
          <w:rFonts w:ascii="Times New Roman" w:hAnsi="Times New Roman" w:cs="Times New Roman"/>
          <w:sz w:val="28"/>
          <w:szCs w:val="28"/>
          <w:lang w:val="uk-UA"/>
        </w:rPr>
        <w:t>було</w:t>
      </w:r>
      <w:r w:rsidRPr="00E2067D">
        <w:rPr>
          <w:rFonts w:ascii="Times New Roman" w:hAnsi="Times New Roman" w:cs="Times New Roman"/>
          <w:sz w:val="28"/>
          <w:szCs w:val="28"/>
          <w:lang w:val="uk-UA"/>
        </w:rPr>
        <w:t xml:space="preserve"> використ</w:t>
      </w:r>
      <w:r>
        <w:rPr>
          <w:rFonts w:ascii="Times New Roman" w:hAnsi="Times New Roman" w:cs="Times New Roman"/>
          <w:sz w:val="28"/>
          <w:szCs w:val="28"/>
          <w:lang w:val="uk-UA"/>
        </w:rPr>
        <w:t>ано</w:t>
      </w:r>
      <w:r w:rsidRPr="00E2067D">
        <w:rPr>
          <w:rFonts w:ascii="Times New Roman" w:hAnsi="Times New Roman" w:cs="Times New Roman"/>
          <w:sz w:val="28"/>
          <w:szCs w:val="28"/>
          <w:lang w:val="uk-UA"/>
        </w:rPr>
        <w:t xml:space="preserve"> лише одного респондента </w:t>
      </w:r>
      <w:r>
        <w:rPr>
          <w:rFonts w:ascii="Times New Roman" w:hAnsi="Times New Roman" w:cs="Times New Roman"/>
          <w:sz w:val="28"/>
          <w:szCs w:val="28"/>
          <w:lang w:val="uk-UA"/>
        </w:rPr>
        <w:t>з певної організації</w:t>
      </w:r>
      <w:r w:rsidRPr="00E2067D">
        <w:rPr>
          <w:rFonts w:ascii="Times New Roman" w:hAnsi="Times New Roman" w:cs="Times New Roman"/>
          <w:sz w:val="28"/>
          <w:szCs w:val="28"/>
          <w:lang w:val="uk-UA"/>
        </w:rPr>
        <w:t>, також є обмеженням; необхідн</w:t>
      </w:r>
      <w:r>
        <w:rPr>
          <w:rFonts w:ascii="Times New Roman" w:hAnsi="Times New Roman" w:cs="Times New Roman"/>
          <w:sz w:val="28"/>
          <w:szCs w:val="28"/>
          <w:lang w:val="uk-UA"/>
        </w:rPr>
        <w:t>ою умовою</w:t>
      </w:r>
      <w:r w:rsidRPr="00E2067D">
        <w:rPr>
          <w:rFonts w:ascii="Times New Roman" w:hAnsi="Times New Roman" w:cs="Times New Roman"/>
          <w:sz w:val="28"/>
          <w:szCs w:val="28"/>
          <w:lang w:val="uk-UA"/>
        </w:rPr>
        <w:t xml:space="preserve"> подальш</w:t>
      </w:r>
      <w:r>
        <w:rPr>
          <w:rFonts w:ascii="Times New Roman" w:hAnsi="Times New Roman" w:cs="Times New Roman"/>
          <w:sz w:val="28"/>
          <w:szCs w:val="28"/>
          <w:lang w:val="uk-UA"/>
        </w:rPr>
        <w:t>их</w:t>
      </w:r>
      <w:r w:rsidRPr="00E2067D">
        <w:rPr>
          <w:rFonts w:ascii="Times New Roman" w:hAnsi="Times New Roman" w:cs="Times New Roman"/>
          <w:sz w:val="28"/>
          <w:szCs w:val="28"/>
          <w:lang w:val="uk-UA"/>
        </w:rPr>
        <w:t xml:space="preserve"> досліджен</w:t>
      </w:r>
      <w:r>
        <w:rPr>
          <w:rFonts w:ascii="Times New Roman" w:hAnsi="Times New Roman" w:cs="Times New Roman"/>
          <w:sz w:val="28"/>
          <w:szCs w:val="28"/>
          <w:lang w:val="uk-UA"/>
        </w:rPr>
        <w:t>ь</w:t>
      </w:r>
      <w:r w:rsidRPr="00E2067D">
        <w:rPr>
          <w:rFonts w:ascii="Times New Roman" w:hAnsi="Times New Roman" w:cs="Times New Roman"/>
          <w:sz w:val="28"/>
          <w:szCs w:val="28"/>
          <w:lang w:val="uk-UA"/>
        </w:rPr>
        <w:t>, які також включа</w:t>
      </w:r>
      <w:r>
        <w:rPr>
          <w:rFonts w:ascii="Times New Roman" w:hAnsi="Times New Roman" w:cs="Times New Roman"/>
          <w:sz w:val="28"/>
          <w:szCs w:val="28"/>
          <w:lang w:val="uk-UA"/>
        </w:rPr>
        <w:t>тимуть</w:t>
      </w:r>
      <w:r w:rsidRPr="00E2067D">
        <w:rPr>
          <w:rFonts w:ascii="Times New Roman" w:hAnsi="Times New Roman" w:cs="Times New Roman"/>
          <w:sz w:val="28"/>
          <w:szCs w:val="28"/>
          <w:lang w:val="uk-UA"/>
        </w:rPr>
        <w:t xml:space="preserve"> «точні дані» про практику управління кар’єрою або використовують дані, </w:t>
      </w:r>
      <w:r>
        <w:rPr>
          <w:rFonts w:ascii="Times New Roman" w:hAnsi="Times New Roman" w:cs="Times New Roman"/>
          <w:sz w:val="28"/>
          <w:szCs w:val="28"/>
          <w:lang w:val="uk-UA"/>
        </w:rPr>
        <w:t xml:space="preserve">мають стати відповіді </w:t>
      </w:r>
      <w:r w:rsidRPr="00E2067D">
        <w:rPr>
          <w:rFonts w:ascii="Times New Roman" w:hAnsi="Times New Roman" w:cs="Times New Roman"/>
          <w:sz w:val="28"/>
          <w:szCs w:val="28"/>
          <w:lang w:val="uk-UA"/>
        </w:rPr>
        <w:t xml:space="preserve">зібрані від кількох респондентів. Крім того, використання вимірювань за одним елементом може обмежити надійність висновків. Іншим обмеженням є невелика дисперсія, врахована досліджуваними змінними, яка свідчить про те, що крім складу людського капіталу та важливості безперервності, інші фактори відіграють роль у поясненні підходу організації </w:t>
      </w:r>
      <w:r>
        <w:rPr>
          <w:rFonts w:ascii="Times New Roman" w:hAnsi="Times New Roman" w:cs="Times New Roman"/>
          <w:sz w:val="28"/>
          <w:szCs w:val="28"/>
          <w:lang w:val="uk-UA"/>
        </w:rPr>
        <w:t>до управління кар’єрою. Можливими</w:t>
      </w:r>
      <w:r w:rsidRPr="00E2067D">
        <w:rPr>
          <w:rFonts w:ascii="Times New Roman" w:hAnsi="Times New Roman" w:cs="Times New Roman"/>
          <w:sz w:val="28"/>
          <w:szCs w:val="28"/>
          <w:lang w:val="uk-UA"/>
        </w:rPr>
        <w:t xml:space="preserve"> фактор</w:t>
      </w:r>
      <w:r>
        <w:rPr>
          <w:rFonts w:ascii="Times New Roman" w:hAnsi="Times New Roman" w:cs="Times New Roman"/>
          <w:sz w:val="28"/>
          <w:szCs w:val="28"/>
          <w:lang w:val="uk-UA"/>
        </w:rPr>
        <w:t>ами</w:t>
      </w:r>
      <w:r w:rsidRPr="00E2067D">
        <w:rPr>
          <w:rFonts w:ascii="Times New Roman" w:hAnsi="Times New Roman" w:cs="Times New Roman"/>
          <w:sz w:val="28"/>
          <w:szCs w:val="28"/>
          <w:lang w:val="uk-UA"/>
        </w:rPr>
        <w:t xml:space="preserve">, які можна включити в майбутні дослідження, </w:t>
      </w:r>
      <w:r>
        <w:rPr>
          <w:rFonts w:ascii="Times New Roman" w:hAnsi="Times New Roman" w:cs="Times New Roman"/>
          <w:sz w:val="28"/>
          <w:szCs w:val="28"/>
          <w:lang w:val="uk-UA"/>
        </w:rPr>
        <w:t>можуть стати</w:t>
      </w:r>
      <w:r w:rsidRPr="00E2067D">
        <w:rPr>
          <w:rFonts w:ascii="Times New Roman" w:hAnsi="Times New Roman" w:cs="Times New Roman"/>
          <w:sz w:val="28"/>
          <w:szCs w:val="28"/>
          <w:lang w:val="uk-UA"/>
        </w:rPr>
        <w:t>, наприклад, віковий склад робочої сили або організаційні фактори, такі як стратегія та структура.</w:t>
      </w:r>
    </w:p>
    <w:p w14:paraId="6D33E656"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Іншою пропозицією для подальших досліджень було б вивчити диференційований підхід організацій до управління кар’єрою в рамках власної </w:t>
      </w:r>
      <w:r w:rsidRPr="00E2067D">
        <w:rPr>
          <w:rFonts w:ascii="Times New Roman" w:hAnsi="Times New Roman" w:cs="Times New Roman"/>
          <w:sz w:val="28"/>
          <w:szCs w:val="28"/>
          <w:lang w:val="uk-UA"/>
        </w:rPr>
        <w:lastRenderedPageBreak/>
        <w:t xml:space="preserve">робочої сили. Література про диференціацію робочої сили передбачає, що різні стратегії управління кар’єрою можуть насправді існувати в одній і тій самій організації, залежно від цільової групи або відповідного «пулу талантів» </w:t>
      </w:r>
      <w:r w:rsidRPr="005D1B01">
        <w:rPr>
          <w:rFonts w:ascii="Times New Roman" w:hAnsi="Times New Roman" w:cs="Times New Roman"/>
          <w:sz w:val="28"/>
          <w:szCs w:val="28"/>
          <w:lang w:val="uk-UA"/>
        </w:rPr>
        <w:t>[164]</w:t>
      </w:r>
      <w:r w:rsidRPr="00E2067D">
        <w:rPr>
          <w:rFonts w:ascii="Times New Roman" w:hAnsi="Times New Roman" w:cs="Times New Roman"/>
          <w:sz w:val="28"/>
          <w:szCs w:val="28"/>
          <w:lang w:val="uk-UA"/>
        </w:rPr>
        <w:t xml:space="preserve">. Остання рекомендація полягає в тому, що висновки повинні бути перехресно перевірені в країнах з різними культурними характеристиками та характеристиками ринку праці. Як </w:t>
      </w:r>
      <w:r>
        <w:rPr>
          <w:rFonts w:ascii="Times New Roman" w:hAnsi="Times New Roman" w:cs="Times New Roman"/>
          <w:sz w:val="28"/>
          <w:szCs w:val="28"/>
          <w:lang w:val="uk-UA"/>
        </w:rPr>
        <w:t xml:space="preserve">вже було зазначено, </w:t>
      </w:r>
      <w:r w:rsidRPr="00E2067D">
        <w:rPr>
          <w:rFonts w:ascii="Times New Roman" w:hAnsi="Times New Roman" w:cs="Times New Roman"/>
          <w:sz w:val="28"/>
          <w:szCs w:val="28"/>
          <w:lang w:val="uk-UA"/>
        </w:rPr>
        <w:t>Бельгія є досить «традиційним» контекстом, коли йдеться про управління кар’єрою, тому висновки можуть відрізнятися, коли дані збираються в іншому культурному та інституційному середовищі.</w:t>
      </w:r>
    </w:p>
    <w:p w14:paraId="7B18708B" w14:textId="47F12294"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Декілька авторів стверджують, що дослідники кар’єри повинні брати на себе більшу відповідальність за соціальний вплив своєї роботи та ретельно вивчати фактичні </w:t>
      </w:r>
      <w:r>
        <w:rPr>
          <w:rFonts w:ascii="Times New Roman" w:hAnsi="Times New Roman" w:cs="Times New Roman"/>
          <w:sz w:val="28"/>
          <w:szCs w:val="28"/>
          <w:lang w:val="uk-UA"/>
        </w:rPr>
        <w:t>документи</w:t>
      </w:r>
      <w:r w:rsidRPr="00E2067D">
        <w:rPr>
          <w:rFonts w:ascii="Times New Roman" w:hAnsi="Times New Roman" w:cs="Times New Roman"/>
          <w:sz w:val="28"/>
          <w:szCs w:val="28"/>
          <w:lang w:val="uk-UA"/>
        </w:rPr>
        <w:t xml:space="preserve"> про поточну кар’єру, а не розробляти нові догми</w:t>
      </w:r>
      <w:r>
        <w:rPr>
          <w:rFonts w:ascii="Times New Roman" w:hAnsi="Times New Roman" w:cs="Times New Roman"/>
          <w:sz w:val="28"/>
          <w:szCs w:val="28"/>
          <w:lang w:val="uk-UA"/>
        </w:rPr>
        <w:t xml:space="preserve"> та правила</w:t>
      </w:r>
      <w:r w:rsidRPr="00E2067D">
        <w:rPr>
          <w:rFonts w:ascii="Times New Roman" w:hAnsi="Times New Roman" w:cs="Times New Roman"/>
          <w:sz w:val="28"/>
          <w:szCs w:val="28"/>
          <w:lang w:val="uk-UA"/>
        </w:rPr>
        <w:t xml:space="preserve"> на заміну старим </w:t>
      </w:r>
      <w:r>
        <w:rPr>
          <w:rFonts w:ascii="Times New Roman" w:hAnsi="Times New Roman" w:cs="Times New Roman"/>
          <w:sz w:val="28"/>
          <w:szCs w:val="28"/>
        </w:rPr>
        <w:t>[163]</w:t>
      </w:r>
      <w:r w:rsidRPr="00E2067D">
        <w:rPr>
          <w:rFonts w:ascii="Times New Roman" w:hAnsi="Times New Roman" w:cs="Times New Roman"/>
          <w:sz w:val="28"/>
          <w:szCs w:val="28"/>
          <w:lang w:val="uk-UA"/>
        </w:rPr>
        <w:t xml:space="preserve">. Риторика про «смерть» організаційної кар’єри ризикує сприяти менталітету «переможець отримує все» на ринку праці. Протягом останніх кількох десятиліть виникла чітко дворівнева робоча сила, яка складається з невеликої вищої категорії </w:t>
      </w:r>
      <w:proofErr w:type="spellStart"/>
      <w:r w:rsidRPr="00E2067D">
        <w:rPr>
          <w:rFonts w:ascii="Times New Roman" w:hAnsi="Times New Roman" w:cs="Times New Roman"/>
          <w:sz w:val="28"/>
          <w:szCs w:val="28"/>
          <w:lang w:val="uk-UA"/>
        </w:rPr>
        <w:t>високоцінних</w:t>
      </w:r>
      <w:proofErr w:type="spellEnd"/>
      <w:r w:rsidRPr="00E2067D">
        <w:rPr>
          <w:rFonts w:ascii="Times New Roman" w:hAnsi="Times New Roman" w:cs="Times New Roman"/>
          <w:sz w:val="28"/>
          <w:szCs w:val="28"/>
          <w:lang w:val="uk-UA"/>
        </w:rPr>
        <w:t xml:space="preserve">, унікальних працівників, чия переговорна позиція дозволяє їм вимагати та отримувати справедливе ставлення від роботодавців; і великий другий рівень працівників, чиї навички є більш «замінними» та які мають набагато меншу впевненість у блискучому майбутньому кар’єри </w:t>
      </w:r>
      <w:r w:rsidRPr="005D1B01">
        <w:rPr>
          <w:rFonts w:ascii="Times New Roman" w:hAnsi="Times New Roman" w:cs="Times New Roman"/>
          <w:sz w:val="28"/>
          <w:szCs w:val="28"/>
          <w:lang w:val="uk-UA"/>
        </w:rPr>
        <w:t>[134]</w:t>
      </w:r>
      <w:r w:rsidRPr="00E2067D">
        <w:rPr>
          <w:rFonts w:ascii="Times New Roman" w:hAnsi="Times New Roman" w:cs="Times New Roman"/>
          <w:sz w:val="28"/>
          <w:szCs w:val="28"/>
          <w:lang w:val="uk-UA"/>
        </w:rPr>
        <w:t xml:space="preserve"> </w:t>
      </w:r>
      <w:r w:rsidR="00A4269D">
        <w:rPr>
          <w:rFonts w:ascii="Times New Roman" w:hAnsi="Times New Roman" w:cs="Times New Roman"/>
          <w:sz w:val="28"/>
          <w:szCs w:val="28"/>
          <w:lang w:val="uk-UA"/>
        </w:rPr>
        <w:t>–</w:t>
      </w:r>
      <w:r w:rsidRPr="00E2067D">
        <w:rPr>
          <w:rFonts w:ascii="Times New Roman" w:hAnsi="Times New Roman" w:cs="Times New Roman"/>
          <w:sz w:val="28"/>
          <w:szCs w:val="28"/>
          <w:lang w:val="uk-UA"/>
        </w:rPr>
        <w:t xml:space="preserve"> група, яка відповідає кластеру з низькою цінністю та малою унікальністю. Існує значна потреба та можливість для більшого емпіричного дослідження сучасної кар’єри у світлі тенденцій людського капіталу, описаних у літературі з управління талантами, якщо </w:t>
      </w:r>
      <w:r>
        <w:rPr>
          <w:rFonts w:ascii="Times New Roman" w:hAnsi="Times New Roman" w:cs="Times New Roman"/>
          <w:sz w:val="28"/>
          <w:szCs w:val="28"/>
          <w:lang w:val="uk-UA"/>
        </w:rPr>
        <w:t xml:space="preserve">існує мета </w:t>
      </w:r>
      <w:r w:rsidRPr="00E2067D">
        <w:rPr>
          <w:rFonts w:ascii="Times New Roman" w:hAnsi="Times New Roman" w:cs="Times New Roman"/>
          <w:sz w:val="28"/>
          <w:szCs w:val="28"/>
          <w:lang w:val="uk-UA"/>
        </w:rPr>
        <w:t>мати змогу краще відрізнити гіпотезу від емпірично підтверджених ідей що</w:t>
      </w:r>
      <w:r>
        <w:rPr>
          <w:rFonts w:ascii="Times New Roman" w:hAnsi="Times New Roman" w:cs="Times New Roman"/>
          <w:sz w:val="28"/>
          <w:szCs w:val="28"/>
          <w:lang w:val="uk-UA"/>
        </w:rPr>
        <w:t>до кар’єри в сучасній економіці</w:t>
      </w:r>
      <w:r w:rsidRPr="00E2067D">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E2067D">
        <w:rPr>
          <w:rFonts w:ascii="Times New Roman" w:hAnsi="Times New Roman" w:cs="Times New Roman"/>
          <w:sz w:val="28"/>
          <w:szCs w:val="28"/>
          <w:lang w:val="uk-UA"/>
        </w:rPr>
        <w:t xml:space="preserve"> інформувати політиків про те, як управління талантами, організаційне управління кар’єрою та кар’єрне самоуправління, відповідно, можуть сприяти стабільному економічному здоров’ю на суспільному рівні </w:t>
      </w:r>
      <w:r w:rsidRPr="005D1B01">
        <w:rPr>
          <w:rFonts w:ascii="Times New Roman" w:hAnsi="Times New Roman" w:cs="Times New Roman"/>
          <w:sz w:val="28"/>
          <w:szCs w:val="28"/>
          <w:lang w:val="uk-UA"/>
        </w:rPr>
        <w:t>[146]</w:t>
      </w:r>
      <w:r w:rsidRPr="00E2067D">
        <w:rPr>
          <w:rFonts w:ascii="Times New Roman" w:hAnsi="Times New Roman" w:cs="Times New Roman"/>
          <w:sz w:val="28"/>
          <w:szCs w:val="28"/>
          <w:lang w:val="uk-UA"/>
        </w:rPr>
        <w:t>.</w:t>
      </w:r>
    </w:p>
    <w:p w14:paraId="73A275B6"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Хоча «кар’єра на все життя», </w:t>
      </w:r>
      <w:r>
        <w:rPr>
          <w:rFonts w:ascii="Times New Roman" w:hAnsi="Times New Roman" w:cs="Times New Roman"/>
          <w:sz w:val="28"/>
          <w:szCs w:val="28"/>
          <w:lang w:val="uk-UA"/>
        </w:rPr>
        <w:t>у сучасних ринкових умовах</w:t>
      </w:r>
      <w:r w:rsidRPr="00E2067D">
        <w:rPr>
          <w:rFonts w:ascii="Times New Roman" w:hAnsi="Times New Roman" w:cs="Times New Roman"/>
          <w:sz w:val="28"/>
          <w:szCs w:val="28"/>
          <w:lang w:val="uk-UA"/>
        </w:rPr>
        <w:t xml:space="preserve">, є реальністю з далекого минулого [142], організаційна кар’єра ще далеко не мертва. З ентузіазмом пропагувати </w:t>
      </w:r>
      <w:proofErr w:type="spellStart"/>
      <w:r w:rsidRPr="00E2067D">
        <w:rPr>
          <w:rFonts w:ascii="Times New Roman" w:hAnsi="Times New Roman" w:cs="Times New Roman"/>
          <w:sz w:val="28"/>
          <w:szCs w:val="28"/>
          <w:lang w:val="uk-UA"/>
        </w:rPr>
        <w:t>самоспрямованість</w:t>
      </w:r>
      <w:proofErr w:type="spellEnd"/>
      <w:r w:rsidRPr="00E2067D">
        <w:rPr>
          <w:rFonts w:ascii="Times New Roman" w:hAnsi="Times New Roman" w:cs="Times New Roman"/>
          <w:sz w:val="28"/>
          <w:szCs w:val="28"/>
          <w:lang w:val="uk-UA"/>
        </w:rPr>
        <w:t xml:space="preserve"> та особисту свободу дій </w:t>
      </w:r>
      <w:r w:rsidRPr="005D1B01">
        <w:rPr>
          <w:rFonts w:ascii="Times New Roman" w:hAnsi="Times New Roman" w:cs="Times New Roman"/>
          <w:sz w:val="28"/>
          <w:szCs w:val="28"/>
          <w:lang w:val="uk-UA"/>
        </w:rPr>
        <w:t>[146, 163]</w:t>
      </w:r>
      <w:r w:rsidRPr="00E2067D">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новіт</w:t>
      </w:r>
      <w:r w:rsidRPr="00E2067D">
        <w:rPr>
          <w:rFonts w:ascii="Times New Roman" w:hAnsi="Times New Roman" w:cs="Times New Roman"/>
          <w:sz w:val="28"/>
          <w:szCs w:val="28"/>
          <w:lang w:val="uk-UA"/>
        </w:rPr>
        <w:t xml:space="preserve">ня література про кар’єру, можливо, </w:t>
      </w:r>
      <w:r>
        <w:rPr>
          <w:rFonts w:ascii="Times New Roman" w:hAnsi="Times New Roman" w:cs="Times New Roman"/>
          <w:sz w:val="28"/>
          <w:szCs w:val="28"/>
          <w:lang w:val="uk-UA"/>
        </w:rPr>
        <w:t>випустила</w:t>
      </w:r>
      <w:r w:rsidRPr="00E2067D">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під </w:t>
      </w:r>
      <w:r w:rsidRPr="00E2067D">
        <w:rPr>
          <w:rFonts w:ascii="Times New Roman" w:hAnsi="Times New Roman" w:cs="Times New Roman"/>
          <w:sz w:val="28"/>
          <w:szCs w:val="28"/>
          <w:lang w:val="uk-UA"/>
        </w:rPr>
        <w:t xml:space="preserve">уваги той факт, що кар’єра все ще служить стратегічним цілям організацій, особливо зараз, коли </w:t>
      </w:r>
      <w:r>
        <w:rPr>
          <w:rFonts w:ascii="Times New Roman" w:hAnsi="Times New Roman" w:cs="Times New Roman"/>
          <w:sz w:val="28"/>
          <w:szCs w:val="28"/>
          <w:lang w:val="uk-UA"/>
        </w:rPr>
        <w:t xml:space="preserve">іде </w:t>
      </w:r>
      <w:r w:rsidRPr="00E2067D">
        <w:rPr>
          <w:rFonts w:ascii="Times New Roman" w:hAnsi="Times New Roman" w:cs="Times New Roman"/>
          <w:sz w:val="28"/>
          <w:szCs w:val="28"/>
          <w:lang w:val="uk-UA"/>
        </w:rPr>
        <w:t xml:space="preserve">«війна за таланти» Динаміка стає все більш актуальною </w:t>
      </w:r>
      <w:r w:rsidRPr="005D1B01">
        <w:rPr>
          <w:rFonts w:ascii="Times New Roman" w:hAnsi="Times New Roman" w:cs="Times New Roman"/>
          <w:sz w:val="28"/>
          <w:szCs w:val="28"/>
          <w:lang w:val="uk-UA"/>
        </w:rPr>
        <w:t>[123, 147]</w:t>
      </w:r>
      <w:r w:rsidRPr="00E2067D">
        <w:rPr>
          <w:rFonts w:ascii="Times New Roman" w:hAnsi="Times New Roman" w:cs="Times New Roman"/>
          <w:sz w:val="28"/>
          <w:szCs w:val="28"/>
          <w:lang w:val="uk-UA"/>
        </w:rPr>
        <w:t xml:space="preserve">. Сучасні економічні умови вимагають відродження досліджень організаційної кар’єри та практики управління кар’єрою, оскільки кар’єра багатьох людей все ще відбувається в контексті організації </w:t>
      </w:r>
      <w:r w:rsidRPr="005D1B01">
        <w:rPr>
          <w:rFonts w:ascii="Times New Roman" w:hAnsi="Times New Roman" w:cs="Times New Roman"/>
          <w:sz w:val="28"/>
          <w:szCs w:val="28"/>
          <w:lang w:val="uk-UA"/>
        </w:rPr>
        <w:t>[159]</w:t>
      </w:r>
      <w:r w:rsidRPr="00E2067D">
        <w:rPr>
          <w:rFonts w:ascii="Times New Roman" w:hAnsi="Times New Roman" w:cs="Times New Roman"/>
          <w:sz w:val="28"/>
          <w:szCs w:val="28"/>
          <w:lang w:val="uk-UA"/>
        </w:rPr>
        <w:t>. Виявляється, що література про кар’єру та про управління талантами доповнюють</w:t>
      </w:r>
      <w:r>
        <w:rPr>
          <w:rFonts w:ascii="Times New Roman" w:hAnsi="Times New Roman" w:cs="Times New Roman"/>
          <w:sz w:val="28"/>
          <w:szCs w:val="28"/>
          <w:lang w:val="uk-UA"/>
        </w:rPr>
        <w:t xml:space="preserve"> одна</w:t>
      </w:r>
      <w:r w:rsidRPr="00E2067D">
        <w:rPr>
          <w:rFonts w:ascii="Times New Roman" w:hAnsi="Times New Roman" w:cs="Times New Roman"/>
          <w:sz w:val="28"/>
          <w:szCs w:val="28"/>
          <w:lang w:val="uk-UA"/>
        </w:rPr>
        <w:t xml:space="preserve"> одн</w:t>
      </w:r>
      <w:r>
        <w:rPr>
          <w:rFonts w:ascii="Times New Roman" w:hAnsi="Times New Roman" w:cs="Times New Roman"/>
          <w:sz w:val="28"/>
          <w:szCs w:val="28"/>
          <w:lang w:val="uk-UA"/>
        </w:rPr>
        <w:t>у</w:t>
      </w:r>
      <w:r w:rsidRPr="00E2067D">
        <w:rPr>
          <w:rFonts w:ascii="Times New Roman" w:hAnsi="Times New Roman" w:cs="Times New Roman"/>
          <w:sz w:val="28"/>
          <w:szCs w:val="28"/>
          <w:lang w:val="uk-UA"/>
        </w:rPr>
        <w:t xml:space="preserve">, принаймні в деяких аспектах. Література про кар’єру може взяти </w:t>
      </w:r>
      <w:proofErr w:type="spellStart"/>
      <w:r w:rsidRPr="00E2067D">
        <w:rPr>
          <w:rFonts w:ascii="Times New Roman" w:hAnsi="Times New Roman" w:cs="Times New Roman"/>
          <w:sz w:val="28"/>
          <w:szCs w:val="28"/>
          <w:lang w:val="uk-UA"/>
        </w:rPr>
        <w:t>уроки</w:t>
      </w:r>
      <w:proofErr w:type="spellEnd"/>
      <w:r w:rsidRPr="00E2067D">
        <w:rPr>
          <w:rFonts w:ascii="Times New Roman" w:hAnsi="Times New Roman" w:cs="Times New Roman"/>
          <w:sz w:val="28"/>
          <w:szCs w:val="28"/>
          <w:lang w:val="uk-UA"/>
        </w:rPr>
        <w:t xml:space="preserve"> з літератури </w:t>
      </w:r>
      <w:r>
        <w:rPr>
          <w:rFonts w:ascii="Times New Roman" w:hAnsi="Times New Roman" w:cs="Times New Roman"/>
          <w:sz w:val="28"/>
          <w:szCs w:val="28"/>
          <w:lang w:val="uk-UA"/>
        </w:rPr>
        <w:t>щодо</w:t>
      </w:r>
      <w:r w:rsidRPr="00E2067D">
        <w:rPr>
          <w:rFonts w:ascii="Times New Roman" w:hAnsi="Times New Roman" w:cs="Times New Roman"/>
          <w:sz w:val="28"/>
          <w:szCs w:val="28"/>
          <w:lang w:val="uk-UA"/>
        </w:rPr>
        <w:t xml:space="preserve"> управління талантами, визнаючи кар’єру проблемою організації, яка пов’язана з її ширшими методами стратегічного управління людськими ресурсами </w:t>
      </w:r>
      <w:r>
        <w:rPr>
          <w:rFonts w:ascii="Times New Roman" w:hAnsi="Times New Roman" w:cs="Times New Roman"/>
          <w:sz w:val="28"/>
          <w:szCs w:val="28"/>
        </w:rPr>
        <w:t>[146]</w:t>
      </w:r>
      <w:r w:rsidRPr="00E2067D">
        <w:rPr>
          <w:rFonts w:ascii="Times New Roman" w:hAnsi="Times New Roman" w:cs="Times New Roman"/>
          <w:sz w:val="28"/>
          <w:szCs w:val="28"/>
          <w:lang w:val="uk-UA"/>
        </w:rPr>
        <w:t xml:space="preserve">. З іншого боку, у літературі з управління талантами було б добре визнати свободу волі кар’єрних </w:t>
      </w:r>
      <w:r>
        <w:rPr>
          <w:rFonts w:ascii="Times New Roman" w:hAnsi="Times New Roman" w:cs="Times New Roman"/>
          <w:sz w:val="28"/>
          <w:szCs w:val="28"/>
          <w:lang w:val="uk-UA"/>
        </w:rPr>
        <w:t>працівників</w:t>
      </w:r>
      <w:r w:rsidRPr="00E2067D">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Pr="00E2067D">
        <w:rPr>
          <w:rFonts w:ascii="Times New Roman" w:hAnsi="Times New Roman" w:cs="Times New Roman"/>
          <w:sz w:val="28"/>
          <w:szCs w:val="28"/>
          <w:lang w:val="uk-UA"/>
        </w:rPr>
        <w:t xml:space="preserve"> не діють так раціонально та передбачувано, як інші ресурси. Тому вивчення управління талантами лише з точки зору ресурсів може бути недоцільним. </w:t>
      </w:r>
      <w:r>
        <w:rPr>
          <w:rFonts w:ascii="Times New Roman" w:hAnsi="Times New Roman" w:cs="Times New Roman"/>
          <w:sz w:val="28"/>
          <w:szCs w:val="28"/>
          <w:lang w:val="uk-UA"/>
        </w:rPr>
        <w:t>Наукові публікації</w:t>
      </w:r>
      <w:r w:rsidRPr="00E2067D">
        <w:rPr>
          <w:rFonts w:ascii="Times New Roman" w:hAnsi="Times New Roman" w:cs="Times New Roman"/>
          <w:sz w:val="28"/>
          <w:szCs w:val="28"/>
          <w:lang w:val="uk-UA"/>
        </w:rPr>
        <w:t xml:space="preserve"> з літератури про кар’єру, наприклад, роботи про суб’єктивний успіх у кар’єрі </w:t>
      </w:r>
      <w:r w:rsidRPr="005D1B01">
        <w:rPr>
          <w:rFonts w:ascii="Times New Roman" w:hAnsi="Times New Roman" w:cs="Times New Roman"/>
          <w:sz w:val="28"/>
          <w:szCs w:val="28"/>
          <w:lang w:val="uk-UA"/>
        </w:rPr>
        <w:t xml:space="preserve">[146] </w:t>
      </w:r>
      <w:r w:rsidRPr="00E2067D">
        <w:rPr>
          <w:rFonts w:ascii="Times New Roman" w:hAnsi="Times New Roman" w:cs="Times New Roman"/>
          <w:sz w:val="28"/>
          <w:szCs w:val="28"/>
          <w:lang w:val="uk-UA"/>
        </w:rPr>
        <w:t xml:space="preserve">і кар’єрні орієнтації </w:t>
      </w:r>
      <w:r w:rsidRPr="005D1B01">
        <w:rPr>
          <w:rFonts w:ascii="Times New Roman" w:hAnsi="Times New Roman" w:cs="Times New Roman"/>
          <w:sz w:val="28"/>
          <w:szCs w:val="28"/>
          <w:lang w:val="uk-UA"/>
        </w:rPr>
        <w:t>[165]</w:t>
      </w:r>
      <w:r w:rsidRPr="00E2067D">
        <w:rPr>
          <w:rFonts w:ascii="Times New Roman" w:hAnsi="Times New Roman" w:cs="Times New Roman"/>
          <w:sz w:val="28"/>
          <w:szCs w:val="28"/>
          <w:lang w:val="uk-UA"/>
        </w:rPr>
        <w:t>, можуть допомогти дослідникам управління талантами сформулювати рекомендації щодо того, як організації можуть досягти безперервності в результаті своєї практики управління кар'єрою.</w:t>
      </w:r>
    </w:p>
    <w:p w14:paraId="3A8AB2A4"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Варто відзначити, що н</w:t>
      </w:r>
      <w:r w:rsidRPr="005E7C2B">
        <w:rPr>
          <w:rFonts w:ascii="Times New Roman" w:hAnsi="Times New Roman" w:cs="Times New Roman"/>
          <w:sz w:val="28"/>
          <w:szCs w:val="28"/>
          <w:lang w:val="uk-UA"/>
        </w:rPr>
        <w:t xml:space="preserve">априкінці 1990-х років </w:t>
      </w:r>
      <w:r>
        <w:rPr>
          <w:rFonts w:ascii="Times New Roman" w:hAnsi="Times New Roman" w:cs="Times New Roman"/>
          <w:sz w:val="28"/>
          <w:szCs w:val="28"/>
          <w:lang w:val="uk-UA"/>
        </w:rPr>
        <w:t xml:space="preserve">у світовому науковому просторі </w:t>
      </w:r>
      <w:r w:rsidRPr="005E7C2B">
        <w:rPr>
          <w:rFonts w:ascii="Times New Roman" w:hAnsi="Times New Roman" w:cs="Times New Roman"/>
          <w:sz w:val="28"/>
          <w:szCs w:val="28"/>
          <w:lang w:val="uk-UA"/>
        </w:rPr>
        <w:t xml:space="preserve">з’явилися численні публікації під такими назвами: «Війна за таланти», «Здобуток талантів», «Гран талантів», «Як конкурувати у війні за таланти» </w:t>
      </w:r>
      <w:r w:rsidRPr="005D1B01">
        <w:rPr>
          <w:rFonts w:ascii="Times New Roman" w:hAnsi="Times New Roman" w:cs="Times New Roman"/>
          <w:sz w:val="28"/>
          <w:szCs w:val="28"/>
          <w:lang w:val="uk-UA"/>
        </w:rPr>
        <w:t>[166]</w:t>
      </w:r>
      <w:r>
        <w:rPr>
          <w:rFonts w:ascii="Times New Roman" w:hAnsi="Times New Roman" w:cs="Times New Roman"/>
          <w:sz w:val="28"/>
          <w:szCs w:val="28"/>
          <w:lang w:val="uk-UA"/>
        </w:rPr>
        <w:t xml:space="preserve">, які </w:t>
      </w:r>
      <w:r w:rsidRPr="005E7C2B">
        <w:rPr>
          <w:rFonts w:ascii="Times New Roman" w:hAnsi="Times New Roman" w:cs="Times New Roman"/>
          <w:sz w:val="28"/>
          <w:szCs w:val="28"/>
          <w:lang w:val="uk-UA"/>
        </w:rPr>
        <w:t>в</w:t>
      </w:r>
      <w:r>
        <w:rPr>
          <w:rFonts w:ascii="Times New Roman" w:hAnsi="Times New Roman" w:cs="Times New Roman"/>
          <w:sz w:val="28"/>
          <w:szCs w:val="28"/>
          <w:lang w:val="uk-UA"/>
        </w:rPr>
        <w:t xml:space="preserve">ідрізнялися </w:t>
      </w:r>
      <w:r w:rsidRPr="005E7C2B">
        <w:rPr>
          <w:rFonts w:ascii="Times New Roman" w:hAnsi="Times New Roman" w:cs="Times New Roman"/>
          <w:sz w:val="28"/>
          <w:szCs w:val="28"/>
          <w:lang w:val="uk-UA"/>
        </w:rPr>
        <w:t xml:space="preserve">більш поширеним мисленням про економіку, засновану на знаннях, глобальній економічній конкуренції та організаційних змінах. Це був перший етап війни за таланти в процесах управління </w:t>
      </w:r>
      <w:r>
        <w:rPr>
          <w:rFonts w:ascii="Times New Roman" w:hAnsi="Times New Roman" w:cs="Times New Roman"/>
          <w:sz w:val="28"/>
          <w:szCs w:val="28"/>
          <w:lang w:val="uk-UA"/>
        </w:rPr>
        <w:t>людськими ресурсами. Зараз у 21</w:t>
      </w:r>
      <w:r w:rsidRPr="005E7C2B">
        <w:rPr>
          <w:rFonts w:ascii="Times New Roman" w:hAnsi="Times New Roman" w:cs="Times New Roman"/>
          <w:sz w:val="28"/>
          <w:szCs w:val="28"/>
          <w:lang w:val="uk-UA"/>
        </w:rPr>
        <w:t xml:space="preserve"> столітт</w:t>
      </w:r>
      <w:r>
        <w:rPr>
          <w:rFonts w:ascii="Times New Roman" w:hAnsi="Times New Roman" w:cs="Times New Roman"/>
          <w:sz w:val="28"/>
          <w:szCs w:val="28"/>
          <w:lang w:val="uk-UA"/>
        </w:rPr>
        <w:t>і управління талантами</w:t>
      </w:r>
      <w:r w:rsidRPr="005E7C2B">
        <w:rPr>
          <w:rFonts w:ascii="Times New Roman" w:hAnsi="Times New Roman" w:cs="Times New Roman"/>
          <w:sz w:val="28"/>
          <w:szCs w:val="28"/>
          <w:lang w:val="uk-UA"/>
        </w:rPr>
        <w:t xml:space="preserve"> відрізняється від управління талантами в 20 столітті </w:t>
      </w:r>
      <w:r>
        <w:rPr>
          <w:rFonts w:ascii="Times New Roman" w:hAnsi="Times New Roman" w:cs="Times New Roman"/>
          <w:sz w:val="28"/>
          <w:szCs w:val="28"/>
        </w:rPr>
        <w:t>[167]</w:t>
      </w:r>
      <w:r w:rsidRPr="005E7C2B">
        <w:rPr>
          <w:rFonts w:ascii="Times New Roman" w:hAnsi="Times New Roman" w:cs="Times New Roman"/>
          <w:sz w:val="28"/>
          <w:szCs w:val="28"/>
          <w:lang w:val="uk-UA"/>
        </w:rPr>
        <w:t xml:space="preserve">. Дослідники та практики визнають, що таланти співробітників є сукупною категорією, яка охоплює риси членів організації, що гарантує досягнення виняткових результатів на робочих посадах, зокрема в сферах інноваційних і проривних </w:t>
      </w:r>
      <w:proofErr w:type="spellStart"/>
      <w:r w:rsidRPr="005E7C2B">
        <w:rPr>
          <w:rFonts w:ascii="Times New Roman" w:hAnsi="Times New Roman" w:cs="Times New Roman"/>
          <w:sz w:val="28"/>
          <w:szCs w:val="28"/>
          <w:lang w:val="uk-UA"/>
        </w:rPr>
        <w:t>відкриттів</w:t>
      </w:r>
      <w:proofErr w:type="spellEnd"/>
      <w:r w:rsidRPr="005E7C2B">
        <w:rPr>
          <w:rFonts w:ascii="Times New Roman" w:hAnsi="Times New Roman" w:cs="Times New Roman"/>
          <w:sz w:val="28"/>
          <w:szCs w:val="28"/>
          <w:lang w:val="uk-UA"/>
        </w:rPr>
        <w:t xml:space="preserve">, які є похідними від наступного: ініціативи, інтуїції, творчої думки, залученості, допитливості </w:t>
      </w:r>
      <w:r>
        <w:rPr>
          <w:rFonts w:ascii="Times New Roman" w:hAnsi="Times New Roman" w:cs="Times New Roman"/>
          <w:sz w:val="28"/>
          <w:szCs w:val="28"/>
          <w:lang w:val="uk-UA"/>
        </w:rPr>
        <w:t xml:space="preserve">та старанності </w:t>
      </w:r>
      <w:r w:rsidRPr="005D1B01">
        <w:rPr>
          <w:rFonts w:ascii="Times New Roman" w:hAnsi="Times New Roman" w:cs="Times New Roman"/>
          <w:sz w:val="28"/>
          <w:szCs w:val="28"/>
          <w:lang w:val="uk-UA"/>
        </w:rPr>
        <w:t>[168]</w:t>
      </w:r>
      <w:r w:rsidRPr="005E7C2B">
        <w:rPr>
          <w:rFonts w:ascii="Times New Roman" w:hAnsi="Times New Roman" w:cs="Times New Roman"/>
          <w:sz w:val="28"/>
          <w:szCs w:val="28"/>
          <w:lang w:val="uk-UA"/>
        </w:rPr>
        <w:t>.</w:t>
      </w:r>
    </w:p>
    <w:p w14:paraId="75F40A3A"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lastRenderedPageBreak/>
        <w:t xml:space="preserve">Значущість талантів працівників у практиці управління підприємствами зростає, що підтверджується появою все більш стандартизованих програм управління талантами. Фахівці з виявлення талантів зараз працюють у динамічному та постійно </w:t>
      </w:r>
      <w:r>
        <w:rPr>
          <w:rFonts w:ascii="Times New Roman" w:hAnsi="Times New Roman" w:cs="Times New Roman"/>
          <w:sz w:val="28"/>
          <w:szCs w:val="28"/>
          <w:lang w:val="uk-UA"/>
        </w:rPr>
        <w:t>турбулентному</w:t>
      </w:r>
      <w:r w:rsidRPr="005E7C2B">
        <w:rPr>
          <w:rFonts w:ascii="Times New Roman" w:hAnsi="Times New Roman" w:cs="Times New Roman"/>
          <w:sz w:val="28"/>
          <w:szCs w:val="28"/>
          <w:lang w:val="uk-UA"/>
        </w:rPr>
        <w:t xml:space="preserve"> середовищі великої мінливості, невизначеності, заплутаності та неоднозначності, що, у свою чергу, вимагає вмілого створення стратегій талантів. Процеси глобалізації та мобільності співробітників, багатопоколінні організації та більш диференційована робоча сила змінили спосіб сприйняття талантів.</w:t>
      </w:r>
      <w:r>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 xml:space="preserve">Таким чином, необхідно поставити питання про те, як проводяться програми управління талантами в сучасній практиці процесів управління персоналом. </w:t>
      </w:r>
      <w:r>
        <w:rPr>
          <w:rFonts w:ascii="Times New Roman" w:hAnsi="Times New Roman" w:cs="Times New Roman"/>
          <w:sz w:val="28"/>
          <w:szCs w:val="28"/>
          <w:lang w:val="uk-UA"/>
        </w:rPr>
        <w:t xml:space="preserve">Тому виявляється наступний етап нашого дослідження, який має на меті </w:t>
      </w:r>
      <w:r w:rsidRPr="005E7C2B">
        <w:rPr>
          <w:rFonts w:ascii="Times New Roman" w:hAnsi="Times New Roman" w:cs="Times New Roman"/>
          <w:sz w:val="28"/>
          <w:szCs w:val="28"/>
          <w:lang w:val="uk-UA"/>
        </w:rPr>
        <w:t>ідентифікаці</w:t>
      </w:r>
      <w:r>
        <w:rPr>
          <w:rFonts w:ascii="Times New Roman" w:hAnsi="Times New Roman" w:cs="Times New Roman"/>
          <w:sz w:val="28"/>
          <w:szCs w:val="28"/>
          <w:lang w:val="uk-UA"/>
        </w:rPr>
        <w:t>ю</w:t>
      </w:r>
      <w:r w:rsidRPr="005E7C2B">
        <w:rPr>
          <w:rFonts w:ascii="Times New Roman" w:hAnsi="Times New Roman" w:cs="Times New Roman"/>
          <w:sz w:val="28"/>
          <w:szCs w:val="28"/>
          <w:lang w:val="uk-UA"/>
        </w:rPr>
        <w:t xml:space="preserve"> програм </w:t>
      </w:r>
      <w:r>
        <w:rPr>
          <w:rFonts w:ascii="Times New Roman" w:hAnsi="Times New Roman" w:cs="Times New Roman"/>
          <w:sz w:val="28"/>
          <w:szCs w:val="28"/>
          <w:lang w:val="uk-UA"/>
        </w:rPr>
        <w:t>управління талантами</w:t>
      </w:r>
      <w:r w:rsidRPr="005E7C2B">
        <w:rPr>
          <w:rFonts w:ascii="Times New Roman" w:hAnsi="Times New Roman" w:cs="Times New Roman"/>
          <w:sz w:val="28"/>
          <w:szCs w:val="28"/>
          <w:lang w:val="uk-UA"/>
        </w:rPr>
        <w:t xml:space="preserve"> у вибраних глобальних підприємствах. Визначення їхньої специфікації та обсягу предмета в майбутньому сприятиме підготовці передових практик управління талантами та, можливо, </w:t>
      </w:r>
      <w:proofErr w:type="spellStart"/>
      <w:r w:rsidRPr="005E7C2B">
        <w:rPr>
          <w:rFonts w:ascii="Times New Roman" w:hAnsi="Times New Roman" w:cs="Times New Roman"/>
          <w:sz w:val="28"/>
          <w:szCs w:val="28"/>
          <w:lang w:val="uk-UA"/>
        </w:rPr>
        <w:t>надасть</w:t>
      </w:r>
      <w:proofErr w:type="spellEnd"/>
      <w:r w:rsidRPr="005E7C2B">
        <w:rPr>
          <w:rFonts w:ascii="Times New Roman" w:hAnsi="Times New Roman" w:cs="Times New Roman"/>
          <w:sz w:val="28"/>
          <w:szCs w:val="28"/>
          <w:lang w:val="uk-UA"/>
        </w:rPr>
        <w:t xml:space="preserve"> можливості для перемоги у </w:t>
      </w:r>
      <w:r>
        <w:rPr>
          <w:rFonts w:ascii="Times New Roman" w:hAnsi="Times New Roman" w:cs="Times New Roman"/>
          <w:sz w:val="28"/>
          <w:szCs w:val="28"/>
          <w:lang w:val="uk-UA"/>
        </w:rPr>
        <w:t>конкурентній боротьбі</w:t>
      </w:r>
      <w:r w:rsidRPr="005E7C2B">
        <w:rPr>
          <w:rFonts w:ascii="Times New Roman" w:hAnsi="Times New Roman" w:cs="Times New Roman"/>
          <w:sz w:val="28"/>
          <w:szCs w:val="28"/>
          <w:lang w:val="uk-UA"/>
        </w:rPr>
        <w:t xml:space="preserve"> за таланти.</w:t>
      </w:r>
      <w:r>
        <w:rPr>
          <w:rFonts w:ascii="Times New Roman" w:hAnsi="Times New Roman" w:cs="Times New Roman"/>
          <w:sz w:val="28"/>
          <w:szCs w:val="28"/>
          <w:lang w:val="uk-UA"/>
        </w:rPr>
        <w:t xml:space="preserve"> Для проведення цього етапу доцільно знайти відповіді на наступні </w:t>
      </w:r>
      <w:r w:rsidRPr="005E7C2B">
        <w:rPr>
          <w:rFonts w:ascii="Times New Roman" w:hAnsi="Times New Roman" w:cs="Times New Roman"/>
          <w:sz w:val="28"/>
          <w:szCs w:val="28"/>
          <w:lang w:val="uk-UA"/>
        </w:rPr>
        <w:t xml:space="preserve">дослідницькі питання: </w:t>
      </w:r>
      <w:r>
        <w:rPr>
          <w:rFonts w:ascii="Times New Roman" w:hAnsi="Times New Roman" w:cs="Times New Roman"/>
          <w:sz w:val="28"/>
          <w:szCs w:val="28"/>
          <w:lang w:val="uk-UA"/>
        </w:rPr>
        <w:t>я</w:t>
      </w:r>
      <w:r w:rsidRPr="005E7C2B">
        <w:rPr>
          <w:rFonts w:ascii="Times New Roman" w:hAnsi="Times New Roman" w:cs="Times New Roman"/>
          <w:sz w:val="28"/>
          <w:szCs w:val="28"/>
          <w:lang w:val="uk-UA"/>
        </w:rPr>
        <w:t>кий рівень значущості володіння програмами управління талантами на підприємствах?</w:t>
      </w:r>
      <w:r>
        <w:rPr>
          <w:rFonts w:ascii="Times New Roman" w:hAnsi="Times New Roman" w:cs="Times New Roman"/>
          <w:sz w:val="28"/>
          <w:szCs w:val="28"/>
          <w:lang w:val="uk-UA"/>
        </w:rPr>
        <w:t xml:space="preserve"> я</w:t>
      </w:r>
      <w:r w:rsidRPr="005E7C2B">
        <w:rPr>
          <w:rFonts w:ascii="Times New Roman" w:hAnsi="Times New Roman" w:cs="Times New Roman"/>
          <w:sz w:val="28"/>
          <w:szCs w:val="28"/>
          <w:lang w:val="uk-UA"/>
        </w:rPr>
        <w:t>кі цілі лежать в основі реалізації таких програм?</w:t>
      </w:r>
      <w:r>
        <w:rPr>
          <w:rFonts w:ascii="Times New Roman" w:hAnsi="Times New Roman" w:cs="Times New Roman"/>
          <w:sz w:val="28"/>
          <w:szCs w:val="28"/>
          <w:lang w:val="uk-UA"/>
        </w:rPr>
        <w:t xml:space="preserve"> я</w:t>
      </w:r>
      <w:r w:rsidRPr="005E7C2B">
        <w:rPr>
          <w:rFonts w:ascii="Times New Roman" w:hAnsi="Times New Roman" w:cs="Times New Roman"/>
          <w:sz w:val="28"/>
          <w:szCs w:val="28"/>
          <w:lang w:val="uk-UA"/>
        </w:rPr>
        <w:t xml:space="preserve">кі методи та техніки використовуються в програмах </w:t>
      </w:r>
      <w:r>
        <w:rPr>
          <w:rFonts w:ascii="Times New Roman" w:hAnsi="Times New Roman" w:cs="Times New Roman"/>
          <w:sz w:val="28"/>
          <w:szCs w:val="28"/>
          <w:lang w:val="uk-UA"/>
        </w:rPr>
        <w:t>управління талантами</w:t>
      </w:r>
      <w:r w:rsidRPr="005E7C2B">
        <w:rPr>
          <w:rFonts w:ascii="Times New Roman" w:hAnsi="Times New Roman" w:cs="Times New Roman"/>
          <w:sz w:val="28"/>
          <w:szCs w:val="28"/>
          <w:lang w:val="uk-UA"/>
        </w:rPr>
        <w:t>?</w:t>
      </w:r>
      <w:r>
        <w:rPr>
          <w:rFonts w:ascii="Times New Roman" w:hAnsi="Times New Roman" w:cs="Times New Roman"/>
          <w:sz w:val="28"/>
          <w:szCs w:val="28"/>
          <w:lang w:val="uk-UA"/>
        </w:rPr>
        <w:t xml:space="preserve"> я</w:t>
      </w:r>
      <w:r w:rsidRPr="005E7C2B">
        <w:rPr>
          <w:rFonts w:ascii="Times New Roman" w:hAnsi="Times New Roman" w:cs="Times New Roman"/>
          <w:sz w:val="28"/>
          <w:szCs w:val="28"/>
          <w:lang w:val="uk-UA"/>
        </w:rPr>
        <w:t>кі наслідки впровадження процесу управління талантами в довгостроковій перспективі?</w:t>
      </w:r>
    </w:p>
    <w:p w14:paraId="2E394C4E" w14:textId="0C3DF300"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Першочерговим є</w:t>
      </w:r>
      <w:r w:rsidRPr="005E7C2B">
        <w:rPr>
          <w:rFonts w:ascii="Times New Roman" w:hAnsi="Times New Roman" w:cs="Times New Roman"/>
          <w:sz w:val="28"/>
          <w:szCs w:val="28"/>
          <w:lang w:val="uk-UA"/>
        </w:rPr>
        <w:t xml:space="preserve"> визначення базової літератури, </w:t>
      </w:r>
      <w:r>
        <w:rPr>
          <w:rFonts w:ascii="Times New Roman" w:hAnsi="Times New Roman" w:cs="Times New Roman"/>
          <w:sz w:val="28"/>
          <w:szCs w:val="28"/>
          <w:lang w:val="uk-UA"/>
        </w:rPr>
        <w:t>для чого</w:t>
      </w:r>
      <w:r w:rsidRPr="005E7C2B">
        <w:rPr>
          <w:rFonts w:ascii="Times New Roman" w:hAnsi="Times New Roman" w:cs="Times New Roman"/>
          <w:sz w:val="28"/>
          <w:szCs w:val="28"/>
          <w:lang w:val="uk-UA"/>
        </w:rPr>
        <w:t xml:space="preserve"> були використані повнотекстові </w:t>
      </w:r>
      <w:r>
        <w:rPr>
          <w:rFonts w:ascii="Times New Roman" w:hAnsi="Times New Roman" w:cs="Times New Roman"/>
          <w:sz w:val="28"/>
          <w:szCs w:val="28"/>
          <w:lang w:val="uk-UA"/>
        </w:rPr>
        <w:t>джерела публікацій (</w:t>
      </w:r>
      <w:proofErr w:type="spellStart"/>
      <w:r w:rsidRPr="005E7C2B">
        <w:rPr>
          <w:rFonts w:ascii="Times New Roman" w:hAnsi="Times New Roman" w:cs="Times New Roman"/>
          <w:sz w:val="28"/>
          <w:szCs w:val="28"/>
          <w:lang w:val="uk-UA"/>
        </w:rPr>
        <w:t>ProQuest</w:t>
      </w:r>
      <w:proofErr w:type="spellEnd"/>
      <w:r w:rsidRPr="005E7C2B">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Emerald</w:t>
      </w:r>
      <w:proofErr w:type="spellEnd"/>
      <w:r w:rsidRPr="005E7C2B">
        <w:rPr>
          <w:rFonts w:ascii="Times New Roman" w:hAnsi="Times New Roman" w:cs="Times New Roman"/>
          <w:sz w:val="28"/>
          <w:szCs w:val="28"/>
          <w:lang w:val="uk-UA"/>
        </w:rPr>
        <w:t>, SCOPUS</w:t>
      </w:r>
      <w:r>
        <w:rPr>
          <w:rFonts w:ascii="Times New Roman" w:hAnsi="Times New Roman" w:cs="Times New Roman"/>
          <w:sz w:val="28"/>
          <w:szCs w:val="28"/>
          <w:lang w:val="uk-UA"/>
        </w:rPr>
        <w:t>)</w:t>
      </w:r>
      <w:r w:rsidRPr="005E7C2B">
        <w:rPr>
          <w:rFonts w:ascii="Times New Roman" w:hAnsi="Times New Roman" w:cs="Times New Roman"/>
          <w:sz w:val="28"/>
          <w:szCs w:val="28"/>
          <w:lang w:val="uk-UA"/>
        </w:rPr>
        <w:t>. В результаті було отримано доступ до актуальних і значущих журналів і видань міжнародного масштабу. Згодом було проведено відбір за такими ключовими словами: талант і управління талантами. Подальшим етапом було</w:t>
      </w:r>
      <w:r>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 xml:space="preserve">розширити аналіз допоміжного характеру - війни за таланти. Накопичений вихідний матеріал було звужено шляхом виключення таких статей, як </w:t>
      </w:r>
      <w:r>
        <w:rPr>
          <w:rFonts w:ascii="Times New Roman" w:hAnsi="Times New Roman" w:cs="Times New Roman"/>
          <w:sz w:val="28"/>
          <w:szCs w:val="28"/>
          <w:lang w:val="uk-UA"/>
        </w:rPr>
        <w:t xml:space="preserve">тези </w:t>
      </w:r>
      <w:r w:rsidRPr="005E7C2B">
        <w:rPr>
          <w:rFonts w:ascii="Times New Roman" w:hAnsi="Times New Roman" w:cs="Times New Roman"/>
          <w:sz w:val="28"/>
          <w:szCs w:val="28"/>
          <w:lang w:val="uk-UA"/>
        </w:rPr>
        <w:t xml:space="preserve">конференцій, а також рецензії на книги. Насамкінець проведено аналіз змісту на основі тез, звужуючи посилання </w:t>
      </w:r>
      <w:r>
        <w:rPr>
          <w:rFonts w:ascii="Times New Roman" w:hAnsi="Times New Roman" w:cs="Times New Roman"/>
          <w:sz w:val="28"/>
          <w:szCs w:val="28"/>
          <w:lang w:val="uk-UA"/>
        </w:rPr>
        <w:t>до</w:t>
      </w:r>
      <w:r w:rsidRPr="005E7C2B">
        <w:rPr>
          <w:rFonts w:ascii="Times New Roman" w:hAnsi="Times New Roman" w:cs="Times New Roman"/>
          <w:sz w:val="28"/>
          <w:szCs w:val="28"/>
          <w:lang w:val="uk-UA"/>
        </w:rPr>
        <w:t xml:space="preserve"> област</w:t>
      </w:r>
      <w:r>
        <w:rPr>
          <w:rFonts w:ascii="Times New Roman" w:hAnsi="Times New Roman" w:cs="Times New Roman"/>
          <w:sz w:val="28"/>
          <w:szCs w:val="28"/>
          <w:lang w:val="uk-UA"/>
        </w:rPr>
        <w:t>і</w:t>
      </w:r>
      <w:r w:rsidRPr="005E7C2B">
        <w:rPr>
          <w:rFonts w:ascii="Times New Roman" w:hAnsi="Times New Roman" w:cs="Times New Roman"/>
          <w:sz w:val="28"/>
          <w:szCs w:val="28"/>
          <w:lang w:val="uk-UA"/>
        </w:rPr>
        <w:t xml:space="preserve"> науки управління. На наступному етапі літературний матеріал був розширений за рахунок наукових публікацій, а також </w:t>
      </w:r>
      <w:r w:rsidRPr="005E7C2B">
        <w:rPr>
          <w:rFonts w:ascii="Times New Roman" w:hAnsi="Times New Roman" w:cs="Times New Roman"/>
          <w:sz w:val="28"/>
          <w:szCs w:val="28"/>
          <w:lang w:val="uk-UA"/>
        </w:rPr>
        <w:lastRenderedPageBreak/>
        <w:t xml:space="preserve">монографій і статей, рецензованих у провідних </w:t>
      </w:r>
      <w:r>
        <w:rPr>
          <w:rFonts w:ascii="Times New Roman" w:hAnsi="Times New Roman" w:cs="Times New Roman"/>
          <w:sz w:val="28"/>
          <w:szCs w:val="28"/>
          <w:lang w:val="uk-UA"/>
        </w:rPr>
        <w:t xml:space="preserve">наукових журналах. </w:t>
      </w:r>
      <w:r w:rsidRPr="005E7C2B">
        <w:rPr>
          <w:rFonts w:ascii="Times New Roman" w:hAnsi="Times New Roman" w:cs="Times New Roman"/>
          <w:sz w:val="28"/>
          <w:szCs w:val="28"/>
          <w:lang w:val="uk-UA"/>
        </w:rPr>
        <w:t xml:space="preserve">Отримані літературні джерела згодом підлягали глибокому аналізу змісту в систематизації літератури </w:t>
      </w:r>
      <w:r w:rsidR="00A4269D">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встановлювалась якість </w:t>
      </w:r>
      <w:r>
        <w:rPr>
          <w:rFonts w:ascii="Times New Roman" w:hAnsi="Times New Roman" w:cs="Times New Roman"/>
          <w:sz w:val="28"/>
          <w:szCs w:val="28"/>
          <w:lang w:val="uk-UA"/>
        </w:rPr>
        <w:t>підібраних публікацій (відкидаючи</w:t>
      </w:r>
      <w:r w:rsidRPr="005E7C2B">
        <w:rPr>
          <w:rFonts w:ascii="Times New Roman" w:hAnsi="Times New Roman" w:cs="Times New Roman"/>
          <w:sz w:val="28"/>
          <w:szCs w:val="28"/>
          <w:lang w:val="uk-UA"/>
        </w:rPr>
        <w:t xml:space="preserve"> непотрібн</w:t>
      </w:r>
      <w:r>
        <w:rPr>
          <w:rFonts w:ascii="Times New Roman" w:hAnsi="Times New Roman" w:cs="Times New Roman"/>
          <w:sz w:val="28"/>
          <w:szCs w:val="28"/>
          <w:lang w:val="uk-UA"/>
        </w:rPr>
        <w:t>і</w:t>
      </w:r>
      <w:r w:rsidRPr="005E7C2B">
        <w:rPr>
          <w:rFonts w:ascii="Times New Roman" w:hAnsi="Times New Roman" w:cs="Times New Roman"/>
          <w:sz w:val="28"/>
          <w:szCs w:val="28"/>
          <w:lang w:val="uk-UA"/>
        </w:rPr>
        <w:t xml:space="preserve"> з точки зору цілей дослідження), а також систематизація та впорядкування на основі </w:t>
      </w:r>
      <w:r>
        <w:rPr>
          <w:rFonts w:ascii="Times New Roman" w:hAnsi="Times New Roman" w:cs="Times New Roman"/>
          <w:sz w:val="28"/>
          <w:szCs w:val="28"/>
          <w:lang w:val="uk-UA"/>
        </w:rPr>
        <w:t>відібраних</w:t>
      </w:r>
      <w:r w:rsidRPr="005E7C2B">
        <w:rPr>
          <w:rFonts w:ascii="Times New Roman" w:hAnsi="Times New Roman" w:cs="Times New Roman"/>
          <w:sz w:val="28"/>
          <w:szCs w:val="28"/>
          <w:lang w:val="uk-UA"/>
        </w:rPr>
        <w:t xml:space="preserve"> ключов</w:t>
      </w:r>
      <w:r>
        <w:rPr>
          <w:rFonts w:ascii="Times New Roman" w:hAnsi="Times New Roman" w:cs="Times New Roman"/>
          <w:sz w:val="28"/>
          <w:szCs w:val="28"/>
          <w:lang w:val="uk-UA"/>
        </w:rPr>
        <w:t>их</w:t>
      </w:r>
      <w:r w:rsidRPr="005E7C2B">
        <w:rPr>
          <w:rFonts w:ascii="Times New Roman" w:hAnsi="Times New Roman" w:cs="Times New Roman"/>
          <w:sz w:val="28"/>
          <w:szCs w:val="28"/>
          <w:lang w:val="uk-UA"/>
        </w:rPr>
        <w:t xml:space="preserve"> сл</w:t>
      </w:r>
      <w:r>
        <w:rPr>
          <w:rFonts w:ascii="Times New Roman" w:hAnsi="Times New Roman" w:cs="Times New Roman"/>
          <w:sz w:val="28"/>
          <w:szCs w:val="28"/>
          <w:lang w:val="uk-UA"/>
        </w:rPr>
        <w:t>ів</w:t>
      </w:r>
      <w:r w:rsidRPr="005E7C2B">
        <w:rPr>
          <w:rFonts w:ascii="Times New Roman" w:hAnsi="Times New Roman" w:cs="Times New Roman"/>
          <w:sz w:val="28"/>
          <w:szCs w:val="28"/>
          <w:lang w:val="uk-UA"/>
        </w:rPr>
        <w:t xml:space="preserve">, що, </w:t>
      </w:r>
      <w:r>
        <w:rPr>
          <w:rFonts w:ascii="Times New Roman" w:hAnsi="Times New Roman" w:cs="Times New Roman"/>
          <w:sz w:val="28"/>
          <w:szCs w:val="28"/>
          <w:lang w:val="uk-UA"/>
        </w:rPr>
        <w:t>в</w:t>
      </w:r>
      <w:r w:rsidRPr="005E7C2B">
        <w:rPr>
          <w:rFonts w:ascii="Times New Roman" w:hAnsi="Times New Roman" w:cs="Times New Roman"/>
          <w:sz w:val="28"/>
          <w:szCs w:val="28"/>
          <w:lang w:val="uk-UA"/>
        </w:rPr>
        <w:t xml:space="preserve"> свою чергу, зрештою сприяло підтвердженню первинних когнітивних прогалин. Бракує широких емпіричних робіт про масштаби поточної війни за таланти, що ведеться на підприємствах.</w:t>
      </w:r>
    </w:p>
    <w:p w14:paraId="67312247" w14:textId="77777777" w:rsidR="00571B42" w:rsidRPr="005E7C2B" w:rsidRDefault="00571B42" w:rsidP="00571B42">
      <w:pPr>
        <w:tabs>
          <w:tab w:val="left" w:pos="7109"/>
        </w:tabs>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Згодом відбувся прогрес </w:t>
      </w:r>
      <w:r>
        <w:rPr>
          <w:rFonts w:ascii="Times New Roman" w:hAnsi="Times New Roman" w:cs="Times New Roman"/>
          <w:sz w:val="28"/>
          <w:szCs w:val="28"/>
          <w:lang w:val="uk-UA"/>
        </w:rPr>
        <w:t>що</w:t>
      </w:r>
      <w:r w:rsidRPr="005E7C2B">
        <w:rPr>
          <w:rFonts w:ascii="Times New Roman" w:hAnsi="Times New Roman" w:cs="Times New Roman"/>
          <w:sz w:val="28"/>
          <w:szCs w:val="28"/>
          <w:lang w:val="uk-UA"/>
        </w:rPr>
        <w:t xml:space="preserve">до емпіричного аналізу. У ході дослідження були зібрані кейси програм управління талантами. Список </w:t>
      </w:r>
      <w:proofErr w:type="spellStart"/>
      <w:r w:rsidRPr="005E7C2B">
        <w:rPr>
          <w:rFonts w:ascii="Times New Roman" w:hAnsi="Times New Roman" w:cs="Times New Roman"/>
          <w:sz w:val="28"/>
          <w:szCs w:val="28"/>
          <w:lang w:val="uk-UA"/>
        </w:rPr>
        <w:t>Forbes</w:t>
      </w:r>
      <w:proofErr w:type="spellEnd"/>
      <w:r w:rsidRPr="005E7C2B">
        <w:rPr>
          <w:rFonts w:ascii="Times New Roman" w:hAnsi="Times New Roman" w:cs="Times New Roman"/>
          <w:sz w:val="28"/>
          <w:szCs w:val="28"/>
          <w:lang w:val="uk-UA"/>
        </w:rPr>
        <w:t xml:space="preserve"> найбільших підприємств був використаний як відправна точка для пошуку прикладів </w:t>
      </w:r>
      <w:r>
        <w:rPr>
          <w:rFonts w:ascii="Times New Roman" w:hAnsi="Times New Roman" w:cs="Times New Roman"/>
          <w:sz w:val="28"/>
          <w:szCs w:val="28"/>
        </w:rPr>
        <w:t>[169]</w:t>
      </w:r>
      <w:r w:rsidRPr="005E7C2B">
        <w:rPr>
          <w:rFonts w:ascii="Times New Roman" w:hAnsi="Times New Roman" w:cs="Times New Roman"/>
          <w:sz w:val="28"/>
          <w:szCs w:val="28"/>
          <w:lang w:val="uk-UA"/>
        </w:rPr>
        <w:t xml:space="preserve">. Кожен приклад програми </w:t>
      </w:r>
      <w:r>
        <w:rPr>
          <w:rFonts w:ascii="Times New Roman" w:hAnsi="Times New Roman" w:cs="Times New Roman"/>
          <w:sz w:val="28"/>
          <w:szCs w:val="28"/>
          <w:lang w:val="uk-UA"/>
        </w:rPr>
        <w:t>управління талантами</w:t>
      </w:r>
      <w:r w:rsidRPr="005E7C2B">
        <w:rPr>
          <w:rFonts w:ascii="Times New Roman" w:hAnsi="Times New Roman" w:cs="Times New Roman"/>
          <w:sz w:val="28"/>
          <w:szCs w:val="28"/>
          <w:lang w:val="uk-UA"/>
        </w:rPr>
        <w:t xml:space="preserve"> був ретельно відібраний, щоб узгодити </w:t>
      </w:r>
      <w:r>
        <w:rPr>
          <w:rFonts w:ascii="Times New Roman" w:hAnsi="Times New Roman" w:cs="Times New Roman"/>
          <w:sz w:val="28"/>
          <w:szCs w:val="28"/>
          <w:lang w:val="uk-UA"/>
        </w:rPr>
        <w:t>їхнє</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можлив</w:t>
      </w:r>
      <w:r w:rsidRPr="005E7C2B">
        <w:rPr>
          <w:rFonts w:ascii="Times New Roman" w:hAnsi="Times New Roman" w:cs="Times New Roman"/>
          <w:sz w:val="28"/>
          <w:szCs w:val="28"/>
          <w:lang w:val="uk-UA"/>
        </w:rPr>
        <w:t xml:space="preserve">е повторення </w:t>
      </w:r>
      <w:r>
        <w:rPr>
          <w:rFonts w:ascii="Times New Roman" w:hAnsi="Times New Roman" w:cs="Times New Roman"/>
          <w:sz w:val="28"/>
          <w:szCs w:val="28"/>
          <w:lang w:val="uk-UA"/>
        </w:rPr>
        <w:t xml:space="preserve">(як </w:t>
      </w:r>
      <w:r w:rsidRPr="005E7C2B">
        <w:rPr>
          <w:rFonts w:ascii="Times New Roman" w:hAnsi="Times New Roman" w:cs="Times New Roman"/>
          <w:sz w:val="28"/>
          <w:szCs w:val="28"/>
          <w:lang w:val="uk-UA"/>
        </w:rPr>
        <w:t>подібні результа</w:t>
      </w:r>
      <w:r>
        <w:rPr>
          <w:rFonts w:ascii="Times New Roman" w:hAnsi="Times New Roman" w:cs="Times New Roman"/>
          <w:sz w:val="28"/>
          <w:szCs w:val="28"/>
          <w:lang w:val="uk-UA"/>
        </w:rPr>
        <w:t>ти, так і теоретичне повторення)</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або </w:t>
      </w:r>
      <w:r w:rsidRPr="005E7C2B">
        <w:rPr>
          <w:rFonts w:ascii="Times New Roman" w:hAnsi="Times New Roman" w:cs="Times New Roman"/>
          <w:sz w:val="28"/>
          <w:szCs w:val="28"/>
          <w:lang w:val="uk-UA"/>
        </w:rPr>
        <w:t xml:space="preserve">різні результати, але з передбачуваними причинами. Накопичені дані були отримані з документів, таких як </w:t>
      </w:r>
      <w:r>
        <w:rPr>
          <w:rFonts w:ascii="Times New Roman" w:hAnsi="Times New Roman" w:cs="Times New Roman"/>
          <w:sz w:val="28"/>
          <w:szCs w:val="28"/>
          <w:lang w:val="uk-UA"/>
        </w:rPr>
        <w:t xml:space="preserve">фінансові </w:t>
      </w:r>
      <w:r w:rsidRPr="005E7C2B">
        <w:rPr>
          <w:rFonts w:ascii="Times New Roman" w:hAnsi="Times New Roman" w:cs="Times New Roman"/>
          <w:sz w:val="28"/>
          <w:szCs w:val="28"/>
          <w:lang w:val="uk-UA"/>
        </w:rPr>
        <w:t xml:space="preserve">звіти підприємств, звіти для </w:t>
      </w:r>
      <w:proofErr w:type="spellStart"/>
      <w:r>
        <w:rPr>
          <w:rFonts w:ascii="Times New Roman" w:hAnsi="Times New Roman" w:cs="Times New Roman"/>
          <w:sz w:val="28"/>
          <w:szCs w:val="28"/>
          <w:lang w:val="uk-UA"/>
        </w:rPr>
        <w:t>стейкголдерів</w:t>
      </w:r>
      <w:proofErr w:type="spellEnd"/>
      <w:r w:rsidRPr="005E7C2B">
        <w:rPr>
          <w:rFonts w:ascii="Times New Roman" w:hAnsi="Times New Roman" w:cs="Times New Roman"/>
          <w:sz w:val="28"/>
          <w:szCs w:val="28"/>
          <w:lang w:val="uk-UA"/>
        </w:rPr>
        <w:t>, думки працівників організацій, внутрішні та зовнішні публікації, а також статті з професійної преси. Прийняті припущення сприяли збору добре продуманої та повної інформації, оскільки вона надходить із безлічі джерел і забезпечує можливість тріангуляції, що передбачає порівняння інформації з різних джерел.</w:t>
      </w:r>
    </w:p>
    <w:p w14:paraId="62FCE4BE" w14:textId="77777777" w:rsidR="00571B42" w:rsidRPr="005E7C2B" w:rsidRDefault="00571B42" w:rsidP="00571B42">
      <w:pPr>
        <w:tabs>
          <w:tab w:val="left" w:pos="7109"/>
        </w:tabs>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Скринінг кейсів проводився на основі суб'єктивної оцінки програм управління талантами у сфері подібності та конкурентоспроможності. Індукційний аналіз даних надав можливість проілюструвати правильність і створення категорій процесів </w:t>
      </w:r>
      <w:r>
        <w:rPr>
          <w:rFonts w:ascii="Times New Roman" w:hAnsi="Times New Roman" w:cs="Times New Roman"/>
          <w:sz w:val="28"/>
          <w:szCs w:val="28"/>
          <w:lang w:val="uk-UA"/>
        </w:rPr>
        <w:t>управління талантами</w:t>
      </w:r>
      <w:r w:rsidRPr="005E7C2B">
        <w:rPr>
          <w:rFonts w:ascii="Times New Roman" w:hAnsi="Times New Roman" w:cs="Times New Roman"/>
          <w:sz w:val="28"/>
          <w:szCs w:val="28"/>
          <w:lang w:val="uk-UA"/>
        </w:rPr>
        <w:t>, починаючи від загальних характеристик до все більш детального аналізу, а також полегшив багаторазове повернення до накопиченого матеріалу з метою розширення процес</w:t>
      </w:r>
      <w:r>
        <w:rPr>
          <w:rFonts w:ascii="Times New Roman" w:hAnsi="Times New Roman" w:cs="Times New Roman"/>
          <w:sz w:val="28"/>
          <w:szCs w:val="28"/>
          <w:lang w:val="uk-UA"/>
        </w:rPr>
        <w:t>у</w:t>
      </w:r>
      <w:r w:rsidRPr="005E7C2B">
        <w:rPr>
          <w:rFonts w:ascii="Times New Roman" w:hAnsi="Times New Roman" w:cs="Times New Roman"/>
          <w:sz w:val="28"/>
          <w:szCs w:val="28"/>
          <w:lang w:val="uk-UA"/>
        </w:rPr>
        <w:t xml:space="preserve"> дослідження.</w:t>
      </w:r>
      <w:r>
        <w:rPr>
          <w:rFonts w:ascii="Times New Roman" w:hAnsi="Times New Roman" w:cs="Times New Roman"/>
          <w:sz w:val="28"/>
          <w:szCs w:val="28"/>
          <w:lang w:val="uk-UA"/>
        </w:rPr>
        <w:t xml:space="preserve"> Перевірка точності інформації</w:t>
      </w:r>
      <w:r w:rsidRPr="005E7C2B">
        <w:rPr>
          <w:rFonts w:ascii="Times New Roman" w:hAnsi="Times New Roman" w:cs="Times New Roman"/>
          <w:sz w:val="28"/>
          <w:szCs w:val="28"/>
          <w:lang w:val="uk-UA"/>
        </w:rPr>
        <w:t xml:space="preserve"> проводилася поетапно. На початку дані були підготовлені для аналізу шляхом </w:t>
      </w:r>
      <w:r>
        <w:rPr>
          <w:rFonts w:ascii="Times New Roman" w:hAnsi="Times New Roman" w:cs="Times New Roman"/>
          <w:sz w:val="28"/>
          <w:szCs w:val="28"/>
          <w:lang w:val="uk-UA"/>
        </w:rPr>
        <w:t xml:space="preserve">їхнього </w:t>
      </w:r>
      <w:r w:rsidRPr="005E7C2B">
        <w:rPr>
          <w:rFonts w:ascii="Times New Roman" w:hAnsi="Times New Roman" w:cs="Times New Roman"/>
          <w:sz w:val="28"/>
          <w:szCs w:val="28"/>
          <w:lang w:val="uk-UA"/>
        </w:rPr>
        <w:t xml:space="preserve">упорядкування </w:t>
      </w:r>
      <w:r>
        <w:rPr>
          <w:rFonts w:ascii="Times New Roman" w:hAnsi="Times New Roman" w:cs="Times New Roman"/>
          <w:sz w:val="28"/>
          <w:szCs w:val="28"/>
          <w:lang w:val="uk-UA"/>
        </w:rPr>
        <w:t>щодо</w:t>
      </w:r>
      <w:r w:rsidRPr="005E7C2B">
        <w:rPr>
          <w:rFonts w:ascii="Times New Roman" w:hAnsi="Times New Roman" w:cs="Times New Roman"/>
          <w:sz w:val="28"/>
          <w:szCs w:val="28"/>
          <w:lang w:val="uk-UA"/>
        </w:rPr>
        <w:t xml:space="preserve"> вибраних тематичних дослідженнях, а згодом їх</w:t>
      </w:r>
      <w:r>
        <w:rPr>
          <w:rFonts w:ascii="Times New Roman" w:hAnsi="Times New Roman" w:cs="Times New Roman"/>
          <w:sz w:val="28"/>
          <w:szCs w:val="28"/>
          <w:lang w:val="uk-UA"/>
        </w:rPr>
        <w:t xml:space="preserve"> було</w:t>
      </w:r>
      <w:r w:rsidRPr="005E7C2B">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розподілено</w:t>
      </w:r>
      <w:proofErr w:type="spellEnd"/>
      <w:r w:rsidRPr="005E7C2B">
        <w:rPr>
          <w:rFonts w:ascii="Times New Roman" w:hAnsi="Times New Roman" w:cs="Times New Roman"/>
          <w:sz w:val="28"/>
          <w:szCs w:val="28"/>
          <w:lang w:val="uk-UA"/>
        </w:rPr>
        <w:t xml:space="preserve"> залежно від джерел інформації. Другий етап полягав у перегляді всіх результатів, щоб </w:t>
      </w:r>
      <w:r w:rsidRPr="005E7C2B">
        <w:rPr>
          <w:rFonts w:ascii="Times New Roman" w:hAnsi="Times New Roman" w:cs="Times New Roman"/>
          <w:sz w:val="28"/>
          <w:szCs w:val="28"/>
          <w:lang w:val="uk-UA"/>
        </w:rPr>
        <w:lastRenderedPageBreak/>
        <w:t>отримати загальну інформацію та розглянути загальне значення окремої інформації. Подальші дії передбачали початок детального аналізу, який</w:t>
      </w:r>
      <w:r>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передує уточненню отриманої інформації в контексті попередньо підготовлених дослідницьких питань, а також презентації конкретних прикладів.</w:t>
      </w:r>
    </w:p>
    <w:p w14:paraId="1AE03CE5" w14:textId="77777777" w:rsidR="00571B42" w:rsidRPr="005E7C2B" w:rsidRDefault="00571B42" w:rsidP="00571B42">
      <w:pPr>
        <w:tabs>
          <w:tab w:val="left" w:pos="7109"/>
        </w:tabs>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Конвергенція різних джерел даних у звітах та зібраному аналізі полегшує визнання того, що процес тріангуляції сприяв точності дослідження. Отримані результати мають гнучкий характер з акцентом на індивідуальній інтерпретації даних і виражають заплутаність ситуації, в якій опинилися підприємства, борючись за таланти.</w:t>
      </w:r>
      <w:r>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Заключним етапом аналізу даних була інтерпретація результатів, а саме уточнення їх значущості. Їх порівнювали з інформацією, отриманою в ході літературного огляду, застосовуючи логіку зіставлення шаблонів, яка передбачала порівняння шаблонів із прикладами з теоретичними рішеннями. Прийняття вищезазначеної методології дослідження в майбутньому сприятиме створенню пропозиції передових практик з точки зору управління талантами.</w:t>
      </w:r>
    </w:p>
    <w:p w14:paraId="278CD7F0" w14:textId="324C43AE" w:rsidR="00571B42" w:rsidRPr="005E7C2B" w:rsidRDefault="00571B42" w:rsidP="00571B42">
      <w:pPr>
        <w:tabs>
          <w:tab w:val="left" w:pos="7109"/>
        </w:tabs>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У науковій літературі існує безліч думок щодо того, що таке талант. Найбільш часто повторювана точка зору співвідносить талант зі здібностями (зокрема, дослідження </w:t>
      </w:r>
      <w:r w:rsidR="00A4269D">
        <w:rPr>
          <w:rFonts w:ascii="Times New Roman" w:hAnsi="Times New Roman" w:cs="Times New Roman"/>
          <w:sz w:val="28"/>
          <w:szCs w:val="28"/>
          <w:lang w:val="uk-UA"/>
        </w:rPr>
        <w:t xml:space="preserve">Р. </w:t>
      </w:r>
      <w:proofErr w:type="spellStart"/>
      <w:r w:rsidRPr="00FC6F84">
        <w:rPr>
          <w:rFonts w:ascii="Times New Roman" w:hAnsi="Times New Roman" w:cs="Times New Roman"/>
          <w:sz w:val="28"/>
          <w:szCs w:val="28"/>
          <w:lang w:val="uk-UA"/>
        </w:rPr>
        <w:t>Бальцержик</w:t>
      </w:r>
      <w:r w:rsidR="00A4269D">
        <w:rPr>
          <w:rFonts w:ascii="Times New Roman" w:hAnsi="Times New Roman" w:cs="Times New Roman"/>
          <w:sz w:val="28"/>
          <w:szCs w:val="28"/>
          <w:lang w:val="uk-UA"/>
        </w:rPr>
        <w:t>а</w:t>
      </w:r>
      <w:proofErr w:type="spellEnd"/>
      <w:r w:rsidR="00A4269D">
        <w:rPr>
          <w:rFonts w:ascii="Times New Roman" w:hAnsi="Times New Roman" w:cs="Times New Roman"/>
          <w:sz w:val="28"/>
          <w:szCs w:val="28"/>
          <w:lang w:val="uk-UA"/>
        </w:rPr>
        <w:t xml:space="preserve"> і </w:t>
      </w:r>
      <w:proofErr w:type="spellStart"/>
      <w:r w:rsidR="00A4269D">
        <w:rPr>
          <w:rFonts w:ascii="Times New Roman" w:hAnsi="Times New Roman" w:cs="Times New Roman"/>
          <w:sz w:val="28"/>
          <w:szCs w:val="28"/>
          <w:lang w:val="uk-UA"/>
        </w:rPr>
        <w:t>Дж</w:t>
      </w:r>
      <w:proofErr w:type="spellEnd"/>
      <w:r w:rsidRPr="00FC6F84">
        <w:rPr>
          <w:rFonts w:ascii="Times New Roman" w:hAnsi="Times New Roman" w:cs="Times New Roman"/>
          <w:sz w:val="28"/>
          <w:szCs w:val="28"/>
          <w:lang w:val="uk-UA"/>
        </w:rPr>
        <w:t xml:space="preserve">. </w:t>
      </w:r>
      <w:proofErr w:type="spellStart"/>
      <w:r w:rsidRPr="00FC6F84">
        <w:rPr>
          <w:rFonts w:ascii="Times New Roman" w:hAnsi="Times New Roman" w:cs="Times New Roman"/>
          <w:sz w:val="28"/>
          <w:szCs w:val="28"/>
          <w:lang w:val="uk-UA"/>
        </w:rPr>
        <w:t>Матерак</w:t>
      </w:r>
      <w:proofErr w:type="spellEnd"/>
      <w:r w:rsidRPr="00FC6F84">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[170]</w:t>
      </w:r>
      <w:r w:rsidRPr="005E7C2B">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McKinsey</w:t>
      </w:r>
      <w:proofErr w:type="spellEnd"/>
      <w:r w:rsidRPr="005E7C2B">
        <w:rPr>
          <w:rFonts w:ascii="Times New Roman" w:hAnsi="Times New Roman" w:cs="Times New Roman"/>
          <w:sz w:val="28"/>
          <w:szCs w:val="28"/>
          <w:lang w:val="uk-UA"/>
        </w:rPr>
        <w:t xml:space="preserve"> &amp; </w:t>
      </w:r>
      <w:proofErr w:type="spellStart"/>
      <w:r w:rsidRPr="005E7C2B">
        <w:rPr>
          <w:rFonts w:ascii="Times New Roman" w:hAnsi="Times New Roman" w:cs="Times New Roman"/>
          <w:sz w:val="28"/>
          <w:szCs w:val="28"/>
          <w:lang w:val="uk-UA"/>
        </w:rPr>
        <w:t>Company</w:t>
      </w:r>
      <w:proofErr w:type="spellEnd"/>
      <w:r w:rsidRPr="005E7C2B">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[171</w:t>
      </w:r>
      <w:r w:rsidR="00A4269D">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172]</w:t>
      </w:r>
      <w:r w:rsidRPr="005E7C2B">
        <w:rPr>
          <w:rFonts w:ascii="Times New Roman" w:hAnsi="Times New Roman" w:cs="Times New Roman"/>
          <w:sz w:val="28"/>
          <w:szCs w:val="28"/>
          <w:lang w:val="uk-UA"/>
        </w:rPr>
        <w:t xml:space="preserve">; Е. </w:t>
      </w:r>
      <w:proofErr w:type="spellStart"/>
      <w:r w:rsidRPr="005E7C2B">
        <w:rPr>
          <w:rFonts w:ascii="Times New Roman" w:hAnsi="Times New Roman" w:cs="Times New Roman"/>
          <w:sz w:val="28"/>
          <w:szCs w:val="28"/>
          <w:lang w:val="uk-UA"/>
        </w:rPr>
        <w:t>Майклза</w:t>
      </w:r>
      <w:proofErr w:type="spellEnd"/>
      <w:r w:rsidRPr="005E7C2B">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[123]</w:t>
      </w:r>
      <w:r w:rsidRPr="005E7C2B">
        <w:rPr>
          <w:rFonts w:ascii="Times New Roman" w:hAnsi="Times New Roman" w:cs="Times New Roman"/>
          <w:sz w:val="28"/>
          <w:szCs w:val="28"/>
          <w:lang w:val="uk-UA"/>
        </w:rPr>
        <w:t xml:space="preserve">; </w:t>
      </w:r>
      <w:r w:rsidR="00A4269D">
        <w:rPr>
          <w:rFonts w:ascii="Times New Roman" w:hAnsi="Times New Roman" w:cs="Times New Roman"/>
          <w:sz w:val="28"/>
          <w:szCs w:val="28"/>
          <w:lang w:val="uk-UA"/>
        </w:rPr>
        <w:t xml:space="preserve">С. </w:t>
      </w:r>
      <w:proofErr w:type="spellStart"/>
      <w:r w:rsidRPr="007B0F44">
        <w:rPr>
          <w:rFonts w:ascii="Times New Roman" w:hAnsi="Times New Roman" w:cs="Times New Roman"/>
          <w:sz w:val="28"/>
          <w:szCs w:val="28"/>
          <w:lang w:val="uk-UA"/>
        </w:rPr>
        <w:t>Челпа</w:t>
      </w:r>
      <w:proofErr w:type="spellEnd"/>
      <w:r w:rsidRPr="007B0F44">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[173]</w:t>
      </w:r>
      <w:r w:rsidRPr="005E7C2B">
        <w:rPr>
          <w:rFonts w:ascii="Times New Roman" w:hAnsi="Times New Roman" w:cs="Times New Roman"/>
          <w:sz w:val="28"/>
          <w:szCs w:val="28"/>
          <w:lang w:val="uk-UA"/>
        </w:rPr>
        <w:t xml:space="preserve">; </w:t>
      </w:r>
      <w:r w:rsidR="00A4269D">
        <w:rPr>
          <w:rFonts w:ascii="Times New Roman" w:hAnsi="Times New Roman" w:cs="Times New Roman"/>
          <w:sz w:val="28"/>
          <w:szCs w:val="28"/>
          <w:lang w:val="uk-UA"/>
        </w:rPr>
        <w:t xml:space="preserve">К. </w:t>
      </w:r>
      <w:proofErr w:type="spellStart"/>
      <w:r w:rsidRPr="00EC5524">
        <w:rPr>
          <w:rFonts w:ascii="Times New Roman" w:hAnsi="Times New Roman" w:cs="Times New Roman"/>
          <w:sz w:val="28"/>
          <w:szCs w:val="28"/>
          <w:lang w:val="uk-UA"/>
        </w:rPr>
        <w:t>Тенслі</w:t>
      </w:r>
      <w:proofErr w:type="spellEnd"/>
      <w:r w:rsidRPr="00EC5524">
        <w:rPr>
          <w:rFonts w:ascii="Times New Roman" w:hAnsi="Times New Roman" w:cs="Times New Roman"/>
          <w:sz w:val="28"/>
          <w:szCs w:val="28"/>
          <w:lang w:val="uk-UA"/>
        </w:rPr>
        <w:t xml:space="preserve">, </w:t>
      </w:r>
      <w:r w:rsidR="00A4269D">
        <w:rPr>
          <w:rFonts w:ascii="Times New Roman" w:hAnsi="Times New Roman" w:cs="Times New Roman"/>
          <w:sz w:val="28"/>
          <w:szCs w:val="28"/>
          <w:lang w:val="uk-UA"/>
        </w:rPr>
        <w:t xml:space="preserve">Л. </w:t>
      </w:r>
      <w:proofErr w:type="spellStart"/>
      <w:r w:rsidRPr="00EC5524">
        <w:rPr>
          <w:rFonts w:ascii="Times New Roman" w:hAnsi="Times New Roman" w:cs="Times New Roman"/>
          <w:sz w:val="28"/>
          <w:szCs w:val="28"/>
          <w:lang w:val="uk-UA"/>
        </w:rPr>
        <w:t>Харріс</w:t>
      </w:r>
      <w:proofErr w:type="spellEnd"/>
      <w:r w:rsidRPr="00EC5524">
        <w:rPr>
          <w:rFonts w:ascii="Times New Roman" w:hAnsi="Times New Roman" w:cs="Times New Roman"/>
          <w:sz w:val="28"/>
          <w:szCs w:val="28"/>
          <w:lang w:val="uk-UA"/>
        </w:rPr>
        <w:t>,</w:t>
      </w:r>
      <w:r w:rsidR="00C90087">
        <w:rPr>
          <w:rFonts w:ascii="Times New Roman" w:hAnsi="Times New Roman" w:cs="Times New Roman"/>
          <w:sz w:val="28"/>
          <w:szCs w:val="28"/>
          <w:lang w:val="uk-UA"/>
        </w:rPr>
        <w:t xml:space="preserve"> </w:t>
      </w:r>
      <w:proofErr w:type="spellStart"/>
      <w:r w:rsidR="00A4269D">
        <w:rPr>
          <w:rFonts w:ascii="Times New Roman" w:hAnsi="Times New Roman" w:cs="Times New Roman"/>
          <w:sz w:val="28"/>
          <w:szCs w:val="28"/>
          <w:lang w:val="uk-UA"/>
        </w:rPr>
        <w:t>Дж</w:t>
      </w:r>
      <w:proofErr w:type="spellEnd"/>
      <w:r w:rsidR="00A4269D">
        <w:rPr>
          <w:rFonts w:ascii="Times New Roman" w:hAnsi="Times New Roman" w:cs="Times New Roman"/>
          <w:sz w:val="28"/>
          <w:szCs w:val="28"/>
          <w:lang w:val="uk-UA"/>
        </w:rPr>
        <w:t xml:space="preserve">. </w:t>
      </w:r>
      <w:r w:rsidRPr="00EC5524">
        <w:rPr>
          <w:rFonts w:ascii="Times New Roman" w:hAnsi="Times New Roman" w:cs="Times New Roman"/>
          <w:sz w:val="28"/>
          <w:szCs w:val="28"/>
          <w:lang w:val="uk-UA"/>
        </w:rPr>
        <w:t xml:space="preserve">Стюарт, </w:t>
      </w:r>
      <w:r w:rsidR="00A4269D">
        <w:rPr>
          <w:rFonts w:ascii="Times New Roman" w:hAnsi="Times New Roman" w:cs="Times New Roman"/>
          <w:sz w:val="28"/>
          <w:szCs w:val="28"/>
          <w:lang w:val="uk-UA"/>
        </w:rPr>
        <w:t xml:space="preserve">П. </w:t>
      </w:r>
      <w:proofErr w:type="spellStart"/>
      <w:r w:rsidRPr="00EC5524">
        <w:rPr>
          <w:rFonts w:ascii="Times New Roman" w:hAnsi="Times New Roman" w:cs="Times New Roman"/>
          <w:sz w:val="28"/>
          <w:szCs w:val="28"/>
          <w:lang w:val="uk-UA"/>
        </w:rPr>
        <w:t>Тернер</w:t>
      </w:r>
      <w:proofErr w:type="spellEnd"/>
      <w:r w:rsidR="00A4269D">
        <w:rPr>
          <w:rFonts w:ascii="Times New Roman" w:hAnsi="Times New Roman" w:cs="Times New Roman"/>
          <w:sz w:val="28"/>
          <w:szCs w:val="28"/>
          <w:lang w:val="uk-UA"/>
        </w:rPr>
        <w:t>, К</w:t>
      </w:r>
      <w:r w:rsidRPr="00EC5524">
        <w:rPr>
          <w:rFonts w:ascii="Times New Roman" w:hAnsi="Times New Roman" w:cs="Times New Roman"/>
          <w:sz w:val="28"/>
          <w:szCs w:val="28"/>
          <w:lang w:val="uk-UA"/>
        </w:rPr>
        <w:t xml:space="preserve">. </w:t>
      </w:r>
      <w:proofErr w:type="spellStart"/>
      <w:r w:rsidRPr="00EC5524">
        <w:rPr>
          <w:rFonts w:ascii="Times New Roman" w:hAnsi="Times New Roman" w:cs="Times New Roman"/>
          <w:sz w:val="28"/>
          <w:szCs w:val="28"/>
          <w:lang w:val="uk-UA"/>
        </w:rPr>
        <w:t>Фостер</w:t>
      </w:r>
      <w:proofErr w:type="spellEnd"/>
      <w:r w:rsidRPr="00EC5524">
        <w:rPr>
          <w:rFonts w:ascii="Times New Roman" w:hAnsi="Times New Roman" w:cs="Times New Roman"/>
          <w:sz w:val="28"/>
          <w:szCs w:val="28"/>
          <w:lang w:val="uk-UA"/>
        </w:rPr>
        <w:t xml:space="preserve">, </w:t>
      </w:r>
      <w:r w:rsidR="00A4269D">
        <w:rPr>
          <w:rFonts w:ascii="Times New Roman" w:hAnsi="Times New Roman" w:cs="Times New Roman"/>
          <w:sz w:val="28"/>
          <w:szCs w:val="28"/>
          <w:lang w:val="uk-UA"/>
        </w:rPr>
        <w:t xml:space="preserve">Х. </w:t>
      </w:r>
      <w:r w:rsidRPr="00EC5524">
        <w:rPr>
          <w:rFonts w:ascii="Times New Roman" w:hAnsi="Times New Roman" w:cs="Times New Roman"/>
          <w:sz w:val="28"/>
          <w:szCs w:val="28"/>
          <w:lang w:val="uk-UA"/>
        </w:rPr>
        <w:t xml:space="preserve">Вільямс </w:t>
      </w:r>
      <w:r w:rsidRPr="005D1B01">
        <w:rPr>
          <w:rFonts w:ascii="Times New Roman" w:hAnsi="Times New Roman" w:cs="Times New Roman"/>
          <w:sz w:val="28"/>
          <w:szCs w:val="28"/>
          <w:lang w:val="uk-UA"/>
        </w:rPr>
        <w:t>[174]</w:t>
      </w:r>
      <w:r w:rsidRPr="005E7C2B">
        <w:rPr>
          <w:rFonts w:ascii="Times New Roman" w:hAnsi="Times New Roman" w:cs="Times New Roman"/>
          <w:sz w:val="28"/>
          <w:szCs w:val="28"/>
          <w:lang w:val="uk-UA"/>
        </w:rPr>
        <w:t xml:space="preserve">; </w:t>
      </w:r>
      <w:r w:rsidR="00A4269D">
        <w:rPr>
          <w:rFonts w:ascii="Times New Roman" w:hAnsi="Times New Roman" w:cs="Times New Roman"/>
          <w:sz w:val="28"/>
          <w:szCs w:val="28"/>
          <w:lang w:val="uk-UA"/>
        </w:rPr>
        <w:t xml:space="preserve">М. </w:t>
      </w:r>
      <w:proofErr w:type="spellStart"/>
      <w:r w:rsidRPr="0062298C">
        <w:rPr>
          <w:rFonts w:ascii="Times New Roman" w:hAnsi="Times New Roman" w:cs="Times New Roman"/>
          <w:sz w:val="28"/>
          <w:szCs w:val="28"/>
          <w:lang w:val="uk-UA"/>
        </w:rPr>
        <w:t>Юхнович</w:t>
      </w:r>
      <w:proofErr w:type="spellEnd"/>
      <w:r w:rsidRPr="005D1B01">
        <w:rPr>
          <w:rFonts w:ascii="Times New Roman" w:hAnsi="Times New Roman" w:cs="Times New Roman"/>
          <w:sz w:val="28"/>
          <w:szCs w:val="28"/>
          <w:lang w:val="uk-UA"/>
        </w:rPr>
        <w:t xml:space="preserve"> [175]</w:t>
      </w:r>
      <w:r w:rsidRPr="005E7C2B">
        <w:rPr>
          <w:rFonts w:ascii="Times New Roman" w:hAnsi="Times New Roman" w:cs="Times New Roman"/>
          <w:sz w:val="28"/>
          <w:szCs w:val="28"/>
          <w:lang w:val="uk-UA"/>
        </w:rPr>
        <w:t xml:space="preserve">; </w:t>
      </w:r>
      <w:r w:rsidR="00A4269D">
        <w:rPr>
          <w:rFonts w:ascii="Times New Roman" w:hAnsi="Times New Roman" w:cs="Times New Roman"/>
          <w:sz w:val="28"/>
          <w:szCs w:val="28"/>
          <w:lang w:val="uk-UA"/>
        </w:rPr>
        <w:t xml:space="preserve">А. </w:t>
      </w:r>
      <w:proofErr w:type="spellStart"/>
      <w:r w:rsidRPr="0062298C">
        <w:rPr>
          <w:rFonts w:ascii="Times New Roman" w:hAnsi="Times New Roman" w:cs="Times New Roman"/>
          <w:sz w:val="28"/>
          <w:szCs w:val="28"/>
          <w:lang w:val="uk-UA"/>
        </w:rPr>
        <w:t>Шпрінгер</w:t>
      </w:r>
      <w:proofErr w:type="spellEnd"/>
      <w:r w:rsidRPr="0062298C">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А. </w:t>
      </w:r>
      <w:proofErr w:type="spellStart"/>
      <w:r w:rsidRPr="0062298C">
        <w:rPr>
          <w:rFonts w:ascii="Times New Roman" w:hAnsi="Times New Roman" w:cs="Times New Roman"/>
          <w:sz w:val="28"/>
          <w:szCs w:val="28"/>
          <w:lang w:val="uk-UA"/>
        </w:rPr>
        <w:t>Рителевська</w:t>
      </w:r>
      <w:proofErr w:type="spellEnd"/>
      <w:r w:rsidRPr="0062298C">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[176]</w:t>
      </w:r>
      <w:r w:rsidRPr="005E7C2B">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Е. </w:t>
      </w:r>
      <w:proofErr w:type="spellStart"/>
      <w:r w:rsidRPr="001E2AF5">
        <w:rPr>
          <w:rFonts w:ascii="Times New Roman" w:hAnsi="Times New Roman" w:cs="Times New Roman"/>
          <w:sz w:val="28"/>
          <w:szCs w:val="28"/>
          <w:lang w:val="uk-UA"/>
        </w:rPr>
        <w:t>Галлардо</w:t>
      </w:r>
      <w:r w:rsidRPr="005D1B01">
        <w:rPr>
          <w:rFonts w:ascii="Times New Roman" w:hAnsi="Times New Roman" w:cs="Times New Roman"/>
          <w:sz w:val="28"/>
          <w:szCs w:val="28"/>
          <w:lang w:val="uk-UA"/>
        </w:rPr>
        <w:t>-</w:t>
      </w:r>
      <w:r w:rsidRPr="001E2AF5">
        <w:rPr>
          <w:rFonts w:ascii="Times New Roman" w:hAnsi="Times New Roman" w:cs="Times New Roman"/>
          <w:sz w:val="28"/>
          <w:szCs w:val="28"/>
          <w:lang w:val="uk-UA"/>
        </w:rPr>
        <w:t>Галлардо</w:t>
      </w:r>
      <w:proofErr w:type="spellEnd"/>
      <w:r w:rsidRPr="001E2AF5">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С. </w:t>
      </w:r>
      <w:proofErr w:type="spellStart"/>
      <w:r w:rsidRPr="001E2AF5">
        <w:rPr>
          <w:rFonts w:ascii="Times New Roman" w:hAnsi="Times New Roman" w:cs="Times New Roman"/>
          <w:sz w:val="28"/>
          <w:szCs w:val="28"/>
          <w:lang w:val="uk-UA"/>
        </w:rPr>
        <w:t>Найс</w:t>
      </w:r>
      <w:proofErr w:type="spellEnd"/>
      <w:r w:rsidRPr="001E2AF5">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Н. </w:t>
      </w:r>
      <w:proofErr w:type="spellStart"/>
      <w:r w:rsidRPr="001E2AF5">
        <w:rPr>
          <w:rFonts w:ascii="Times New Roman" w:hAnsi="Times New Roman" w:cs="Times New Roman"/>
          <w:sz w:val="28"/>
          <w:szCs w:val="28"/>
          <w:lang w:val="uk-UA"/>
        </w:rPr>
        <w:t>Дріс</w:t>
      </w:r>
      <w:proofErr w:type="spellEnd"/>
      <w:r w:rsidRPr="001E2AF5">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П. </w:t>
      </w:r>
      <w:proofErr w:type="spellStart"/>
      <w:r w:rsidRPr="001E2AF5">
        <w:rPr>
          <w:rFonts w:ascii="Times New Roman" w:hAnsi="Times New Roman" w:cs="Times New Roman"/>
          <w:sz w:val="28"/>
          <w:szCs w:val="28"/>
          <w:lang w:val="uk-UA"/>
        </w:rPr>
        <w:t>Галло</w:t>
      </w:r>
      <w:proofErr w:type="spellEnd"/>
      <w:r w:rsidRPr="001E2AF5">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[177]</w:t>
      </w:r>
      <w:r w:rsidRPr="005E7C2B">
        <w:rPr>
          <w:rFonts w:ascii="Times New Roman" w:hAnsi="Times New Roman" w:cs="Times New Roman"/>
          <w:sz w:val="28"/>
          <w:szCs w:val="28"/>
          <w:lang w:val="uk-UA"/>
        </w:rPr>
        <w:t>.</w:t>
      </w:r>
    </w:p>
    <w:p w14:paraId="6144D53F" w14:textId="02F6789A"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За словами </w:t>
      </w:r>
      <w:proofErr w:type="spellStart"/>
      <w:r w:rsidRPr="005E7C2B">
        <w:rPr>
          <w:rFonts w:ascii="Times New Roman" w:hAnsi="Times New Roman" w:cs="Times New Roman"/>
          <w:sz w:val="28"/>
          <w:szCs w:val="28"/>
          <w:lang w:val="uk-UA"/>
        </w:rPr>
        <w:t>Дж</w:t>
      </w:r>
      <w:proofErr w:type="spellEnd"/>
      <w:r w:rsidRPr="005E7C2B">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Ярналла</w:t>
      </w:r>
      <w:proofErr w:type="spellEnd"/>
      <w:r w:rsidRPr="005E7C2B">
        <w:rPr>
          <w:rFonts w:ascii="Times New Roman" w:hAnsi="Times New Roman" w:cs="Times New Roman"/>
          <w:sz w:val="28"/>
          <w:szCs w:val="28"/>
          <w:lang w:val="uk-UA"/>
        </w:rPr>
        <w:t xml:space="preserve">, визначення таланту є дуже диференційованим </w:t>
      </w:r>
      <w:r w:rsidRPr="005D1B01">
        <w:rPr>
          <w:rFonts w:ascii="Times New Roman" w:hAnsi="Times New Roman" w:cs="Times New Roman"/>
          <w:sz w:val="28"/>
          <w:szCs w:val="28"/>
          <w:lang w:val="uk-UA"/>
        </w:rPr>
        <w:t>[178]</w:t>
      </w:r>
      <w:r w:rsidRPr="005E7C2B">
        <w:rPr>
          <w:rFonts w:ascii="Times New Roman" w:hAnsi="Times New Roman" w:cs="Times New Roman"/>
          <w:sz w:val="28"/>
          <w:szCs w:val="28"/>
          <w:lang w:val="uk-UA"/>
        </w:rPr>
        <w:t>, починаючи від фокусування на конкретних люд</w:t>
      </w:r>
      <w:r>
        <w:rPr>
          <w:rFonts w:ascii="Times New Roman" w:hAnsi="Times New Roman" w:cs="Times New Roman"/>
          <w:sz w:val="28"/>
          <w:szCs w:val="28"/>
          <w:lang w:val="uk-UA"/>
        </w:rPr>
        <w:t>ях</w:t>
      </w:r>
      <w:r w:rsidRPr="005E7C2B">
        <w:rPr>
          <w:rFonts w:ascii="Times New Roman" w:hAnsi="Times New Roman" w:cs="Times New Roman"/>
          <w:sz w:val="28"/>
          <w:szCs w:val="28"/>
          <w:lang w:val="uk-UA"/>
        </w:rPr>
        <w:t xml:space="preserve"> в організаціях, які володіють певною кількістю ознак, що описують талант (</w:t>
      </w:r>
      <w:r w:rsidR="00C90087">
        <w:rPr>
          <w:rFonts w:ascii="Times New Roman" w:hAnsi="Times New Roman" w:cs="Times New Roman"/>
          <w:sz w:val="28"/>
          <w:szCs w:val="28"/>
          <w:lang w:val="uk-UA"/>
        </w:rPr>
        <w:t xml:space="preserve">Т. </w:t>
      </w:r>
      <w:proofErr w:type="spellStart"/>
      <w:r w:rsidRPr="009D4AD3">
        <w:rPr>
          <w:rFonts w:ascii="Times New Roman" w:hAnsi="Times New Roman" w:cs="Times New Roman"/>
          <w:sz w:val="28"/>
          <w:szCs w:val="28"/>
          <w:lang w:val="uk-UA"/>
        </w:rPr>
        <w:t>Лістман</w:t>
      </w:r>
      <w:proofErr w:type="spellEnd"/>
      <w:r>
        <w:rPr>
          <w:rFonts w:ascii="Times New Roman" w:hAnsi="Times New Roman" w:cs="Times New Roman"/>
          <w:sz w:val="28"/>
          <w:szCs w:val="28"/>
        </w:rPr>
        <w:t>a</w:t>
      </w:r>
      <w:r w:rsidRPr="009D4AD3">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[179]</w:t>
      </w:r>
      <w:r>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         Л. </w:t>
      </w:r>
      <w:proofErr w:type="spellStart"/>
      <w:r w:rsidRPr="009D4AD3">
        <w:rPr>
          <w:rFonts w:ascii="Times New Roman" w:hAnsi="Times New Roman" w:cs="Times New Roman"/>
          <w:sz w:val="28"/>
          <w:szCs w:val="28"/>
          <w:lang w:val="uk-UA"/>
        </w:rPr>
        <w:t>Барлоу</w:t>
      </w:r>
      <w:proofErr w:type="spellEnd"/>
      <w:r w:rsidRPr="009D4AD3">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[180]</w:t>
      </w:r>
      <w:r>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Ф. </w:t>
      </w:r>
      <w:proofErr w:type="spellStart"/>
      <w:r w:rsidRPr="009D4AD3">
        <w:rPr>
          <w:rFonts w:ascii="Times New Roman" w:hAnsi="Times New Roman" w:cs="Times New Roman"/>
          <w:sz w:val="28"/>
          <w:szCs w:val="28"/>
          <w:lang w:val="uk-UA"/>
        </w:rPr>
        <w:t>Хансен</w:t>
      </w:r>
      <w:proofErr w:type="spellEnd"/>
      <w:r w:rsidRPr="009D4AD3">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[181],</w:t>
      </w:r>
      <w:r>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Р. </w:t>
      </w:r>
      <w:r>
        <w:rPr>
          <w:rFonts w:ascii="Times New Roman" w:hAnsi="Times New Roman" w:cs="Times New Roman"/>
          <w:sz w:val="28"/>
          <w:szCs w:val="28"/>
          <w:lang w:val="uk-UA"/>
        </w:rPr>
        <w:t>Стюарт-</w:t>
      </w:r>
      <w:proofErr w:type="spellStart"/>
      <w:r>
        <w:rPr>
          <w:rFonts w:ascii="Times New Roman" w:hAnsi="Times New Roman" w:cs="Times New Roman"/>
          <w:sz w:val="28"/>
          <w:szCs w:val="28"/>
          <w:lang w:val="uk-UA"/>
        </w:rPr>
        <w:t>Кетце</w:t>
      </w:r>
      <w:proofErr w:type="spellEnd"/>
      <w:r>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К. </w:t>
      </w:r>
      <w:proofErr w:type="spellStart"/>
      <w:r>
        <w:rPr>
          <w:rFonts w:ascii="Times New Roman" w:hAnsi="Times New Roman" w:cs="Times New Roman"/>
          <w:sz w:val="28"/>
          <w:szCs w:val="28"/>
          <w:lang w:val="uk-UA"/>
        </w:rPr>
        <w:t>Данн</w:t>
      </w:r>
      <w:proofErr w:type="spellEnd"/>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[182],</w:t>
      </w:r>
      <w:r>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Д. </w:t>
      </w:r>
      <w:r>
        <w:rPr>
          <w:rFonts w:ascii="Times New Roman" w:hAnsi="Times New Roman" w:cs="Times New Roman"/>
          <w:sz w:val="28"/>
          <w:szCs w:val="28"/>
          <w:lang w:val="uk-UA"/>
        </w:rPr>
        <w:t xml:space="preserve">Ульріх </w:t>
      </w:r>
      <w:r w:rsidRPr="005D1B01">
        <w:rPr>
          <w:rFonts w:ascii="Times New Roman" w:hAnsi="Times New Roman" w:cs="Times New Roman"/>
          <w:sz w:val="28"/>
          <w:szCs w:val="28"/>
          <w:lang w:val="uk-UA"/>
        </w:rPr>
        <w:t>[183],</w:t>
      </w:r>
      <w:r>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П. </w:t>
      </w:r>
      <w:proofErr w:type="spellStart"/>
      <w:r>
        <w:rPr>
          <w:rFonts w:ascii="Times New Roman" w:hAnsi="Times New Roman" w:cs="Times New Roman"/>
          <w:sz w:val="28"/>
          <w:szCs w:val="28"/>
          <w:lang w:val="uk-UA"/>
        </w:rPr>
        <w:t>Чіз</w:t>
      </w:r>
      <w:proofErr w:type="spellEnd"/>
      <w:r w:rsidRPr="005D1B01">
        <w:rPr>
          <w:rFonts w:ascii="Times New Roman" w:hAnsi="Times New Roman" w:cs="Times New Roman"/>
          <w:sz w:val="28"/>
          <w:szCs w:val="28"/>
          <w:lang w:val="uk-UA"/>
        </w:rPr>
        <w:t xml:space="preserve"> [184],</w:t>
      </w:r>
      <w:r w:rsidRPr="005E7C2B">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Б. </w:t>
      </w:r>
      <w:proofErr w:type="spellStart"/>
      <w:r w:rsidRPr="005E7C2B">
        <w:rPr>
          <w:rFonts w:ascii="Times New Roman" w:hAnsi="Times New Roman" w:cs="Times New Roman"/>
          <w:sz w:val="28"/>
          <w:szCs w:val="28"/>
          <w:lang w:val="uk-UA"/>
        </w:rPr>
        <w:t>Девіс</w:t>
      </w:r>
      <w:proofErr w:type="spellEnd"/>
      <w:r w:rsidRPr="005E7C2B">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 xml:space="preserve">[185], </w:t>
      </w:r>
      <w:r w:rsidR="00C90087">
        <w:rPr>
          <w:rFonts w:ascii="Times New Roman" w:hAnsi="Times New Roman" w:cs="Times New Roman"/>
          <w:sz w:val="28"/>
          <w:szCs w:val="28"/>
          <w:lang w:val="uk-UA"/>
        </w:rPr>
        <w:t xml:space="preserve">Ю. </w:t>
      </w:r>
      <w:proofErr w:type="spellStart"/>
      <w:r w:rsidRPr="0037738B">
        <w:rPr>
          <w:rFonts w:ascii="Times New Roman" w:hAnsi="Times New Roman" w:cs="Times New Roman"/>
          <w:sz w:val="28"/>
          <w:szCs w:val="28"/>
          <w:lang w:val="uk-UA"/>
        </w:rPr>
        <w:t>Даунс</w:t>
      </w:r>
      <w:proofErr w:type="spellEnd"/>
      <w:r w:rsidR="00C90087">
        <w:rPr>
          <w:rFonts w:ascii="Times New Roman" w:hAnsi="Times New Roman" w:cs="Times New Roman"/>
          <w:sz w:val="28"/>
          <w:szCs w:val="28"/>
          <w:lang w:val="uk-UA"/>
        </w:rPr>
        <w:t>, С.</w:t>
      </w:r>
      <w:r w:rsidRPr="0037738B">
        <w:rPr>
          <w:rFonts w:ascii="Times New Roman" w:hAnsi="Times New Roman" w:cs="Times New Roman"/>
          <w:sz w:val="28"/>
          <w:szCs w:val="28"/>
          <w:lang w:val="uk-UA"/>
        </w:rPr>
        <w:t xml:space="preserve"> </w:t>
      </w:r>
      <w:proofErr w:type="spellStart"/>
      <w:r w:rsidRPr="0037738B">
        <w:rPr>
          <w:rFonts w:ascii="Times New Roman" w:hAnsi="Times New Roman" w:cs="Times New Roman"/>
          <w:sz w:val="28"/>
          <w:szCs w:val="28"/>
          <w:lang w:val="uk-UA"/>
        </w:rPr>
        <w:t>Свейлз</w:t>
      </w:r>
      <w:proofErr w:type="spellEnd"/>
      <w:r w:rsidRPr="0037738B">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 xml:space="preserve">[186], </w:t>
      </w:r>
      <w:r w:rsidRPr="005E7C2B">
        <w:rPr>
          <w:rFonts w:ascii="Times New Roman" w:hAnsi="Times New Roman" w:cs="Times New Roman"/>
          <w:sz w:val="28"/>
          <w:szCs w:val="28"/>
          <w:lang w:val="uk-UA"/>
        </w:rPr>
        <w:t>М</w:t>
      </w:r>
      <w:r w:rsidR="00C90087">
        <w:rPr>
          <w:rFonts w:ascii="Times New Roman" w:hAnsi="Times New Roman" w:cs="Times New Roman"/>
          <w:sz w:val="28"/>
          <w:szCs w:val="28"/>
          <w:lang w:val="uk-UA"/>
        </w:rPr>
        <w:t xml:space="preserve">. </w:t>
      </w:r>
      <w:proofErr w:type="spellStart"/>
      <w:r w:rsidR="00C90087">
        <w:rPr>
          <w:rFonts w:ascii="Times New Roman" w:hAnsi="Times New Roman" w:cs="Times New Roman"/>
          <w:sz w:val="28"/>
          <w:szCs w:val="28"/>
          <w:lang w:val="uk-UA"/>
        </w:rPr>
        <w:t>М</w:t>
      </w:r>
      <w:r w:rsidRPr="005E7C2B">
        <w:rPr>
          <w:rFonts w:ascii="Times New Roman" w:hAnsi="Times New Roman" w:cs="Times New Roman"/>
          <w:sz w:val="28"/>
          <w:szCs w:val="28"/>
          <w:lang w:val="uk-UA"/>
        </w:rPr>
        <w:t>ейерс</w:t>
      </w:r>
      <w:proofErr w:type="spellEnd"/>
      <w:r>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М. </w:t>
      </w:r>
      <w:r>
        <w:rPr>
          <w:rFonts w:ascii="Times New Roman" w:hAnsi="Times New Roman" w:cs="Times New Roman"/>
          <w:sz w:val="28"/>
          <w:szCs w:val="28"/>
          <w:lang w:val="uk-UA"/>
        </w:rPr>
        <w:t xml:space="preserve">ван </w:t>
      </w:r>
      <w:proofErr w:type="spellStart"/>
      <w:r>
        <w:rPr>
          <w:rFonts w:ascii="Times New Roman" w:hAnsi="Times New Roman" w:cs="Times New Roman"/>
          <w:sz w:val="28"/>
          <w:szCs w:val="28"/>
          <w:lang w:val="uk-UA"/>
        </w:rPr>
        <w:t>Воерком</w:t>
      </w:r>
      <w:proofErr w:type="spellEnd"/>
      <w:r>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Н. </w:t>
      </w:r>
      <w:proofErr w:type="spellStart"/>
      <w:r>
        <w:rPr>
          <w:rFonts w:ascii="Times New Roman" w:hAnsi="Times New Roman" w:cs="Times New Roman"/>
          <w:sz w:val="28"/>
          <w:szCs w:val="28"/>
          <w:lang w:val="uk-UA"/>
        </w:rPr>
        <w:t>Дріс</w:t>
      </w:r>
      <w:proofErr w:type="spellEnd"/>
      <w:r w:rsidRPr="005D1B01">
        <w:rPr>
          <w:rFonts w:ascii="Times New Roman" w:hAnsi="Times New Roman" w:cs="Times New Roman"/>
          <w:sz w:val="28"/>
          <w:szCs w:val="28"/>
          <w:lang w:val="uk-UA"/>
        </w:rPr>
        <w:t xml:space="preserve"> [187]</w:t>
      </w: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до визначень таланту, які стосуються тверджень про потребу в таланті в організації (</w:t>
      </w:r>
      <w:r w:rsidRPr="0037738B">
        <w:rPr>
          <w:rFonts w:ascii="Times New Roman" w:hAnsi="Times New Roman" w:cs="Times New Roman"/>
          <w:sz w:val="28"/>
          <w:szCs w:val="28"/>
          <w:lang w:val="uk-UA"/>
        </w:rPr>
        <w:t>К</w:t>
      </w:r>
      <w:r w:rsidR="00C90087">
        <w:rPr>
          <w:rFonts w:ascii="Times New Roman" w:hAnsi="Times New Roman" w:cs="Times New Roman"/>
          <w:sz w:val="28"/>
          <w:szCs w:val="28"/>
          <w:lang w:val="uk-UA"/>
        </w:rPr>
        <w:t>. К</w:t>
      </w:r>
      <w:r w:rsidRPr="0037738B">
        <w:rPr>
          <w:rFonts w:ascii="Times New Roman" w:hAnsi="Times New Roman" w:cs="Times New Roman"/>
          <w:sz w:val="28"/>
          <w:szCs w:val="28"/>
          <w:lang w:val="uk-UA"/>
        </w:rPr>
        <w:t xml:space="preserve">етлін, </w:t>
      </w:r>
      <w:proofErr w:type="spellStart"/>
      <w:r w:rsidR="00C90087">
        <w:rPr>
          <w:rFonts w:ascii="Times New Roman" w:hAnsi="Times New Roman" w:cs="Times New Roman"/>
          <w:sz w:val="28"/>
          <w:szCs w:val="28"/>
          <w:lang w:val="uk-UA"/>
        </w:rPr>
        <w:t>Дж</w:t>
      </w:r>
      <w:proofErr w:type="spellEnd"/>
      <w:r w:rsidR="00C90087">
        <w:rPr>
          <w:rFonts w:ascii="Times New Roman" w:hAnsi="Times New Roman" w:cs="Times New Roman"/>
          <w:sz w:val="28"/>
          <w:szCs w:val="28"/>
          <w:lang w:val="uk-UA"/>
        </w:rPr>
        <w:t xml:space="preserve">. </w:t>
      </w:r>
      <w:proofErr w:type="spellStart"/>
      <w:r w:rsidRPr="0037738B">
        <w:rPr>
          <w:rFonts w:ascii="Times New Roman" w:hAnsi="Times New Roman" w:cs="Times New Roman"/>
          <w:sz w:val="28"/>
          <w:szCs w:val="28"/>
          <w:lang w:val="uk-UA"/>
        </w:rPr>
        <w:t>Метьюз</w:t>
      </w:r>
      <w:proofErr w:type="spellEnd"/>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 xml:space="preserve">[188], </w:t>
      </w:r>
      <w:r w:rsidR="00C90087">
        <w:rPr>
          <w:rFonts w:ascii="Times New Roman" w:hAnsi="Times New Roman" w:cs="Times New Roman"/>
          <w:sz w:val="28"/>
          <w:szCs w:val="28"/>
          <w:lang w:val="uk-UA"/>
        </w:rPr>
        <w:t xml:space="preserve">Л. </w:t>
      </w:r>
      <w:proofErr w:type="spellStart"/>
      <w:r w:rsidRPr="008C490C">
        <w:rPr>
          <w:rFonts w:ascii="Times New Roman" w:hAnsi="Times New Roman" w:cs="Times New Roman"/>
          <w:sz w:val="28"/>
          <w:szCs w:val="28"/>
          <w:lang w:val="uk-UA"/>
        </w:rPr>
        <w:t>Бергер</w:t>
      </w:r>
      <w:proofErr w:type="spellEnd"/>
      <w:r w:rsidRPr="008C490C">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Д. </w:t>
      </w:r>
      <w:proofErr w:type="spellStart"/>
      <w:r w:rsidRPr="008C490C">
        <w:rPr>
          <w:rFonts w:ascii="Times New Roman" w:hAnsi="Times New Roman" w:cs="Times New Roman"/>
          <w:sz w:val="28"/>
          <w:szCs w:val="28"/>
          <w:lang w:val="uk-UA"/>
        </w:rPr>
        <w:t>Бергер</w:t>
      </w:r>
      <w:proofErr w:type="spellEnd"/>
      <w:r w:rsidRPr="008C490C">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[189],</w:t>
      </w:r>
      <w:r w:rsidRPr="005E7C2B">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С. </w:t>
      </w:r>
      <w:r w:rsidRPr="005166A9">
        <w:rPr>
          <w:rFonts w:ascii="Times New Roman" w:hAnsi="Times New Roman" w:cs="Times New Roman"/>
          <w:sz w:val="28"/>
          <w:szCs w:val="28"/>
          <w:lang w:val="uk-UA"/>
        </w:rPr>
        <w:t xml:space="preserve">Борковська </w:t>
      </w:r>
      <w:r w:rsidRPr="005D1B01">
        <w:rPr>
          <w:rFonts w:ascii="Times New Roman" w:hAnsi="Times New Roman" w:cs="Times New Roman"/>
          <w:sz w:val="28"/>
          <w:szCs w:val="28"/>
          <w:lang w:val="uk-UA"/>
        </w:rPr>
        <w:t>[190],</w:t>
      </w:r>
      <w:r>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К. </w:t>
      </w:r>
      <w:proofErr w:type="spellStart"/>
      <w:r w:rsidRPr="005E7C2B">
        <w:rPr>
          <w:rFonts w:ascii="Times New Roman" w:hAnsi="Times New Roman" w:cs="Times New Roman"/>
          <w:sz w:val="28"/>
          <w:szCs w:val="28"/>
          <w:lang w:val="uk-UA"/>
        </w:rPr>
        <w:t>Тенслі</w:t>
      </w:r>
      <w:proofErr w:type="spellEnd"/>
      <w:r w:rsidRPr="005166A9">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[191],</w:t>
      </w:r>
      <w:r w:rsidRPr="005E7C2B">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А. </w:t>
      </w:r>
      <w:r w:rsidRPr="005E7C2B">
        <w:rPr>
          <w:rFonts w:ascii="Times New Roman" w:hAnsi="Times New Roman" w:cs="Times New Roman"/>
          <w:sz w:val="28"/>
          <w:szCs w:val="28"/>
          <w:lang w:val="uk-UA"/>
        </w:rPr>
        <w:t>Міс</w:t>
      </w:r>
      <w:r w:rsidR="00C90087">
        <w:rPr>
          <w:rFonts w:ascii="Times New Roman" w:hAnsi="Times New Roman" w:cs="Times New Roman"/>
          <w:sz w:val="28"/>
          <w:szCs w:val="28"/>
          <w:lang w:val="uk-UA"/>
        </w:rPr>
        <w:t>,</w:t>
      </w:r>
      <w:r w:rsidRPr="009F5438">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 xml:space="preserve">А. </w:t>
      </w:r>
      <w:proofErr w:type="spellStart"/>
      <w:r>
        <w:rPr>
          <w:rFonts w:ascii="Times New Roman" w:hAnsi="Times New Roman" w:cs="Times New Roman"/>
          <w:sz w:val="28"/>
          <w:szCs w:val="28"/>
          <w:lang w:val="uk-UA"/>
        </w:rPr>
        <w:t>Почтовський</w:t>
      </w:r>
      <w:proofErr w:type="spellEnd"/>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[192],</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Ч</w:t>
      </w:r>
      <w:r w:rsidR="00C90087">
        <w:rPr>
          <w:rFonts w:ascii="Times New Roman" w:hAnsi="Times New Roman" w:cs="Times New Roman"/>
          <w:sz w:val="28"/>
          <w:szCs w:val="28"/>
          <w:lang w:val="uk-UA"/>
        </w:rPr>
        <w:t xml:space="preserve">. </w:t>
      </w:r>
      <w:proofErr w:type="spellStart"/>
      <w:r w:rsidR="00C90087">
        <w:rPr>
          <w:rFonts w:ascii="Times New Roman" w:hAnsi="Times New Roman" w:cs="Times New Roman"/>
          <w:sz w:val="28"/>
          <w:szCs w:val="28"/>
          <w:lang w:val="uk-UA"/>
        </w:rPr>
        <w:t>Ч</w:t>
      </w:r>
      <w:r>
        <w:rPr>
          <w:rFonts w:ascii="Times New Roman" w:hAnsi="Times New Roman" w:cs="Times New Roman"/>
          <w:sz w:val="28"/>
          <w:szCs w:val="28"/>
          <w:lang w:val="uk-UA"/>
        </w:rPr>
        <w:t>жен</w:t>
      </w:r>
      <w:proofErr w:type="spellEnd"/>
      <w:r w:rsidR="00C9008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Сусей</w:t>
      </w:r>
      <w:proofErr w:type="spellEnd"/>
      <w:r>
        <w:rPr>
          <w:rFonts w:ascii="Times New Roman" w:hAnsi="Times New Roman" w:cs="Times New Roman"/>
          <w:sz w:val="28"/>
          <w:szCs w:val="28"/>
          <w:lang w:val="uk-UA"/>
        </w:rPr>
        <w:t xml:space="preserve">, </w:t>
      </w:r>
      <w:r w:rsidR="00C90087">
        <w:rPr>
          <w:rFonts w:ascii="Times New Roman" w:hAnsi="Times New Roman" w:cs="Times New Roman"/>
          <w:sz w:val="28"/>
          <w:szCs w:val="28"/>
          <w:lang w:val="uk-UA"/>
        </w:rPr>
        <w:t xml:space="preserve">Е. </w:t>
      </w:r>
      <w:proofErr w:type="spellStart"/>
      <w:r w:rsidRPr="00541C52">
        <w:rPr>
          <w:rFonts w:ascii="Times New Roman" w:hAnsi="Times New Roman" w:cs="Times New Roman"/>
          <w:sz w:val="28"/>
          <w:szCs w:val="28"/>
          <w:lang w:val="uk-UA"/>
        </w:rPr>
        <w:t>Хайленд</w:t>
      </w:r>
      <w:proofErr w:type="spellEnd"/>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[193],</w:t>
      </w:r>
      <w:r>
        <w:rPr>
          <w:rFonts w:ascii="Times New Roman" w:hAnsi="Times New Roman" w:cs="Times New Roman"/>
          <w:sz w:val="28"/>
          <w:szCs w:val="28"/>
          <w:lang w:val="uk-UA"/>
        </w:rPr>
        <w:t xml:space="preserve"> </w:t>
      </w:r>
      <w:r w:rsidRPr="00E3134E">
        <w:rPr>
          <w:rFonts w:ascii="Times New Roman" w:hAnsi="Times New Roman" w:cs="Times New Roman"/>
          <w:sz w:val="28"/>
          <w:szCs w:val="28"/>
          <w:lang w:val="uk-UA"/>
        </w:rPr>
        <w:t>М</w:t>
      </w:r>
      <w:r w:rsidR="00C90087">
        <w:rPr>
          <w:rFonts w:ascii="Times New Roman" w:hAnsi="Times New Roman" w:cs="Times New Roman"/>
          <w:sz w:val="28"/>
          <w:szCs w:val="28"/>
          <w:lang w:val="uk-UA"/>
        </w:rPr>
        <w:t>. М</w:t>
      </w:r>
      <w:r w:rsidRPr="00E3134E">
        <w:rPr>
          <w:rFonts w:ascii="Times New Roman" w:hAnsi="Times New Roman" w:cs="Times New Roman"/>
          <w:sz w:val="28"/>
          <w:szCs w:val="28"/>
          <w:lang w:val="uk-UA"/>
        </w:rPr>
        <w:t>оравський</w:t>
      </w:r>
      <w:r w:rsidR="00C90087">
        <w:rPr>
          <w:rFonts w:ascii="Times New Roman" w:hAnsi="Times New Roman" w:cs="Times New Roman"/>
          <w:sz w:val="28"/>
          <w:szCs w:val="28"/>
          <w:lang w:val="uk-UA"/>
        </w:rPr>
        <w:t>, Б</w:t>
      </w:r>
      <w:r w:rsidRPr="00E3134E">
        <w:rPr>
          <w:rFonts w:ascii="Times New Roman" w:hAnsi="Times New Roman" w:cs="Times New Roman"/>
          <w:sz w:val="28"/>
          <w:szCs w:val="28"/>
          <w:lang w:val="uk-UA"/>
        </w:rPr>
        <w:t xml:space="preserve">. </w:t>
      </w:r>
      <w:proofErr w:type="spellStart"/>
      <w:r w:rsidRPr="00E3134E">
        <w:rPr>
          <w:rFonts w:ascii="Times New Roman" w:hAnsi="Times New Roman" w:cs="Times New Roman"/>
          <w:sz w:val="28"/>
          <w:szCs w:val="28"/>
          <w:lang w:val="uk-UA"/>
        </w:rPr>
        <w:t>Мікула</w:t>
      </w:r>
      <w:proofErr w:type="spellEnd"/>
      <w:r w:rsidRPr="00E3134E">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[194]</w:t>
      </w:r>
      <w:r w:rsidRPr="005E7C2B">
        <w:rPr>
          <w:rFonts w:ascii="Times New Roman" w:hAnsi="Times New Roman" w:cs="Times New Roman"/>
          <w:sz w:val="28"/>
          <w:szCs w:val="28"/>
          <w:lang w:val="uk-UA"/>
        </w:rPr>
        <w:t xml:space="preserve">). Такий </w:t>
      </w:r>
      <w:r w:rsidRPr="005E7C2B">
        <w:rPr>
          <w:rFonts w:ascii="Times New Roman" w:hAnsi="Times New Roman" w:cs="Times New Roman"/>
          <w:sz w:val="28"/>
          <w:szCs w:val="28"/>
          <w:lang w:val="uk-UA"/>
        </w:rPr>
        <w:lastRenderedPageBreak/>
        <w:t>суб'єктивний і об'єктивний підхід має свої переваги і недоліки. Перше полегшує ідентифікацію таланту, тоді як друге полегшує встановлення його р</w:t>
      </w:r>
      <w:r>
        <w:rPr>
          <w:rFonts w:ascii="Times New Roman" w:hAnsi="Times New Roman" w:cs="Times New Roman"/>
          <w:sz w:val="28"/>
          <w:szCs w:val="28"/>
          <w:lang w:val="uk-UA"/>
        </w:rPr>
        <w:t xml:space="preserve">олі в організації </w:t>
      </w:r>
      <w:r>
        <w:rPr>
          <w:rFonts w:ascii="Times New Roman" w:hAnsi="Times New Roman" w:cs="Times New Roman"/>
          <w:sz w:val="28"/>
          <w:szCs w:val="28"/>
        </w:rPr>
        <w:t>[195]</w:t>
      </w:r>
      <w:r w:rsidRPr="005E7C2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 xml:space="preserve">Дослідники також мають різні думки щодо того, чи є талант </w:t>
      </w:r>
      <w:r>
        <w:rPr>
          <w:rFonts w:ascii="Times New Roman" w:hAnsi="Times New Roman" w:cs="Times New Roman"/>
          <w:sz w:val="28"/>
          <w:szCs w:val="28"/>
          <w:lang w:val="uk-UA"/>
        </w:rPr>
        <w:t>статичним (</w:t>
      </w:r>
      <w:r w:rsidR="004B3F2A">
        <w:rPr>
          <w:rFonts w:ascii="Times New Roman" w:hAnsi="Times New Roman" w:cs="Times New Roman"/>
          <w:sz w:val="28"/>
          <w:szCs w:val="28"/>
          <w:lang w:val="uk-UA"/>
        </w:rPr>
        <w:t xml:space="preserve">К. </w:t>
      </w:r>
      <w:proofErr w:type="spellStart"/>
      <w:r w:rsidRPr="004B3F2A">
        <w:rPr>
          <w:rFonts w:ascii="Times New Roman" w:hAnsi="Times New Roman" w:cs="Times New Roman"/>
          <w:sz w:val="28"/>
          <w:szCs w:val="28"/>
          <w:lang w:val="uk-UA"/>
        </w:rPr>
        <w:t>Адамецький</w:t>
      </w:r>
      <w:proofErr w:type="spellEnd"/>
      <w:r w:rsidRPr="004B3F2A">
        <w:rPr>
          <w:rFonts w:ascii="Times New Roman" w:hAnsi="Times New Roman" w:cs="Times New Roman"/>
          <w:sz w:val="28"/>
          <w:szCs w:val="28"/>
          <w:lang w:val="uk-UA"/>
        </w:rPr>
        <w:t xml:space="preserve"> [196</w:t>
      </w:r>
      <w:r w:rsidRPr="005D1B01">
        <w:rPr>
          <w:rFonts w:ascii="Times New Roman" w:hAnsi="Times New Roman" w:cs="Times New Roman"/>
          <w:sz w:val="28"/>
          <w:szCs w:val="28"/>
          <w:lang w:val="uk-UA"/>
        </w:rPr>
        <w:t>]</w:t>
      </w: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w:t>
      </w:r>
      <w:r w:rsidR="004B3F2A">
        <w:rPr>
          <w:rFonts w:ascii="Times New Roman" w:hAnsi="Times New Roman" w:cs="Times New Roman"/>
          <w:sz w:val="28"/>
          <w:szCs w:val="28"/>
          <w:lang w:val="uk-UA"/>
        </w:rPr>
        <w:t xml:space="preserve">Д. </w:t>
      </w:r>
      <w:r w:rsidRPr="005F367C">
        <w:rPr>
          <w:rFonts w:ascii="Times New Roman" w:hAnsi="Times New Roman" w:cs="Times New Roman"/>
          <w:sz w:val="28"/>
          <w:szCs w:val="28"/>
          <w:lang w:val="uk-UA"/>
        </w:rPr>
        <w:t xml:space="preserve">Ульріх </w:t>
      </w:r>
      <w:r w:rsidRPr="005D1B01">
        <w:rPr>
          <w:rFonts w:ascii="Times New Roman" w:hAnsi="Times New Roman" w:cs="Times New Roman"/>
          <w:sz w:val="28"/>
          <w:szCs w:val="28"/>
          <w:lang w:val="uk-UA"/>
        </w:rPr>
        <w:t>[183]</w:t>
      </w:r>
      <w:r>
        <w:rPr>
          <w:rFonts w:ascii="Times New Roman" w:hAnsi="Times New Roman" w:cs="Times New Roman"/>
          <w:sz w:val="28"/>
          <w:szCs w:val="28"/>
          <w:lang w:val="uk-UA"/>
        </w:rPr>
        <w:t xml:space="preserve">, </w:t>
      </w:r>
      <w:r w:rsidR="004B3F2A">
        <w:rPr>
          <w:rFonts w:ascii="Times New Roman" w:hAnsi="Times New Roman" w:cs="Times New Roman"/>
          <w:sz w:val="28"/>
          <w:szCs w:val="28"/>
          <w:lang w:val="uk-UA"/>
        </w:rPr>
        <w:t xml:space="preserve">П. </w:t>
      </w:r>
      <w:proofErr w:type="spellStart"/>
      <w:r>
        <w:rPr>
          <w:rFonts w:ascii="Times New Roman" w:hAnsi="Times New Roman" w:cs="Times New Roman"/>
          <w:sz w:val="28"/>
          <w:szCs w:val="28"/>
          <w:lang w:val="uk-UA"/>
        </w:rPr>
        <w:t>Чіз</w:t>
      </w:r>
      <w:proofErr w:type="spellEnd"/>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[184],</w:t>
      </w:r>
      <w:r w:rsidRPr="005E7C2B">
        <w:rPr>
          <w:rFonts w:ascii="Times New Roman" w:hAnsi="Times New Roman" w:cs="Times New Roman"/>
          <w:sz w:val="28"/>
          <w:szCs w:val="28"/>
          <w:lang w:val="uk-UA"/>
        </w:rPr>
        <w:t xml:space="preserve"> </w:t>
      </w:r>
      <w:r w:rsidR="004B3F2A">
        <w:rPr>
          <w:rFonts w:ascii="Times New Roman" w:hAnsi="Times New Roman" w:cs="Times New Roman"/>
          <w:sz w:val="28"/>
          <w:szCs w:val="28"/>
          <w:lang w:val="uk-UA"/>
        </w:rPr>
        <w:t xml:space="preserve">Т. </w:t>
      </w:r>
      <w:proofErr w:type="spellStart"/>
      <w:r w:rsidRPr="005E7C2B">
        <w:rPr>
          <w:rFonts w:ascii="Times New Roman" w:hAnsi="Times New Roman" w:cs="Times New Roman"/>
          <w:sz w:val="28"/>
          <w:szCs w:val="28"/>
          <w:lang w:val="uk-UA"/>
        </w:rPr>
        <w:t>Девіс</w:t>
      </w:r>
      <w:proofErr w:type="spellEnd"/>
      <w:r w:rsidRPr="005D1B01">
        <w:rPr>
          <w:rFonts w:ascii="Times New Roman" w:hAnsi="Times New Roman" w:cs="Times New Roman"/>
          <w:sz w:val="28"/>
          <w:szCs w:val="28"/>
          <w:lang w:val="uk-UA"/>
        </w:rPr>
        <w:t xml:space="preserve"> [185],</w:t>
      </w:r>
      <w:r w:rsidRPr="005E7C2B">
        <w:rPr>
          <w:rFonts w:ascii="Times New Roman" w:hAnsi="Times New Roman" w:cs="Times New Roman"/>
          <w:sz w:val="28"/>
          <w:szCs w:val="28"/>
          <w:lang w:val="uk-UA"/>
        </w:rPr>
        <w:t xml:space="preserve"> який можна розширити наступним (</w:t>
      </w:r>
      <w:r w:rsidR="004B3F2A">
        <w:rPr>
          <w:rFonts w:ascii="Times New Roman" w:hAnsi="Times New Roman" w:cs="Times New Roman"/>
          <w:sz w:val="28"/>
          <w:szCs w:val="28"/>
          <w:lang w:val="uk-UA"/>
        </w:rPr>
        <w:t xml:space="preserve">М. </w:t>
      </w:r>
      <w:proofErr w:type="spellStart"/>
      <w:r w:rsidRPr="005F367C">
        <w:rPr>
          <w:rFonts w:ascii="Times New Roman" w:hAnsi="Times New Roman" w:cs="Times New Roman"/>
          <w:sz w:val="28"/>
          <w:szCs w:val="28"/>
          <w:lang w:val="uk-UA"/>
        </w:rPr>
        <w:t>Кастельс</w:t>
      </w:r>
      <w:proofErr w:type="spellEnd"/>
      <w:r w:rsidRPr="005F367C">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[197],</w:t>
      </w:r>
      <w:r w:rsidRPr="005E7C2B">
        <w:rPr>
          <w:rFonts w:ascii="Times New Roman" w:hAnsi="Times New Roman" w:cs="Times New Roman"/>
          <w:sz w:val="28"/>
          <w:szCs w:val="28"/>
          <w:lang w:val="uk-UA"/>
        </w:rPr>
        <w:t xml:space="preserve"> </w:t>
      </w:r>
      <w:r w:rsidR="004B3F2A">
        <w:rPr>
          <w:rFonts w:ascii="Times New Roman" w:hAnsi="Times New Roman" w:cs="Times New Roman"/>
          <w:sz w:val="28"/>
          <w:szCs w:val="28"/>
          <w:lang w:val="uk-UA"/>
        </w:rPr>
        <w:t xml:space="preserve">Е. </w:t>
      </w:r>
      <w:proofErr w:type="spellStart"/>
      <w:r w:rsidRPr="00B156DD">
        <w:rPr>
          <w:rFonts w:ascii="Times New Roman" w:hAnsi="Times New Roman" w:cs="Times New Roman"/>
          <w:sz w:val="28"/>
          <w:szCs w:val="28"/>
          <w:lang w:val="uk-UA"/>
        </w:rPr>
        <w:t>Майклз</w:t>
      </w:r>
      <w:proofErr w:type="spellEnd"/>
      <w:r w:rsidRPr="00B156DD">
        <w:rPr>
          <w:rFonts w:ascii="Times New Roman" w:hAnsi="Times New Roman" w:cs="Times New Roman"/>
          <w:sz w:val="28"/>
          <w:szCs w:val="28"/>
          <w:lang w:val="uk-UA"/>
        </w:rPr>
        <w:t xml:space="preserve"> Е.</w:t>
      </w:r>
      <w:r w:rsidR="004B3F2A">
        <w:rPr>
          <w:rFonts w:ascii="Times New Roman" w:hAnsi="Times New Roman" w:cs="Times New Roman"/>
          <w:sz w:val="28"/>
          <w:szCs w:val="28"/>
          <w:lang w:val="uk-UA"/>
        </w:rPr>
        <w:t xml:space="preserve"> та ін.</w:t>
      </w:r>
      <w:r w:rsidRPr="00B156D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5D1B01">
        <w:rPr>
          <w:rFonts w:ascii="Times New Roman" w:hAnsi="Times New Roman" w:cs="Times New Roman"/>
          <w:sz w:val="28"/>
          <w:szCs w:val="28"/>
          <w:lang w:val="uk-UA"/>
        </w:rPr>
        <w:t>123</w:t>
      </w:r>
      <w:r>
        <w:rPr>
          <w:rFonts w:ascii="Times New Roman" w:hAnsi="Times New Roman" w:cs="Times New Roman"/>
          <w:sz w:val="28"/>
          <w:szCs w:val="28"/>
          <w:lang w:val="uk-UA"/>
        </w:rPr>
        <w:t>]</w:t>
      </w:r>
      <w:r w:rsidRPr="005D1B0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E4DF8">
        <w:rPr>
          <w:rFonts w:ascii="Times New Roman" w:hAnsi="Times New Roman" w:cs="Times New Roman"/>
          <w:sz w:val="28"/>
          <w:szCs w:val="28"/>
          <w:lang w:val="uk-UA"/>
        </w:rPr>
        <w:t xml:space="preserve">Л. </w:t>
      </w:r>
      <w:proofErr w:type="spellStart"/>
      <w:r w:rsidRPr="00B156DD">
        <w:rPr>
          <w:rFonts w:ascii="Times New Roman" w:hAnsi="Times New Roman" w:cs="Times New Roman"/>
          <w:sz w:val="28"/>
          <w:szCs w:val="28"/>
          <w:lang w:val="uk-UA"/>
        </w:rPr>
        <w:t>Барлоу</w:t>
      </w:r>
      <w:proofErr w:type="spellEnd"/>
      <w:r w:rsidRPr="00B156DD">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[180],</w:t>
      </w:r>
      <w:r>
        <w:rPr>
          <w:rFonts w:ascii="Times New Roman" w:hAnsi="Times New Roman" w:cs="Times New Roman"/>
          <w:sz w:val="28"/>
          <w:szCs w:val="28"/>
          <w:lang w:val="uk-UA"/>
        </w:rPr>
        <w:t xml:space="preserve"> </w:t>
      </w:r>
      <w:r w:rsidR="004E4DF8">
        <w:rPr>
          <w:rFonts w:ascii="Times New Roman" w:hAnsi="Times New Roman" w:cs="Times New Roman"/>
          <w:sz w:val="28"/>
          <w:szCs w:val="28"/>
          <w:lang w:val="uk-UA"/>
        </w:rPr>
        <w:t xml:space="preserve">Р. </w:t>
      </w:r>
      <w:r>
        <w:rPr>
          <w:rFonts w:ascii="Times New Roman" w:hAnsi="Times New Roman" w:cs="Times New Roman"/>
          <w:sz w:val="28"/>
          <w:szCs w:val="28"/>
          <w:lang w:val="uk-UA"/>
        </w:rPr>
        <w:t>Стюарт-</w:t>
      </w:r>
      <w:proofErr w:type="spellStart"/>
      <w:r>
        <w:rPr>
          <w:rFonts w:ascii="Times New Roman" w:hAnsi="Times New Roman" w:cs="Times New Roman"/>
          <w:sz w:val="28"/>
          <w:szCs w:val="28"/>
          <w:lang w:val="uk-UA"/>
        </w:rPr>
        <w:t>Кетце</w:t>
      </w:r>
      <w:proofErr w:type="spellEnd"/>
      <w:r>
        <w:rPr>
          <w:rFonts w:ascii="Times New Roman" w:hAnsi="Times New Roman" w:cs="Times New Roman"/>
          <w:sz w:val="28"/>
          <w:szCs w:val="28"/>
          <w:lang w:val="uk-UA"/>
        </w:rPr>
        <w:t xml:space="preserve">, </w:t>
      </w:r>
      <w:r w:rsidR="004E4DF8">
        <w:rPr>
          <w:rFonts w:ascii="Times New Roman" w:hAnsi="Times New Roman" w:cs="Times New Roman"/>
          <w:sz w:val="28"/>
          <w:szCs w:val="28"/>
          <w:lang w:val="uk-UA"/>
        </w:rPr>
        <w:t xml:space="preserve">К. </w:t>
      </w:r>
      <w:proofErr w:type="spellStart"/>
      <w:r>
        <w:rPr>
          <w:rFonts w:ascii="Times New Roman" w:hAnsi="Times New Roman" w:cs="Times New Roman"/>
          <w:sz w:val="28"/>
          <w:szCs w:val="28"/>
          <w:lang w:val="uk-UA"/>
        </w:rPr>
        <w:t>Данн</w:t>
      </w:r>
      <w:proofErr w:type="spellEnd"/>
      <w:r w:rsidRPr="005D1B01">
        <w:rPr>
          <w:rFonts w:ascii="Times New Roman" w:hAnsi="Times New Roman" w:cs="Times New Roman"/>
          <w:sz w:val="28"/>
          <w:szCs w:val="28"/>
          <w:lang w:val="uk-UA"/>
        </w:rPr>
        <w:t xml:space="preserve"> [182],</w:t>
      </w:r>
      <w:r w:rsidRPr="005E7C2B">
        <w:rPr>
          <w:rFonts w:ascii="Times New Roman" w:hAnsi="Times New Roman" w:cs="Times New Roman"/>
          <w:sz w:val="28"/>
          <w:szCs w:val="28"/>
          <w:lang w:val="uk-UA"/>
        </w:rPr>
        <w:t xml:space="preserve"> </w:t>
      </w:r>
      <w:r w:rsidR="004E4DF8">
        <w:rPr>
          <w:rFonts w:ascii="Times New Roman" w:hAnsi="Times New Roman" w:cs="Times New Roman"/>
          <w:sz w:val="28"/>
          <w:szCs w:val="28"/>
          <w:lang w:val="uk-UA"/>
        </w:rPr>
        <w:t xml:space="preserve">М. </w:t>
      </w:r>
      <w:proofErr w:type="spellStart"/>
      <w:r w:rsidRPr="005E7C2B">
        <w:rPr>
          <w:rFonts w:ascii="Times New Roman" w:hAnsi="Times New Roman" w:cs="Times New Roman"/>
          <w:sz w:val="28"/>
          <w:szCs w:val="28"/>
          <w:lang w:val="uk-UA"/>
        </w:rPr>
        <w:t>Мейерс</w:t>
      </w:r>
      <w:proofErr w:type="spellEnd"/>
      <w:r w:rsidR="004E4DF8">
        <w:rPr>
          <w:rFonts w:ascii="Times New Roman" w:hAnsi="Times New Roman" w:cs="Times New Roman"/>
          <w:sz w:val="28"/>
          <w:szCs w:val="28"/>
          <w:lang w:val="uk-UA"/>
        </w:rPr>
        <w:t>,</w:t>
      </w:r>
      <w:r w:rsidRPr="0037738B">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М.</w:t>
      </w:r>
      <w:r>
        <w:rPr>
          <w:rFonts w:ascii="Times New Roman" w:hAnsi="Times New Roman" w:cs="Times New Roman"/>
          <w:sz w:val="28"/>
          <w:szCs w:val="28"/>
          <w:lang w:val="uk-UA"/>
        </w:rPr>
        <w:t xml:space="preserve"> ван </w:t>
      </w:r>
      <w:proofErr w:type="spellStart"/>
      <w:r>
        <w:rPr>
          <w:rFonts w:ascii="Times New Roman" w:hAnsi="Times New Roman" w:cs="Times New Roman"/>
          <w:sz w:val="28"/>
          <w:szCs w:val="28"/>
          <w:lang w:val="uk-UA"/>
        </w:rPr>
        <w:t>Воерком</w:t>
      </w:r>
      <w:proofErr w:type="spellEnd"/>
      <w:r>
        <w:rPr>
          <w:rFonts w:ascii="Times New Roman" w:hAnsi="Times New Roman" w:cs="Times New Roman"/>
          <w:sz w:val="28"/>
          <w:szCs w:val="28"/>
          <w:lang w:val="uk-UA"/>
        </w:rPr>
        <w:t xml:space="preserve">, </w:t>
      </w:r>
      <w:proofErr w:type="spellStart"/>
      <w:r w:rsidR="004E4DF8">
        <w:rPr>
          <w:rFonts w:ascii="Times New Roman" w:hAnsi="Times New Roman" w:cs="Times New Roman"/>
          <w:sz w:val="28"/>
          <w:szCs w:val="28"/>
          <w:lang w:val="uk-UA"/>
        </w:rPr>
        <w:t>Н.</w:t>
      </w:r>
      <w:r>
        <w:rPr>
          <w:rFonts w:ascii="Times New Roman" w:hAnsi="Times New Roman" w:cs="Times New Roman"/>
          <w:sz w:val="28"/>
          <w:szCs w:val="28"/>
          <w:lang w:val="uk-UA"/>
        </w:rPr>
        <w:t>Дріс</w:t>
      </w:r>
      <w:proofErr w:type="spellEnd"/>
      <w:r w:rsidRPr="005D1B01">
        <w:rPr>
          <w:rFonts w:ascii="Times New Roman" w:hAnsi="Times New Roman" w:cs="Times New Roman"/>
          <w:sz w:val="28"/>
          <w:szCs w:val="28"/>
          <w:lang w:val="uk-UA"/>
        </w:rPr>
        <w:t xml:space="preserve"> [187]</w:t>
      </w: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w:t>
      </w:r>
      <w:r w:rsidR="004E4DF8">
        <w:rPr>
          <w:rFonts w:ascii="Times New Roman" w:hAnsi="Times New Roman" w:cs="Times New Roman"/>
          <w:sz w:val="28"/>
          <w:szCs w:val="28"/>
          <w:lang w:val="uk-UA"/>
        </w:rPr>
        <w:t xml:space="preserve">А. </w:t>
      </w:r>
      <w:proofErr w:type="spellStart"/>
      <w:r w:rsidRPr="00EA5E03">
        <w:rPr>
          <w:rFonts w:ascii="Times New Roman" w:hAnsi="Times New Roman" w:cs="Times New Roman"/>
          <w:sz w:val="28"/>
          <w:szCs w:val="28"/>
          <w:lang w:val="uk-UA"/>
        </w:rPr>
        <w:t>Вєчорек</w:t>
      </w:r>
      <w:proofErr w:type="spellEnd"/>
      <w:r w:rsidRPr="00EA5E03">
        <w:rPr>
          <w:rFonts w:ascii="Times New Roman" w:hAnsi="Times New Roman" w:cs="Times New Roman"/>
          <w:sz w:val="28"/>
          <w:szCs w:val="28"/>
          <w:lang w:val="uk-UA"/>
        </w:rPr>
        <w:t>-Шиманська</w:t>
      </w:r>
      <w:r w:rsidRPr="005E7C2B">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[198]</w:t>
      </w:r>
      <w:r w:rsidRPr="005E7C2B">
        <w:rPr>
          <w:rFonts w:ascii="Times New Roman" w:hAnsi="Times New Roman" w:cs="Times New Roman"/>
          <w:sz w:val="28"/>
          <w:szCs w:val="28"/>
          <w:lang w:val="uk-UA"/>
        </w:rPr>
        <w:t xml:space="preserve">, </w:t>
      </w:r>
      <w:r w:rsidR="004E4DF8">
        <w:rPr>
          <w:rFonts w:ascii="Times New Roman" w:hAnsi="Times New Roman" w:cs="Times New Roman"/>
          <w:sz w:val="28"/>
          <w:szCs w:val="28"/>
          <w:lang w:val="uk-UA"/>
        </w:rPr>
        <w:t xml:space="preserve">А. </w:t>
      </w:r>
      <w:proofErr w:type="spellStart"/>
      <w:r w:rsidRPr="00EA5E03">
        <w:rPr>
          <w:rFonts w:ascii="Times New Roman" w:hAnsi="Times New Roman" w:cs="Times New Roman"/>
          <w:sz w:val="28"/>
          <w:szCs w:val="28"/>
          <w:lang w:val="uk-UA"/>
        </w:rPr>
        <w:t>Шпрінгер</w:t>
      </w:r>
      <w:proofErr w:type="spellEnd"/>
      <w:r w:rsidR="004E4DF8">
        <w:rPr>
          <w:rFonts w:ascii="Times New Roman" w:hAnsi="Times New Roman" w:cs="Times New Roman"/>
          <w:sz w:val="28"/>
          <w:szCs w:val="28"/>
          <w:lang w:val="uk-UA"/>
        </w:rPr>
        <w:t>,</w:t>
      </w:r>
      <w:r w:rsidRPr="00EA5E03">
        <w:rPr>
          <w:rFonts w:ascii="Times New Roman" w:hAnsi="Times New Roman" w:cs="Times New Roman"/>
          <w:sz w:val="28"/>
          <w:szCs w:val="28"/>
          <w:lang w:val="uk-UA"/>
        </w:rPr>
        <w:t xml:space="preserve"> А. </w:t>
      </w:r>
      <w:proofErr w:type="spellStart"/>
      <w:r w:rsidRPr="00EA5E03">
        <w:rPr>
          <w:rFonts w:ascii="Times New Roman" w:hAnsi="Times New Roman" w:cs="Times New Roman"/>
          <w:sz w:val="28"/>
          <w:szCs w:val="28"/>
          <w:lang w:val="uk-UA"/>
        </w:rPr>
        <w:t>Рителевська</w:t>
      </w:r>
      <w:proofErr w:type="spellEnd"/>
      <w:r w:rsidRPr="00EA5E03">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[199],</w:t>
      </w:r>
      <w:r w:rsidRPr="005E7C2B">
        <w:rPr>
          <w:rFonts w:ascii="Times New Roman" w:hAnsi="Times New Roman" w:cs="Times New Roman"/>
          <w:sz w:val="28"/>
          <w:szCs w:val="28"/>
          <w:lang w:val="uk-UA"/>
        </w:rPr>
        <w:t xml:space="preserve"> </w:t>
      </w:r>
      <w:r w:rsidR="004E4DF8">
        <w:rPr>
          <w:rFonts w:ascii="Times New Roman" w:hAnsi="Times New Roman" w:cs="Times New Roman"/>
          <w:sz w:val="28"/>
          <w:szCs w:val="28"/>
          <w:lang w:val="uk-UA"/>
        </w:rPr>
        <w:t xml:space="preserve">Е. </w:t>
      </w:r>
      <w:proofErr w:type="spellStart"/>
      <w:r>
        <w:rPr>
          <w:rFonts w:ascii="Times New Roman" w:hAnsi="Times New Roman" w:cs="Times New Roman"/>
          <w:sz w:val="28"/>
          <w:szCs w:val="28"/>
          <w:lang w:val="uk-UA"/>
        </w:rPr>
        <w:t>Галлардо-</w:t>
      </w:r>
      <w:r w:rsidRPr="00EA5E03">
        <w:rPr>
          <w:rFonts w:ascii="Times New Roman" w:hAnsi="Times New Roman" w:cs="Times New Roman"/>
          <w:sz w:val="28"/>
          <w:szCs w:val="28"/>
          <w:lang w:val="uk-UA"/>
        </w:rPr>
        <w:t>Галлардо</w:t>
      </w:r>
      <w:proofErr w:type="spellEnd"/>
      <w:r w:rsidRPr="00EA5E03">
        <w:rPr>
          <w:rFonts w:ascii="Times New Roman" w:hAnsi="Times New Roman" w:cs="Times New Roman"/>
          <w:sz w:val="28"/>
          <w:szCs w:val="28"/>
          <w:lang w:val="uk-UA"/>
        </w:rPr>
        <w:t xml:space="preserve">, </w:t>
      </w:r>
      <w:r w:rsidR="004E4DF8">
        <w:rPr>
          <w:rFonts w:ascii="Times New Roman" w:hAnsi="Times New Roman" w:cs="Times New Roman"/>
          <w:sz w:val="28"/>
          <w:szCs w:val="28"/>
          <w:lang w:val="uk-UA"/>
        </w:rPr>
        <w:t xml:space="preserve">С. </w:t>
      </w:r>
      <w:proofErr w:type="spellStart"/>
      <w:r w:rsidRPr="00EA5E03">
        <w:rPr>
          <w:rFonts w:ascii="Times New Roman" w:hAnsi="Times New Roman" w:cs="Times New Roman"/>
          <w:sz w:val="28"/>
          <w:szCs w:val="28"/>
          <w:lang w:val="uk-UA"/>
        </w:rPr>
        <w:t>Найс</w:t>
      </w:r>
      <w:proofErr w:type="spellEnd"/>
      <w:r w:rsidRPr="00EA5E03">
        <w:rPr>
          <w:rFonts w:ascii="Times New Roman" w:hAnsi="Times New Roman" w:cs="Times New Roman"/>
          <w:sz w:val="28"/>
          <w:szCs w:val="28"/>
          <w:lang w:val="uk-UA"/>
        </w:rPr>
        <w:t xml:space="preserve">, </w:t>
      </w:r>
      <w:r w:rsidR="004E4DF8">
        <w:rPr>
          <w:rFonts w:ascii="Times New Roman" w:hAnsi="Times New Roman" w:cs="Times New Roman"/>
          <w:sz w:val="28"/>
          <w:szCs w:val="28"/>
          <w:lang w:val="uk-UA"/>
        </w:rPr>
        <w:t xml:space="preserve">Н. </w:t>
      </w:r>
      <w:proofErr w:type="spellStart"/>
      <w:r w:rsidRPr="00EA5E03">
        <w:rPr>
          <w:rFonts w:ascii="Times New Roman" w:hAnsi="Times New Roman" w:cs="Times New Roman"/>
          <w:sz w:val="28"/>
          <w:szCs w:val="28"/>
          <w:lang w:val="uk-UA"/>
        </w:rPr>
        <w:t>Дріс</w:t>
      </w:r>
      <w:proofErr w:type="spellEnd"/>
      <w:r w:rsidRPr="00EA5E03">
        <w:rPr>
          <w:rFonts w:ascii="Times New Roman" w:hAnsi="Times New Roman" w:cs="Times New Roman"/>
          <w:sz w:val="28"/>
          <w:szCs w:val="28"/>
          <w:lang w:val="uk-UA"/>
        </w:rPr>
        <w:t xml:space="preserve">, </w:t>
      </w:r>
      <w:r w:rsidR="004E4DF8">
        <w:rPr>
          <w:rFonts w:ascii="Times New Roman" w:hAnsi="Times New Roman" w:cs="Times New Roman"/>
          <w:sz w:val="28"/>
          <w:szCs w:val="28"/>
          <w:lang w:val="uk-UA"/>
        </w:rPr>
        <w:t xml:space="preserve">П. </w:t>
      </w:r>
      <w:proofErr w:type="spellStart"/>
      <w:r w:rsidRPr="00EA5E03">
        <w:rPr>
          <w:rFonts w:ascii="Times New Roman" w:hAnsi="Times New Roman" w:cs="Times New Roman"/>
          <w:sz w:val="28"/>
          <w:szCs w:val="28"/>
          <w:lang w:val="uk-UA"/>
        </w:rPr>
        <w:t>Галло</w:t>
      </w:r>
      <w:proofErr w:type="spellEnd"/>
      <w:r w:rsidRPr="00EA5E03">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[177])</w:t>
      </w:r>
      <w:r w:rsidRPr="005E7C2B">
        <w:rPr>
          <w:rFonts w:ascii="Times New Roman" w:hAnsi="Times New Roman" w:cs="Times New Roman"/>
          <w:sz w:val="28"/>
          <w:szCs w:val="28"/>
          <w:lang w:val="uk-UA"/>
        </w:rPr>
        <w:t>.</w:t>
      </w:r>
    </w:p>
    <w:p w14:paraId="28B5C188"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Універсальний поділ працівників і визначення талантів з метою забезпечення широкого спектру їх</w:t>
      </w:r>
      <w:r>
        <w:rPr>
          <w:rFonts w:ascii="Times New Roman" w:hAnsi="Times New Roman" w:cs="Times New Roman"/>
          <w:sz w:val="28"/>
          <w:szCs w:val="28"/>
          <w:lang w:val="uk-UA"/>
        </w:rPr>
        <w:t>нього</w:t>
      </w:r>
      <w:r w:rsidRPr="005E7C2B">
        <w:rPr>
          <w:rFonts w:ascii="Times New Roman" w:hAnsi="Times New Roman" w:cs="Times New Roman"/>
          <w:sz w:val="28"/>
          <w:szCs w:val="28"/>
          <w:lang w:val="uk-UA"/>
        </w:rPr>
        <w:t xml:space="preserve"> розвитку запропонува</w:t>
      </w:r>
      <w:r>
        <w:rPr>
          <w:rFonts w:ascii="Times New Roman" w:hAnsi="Times New Roman" w:cs="Times New Roman"/>
          <w:sz w:val="28"/>
          <w:szCs w:val="28"/>
          <w:lang w:val="uk-UA"/>
        </w:rPr>
        <w:t xml:space="preserve">ли Д. Ульріх і Н. </w:t>
      </w:r>
      <w:proofErr w:type="spellStart"/>
      <w:r>
        <w:rPr>
          <w:rFonts w:ascii="Times New Roman" w:hAnsi="Times New Roman" w:cs="Times New Roman"/>
          <w:sz w:val="28"/>
          <w:szCs w:val="28"/>
          <w:lang w:val="uk-UA"/>
        </w:rPr>
        <w:t>Смолвуд</w:t>
      </w:r>
      <w:proofErr w:type="spellEnd"/>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[200]</w:t>
      </w:r>
      <w:r w:rsidRPr="005E7C2B">
        <w:rPr>
          <w:rFonts w:ascii="Times New Roman" w:hAnsi="Times New Roman" w:cs="Times New Roman"/>
          <w:sz w:val="28"/>
          <w:szCs w:val="28"/>
          <w:lang w:val="uk-UA"/>
        </w:rPr>
        <w:t>:</w:t>
      </w:r>
    </w:p>
    <w:p w14:paraId="5FCE4A9B" w14:textId="6309BD58"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5E7C2B">
        <w:rPr>
          <w:rFonts w:ascii="Times New Roman" w:hAnsi="Times New Roman" w:cs="Times New Roman"/>
          <w:sz w:val="28"/>
          <w:szCs w:val="28"/>
          <w:lang w:val="uk-UA"/>
        </w:rPr>
        <w:t xml:space="preserve">правління </w:t>
      </w:r>
      <w:r w:rsidR="004E4DF8">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w:t>
      </w:r>
      <w:r w:rsidRPr="00954362">
        <w:rPr>
          <w:rFonts w:ascii="Times New Roman" w:hAnsi="Times New Roman" w:cs="Times New Roman"/>
          <w:sz w:val="28"/>
          <w:szCs w:val="28"/>
          <w:lang w:val="uk-UA"/>
        </w:rPr>
        <w:t xml:space="preserve">вимагатиме нестандартного освітнього досвіду, включаючи участь у зовнішніх групах, </w:t>
      </w:r>
      <w:proofErr w:type="spellStart"/>
      <w:r w:rsidRPr="00954362">
        <w:rPr>
          <w:rFonts w:ascii="Times New Roman" w:hAnsi="Times New Roman" w:cs="Times New Roman"/>
          <w:sz w:val="28"/>
          <w:szCs w:val="28"/>
          <w:lang w:val="uk-UA"/>
        </w:rPr>
        <w:t>коучинг</w:t>
      </w:r>
      <w:proofErr w:type="spellEnd"/>
      <w:r w:rsidRPr="00954362">
        <w:rPr>
          <w:rFonts w:ascii="Times New Roman" w:hAnsi="Times New Roman" w:cs="Times New Roman"/>
          <w:sz w:val="28"/>
          <w:szCs w:val="28"/>
          <w:lang w:val="uk-UA"/>
        </w:rPr>
        <w:t xml:space="preserve"> управлінського персоналу та цільове навчання, також матиме особливе значення з</w:t>
      </w:r>
      <w:r>
        <w:rPr>
          <w:rFonts w:ascii="Times New Roman" w:hAnsi="Times New Roman" w:cs="Times New Roman"/>
          <w:sz w:val="28"/>
          <w:szCs w:val="28"/>
          <w:lang w:val="uk-UA"/>
        </w:rPr>
        <w:t xml:space="preserve"> погляду планування наступності</w:t>
      </w:r>
      <w:r w:rsidR="004E4DF8">
        <w:rPr>
          <w:rFonts w:ascii="Times New Roman" w:hAnsi="Times New Roman" w:cs="Times New Roman"/>
          <w:sz w:val="28"/>
          <w:szCs w:val="28"/>
          <w:lang w:val="uk-UA"/>
        </w:rPr>
        <w:t>;</w:t>
      </w:r>
    </w:p>
    <w:p w14:paraId="08111219" w14:textId="478A1C58"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5E7C2B">
        <w:rPr>
          <w:rFonts w:ascii="Times New Roman" w:hAnsi="Times New Roman" w:cs="Times New Roman"/>
          <w:sz w:val="28"/>
          <w:szCs w:val="28"/>
          <w:lang w:val="uk-UA"/>
        </w:rPr>
        <w:t xml:space="preserve">ерівний персонал </w:t>
      </w:r>
      <w:r w:rsidR="004E4DF8">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це ще одне покоління управлінського персоналу, чия діяльність з розвитку зосереджена на тематичних сферах, таких як формування майбутнього, створення нових викликів, залучення сучасних талантів і створення нового покоління талантів</w:t>
      </w:r>
      <w:r w:rsidR="004E4DF8">
        <w:rPr>
          <w:rFonts w:ascii="Times New Roman" w:hAnsi="Times New Roman" w:cs="Times New Roman"/>
          <w:sz w:val="28"/>
          <w:szCs w:val="28"/>
          <w:lang w:val="uk-UA"/>
        </w:rPr>
        <w:t>;</w:t>
      </w:r>
    </w:p>
    <w:p w14:paraId="11F0113E" w14:textId="586368BD"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5E7C2B">
        <w:rPr>
          <w:rFonts w:ascii="Times New Roman" w:hAnsi="Times New Roman" w:cs="Times New Roman"/>
          <w:sz w:val="28"/>
          <w:szCs w:val="28"/>
          <w:lang w:val="uk-UA"/>
        </w:rPr>
        <w:t xml:space="preserve">исокий потенціал </w:t>
      </w:r>
      <w:r w:rsidR="00C90087">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w:t>
      </w:r>
      <w:r w:rsidRPr="00954362">
        <w:rPr>
          <w:rFonts w:ascii="Times New Roman" w:hAnsi="Times New Roman" w:cs="Times New Roman"/>
          <w:sz w:val="28"/>
          <w:szCs w:val="28"/>
          <w:lang w:val="uk-UA"/>
        </w:rPr>
        <w:t>це</w:t>
      </w:r>
      <w:r w:rsidR="00C90087">
        <w:rPr>
          <w:rFonts w:ascii="Times New Roman" w:hAnsi="Times New Roman" w:cs="Times New Roman"/>
          <w:sz w:val="28"/>
          <w:szCs w:val="28"/>
          <w:lang w:val="uk-UA"/>
        </w:rPr>
        <w:t xml:space="preserve"> </w:t>
      </w:r>
      <w:r w:rsidRPr="00954362">
        <w:rPr>
          <w:rFonts w:ascii="Times New Roman" w:hAnsi="Times New Roman" w:cs="Times New Roman"/>
          <w:sz w:val="28"/>
          <w:szCs w:val="28"/>
          <w:lang w:val="uk-UA"/>
        </w:rPr>
        <w:t xml:space="preserve">таланти, що займають ключові позиції на всіх рівнях організації, які можуть мати технічні знання або виконувати ключові управлінські функції, а також мати здатність до майбутнього зростання. Для цих груп співробітників метою буде діяльність у цільових групах чи спеціальних проектах; наставництво з боку управлінського персоналу та цільове навчання </w:t>
      </w:r>
      <w:r>
        <w:rPr>
          <w:rFonts w:ascii="Times New Roman" w:hAnsi="Times New Roman" w:cs="Times New Roman"/>
          <w:sz w:val="28"/>
          <w:szCs w:val="28"/>
          <w:lang w:val="uk-UA"/>
        </w:rPr>
        <w:t xml:space="preserve">певним </w:t>
      </w:r>
      <w:r w:rsidRPr="00954362">
        <w:rPr>
          <w:rFonts w:ascii="Times New Roman" w:hAnsi="Times New Roman" w:cs="Times New Roman"/>
          <w:sz w:val="28"/>
          <w:szCs w:val="28"/>
          <w:lang w:val="uk-UA"/>
        </w:rPr>
        <w:t>навичкам</w:t>
      </w:r>
      <w:r w:rsidR="004E4DF8">
        <w:rPr>
          <w:rFonts w:ascii="Times New Roman" w:hAnsi="Times New Roman" w:cs="Times New Roman"/>
          <w:sz w:val="28"/>
          <w:szCs w:val="28"/>
          <w:lang w:val="uk-UA"/>
        </w:rPr>
        <w:t>;</w:t>
      </w:r>
    </w:p>
    <w:p w14:paraId="41D227ED"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954362">
        <w:rPr>
          <w:rFonts w:ascii="Times New Roman" w:hAnsi="Times New Roman" w:cs="Times New Roman"/>
          <w:sz w:val="28"/>
          <w:szCs w:val="28"/>
          <w:lang w:val="uk-UA"/>
        </w:rPr>
        <w:t>сі співробітники мають талант, тому для того, щоб культура талан</w:t>
      </w:r>
      <w:r>
        <w:rPr>
          <w:rFonts w:ascii="Times New Roman" w:hAnsi="Times New Roman" w:cs="Times New Roman"/>
          <w:sz w:val="28"/>
          <w:szCs w:val="28"/>
          <w:lang w:val="uk-UA"/>
        </w:rPr>
        <w:t>тів проникла на всю організацію</w:t>
      </w:r>
      <w:r w:rsidRPr="0095436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потрібно, щоб </w:t>
      </w:r>
      <w:r w:rsidRPr="00954362">
        <w:rPr>
          <w:rFonts w:ascii="Times New Roman" w:hAnsi="Times New Roman" w:cs="Times New Roman"/>
          <w:sz w:val="28"/>
          <w:szCs w:val="28"/>
          <w:lang w:val="uk-UA"/>
        </w:rPr>
        <w:t>можливість подальшого розвитку бу</w:t>
      </w:r>
      <w:r>
        <w:rPr>
          <w:rFonts w:ascii="Times New Roman" w:hAnsi="Times New Roman" w:cs="Times New Roman"/>
          <w:sz w:val="28"/>
          <w:szCs w:val="28"/>
          <w:lang w:val="uk-UA"/>
        </w:rPr>
        <w:t>ла доступна всім співробітникам</w:t>
      </w:r>
      <w:r w:rsidRPr="005E7C2B">
        <w:rPr>
          <w:rFonts w:ascii="Times New Roman" w:hAnsi="Times New Roman" w:cs="Times New Roman"/>
          <w:sz w:val="28"/>
          <w:szCs w:val="28"/>
          <w:lang w:val="uk-UA"/>
        </w:rPr>
        <w:t>.</w:t>
      </w:r>
    </w:p>
    <w:p w14:paraId="365295FA"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Сучасні підходи до концепції талантів були започатковані наприкінці 1990-х років організацією під назвою </w:t>
      </w:r>
      <w:proofErr w:type="spellStart"/>
      <w:r w:rsidRPr="005E7C2B">
        <w:rPr>
          <w:rFonts w:ascii="Times New Roman" w:hAnsi="Times New Roman" w:cs="Times New Roman"/>
          <w:sz w:val="28"/>
          <w:szCs w:val="28"/>
          <w:lang w:val="uk-UA"/>
        </w:rPr>
        <w:t>McKinsey</w:t>
      </w:r>
      <w:proofErr w:type="spellEnd"/>
      <w:r w:rsidRPr="005E7C2B">
        <w:rPr>
          <w:rFonts w:ascii="Times New Roman" w:hAnsi="Times New Roman" w:cs="Times New Roman"/>
          <w:sz w:val="28"/>
          <w:szCs w:val="28"/>
          <w:lang w:val="uk-UA"/>
        </w:rPr>
        <w:t xml:space="preserve"> &amp; </w:t>
      </w:r>
      <w:proofErr w:type="spellStart"/>
      <w:r w:rsidRPr="005E7C2B">
        <w:rPr>
          <w:rFonts w:ascii="Times New Roman" w:hAnsi="Times New Roman" w:cs="Times New Roman"/>
          <w:sz w:val="28"/>
          <w:szCs w:val="28"/>
          <w:lang w:val="uk-UA"/>
        </w:rPr>
        <w:t>Company</w:t>
      </w:r>
      <w:proofErr w:type="spellEnd"/>
      <w:r w:rsidRPr="005E7C2B">
        <w:rPr>
          <w:rFonts w:ascii="Times New Roman" w:hAnsi="Times New Roman" w:cs="Times New Roman"/>
          <w:sz w:val="28"/>
          <w:szCs w:val="28"/>
          <w:lang w:val="uk-UA"/>
        </w:rPr>
        <w:t xml:space="preserve">. У публікації під назвою «Війна за таланти» повідомлялося, що в умовах розвитку передових </w:t>
      </w:r>
      <w:r w:rsidRPr="005E7C2B">
        <w:rPr>
          <w:rFonts w:ascii="Times New Roman" w:hAnsi="Times New Roman" w:cs="Times New Roman"/>
          <w:sz w:val="28"/>
          <w:szCs w:val="28"/>
          <w:lang w:val="uk-UA"/>
        </w:rPr>
        <w:lastRenderedPageBreak/>
        <w:t>технологій попит на таланти співробітників перевищує пропозицію, внаслідок чого ринок талантів співробітників став найбільш конку</w:t>
      </w:r>
      <w:r>
        <w:rPr>
          <w:rFonts w:ascii="Times New Roman" w:hAnsi="Times New Roman" w:cs="Times New Roman"/>
          <w:sz w:val="28"/>
          <w:szCs w:val="28"/>
          <w:lang w:val="uk-UA"/>
        </w:rPr>
        <w:t xml:space="preserve">рентоспроможним з ринків світу в останнє десятиліття </w:t>
      </w:r>
      <w:r w:rsidRPr="005D1B01">
        <w:rPr>
          <w:rFonts w:ascii="Times New Roman" w:hAnsi="Times New Roman" w:cs="Times New Roman"/>
          <w:sz w:val="28"/>
          <w:szCs w:val="28"/>
          <w:lang w:val="uk-UA"/>
        </w:rPr>
        <w:t>[201]</w:t>
      </w:r>
      <w:r w:rsidRPr="005E7C2B">
        <w:rPr>
          <w:rFonts w:ascii="Times New Roman" w:hAnsi="Times New Roman" w:cs="Times New Roman"/>
          <w:sz w:val="28"/>
          <w:szCs w:val="28"/>
          <w:lang w:val="uk-UA"/>
        </w:rPr>
        <w:t>.</w:t>
      </w:r>
    </w:p>
    <w:p w14:paraId="19505A5C"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У 2016 році британська компанія </w:t>
      </w:r>
      <w:proofErr w:type="spellStart"/>
      <w:r w:rsidRPr="005E7C2B">
        <w:rPr>
          <w:rFonts w:ascii="Times New Roman" w:hAnsi="Times New Roman" w:cs="Times New Roman"/>
          <w:sz w:val="28"/>
          <w:szCs w:val="28"/>
          <w:lang w:val="uk-UA"/>
        </w:rPr>
        <w:t>Cordant</w:t>
      </w:r>
      <w:proofErr w:type="spellEnd"/>
      <w:r w:rsidRPr="005E7C2B">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Recruitment</w:t>
      </w:r>
      <w:proofErr w:type="spellEnd"/>
      <w:r w:rsidRPr="005E7C2B">
        <w:rPr>
          <w:rFonts w:ascii="Times New Roman" w:hAnsi="Times New Roman" w:cs="Times New Roman"/>
          <w:sz w:val="28"/>
          <w:szCs w:val="28"/>
          <w:lang w:val="uk-UA"/>
        </w:rPr>
        <w:t xml:space="preserve"> оголосила, що битва за таланти є глобальною. Талант є вирішальним фактором успіху підприємства, тому важливо, щоб як людські ресурси, так і бізнес-лідери набирали та утримували найкращих працівників. Якщо боротьба за залучення талантів на деякі підприємства здається важкою, утримання особливих талантів є війною великого масштабу, оскільки перемога у війні за таланти матиме великий вплив на загальний успіх організації в цілому. У глобальному масштабі сьогодні ми знаходимося на тому етапі, коли співробітники є більш освіченими, ніж будь-коли, але все ще не мають ключових навичок. Відсутність технічних навичок і досвіду названі двома з трьох основних причин, через які роботодавці не можуть заповнити вакансії через недостатню кількість талантів </w:t>
      </w:r>
      <w:r w:rsidRPr="005D1B01">
        <w:rPr>
          <w:rFonts w:ascii="Times New Roman" w:hAnsi="Times New Roman" w:cs="Times New Roman"/>
          <w:sz w:val="28"/>
          <w:szCs w:val="28"/>
          <w:lang w:val="uk-UA"/>
        </w:rPr>
        <w:t>[202]</w:t>
      </w:r>
      <w:r w:rsidRPr="005E7C2B">
        <w:rPr>
          <w:rFonts w:ascii="Times New Roman" w:hAnsi="Times New Roman" w:cs="Times New Roman"/>
          <w:sz w:val="28"/>
          <w:szCs w:val="28"/>
          <w:lang w:val="uk-UA"/>
        </w:rPr>
        <w:t>.</w:t>
      </w:r>
    </w:p>
    <w:p w14:paraId="3AA73A4A"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Однак наприкінці 2018 року журнал </w:t>
      </w:r>
      <w:proofErr w:type="spellStart"/>
      <w:r w:rsidRPr="005E7C2B">
        <w:rPr>
          <w:rFonts w:ascii="Times New Roman" w:hAnsi="Times New Roman" w:cs="Times New Roman"/>
          <w:sz w:val="28"/>
          <w:szCs w:val="28"/>
          <w:lang w:val="uk-UA"/>
        </w:rPr>
        <w:t>Fortune</w:t>
      </w:r>
      <w:proofErr w:type="spellEnd"/>
      <w:r w:rsidRPr="005E7C2B">
        <w:rPr>
          <w:rFonts w:ascii="Times New Roman" w:hAnsi="Times New Roman" w:cs="Times New Roman"/>
          <w:sz w:val="28"/>
          <w:szCs w:val="28"/>
          <w:lang w:val="uk-UA"/>
        </w:rPr>
        <w:t xml:space="preserve"> зазначив, що війна за таланти наразі гостріша, ніж будь-коли, і навіть економічне уповільнення, яке передбачається протягом кількох років, не дасть роботодавцям сили виграти цю війну, якщо буде економічна корекція або спад з точки зору загальних змін у балансі сил між найманими працівниками та роботодавцями. Потреби підприємств змінюються швидше, ніж навички та досвід працівників, іншими словами, має відбутися еволюція з точки зору значення таланту </w:t>
      </w:r>
      <w:r w:rsidRPr="005D1B01">
        <w:rPr>
          <w:rFonts w:ascii="Times New Roman" w:hAnsi="Times New Roman" w:cs="Times New Roman"/>
          <w:sz w:val="28"/>
          <w:szCs w:val="28"/>
          <w:lang w:val="uk-UA"/>
        </w:rPr>
        <w:t>[203]</w:t>
      </w:r>
      <w:r w:rsidRPr="005E7C2B">
        <w:rPr>
          <w:rFonts w:ascii="Times New Roman" w:hAnsi="Times New Roman" w:cs="Times New Roman"/>
          <w:sz w:val="28"/>
          <w:szCs w:val="28"/>
          <w:lang w:val="uk-UA"/>
        </w:rPr>
        <w:t>.</w:t>
      </w:r>
    </w:p>
    <w:p w14:paraId="3C73EB92"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Однією з головних проблем, пов’язаних із війною за таланти, є наявність відповідних працівників із відповідною кваліфікацією в потрібний час. На стратегічному рівні війна за таланти як бізнес-реальність вимагає виявлення прогалин у стратегіях і методах організації людського капіталу. На тактичному рівні війна за таланти передбачає виявлення талантів працівника, а також конкретний розвиток навичок працівника. Отже, необхідно налаштувати управління, навички та ефективність з метою визначення довгострокових цілей розвитку, як для підприємства, так і для працівників. Як наслідок, такі підприємства, які прагнуть керувати талантами, а також вирішують слідкувати, </w:t>
      </w:r>
      <w:r w:rsidRPr="005E7C2B">
        <w:rPr>
          <w:rFonts w:ascii="Times New Roman" w:hAnsi="Times New Roman" w:cs="Times New Roman"/>
          <w:sz w:val="28"/>
          <w:szCs w:val="28"/>
          <w:lang w:val="uk-UA"/>
        </w:rPr>
        <w:lastRenderedPageBreak/>
        <w:t>визначати та обробляти компетенції та навички, можуть досягти ряду бізнес-виг</w:t>
      </w:r>
      <w:r>
        <w:rPr>
          <w:rFonts w:ascii="Times New Roman" w:hAnsi="Times New Roman" w:cs="Times New Roman"/>
          <w:sz w:val="28"/>
          <w:szCs w:val="28"/>
          <w:lang w:val="uk-UA"/>
        </w:rPr>
        <w:t>і</w:t>
      </w:r>
      <w:r w:rsidRPr="005E7C2B">
        <w:rPr>
          <w:rFonts w:ascii="Times New Roman" w:hAnsi="Times New Roman" w:cs="Times New Roman"/>
          <w:sz w:val="28"/>
          <w:szCs w:val="28"/>
          <w:lang w:val="uk-UA"/>
        </w:rPr>
        <w:t>д, а також прозорості з точки зору очікувань працівників і менеджерів, а також впровадження узгоджених стандартів розвитку в усій організації. На операційному рівні війна за таланти охоплює перехід від управління даними та інформацією до управління людьми, ставленням і знаннями у сфері людського капіталу та талантів, що особливо вимагає відповідного застосування звичайних і нових технологій, у той час як також традиційні та новітні підходи до технологій навчання, оцінювання та ефективності, а також управління якістю, щоб належним чином налаштувати плани розвитку, під час яких працівники слідують кар’єрним шляхом, якого можливо досягти. На жаль, використання технологій для цілей набору персоналу, управління талантами та компетенціями, а також розвиток навичок було сповільнено</w:t>
      </w:r>
      <w:r>
        <w:rPr>
          <w:rFonts w:ascii="Times New Roman" w:hAnsi="Times New Roman" w:cs="Times New Roman"/>
          <w:sz w:val="28"/>
          <w:szCs w:val="28"/>
          <w:lang w:val="uk-UA"/>
        </w:rPr>
        <w:t>, точніше сказати,</w:t>
      </w:r>
      <w:r w:rsidRPr="005E7C2B">
        <w:rPr>
          <w:rFonts w:ascii="Times New Roman" w:hAnsi="Times New Roman" w:cs="Times New Roman"/>
          <w:sz w:val="28"/>
          <w:szCs w:val="28"/>
          <w:lang w:val="uk-UA"/>
        </w:rPr>
        <w:t xml:space="preserve"> фактично не зді</w:t>
      </w:r>
      <w:r>
        <w:rPr>
          <w:rFonts w:ascii="Times New Roman" w:hAnsi="Times New Roman" w:cs="Times New Roman"/>
          <w:sz w:val="28"/>
          <w:szCs w:val="28"/>
          <w:lang w:val="uk-UA"/>
        </w:rPr>
        <w:t xml:space="preserve">йснювалося </w:t>
      </w:r>
      <w:r>
        <w:rPr>
          <w:rFonts w:ascii="Times New Roman" w:hAnsi="Times New Roman" w:cs="Times New Roman"/>
          <w:sz w:val="28"/>
          <w:szCs w:val="28"/>
        </w:rPr>
        <w:t>[204]</w:t>
      </w:r>
      <w:r w:rsidRPr="005E7C2B">
        <w:rPr>
          <w:rFonts w:ascii="Times New Roman" w:hAnsi="Times New Roman" w:cs="Times New Roman"/>
          <w:sz w:val="28"/>
          <w:szCs w:val="28"/>
          <w:lang w:val="uk-UA"/>
        </w:rPr>
        <w:t>.</w:t>
      </w:r>
    </w:p>
    <w:p w14:paraId="46210CD7"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У наш час війна за таланти на підприємствах залучає, працевлаштовує та керує талантами. Правильне управління талантами стало ключовим джерелом конкурентної переваги. Підприємства, які успішніше залучають, розвивають і утримують таланти, отримують більше, ніж участь у цьому ключовому та рідкісному ресурсі, і значно підвищують свої результати.</w:t>
      </w:r>
    </w:p>
    <w:p w14:paraId="7CF674E9" w14:textId="78B6049B" w:rsidR="00571B42"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Подібно до відсутності стандартизованого визначення таланту, існує також тривожна відсутність ясності щодо визначення, обсягу та загальних цілей управління талантами </w:t>
      </w:r>
      <w:r>
        <w:rPr>
          <w:rFonts w:ascii="Times New Roman" w:hAnsi="Times New Roman" w:cs="Times New Roman"/>
          <w:sz w:val="28"/>
          <w:szCs w:val="28"/>
        </w:rPr>
        <w:t>[205]</w:t>
      </w:r>
      <w:r w:rsidRPr="005E7C2B">
        <w:rPr>
          <w:rFonts w:ascii="Times New Roman" w:hAnsi="Times New Roman" w:cs="Times New Roman"/>
          <w:sz w:val="28"/>
          <w:szCs w:val="28"/>
          <w:lang w:val="uk-UA"/>
        </w:rPr>
        <w:t>. Поняття управління талантами розвинулос</w:t>
      </w:r>
      <w:r>
        <w:rPr>
          <w:rFonts w:ascii="Times New Roman" w:hAnsi="Times New Roman" w:cs="Times New Roman"/>
          <w:sz w:val="28"/>
          <w:szCs w:val="28"/>
          <w:lang w:val="uk-UA"/>
        </w:rPr>
        <w:t>ь</w:t>
      </w:r>
      <w:r w:rsidRPr="005E7C2B">
        <w:rPr>
          <w:rFonts w:ascii="Times New Roman" w:hAnsi="Times New Roman" w:cs="Times New Roman"/>
          <w:sz w:val="28"/>
          <w:szCs w:val="28"/>
          <w:lang w:val="uk-UA"/>
        </w:rPr>
        <w:t xml:space="preserve"> і означало безліч видів діяльності </w:t>
      </w:r>
      <w:r>
        <w:rPr>
          <w:rFonts w:ascii="Times New Roman" w:hAnsi="Times New Roman" w:cs="Times New Roman"/>
          <w:sz w:val="28"/>
          <w:szCs w:val="28"/>
          <w:lang w:val="uk-UA"/>
        </w:rPr>
        <w:t>щодо управління людськими ресурсами</w:t>
      </w:r>
      <w:r w:rsidRPr="005E7C2B">
        <w:rPr>
          <w:rFonts w:ascii="Times New Roman" w:hAnsi="Times New Roman" w:cs="Times New Roman"/>
          <w:sz w:val="28"/>
          <w:szCs w:val="28"/>
          <w:lang w:val="uk-UA"/>
        </w:rPr>
        <w:t xml:space="preserve">, які викликали академічну суперечку на предмет того, що це таке </w:t>
      </w:r>
      <w:r>
        <w:rPr>
          <w:rFonts w:ascii="Times New Roman" w:hAnsi="Times New Roman" w:cs="Times New Roman"/>
          <w:sz w:val="28"/>
          <w:szCs w:val="28"/>
          <w:lang w:val="uk-UA"/>
        </w:rPr>
        <w:t xml:space="preserve">є </w:t>
      </w:r>
      <w:r w:rsidRPr="005E7C2B">
        <w:rPr>
          <w:rFonts w:ascii="Times New Roman" w:hAnsi="Times New Roman" w:cs="Times New Roman"/>
          <w:sz w:val="28"/>
          <w:szCs w:val="28"/>
          <w:lang w:val="uk-UA"/>
        </w:rPr>
        <w:t>насправді.</w:t>
      </w:r>
      <w:r>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Р.Е.Льюїс</w:t>
      </w:r>
      <w:proofErr w:type="spellEnd"/>
      <w:r w:rsidRPr="005E7C2B">
        <w:rPr>
          <w:rFonts w:ascii="Times New Roman" w:hAnsi="Times New Roman" w:cs="Times New Roman"/>
          <w:sz w:val="28"/>
          <w:szCs w:val="28"/>
          <w:lang w:val="uk-UA"/>
        </w:rPr>
        <w:t xml:space="preserve"> і Р. </w:t>
      </w:r>
      <w:proofErr w:type="spellStart"/>
      <w:r w:rsidRPr="005E7C2B">
        <w:rPr>
          <w:rFonts w:ascii="Times New Roman" w:hAnsi="Times New Roman" w:cs="Times New Roman"/>
          <w:sz w:val="28"/>
          <w:szCs w:val="28"/>
          <w:lang w:val="uk-UA"/>
        </w:rPr>
        <w:t>Дж</w:t>
      </w:r>
      <w:proofErr w:type="spellEnd"/>
      <w:r w:rsidRPr="005E7C2B">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Хекман</w:t>
      </w:r>
      <w:proofErr w:type="spellEnd"/>
      <w:r w:rsidRPr="005E7C2B">
        <w:rPr>
          <w:rFonts w:ascii="Times New Roman" w:hAnsi="Times New Roman" w:cs="Times New Roman"/>
          <w:sz w:val="28"/>
          <w:szCs w:val="28"/>
          <w:lang w:val="uk-UA"/>
        </w:rPr>
        <w:t xml:space="preserve"> зазначили, що аналіз управління талантами в наукових дослідженнях був у зародковому стані до 2000 року, оскільки бракувало чіткого та узгодженого визначення, а також визначення сфер застосування та концептуальної основи, які мали бути основа емпіричного до</w:t>
      </w:r>
      <w:r>
        <w:rPr>
          <w:rFonts w:ascii="Times New Roman" w:hAnsi="Times New Roman" w:cs="Times New Roman"/>
          <w:sz w:val="28"/>
          <w:szCs w:val="28"/>
          <w:lang w:val="uk-UA"/>
        </w:rPr>
        <w:t xml:space="preserve">слідження </w:t>
      </w:r>
      <w:r w:rsidRPr="005D1B01">
        <w:rPr>
          <w:rFonts w:ascii="Times New Roman" w:hAnsi="Times New Roman" w:cs="Times New Roman"/>
          <w:sz w:val="28"/>
          <w:szCs w:val="28"/>
          <w:lang w:val="uk-UA"/>
        </w:rPr>
        <w:t>[206]</w:t>
      </w:r>
      <w:r w:rsidRPr="005E7C2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 xml:space="preserve">Озираючись на попередників управління талантами, Р.Е. Льюїс і Р. </w:t>
      </w:r>
      <w:proofErr w:type="spellStart"/>
      <w:r w:rsidRPr="005E7C2B">
        <w:rPr>
          <w:rFonts w:ascii="Times New Roman" w:hAnsi="Times New Roman" w:cs="Times New Roman"/>
          <w:sz w:val="28"/>
          <w:szCs w:val="28"/>
          <w:lang w:val="uk-UA"/>
        </w:rPr>
        <w:t>Дж</w:t>
      </w:r>
      <w:proofErr w:type="spellEnd"/>
      <w:r w:rsidRPr="005E7C2B">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Хекман</w:t>
      </w:r>
      <w:proofErr w:type="spellEnd"/>
      <w:r w:rsidRPr="005E7C2B">
        <w:rPr>
          <w:rFonts w:ascii="Times New Roman" w:hAnsi="Times New Roman" w:cs="Times New Roman"/>
          <w:sz w:val="28"/>
          <w:szCs w:val="28"/>
          <w:lang w:val="uk-UA"/>
        </w:rPr>
        <w:t xml:space="preserve"> вважають, що найкращою аналогією з управлінням талантами є архітектура. Архітектура пропонує стратегічну перспективу на рівні системи та може </w:t>
      </w:r>
      <w:r w:rsidRPr="005E7C2B">
        <w:rPr>
          <w:rFonts w:ascii="Times New Roman" w:hAnsi="Times New Roman" w:cs="Times New Roman"/>
          <w:sz w:val="28"/>
          <w:szCs w:val="28"/>
          <w:lang w:val="uk-UA"/>
        </w:rPr>
        <w:lastRenderedPageBreak/>
        <w:t>відкрити нові дослідницькі можливості.</w:t>
      </w:r>
      <w:r>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Тим не менш, вони стверджують, що інші автори не змогли описати, яким чином управління талантами може трансформуватися в ар</w:t>
      </w:r>
      <w:r>
        <w:rPr>
          <w:rFonts w:ascii="Times New Roman" w:hAnsi="Times New Roman" w:cs="Times New Roman"/>
          <w:sz w:val="28"/>
          <w:szCs w:val="28"/>
          <w:lang w:val="uk-UA"/>
        </w:rPr>
        <w:t xml:space="preserve">хітектуру </w:t>
      </w:r>
      <w:r>
        <w:rPr>
          <w:rFonts w:ascii="Times New Roman" w:hAnsi="Times New Roman" w:cs="Times New Roman"/>
          <w:sz w:val="28"/>
          <w:szCs w:val="28"/>
        </w:rPr>
        <w:t>[206]</w:t>
      </w:r>
      <w:r w:rsidRPr="005E7C2B">
        <w:rPr>
          <w:rFonts w:ascii="Times New Roman" w:hAnsi="Times New Roman" w:cs="Times New Roman"/>
          <w:sz w:val="28"/>
          <w:szCs w:val="28"/>
          <w:lang w:val="uk-UA"/>
        </w:rPr>
        <w:t xml:space="preserve">. </w:t>
      </w:r>
    </w:p>
    <w:p w14:paraId="15F00290" w14:textId="79DBA85D" w:rsidR="00571B42" w:rsidRPr="001E25BE" w:rsidRDefault="00571B42" w:rsidP="00571B42">
      <w:pPr>
        <w:spacing w:after="0" w:line="360" w:lineRule="auto"/>
        <w:ind w:firstLine="720"/>
        <w:jc w:val="both"/>
        <w:rPr>
          <w:rFonts w:ascii="Times New Roman" w:hAnsi="Times New Roman" w:cs="Times New Roman"/>
          <w:sz w:val="28"/>
          <w:szCs w:val="28"/>
        </w:rPr>
      </w:pPr>
      <w:r w:rsidRPr="005E7C2B">
        <w:rPr>
          <w:rFonts w:ascii="Times New Roman" w:hAnsi="Times New Roman" w:cs="Times New Roman"/>
          <w:sz w:val="28"/>
          <w:szCs w:val="28"/>
          <w:lang w:val="uk-UA"/>
        </w:rPr>
        <w:t xml:space="preserve">Таке визначення менеджменту талантів підтвердив і Д.Г. </w:t>
      </w:r>
      <w:proofErr w:type="spellStart"/>
      <w:r w:rsidRPr="005E7C2B">
        <w:rPr>
          <w:rFonts w:ascii="Times New Roman" w:hAnsi="Times New Roman" w:cs="Times New Roman"/>
          <w:sz w:val="28"/>
          <w:szCs w:val="28"/>
          <w:lang w:val="uk-UA"/>
        </w:rPr>
        <w:t>Коллінгс</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К.Меллахі</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[207]</w:t>
      </w:r>
      <w:r w:rsidRPr="005E7C2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 xml:space="preserve">Однак через кілька років Д.Г. Цього разу </w:t>
      </w:r>
      <w:proofErr w:type="spellStart"/>
      <w:r w:rsidRPr="005E7C2B">
        <w:rPr>
          <w:rFonts w:ascii="Times New Roman" w:hAnsi="Times New Roman" w:cs="Times New Roman"/>
          <w:sz w:val="28"/>
          <w:szCs w:val="28"/>
          <w:lang w:val="uk-UA"/>
        </w:rPr>
        <w:t>Коллінгс</w:t>
      </w:r>
      <w:proofErr w:type="spellEnd"/>
      <w:r w:rsidRPr="005E7C2B">
        <w:rPr>
          <w:rFonts w:ascii="Times New Roman" w:hAnsi="Times New Roman" w:cs="Times New Roman"/>
          <w:sz w:val="28"/>
          <w:szCs w:val="28"/>
          <w:lang w:val="uk-UA"/>
        </w:rPr>
        <w:t xml:space="preserve"> разом із Г. </w:t>
      </w:r>
      <w:proofErr w:type="spellStart"/>
      <w:r w:rsidRPr="005E7C2B">
        <w:rPr>
          <w:rFonts w:ascii="Times New Roman" w:hAnsi="Times New Roman" w:cs="Times New Roman"/>
          <w:sz w:val="28"/>
          <w:szCs w:val="28"/>
          <w:lang w:val="uk-UA"/>
        </w:rPr>
        <w:t>Скалліоном</w:t>
      </w:r>
      <w:proofErr w:type="spellEnd"/>
      <w:r w:rsidRPr="005E7C2B">
        <w:rPr>
          <w:rFonts w:ascii="Times New Roman" w:hAnsi="Times New Roman" w:cs="Times New Roman"/>
          <w:sz w:val="28"/>
          <w:szCs w:val="28"/>
          <w:lang w:val="uk-UA"/>
        </w:rPr>
        <w:t xml:space="preserve"> та В. </w:t>
      </w:r>
      <w:proofErr w:type="spellStart"/>
      <w:r w:rsidRPr="005E7C2B">
        <w:rPr>
          <w:rFonts w:ascii="Times New Roman" w:hAnsi="Times New Roman" w:cs="Times New Roman"/>
          <w:sz w:val="28"/>
          <w:szCs w:val="28"/>
          <w:lang w:val="uk-UA"/>
        </w:rPr>
        <w:t>Вайманом</w:t>
      </w:r>
      <w:proofErr w:type="spellEnd"/>
      <w:r w:rsidRPr="005E7C2B">
        <w:rPr>
          <w:rFonts w:ascii="Times New Roman" w:hAnsi="Times New Roman" w:cs="Times New Roman"/>
          <w:sz w:val="28"/>
          <w:szCs w:val="28"/>
          <w:lang w:val="uk-UA"/>
        </w:rPr>
        <w:t xml:space="preserve"> представили результати дослідження, які показали, що управління талантами перемістилося з </w:t>
      </w:r>
      <w:r>
        <w:rPr>
          <w:rFonts w:ascii="Times New Roman" w:hAnsi="Times New Roman" w:cs="Times New Roman"/>
          <w:sz w:val="28"/>
          <w:szCs w:val="28"/>
          <w:lang w:val="uk-UA"/>
        </w:rPr>
        <w:t xml:space="preserve">дитинства до підліткового віку </w:t>
      </w:r>
      <w:r>
        <w:rPr>
          <w:rFonts w:ascii="Times New Roman" w:hAnsi="Times New Roman" w:cs="Times New Roman"/>
          <w:sz w:val="28"/>
          <w:szCs w:val="28"/>
        </w:rPr>
        <w:t>[208]</w:t>
      </w:r>
      <w:r w:rsidRPr="005E7C2B">
        <w:rPr>
          <w:rFonts w:ascii="Times New Roman" w:hAnsi="Times New Roman" w:cs="Times New Roman"/>
          <w:sz w:val="28"/>
          <w:szCs w:val="28"/>
          <w:lang w:val="uk-UA"/>
        </w:rPr>
        <w:t>, особливо з точки зору внес</w:t>
      </w:r>
      <w:r>
        <w:rPr>
          <w:rFonts w:ascii="Times New Roman" w:hAnsi="Times New Roman" w:cs="Times New Roman"/>
          <w:sz w:val="28"/>
          <w:szCs w:val="28"/>
          <w:lang w:val="uk-UA"/>
        </w:rPr>
        <w:t>ку</w:t>
      </w:r>
      <w:r w:rsidRPr="005E7C2B">
        <w:rPr>
          <w:rFonts w:ascii="Times New Roman" w:hAnsi="Times New Roman" w:cs="Times New Roman"/>
          <w:sz w:val="28"/>
          <w:szCs w:val="28"/>
          <w:lang w:val="uk-UA"/>
        </w:rPr>
        <w:t xml:space="preserve"> американських дослідників проблемного питання </w:t>
      </w:r>
      <w:r>
        <w:rPr>
          <w:rFonts w:ascii="Times New Roman" w:hAnsi="Times New Roman" w:cs="Times New Roman"/>
          <w:sz w:val="28"/>
          <w:szCs w:val="28"/>
          <w:lang w:val="uk-UA"/>
        </w:rPr>
        <w:t>управління талантами</w:t>
      </w:r>
      <w:r w:rsidRPr="005E7C2B">
        <w:rPr>
          <w:rFonts w:ascii="Times New Roman" w:hAnsi="Times New Roman" w:cs="Times New Roman"/>
          <w:sz w:val="28"/>
          <w:szCs w:val="28"/>
          <w:lang w:val="uk-UA"/>
        </w:rPr>
        <w:t xml:space="preserve">. Крім того, М. Пауелл і Г. </w:t>
      </w:r>
      <w:proofErr w:type="spellStart"/>
      <w:r w:rsidRPr="005E7C2B">
        <w:rPr>
          <w:rFonts w:ascii="Times New Roman" w:hAnsi="Times New Roman" w:cs="Times New Roman"/>
          <w:sz w:val="28"/>
          <w:szCs w:val="28"/>
          <w:lang w:val="uk-UA"/>
        </w:rPr>
        <w:t>Лубітш</w:t>
      </w:r>
      <w:proofErr w:type="spellEnd"/>
      <w:r w:rsidRPr="005E7C2B">
        <w:rPr>
          <w:rFonts w:ascii="Times New Roman" w:hAnsi="Times New Roman" w:cs="Times New Roman"/>
          <w:sz w:val="28"/>
          <w:szCs w:val="28"/>
          <w:lang w:val="uk-UA"/>
        </w:rPr>
        <w:t xml:space="preserve"> представили свою діагностику процесів управління талантами в приватному секторі та на міжнародних підприємствах на основі підходу </w:t>
      </w:r>
      <w:proofErr w:type="spellStart"/>
      <w:r w:rsidRPr="005E7C2B">
        <w:rPr>
          <w:rFonts w:ascii="Times New Roman" w:hAnsi="Times New Roman" w:cs="Times New Roman"/>
          <w:sz w:val="28"/>
          <w:szCs w:val="28"/>
          <w:lang w:val="uk-UA"/>
        </w:rPr>
        <w:t>Коллінгс</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xml:space="preserve"> та ін. </w:t>
      </w:r>
      <w:r>
        <w:rPr>
          <w:rFonts w:ascii="Times New Roman" w:hAnsi="Times New Roman" w:cs="Times New Roman"/>
          <w:sz w:val="28"/>
          <w:szCs w:val="28"/>
        </w:rPr>
        <w:t>[209].</w:t>
      </w:r>
    </w:p>
    <w:p w14:paraId="339F01CA" w14:textId="7AD6F3F0"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Дослідження, проведені П. </w:t>
      </w:r>
      <w:proofErr w:type="spellStart"/>
      <w:r w:rsidRPr="005E7C2B">
        <w:rPr>
          <w:rFonts w:ascii="Times New Roman" w:hAnsi="Times New Roman" w:cs="Times New Roman"/>
          <w:sz w:val="28"/>
          <w:szCs w:val="28"/>
          <w:lang w:val="uk-UA"/>
        </w:rPr>
        <w:t>Бетке-Лангенеггером</w:t>
      </w:r>
      <w:proofErr w:type="spellEnd"/>
      <w:r w:rsidRPr="005E7C2B">
        <w:rPr>
          <w:rFonts w:ascii="Times New Roman" w:hAnsi="Times New Roman" w:cs="Times New Roman"/>
          <w:sz w:val="28"/>
          <w:szCs w:val="28"/>
          <w:lang w:val="uk-UA"/>
        </w:rPr>
        <w:t xml:space="preserve">, П. </w:t>
      </w:r>
      <w:proofErr w:type="spellStart"/>
      <w:r w:rsidRPr="005E7C2B">
        <w:rPr>
          <w:rFonts w:ascii="Times New Roman" w:hAnsi="Times New Roman" w:cs="Times New Roman"/>
          <w:sz w:val="28"/>
          <w:szCs w:val="28"/>
          <w:lang w:val="uk-UA"/>
        </w:rPr>
        <w:t>Малером</w:t>
      </w:r>
      <w:proofErr w:type="spellEnd"/>
      <w:r w:rsidRPr="005E7C2B">
        <w:rPr>
          <w:rFonts w:ascii="Times New Roman" w:hAnsi="Times New Roman" w:cs="Times New Roman"/>
          <w:sz w:val="28"/>
          <w:szCs w:val="28"/>
          <w:lang w:val="uk-UA"/>
        </w:rPr>
        <w:t xml:space="preserve"> і </w:t>
      </w:r>
      <w:proofErr w:type="spellStart"/>
      <w:r w:rsidRPr="005E7C2B">
        <w:rPr>
          <w:rFonts w:ascii="Times New Roman" w:hAnsi="Times New Roman" w:cs="Times New Roman"/>
          <w:sz w:val="28"/>
          <w:szCs w:val="28"/>
          <w:lang w:val="uk-UA"/>
        </w:rPr>
        <w:t>Б.Стаффельбахом</w:t>
      </w:r>
      <w:proofErr w:type="spellEnd"/>
      <w:r w:rsidRPr="005E7C2B">
        <w:rPr>
          <w:rFonts w:ascii="Times New Roman" w:hAnsi="Times New Roman" w:cs="Times New Roman"/>
          <w:sz w:val="28"/>
          <w:szCs w:val="28"/>
          <w:lang w:val="uk-UA"/>
        </w:rPr>
        <w:t>, підтвердили теорію про те, що практики управління талантами, проведені на основі статистичного підходу, мали значно більший вплив на привабливість підприємств</w:t>
      </w:r>
      <w:r>
        <w:rPr>
          <w:rFonts w:ascii="Times New Roman" w:hAnsi="Times New Roman" w:cs="Times New Roman"/>
          <w:sz w:val="28"/>
          <w:szCs w:val="28"/>
          <w:lang w:val="uk-UA"/>
        </w:rPr>
        <w:t>, досягнення поставлених цілей</w:t>
      </w:r>
      <w:r w:rsidRPr="005E7C2B">
        <w:rPr>
          <w:rFonts w:ascii="Times New Roman" w:hAnsi="Times New Roman" w:cs="Times New Roman"/>
          <w:sz w:val="28"/>
          <w:szCs w:val="28"/>
          <w:lang w:val="uk-UA"/>
        </w:rPr>
        <w:t xml:space="preserve">, задоволеності клієнтів і корпоративних прибутків. Крім того, дослідження показало, що підприємства, які застосовують стратегії управління талантами, зосереджуються на плануванні спадкоємності, отримують більший корпоративний прибуток, а також вищий рівень довіри та мотивації для досягнення результату </w:t>
      </w:r>
      <w:r w:rsidRPr="005D1B01">
        <w:rPr>
          <w:rFonts w:ascii="Times New Roman" w:hAnsi="Times New Roman" w:cs="Times New Roman"/>
          <w:sz w:val="28"/>
          <w:szCs w:val="28"/>
          <w:lang w:val="uk-UA"/>
        </w:rPr>
        <w:t>[210]</w:t>
      </w:r>
      <w:r w:rsidRPr="005E7C2B">
        <w:rPr>
          <w:rFonts w:ascii="Times New Roman" w:hAnsi="Times New Roman" w:cs="Times New Roman"/>
          <w:sz w:val="28"/>
          <w:szCs w:val="28"/>
          <w:lang w:val="uk-UA"/>
        </w:rPr>
        <w:t>.</w:t>
      </w:r>
    </w:p>
    <w:p w14:paraId="7614740D"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Так само, як і його попередники, П. </w:t>
      </w:r>
      <w:proofErr w:type="spellStart"/>
      <w:r w:rsidRPr="005E7C2B">
        <w:rPr>
          <w:rFonts w:ascii="Times New Roman" w:hAnsi="Times New Roman" w:cs="Times New Roman"/>
          <w:sz w:val="28"/>
          <w:szCs w:val="28"/>
          <w:lang w:val="uk-UA"/>
        </w:rPr>
        <w:t>Каппеллі</w:t>
      </w:r>
      <w:proofErr w:type="spellEnd"/>
      <w:r w:rsidRPr="005E7C2B">
        <w:rPr>
          <w:rFonts w:ascii="Times New Roman" w:hAnsi="Times New Roman" w:cs="Times New Roman"/>
          <w:sz w:val="28"/>
          <w:szCs w:val="28"/>
          <w:lang w:val="uk-UA"/>
        </w:rPr>
        <w:t xml:space="preserve"> визнач</w:t>
      </w:r>
      <w:r>
        <w:rPr>
          <w:rFonts w:ascii="Times New Roman" w:hAnsi="Times New Roman" w:cs="Times New Roman"/>
          <w:sz w:val="28"/>
          <w:szCs w:val="28"/>
          <w:lang w:val="uk-UA"/>
        </w:rPr>
        <w:t>ив</w:t>
      </w:r>
      <w:r w:rsidRPr="005E7C2B">
        <w:rPr>
          <w:rFonts w:ascii="Times New Roman" w:hAnsi="Times New Roman" w:cs="Times New Roman"/>
          <w:sz w:val="28"/>
          <w:szCs w:val="28"/>
          <w:lang w:val="uk-UA"/>
        </w:rPr>
        <w:t xml:space="preserve"> управління талантами через призму поняття людського капіталу. Управління талантами </w:t>
      </w: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це інструмент для досягнення підприємствами своїх загальних цілей, а саме заробітку грошей. Організації повинні розуміти витрати та вигоди, які випливають із рішення про впровадження процедур управління талантами в практиці їх</w:t>
      </w:r>
      <w:r>
        <w:rPr>
          <w:rFonts w:ascii="Times New Roman" w:hAnsi="Times New Roman" w:cs="Times New Roman"/>
          <w:sz w:val="28"/>
          <w:szCs w:val="28"/>
          <w:lang w:val="uk-UA"/>
        </w:rPr>
        <w:t xml:space="preserve"> функціонування </w:t>
      </w:r>
      <w:r w:rsidRPr="005D1B01">
        <w:rPr>
          <w:rFonts w:ascii="Times New Roman" w:hAnsi="Times New Roman" w:cs="Times New Roman"/>
          <w:sz w:val="28"/>
          <w:szCs w:val="28"/>
          <w:lang w:val="uk-UA"/>
        </w:rPr>
        <w:t>[211]</w:t>
      </w:r>
      <w:r w:rsidRPr="005E7C2B">
        <w:rPr>
          <w:rFonts w:ascii="Times New Roman" w:hAnsi="Times New Roman" w:cs="Times New Roman"/>
          <w:sz w:val="28"/>
          <w:szCs w:val="28"/>
          <w:lang w:val="uk-UA"/>
        </w:rPr>
        <w:t>.</w:t>
      </w:r>
    </w:p>
    <w:p w14:paraId="09B5167B"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Визначаючи менеджмент талантів, Е. </w:t>
      </w:r>
      <w:proofErr w:type="spellStart"/>
      <w:r w:rsidRPr="005E7C2B">
        <w:rPr>
          <w:rFonts w:ascii="Times New Roman" w:hAnsi="Times New Roman" w:cs="Times New Roman"/>
          <w:sz w:val="28"/>
          <w:szCs w:val="28"/>
          <w:lang w:val="uk-UA"/>
        </w:rPr>
        <w:t>Бласс</w:t>
      </w:r>
      <w:proofErr w:type="spellEnd"/>
      <w:r w:rsidRPr="005E7C2B">
        <w:rPr>
          <w:rFonts w:ascii="Times New Roman" w:hAnsi="Times New Roman" w:cs="Times New Roman"/>
          <w:sz w:val="28"/>
          <w:szCs w:val="28"/>
          <w:lang w:val="uk-UA"/>
        </w:rPr>
        <w:t xml:space="preserve"> вказує на залежність так званого «захоплення» між стратегією, плануванням спадкоємності та управлінням людськими ресурсами насамперед на основі стратегій розвитку, </w:t>
      </w:r>
      <w:r w:rsidRPr="005E7C2B">
        <w:rPr>
          <w:rFonts w:ascii="Times New Roman" w:hAnsi="Times New Roman" w:cs="Times New Roman"/>
          <w:sz w:val="28"/>
          <w:szCs w:val="28"/>
          <w:lang w:val="uk-UA"/>
        </w:rPr>
        <w:lastRenderedPageBreak/>
        <w:t>стратегій найму та утримання, а також стратегій винагород</w:t>
      </w:r>
      <w:r>
        <w:rPr>
          <w:rFonts w:ascii="Times New Roman" w:hAnsi="Times New Roman" w:cs="Times New Roman"/>
          <w:sz w:val="28"/>
          <w:szCs w:val="28"/>
          <w:lang w:val="uk-UA"/>
        </w:rPr>
        <w:t>и</w:t>
      </w:r>
      <w:r w:rsidRPr="005E7C2B">
        <w:rPr>
          <w:rFonts w:ascii="Times New Roman" w:hAnsi="Times New Roman" w:cs="Times New Roman"/>
          <w:sz w:val="28"/>
          <w:szCs w:val="28"/>
          <w:lang w:val="uk-UA"/>
        </w:rPr>
        <w:t>, що підтримується базою даних, моніторинг</w:t>
      </w:r>
      <w:r>
        <w:rPr>
          <w:rFonts w:ascii="Times New Roman" w:hAnsi="Times New Roman" w:cs="Times New Roman"/>
          <w:sz w:val="28"/>
          <w:szCs w:val="28"/>
          <w:lang w:val="uk-UA"/>
        </w:rPr>
        <w:t xml:space="preserve">ом і вимірюваннями </w:t>
      </w:r>
      <w:r w:rsidRPr="005D1B01">
        <w:rPr>
          <w:rFonts w:ascii="Times New Roman" w:hAnsi="Times New Roman" w:cs="Times New Roman"/>
          <w:sz w:val="28"/>
          <w:szCs w:val="28"/>
          <w:lang w:val="uk-UA"/>
        </w:rPr>
        <w:t>[212]</w:t>
      </w:r>
      <w:r w:rsidRPr="005E7C2B">
        <w:rPr>
          <w:rFonts w:ascii="Times New Roman" w:hAnsi="Times New Roman" w:cs="Times New Roman"/>
          <w:sz w:val="28"/>
          <w:szCs w:val="28"/>
          <w:lang w:val="uk-UA"/>
        </w:rPr>
        <w:t>.</w:t>
      </w:r>
    </w:p>
    <w:p w14:paraId="032C14A0" w14:textId="2BEF82C3"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Аналізуючи управління талантами виключно в контексті організації, деякі вчені стверджують, що метою управління талантами є залучення, розвиток, мотивація та утримання талантів (</w:t>
      </w:r>
      <w:r w:rsidR="00E82D76">
        <w:rPr>
          <w:rFonts w:ascii="Times New Roman" w:hAnsi="Times New Roman" w:cs="Times New Roman"/>
          <w:sz w:val="28"/>
          <w:szCs w:val="28"/>
          <w:lang w:val="uk-UA"/>
        </w:rPr>
        <w:t xml:space="preserve">С. </w:t>
      </w:r>
      <w:proofErr w:type="spellStart"/>
      <w:r w:rsidRPr="0039438B">
        <w:rPr>
          <w:rFonts w:ascii="Times New Roman" w:hAnsi="Times New Roman" w:cs="Times New Roman"/>
          <w:sz w:val="28"/>
          <w:szCs w:val="28"/>
          <w:lang w:val="uk-UA"/>
        </w:rPr>
        <w:t>МакКолі</w:t>
      </w:r>
      <w:proofErr w:type="spellEnd"/>
      <w:r>
        <w:rPr>
          <w:rFonts w:ascii="Times New Roman" w:hAnsi="Times New Roman" w:cs="Times New Roman"/>
          <w:sz w:val="28"/>
          <w:szCs w:val="28"/>
          <w:lang w:val="uk-UA"/>
        </w:rPr>
        <w:t xml:space="preserve"> та</w:t>
      </w:r>
      <w:r w:rsidRPr="0039438B">
        <w:rPr>
          <w:rFonts w:ascii="Times New Roman" w:hAnsi="Times New Roman" w:cs="Times New Roman"/>
          <w:sz w:val="28"/>
          <w:szCs w:val="28"/>
          <w:lang w:val="uk-UA"/>
        </w:rPr>
        <w:t xml:space="preserve"> </w:t>
      </w:r>
      <w:r w:rsidR="00E82D76">
        <w:rPr>
          <w:rFonts w:ascii="Times New Roman" w:hAnsi="Times New Roman" w:cs="Times New Roman"/>
          <w:sz w:val="28"/>
          <w:szCs w:val="28"/>
          <w:lang w:val="uk-UA"/>
        </w:rPr>
        <w:t xml:space="preserve">М. </w:t>
      </w:r>
      <w:proofErr w:type="spellStart"/>
      <w:r>
        <w:rPr>
          <w:rFonts w:ascii="Times New Roman" w:hAnsi="Times New Roman" w:cs="Times New Roman"/>
          <w:sz w:val="28"/>
          <w:szCs w:val="28"/>
          <w:lang w:val="uk-UA"/>
        </w:rPr>
        <w:t>Вейкфілд</w:t>
      </w:r>
      <w:proofErr w:type="spellEnd"/>
      <w:r w:rsidRPr="0039438B">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[213],</w:t>
      </w:r>
      <w:r w:rsidRPr="005E7C2B">
        <w:rPr>
          <w:rFonts w:ascii="Times New Roman" w:hAnsi="Times New Roman" w:cs="Times New Roman"/>
          <w:sz w:val="28"/>
          <w:szCs w:val="28"/>
          <w:lang w:val="uk-UA"/>
        </w:rPr>
        <w:t xml:space="preserve"> </w:t>
      </w:r>
      <w:r w:rsidR="00E82D76">
        <w:rPr>
          <w:rFonts w:ascii="Times New Roman" w:hAnsi="Times New Roman" w:cs="Times New Roman"/>
          <w:sz w:val="28"/>
          <w:szCs w:val="28"/>
          <w:lang w:val="uk-UA"/>
        </w:rPr>
        <w:t xml:space="preserve">Д. </w:t>
      </w:r>
      <w:proofErr w:type="spellStart"/>
      <w:r>
        <w:rPr>
          <w:rFonts w:ascii="Times New Roman" w:hAnsi="Times New Roman" w:cs="Times New Roman"/>
          <w:sz w:val="28"/>
          <w:szCs w:val="28"/>
          <w:lang w:val="uk-UA"/>
        </w:rPr>
        <w:t>Реді</w:t>
      </w:r>
      <w:proofErr w:type="spellEnd"/>
      <w:r>
        <w:rPr>
          <w:rFonts w:ascii="Times New Roman" w:hAnsi="Times New Roman" w:cs="Times New Roman"/>
          <w:sz w:val="28"/>
          <w:szCs w:val="28"/>
          <w:lang w:val="uk-UA"/>
        </w:rPr>
        <w:t xml:space="preserve"> та</w:t>
      </w:r>
      <w:r w:rsidRPr="0039438B">
        <w:rPr>
          <w:rFonts w:ascii="Times New Roman" w:hAnsi="Times New Roman" w:cs="Times New Roman"/>
          <w:sz w:val="28"/>
          <w:szCs w:val="28"/>
          <w:lang w:val="uk-UA"/>
        </w:rPr>
        <w:t xml:space="preserve"> </w:t>
      </w:r>
      <w:proofErr w:type="spellStart"/>
      <w:r w:rsidR="00E82D76">
        <w:rPr>
          <w:rFonts w:ascii="Times New Roman" w:hAnsi="Times New Roman" w:cs="Times New Roman"/>
          <w:sz w:val="28"/>
          <w:szCs w:val="28"/>
          <w:lang w:val="uk-UA"/>
        </w:rPr>
        <w:t>Дж</w:t>
      </w:r>
      <w:proofErr w:type="spellEnd"/>
      <w:r w:rsidR="00E82D76">
        <w:rPr>
          <w:rFonts w:ascii="Times New Roman" w:hAnsi="Times New Roman" w:cs="Times New Roman"/>
          <w:sz w:val="28"/>
          <w:szCs w:val="28"/>
          <w:lang w:val="uk-UA"/>
        </w:rPr>
        <w:t xml:space="preserve">. </w:t>
      </w:r>
      <w:proofErr w:type="spellStart"/>
      <w:r w:rsidRPr="0039438B">
        <w:rPr>
          <w:rFonts w:ascii="Times New Roman" w:hAnsi="Times New Roman" w:cs="Times New Roman"/>
          <w:sz w:val="28"/>
          <w:szCs w:val="28"/>
          <w:lang w:val="uk-UA"/>
        </w:rPr>
        <w:t>Конгер</w:t>
      </w:r>
      <w:proofErr w:type="spellEnd"/>
      <w:r>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[214],</w:t>
      </w:r>
      <w:r>
        <w:rPr>
          <w:rFonts w:ascii="Times New Roman" w:hAnsi="Times New Roman" w:cs="Times New Roman"/>
          <w:sz w:val="28"/>
          <w:szCs w:val="28"/>
          <w:lang w:val="uk-UA"/>
        </w:rPr>
        <w:t xml:space="preserve"> </w:t>
      </w:r>
      <w:r w:rsidR="00E82D76">
        <w:rPr>
          <w:rFonts w:ascii="Times New Roman" w:hAnsi="Times New Roman" w:cs="Times New Roman"/>
          <w:sz w:val="28"/>
          <w:szCs w:val="28"/>
          <w:lang w:val="uk-UA"/>
        </w:rPr>
        <w:t xml:space="preserve">Х. </w:t>
      </w:r>
      <w:proofErr w:type="spellStart"/>
      <w:r w:rsidR="00E82D76">
        <w:rPr>
          <w:rFonts w:ascii="Times New Roman" w:hAnsi="Times New Roman" w:cs="Times New Roman"/>
          <w:sz w:val="28"/>
          <w:szCs w:val="28"/>
          <w:lang w:val="uk-UA"/>
        </w:rPr>
        <w:t>Дж</w:t>
      </w:r>
      <w:proofErr w:type="spellEnd"/>
      <w:r w:rsidR="00E82D76">
        <w:rPr>
          <w:rFonts w:ascii="Times New Roman" w:hAnsi="Times New Roman" w:cs="Times New Roman"/>
          <w:sz w:val="28"/>
          <w:szCs w:val="28"/>
          <w:lang w:val="uk-UA"/>
        </w:rPr>
        <w:t xml:space="preserve">. </w:t>
      </w:r>
      <w:proofErr w:type="spellStart"/>
      <w:r w:rsidRPr="00B17402">
        <w:rPr>
          <w:rFonts w:ascii="Times New Roman" w:hAnsi="Times New Roman" w:cs="Times New Roman"/>
          <w:sz w:val="28"/>
          <w:szCs w:val="28"/>
          <w:lang w:val="uk-UA"/>
        </w:rPr>
        <w:t>Крістенсен</w:t>
      </w:r>
      <w:proofErr w:type="spellEnd"/>
      <w:r w:rsidRPr="005D1B01">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B17402">
        <w:rPr>
          <w:rFonts w:ascii="Times New Roman" w:hAnsi="Times New Roman" w:cs="Times New Roman"/>
          <w:sz w:val="28"/>
          <w:szCs w:val="28"/>
          <w:lang w:val="uk-UA"/>
        </w:rPr>
        <w:t xml:space="preserve"> </w:t>
      </w:r>
      <w:r w:rsidR="00E82D76">
        <w:rPr>
          <w:rFonts w:ascii="Times New Roman" w:hAnsi="Times New Roman" w:cs="Times New Roman"/>
          <w:sz w:val="28"/>
          <w:szCs w:val="28"/>
          <w:lang w:val="uk-UA"/>
        </w:rPr>
        <w:t xml:space="preserve">Е. </w:t>
      </w:r>
      <w:proofErr w:type="spellStart"/>
      <w:r w:rsidRPr="00B17402">
        <w:rPr>
          <w:rFonts w:ascii="Times New Roman" w:hAnsi="Times New Roman" w:cs="Times New Roman"/>
          <w:sz w:val="28"/>
          <w:szCs w:val="28"/>
          <w:lang w:val="uk-UA"/>
        </w:rPr>
        <w:t>Рог</w:t>
      </w:r>
      <w:proofErr w:type="spellEnd"/>
      <w:r w:rsidRPr="00B17402">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[215],</w:t>
      </w:r>
      <w:r>
        <w:rPr>
          <w:rFonts w:ascii="Times New Roman" w:hAnsi="Times New Roman" w:cs="Times New Roman"/>
          <w:sz w:val="28"/>
          <w:szCs w:val="28"/>
          <w:lang w:val="uk-UA"/>
        </w:rPr>
        <w:t xml:space="preserve"> </w:t>
      </w:r>
      <w:r w:rsidR="00E82D76">
        <w:rPr>
          <w:rFonts w:ascii="Times New Roman" w:hAnsi="Times New Roman" w:cs="Times New Roman"/>
          <w:sz w:val="28"/>
          <w:szCs w:val="28"/>
          <w:lang w:val="uk-UA"/>
        </w:rPr>
        <w:t xml:space="preserve">С. </w:t>
      </w:r>
      <w:proofErr w:type="spellStart"/>
      <w:r>
        <w:rPr>
          <w:rFonts w:ascii="Times New Roman" w:hAnsi="Times New Roman" w:cs="Times New Roman"/>
          <w:sz w:val="28"/>
          <w:szCs w:val="28"/>
          <w:lang w:val="uk-UA"/>
        </w:rPr>
        <w:t>Бічлер</w:t>
      </w:r>
      <w:proofErr w:type="spellEnd"/>
      <w:r>
        <w:rPr>
          <w:rFonts w:ascii="Times New Roman" w:hAnsi="Times New Roman" w:cs="Times New Roman"/>
          <w:sz w:val="28"/>
          <w:szCs w:val="28"/>
          <w:lang w:val="uk-UA"/>
        </w:rPr>
        <w:t xml:space="preserve"> та</w:t>
      </w:r>
      <w:r w:rsidRPr="00B17402">
        <w:rPr>
          <w:rFonts w:ascii="Times New Roman" w:hAnsi="Times New Roman" w:cs="Times New Roman"/>
          <w:sz w:val="28"/>
          <w:szCs w:val="28"/>
          <w:lang w:val="uk-UA"/>
        </w:rPr>
        <w:t xml:space="preserve"> </w:t>
      </w:r>
      <w:r w:rsidR="00E82D76">
        <w:rPr>
          <w:rFonts w:ascii="Times New Roman" w:hAnsi="Times New Roman" w:cs="Times New Roman"/>
          <w:sz w:val="28"/>
          <w:szCs w:val="28"/>
          <w:lang w:val="uk-UA"/>
        </w:rPr>
        <w:t xml:space="preserve">І. </w:t>
      </w:r>
      <w:proofErr w:type="spellStart"/>
      <w:r w:rsidRPr="00B17402">
        <w:rPr>
          <w:rFonts w:ascii="Times New Roman" w:hAnsi="Times New Roman" w:cs="Times New Roman"/>
          <w:sz w:val="28"/>
          <w:szCs w:val="28"/>
          <w:lang w:val="uk-UA"/>
        </w:rPr>
        <w:t>Вудворд</w:t>
      </w:r>
      <w:proofErr w:type="spellEnd"/>
      <w:r w:rsidRPr="00B17402">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[216]</w:t>
      </w:r>
      <w:r>
        <w:rPr>
          <w:rFonts w:ascii="Times New Roman" w:hAnsi="Times New Roman" w:cs="Times New Roman"/>
          <w:sz w:val="28"/>
          <w:szCs w:val="28"/>
          <w:lang w:val="uk-UA"/>
        </w:rPr>
        <w:t xml:space="preserve">, </w:t>
      </w:r>
      <w:r w:rsidR="00E82D76">
        <w:rPr>
          <w:rFonts w:ascii="Times New Roman" w:hAnsi="Times New Roman" w:cs="Times New Roman"/>
          <w:sz w:val="28"/>
          <w:szCs w:val="28"/>
          <w:lang w:val="uk-UA"/>
        </w:rPr>
        <w:t xml:space="preserve">Б. </w:t>
      </w:r>
      <w:proofErr w:type="spellStart"/>
      <w:r w:rsidRPr="008D1060">
        <w:rPr>
          <w:rFonts w:ascii="Times New Roman" w:hAnsi="Times New Roman" w:cs="Times New Roman"/>
          <w:sz w:val="28"/>
          <w:szCs w:val="28"/>
          <w:lang w:val="uk-UA"/>
        </w:rPr>
        <w:t>Девіс</w:t>
      </w:r>
      <w:proofErr w:type="spellEnd"/>
      <w:r w:rsidRPr="008D1060">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[185],</w:t>
      </w:r>
      <w:r w:rsidRPr="005E7C2B">
        <w:rPr>
          <w:rFonts w:ascii="Times New Roman" w:hAnsi="Times New Roman" w:cs="Times New Roman"/>
          <w:sz w:val="28"/>
          <w:szCs w:val="28"/>
          <w:lang w:val="uk-UA"/>
        </w:rPr>
        <w:t xml:space="preserve"> </w:t>
      </w:r>
      <w:r w:rsidR="00E82D76">
        <w:rPr>
          <w:rFonts w:ascii="Times New Roman" w:hAnsi="Times New Roman" w:cs="Times New Roman"/>
          <w:sz w:val="28"/>
          <w:szCs w:val="28"/>
          <w:lang w:val="uk-UA"/>
        </w:rPr>
        <w:t xml:space="preserve">М. К. </w:t>
      </w:r>
      <w:proofErr w:type="spellStart"/>
      <w:r w:rsidRPr="008D1060">
        <w:rPr>
          <w:rFonts w:ascii="Times New Roman" w:hAnsi="Times New Roman" w:cs="Times New Roman"/>
          <w:sz w:val="28"/>
          <w:szCs w:val="28"/>
          <w:lang w:val="uk-UA"/>
        </w:rPr>
        <w:t>Мейерс</w:t>
      </w:r>
      <w:proofErr w:type="spellEnd"/>
      <w:r w:rsidRPr="008D1060">
        <w:rPr>
          <w:rFonts w:ascii="Times New Roman" w:hAnsi="Times New Roman" w:cs="Times New Roman"/>
          <w:sz w:val="28"/>
          <w:szCs w:val="28"/>
          <w:lang w:val="uk-UA"/>
        </w:rPr>
        <w:t xml:space="preserve">, </w:t>
      </w:r>
      <w:r w:rsidR="00E82D76">
        <w:rPr>
          <w:rFonts w:ascii="Times New Roman" w:hAnsi="Times New Roman" w:cs="Times New Roman"/>
          <w:sz w:val="28"/>
          <w:szCs w:val="28"/>
          <w:lang w:val="uk-UA"/>
        </w:rPr>
        <w:t xml:space="preserve">М. </w:t>
      </w:r>
      <w:r w:rsidRPr="008D1060">
        <w:rPr>
          <w:rFonts w:ascii="Times New Roman" w:hAnsi="Times New Roman" w:cs="Times New Roman"/>
          <w:sz w:val="28"/>
          <w:szCs w:val="28"/>
          <w:lang w:val="uk-UA"/>
        </w:rPr>
        <w:t xml:space="preserve">ван </w:t>
      </w:r>
      <w:proofErr w:type="spellStart"/>
      <w:r w:rsidRPr="008D1060">
        <w:rPr>
          <w:rFonts w:ascii="Times New Roman" w:hAnsi="Times New Roman" w:cs="Times New Roman"/>
          <w:sz w:val="28"/>
          <w:szCs w:val="28"/>
          <w:lang w:val="uk-UA"/>
        </w:rPr>
        <w:t>Воерком</w:t>
      </w:r>
      <w:proofErr w:type="spellEnd"/>
      <w:r w:rsidRPr="008D1060">
        <w:rPr>
          <w:rFonts w:ascii="Times New Roman" w:hAnsi="Times New Roman" w:cs="Times New Roman"/>
          <w:sz w:val="28"/>
          <w:szCs w:val="28"/>
          <w:lang w:val="uk-UA"/>
        </w:rPr>
        <w:t xml:space="preserve">, </w:t>
      </w:r>
      <w:r w:rsidR="00E82D76">
        <w:rPr>
          <w:rFonts w:ascii="Times New Roman" w:hAnsi="Times New Roman" w:cs="Times New Roman"/>
          <w:sz w:val="28"/>
          <w:szCs w:val="28"/>
          <w:lang w:val="uk-UA"/>
        </w:rPr>
        <w:t xml:space="preserve">Н. </w:t>
      </w:r>
      <w:proofErr w:type="spellStart"/>
      <w:r w:rsidRPr="008D1060">
        <w:rPr>
          <w:rFonts w:ascii="Times New Roman" w:hAnsi="Times New Roman" w:cs="Times New Roman"/>
          <w:sz w:val="28"/>
          <w:szCs w:val="28"/>
          <w:lang w:val="uk-UA"/>
        </w:rPr>
        <w:t>Дріс</w:t>
      </w:r>
      <w:proofErr w:type="spellEnd"/>
      <w:r w:rsidRPr="008D1060">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[187]</w:t>
      </w:r>
      <w:r w:rsidRPr="005E7C2B">
        <w:rPr>
          <w:rFonts w:ascii="Times New Roman" w:hAnsi="Times New Roman" w:cs="Times New Roman"/>
          <w:sz w:val="28"/>
          <w:szCs w:val="28"/>
          <w:lang w:val="uk-UA"/>
        </w:rPr>
        <w:t xml:space="preserve">, хоча також є частиною політики </w:t>
      </w:r>
      <w:r>
        <w:rPr>
          <w:rFonts w:ascii="Times New Roman" w:hAnsi="Times New Roman" w:cs="Times New Roman"/>
          <w:sz w:val="28"/>
          <w:szCs w:val="28"/>
          <w:lang w:val="uk-UA"/>
        </w:rPr>
        <w:t xml:space="preserve">управління людськими ресурсами. </w:t>
      </w:r>
      <w:r w:rsidRPr="005E7C2B">
        <w:rPr>
          <w:rFonts w:ascii="Times New Roman" w:hAnsi="Times New Roman" w:cs="Times New Roman"/>
          <w:sz w:val="28"/>
          <w:szCs w:val="28"/>
          <w:lang w:val="uk-UA"/>
        </w:rPr>
        <w:t>Однак їх опо</w:t>
      </w:r>
      <w:r>
        <w:rPr>
          <w:rFonts w:ascii="Times New Roman" w:hAnsi="Times New Roman" w:cs="Times New Roman"/>
          <w:sz w:val="28"/>
          <w:szCs w:val="28"/>
          <w:lang w:val="uk-UA"/>
        </w:rPr>
        <w:t xml:space="preserve">ненти </w:t>
      </w:r>
      <w:proofErr w:type="spellStart"/>
      <w:r w:rsidR="00E82D76">
        <w:rPr>
          <w:rFonts w:ascii="Times New Roman" w:hAnsi="Times New Roman" w:cs="Times New Roman"/>
          <w:sz w:val="28"/>
          <w:szCs w:val="28"/>
          <w:lang w:val="uk-UA"/>
        </w:rPr>
        <w:t>Д.Ф.Франк</w:t>
      </w:r>
      <w:proofErr w:type="spellEnd"/>
      <w:r>
        <w:rPr>
          <w:rFonts w:ascii="Times New Roman" w:hAnsi="Times New Roman" w:cs="Times New Roman"/>
          <w:sz w:val="28"/>
          <w:szCs w:val="28"/>
          <w:lang w:val="uk-UA"/>
        </w:rPr>
        <w:t xml:space="preserve"> і </w:t>
      </w:r>
      <w:r w:rsidR="00E82D76">
        <w:rPr>
          <w:rFonts w:ascii="Times New Roman" w:hAnsi="Times New Roman" w:cs="Times New Roman"/>
          <w:sz w:val="28"/>
          <w:szCs w:val="28"/>
          <w:lang w:val="uk-UA"/>
        </w:rPr>
        <w:t>К.Р</w:t>
      </w:r>
      <w:r>
        <w:rPr>
          <w:rFonts w:ascii="Times New Roman" w:hAnsi="Times New Roman" w:cs="Times New Roman"/>
          <w:sz w:val="28"/>
          <w:szCs w:val="28"/>
          <w:lang w:val="uk-UA"/>
        </w:rPr>
        <w:t xml:space="preserve">. </w:t>
      </w:r>
      <w:proofErr w:type="spellStart"/>
      <w:r w:rsidR="00E82D76">
        <w:rPr>
          <w:rFonts w:ascii="Times New Roman" w:hAnsi="Times New Roman" w:cs="Times New Roman"/>
          <w:sz w:val="28"/>
          <w:szCs w:val="28"/>
          <w:lang w:val="uk-UA"/>
        </w:rPr>
        <w:t>Тейлер</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[217]</w:t>
      </w:r>
      <w:r w:rsidRPr="005E7C2B">
        <w:rPr>
          <w:rFonts w:ascii="Times New Roman" w:hAnsi="Times New Roman" w:cs="Times New Roman"/>
          <w:sz w:val="28"/>
          <w:szCs w:val="28"/>
          <w:lang w:val="uk-UA"/>
        </w:rPr>
        <w:t xml:space="preserve"> вказують на те, що процес управління талантами є неповним без стратегій розвитку та утримання талантів.</w:t>
      </w:r>
      <w:r>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Г.</w:t>
      </w:r>
      <w:r w:rsidR="00E82D76">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 xml:space="preserve">К. </w:t>
      </w:r>
      <w:proofErr w:type="spellStart"/>
      <w:r w:rsidRPr="005E7C2B">
        <w:rPr>
          <w:rFonts w:ascii="Times New Roman" w:hAnsi="Times New Roman" w:cs="Times New Roman"/>
          <w:sz w:val="28"/>
          <w:szCs w:val="28"/>
          <w:lang w:val="uk-UA"/>
        </w:rPr>
        <w:t>Шталь</w:t>
      </w:r>
      <w:proofErr w:type="spellEnd"/>
      <w:r w:rsidRPr="005E7C2B">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І.Бьоркман</w:t>
      </w:r>
      <w:proofErr w:type="spellEnd"/>
      <w:r w:rsidRPr="005E7C2B">
        <w:rPr>
          <w:rFonts w:ascii="Times New Roman" w:hAnsi="Times New Roman" w:cs="Times New Roman"/>
          <w:sz w:val="28"/>
          <w:szCs w:val="28"/>
          <w:lang w:val="uk-UA"/>
        </w:rPr>
        <w:t xml:space="preserve">, Е. </w:t>
      </w:r>
      <w:proofErr w:type="spellStart"/>
      <w:r w:rsidRPr="005E7C2B">
        <w:rPr>
          <w:rFonts w:ascii="Times New Roman" w:hAnsi="Times New Roman" w:cs="Times New Roman"/>
          <w:sz w:val="28"/>
          <w:szCs w:val="28"/>
          <w:lang w:val="uk-UA"/>
        </w:rPr>
        <w:t>Фарндейл</w:t>
      </w:r>
      <w:proofErr w:type="spellEnd"/>
      <w:r w:rsidRPr="005E7C2B">
        <w:rPr>
          <w:rFonts w:ascii="Times New Roman" w:hAnsi="Times New Roman" w:cs="Times New Roman"/>
          <w:sz w:val="28"/>
          <w:szCs w:val="28"/>
          <w:lang w:val="uk-UA"/>
        </w:rPr>
        <w:t xml:space="preserve">, С. С. Морріс, </w:t>
      </w:r>
      <w:proofErr w:type="spellStart"/>
      <w:r w:rsidRPr="005E7C2B">
        <w:rPr>
          <w:rFonts w:ascii="Times New Roman" w:hAnsi="Times New Roman" w:cs="Times New Roman"/>
          <w:sz w:val="28"/>
          <w:szCs w:val="28"/>
          <w:lang w:val="uk-UA"/>
        </w:rPr>
        <w:t>Дж</w:t>
      </w:r>
      <w:proofErr w:type="spellEnd"/>
      <w:r w:rsidRPr="005E7C2B">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Пауе</w:t>
      </w:r>
      <w:proofErr w:type="spellEnd"/>
      <w:r w:rsidRPr="005E7C2B">
        <w:rPr>
          <w:rFonts w:ascii="Times New Roman" w:hAnsi="Times New Roman" w:cs="Times New Roman"/>
          <w:sz w:val="28"/>
          <w:szCs w:val="28"/>
          <w:lang w:val="uk-UA"/>
        </w:rPr>
        <w:t xml:space="preserve">, П. </w:t>
      </w:r>
      <w:proofErr w:type="spellStart"/>
      <w:r w:rsidRPr="005E7C2B">
        <w:rPr>
          <w:rFonts w:ascii="Times New Roman" w:hAnsi="Times New Roman" w:cs="Times New Roman"/>
          <w:sz w:val="28"/>
          <w:szCs w:val="28"/>
          <w:lang w:val="uk-UA"/>
        </w:rPr>
        <w:t>Стайлз</w:t>
      </w:r>
      <w:proofErr w:type="spellEnd"/>
      <w:r w:rsidRPr="005E7C2B">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Дж</w:t>
      </w:r>
      <w:proofErr w:type="spellEnd"/>
      <w:r w:rsidRPr="005E7C2B">
        <w:rPr>
          <w:rFonts w:ascii="Times New Roman" w:hAnsi="Times New Roman" w:cs="Times New Roman"/>
          <w:sz w:val="28"/>
          <w:szCs w:val="28"/>
          <w:lang w:val="uk-UA"/>
        </w:rPr>
        <w:t xml:space="preserve">. </w:t>
      </w:r>
      <w:proofErr w:type="spellStart"/>
      <w:r w:rsidRPr="005E7C2B">
        <w:rPr>
          <w:rFonts w:ascii="Times New Roman" w:hAnsi="Times New Roman" w:cs="Times New Roman"/>
          <w:sz w:val="28"/>
          <w:szCs w:val="28"/>
          <w:lang w:val="uk-UA"/>
        </w:rPr>
        <w:t>Тревор</w:t>
      </w:r>
      <w:proofErr w:type="spellEnd"/>
      <w:r w:rsidRPr="005E7C2B">
        <w:rPr>
          <w:rFonts w:ascii="Times New Roman" w:hAnsi="Times New Roman" w:cs="Times New Roman"/>
          <w:sz w:val="28"/>
          <w:szCs w:val="28"/>
          <w:lang w:val="uk-UA"/>
        </w:rPr>
        <w:t xml:space="preserve"> і П. </w:t>
      </w:r>
      <w:proofErr w:type="spellStart"/>
      <w:r w:rsidRPr="005E7C2B">
        <w:rPr>
          <w:rFonts w:ascii="Times New Roman" w:hAnsi="Times New Roman" w:cs="Times New Roman"/>
          <w:sz w:val="28"/>
          <w:szCs w:val="28"/>
          <w:lang w:val="uk-UA"/>
        </w:rPr>
        <w:t>Райт</w:t>
      </w:r>
      <w:proofErr w:type="spellEnd"/>
      <w:r w:rsidRPr="005E7C2B">
        <w:rPr>
          <w:rFonts w:ascii="Times New Roman" w:hAnsi="Times New Roman" w:cs="Times New Roman"/>
          <w:sz w:val="28"/>
          <w:szCs w:val="28"/>
          <w:lang w:val="uk-UA"/>
        </w:rPr>
        <w:t xml:space="preserve"> пропонують групу з управління талантами, яка розділяє елементи управління </w:t>
      </w:r>
      <w:r>
        <w:rPr>
          <w:rFonts w:ascii="Times New Roman" w:hAnsi="Times New Roman" w:cs="Times New Roman"/>
          <w:sz w:val="28"/>
          <w:szCs w:val="28"/>
          <w:lang w:val="uk-UA"/>
        </w:rPr>
        <w:t xml:space="preserve">талантами на дві підгрупи </w:t>
      </w:r>
      <w:r>
        <w:rPr>
          <w:rFonts w:ascii="Times New Roman" w:hAnsi="Times New Roman" w:cs="Times New Roman"/>
          <w:sz w:val="28"/>
          <w:szCs w:val="28"/>
        </w:rPr>
        <w:t>[218]</w:t>
      </w:r>
      <w:r w:rsidRPr="005E7C2B">
        <w:rPr>
          <w:rFonts w:ascii="Times New Roman" w:hAnsi="Times New Roman" w:cs="Times New Roman"/>
          <w:sz w:val="28"/>
          <w:szCs w:val="28"/>
          <w:lang w:val="uk-UA"/>
        </w:rPr>
        <w:t>:</w:t>
      </w:r>
    </w:p>
    <w:p w14:paraId="4D1FEA7B"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практики управління талантами (розміщені на зовнішньому </w:t>
      </w:r>
      <w:r>
        <w:rPr>
          <w:rFonts w:ascii="Times New Roman" w:hAnsi="Times New Roman" w:cs="Times New Roman"/>
          <w:sz w:val="28"/>
          <w:szCs w:val="28"/>
          <w:lang w:val="uk-UA"/>
        </w:rPr>
        <w:t>рівні</w:t>
      </w:r>
      <w:r w:rsidRPr="005E7C2B">
        <w:rPr>
          <w:rFonts w:ascii="Times New Roman" w:hAnsi="Times New Roman" w:cs="Times New Roman"/>
          <w:sz w:val="28"/>
          <w:szCs w:val="28"/>
          <w:lang w:val="uk-UA"/>
        </w:rPr>
        <w:t>):</w:t>
      </w:r>
    </w:p>
    <w:p w14:paraId="5C735EE7" w14:textId="77777777" w:rsidR="00571B42" w:rsidRPr="00CA2FCA" w:rsidRDefault="00571B42" w:rsidP="00571B42">
      <w:pPr>
        <w:pStyle w:val="a4"/>
        <w:widowControl w:val="0"/>
        <w:numPr>
          <w:ilvl w:val="0"/>
          <w:numId w:val="31"/>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Pr="00CA2FCA">
        <w:rPr>
          <w:rFonts w:ascii="Times New Roman" w:hAnsi="Times New Roman" w:cs="Times New Roman"/>
          <w:sz w:val="28"/>
          <w:szCs w:val="28"/>
          <w:lang w:val="uk-UA"/>
        </w:rPr>
        <w:t xml:space="preserve">бір і </w:t>
      </w:r>
      <w:r>
        <w:rPr>
          <w:rFonts w:ascii="Times New Roman" w:hAnsi="Times New Roman" w:cs="Times New Roman"/>
          <w:sz w:val="28"/>
          <w:szCs w:val="28"/>
          <w:lang w:val="uk-UA"/>
        </w:rPr>
        <w:t>в</w:t>
      </w:r>
      <w:r w:rsidRPr="00CA2FCA">
        <w:rPr>
          <w:rFonts w:ascii="Times New Roman" w:hAnsi="Times New Roman" w:cs="Times New Roman"/>
          <w:sz w:val="28"/>
          <w:szCs w:val="28"/>
          <w:lang w:val="uk-UA"/>
        </w:rPr>
        <w:t>ідбір персоналу,</w:t>
      </w:r>
    </w:p>
    <w:p w14:paraId="510CBC2D" w14:textId="77777777" w:rsidR="00571B42" w:rsidRPr="00CA2FCA" w:rsidRDefault="00571B42" w:rsidP="00571B42">
      <w:pPr>
        <w:pStyle w:val="a4"/>
        <w:widowControl w:val="0"/>
        <w:numPr>
          <w:ilvl w:val="0"/>
          <w:numId w:val="31"/>
        </w:numPr>
        <w:spacing w:after="0" w:line="360" w:lineRule="auto"/>
        <w:ind w:left="0" w:firstLine="720"/>
        <w:jc w:val="both"/>
        <w:rPr>
          <w:rFonts w:ascii="Times New Roman" w:hAnsi="Times New Roman" w:cs="Times New Roman"/>
          <w:sz w:val="28"/>
          <w:szCs w:val="28"/>
          <w:lang w:val="uk-UA"/>
        </w:rPr>
      </w:pPr>
      <w:r w:rsidRPr="00CA2FCA">
        <w:rPr>
          <w:rFonts w:ascii="Times New Roman" w:hAnsi="Times New Roman" w:cs="Times New Roman"/>
          <w:sz w:val="28"/>
          <w:szCs w:val="28"/>
          <w:lang w:val="uk-UA"/>
        </w:rPr>
        <w:t>розвиток і навчання,</w:t>
      </w:r>
    </w:p>
    <w:p w14:paraId="709BF8A4" w14:textId="77777777" w:rsidR="00571B42" w:rsidRPr="00CA2FCA" w:rsidRDefault="00571B42" w:rsidP="00571B42">
      <w:pPr>
        <w:pStyle w:val="a4"/>
        <w:widowControl w:val="0"/>
        <w:numPr>
          <w:ilvl w:val="0"/>
          <w:numId w:val="31"/>
        </w:numPr>
        <w:spacing w:after="0" w:line="360" w:lineRule="auto"/>
        <w:ind w:left="0" w:firstLine="720"/>
        <w:jc w:val="both"/>
        <w:rPr>
          <w:rFonts w:ascii="Times New Roman" w:hAnsi="Times New Roman" w:cs="Times New Roman"/>
          <w:sz w:val="28"/>
          <w:szCs w:val="28"/>
          <w:lang w:val="uk-UA"/>
        </w:rPr>
      </w:pPr>
      <w:r w:rsidRPr="00CA2FCA">
        <w:rPr>
          <w:rFonts w:ascii="Times New Roman" w:hAnsi="Times New Roman" w:cs="Times New Roman"/>
          <w:sz w:val="28"/>
          <w:szCs w:val="28"/>
          <w:lang w:val="uk-UA"/>
        </w:rPr>
        <w:t>управління ефективністю,</w:t>
      </w:r>
    </w:p>
    <w:p w14:paraId="2A9E93CE" w14:textId="77777777" w:rsidR="00571B42" w:rsidRPr="00CA2FCA" w:rsidRDefault="00571B42" w:rsidP="00571B42">
      <w:pPr>
        <w:pStyle w:val="a4"/>
        <w:widowControl w:val="0"/>
        <w:numPr>
          <w:ilvl w:val="0"/>
          <w:numId w:val="31"/>
        </w:numPr>
        <w:spacing w:after="0" w:line="360" w:lineRule="auto"/>
        <w:ind w:left="0" w:firstLine="720"/>
        <w:jc w:val="both"/>
        <w:rPr>
          <w:rFonts w:ascii="Times New Roman" w:hAnsi="Times New Roman" w:cs="Times New Roman"/>
          <w:sz w:val="28"/>
          <w:szCs w:val="28"/>
          <w:lang w:val="uk-UA"/>
        </w:rPr>
      </w:pPr>
      <w:r w:rsidRPr="00CA2FCA">
        <w:rPr>
          <w:rFonts w:ascii="Times New Roman" w:hAnsi="Times New Roman" w:cs="Times New Roman"/>
          <w:sz w:val="28"/>
          <w:szCs w:val="28"/>
          <w:lang w:val="uk-UA"/>
        </w:rPr>
        <w:t>утримання працівників,</w:t>
      </w:r>
    </w:p>
    <w:p w14:paraId="209912CA" w14:textId="77777777" w:rsidR="00571B42" w:rsidRPr="00CA2FCA" w:rsidRDefault="00571B42" w:rsidP="00571B42">
      <w:pPr>
        <w:pStyle w:val="a4"/>
        <w:widowControl w:val="0"/>
        <w:numPr>
          <w:ilvl w:val="0"/>
          <w:numId w:val="31"/>
        </w:numPr>
        <w:spacing w:after="0" w:line="360" w:lineRule="auto"/>
        <w:ind w:left="0" w:firstLine="720"/>
        <w:jc w:val="both"/>
        <w:rPr>
          <w:rFonts w:ascii="Times New Roman" w:hAnsi="Times New Roman" w:cs="Times New Roman"/>
          <w:sz w:val="28"/>
          <w:szCs w:val="28"/>
          <w:lang w:val="uk-UA"/>
        </w:rPr>
      </w:pPr>
      <w:r w:rsidRPr="00CA2FCA">
        <w:rPr>
          <w:rFonts w:ascii="Times New Roman" w:hAnsi="Times New Roman" w:cs="Times New Roman"/>
          <w:sz w:val="28"/>
          <w:szCs w:val="28"/>
          <w:lang w:val="uk-UA"/>
        </w:rPr>
        <w:t xml:space="preserve">бонуси та винагороди як </w:t>
      </w:r>
      <w:proofErr w:type="spellStart"/>
      <w:r w:rsidRPr="00CA2FCA">
        <w:rPr>
          <w:rFonts w:ascii="Times New Roman" w:hAnsi="Times New Roman" w:cs="Times New Roman"/>
          <w:sz w:val="28"/>
          <w:szCs w:val="28"/>
          <w:lang w:val="uk-UA"/>
        </w:rPr>
        <w:t>мотиватори</w:t>
      </w:r>
      <w:proofErr w:type="spellEnd"/>
      <w:r w:rsidRPr="00CA2FCA">
        <w:rPr>
          <w:rFonts w:ascii="Times New Roman" w:hAnsi="Times New Roman" w:cs="Times New Roman"/>
          <w:sz w:val="28"/>
          <w:szCs w:val="28"/>
          <w:lang w:val="uk-UA"/>
        </w:rPr>
        <w:t>,</w:t>
      </w:r>
    </w:p>
    <w:p w14:paraId="2B7297C4" w14:textId="77777777" w:rsidR="00571B42" w:rsidRPr="00CA2FCA" w:rsidRDefault="00571B42" w:rsidP="00571B42">
      <w:pPr>
        <w:pStyle w:val="a4"/>
        <w:widowControl w:val="0"/>
        <w:numPr>
          <w:ilvl w:val="0"/>
          <w:numId w:val="31"/>
        </w:numPr>
        <w:spacing w:after="0" w:line="360" w:lineRule="auto"/>
        <w:ind w:left="0" w:firstLine="720"/>
        <w:jc w:val="both"/>
        <w:rPr>
          <w:rFonts w:ascii="Times New Roman" w:hAnsi="Times New Roman" w:cs="Times New Roman"/>
          <w:sz w:val="28"/>
          <w:szCs w:val="28"/>
          <w:lang w:val="uk-UA"/>
        </w:rPr>
      </w:pPr>
      <w:r w:rsidRPr="00CA2FCA">
        <w:rPr>
          <w:rFonts w:ascii="Times New Roman" w:hAnsi="Times New Roman" w:cs="Times New Roman"/>
          <w:sz w:val="28"/>
          <w:szCs w:val="28"/>
          <w:lang w:val="uk-UA"/>
        </w:rPr>
        <w:t>огляд талантів,</w:t>
      </w:r>
    </w:p>
    <w:p w14:paraId="6634FF83"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провідні принципи управління талантами, так звані головні принципи (внутрішн</w:t>
      </w:r>
      <w:r>
        <w:rPr>
          <w:rFonts w:ascii="Times New Roman" w:hAnsi="Times New Roman" w:cs="Times New Roman"/>
          <w:sz w:val="28"/>
          <w:szCs w:val="28"/>
          <w:lang w:val="uk-UA"/>
        </w:rPr>
        <w:t>ій</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рівень</w:t>
      </w:r>
      <w:r w:rsidRPr="005E7C2B">
        <w:rPr>
          <w:rFonts w:ascii="Times New Roman" w:hAnsi="Times New Roman" w:cs="Times New Roman"/>
          <w:sz w:val="28"/>
          <w:szCs w:val="28"/>
          <w:lang w:val="uk-UA"/>
        </w:rPr>
        <w:t>):</w:t>
      </w:r>
    </w:p>
    <w:p w14:paraId="1A3B1F1B" w14:textId="77777777" w:rsidR="00571B42" w:rsidRPr="00CA2FCA" w:rsidRDefault="00571B42" w:rsidP="00571B42">
      <w:pPr>
        <w:pStyle w:val="a4"/>
        <w:widowControl w:val="0"/>
        <w:numPr>
          <w:ilvl w:val="0"/>
          <w:numId w:val="32"/>
        </w:numPr>
        <w:spacing w:after="0" w:line="360" w:lineRule="auto"/>
        <w:ind w:left="0" w:firstLine="720"/>
        <w:jc w:val="both"/>
        <w:rPr>
          <w:rFonts w:ascii="Times New Roman" w:hAnsi="Times New Roman" w:cs="Times New Roman"/>
          <w:sz w:val="28"/>
          <w:szCs w:val="28"/>
          <w:lang w:val="uk-UA"/>
        </w:rPr>
      </w:pPr>
      <w:r w:rsidRPr="00CA2FCA">
        <w:rPr>
          <w:rFonts w:ascii="Times New Roman" w:hAnsi="Times New Roman" w:cs="Times New Roman"/>
          <w:sz w:val="28"/>
          <w:szCs w:val="28"/>
          <w:lang w:val="uk-UA"/>
        </w:rPr>
        <w:t>пристосування до стратегій,</w:t>
      </w:r>
    </w:p>
    <w:p w14:paraId="69251277" w14:textId="77777777" w:rsidR="00571B42" w:rsidRPr="00CA2FCA" w:rsidRDefault="00571B42" w:rsidP="00571B42">
      <w:pPr>
        <w:pStyle w:val="a4"/>
        <w:widowControl w:val="0"/>
        <w:numPr>
          <w:ilvl w:val="0"/>
          <w:numId w:val="32"/>
        </w:numPr>
        <w:spacing w:after="0" w:line="360" w:lineRule="auto"/>
        <w:ind w:left="0" w:firstLine="720"/>
        <w:jc w:val="both"/>
        <w:rPr>
          <w:rFonts w:ascii="Times New Roman" w:hAnsi="Times New Roman" w:cs="Times New Roman"/>
          <w:sz w:val="28"/>
          <w:szCs w:val="28"/>
          <w:lang w:val="uk-UA"/>
        </w:rPr>
      </w:pPr>
      <w:r w:rsidRPr="00CA2FCA">
        <w:rPr>
          <w:rFonts w:ascii="Times New Roman" w:hAnsi="Times New Roman" w:cs="Times New Roman"/>
          <w:sz w:val="28"/>
          <w:szCs w:val="28"/>
          <w:lang w:val="uk-UA"/>
        </w:rPr>
        <w:t>внутрішня згуртованість</w:t>
      </w:r>
    </w:p>
    <w:p w14:paraId="4E426042" w14:textId="77777777" w:rsidR="00571B42" w:rsidRPr="00CA2FCA" w:rsidRDefault="00571B42" w:rsidP="00571B42">
      <w:pPr>
        <w:pStyle w:val="a4"/>
        <w:widowControl w:val="0"/>
        <w:numPr>
          <w:ilvl w:val="0"/>
          <w:numId w:val="32"/>
        </w:numPr>
        <w:spacing w:after="0" w:line="360" w:lineRule="auto"/>
        <w:ind w:left="0" w:firstLine="720"/>
        <w:jc w:val="both"/>
        <w:rPr>
          <w:rFonts w:ascii="Times New Roman" w:hAnsi="Times New Roman" w:cs="Times New Roman"/>
          <w:sz w:val="28"/>
          <w:szCs w:val="28"/>
          <w:lang w:val="uk-UA"/>
        </w:rPr>
      </w:pPr>
      <w:r w:rsidRPr="00CA2FCA">
        <w:rPr>
          <w:rFonts w:ascii="Times New Roman" w:hAnsi="Times New Roman" w:cs="Times New Roman"/>
          <w:sz w:val="28"/>
          <w:szCs w:val="28"/>
          <w:lang w:val="uk-UA"/>
        </w:rPr>
        <w:t>участь в управлінні,</w:t>
      </w:r>
    </w:p>
    <w:p w14:paraId="63739592" w14:textId="77777777" w:rsidR="00571B42" w:rsidRPr="00CA2FCA" w:rsidRDefault="00571B42" w:rsidP="00571B42">
      <w:pPr>
        <w:pStyle w:val="a4"/>
        <w:widowControl w:val="0"/>
        <w:numPr>
          <w:ilvl w:val="0"/>
          <w:numId w:val="32"/>
        </w:numPr>
        <w:spacing w:after="0" w:line="360" w:lineRule="auto"/>
        <w:ind w:left="0" w:firstLine="720"/>
        <w:jc w:val="both"/>
        <w:rPr>
          <w:rFonts w:ascii="Times New Roman" w:hAnsi="Times New Roman" w:cs="Times New Roman"/>
          <w:sz w:val="28"/>
          <w:szCs w:val="28"/>
          <w:lang w:val="uk-UA"/>
        </w:rPr>
      </w:pPr>
      <w:r w:rsidRPr="00CA2FCA">
        <w:rPr>
          <w:rFonts w:ascii="Times New Roman" w:hAnsi="Times New Roman" w:cs="Times New Roman"/>
          <w:sz w:val="28"/>
          <w:szCs w:val="28"/>
          <w:lang w:val="uk-UA"/>
        </w:rPr>
        <w:t>брендинг роботодавця,</w:t>
      </w:r>
    </w:p>
    <w:p w14:paraId="643DFAD2" w14:textId="77777777" w:rsidR="00571B42" w:rsidRPr="00CA2FCA" w:rsidRDefault="00571B42" w:rsidP="00571B42">
      <w:pPr>
        <w:pStyle w:val="a4"/>
        <w:widowControl w:val="0"/>
        <w:numPr>
          <w:ilvl w:val="0"/>
          <w:numId w:val="32"/>
        </w:numPr>
        <w:spacing w:after="0" w:line="360" w:lineRule="auto"/>
        <w:ind w:left="0" w:firstLine="720"/>
        <w:jc w:val="both"/>
        <w:rPr>
          <w:rFonts w:ascii="Times New Roman" w:hAnsi="Times New Roman" w:cs="Times New Roman"/>
          <w:sz w:val="28"/>
          <w:szCs w:val="28"/>
          <w:lang w:val="uk-UA"/>
        </w:rPr>
      </w:pPr>
      <w:r w:rsidRPr="00CA2FCA">
        <w:rPr>
          <w:rFonts w:ascii="Times New Roman" w:hAnsi="Times New Roman" w:cs="Times New Roman"/>
          <w:sz w:val="28"/>
          <w:szCs w:val="28"/>
          <w:lang w:val="uk-UA"/>
        </w:rPr>
        <w:t>баланс глобальних і локальних потреб,</w:t>
      </w:r>
    </w:p>
    <w:p w14:paraId="38CC4300" w14:textId="77777777" w:rsidR="00571B42" w:rsidRPr="00CA2FCA" w:rsidRDefault="00571B42" w:rsidP="00571B42">
      <w:pPr>
        <w:pStyle w:val="a4"/>
        <w:widowControl w:val="0"/>
        <w:numPr>
          <w:ilvl w:val="0"/>
          <w:numId w:val="32"/>
        </w:numPr>
        <w:spacing w:after="0" w:line="360" w:lineRule="auto"/>
        <w:ind w:left="0" w:firstLine="720"/>
        <w:jc w:val="both"/>
        <w:rPr>
          <w:rFonts w:ascii="Times New Roman" w:hAnsi="Times New Roman" w:cs="Times New Roman"/>
          <w:sz w:val="28"/>
          <w:szCs w:val="28"/>
          <w:lang w:val="uk-UA"/>
        </w:rPr>
      </w:pPr>
      <w:r w:rsidRPr="00CA2FCA">
        <w:rPr>
          <w:rFonts w:ascii="Times New Roman" w:hAnsi="Times New Roman" w:cs="Times New Roman"/>
          <w:sz w:val="28"/>
          <w:szCs w:val="28"/>
          <w:lang w:val="uk-UA"/>
        </w:rPr>
        <w:t>організаційна культура.</w:t>
      </w:r>
    </w:p>
    <w:p w14:paraId="0F332262" w14:textId="4102F111"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Шість основних принципів різною мірою стосуються кожної окремої практики застосування управління талантами. Це підхід, який прийнято як </w:t>
      </w:r>
      <w:r w:rsidRPr="005E7C2B">
        <w:rPr>
          <w:rFonts w:ascii="Times New Roman" w:hAnsi="Times New Roman" w:cs="Times New Roman"/>
          <w:sz w:val="28"/>
          <w:szCs w:val="28"/>
          <w:lang w:val="uk-UA"/>
        </w:rPr>
        <w:lastRenderedPageBreak/>
        <w:t>адекватний для емпіричного дослідження.</w:t>
      </w:r>
      <w:r>
        <w:rPr>
          <w:rFonts w:ascii="Times New Roman" w:hAnsi="Times New Roman" w:cs="Times New Roman"/>
          <w:sz w:val="28"/>
          <w:szCs w:val="28"/>
          <w:lang w:val="uk-UA"/>
        </w:rPr>
        <w:t xml:space="preserve"> Наступним етапом аналізу має стати </w:t>
      </w:r>
      <w:r w:rsidRPr="005E7C2B">
        <w:rPr>
          <w:rFonts w:ascii="Times New Roman" w:hAnsi="Times New Roman" w:cs="Times New Roman"/>
          <w:sz w:val="28"/>
          <w:szCs w:val="28"/>
          <w:lang w:val="uk-UA"/>
        </w:rPr>
        <w:t>застос</w:t>
      </w:r>
      <w:r>
        <w:rPr>
          <w:rFonts w:ascii="Times New Roman" w:hAnsi="Times New Roman" w:cs="Times New Roman"/>
          <w:sz w:val="28"/>
          <w:szCs w:val="28"/>
          <w:lang w:val="uk-UA"/>
        </w:rPr>
        <w:t>ування</w:t>
      </w:r>
      <w:r w:rsidRPr="005E7C2B">
        <w:rPr>
          <w:rFonts w:ascii="Times New Roman" w:hAnsi="Times New Roman" w:cs="Times New Roman"/>
          <w:sz w:val="28"/>
          <w:szCs w:val="28"/>
          <w:lang w:val="uk-UA"/>
        </w:rPr>
        <w:t xml:space="preserve"> тріангуляці</w:t>
      </w:r>
      <w:r>
        <w:rPr>
          <w:rFonts w:ascii="Times New Roman" w:hAnsi="Times New Roman" w:cs="Times New Roman"/>
          <w:sz w:val="28"/>
          <w:szCs w:val="28"/>
          <w:lang w:val="uk-UA"/>
        </w:rPr>
        <w:t>ї</w:t>
      </w:r>
      <w:r w:rsidRPr="005E7C2B">
        <w:rPr>
          <w:rFonts w:ascii="Times New Roman" w:hAnsi="Times New Roman" w:cs="Times New Roman"/>
          <w:sz w:val="28"/>
          <w:szCs w:val="28"/>
          <w:lang w:val="uk-UA"/>
        </w:rPr>
        <w:t xml:space="preserve"> шляхом поєднання порівняльних методів в оцінці зазначених категорій управління талантами, що полегшило початкове пояснення аналізованих проблемних питань та інтерпретацію </w:t>
      </w:r>
      <w:r>
        <w:rPr>
          <w:rFonts w:ascii="Times New Roman" w:hAnsi="Times New Roman" w:cs="Times New Roman"/>
          <w:sz w:val="28"/>
          <w:szCs w:val="28"/>
          <w:lang w:val="uk-UA"/>
        </w:rPr>
        <w:t>управління талантами</w:t>
      </w:r>
      <w:r w:rsidRPr="005E7C2B">
        <w:rPr>
          <w:rFonts w:ascii="Times New Roman" w:hAnsi="Times New Roman" w:cs="Times New Roman"/>
          <w:sz w:val="28"/>
          <w:szCs w:val="28"/>
          <w:lang w:val="uk-UA"/>
        </w:rPr>
        <w:t xml:space="preserve"> з різних точок зору</w:t>
      </w:r>
      <w:r>
        <w:rPr>
          <w:rFonts w:ascii="Times New Roman" w:hAnsi="Times New Roman" w:cs="Times New Roman"/>
          <w:sz w:val="28"/>
          <w:szCs w:val="28"/>
          <w:lang w:val="uk-UA"/>
        </w:rPr>
        <w:t>, а згодом підтвердило висновки</w:t>
      </w:r>
      <w:r w:rsidRPr="005E7C2B">
        <w:rPr>
          <w:rFonts w:ascii="Times New Roman" w:hAnsi="Times New Roman" w:cs="Times New Roman"/>
          <w:sz w:val="28"/>
          <w:szCs w:val="28"/>
          <w:lang w:val="uk-UA"/>
        </w:rPr>
        <w:t xml:space="preserve"> та відповіді на поставлені запитання дослідження.</w:t>
      </w:r>
      <w:r>
        <w:rPr>
          <w:rFonts w:ascii="Times New Roman" w:hAnsi="Times New Roman" w:cs="Times New Roman"/>
          <w:sz w:val="28"/>
          <w:szCs w:val="28"/>
          <w:lang w:val="uk-UA"/>
        </w:rPr>
        <w:t xml:space="preserve"> Важливо </w:t>
      </w:r>
      <w:r w:rsidRPr="00427AB9">
        <w:rPr>
          <w:rFonts w:ascii="Times New Roman" w:hAnsi="Times New Roman" w:cs="Times New Roman"/>
          <w:sz w:val="28"/>
          <w:szCs w:val="28"/>
          <w:lang w:val="uk-UA"/>
        </w:rPr>
        <w:t xml:space="preserve">зазначити, що </w:t>
      </w:r>
      <w:proofErr w:type="spellStart"/>
      <w:r w:rsidRPr="00427AB9">
        <w:rPr>
          <w:rFonts w:ascii="Times New Roman" w:hAnsi="Times New Roman" w:cs="Times New Roman"/>
          <w:sz w:val="28"/>
          <w:szCs w:val="28"/>
          <w:lang w:val="uk-UA"/>
        </w:rPr>
        <w:t>науковцею</w:t>
      </w:r>
      <w:proofErr w:type="spellEnd"/>
      <w:r w:rsidRPr="00427AB9">
        <w:rPr>
          <w:rFonts w:ascii="Times New Roman" w:hAnsi="Times New Roman" w:cs="Times New Roman"/>
          <w:sz w:val="28"/>
          <w:szCs w:val="28"/>
          <w:lang w:val="uk-UA"/>
        </w:rPr>
        <w:t xml:space="preserve"> М</w:t>
      </w:r>
      <w:r w:rsidR="00E82D76">
        <w:rPr>
          <w:rFonts w:ascii="Times New Roman" w:hAnsi="Times New Roman" w:cs="Times New Roman"/>
          <w:sz w:val="28"/>
          <w:szCs w:val="28"/>
          <w:lang w:val="uk-UA"/>
        </w:rPr>
        <w:t>.</w:t>
      </w:r>
      <w:r w:rsidRPr="00427AB9">
        <w:rPr>
          <w:rFonts w:ascii="Times New Roman" w:hAnsi="Times New Roman" w:cs="Times New Roman"/>
          <w:sz w:val="28"/>
          <w:szCs w:val="28"/>
          <w:lang w:val="uk-UA"/>
        </w:rPr>
        <w:t xml:space="preserve"> М. </w:t>
      </w:r>
      <w:proofErr w:type="spellStart"/>
      <w:r w:rsidRPr="00427AB9">
        <w:rPr>
          <w:rFonts w:ascii="Times New Roman" w:hAnsi="Times New Roman" w:cs="Times New Roman"/>
          <w:sz w:val="28"/>
          <w:szCs w:val="28"/>
          <w:lang w:val="uk-UA"/>
        </w:rPr>
        <w:t>Стусс</w:t>
      </w:r>
      <w:proofErr w:type="spellEnd"/>
      <w:r w:rsidRPr="00427AB9">
        <w:rPr>
          <w:rFonts w:ascii="Times New Roman" w:hAnsi="Times New Roman" w:cs="Times New Roman"/>
          <w:sz w:val="28"/>
          <w:szCs w:val="28"/>
          <w:lang w:val="uk-UA"/>
        </w:rPr>
        <w:t xml:space="preserve"> із </w:t>
      </w:r>
      <w:proofErr w:type="spellStart"/>
      <w:r w:rsidRPr="00427AB9">
        <w:rPr>
          <w:rFonts w:ascii="Times New Roman" w:hAnsi="Times New Roman" w:cs="Times New Roman"/>
          <w:sz w:val="28"/>
          <w:szCs w:val="28"/>
          <w:lang w:val="uk-UA"/>
        </w:rPr>
        <w:t>Ягеллонського</w:t>
      </w:r>
      <w:proofErr w:type="spellEnd"/>
      <w:r w:rsidRPr="00427AB9">
        <w:rPr>
          <w:rFonts w:ascii="Times New Roman" w:hAnsi="Times New Roman" w:cs="Times New Roman"/>
          <w:sz w:val="28"/>
          <w:szCs w:val="28"/>
          <w:lang w:val="uk-UA"/>
        </w:rPr>
        <w:t xml:space="preserve"> університету </w:t>
      </w:r>
      <w:r w:rsidRPr="005D1B01">
        <w:rPr>
          <w:rFonts w:ascii="Times New Roman" w:hAnsi="Times New Roman" w:cs="Times New Roman"/>
          <w:sz w:val="28"/>
          <w:szCs w:val="28"/>
          <w:lang w:val="uk-UA"/>
        </w:rPr>
        <w:t>[202]</w:t>
      </w:r>
      <w:r w:rsidRPr="00427AB9">
        <w:rPr>
          <w:rFonts w:ascii="Times New Roman" w:hAnsi="Times New Roman" w:cs="Times New Roman"/>
          <w:sz w:val="28"/>
          <w:szCs w:val="28"/>
          <w:lang w:val="uk-UA"/>
        </w:rPr>
        <w:t xml:space="preserve"> був проведений подібний аналіз, якому підлягали двадцять підприємств, що є глобальними концернами та корпораціями. Важливо зазначити, що вони працюють на різних ринках і в різних секторах. Ці підприємства пов’язує розширення кадрової стратегії, оскільки, з одного боку, залучена значна кількість працівників, а з іншого </w:t>
      </w:r>
      <w:r w:rsidR="00E82D76">
        <w:rPr>
          <w:rFonts w:ascii="Times New Roman" w:hAnsi="Times New Roman" w:cs="Times New Roman"/>
          <w:sz w:val="28"/>
          <w:szCs w:val="28"/>
          <w:lang w:val="uk-UA"/>
        </w:rPr>
        <w:t>–</w:t>
      </w:r>
      <w:r w:rsidRPr="00427AB9">
        <w:rPr>
          <w:rFonts w:ascii="Times New Roman" w:hAnsi="Times New Roman" w:cs="Times New Roman"/>
          <w:sz w:val="28"/>
          <w:szCs w:val="28"/>
          <w:lang w:val="uk-UA"/>
        </w:rPr>
        <w:t xml:space="preserve"> здійснений пошук нового людського капіталу. Усі ці підприємства мають формалізовані та розширені процеси управління персоналом. Висновками з проведеного дослідження авторка запропонувала наступні твердження </w:t>
      </w:r>
      <w:r w:rsidRPr="00427AB9">
        <w:rPr>
          <w:rFonts w:ascii="Times New Roman" w:hAnsi="Times New Roman" w:cs="Times New Roman"/>
          <w:sz w:val="28"/>
          <w:szCs w:val="28"/>
        </w:rPr>
        <w:t>[202]</w:t>
      </w:r>
      <w:r w:rsidRPr="00427AB9">
        <w:rPr>
          <w:rFonts w:ascii="Times New Roman" w:hAnsi="Times New Roman" w:cs="Times New Roman"/>
          <w:sz w:val="28"/>
          <w:szCs w:val="28"/>
          <w:lang w:val="uk-UA"/>
        </w:rPr>
        <w:t>:</w:t>
      </w:r>
    </w:p>
    <w:p w14:paraId="37BAB2BD"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двадцяти</w:t>
      </w:r>
      <w:r w:rsidRPr="005E7C2B">
        <w:rPr>
          <w:rFonts w:ascii="Times New Roman" w:hAnsi="Times New Roman" w:cs="Times New Roman"/>
          <w:sz w:val="28"/>
          <w:szCs w:val="28"/>
          <w:lang w:val="uk-UA"/>
        </w:rPr>
        <w:t xml:space="preserve"> проаналізованих підприємств у п'яти випадках не було формалізованих програм управління талантами, незважаючи на широко побудовані та багатоаспектні процеси управління людськими ресурсами. Ці п'ять підприємств були відхилені від подальшого аналізу в процесі дослідження. В інших компаніях протягом останніх трьох років ведеться інтенсивна робота з уточнення та розширення програм </w:t>
      </w:r>
      <w:r>
        <w:rPr>
          <w:rFonts w:ascii="Times New Roman" w:hAnsi="Times New Roman" w:cs="Times New Roman"/>
          <w:sz w:val="28"/>
          <w:szCs w:val="28"/>
          <w:lang w:val="uk-UA"/>
        </w:rPr>
        <w:t xml:space="preserve">управління талантами; </w:t>
      </w:r>
    </w:p>
    <w:p w14:paraId="1067CBCA" w14:textId="77777777" w:rsidR="00571B42"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5E7C2B">
        <w:rPr>
          <w:rFonts w:ascii="Times New Roman" w:hAnsi="Times New Roman" w:cs="Times New Roman"/>
          <w:sz w:val="28"/>
          <w:szCs w:val="28"/>
          <w:lang w:val="uk-UA"/>
        </w:rPr>
        <w:t>роцес впровадження управління талантами був зумовлений обмеженням доступу спеціалістів на відкритих ринках, а також необхідністю навчання та</w:t>
      </w:r>
      <w:r>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 xml:space="preserve">утримання в результаті власного персоналу. В одному випадку </w:t>
      </w:r>
      <w:r>
        <w:rPr>
          <w:rFonts w:ascii="Times New Roman" w:hAnsi="Times New Roman" w:cs="Times New Roman"/>
          <w:sz w:val="28"/>
          <w:szCs w:val="28"/>
          <w:lang w:val="uk-UA"/>
        </w:rPr>
        <w:t>управління талантами</w:t>
      </w:r>
      <w:r w:rsidRPr="005E7C2B">
        <w:rPr>
          <w:rFonts w:ascii="Times New Roman" w:hAnsi="Times New Roman" w:cs="Times New Roman"/>
          <w:sz w:val="28"/>
          <w:szCs w:val="28"/>
          <w:lang w:val="uk-UA"/>
        </w:rPr>
        <w:t xml:space="preserve"> було запроваджено через побоювання, що працівники будуть захоплені конкурентами в тому ж секторі.</w:t>
      </w:r>
    </w:p>
    <w:p w14:paraId="7901B0AA"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Pr="005E7C2B">
        <w:rPr>
          <w:rFonts w:ascii="Times New Roman" w:hAnsi="Times New Roman" w:cs="Times New Roman"/>
          <w:sz w:val="28"/>
          <w:szCs w:val="28"/>
          <w:lang w:val="uk-UA"/>
        </w:rPr>
        <w:t xml:space="preserve">начний вплив на дискусії на підприємствах щодо необхідності та ефективності програм </w:t>
      </w:r>
      <w:r>
        <w:rPr>
          <w:rFonts w:ascii="Times New Roman" w:hAnsi="Times New Roman" w:cs="Times New Roman"/>
          <w:sz w:val="28"/>
          <w:szCs w:val="28"/>
          <w:lang w:val="uk-UA"/>
        </w:rPr>
        <w:t>управління талантами</w:t>
      </w:r>
      <w:r w:rsidRPr="005E7C2B">
        <w:rPr>
          <w:rFonts w:ascii="Times New Roman" w:hAnsi="Times New Roman" w:cs="Times New Roman"/>
          <w:sz w:val="28"/>
          <w:szCs w:val="28"/>
          <w:lang w:val="uk-UA"/>
        </w:rPr>
        <w:t xml:space="preserve"> мали процеси глобалізації людських ресур</w:t>
      </w:r>
      <w:r>
        <w:rPr>
          <w:rFonts w:ascii="Times New Roman" w:hAnsi="Times New Roman" w:cs="Times New Roman"/>
          <w:sz w:val="28"/>
          <w:szCs w:val="28"/>
          <w:lang w:val="uk-UA"/>
        </w:rPr>
        <w:t xml:space="preserve">сів, так звана трудова міграція; </w:t>
      </w:r>
    </w:p>
    <w:p w14:paraId="50E35102"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Pr="005E7C2B">
        <w:rPr>
          <w:rFonts w:ascii="Times New Roman" w:hAnsi="Times New Roman" w:cs="Times New Roman"/>
          <w:sz w:val="28"/>
          <w:szCs w:val="28"/>
          <w:lang w:val="uk-UA"/>
        </w:rPr>
        <w:t xml:space="preserve">а підприємствах немає стандартизованого визначення таланту, водночас немає стандартизованих методів і технік у рамках процесу управління </w:t>
      </w:r>
      <w:r w:rsidRPr="005E7C2B">
        <w:rPr>
          <w:rFonts w:ascii="Times New Roman" w:hAnsi="Times New Roman" w:cs="Times New Roman"/>
          <w:sz w:val="28"/>
          <w:szCs w:val="28"/>
          <w:lang w:val="uk-UA"/>
        </w:rPr>
        <w:lastRenderedPageBreak/>
        <w:t>талантами. У двох випадках у внутрішніх документах не було виявлено жодних спроб визначити, що</w:t>
      </w:r>
      <w:r>
        <w:rPr>
          <w:rFonts w:ascii="Times New Roman" w:hAnsi="Times New Roman" w:cs="Times New Roman"/>
          <w:sz w:val="28"/>
          <w:szCs w:val="28"/>
          <w:lang w:val="uk-UA"/>
        </w:rPr>
        <w:t xml:space="preserve"> означає талант для конкретного підприємства;</w:t>
      </w:r>
    </w:p>
    <w:p w14:paraId="3BA79F41"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5E7C2B">
        <w:rPr>
          <w:rFonts w:ascii="Times New Roman" w:hAnsi="Times New Roman" w:cs="Times New Roman"/>
          <w:sz w:val="28"/>
          <w:szCs w:val="28"/>
          <w:lang w:val="uk-UA"/>
        </w:rPr>
        <w:t xml:space="preserve">ідрозділами, відповідальними за підготовку та виконання програм </w:t>
      </w:r>
      <w:r>
        <w:rPr>
          <w:rFonts w:ascii="Times New Roman" w:hAnsi="Times New Roman" w:cs="Times New Roman"/>
          <w:sz w:val="28"/>
          <w:szCs w:val="28"/>
          <w:lang w:val="uk-UA"/>
        </w:rPr>
        <w:t>управління талантами</w:t>
      </w:r>
      <w:r w:rsidRPr="005E7C2B">
        <w:rPr>
          <w:rFonts w:ascii="Times New Roman" w:hAnsi="Times New Roman" w:cs="Times New Roman"/>
          <w:sz w:val="28"/>
          <w:szCs w:val="28"/>
          <w:lang w:val="uk-UA"/>
        </w:rPr>
        <w:t>, є відділи кадрів, розташовані в центральних офісах підприємств. Проте оцінка ефект</w:t>
      </w:r>
      <w:r>
        <w:rPr>
          <w:rFonts w:ascii="Times New Roman" w:hAnsi="Times New Roman" w:cs="Times New Roman"/>
          <w:sz w:val="28"/>
          <w:szCs w:val="28"/>
          <w:lang w:val="uk-UA"/>
        </w:rPr>
        <w:t>ивності здійснюється правлінням;</w:t>
      </w:r>
    </w:p>
    <w:p w14:paraId="28955F2D"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5E7C2B">
        <w:rPr>
          <w:rFonts w:ascii="Times New Roman" w:hAnsi="Times New Roman" w:cs="Times New Roman"/>
          <w:sz w:val="28"/>
          <w:szCs w:val="28"/>
          <w:lang w:val="uk-UA"/>
        </w:rPr>
        <w:t>роаналізовані підприємства застосовують однакову концепцію управління талантами в усіх</w:t>
      </w:r>
      <w:r>
        <w:rPr>
          <w:rFonts w:ascii="Times New Roman" w:hAnsi="Times New Roman" w:cs="Times New Roman"/>
          <w:sz w:val="28"/>
          <w:szCs w:val="28"/>
          <w:lang w:val="uk-UA"/>
        </w:rPr>
        <w:t xml:space="preserve"> своїх локаціях по всьому світу;</w:t>
      </w:r>
    </w:p>
    <w:p w14:paraId="0570FDAB"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5E7C2B">
        <w:rPr>
          <w:rFonts w:ascii="Times New Roman" w:hAnsi="Times New Roman" w:cs="Times New Roman"/>
          <w:sz w:val="28"/>
          <w:szCs w:val="28"/>
          <w:lang w:val="uk-UA"/>
        </w:rPr>
        <w:t xml:space="preserve">рограми </w:t>
      </w:r>
      <w:r>
        <w:rPr>
          <w:rFonts w:ascii="Times New Roman" w:hAnsi="Times New Roman" w:cs="Times New Roman"/>
          <w:sz w:val="28"/>
          <w:szCs w:val="28"/>
          <w:lang w:val="uk-UA"/>
        </w:rPr>
        <w:t>управління талантами</w:t>
      </w:r>
      <w:r w:rsidRPr="005E7C2B">
        <w:rPr>
          <w:rFonts w:ascii="Times New Roman" w:hAnsi="Times New Roman" w:cs="Times New Roman"/>
          <w:sz w:val="28"/>
          <w:szCs w:val="28"/>
          <w:lang w:val="uk-UA"/>
        </w:rPr>
        <w:t xml:space="preserve"> в основному визначаються стратегіями підприємств і перева</w:t>
      </w:r>
      <w:r>
        <w:rPr>
          <w:rFonts w:ascii="Times New Roman" w:hAnsi="Times New Roman" w:cs="Times New Roman"/>
          <w:sz w:val="28"/>
          <w:szCs w:val="28"/>
          <w:lang w:val="uk-UA"/>
        </w:rPr>
        <w:t>жаючою організаційною культурою;</w:t>
      </w:r>
    </w:p>
    <w:p w14:paraId="5AC04510" w14:textId="77777777" w:rsidR="00571B42"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у</w:t>
      </w:r>
      <w:r w:rsidRPr="005E7C2B">
        <w:rPr>
          <w:rFonts w:ascii="Times New Roman" w:hAnsi="Times New Roman" w:cs="Times New Roman"/>
          <w:sz w:val="28"/>
          <w:szCs w:val="28"/>
          <w:lang w:val="uk-UA"/>
        </w:rPr>
        <w:t xml:space="preserve"> більш ніж половині випадків програми управління талантами орієнтовані на всіх співробітників. Лише у трьох випадках адресати вказув</w:t>
      </w:r>
      <w:r>
        <w:rPr>
          <w:rFonts w:ascii="Times New Roman" w:hAnsi="Times New Roman" w:cs="Times New Roman"/>
          <w:sz w:val="28"/>
          <w:szCs w:val="28"/>
          <w:lang w:val="uk-UA"/>
        </w:rPr>
        <w:t xml:space="preserve">али виключно на керівний склад; </w:t>
      </w:r>
    </w:p>
    <w:p w14:paraId="1D265CA4" w14:textId="77777777" w:rsidR="00571B42"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Pr="005E7C2B">
        <w:rPr>
          <w:rFonts w:ascii="Times New Roman" w:hAnsi="Times New Roman" w:cs="Times New Roman"/>
          <w:sz w:val="28"/>
          <w:szCs w:val="28"/>
          <w:lang w:val="uk-UA"/>
        </w:rPr>
        <w:t xml:space="preserve">ізні підходи також свідчать про постійний пошук рішень у сфері </w:t>
      </w:r>
      <w:r>
        <w:rPr>
          <w:rFonts w:ascii="Times New Roman" w:hAnsi="Times New Roman" w:cs="Times New Roman"/>
          <w:sz w:val="28"/>
          <w:szCs w:val="28"/>
          <w:lang w:val="uk-UA"/>
        </w:rPr>
        <w:t>управління талантами</w:t>
      </w:r>
      <w:r w:rsidRPr="005E7C2B">
        <w:rPr>
          <w:rFonts w:ascii="Times New Roman" w:hAnsi="Times New Roman" w:cs="Times New Roman"/>
          <w:sz w:val="28"/>
          <w:szCs w:val="28"/>
          <w:lang w:val="uk-UA"/>
        </w:rPr>
        <w:t>. Більшість проаналізованих підприємств заявили про зміни у</w:t>
      </w:r>
      <w:r>
        <w:rPr>
          <w:rFonts w:ascii="Times New Roman" w:hAnsi="Times New Roman" w:cs="Times New Roman"/>
          <w:sz w:val="28"/>
          <w:szCs w:val="28"/>
          <w:lang w:val="uk-UA"/>
        </w:rPr>
        <w:t xml:space="preserve"> своїх програмах у майбутньому;</w:t>
      </w:r>
    </w:p>
    <w:p w14:paraId="63BCD3A5" w14:textId="77777777" w:rsidR="00571B42" w:rsidRPr="00B564F4"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B564F4">
        <w:rPr>
          <w:rFonts w:ascii="Times New Roman" w:hAnsi="Times New Roman" w:cs="Times New Roman"/>
          <w:sz w:val="28"/>
          <w:szCs w:val="28"/>
          <w:lang w:val="uk-UA"/>
        </w:rPr>
        <w:t xml:space="preserve">роблемне питання управління талантами вимагає суттєвих змін на підприємстві та пристосування </w:t>
      </w:r>
      <w:r>
        <w:rPr>
          <w:rFonts w:ascii="Times New Roman" w:hAnsi="Times New Roman" w:cs="Times New Roman"/>
          <w:sz w:val="28"/>
          <w:szCs w:val="28"/>
          <w:lang w:val="uk-UA"/>
        </w:rPr>
        <w:t>управління талантами</w:t>
      </w:r>
      <w:r w:rsidRPr="00B564F4">
        <w:rPr>
          <w:rFonts w:ascii="Times New Roman" w:hAnsi="Times New Roman" w:cs="Times New Roman"/>
          <w:sz w:val="28"/>
          <w:szCs w:val="28"/>
          <w:lang w:val="uk-UA"/>
        </w:rPr>
        <w:t xml:space="preserve"> до його масштабів, сектора і в першу чергу до активів і очікуваних активів людських ресурсів на думку мен</w:t>
      </w:r>
      <w:r>
        <w:rPr>
          <w:rFonts w:ascii="Times New Roman" w:hAnsi="Times New Roman" w:cs="Times New Roman"/>
          <w:sz w:val="28"/>
          <w:szCs w:val="28"/>
          <w:lang w:val="uk-UA"/>
        </w:rPr>
        <w:t>еджерів з персоналу;</w:t>
      </w:r>
    </w:p>
    <w:p w14:paraId="5E105980"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E7C2B">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B564F4">
        <w:rPr>
          <w:rFonts w:ascii="Times New Roman" w:hAnsi="Times New Roman" w:cs="Times New Roman"/>
          <w:sz w:val="28"/>
          <w:szCs w:val="28"/>
          <w:lang w:val="uk-UA"/>
        </w:rPr>
        <w:t xml:space="preserve">бмеженням проведеного дослідження була відсутність перевірки ефективності застосованих програм </w:t>
      </w:r>
      <w:r>
        <w:rPr>
          <w:rFonts w:ascii="Times New Roman" w:hAnsi="Times New Roman" w:cs="Times New Roman"/>
          <w:sz w:val="28"/>
          <w:szCs w:val="28"/>
          <w:lang w:val="uk-UA"/>
        </w:rPr>
        <w:t>управління талантами</w:t>
      </w:r>
      <w:r w:rsidRPr="00B564F4">
        <w:rPr>
          <w:rFonts w:ascii="Times New Roman" w:hAnsi="Times New Roman" w:cs="Times New Roman"/>
          <w:sz w:val="28"/>
          <w:szCs w:val="28"/>
          <w:lang w:val="uk-UA"/>
        </w:rPr>
        <w:t xml:space="preserve"> з точки зору самих співробітників щодо того, чи дійсно бул</w:t>
      </w:r>
      <w:r>
        <w:rPr>
          <w:rFonts w:ascii="Times New Roman" w:hAnsi="Times New Roman" w:cs="Times New Roman"/>
          <w:sz w:val="28"/>
          <w:szCs w:val="28"/>
          <w:lang w:val="uk-UA"/>
        </w:rPr>
        <w:t>и досягнуті представлені ефекти</w:t>
      </w:r>
      <w:r w:rsidRPr="005E7C2B">
        <w:rPr>
          <w:rFonts w:ascii="Times New Roman" w:hAnsi="Times New Roman" w:cs="Times New Roman"/>
          <w:sz w:val="28"/>
          <w:szCs w:val="28"/>
          <w:lang w:val="uk-UA"/>
        </w:rPr>
        <w:t>.</w:t>
      </w:r>
    </w:p>
    <w:p w14:paraId="3446674E" w14:textId="77777777" w:rsidR="00571B42" w:rsidRPr="005E7C2B"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Сьогодні війна за таланти та управління талантами має базуватися на нових передумовах, які впливають на кількість, якість та характеристики талантів, такі як: глобальні демографічні та економічні тенденції, збільшення мобільності людей та організацій, трансформаційні зміни у бізнес-середовищі, навичках і культурі, а також зростаючий рівень різноманітності робочої</w:t>
      </w:r>
      <w:r>
        <w:rPr>
          <w:rFonts w:ascii="Times New Roman" w:hAnsi="Times New Roman" w:cs="Times New Roman"/>
          <w:sz w:val="28"/>
          <w:szCs w:val="28"/>
          <w:lang w:val="uk-UA"/>
        </w:rPr>
        <w:t xml:space="preserve"> сили </w:t>
      </w:r>
      <w:r w:rsidRPr="005D1B01">
        <w:rPr>
          <w:rFonts w:ascii="Times New Roman" w:hAnsi="Times New Roman" w:cs="Times New Roman"/>
          <w:sz w:val="28"/>
          <w:szCs w:val="28"/>
          <w:lang w:val="uk-UA"/>
        </w:rPr>
        <w:t>[216]</w:t>
      </w:r>
      <w:r w:rsidRPr="005E7C2B">
        <w:rPr>
          <w:rFonts w:ascii="Times New Roman" w:hAnsi="Times New Roman" w:cs="Times New Roman"/>
          <w:sz w:val="28"/>
          <w:szCs w:val="28"/>
          <w:lang w:val="uk-UA"/>
        </w:rPr>
        <w:t>.</w:t>
      </w:r>
    </w:p>
    <w:p w14:paraId="0BF5F315"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5E7C2B">
        <w:rPr>
          <w:rFonts w:ascii="Times New Roman" w:hAnsi="Times New Roman" w:cs="Times New Roman"/>
          <w:sz w:val="28"/>
          <w:szCs w:val="28"/>
          <w:lang w:val="uk-UA"/>
        </w:rPr>
        <w:t xml:space="preserve">Виявлення та утримання відповідних талантів у відповідний час, у відповідному місці залишаються постійним викликом для підприємств, особливо </w:t>
      </w:r>
      <w:r w:rsidRPr="005E7C2B">
        <w:rPr>
          <w:rFonts w:ascii="Times New Roman" w:hAnsi="Times New Roman" w:cs="Times New Roman"/>
          <w:sz w:val="28"/>
          <w:szCs w:val="28"/>
          <w:lang w:val="uk-UA"/>
        </w:rPr>
        <w:lastRenderedPageBreak/>
        <w:t xml:space="preserve">на початку економічного спаду. Навіть коли економічне зростання повернеться, розвиток тих же технологій матиме значний вплив на рівень складності організацій і конкретних робочих місць. Робота також стає реляційною, а не </w:t>
      </w:r>
      <w:proofErr w:type="spellStart"/>
      <w:r w:rsidRPr="005E7C2B">
        <w:rPr>
          <w:rFonts w:ascii="Times New Roman" w:hAnsi="Times New Roman" w:cs="Times New Roman"/>
          <w:sz w:val="28"/>
          <w:szCs w:val="28"/>
          <w:lang w:val="uk-UA"/>
        </w:rPr>
        <w:t>транзакційною</w:t>
      </w:r>
      <w:proofErr w:type="spellEnd"/>
      <w:r w:rsidRPr="005E7C2B">
        <w:rPr>
          <w:rFonts w:ascii="Times New Roman" w:hAnsi="Times New Roman" w:cs="Times New Roman"/>
          <w:sz w:val="28"/>
          <w:szCs w:val="28"/>
          <w:lang w:val="uk-UA"/>
        </w:rPr>
        <w:t>, тоді як здатність підрозділів будувати та підтримувати відносини, а також здатність організації створювати системи та процеси з метою максимізації цих відносин для ефективності бізнесу мають ключове значення для побудови конкурентн</w:t>
      </w:r>
      <w:r>
        <w:rPr>
          <w:rFonts w:ascii="Times New Roman" w:hAnsi="Times New Roman" w:cs="Times New Roman"/>
          <w:sz w:val="28"/>
          <w:szCs w:val="28"/>
          <w:lang w:val="uk-UA"/>
        </w:rPr>
        <w:t>ої</w:t>
      </w:r>
      <w:r w:rsidRPr="005E7C2B">
        <w:rPr>
          <w:rFonts w:ascii="Times New Roman" w:hAnsi="Times New Roman" w:cs="Times New Roman"/>
          <w:sz w:val="28"/>
          <w:szCs w:val="28"/>
          <w:lang w:val="uk-UA"/>
        </w:rPr>
        <w:t xml:space="preserve"> переваг</w:t>
      </w:r>
      <w:r>
        <w:rPr>
          <w:rFonts w:ascii="Times New Roman" w:hAnsi="Times New Roman" w:cs="Times New Roman"/>
          <w:sz w:val="28"/>
          <w:szCs w:val="28"/>
          <w:lang w:val="uk-UA"/>
        </w:rPr>
        <w:t>и</w:t>
      </w:r>
      <w:r w:rsidRPr="005E7C2B">
        <w:rPr>
          <w:rFonts w:ascii="Times New Roman" w:hAnsi="Times New Roman" w:cs="Times New Roman"/>
          <w:sz w:val="28"/>
          <w:szCs w:val="28"/>
          <w:lang w:val="uk-UA"/>
        </w:rPr>
        <w:t xml:space="preserve"> завдяки залученню, розвитку та ефективному управлінню талантами. У нинішній час роботодавці не можуть дозволити собі продовжувати намагатися вирішити проблеми з відсутністю або коливанням талантів. Війна за таланти триває.</w:t>
      </w:r>
      <w:r>
        <w:rPr>
          <w:rFonts w:ascii="Times New Roman" w:hAnsi="Times New Roman" w:cs="Times New Roman"/>
          <w:sz w:val="28"/>
          <w:szCs w:val="28"/>
          <w:lang w:val="uk-UA"/>
        </w:rPr>
        <w:t xml:space="preserve"> </w:t>
      </w:r>
      <w:r w:rsidRPr="005E7C2B">
        <w:rPr>
          <w:rFonts w:ascii="Times New Roman" w:hAnsi="Times New Roman" w:cs="Times New Roman"/>
          <w:sz w:val="28"/>
          <w:szCs w:val="28"/>
          <w:lang w:val="uk-UA"/>
        </w:rPr>
        <w:t>Проте проведені дослідження показали, що безліч бізнес-моделей і прийнятих заходів підприємств не встигають за існуючими моделями управління талантами. Війна за таланти має базуватися на нових припущеннях. Отже, стає необхідним визначити поняття таланту в сучасних викликах організації та її оточення, а також розробити нові керівні принципи для процесу управління талантами.</w:t>
      </w:r>
    </w:p>
    <w:p w14:paraId="757B14A3"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Цікавим фактом для нашого дослідження є те, що о</w:t>
      </w:r>
      <w:r w:rsidRPr="007F7EB7">
        <w:rPr>
          <w:rFonts w:ascii="Times New Roman" w:hAnsi="Times New Roman" w:cs="Times New Roman"/>
          <w:sz w:val="28"/>
          <w:szCs w:val="28"/>
          <w:lang w:val="uk-UA"/>
        </w:rPr>
        <w:t xml:space="preserve">днією з найважливіших подій у міжнародному управлінні людськими ресурсами за останні п’ятнадцять років стало посилення уваги до ефективного управління тими особами з високим рівнем людського капіталу, які є ключовими для успіху організації як </w:t>
      </w:r>
      <w:r>
        <w:rPr>
          <w:rFonts w:ascii="Times New Roman" w:hAnsi="Times New Roman" w:cs="Times New Roman"/>
          <w:sz w:val="28"/>
          <w:szCs w:val="28"/>
          <w:lang w:val="uk-UA"/>
        </w:rPr>
        <w:t>для вітчизняних підприємств</w:t>
      </w:r>
      <w:r w:rsidRPr="007F7EB7">
        <w:rPr>
          <w:rFonts w:ascii="Times New Roman" w:hAnsi="Times New Roman" w:cs="Times New Roman"/>
          <w:sz w:val="28"/>
          <w:szCs w:val="28"/>
          <w:lang w:val="uk-UA"/>
        </w:rPr>
        <w:t xml:space="preserve">, так і за кордоном </w:t>
      </w:r>
      <w:r w:rsidRPr="005D1B01">
        <w:rPr>
          <w:rFonts w:ascii="Times New Roman" w:hAnsi="Times New Roman" w:cs="Times New Roman"/>
          <w:sz w:val="28"/>
          <w:szCs w:val="28"/>
          <w:lang w:val="uk-UA"/>
        </w:rPr>
        <w:t>[</w:t>
      </w:r>
      <w:r>
        <w:rPr>
          <w:rFonts w:ascii="Times New Roman" w:hAnsi="Times New Roman" w:cs="Times New Roman"/>
          <w:sz w:val="28"/>
          <w:szCs w:val="28"/>
          <w:lang w:val="uk-UA"/>
        </w:rPr>
        <w:t>219</w:t>
      </w:r>
      <w:r w:rsidRPr="005D1B01">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Починаючи з другої половини 1990-х років, сфера управління талантами стала ключовою сферою уваги як для практиків, так і для </w:t>
      </w:r>
      <w:r>
        <w:rPr>
          <w:rFonts w:ascii="Times New Roman" w:hAnsi="Times New Roman" w:cs="Times New Roman"/>
          <w:sz w:val="28"/>
          <w:szCs w:val="28"/>
          <w:lang w:val="uk-UA"/>
        </w:rPr>
        <w:t>науковців. Управління талантами</w:t>
      </w:r>
      <w:r w:rsidRPr="007F7EB7">
        <w:rPr>
          <w:rFonts w:ascii="Times New Roman" w:hAnsi="Times New Roman" w:cs="Times New Roman"/>
          <w:sz w:val="28"/>
          <w:szCs w:val="28"/>
          <w:lang w:val="uk-UA"/>
        </w:rPr>
        <w:t xml:space="preserve"> можна розглядати як підмножину стратегічного управління людськими ресурсами, яке зосереджується на значущих методах, спрямованих на залучення </w:t>
      </w:r>
      <w:r>
        <w:rPr>
          <w:rFonts w:ascii="Times New Roman" w:hAnsi="Times New Roman" w:cs="Times New Roman"/>
          <w:sz w:val="28"/>
          <w:szCs w:val="28"/>
          <w:lang w:val="uk-UA"/>
        </w:rPr>
        <w:t>чи</w:t>
      </w:r>
      <w:r w:rsidRPr="007F7EB7">
        <w:rPr>
          <w:rFonts w:ascii="Times New Roman" w:hAnsi="Times New Roman" w:cs="Times New Roman"/>
          <w:sz w:val="28"/>
          <w:szCs w:val="28"/>
          <w:lang w:val="uk-UA"/>
        </w:rPr>
        <w:t xml:space="preserve"> ідентифікацію, мотивацію, розвиток </w:t>
      </w:r>
      <w:r>
        <w:rPr>
          <w:rFonts w:ascii="Times New Roman" w:hAnsi="Times New Roman" w:cs="Times New Roman"/>
          <w:sz w:val="28"/>
          <w:szCs w:val="28"/>
          <w:lang w:val="uk-UA"/>
        </w:rPr>
        <w:t>і</w:t>
      </w:r>
      <w:r w:rsidRPr="007F7EB7">
        <w:rPr>
          <w:rFonts w:ascii="Times New Roman" w:hAnsi="Times New Roman" w:cs="Times New Roman"/>
          <w:sz w:val="28"/>
          <w:szCs w:val="28"/>
          <w:lang w:val="uk-UA"/>
        </w:rPr>
        <w:t xml:space="preserve"> утримання найцінніших працівників організації та забезпечення їхнього розміщення на тих ролях, які додати найбільшу цінність організації. </w:t>
      </w:r>
      <w:r>
        <w:rPr>
          <w:rFonts w:ascii="Times New Roman" w:hAnsi="Times New Roman" w:cs="Times New Roman"/>
          <w:sz w:val="28"/>
          <w:szCs w:val="28"/>
          <w:lang w:val="uk-UA"/>
        </w:rPr>
        <w:t>До важливих факторів, що відрізняють управління талантами</w:t>
      </w:r>
      <w:r w:rsidRPr="007F7EB7">
        <w:rPr>
          <w:rFonts w:ascii="Times New Roman" w:hAnsi="Times New Roman" w:cs="Times New Roman"/>
          <w:sz w:val="28"/>
          <w:szCs w:val="28"/>
          <w:lang w:val="uk-UA"/>
        </w:rPr>
        <w:t xml:space="preserve"> від </w:t>
      </w:r>
      <w:r>
        <w:rPr>
          <w:rFonts w:ascii="Times New Roman" w:hAnsi="Times New Roman" w:cs="Times New Roman"/>
          <w:sz w:val="28"/>
          <w:szCs w:val="28"/>
          <w:lang w:val="uk-UA"/>
        </w:rPr>
        <w:t>управління людськими ресурсами, має бути віднесена</w:t>
      </w:r>
      <w:r w:rsidRPr="007F7EB7">
        <w:rPr>
          <w:rFonts w:ascii="Times New Roman" w:hAnsi="Times New Roman" w:cs="Times New Roman"/>
          <w:sz w:val="28"/>
          <w:szCs w:val="28"/>
          <w:lang w:val="uk-UA"/>
        </w:rPr>
        <w:t xml:space="preserve"> більш</w:t>
      </w:r>
      <w:r>
        <w:rPr>
          <w:rFonts w:ascii="Times New Roman" w:hAnsi="Times New Roman" w:cs="Times New Roman"/>
          <w:sz w:val="28"/>
          <w:szCs w:val="28"/>
          <w:lang w:val="uk-UA"/>
        </w:rPr>
        <w:t>а</w:t>
      </w:r>
      <w:r w:rsidRPr="007F7EB7">
        <w:rPr>
          <w:rFonts w:ascii="Times New Roman" w:hAnsi="Times New Roman" w:cs="Times New Roman"/>
          <w:sz w:val="28"/>
          <w:szCs w:val="28"/>
          <w:lang w:val="uk-UA"/>
        </w:rPr>
        <w:t xml:space="preserve"> кількість зацікавлених сторін, до складу якої входить управління талантами; переміщ</w:t>
      </w:r>
      <w:r>
        <w:rPr>
          <w:rFonts w:ascii="Times New Roman" w:hAnsi="Times New Roman" w:cs="Times New Roman"/>
          <w:sz w:val="28"/>
          <w:szCs w:val="28"/>
          <w:lang w:val="uk-UA"/>
        </w:rPr>
        <w:t>ення</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центру управління</w:t>
      </w:r>
      <w:r w:rsidRPr="007F7EB7">
        <w:rPr>
          <w:rFonts w:ascii="Times New Roman" w:hAnsi="Times New Roman" w:cs="Times New Roman"/>
          <w:sz w:val="28"/>
          <w:szCs w:val="28"/>
          <w:lang w:val="uk-UA"/>
        </w:rPr>
        <w:t xml:space="preserve"> людськи</w:t>
      </w:r>
      <w:r>
        <w:rPr>
          <w:rFonts w:ascii="Times New Roman" w:hAnsi="Times New Roman" w:cs="Times New Roman"/>
          <w:sz w:val="28"/>
          <w:szCs w:val="28"/>
          <w:lang w:val="uk-UA"/>
        </w:rPr>
        <w:t>ми</w:t>
      </w:r>
      <w:r w:rsidRPr="007F7EB7">
        <w:rPr>
          <w:rFonts w:ascii="Times New Roman" w:hAnsi="Times New Roman" w:cs="Times New Roman"/>
          <w:sz w:val="28"/>
          <w:szCs w:val="28"/>
          <w:lang w:val="uk-UA"/>
        </w:rPr>
        <w:t xml:space="preserve"> ресурс</w:t>
      </w:r>
      <w:r>
        <w:rPr>
          <w:rFonts w:ascii="Times New Roman" w:hAnsi="Times New Roman" w:cs="Times New Roman"/>
          <w:sz w:val="28"/>
          <w:szCs w:val="28"/>
          <w:lang w:val="uk-UA"/>
        </w:rPr>
        <w:t>ами</w:t>
      </w:r>
      <w:r w:rsidRPr="007F7EB7">
        <w:rPr>
          <w:rFonts w:ascii="Times New Roman" w:hAnsi="Times New Roman" w:cs="Times New Roman"/>
          <w:sz w:val="28"/>
          <w:szCs w:val="28"/>
          <w:lang w:val="uk-UA"/>
        </w:rPr>
        <w:t xml:space="preserve"> за межі </w:t>
      </w:r>
      <w:r w:rsidRPr="007F7EB7">
        <w:rPr>
          <w:rFonts w:ascii="Times New Roman" w:hAnsi="Times New Roman" w:cs="Times New Roman"/>
          <w:sz w:val="28"/>
          <w:szCs w:val="28"/>
          <w:lang w:val="uk-UA"/>
        </w:rPr>
        <w:lastRenderedPageBreak/>
        <w:t>відділу кадрів; більш вузьк</w:t>
      </w:r>
      <w:r>
        <w:rPr>
          <w:rFonts w:ascii="Times New Roman" w:hAnsi="Times New Roman" w:cs="Times New Roman"/>
          <w:sz w:val="28"/>
          <w:szCs w:val="28"/>
          <w:lang w:val="uk-UA"/>
        </w:rPr>
        <w:t>а</w:t>
      </w:r>
      <w:r w:rsidRPr="007F7EB7">
        <w:rPr>
          <w:rFonts w:ascii="Times New Roman" w:hAnsi="Times New Roman" w:cs="Times New Roman"/>
          <w:sz w:val="28"/>
          <w:szCs w:val="28"/>
          <w:lang w:val="uk-UA"/>
        </w:rPr>
        <w:t xml:space="preserve"> спрямованість, ніж HR, і, як правило, орієнтован</w:t>
      </w:r>
      <w:r>
        <w:rPr>
          <w:rFonts w:ascii="Times New Roman" w:hAnsi="Times New Roman" w:cs="Times New Roman"/>
          <w:sz w:val="28"/>
          <w:szCs w:val="28"/>
          <w:lang w:val="uk-UA"/>
        </w:rPr>
        <w:t>а</w:t>
      </w:r>
      <w:r w:rsidRPr="007F7EB7">
        <w:rPr>
          <w:rFonts w:ascii="Times New Roman" w:hAnsi="Times New Roman" w:cs="Times New Roman"/>
          <w:sz w:val="28"/>
          <w:szCs w:val="28"/>
          <w:lang w:val="uk-UA"/>
        </w:rPr>
        <w:t xml:space="preserve"> на працівників із висо</w:t>
      </w:r>
      <w:r>
        <w:rPr>
          <w:rFonts w:ascii="Times New Roman" w:hAnsi="Times New Roman" w:cs="Times New Roman"/>
          <w:sz w:val="28"/>
          <w:szCs w:val="28"/>
          <w:lang w:val="uk-UA"/>
        </w:rPr>
        <w:t>ким рівнем людського капіталу</w:t>
      </w:r>
      <w:r w:rsidRPr="007F7EB7">
        <w:rPr>
          <w:rFonts w:ascii="Times New Roman" w:hAnsi="Times New Roman" w:cs="Times New Roman"/>
          <w:sz w:val="28"/>
          <w:szCs w:val="28"/>
          <w:lang w:val="uk-UA"/>
        </w:rPr>
        <w:t xml:space="preserve">; більша диференціація HR-практик для підтримки потреб працівників </w:t>
      </w:r>
      <w:r w:rsidRPr="005D1B01">
        <w:rPr>
          <w:rFonts w:ascii="Times New Roman" w:hAnsi="Times New Roman" w:cs="Times New Roman"/>
          <w:sz w:val="28"/>
          <w:szCs w:val="28"/>
          <w:lang w:val="uk-UA"/>
        </w:rPr>
        <w:t>[219]</w:t>
      </w:r>
      <w:r w:rsidRPr="007F7EB7">
        <w:rPr>
          <w:rFonts w:ascii="Times New Roman" w:hAnsi="Times New Roman" w:cs="Times New Roman"/>
          <w:sz w:val="28"/>
          <w:szCs w:val="28"/>
          <w:lang w:val="uk-UA"/>
        </w:rPr>
        <w:t>.</w:t>
      </w:r>
    </w:p>
    <w:p w14:paraId="0DD3B145" w14:textId="6AF005A8"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З точки зору практиків, вирішення всіх питань, пов’язаних із управлінням талантами </w:t>
      </w:r>
      <w:r w:rsidR="00E82D76">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залучення/визначення, розвиток, мобілізація та утримання ключових співробітників </w:t>
      </w:r>
      <w:r w:rsidR="00E82D76">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потребує значного часу й ресурсів, а також керівників компаній загалом. Таким чином, сфера управління талантами привернула значну увагу </w:t>
      </w:r>
      <w:r>
        <w:rPr>
          <w:rFonts w:ascii="Times New Roman" w:hAnsi="Times New Roman" w:cs="Times New Roman"/>
          <w:sz w:val="28"/>
          <w:szCs w:val="28"/>
          <w:lang w:val="uk-UA"/>
        </w:rPr>
        <w:t>представників</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певних </w:t>
      </w:r>
      <w:r w:rsidRPr="007F7EB7">
        <w:rPr>
          <w:rFonts w:ascii="Times New Roman" w:hAnsi="Times New Roman" w:cs="Times New Roman"/>
          <w:sz w:val="28"/>
          <w:szCs w:val="28"/>
          <w:lang w:val="uk-UA"/>
        </w:rPr>
        <w:t>галуз</w:t>
      </w:r>
      <w:r>
        <w:rPr>
          <w:rFonts w:ascii="Times New Roman" w:hAnsi="Times New Roman" w:cs="Times New Roman"/>
          <w:sz w:val="28"/>
          <w:szCs w:val="28"/>
          <w:lang w:val="uk-UA"/>
        </w:rPr>
        <w:t>ей</w:t>
      </w:r>
      <w:r w:rsidRPr="007F7EB7">
        <w:rPr>
          <w:rFonts w:ascii="Times New Roman" w:hAnsi="Times New Roman" w:cs="Times New Roman"/>
          <w:sz w:val="28"/>
          <w:szCs w:val="28"/>
          <w:lang w:val="uk-UA"/>
        </w:rPr>
        <w:t xml:space="preserve"> промисловості, </w:t>
      </w:r>
      <w:r>
        <w:rPr>
          <w:rFonts w:ascii="Times New Roman" w:hAnsi="Times New Roman" w:cs="Times New Roman"/>
          <w:sz w:val="28"/>
          <w:szCs w:val="28"/>
          <w:lang w:val="uk-UA"/>
        </w:rPr>
        <w:t xml:space="preserve">певного </w:t>
      </w:r>
      <w:r w:rsidRPr="007F7EB7">
        <w:rPr>
          <w:rFonts w:ascii="Times New Roman" w:hAnsi="Times New Roman" w:cs="Times New Roman"/>
          <w:sz w:val="28"/>
          <w:szCs w:val="28"/>
          <w:lang w:val="uk-UA"/>
        </w:rPr>
        <w:t>географічно</w:t>
      </w:r>
      <w:r>
        <w:rPr>
          <w:rFonts w:ascii="Times New Roman" w:hAnsi="Times New Roman" w:cs="Times New Roman"/>
          <w:sz w:val="28"/>
          <w:szCs w:val="28"/>
          <w:lang w:val="uk-UA"/>
        </w:rPr>
        <w:t>го</w:t>
      </w:r>
      <w:r w:rsidRPr="007F7EB7">
        <w:rPr>
          <w:rFonts w:ascii="Times New Roman" w:hAnsi="Times New Roman" w:cs="Times New Roman"/>
          <w:sz w:val="28"/>
          <w:szCs w:val="28"/>
          <w:lang w:val="uk-UA"/>
        </w:rPr>
        <w:t xml:space="preserve"> розташуванн</w:t>
      </w:r>
      <w:r>
        <w:rPr>
          <w:rFonts w:ascii="Times New Roman" w:hAnsi="Times New Roman" w:cs="Times New Roman"/>
          <w:sz w:val="28"/>
          <w:szCs w:val="28"/>
          <w:lang w:val="uk-UA"/>
        </w:rPr>
        <w:t>я</w:t>
      </w:r>
      <w:r w:rsidRPr="007F7EB7">
        <w:rPr>
          <w:rFonts w:ascii="Times New Roman" w:hAnsi="Times New Roman" w:cs="Times New Roman"/>
          <w:sz w:val="28"/>
          <w:szCs w:val="28"/>
          <w:lang w:val="uk-UA"/>
        </w:rPr>
        <w:t xml:space="preserve"> та керівник</w:t>
      </w:r>
      <w:r>
        <w:rPr>
          <w:rFonts w:ascii="Times New Roman" w:hAnsi="Times New Roman" w:cs="Times New Roman"/>
          <w:sz w:val="28"/>
          <w:szCs w:val="28"/>
          <w:lang w:val="uk-UA"/>
        </w:rPr>
        <w:t>ів</w:t>
      </w:r>
      <w:r w:rsidRPr="007F7EB7">
        <w:rPr>
          <w:rFonts w:ascii="Times New Roman" w:hAnsi="Times New Roman" w:cs="Times New Roman"/>
          <w:sz w:val="28"/>
          <w:szCs w:val="28"/>
          <w:lang w:val="uk-UA"/>
        </w:rPr>
        <w:t xml:space="preserve"> компаній. Дійсно, незважаючи на те, що </w:t>
      </w:r>
      <w:r>
        <w:rPr>
          <w:rFonts w:ascii="Times New Roman" w:hAnsi="Times New Roman" w:cs="Times New Roman"/>
          <w:sz w:val="28"/>
          <w:szCs w:val="28"/>
          <w:lang w:val="uk-UA"/>
        </w:rPr>
        <w:t>у</w:t>
      </w:r>
      <w:r w:rsidRPr="007F7EB7">
        <w:rPr>
          <w:rFonts w:ascii="Times New Roman" w:hAnsi="Times New Roman" w:cs="Times New Roman"/>
          <w:sz w:val="28"/>
          <w:szCs w:val="28"/>
          <w:lang w:val="uk-UA"/>
        </w:rPr>
        <w:t xml:space="preserve"> звіті </w:t>
      </w:r>
      <w:proofErr w:type="spellStart"/>
      <w:r w:rsidRPr="007F7EB7">
        <w:rPr>
          <w:rFonts w:ascii="Times New Roman" w:hAnsi="Times New Roman" w:cs="Times New Roman"/>
          <w:sz w:val="28"/>
          <w:szCs w:val="28"/>
          <w:lang w:val="uk-UA"/>
        </w:rPr>
        <w:t>Ernst</w:t>
      </w:r>
      <w:proofErr w:type="spellEnd"/>
      <w:r w:rsidRPr="007F7EB7">
        <w:rPr>
          <w:rFonts w:ascii="Times New Roman" w:hAnsi="Times New Roman" w:cs="Times New Roman"/>
          <w:sz w:val="28"/>
          <w:szCs w:val="28"/>
          <w:lang w:val="uk-UA"/>
        </w:rPr>
        <w:t xml:space="preserve"> &amp; </w:t>
      </w:r>
      <w:proofErr w:type="spellStart"/>
      <w:r w:rsidRPr="007F7EB7">
        <w:rPr>
          <w:rFonts w:ascii="Times New Roman" w:hAnsi="Times New Roman" w:cs="Times New Roman"/>
          <w:sz w:val="28"/>
          <w:szCs w:val="28"/>
          <w:lang w:val="uk-UA"/>
        </w:rPr>
        <w:t>Young</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[220]</w:t>
      </w:r>
      <w:r>
        <w:rPr>
          <w:rFonts w:ascii="Times New Roman" w:hAnsi="Times New Roman" w:cs="Times New Roman"/>
          <w:sz w:val="28"/>
          <w:szCs w:val="28"/>
          <w:lang w:val="uk-UA"/>
        </w:rPr>
        <w:t xml:space="preserve"> стверджується, що </w:t>
      </w:r>
      <w:r w:rsidRPr="007F7EB7">
        <w:rPr>
          <w:rFonts w:ascii="Times New Roman" w:hAnsi="Times New Roman" w:cs="Times New Roman"/>
          <w:sz w:val="28"/>
          <w:szCs w:val="28"/>
          <w:lang w:val="uk-UA"/>
        </w:rPr>
        <w:t>вищ</w:t>
      </w:r>
      <w:r>
        <w:rPr>
          <w:rFonts w:ascii="Times New Roman" w:hAnsi="Times New Roman" w:cs="Times New Roman"/>
          <w:sz w:val="28"/>
          <w:szCs w:val="28"/>
          <w:lang w:val="uk-UA"/>
        </w:rPr>
        <w:t>ій рівень</w:t>
      </w:r>
      <w:r w:rsidRPr="007F7EB7">
        <w:rPr>
          <w:rFonts w:ascii="Times New Roman" w:hAnsi="Times New Roman" w:cs="Times New Roman"/>
          <w:sz w:val="28"/>
          <w:szCs w:val="28"/>
          <w:lang w:val="uk-UA"/>
        </w:rPr>
        <w:t xml:space="preserve"> управління талантами </w:t>
      </w:r>
      <w:r>
        <w:rPr>
          <w:rFonts w:ascii="Times New Roman" w:hAnsi="Times New Roman" w:cs="Times New Roman"/>
          <w:sz w:val="28"/>
          <w:szCs w:val="28"/>
          <w:lang w:val="uk-UA"/>
        </w:rPr>
        <w:t>суттєво зацікавлений у</w:t>
      </w:r>
      <w:r w:rsidRPr="007F7EB7">
        <w:rPr>
          <w:rFonts w:ascii="Times New Roman" w:hAnsi="Times New Roman" w:cs="Times New Roman"/>
          <w:sz w:val="28"/>
          <w:szCs w:val="28"/>
          <w:lang w:val="uk-UA"/>
        </w:rPr>
        <w:t xml:space="preserve"> покращенн</w:t>
      </w:r>
      <w:r>
        <w:rPr>
          <w:rFonts w:ascii="Times New Roman" w:hAnsi="Times New Roman" w:cs="Times New Roman"/>
          <w:sz w:val="28"/>
          <w:szCs w:val="28"/>
          <w:lang w:val="uk-UA"/>
        </w:rPr>
        <w:t>і бізнес-результатів</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але все</w:t>
      </w:r>
      <w:r w:rsidRPr="007F7EB7">
        <w:rPr>
          <w:rFonts w:ascii="Times New Roman" w:hAnsi="Times New Roman" w:cs="Times New Roman"/>
          <w:sz w:val="28"/>
          <w:szCs w:val="28"/>
          <w:lang w:val="uk-UA"/>
        </w:rPr>
        <w:t xml:space="preserve"> що мало надійних наукових досліджень щодо результатів ефективного управління талантами.</w:t>
      </w:r>
    </w:p>
    <w:p w14:paraId="0D4467E1"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На індивідуальному рівні високоталановиті працівники за умови ефективного управління можуть значно перевищувати цінність для організації, ніж середні працівники організації. Наприклад, для робіт, які вимагають повторюваної, нетворчої роботи, найкращі виконавці в 2-3 рази продуктивніші за інших, тоді як для більш творчих і спеціалізованих робіт різниця може досягати </w:t>
      </w:r>
      <w:r>
        <w:rPr>
          <w:rFonts w:ascii="Times New Roman" w:hAnsi="Times New Roman" w:cs="Times New Roman"/>
          <w:sz w:val="28"/>
          <w:szCs w:val="28"/>
          <w:lang w:val="uk-UA"/>
        </w:rPr>
        <w:t xml:space="preserve">збільшення у </w:t>
      </w:r>
      <w:r w:rsidRPr="007F7EB7">
        <w:rPr>
          <w:rFonts w:ascii="Times New Roman" w:hAnsi="Times New Roman" w:cs="Times New Roman"/>
          <w:sz w:val="28"/>
          <w:szCs w:val="28"/>
          <w:lang w:val="uk-UA"/>
        </w:rPr>
        <w:t xml:space="preserve">6 разів. У середньому за всіма роботами, професіями та регіонами світу найкращі працівники приблизно в 4 рази продуктивніші за інших своїх колег </w:t>
      </w:r>
      <w:r w:rsidRPr="005D1B01">
        <w:rPr>
          <w:rFonts w:ascii="Times New Roman" w:hAnsi="Times New Roman" w:cs="Times New Roman"/>
          <w:sz w:val="28"/>
          <w:szCs w:val="28"/>
        </w:rPr>
        <w:t>[221]</w:t>
      </w:r>
      <w:r w:rsidRPr="007F7EB7">
        <w:rPr>
          <w:rFonts w:ascii="Times New Roman" w:hAnsi="Times New Roman" w:cs="Times New Roman"/>
          <w:sz w:val="28"/>
          <w:szCs w:val="28"/>
          <w:lang w:val="uk-UA"/>
        </w:rPr>
        <w:t>. Ключовим завданням для управління талантами є максимізація внеску цих працівників у стабільний успіх організації.</w:t>
      </w:r>
    </w:p>
    <w:p w14:paraId="1451E4FA" w14:textId="0B5A9041"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З академічної точки зору, </w:t>
      </w:r>
      <w:r>
        <w:rPr>
          <w:rFonts w:ascii="Times New Roman" w:hAnsi="Times New Roman" w:cs="Times New Roman"/>
          <w:sz w:val="28"/>
          <w:szCs w:val="28"/>
          <w:lang w:val="uk-UA"/>
        </w:rPr>
        <w:t xml:space="preserve">початок </w:t>
      </w:r>
      <w:r w:rsidRPr="007F7EB7">
        <w:rPr>
          <w:rFonts w:ascii="Times New Roman" w:hAnsi="Times New Roman" w:cs="Times New Roman"/>
          <w:sz w:val="28"/>
          <w:szCs w:val="28"/>
          <w:lang w:val="uk-UA"/>
        </w:rPr>
        <w:t>дебат</w:t>
      </w:r>
      <w:r>
        <w:rPr>
          <w:rFonts w:ascii="Times New Roman" w:hAnsi="Times New Roman" w:cs="Times New Roman"/>
          <w:sz w:val="28"/>
          <w:szCs w:val="28"/>
          <w:lang w:val="uk-UA"/>
        </w:rPr>
        <w:t>ів</w:t>
      </w:r>
      <w:r w:rsidRPr="007F7EB7">
        <w:rPr>
          <w:rFonts w:ascii="Times New Roman" w:hAnsi="Times New Roman" w:cs="Times New Roman"/>
          <w:sz w:val="28"/>
          <w:szCs w:val="28"/>
          <w:lang w:val="uk-UA"/>
        </w:rPr>
        <w:t xml:space="preserve"> про управління талантами можна простежити </w:t>
      </w:r>
      <w:r>
        <w:rPr>
          <w:rFonts w:ascii="Times New Roman" w:hAnsi="Times New Roman" w:cs="Times New Roman"/>
          <w:sz w:val="28"/>
          <w:szCs w:val="28"/>
          <w:lang w:val="uk-UA"/>
        </w:rPr>
        <w:t>від</w:t>
      </w:r>
      <w:r w:rsidRPr="007F7EB7">
        <w:rPr>
          <w:rFonts w:ascii="Times New Roman" w:hAnsi="Times New Roman" w:cs="Times New Roman"/>
          <w:sz w:val="28"/>
          <w:szCs w:val="28"/>
          <w:lang w:val="uk-UA"/>
        </w:rPr>
        <w:t xml:space="preserve"> середини 1980-х років, коли почалися дискурси про стратегічну роль людських ресурсів в успіху організації. Однак академічна спільнота, принаймні спочатку, досить скептично ставилася до концепції управління талантами. Більшість критики була пов’язана з відсутністю концептуальної та інтелектуальної основи, а також очевидною відсутністю визначення та академічної точності базових конструкцій </w:t>
      </w:r>
      <w:r w:rsidRPr="005D1B01">
        <w:rPr>
          <w:rFonts w:ascii="Times New Roman" w:hAnsi="Times New Roman" w:cs="Times New Roman"/>
          <w:sz w:val="28"/>
          <w:szCs w:val="28"/>
          <w:lang w:val="uk-UA"/>
        </w:rPr>
        <w:t>[222</w:t>
      </w:r>
      <w:r w:rsidR="00E82D76">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223</w:t>
      </w:r>
      <w:r w:rsidR="00E82D76">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224]</w:t>
      </w:r>
      <w:r w:rsidRPr="007F7EB7">
        <w:rPr>
          <w:rFonts w:ascii="Times New Roman" w:hAnsi="Times New Roman" w:cs="Times New Roman"/>
          <w:sz w:val="28"/>
          <w:szCs w:val="28"/>
          <w:lang w:val="uk-UA"/>
        </w:rPr>
        <w:t>.</w:t>
      </w:r>
    </w:p>
    <w:p w14:paraId="24CA142D" w14:textId="3CD9A8A6"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Емпіричних доказів управління талантами </w:t>
      </w:r>
      <w:r>
        <w:rPr>
          <w:rFonts w:ascii="Times New Roman" w:hAnsi="Times New Roman" w:cs="Times New Roman"/>
          <w:sz w:val="28"/>
          <w:szCs w:val="28"/>
          <w:lang w:val="uk-UA"/>
        </w:rPr>
        <w:t xml:space="preserve">і до тепер все ще </w:t>
      </w:r>
      <w:r w:rsidRPr="007F7EB7">
        <w:rPr>
          <w:rFonts w:ascii="Times New Roman" w:hAnsi="Times New Roman" w:cs="Times New Roman"/>
          <w:sz w:val="28"/>
          <w:szCs w:val="28"/>
          <w:lang w:val="uk-UA"/>
        </w:rPr>
        <w:t xml:space="preserve">залишається мало. Проте обмежені наявні докази вказують на широкі розбіжності між </w:t>
      </w:r>
      <w:r w:rsidRPr="007F7EB7">
        <w:rPr>
          <w:rFonts w:ascii="Times New Roman" w:hAnsi="Times New Roman" w:cs="Times New Roman"/>
          <w:sz w:val="28"/>
          <w:szCs w:val="28"/>
          <w:lang w:val="uk-UA"/>
        </w:rPr>
        <w:lastRenderedPageBreak/>
        <w:t xml:space="preserve">риторикою формальної політики та реальністю організаційної практики </w:t>
      </w:r>
      <w:r w:rsidRPr="005D1B01">
        <w:rPr>
          <w:rFonts w:ascii="Times New Roman" w:hAnsi="Times New Roman" w:cs="Times New Roman"/>
          <w:sz w:val="28"/>
          <w:szCs w:val="28"/>
          <w:lang w:val="uk-UA"/>
        </w:rPr>
        <w:t>[225]</w:t>
      </w:r>
      <w:r w:rsidRPr="007F7EB7">
        <w:rPr>
          <w:rFonts w:ascii="Times New Roman" w:hAnsi="Times New Roman" w:cs="Times New Roman"/>
          <w:sz w:val="28"/>
          <w:szCs w:val="28"/>
          <w:lang w:val="uk-UA"/>
        </w:rPr>
        <w:t xml:space="preserve">. Незважаючи на те, що більшість організацій визнають першорядну важливість управління талантами, більшість із них не вміють ефективно керувати талантами </w:t>
      </w:r>
      <w:r w:rsidRPr="005D1B01">
        <w:rPr>
          <w:rFonts w:ascii="Times New Roman" w:hAnsi="Times New Roman" w:cs="Times New Roman"/>
          <w:sz w:val="28"/>
          <w:szCs w:val="28"/>
        </w:rPr>
        <w:t>[226</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227]</w:t>
      </w:r>
      <w:r w:rsidRPr="007F7EB7">
        <w:rPr>
          <w:rFonts w:ascii="Times New Roman" w:hAnsi="Times New Roman" w:cs="Times New Roman"/>
          <w:sz w:val="28"/>
          <w:szCs w:val="28"/>
          <w:lang w:val="uk-UA"/>
        </w:rPr>
        <w:t xml:space="preserve">. Нещодавня глобальна фінансова криза викликала запитання щодо незмінної важливості управління талантами, але дані свідчать про те, що це залишається основною проблемою для вищих </w:t>
      </w:r>
      <w:r>
        <w:rPr>
          <w:rFonts w:ascii="Times New Roman" w:hAnsi="Times New Roman" w:cs="Times New Roman"/>
          <w:sz w:val="28"/>
          <w:szCs w:val="28"/>
          <w:lang w:val="uk-UA"/>
        </w:rPr>
        <w:t xml:space="preserve">рівнів </w:t>
      </w:r>
      <w:r w:rsidRPr="007F7EB7">
        <w:rPr>
          <w:rFonts w:ascii="Times New Roman" w:hAnsi="Times New Roman" w:cs="Times New Roman"/>
          <w:sz w:val="28"/>
          <w:szCs w:val="28"/>
          <w:lang w:val="uk-UA"/>
        </w:rPr>
        <w:t>менедж</w:t>
      </w:r>
      <w:r>
        <w:rPr>
          <w:rFonts w:ascii="Times New Roman" w:hAnsi="Times New Roman" w:cs="Times New Roman"/>
          <w:sz w:val="28"/>
          <w:szCs w:val="28"/>
          <w:lang w:val="uk-UA"/>
        </w:rPr>
        <w:t>менту</w:t>
      </w:r>
      <w:r w:rsidRPr="007F7EB7">
        <w:rPr>
          <w:rFonts w:ascii="Times New Roman" w:hAnsi="Times New Roman" w:cs="Times New Roman"/>
          <w:sz w:val="28"/>
          <w:szCs w:val="28"/>
          <w:lang w:val="uk-UA"/>
        </w:rPr>
        <w:t xml:space="preserve"> у більшості економік, оскільки в багатьох секторах зберігається брак навичок. Для деяких компаній виявлення, залучення та утримання талановитих </w:t>
      </w:r>
      <w:proofErr w:type="spellStart"/>
      <w:r w:rsidRPr="007F7EB7">
        <w:rPr>
          <w:rFonts w:ascii="Times New Roman" w:hAnsi="Times New Roman" w:cs="Times New Roman"/>
          <w:sz w:val="28"/>
          <w:szCs w:val="28"/>
          <w:lang w:val="uk-UA"/>
        </w:rPr>
        <w:t>високоцінних</w:t>
      </w:r>
      <w:proofErr w:type="spellEnd"/>
      <w:r w:rsidRPr="007F7EB7">
        <w:rPr>
          <w:rFonts w:ascii="Times New Roman" w:hAnsi="Times New Roman" w:cs="Times New Roman"/>
          <w:sz w:val="28"/>
          <w:szCs w:val="28"/>
          <w:lang w:val="uk-UA"/>
        </w:rPr>
        <w:t xml:space="preserve"> співробітників на ключових ролях і посадах фактично зросли в останні роки </w:t>
      </w:r>
      <w:r w:rsidRPr="005D1B01">
        <w:rPr>
          <w:rFonts w:ascii="Times New Roman" w:hAnsi="Times New Roman" w:cs="Times New Roman"/>
          <w:sz w:val="28"/>
          <w:szCs w:val="28"/>
        </w:rPr>
        <w:t>[228</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229</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230]</w:t>
      </w:r>
      <w:r w:rsidRPr="007F7EB7">
        <w:rPr>
          <w:rFonts w:ascii="Times New Roman" w:hAnsi="Times New Roman" w:cs="Times New Roman"/>
          <w:sz w:val="28"/>
          <w:szCs w:val="28"/>
          <w:lang w:val="uk-UA"/>
        </w:rPr>
        <w:t>. Це підтверджується останнім</w:t>
      </w:r>
      <w:r>
        <w:rPr>
          <w:rFonts w:ascii="Times New Roman" w:hAnsi="Times New Roman" w:cs="Times New Roman"/>
          <w:sz w:val="28"/>
          <w:szCs w:val="28"/>
          <w:lang w:val="uk-UA"/>
        </w:rPr>
        <w:t>и</w:t>
      </w:r>
      <w:r w:rsidRPr="007F7EB7">
        <w:rPr>
          <w:rFonts w:ascii="Times New Roman" w:hAnsi="Times New Roman" w:cs="Times New Roman"/>
          <w:sz w:val="28"/>
          <w:szCs w:val="28"/>
          <w:lang w:val="uk-UA"/>
        </w:rPr>
        <w:t xml:space="preserve"> опитуванням</w:t>
      </w:r>
      <w:r>
        <w:rPr>
          <w:rFonts w:ascii="Times New Roman" w:hAnsi="Times New Roman" w:cs="Times New Roman"/>
          <w:sz w:val="28"/>
          <w:szCs w:val="28"/>
          <w:lang w:val="uk-UA"/>
        </w:rPr>
        <w:t>и</w:t>
      </w:r>
      <w:r w:rsidRPr="007F7EB7">
        <w:rPr>
          <w:rFonts w:ascii="Times New Roman" w:hAnsi="Times New Roman" w:cs="Times New Roman"/>
          <w:sz w:val="28"/>
          <w:szCs w:val="28"/>
          <w:lang w:val="uk-UA"/>
        </w:rPr>
        <w:t>, як</w:t>
      </w:r>
      <w:r>
        <w:rPr>
          <w:rFonts w:ascii="Times New Roman" w:hAnsi="Times New Roman" w:cs="Times New Roman"/>
          <w:sz w:val="28"/>
          <w:szCs w:val="28"/>
          <w:lang w:val="uk-UA"/>
        </w:rPr>
        <w:t>і</w:t>
      </w:r>
      <w:r w:rsidRPr="007F7EB7">
        <w:rPr>
          <w:rFonts w:ascii="Times New Roman" w:hAnsi="Times New Roman" w:cs="Times New Roman"/>
          <w:sz w:val="28"/>
          <w:szCs w:val="28"/>
          <w:lang w:val="uk-UA"/>
        </w:rPr>
        <w:t xml:space="preserve"> повідомля</w:t>
      </w:r>
      <w:r>
        <w:rPr>
          <w:rFonts w:ascii="Times New Roman" w:hAnsi="Times New Roman" w:cs="Times New Roman"/>
          <w:sz w:val="28"/>
          <w:szCs w:val="28"/>
          <w:lang w:val="uk-UA"/>
        </w:rPr>
        <w:t>ють</w:t>
      </w:r>
      <w:r w:rsidRPr="007F7EB7">
        <w:rPr>
          <w:rFonts w:ascii="Times New Roman" w:hAnsi="Times New Roman" w:cs="Times New Roman"/>
          <w:sz w:val="28"/>
          <w:szCs w:val="28"/>
          <w:lang w:val="uk-UA"/>
        </w:rPr>
        <w:t xml:space="preserve">, що управління талантами залишається пріоритетом номер один для 78 </w:t>
      </w:r>
      <w:r>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компаній у всьому світі </w:t>
      </w:r>
      <w:r w:rsidRPr="005D1B01">
        <w:rPr>
          <w:rFonts w:ascii="Times New Roman" w:hAnsi="Times New Roman" w:cs="Times New Roman"/>
          <w:sz w:val="28"/>
          <w:szCs w:val="28"/>
        </w:rPr>
        <w:t>[231]</w:t>
      </w:r>
      <w:r w:rsidRPr="007F7EB7">
        <w:rPr>
          <w:rFonts w:ascii="Times New Roman" w:hAnsi="Times New Roman" w:cs="Times New Roman"/>
          <w:sz w:val="28"/>
          <w:szCs w:val="28"/>
          <w:lang w:val="uk-UA"/>
        </w:rPr>
        <w:t>.</w:t>
      </w:r>
    </w:p>
    <w:p w14:paraId="7774D584"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 основний підсумок проведеного дослідження можемо запропонувати наступні напрями: по-перше, доцільно</w:t>
      </w:r>
      <w:r w:rsidRPr="007F7EB7">
        <w:rPr>
          <w:rFonts w:ascii="Times New Roman" w:hAnsi="Times New Roman" w:cs="Times New Roman"/>
          <w:sz w:val="28"/>
          <w:szCs w:val="28"/>
          <w:lang w:val="uk-UA"/>
        </w:rPr>
        <w:t xml:space="preserve"> переглянути </w:t>
      </w:r>
      <w:r>
        <w:rPr>
          <w:rFonts w:ascii="Times New Roman" w:hAnsi="Times New Roman" w:cs="Times New Roman"/>
          <w:sz w:val="28"/>
          <w:szCs w:val="28"/>
          <w:lang w:val="uk-UA"/>
        </w:rPr>
        <w:t>спрямування дискусії</w:t>
      </w:r>
      <w:r w:rsidRPr="007F7EB7">
        <w:rPr>
          <w:rFonts w:ascii="Times New Roman" w:hAnsi="Times New Roman" w:cs="Times New Roman"/>
          <w:sz w:val="28"/>
          <w:szCs w:val="28"/>
          <w:lang w:val="uk-UA"/>
        </w:rPr>
        <w:t xml:space="preserve"> навколо концептуальних та інтелектуальних кордонів управління талантами. По-друге, </w:t>
      </w:r>
      <w:r>
        <w:rPr>
          <w:rFonts w:ascii="Times New Roman" w:hAnsi="Times New Roman" w:cs="Times New Roman"/>
          <w:sz w:val="28"/>
          <w:szCs w:val="28"/>
          <w:lang w:val="uk-UA"/>
        </w:rPr>
        <w:t xml:space="preserve">потрібно ще раз акцентувати увагу на </w:t>
      </w:r>
      <w:r w:rsidRPr="007F7EB7">
        <w:rPr>
          <w:rFonts w:ascii="Times New Roman" w:hAnsi="Times New Roman" w:cs="Times New Roman"/>
          <w:sz w:val="28"/>
          <w:szCs w:val="28"/>
          <w:lang w:val="uk-UA"/>
        </w:rPr>
        <w:t>дослідж</w:t>
      </w:r>
      <w:r>
        <w:rPr>
          <w:rFonts w:ascii="Times New Roman" w:hAnsi="Times New Roman" w:cs="Times New Roman"/>
          <w:sz w:val="28"/>
          <w:szCs w:val="28"/>
          <w:lang w:val="uk-UA"/>
        </w:rPr>
        <w:t>енні</w:t>
      </w:r>
      <w:r w:rsidRPr="007F7EB7">
        <w:rPr>
          <w:rFonts w:ascii="Times New Roman" w:hAnsi="Times New Roman" w:cs="Times New Roman"/>
          <w:sz w:val="28"/>
          <w:szCs w:val="28"/>
          <w:lang w:val="uk-UA"/>
        </w:rPr>
        <w:t xml:space="preserve"> глобальн</w:t>
      </w:r>
      <w:r>
        <w:rPr>
          <w:rFonts w:ascii="Times New Roman" w:hAnsi="Times New Roman" w:cs="Times New Roman"/>
          <w:sz w:val="28"/>
          <w:szCs w:val="28"/>
          <w:lang w:val="uk-UA"/>
        </w:rPr>
        <w:t>ого</w:t>
      </w:r>
      <w:r w:rsidRPr="007F7EB7">
        <w:rPr>
          <w:rFonts w:ascii="Times New Roman" w:hAnsi="Times New Roman" w:cs="Times New Roman"/>
          <w:sz w:val="28"/>
          <w:szCs w:val="28"/>
          <w:lang w:val="uk-UA"/>
        </w:rPr>
        <w:t xml:space="preserve"> контекст</w:t>
      </w:r>
      <w:r>
        <w:rPr>
          <w:rFonts w:ascii="Times New Roman" w:hAnsi="Times New Roman" w:cs="Times New Roman"/>
          <w:sz w:val="28"/>
          <w:szCs w:val="28"/>
          <w:lang w:val="uk-UA"/>
        </w:rPr>
        <w:t>у</w:t>
      </w:r>
      <w:r w:rsidRPr="007F7EB7">
        <w:rPr>
          <w:rFonts w:ascii="Times New Roman" w:hAnsi="Times New Roman" w:cs="Times New Roman"/>
          <w:sz w:val="28"/>
          <w:szCs w:val="28"/>
          <w:lang w:val="uk-UA"/>
        </w:rPr>
        <w:t xml:space="preserve"> управління талантами шляхом аналізу чотирьох ключових зовнішніх факторів, що на </w:t>
      </w:r>
      <w:r>
        <w:rPr>
          <w:rFonts w:ascii="Times New Roman" w:hAnsi="Times New Roman" w:cs="Times New Roman"/>
          <w:sz w:val="28"/>
          <w:szCs w:val="28"/>
          <w:lang w:val="uk-UA"/>
        </w:rPr>
        <w:t xml:space="preserve">них </w:t>
      </w:r>
      <w:r w:rsidRPr="007F7EB7">
        <w:rPr>
          <w:rFonts w:ascii="Times New Roman" w:hAnsi="Times New Roman" w:cs="Times New Roman"/>
          <w:sz w:val="28"/>
          <w:szCs w:val="28"/>
          <w:lang w:val="uk-UA"/>
        </w:rPr>
        <w:t xml:space="preserve">впливають, і аналізу їхнього потенційного впливу на політику </w:t>
      </w:r>
      <w:r>
        <w:rPr>
          <w:rFonts w:ascii="Times New Roman" w:hAnsi="Times New Roman" w:cs="Times New Roman"/>
          <w:sz w:val="28"/>
          <w:szCs w:val="28"/>
          <w:lang w:val="uk-UA"/>
        </w:rPr>
        <w:t>управління талантами</w:t>
      </w:r>
      <w:r w:rsidRPr="007F7EB7">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роль у формуванні </w:t>
      </w:r>
      <w:r w:rsidRPr="007F7EB7">
        <w:rPr>
          <w:rFonts w:ascii="Times New Roman" w:hAnsi="Times New Roman" w:cs="Times New Roman"/>
          <w:sz w:val="28"/>
          <w:szCs w:val="28"/>
          <w:lang w:val="uk-UA"/>
        </w:rPr>
        <w:t xml:space="preserve">стратегії. По-третє, </w:t>
      </w:r>
      <w:r>
        <w:rPr>
          <w:rFonts w:ascii="Times New Roman" w:hAnsi="Times New Roman" w:cs="Times New Roman"/>
          <w:sz w:val="28"/>
          <w:szCs w:val="28"/>
          <w:lang w:val="uk-UA"/>
        </w:rPr>
        <w:t>необхідно</w:t>
      </w:r>
      <w:r w:rsidRPr="007F7EB7">
        <w:rPr>
          <w:rFonts w:ascii="Times New Roman" w:hAnsi="Times New Roman" w:cs="Times New Roman"/>
          <w:sz w:val="28"/>
          <w:szCs w:val="28"/>
          <w:lang w:val="uk-UA"/>
        </w:rPr>
        <w:t xml:space="preserve"> розгля</w:t>
      </w:r>
      <w:r>
        <w:rPr>
          <w:rFonts w:ascii="Times New Roman" w:hAnsi="Times New Roman" w:cs="Times New Roman"/>
          <w:sz w:val="28"/>
          <w:szCs w:val="28"/>
          <w:lang w:val="uk-UA"/>
        </w:rPr>
        <w:t xml:space="preserve">нути </w:t>
      </w:r>
      <w:r w:rsidRPr="007F7EB7">
        <w:rPr>
          <w:rFonts w:ascii="Times New Roman" w:hAnsi="Times New Roman" w:cs="Times New Roman"/>
          <w:sz w:val="28"/>
          <w:szCs w:val="28"/>
          <w:lang w:val="uk-UA"/>
        </w:rPr>
        <w:t>питання, пов’язані з управління</w:t>
      </w:r>
      <w:r>
        <w:rPr>
          <w:rFonts w:ascii="Times New Roman" w:hAnsi="Times New Roman" w:cs="Times New Roman"/>
          <w:sz w:val="28"/>
          <w:szCs w:val="28"/>
          <w:lang w:val="uk-UA"/>
        </w:rPr>
        <w:t>м</w:t>
      </w:r>
      <w:r w:rsidRPr="007F7EB7">
        <w:rPr>
          <w:rFonts w:ascii="Times New Roman" w:hAnsi="Times New Roman" w:cs="Times New Roman"/>
          <w:sz w:val="28"/>
          <w:szCs w:val="28"/>
          <w:lang w:val="uk-UA"/>
        </w:rPr>
        <w:t xml:space="preserve"> талантами у багатонаціональних підприємствах, і роль відділу кадрів в управлінні талантами. Нарешті, </w:t>
      </w:r>
      <w:r>
        <w:rPr>
          <w:rFonts w:ascii="Times New Roman" w:hAnsi="Times New Roman" w:cs="Times New Roman"/>
          <w:sz w:val="28"/>
          <w:szCs w:val="28"/>
          <w:lang w:val="uk-UA"/>
        </w:rPr>
        <w:t>увагу має бути</w:t>
      </w:r>
      <w:r w:rsidRPr="007F7EB7">
        <w:rPr>
          <w:rFonts w:ascii="Times New Roman" w:hAnsi="Times New Roman" w:cs="Times New Roman"/>
          <w:sz w:val="28"/>
          <w:szCs w:val="28"/>
          <w:lang w:val="uk-UA"/>
        </w:rPr>
        <w:t xml:space="preserve"> спрямован</w:t>
      </w:r>
      <w:r>
        <w:rPr>
          <w:rFonts w:ascii="Times New Roman" w:hAnsi="Times New Roman" w:cs="Times New Roman"/>
          <w:sz w:val="28"/>
          <w:szCs w:val="28"/>
          <w:lang w:val="uk-UA"/>
        </w:rPr>
        <w:t>а на визначення деяких напрям</w:t>
      </w:r>
      <w:r w:rsidRPr="007F7EB7">
        <w:rPr>
          <w:rFonts w:ascii="Times New Roman" w:hAnsi="Times New Roman" w:cs="Times New Roman"/>
          <w:sz w:val="28"/>
          <w:szCs w:val="28"/>
          <w:lang w:val="uk-UA"/>
        </w:rPr>
        <w:t>ів дослідження, які можуть стати основою для майбутніх досліджень у сфері управління талантами.</w:t>
      </w:r>
    </w:p>
    <w:p w14:paraId="58301A9E" w14:textId="7EC9E22C"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Як зазначалося вище, серед науковців все ще тривають широкі дискусії щодо їхнього розуміння значення управління талантами, а також його концептуальних та інтелектуальних основ і меж. У той час як деякі вчені сприймають управління талантами з точки зору переважно людського капіталу </w:t>
      </w:r>
      <w:r w:rsidRPr="005D1B01">
        <w:rPr>
          <w:rFonts w:ascii="Times New Roman" w:hAnsi="Times New Roman" w:cs="Times New Roman"/>
          <w:sz w:val="28"/>
          <w:szCs w:val="28"/>
        </w:rPr>
        <w:t>[231]</w:t>
      </w:r>
      <w:r w:rsidRPr="007F7EB7">
        <w:rPr>
          <w:rFonts w:ascii="Times New Roman" w:hAnsi="Times New Roman" w:cs="Times New Roman"/>
          <w:sz w:val="28"/>
          <w:szCs w:val="28"/>
          <w:lang w:val="uk-UA"/>
        </w:rPr>
        <w:t xml:space="preserve">, інші наголошують на таланті як на джерелі успіху організації </w:t>
      </w:r>
      <w:r w:rsidRPr="005D1B01">
        <w:rPr>
          <w:rFonts w:ascii="Times New Roman" w:hAnsi="Times New Roman" w:cs="Times New Roman"/>
          <w:sz w:val="28"/>
          <w:szCs w:val="28"/>
        </w:rPr>
        <w:t>[222]</w:t>
      </w:r>
      <w:r w:rsidRPr="007F7EB7">
        <w:rPr>
          <w:rFonts w:ascii="Times New Roman" w:hAnsi="Times New Roman" w:cs="Times New Roman"/>
          <w:sz w:val="28"/>
          <w:szCs w:val="28"/>
          <w:lang w:val="uk-UA"/>
        </w:rPr>
        <w:t xml:space="preserve">. Ще інші дослідники бачать тісний зв’язок управління талантами із бізнес-стратегією та наголошують на ролі корпоративної культури в ефективній управління </w:t>
      </w:r>
      <w:r w:rsidRPr="007F7EB7">
        <w:rPr>
          <w:rFonts w:ascii="Times New Roman" w:hAnsi="Times New Roman" w:cs="Times New Roman"/>
          <w:sz w:val="28"/>
          <w:szCs w:val="28"/>
          <w:lang w:val="uk-UA"/>
        </w:rPr>
        <w:lastRenderedPageBreak/>
        <w:t xml:space="preserve">талантами </w:t>
      </w:r>
      <w:r w:rsidRPr="005D1B01">
        <w:rPr>
          <w:rFonts w:ascii="Times New Roman" w:hAnsi="Times New Roman" w:cs="Times New Roman"/>
          <w:sz w:val="28"/>
          <w:szCs w:val="28"/>
        </w:rPr>
        <w:t>[229]</w:t>
      </w:r>
      <w:r w:rsidRPr="007F7EB7">
        <w:rPr>
          <w:rFonts w:ascii="Times New Roman" w:hAnsi="Times New Roman" w:cs="Times New Roman"/>
          <w:sz w:val="28"/>
          <w:szCs w:val="28"/>
          <w:lang w:val="uk-UA"/>
        </w:rPr>
        <w:t>. Поле управління талантами або наше його тлумачення залишається туманним, оскільки науковці та практики намагаються узгодити точні визначення того, що таке талант і управління талантами</w:t>
      </w:r>
      <w:r w:rsidRPr="005D1B01">
        <w:rPr>
          <w:rFonts w:ascii="Times New Roman" w:hAnsi="Times New Roman" w:cs="Times New Roman"/>
          <w:sz w:val="28"/>
          <w:szCs w:val="28"/>
        </w:rPr>
        <w:t xml:space="preserve"> [227</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232</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233]</w:t>
      </w:r>
      <w:r>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Недавні публікації </w:t>
      </w:r>
      <w:r>
        <w:rPr>
          <w:rFonts w:ascii="Times New Roman" w:hAnsi="Times New Roman" w:cs="Times New Roman"/>
          <w:sz w:val="28"/>
          <w:szCs w:val="28"/>
          <w:lang w:val="uk-UA"/>
        </w:rPr>
        <w:t>висвітлюють</w:t>
      </w:r>
      <w:r w:rsidRPr="007F7EB7">
        <w:rPr>
          <w:rFonts w:ascii="Times New Roman" w:hAnsi="Times New Roman" w:cs="Times New Roman"/>
          <w:sz w:val="28"/>
          <w:szCs w:val="28"/>
          <w:lang w:val="uk-UA"/>
        </w:rPr>
        <w:t xml:space="preserve">, що ця відсутність точних визначень управління талантами могла сприяти нашому дещо неадекватному </w:t>
      </w:r>
      <w:r>
        <w:rPr>
          <w:rFonts w:ascii="Times New Roman" w:hAnsi="Times New Roman" w:cs="Times New Roman"/>
          <w:sz w:val="28"/>
          <w:szCs w:val="28"/>
          <w:lang w:val="uk-UA"/>
        </w:rPr>
        <w:t xml:space="preserve">та спрощеному </w:t>
      </w:r>
      <w:r w:rsidRPr="007F7EB7">
        <w:rPr>
          <w:rFonts w:ascii="Times New Roman" w:hAnsi="Times New Roman" w:cs="Times New Roman"/>
          <w:sz w:val="28"/>
          <w:szCs w:val="28"/>
          <w:lang w:val="uk-UA"/>
        </w:rPr>
        <w:t xml:space="preserve">розумінню цієї сфери з самого початку </w:t>
      </w:r>
      <w:r w:rsidRPr="005D1B01">
        <w:rPr>
          <w:rFonts w:ascii="Times New Roman" w:hAnsi="Times New Roman" w:cs="Times New Roman"/>
          <w:sz w:val="28"/>
          <w:szCs w:val="28"/>
        </w:rPr>
        <w:t>[227]</w:t>
      </w:r>
      <w:r w:rsidRPr="007F7EB7">
        <w:rPr>
          <w:rFonts w:ascii="Times New Roman" w:hAnsi="Times New Roman" w:cs="Times New Roman"/>
          <w:sz w:val="28"/>
          <w:szCs w:val="28"/>
          <w:lang w:val="uk-UA"/>
        </w:rPr>
        <w:t>. Подібні аргументи були висунуті навколо розвитку сфери залучення працівників, яка також виникла в спільноті практиків.</w:t>
      </w:r>
    </w:p>
    <w:p w14:paraId="487A0E5E" w14:textId="767C600C"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Тим не менш, зростає кількість публікацій</w:t>
      </w:r>
      <w:r w:rsidRPr="005D1B01">
        <w:rPr>
          <w:rFonts w:ascii="Times New Roman" w:hAnsi="Times New Roman" w:cs="Times New Roman"/>
          <w:sz w:val="28"/>
          <w:szCs w:val="28"/>
        </w:rPr>
        <w:t xml:space="preserve"> [219</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222</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224</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234]</w:t>
      </w:r>
      <w:r w:rsidRPr="007F7EB7">
        <w:rPr>
          <w:rFonts w:ascii="Times New Roman" w:hAnsi="Times New Roman" w:cs="Times New Roman"/>
          <w:sz w:val="28"/>
          <w:szCs w:val="28"/>
          <w:lang w:val="uk-UA"/>
        </w:rPr>
        <w:t xml:space="preserve">, які зробили значний внесок у </w:t>
      </w:r>
      <w:r>
        <w:rPr>
          <w:rFonts w:ascii="Times New Roman" w:hAnsi="Times New Roman" w:cs="Times New Roman"/>
          <w:sz w:val="28"/>
          <w:szCs w:val="28"/>
          <w:lang w:val="uk-UA"/>
        </w:rPr>
        <w:t>формування наукового напряму</w:t>
      </w:r>
      <w:r w:rsidRPr="007F7EB7">
        <w:rPr>
          <w:rFonts w:ascii="Times New Roman" w:hAnsi="Times New Roman" w:cs="Times New Roman"/>
          <w:sz w:val="28"/>
          <w:szCs w:val="28"/>
          <w:lang w:val="uk-UA"/>
        </w:rPr>
        <w:t xml:space="preserve">, забезпечивши деяку теоретичну основу для концепції управління талантами, що, </w:t>
      </w:r>
      <w:r>
        <w:rPr>
          <w:rFonts w:ascii="Times New Roman" w:hAnsi="Times New Roman" w:cs="Times New Roman"/>
          <w:sz w:val="28"/>
          <w:szCs w:val="28"/>
          <w:lang w:val="uk-UA"/>
        </w:rPr>
        <w:t>в</w:t>
      </w:r>
      <w:r w:rsidRPr="007F7EB7">
        <w:rPr>
          <w:rFonts w:ascii="Times New Roman" w:hAnsi="Times New Roman" w:cs="Times New Roman"/>
          <w:sz w:val="28"/>
          <w:szCs w:val="28"/>
          <w:lang w:val="uk-UA"/>
        </w:rPr>
        <w:t xml:space="preserve"> свою</w:t>
      </w:r>
      <w:r>
        <w:rPr>
          <w:rFonts w:ascii="Times New Roman" w:hAnsi="Times New Roman" w:cs="Times New Roman"/>
          <w:sz w:val="28"/>
          <w:szCs w:val="28"/>
          <w:lang w:val="uk-UA"/>
        </w:rPr>
        <w:t xml:space="preserve"> чергу, вселило певний оптимізм</w:t>
      </w:r>
      <w:r w:rsidRPr="007F7EB7">
        <w:rPr>
          <w:rFonts w:ascii="Times New Roman" w:hAnsi="Times New Roman" w:cs="Times New Roman"/>
          <w:sz w:val="28"/>
          <w:szCs w:val="28"/>
          <w:lang w:val="uk-UA"/>
        </w:rPr>
        <w:t xml:space="preserve"> для </w:t>
      </w:r>
      <w:r>
        <w:rPr>
          <w:rFonts w:ascii="Times New Roman" w:hAnsi="Times New Roman" w:cs="Times New Roman"/>
          <w:sz w:val="28"/>
          <w:szCs w:val="28"/>
          <w:lang w:val="uk-UA"/>
        </w:rPr>
        <w:t>можливого розвитку сфери</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та поглибленого</w:t>
      </w:r>
      <w:r w:rsidRPr="007F7EB7">
        <w:rPr>
          <w:rFonts w:ascii="Times New Roman" w:hAnsi="Times New Roman" w:cs="Times New Roman"/>
          <w:sz w:val="28"/>
          <w:szCs w:val="28"/>
          <w:lang w:val="uk-UA"/>
        </w:rPr>
        <w:t xml:space="preserve"> вивчення організаційного менеджменту</w:t>
      </w:r>
      <w:r>
        <w:rPr>
          <w:rFonts w:ascii="Times New Roman" w:hAnsi="Times New Roman" w:cs="Times New Roman"/>
          <w:sz w:val="28"/>
          <w:szCs w:val="28"/>
          <w:lang w:val="uk-UA"/>
        </w:rPr>
        <w:t xml:space="preserve"> з позиції управління </w:t>
      </w:r>
      <w:r w:rsidRPr="0076392D">
        <w:rPr>
          <w:rFonts w:ascii="Times New Roman" w:hAnsi="Times New Roman" w:cs="Times New Roman"/>
          <w:sz w:val="28"/>
          <w:szCs w:val="28"/>
          <w:lang w:val="uk-UA"/>
        </w:rPr>
        <w:t xml:space="preserve">талантами </w:t>
      </w:r>
      <w:r w:rsidRPr="005D1B01">
        <w:rPr>
          <w:rFonts w:ascii="Times New Roman" w:hAnsi="Times New Roman" w:cs="Times New Roman"/>
          <w:sz w:val="28"/>
          <w:szCs w:val="28"/>
        </w:rPr>
        <w:t>[227]</w:t>
      </w:r>
      <w:r w:rsidRPr="0076392D">
        <w:rPr>
          <w:rFonts w:ascii="Times New Roman" w:hAnsi="Times New Roman" w:cs="Times New Roman"/>
          <w:sz w:val="28"/>
          <w:szCs w:val="28"/>
          <w:lang w:val="uk-UA"/>
        </w:rPr>
        <w:t>.</w:t>
      </w:r>
    </w:p>
    <w:p w14:paraId="0D86065E"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Незважаючи на те, що існує принаймні 4-5 робочих визначень управління талантами, для всіх них є спільна тема, яка, як правило, зосереджується на двох основних вимірах </w:t>
      </w:r>
      <w:r w:rsidRPr="005D1B01">
        <w:rPr>
          <w:rFonts w:ascii="Times New Roman" w:hAnsi="Times New Roman" w:cs="Times New Roman"/>
          <w:sz w:val="28"/>
          <w:szCs w:val="28"/>
        </w:rPr>
        <w:t>[219]</w:t>
      </w:r>
      <w:r w:rsidRPr="007F7EB7">
        <w:rPr>
          <w:rFonts w:ascii="Times New Roman" w:hAnsi="Times New Roman" w:cs="Times New Roman"/>
          <w:sz w:val="28"/>
          <w:szCs w:val="28"/>
          <w:lang w:val="uk-UA"/>
        </w:rPr>
        <w:t xml:space="preserve">. Перший вимір включає ключових осіб з високим рівнем таланту або людського капіталу (що вимірюється їхніми знаннями, навичками та здібностями), які зайняті на ключових посадах і додають цінність організації. Другий вимір передбачає цілеспрямоване розгортання політик, процедур і методів HRM, які ефективно використовуються для управління тими людьми з високим рівнем таланту. Зважаючи на цю загальну тему, </w:t>
      </w:r>
      <w:r>
        <w:rPr>
          <w:rFonts w:ascii="Times New Roman" w:hAnsi="Times New Roman" w:cs="Times New Roman"/>
          <w:sz w:val="28"/>
          <w:szCs w:val="28"/>
          <w:lang w:val="uk-UA"/>
        </w:rPr>
        <w:t>доцільно</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Pr="007F7EB7">
        <w:rPr>
          <w:rFonts w:ascii="Times New Roman" w:hAnsi="Times New Roman" w:cs="Times New Roman"/>
          <w:sz w:val="28"/>
          <w:szCs w:val="28"/>
          <w:lang w:val="uk-UA"/>
        </w:rPr>
        <w:t>пропону</w:t>
      </w:r>
      <w:r>
        <w:rPr>
          <w:rFonts w:ascii="Times New Roman" w:hAnsi="Times New Roman" w:cs="Times New Roman"/>
          <w:sz w:val="28"/>
          <w:szCs w:val="28"/>
          <w:lang w:val="uk-UA"/>
        </w:rPr>
        <w:t>вати</w:t>
      </w:r>
      <w:r w:rsidRPr="007F7EB7">
        <w:rPr>
          <w:rFonts w:ascii="Times New Roman" w:hAnsi="Times New Roman" w:cs="Times New Roman"/>
          <w:sz w:val="28"/>
          <w:szCs w:val="28"/>
          <w:lang w:val="uk-UA"/>
        </w:rPr>
        <w:t xml:space="preserve"> комбінацію визначень таланту та управління талантами, наведених </w:t>
      </w:r>
      <w:proofErr w:type="spellStart"/>
      <w:r w:rsidRPr="007F7EB7">
        <w:rPr>
          <w:rFonts w:ascii="Times New Roman" w:hAnsi="Times New Roman" w:cs="Times New Roman"/>
          <w:sz w:val="28"/>
          <w:szCs w:val="28"/>
          <w:lang w:val="uk-UA"/>
        </w:rPr>
        <w:t>Таріком</w:t>
      </w:r>
      <w:proofErr w:type="spellEnd"/>
      <w:r w:rsidRPr="007F7EB7">
        <w:rPr>
          <w:rFonts w:ascii="Times New Roman" w:hAnsi="Times New Roman" w:cs="Times New Roman"/>
          <w:sz w:val="28"/>
          <w:szCs w:val="28"/>
          <w:lang w:val="uk-UA"/>
        </w:rPr>
        <w:t xml:space="preserve"> і Шулером </w:t>
      </w:r>
      <w:r w:rsidRPr="005D1B01">
        <w:rPr>
          <w:rFonts w:ascii="Times New Roman" w:hAnsi="Times New Roman" w:cs="Times New Roman"/>
          <w:sz w:val="28"/>
          <w:szCs w:val="28"/>
        </w:rPr>
        <w:t>[219]</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7F7EB7">
        <w:rPr>
          <w:rFonts w:ascii="Times New Roman" w:hAnsi="Times New Roman" w:cs="Times New Roman"/>
          <w:sz w:val="28"/>
          <w:szCs w:val="28"/>
          <w:lang w:val="uk-UA"/>
        </w:rPr>
        <w:t xml:space="preserve"> </w:t>
      </w:r>
      <w:proofErr w:type="spellStart"/>
      <w:r w:rsidRPr="007F7EB7">
        <w:rPr>
          <w:rFonts w:ascii="Times New Roman" w:hAnsi="Times New Roman" w:cs="Times New Roman"/>
          <w:sz w:val="28"/>
          <w:szCs w:val="28"/>
          <w:lang w:val="uk-UA"/>
        </w:rPr>
        <w:t>Венсом</w:t>
      </w:r>
      <w:proofErr w:type="spellEnd"/>
      <w:r w:rsidRPr="007F7EB7">
        <w:rPr>
          <w:rFonts w:ascii="Times New Roman" w:hAnsi="Times New Roman" w:cs="Times New Roman"/>
          <w:sz w:val="28"/>
          <w:szCs w:val="28"/>
          <w:lang w:val="uk-UA"/>
        </w:rPr>
        <w:t xml:space="preserve"> і </w:t>
      </w:r>
      <w:proofErr w:type="spellStart"/>
      <w:r w:rsidRPr="007F7EB7">
        <w:rPr>
          <w:rFonts w:ascii="Times New Roman" w:hAnsi="Times New Roman" w:cs="Times New Roman"/>
          <w:sz w:val="28"/>
          <w:szCs w:val="28"/>
          <w:lang w:val="uk-UA"/>
        </w:rPr>
        <w:t>Вайманом</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rPr>
        <w:t>[234]</w:t>
      </w:r>
      <w:r w:rsidRPr="007F7EB7">
        <w:rPr>
          <w:rFonts w:ascii="Times New Roman" w:hAnsi="Times New Roman" w:cs="Times New Roman"/>
          <w:sz w:val="28"/>
          <w:szCs w:val="28"/>
          <w:lang w:val="uk-UA"/>
        </w:rPr>
        <w:t>, які відносяться до талантів як ключових людей на важливих посадах, а також працівників, які володіють спеціальними та затребуваними знаннями та навичками або прагнуть до них. Таким чином, управління талантами можна визначити як набір організаційних процесів, призначених для залучення, розвитку, мобілізації та утримання людей з високим рівнем людського капіталу та забезпечення їхнього використання на посадах, які є ключовими для успіху організації.</w:t>
      </w:r>
    </w:p>
    <w:p w14:paraId="69AEEBEF"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lastRenderedPageBreak/>
        <w:t xml:space="preserve">У більш загальних рисах Льюїс і </w:t>
      </w:r>
      <w:proofErr w:type="spellStart"/>
      <w:r w:rsidRPr="007F7EB7">
        <w:rPr>
          <w:rFonts w:ascii="Times New Roman" w:hAnsi="Times New Roman" w:cs="Times New Roman"/>
          <w:sz w:val="28"/>
          <w:szCs w:val="28"/>
          <w:lang w:val="uk-UA"/>
        </w:rPr>
        <w:t>Хекман</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rPr>
        <w:t>[223]</w:t>
      </w:r>
      <w:r>
        <w:rPr>
          <w:rFonts w:ascii="Times New Roman" w:hAnsi="Times New Roman" w:cs="Times New Roman"/>
          <w:sz w:val="28"/>
          <w:szCs w:val="28"/>
          <w:lang w:val="uk-UA"/>
        </w:rPr>
        <w:t xml:space="preserve"> виділяють три основні напрям</w:t>
      </w:r>
      <w:r w:rsidRPr="007F7EB7">
        <w:rPr>
          <w:rFonts w:ascii="Times New Roman" w:hAnsi="Times New Roman" w:cs="Times New Roman"/>
          <w:sz w:val="28"/>
          <w:szCs w:val="28"/>
          <w:lang w:val="uk-UA"/>
        </w:rPr>
        <w:t>и, яких зазвичай дотриму</w:t>
      </w:r>
      <w:r>
        <w:rPr>
          <w:rFonts w:ascii="Times New Roman" w:hAnsi="Times New Roman" w:cs="Times New Roman"/>
          <w:sz w:val="28"/>
          <w:szCs w:val="28"/>
          <w:lang w:val="uk-UA"/>
        </w:rPr>
        <w:t>ю</w:t>
      </w:r>
      <w:r w:rsidRPr="007F7EB7">
        <w:rPr>
          <w:rFonts w:ascii="Times New Roman" w:hAnsi="Times New Roman" w:cs="Times New Roman"/>
          <w:sz w:val="28"/>
          <w:szCs w:val="28"/>
          <w:lang w:val="uk-UA"/>
        </w:rPr>
        <w:t xml:space="preserve">ться </w:t>
      </w:r>
      <w:r>
        <w:rPr>
          <w:rFonts w:ascii="Times New Roman" w:hAnsi="Times New Roman" w:cs="Times New Roman"/>
          <w:sz w:val="28"/>
          <w:szCs w:val="28"/>
          <w:lang w:val="uk-UA"/>
        </w:rPr>
        <w:t xml:space="preserve">в науковій </w:t>
      </w:r>
      <w:r w:rsidRPr="007F7EB7">
        <w:rPr>
          <w:rFonts w:ascii="Times New Roman" w:hAnsi="Times New Roman" w:cs="Times New Roman"/>
          <w:sz w:val="28"/>
          <w:szCs w:val="28"/>
          <w:lang w:val="uk-UA"/>
        </w:rPr>
        <w:t>літератур</w:t>
      </w:r>
      <w:r>
        <w:rPr>
          <w:rFonts w:ascii="Times New Roman" w:hAnsi="Times New Roman" w:cs="Times New Roman"/>
          <w:sz w:val="28"/>
          <w:szCs w:val="28"/>
          <w:lang w:val="uk-UA"/>
        </w:rPr>
        <w:t xml:space="preserve">і автори щодо </w:t>
      </w:r>
      <w:r w:rsidRPr="007F7EB7">
        <w:rPr>
          <w:rFonts w:ascii="Times New Roman" w:hAnsi="Times New Roman" w:cs="Times New Roman"/>
          <w:sz w:val="28"/>
          <w:szCs w:val="28"/>
          <w:lang w:val="uk-UA"/>
        </w:rPr>
        <w:t xml:space="preserve">управління талантами. Дослідники, </w:t>
      </w:r>
      <w:r>
        <w:rPr>
          <w:rFonts w:ascii="Times New Roman" w:hAnsi="Times New Roman" w:cs="Times New Roman"/>
          <w:sz w:val="28"/>
          <w:szCs w:val="28"/>
          <w:lang w:val="uk-UA"/>
        </w:rPr>
        <w:t>які дотримуються першого напрям</w:t>
      </w:r>
      <w:r w:rsidRPr="007F7EB7">
        <w:rPr>
          <w:rFonts w:ascii="Times New Roman" w:hAnsi="Times New Roman" w:cs="Times New Roman"/>
          <w:sz w:val="28"/>
          <w:szCs w:val="28"/>
          <w:lang w:val="uk-UA"/>
        </w:rPr>
        <w:t>у, як правило, використовують управління талантами як визначення заміни для більш ефективних і узгоджених стратегічних процесів управління персоналом. Другий потік приписує управління талантами конкретним кадровим практикам, таким як набір персоналу, планування н</w:t>
      </w:r>
      <w:r>
        <w:rPr>
          <w:rFonts w:ascii="Times New Roman" w:hAnsi="Times New Roman" w:cs="Times New Roman"/>
          <w:sz w:val="28"/>
          <w:szCs w:val="28"/>
          <w:lang w:val="uk-UA"/>
        </w:rPr>
        <w:t>аступності тощо. Третій напрям</w:t>
      </w:r>
      <w:r w:rsidRPr="007F7EB7">
        <w:rPr>
          <w:rFonts w:ascii="Times New Roman" w:hAnsi="Times New Roman" w:cs="Times New Roman"/>
          <w:sz w:val="28"/>
          <w:szCs w:val="28"/>
          <w:lang w:val="uk-UA"/>
        </w:rPr>
        <w:t xml:space="preserve"> зосереджується на управлінні продуктивністю співробітників або ефективному розвитку лідерства. Зовсім недавно </w:t>
      </w:r>
      <w:proofErr w:type="spellStart"/>
      <w:r w:rsidRPr="007F7EB7">
        <w:rPr>
          <w:rFonts w:ascii="Times New Roman" w:hAnsi="Times New Roman" w:cs="Times New Roman"/>
          <w:sz w:val="28"/>
          <w:szCs w:val="28"/>
          <w:lang w:val="uk-UA"/>
        </w:rPr>
        <w:t>Венс</w:t>
      </w:r>
      <w:proofErr w:type="spellEnd"/>
      <w:r w:rsidRPr="007F7EB7">
        <w:rPr>
          <w:rFonts w:ascii="Times New Roman" w:hAnsi="Times New Roman" w:cs="Times New Roman"/>
          <w:sz w:val="28"/>
          <w:szCs w:val="28"/>
          <w:lang w:val="uk-UA"/>
        </w:rPr>
        <w:t xml:space="preserve"> і </w:t>
      </w:r>
      <w:proofErr w:type="spellStart"/>
      <w:r w:rsidRPr="007F7EB7">
        <w:rPr>
          <w:rFonts w:ascii="Times New Roman" w:hAnsi="Times New Roman" w:cs="Times New Roman"/>
          <w:sz w:val="28"/>
          <w:szCs w:val="28"/>
          <w:lang w:val="uk-UA"/>
        </w:rPr>
        <w:t>Вайман</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[234]</w:t>
      </w:r>
      <w:r w:rsidRPr="007F7EB7">
        <w:rPr>
          <w:rFonts w:ascii="Times New Roman" w:hAnsi="Times New Roman" w:cs="Times New Roman"/>
          <w:sz w:val="28"/>
          <w:szCs w:val="28"/>
          <w:lang w:val="uk-UA"/>
        </w:rPr>
        <w:t xml:space="preserve"> і </w:t>
      </w:r>
      <w:proofErr w:type="spellStart"/>
      <w:r w:rsidRPr="007F7EB7">
        <w:rPr>
          <w:rFonts w:ascii="Times New Roman" w:hAnsi="Times New Roman" w:cs="Times New Roman"/>
          <w:sz w:val="28"/>
          <w:szCs w:val="28"/>
          <w:lang w:val="uk-UA"/>
        </w:rPr>
        <w:t>Коллінгс</w:t>
      </w:r>
      <w:proofErr w:type="spellEnd"/>
      <w:r w:rsidRPr="007F7EB7">
        <w:rPr>
          <w:rFonts w:ascii="Times New Roman" w:hAnsi="Times New Roman" w:cs="Times New Roman"/>
          <w:sz w:val="28"/>
          <w:szCs w:val="28"/>
          <w:lang w:val="uk-UA"/>
        </w:rPr>
        <w:t xml:space="preserve"> і </w:t>
      </w:r>
      <w:proofErr w:type="spellStart"/>
      <w:r w:rsidRPr="007F7EB7">
        <w:rPr>
          <w:rFonts w:ascii="Times New Roman" w:hAnsi="Times New Roman" w:cs="Times New Roman"/>
          <w:sz w:val="28"/>
          <w:szCs w:val="28"/>
          <w:lang w:val="uk-UA"/>
        </w:rPr>
        <w:t>Меллахі</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[222]</w:t>
      </w:r>
      <w:r>
        <w:rPr>
          <w:rFonts w:ascii="Times New Roman" w:hAnsi="Times New Roman" w:cs="Times New Roman"/>
          <w:sz w:val="28"/>
          <w:szCs w:val="28"/>
          <w:lang w:val="uk-UA"/>
        </w:rPr>
        <w:t xml:space="preserve"> визначили четвертий напрям</w:t>
      </w:r>
      <w:r w:rsidRPr="007F7EB7">
        <w:rPr>
          <w:rFonts w:ascii="Times New Roman" w:hAnsi="Times New Roman" w:cs="Times New Roman"/>
          <w:sz w:val="28"/>
          <w:szCs w:val="28"/>
          <w:lang w:val="uk-UA"/>
        </w:rPr>
        <w:t>, який зосереджується на визначенні ключових посад і людей (з точки зору їхніх навичок, знань, досвіду тощо) на цих посадах, які мають потенціал позитивного впливу на конкурентні переваги організації. П’ятий напря</w:t>
      </w:r>
      <w:r>
        <w:rPr>
          <w:rFonts w:ascii="Times New Roman" w:hAnsi="Times New Roman" w:cs="Times New Roman"/>
          <w:sz w:val="28"/>
          <w:szCs w:val="28"/>
          <w:lang w:val="uk-UA"/>
        </w:rPr>
        <w:t>м</w:t>
      </w:r>
      <w:r w:rsidRPr="007F7EB7">
        <w:rPr>
          <w:rFonts w:ascii="Times New Roman" w:hAnsi="Times New Roman" w:cs="Times New Roman"/>
          <w:sz w:val="28"/>
          <w:szCs w:val="28"/>
          <w:lang w:val="uk-UA"/>
        </w:rPr>
        <w:t xml:space="preserve"> мислення зосереджується на використанні аналітики даних для прийняття більш обґрунтованих рішень щодо талантів та їх розгортання в організаційному контексті.</w:t>
      </w:r>
    </w:p>
    <w:p w14:paraId="769E1AF8" w14:textId="35966244"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Більшість робіт на цю тему, однак, залишаються радше директивними та нормативними за своєю природою і часто базуються на обмежених емпіричних даних</w:t>
      </w:r>
      <w:r w:rsidRPr="005D1B01">
        <w:rPr>
          <w:rFonts w:ascii="Times New Roman" w:hAnsi="Times New Roman" w:cs="Times New Roman"/>
          <w:sz w:val="28"/>
          <w:szCs w:val="28"/>
        </w:rPr>
        <w:t xml:space="preserve"> [235</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236]</w:t>
      </w:r>
      <w:r w:rsidRPr="007F7EB7">
        <w:rPr>
          <w:rFonts w:ascii="Times New Roman" w:hAnsi="Times New Roman" w:cs="Times New Roman"/>
          <w:sz w:val="28"/>
          <w:szCs w:val="28"/>
          <w:lang w:val="uk-UA"/>
        </w:rPr>
        <w:t xml:space="preserve">. Таким чином, концепція таланту все ще залишається досить відкритою для критики з точки зору неточних визначень, теоретичних розробок і практичних доказів, особливо в глобальному контексті </w:t>
      </w:r>
      <w:r w:rsidRPr="005D1B01">
        <w:rPr>
          <w:rFonts w:ascii="Times New Roman" w:hAnsi="Times New Roman" w:cs="Times New Roman"/>
          <w:sz w:val="28"/>
          <w:szCs w:val="28"/>
        </w:rPr>
        <w:t>[222</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223</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224]</w:t>
      </w:r>
      <w:r w:rsidRPr="007F7EB7">
        <w:rPr>
          <w:rFonts w:ascii="Times New Roman" w:hAnsi="Times New Roman" w:cs="Times New Roman"/>
          <w:sz w:val="28"/>
          <w:szCs w:val="28"/>
          <w:lang w:val="uk-UA"/>
        </w:rPr>
        <w:t>.</w:t>
      </w:r>
    </w:p>
    <w:p w14:paraId="2A7D928F" w14:textId="6E3E9B0C" w:rsidR="00571B42"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зазначено</w:t>
      </w:r>
      <w:r w:rsidRPr="007F7EB7">
        <w:rPr>
          <w:rFonts w:ascii="Times New Roman" w:hAnsi="Times New Roman" w:cs="Times New Roman"/>
          <w:sz w:val="28"/>
          <w:szCs w:val="28"/>
          <w:lang w:val="uk-UA"/>
        </w:rPr>
        <w:t>, що поява більшого консенсусу щодо окреслення управління талантами та її інтелектуальних меж стане доказом дозрівання області управління талантами</w:t>
      </w:r>
      <w:r>
        <w:rPr>
          <w:rFonts w:ascii="Times New Roman" w:hAnsi="Times New Roman" w:cs="Times New Roman"/>
          <w:sz w:val="28"/>
          <w:szCs w:val="28"/>
          <w:lang w:val="uk-UA"/>
        </w:rPr>
        <w:t xml:space="preserve"> </w:t>
      </w:r>
      <w:r w:rsidRPr="005D1B01">
        <w:rPr>
          <w:rFonts w:ascii="Times New Roman" w:hAnsi="Times New Roman" w:cs="Times New Roman"/>
          <w:sz w:val="28"/>
          <w:szCs w:val="28"/>
        </w:rPr>
        <w:t>[227]</w:t>
      </w:r>
      <w:r w:rsidRPr="007F7EB7">
        <w:rPr>
          <w:rFonts w:ascii="Times New Roman" w:hAnsi="Times New Roman" w:cs="Times New Roman"/>
          <w:sz w:val="28"/>
          <w:szCs w:val="28"/>
          <w:lang w:val="uk-UA"/>
        </w:rPr>
        <w:t xml:space="preserve">. Однак не </w:t>
      </w:r>
      <w:r>
        <w:rPr>
          <w:rFonts w:ascii="Times New Roman" w:hAnsi="Times New Roman" w:cs="Times New Roman"/>
          <w:sz w:val="28"/>
          <w:szCs w:val="28"/>
          <w:lang w:val="uk-UA"/>
        </w:rPr>
        <w:t>доцільно</w:t>
      </w:r>
      <w:r w:rsidRPr="007F7EB7">
        <w:rPr>
          <w:rFonts w:ascii="Times New Roman" w:hAnsi="Times New Roman" w:cs="Times New Roman"/>
          <w:sz w:val="28"/>
          <w:szCs w:val="28"/>
          <w:lang w:val="uk-UA"/>
        </w:rPr>
        <w:t xml:space="preserve"> випускати з уваги очевидні відмінності у способах визначення та проведення управління талантами в усьому світі. Ці відмінності, пов’язані з відмінностями в національних контекстах, повинні допомогти ефективно протидіяти надмірно західній концепції управління талантами, яка не обов’язково відображає практику багатьох національних </w:t>
      </w:r>
      <w:r w:rsidRPr="005D1B01">
        <w:rPr>
          <w:rFonts w:ascii="Times New Roman" w:hAnsi="Times New Roman" w:cs="Times New Roman"/>
          <w:sz w:val="28"/>
          <w:szCs w:val="28"/>
          <w:lang w:val="uk-UA"/>
        </w:rPr>
        <w:t>[237</w:t>
      </w:r>
      <w:r w:rsidR="00E82D76">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238]</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інші </w:t>
      </w:r>
      <w:r w:rsidRPr="005D1B01">
        <w:rPr>
          <w:rFonts w:ascii="Times New Roman" w:hAnsi="Times New Roman" w:cs="Times New Roman"/>
          <w:sz w:val="28"/>
          <w:szCs w:val="28"/>
          <w:lang w:val="uk-UA"/>
        </w:rPr>
        <w:t>[233</w:t>
      </w:r>
      <w:r w:rsidR="00E82D76">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234</w:t>
      </w:r>
      <w:r w:rsidR="00E82D76">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239]</w:t>
      </w:r>
      <w:r w:rsidRPr="007F7EB7">
        <w:rPr>
          <w:rFonts w:ascii="Times New Roman" w:hAnsi="Times New Roman" w:cs="Times New Roman"/>
          <w:sz w:val="28"/>
          <w:szCs w:val="28"/>
          <w:lang w:val="uk-UA"/>
        </w:rPr>
        <w:t xml:space="preserve"> контекстів</w:t>
      </w:r>
      <w:r>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Однак, з академічної точки зору, принаймні важливо, щоб науковці визначили, як вони </w:t>
      </w:r>
      <w:proofErr w:type="spellStart"/>
      <w:r w:rsidRPr="007F7EB7">
        <w:rPr>
          <w:rFonts w:ascii="Times New Roman" w:hAnsi="Times New Roman" w:cs="Times New Roman"/>
          <w:sz w:val="28"/>
          <w:szCs w:val="28"/>
          <w:lang w:val="uk-UA"/>
        </w:rPr>
        <w:t>концептуалізують</w:t>
      </w:r>
      <w:proofErr w:type="spellEnd"/>
      <w:r w:rsidRPr="007F7EB7">
        <w:rPr>
          <w:rFonts w:ascii="Times New Roman" w:hAnsi="Times New Roman" w:cs="Times New Roman"/>
          <w:sz w:val="28"/>
          <w:szCs w:val="28"/>
          <w:lang w:val="uk-UA"/>
        </w:rPr>
        <w:t xml:space="preserve"> та </w:t>
      </w:r>
      <w:proofErr w:type="spellStart"/>
      <w:r w:rsidRPr="007F7EB7">
        <w:rPr>
          <w:rFonts w:ascii="Times New Roman" w:hAnsi="Times New Roman" w:cs="Times New Roman"/>
          <w:sz w:val="28"/>
          <w:szCs w:val="28"/>
          <w:lang w:val="uk-UA"/>
        </w:rPr>
        <w:t>операціоналізують</w:t>
      </w:r>
      <w:proofErr w:type="spellEnd"/>
      <w:r w:rsidRPr="007F7EB7">
        <w:rPr>
          <w:rFonts w:ascii="Times New Roman" w:hAnsi="Times New Roman" w:cs="Times New Roman"/>
          <w:sz w:val="28"/>
          <w:szCs w:val="28"/>
          <w:lang w:val="uk-UA"/>
        </w:rPr>
        <w:t xml:space="preserve"> управління талантами в контексті </w:t>
      </w:r>
      <w:r w:rsidRPr="007F7EB7">
        <w:rPr>
          <w:rFonts w:ascii="Times New Roman" w:hAnsi="Times New Roman" w:cs="Times New Roman"/>
          <w:sz w:val="28"/>
          <w:szCs w:val="28"/>
          <w:lang w:val="uk-UA"/>
        </w:rPr>
        <w:lastRenderedPageBreak/>
        <w:t xml:space="preserve">окремих досліджень. </w:t>
      </w:r>
      <w:r>
        <w:rPr>
          <w:rFonts w:ascii="Times New Roman" w:hAnsi="Times New Roman" w:cs="Times New Roman"/>
          <w:sz w:val="28"/>
          <w:szCs w:val="28"/>
          <w:lang w:val="uk-UA"/>
        </w:rPr>
        <w:t>Наступним кроком у нашому дослідженні має стати розгляд</w:t>
      </w:r>
      <w:r w:rsidRPr="007F7EB7">
        <w:rPr>
          <w:rFonts w:ascii="Times New Roman" w:hAnsi="Times New Roman" w:cs="Times New Roman"/>
          <w:sz w:val="28"/>
          <w:szCs w:val="28"/>
          <w:lang w:val="uk-UA"/>
        </w:rPr>
        <w:t xml:space="preserve"> глобального контексту управління талантами.</w:t>
      </w:r>
    </w:p>
    <w:p w14:paraId="2E6C322B"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Як зазначено вище, більша частина теоретичної та емпіричної бази, на якій базується управління талантами, виникла з північноамериканської парадигми та дослідницької традиції. Дійсно, основоположна робота консультантів </w:t>
      </w:r>
      <w:proofErr w:type="spellStart"/>
      <w:r w:rsidRPr="007F7EB7">
        <w:rPr>
          <w:rFonts w:ascii="Times New Roman" w:hAnsi="Times New Roman" w:cs="Times New Roman"/>
          <w:sz w:val="28"/>
          <w:szCs w:val="28"/>
          <w:lang w:val="uk-UA"/>
        </w:rPr>
        <w:t>McKinsey</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[123]</w:t>
      </w:r>
      <w:r w:rsidRPr="007F7EB7">
        <w:rPr>
          <w:rFonts w:ascii="Times New Roman" w:hAnsi="Times New Roman" w:cs="Times New Roman"/>
          <w:sz w:val="28"/>
          <w:szCs w:val="28"/>
          <w:lang w:val="uk-UA"/>
        </w:rPr>
        <w:t xml:space="preserve">, які ввели термін «війна за таланти», ґрунтувалася на проблемах, з якими зіткнулися американські організації як щодо старіння робочої сили, так і </w:t>
      </w:r>
      <w:r>
        <w:rPr>
          <w:rFonts w:ascii="Times New Roman" w:hAnsi="Times New Roman" w:cs="Times New Roman"/>
          <w:sz w:val="28"/>
          <w:szCs w:val="28"/>
          <w:lang w:val="uk-UA"/>
        </w:rPr>
        <w:t xml:space="preserve">її </w:t>
      </w:r>
      <w:r w:rsidRPr="007F7EB7">
        <w:rPr>
          <w:rFonts w:ascii="Times New Roman" w:hAnsi="Times New Roman" w:cs="Times New Roman"/>
          <w:sz w:val="28"/>
          <w:szCs w:val="28"/>
          <w:lang w:val="uk-UA"/>
        </w:rPr>
        <w:t xml:space="preserve">скорочення </w:t>
      </w:r>
      <w:r>
        <w:rPr>
          <w:rFonts w:ascii="Times New Roman" w:hAnsi="Times New Roman" w:cs="Times New Roman"/>
          <w:sz w:val="28"/>
          <w:szCs w:val="28"/>
          <w:lang w:val="uk-UA"/>
        </w:rPr>
        <w:t>на</w:t>
      </w:r>
      <w:r w:rsidRPr="007F7EB7">
        <w:rPr>
          <w:rFonts w:ascii="Times New Roman" w:hAnsi="Times New Roman" w:cs="Times New Roman"/>
          <w:sz w:val="28"/>
          <w:szCs w:val="28"/>
          <w:lang w:val="uk-UA"/>
        </w:rPr>
        <w:t xml:space="preserve"> ринк</w:t>
      </w:r>
      <w:r>
        <w:rPr>
          <w:rFonts w:ascii="Times New Roman" w:hAnsi="Times New Roman" w:cs="Times New Roman"/>
          <w:sz w:val="28"/>
          <w:szCs w:val="28"/>
          <w:lang w:val="uk-UA"/>
        </w:rPr>
        <w:t>у праці</w:t>
      </w:r>
      <w:r w:rsidRPr="007F7EB7">
        <w:rPr>
          <w:rFonts w:ascii="Times New Roman" w:hAnsi="Times New Roman" w:cs="Times New Roman"/>
          <w:sz w:val="28"/>
          <w:szCs w:val="28"/>
          <w:lang w:val="uk-UA"/>
        </w:rPr>
        <w:t xml:space="preserve"> в американському контексті. Ця робота, безсумнівно, започаткувала дебати щодо управління талантами та надала деякі важливі ідеї щодо розуміння цієї концепції. Однак, оскільки галузь рухається до свого </w:t>
      </w:r>
      <w:r>
        <w:rPr>
          <w:rFonts w:ascii="Times New Roman" w:hAnsi="Times New Roman" w:cs="Times New Roman"/>
          <w:sz w:val="28"/>
          <w:szCs w:val="28"/>
          <w:lang w:val="uk-UA"/>
        </w:rPr>
        <w:t>в своєму розвитку лише до початкової його стадії</w:t>
      </w:r>
      <w:r w:rsidRPr="007F7EB7">
        <w:rPr>
          <w:rFonts w:ascii="Times New Roman" w:hAnsi="Times New Roman" w:cs="Times New Roman"/>
          <w:sz w:val="28"/>
          <w:szCs w:val="28"/>
          <w:lang w:val="uk-UA"/>
        </w:rPr>
        <w:t xml:space="preserve">, стає все більш важливим, щоб точки зору з різних національних контекстів вступали в дебати та впливали на визначення та межі управління талантами, як </w:t>
      </w:r>
      <w:r>
        <w:rPr>
          <w:rFonts w:ascii="Times New Roman" w:hAnsi="Times New Roman" w:cs="Times New Roman"/>
          <w:sz w:val="28"/>
          <w:szCs w:val="28"/>
          <w:lang w:val="uk-UA"/>
        </w:rPr>
        <w:t xml:space="preserve">він вже застосовується у науковій літературі </w:t>
      </w:r>
      <w:r w:rsidRPr="005D1B01">
        <w:rPr>
          <w:rFonts w:ascii="Times New Roman" w:hAnsi="Times New Roman" w:cs="Times New Roman"/>
          <w:sz w:val="28"/>
          <w:szCs w:val="28"/>
          <w:lang w:val="uk-UA"/>
        </w:rPr>
        <w:t>[233]</w:t>
      </w:r>
      <w:r w:rsidRPr="007F7EB7">
        <w:rPr>
          <w:rFonts w:ascii="Times New Roman" w:hAnsi="Times New Roman" w:cs="Times New Roman"/>
          <w:sz w:val="28"/>
          <w:szCs w:val="28"/>
          <w:lang w:val="uk-UA"/>
        </w:rPr>
        <w:t xml:space="preserve">. Наприклад, </w:t>
      </w:r>
      <w:r>
        <w:rPr>
          <w:rFonts w:ascii="Times New Roman" w:hAnsi="Times New Roman" w:cs="Times New Roman"/>
          <w:sz w:val="28"/>
          <w:szCs w:val="28"/>
          <w:lang w:val="uk-UA"/>
        </w:rPr>
        <w:t xml:space="preserve">як було зазначено на початку нашого дослідження, </w:t>
      </w:r>
      <w:r w:rsidRPr="007F7EB7">
        <w:rPr>
          <w:rFonts w:ascii="Times New Roman" w:hAnsi="Times New Roman" w:cs="Times New Roman"/>
          <w:sz w:val="28"/>
          <w:szCs w:val="28"/>
          <w:lang w:val="uk-UA"/>
        </w:rPr>
        <w:t xml:space="preserve">сьогодні одна з найважливіших дискусій у глобальному управлінні талантами стосується питання конвергенції чи відмінності практик управління талантами у різних культурах, регіонах і країнах </w:t>
      </w:r>
      <w:r w:rsidRPr="005D1B01">
        <w:rPr>
          <w:rFonts w:ascii="Times New Roman" w:hAnsi="Times New Roman" w:cs="Times New Roman"/>
          <w:sz w:val="28"/>
          <w:szCs w:val="28"/>
          <w:lang w:val="uk-UA"/>
        </w:rPr>
        <w:t>[219]</w:t>
      </w:r>
      <w:r w:rsidRPr="007F7EB7">
        <w:rPr>
          <w:rFonts w:ascii="Times New Roman" w:hAnsi="Times New Roman" w:cs="Times New Roman"/>
          <w:sz w:val="28"/>
          <w:szCs w:val="28"/>
          <w:lang w:val="uk-UA"/>
        </w:rPr>
        <w:t xml:space="preserve">. На даний момент серед вчених немає єдиної думки, але нещодавно дослідники виявили докази конвергенції принаймні в деяких сферах управління талантами. </w:t>
      </w:r>
      <w:proofErr w:type="spellStart"/>
      <w:r w:rsidRPr="007F7EB7">
        <w:rPr>
          <w:rFonts w:ascii="Times New Roman" w:hAnsi="Times New Roman" w:cs="Times New Roman"/>
          <w:sz w:val="28"/>
          <w:szCs w:val="28"/>
          <w:lang w:val="uk-UA"/>
        </w:rPr>
        <w:t>Шталь</w:t>
      </w:r>
      <w:proofErr w:type="spellEnd"/>
      <w:r w:rsidRPr="007F7EB7">
        <w:rPr>
          <w:rFonts w:ascii="Times New Roman" w:hAnsi="Times New Roman" w:cs="Times New Roman"/>
          <w:sz w:val="28"/>
          <w:szCs w:val="28"/>
          <w:lang w:val="uk-UA"/>
        </w:rPr>
        <w:t xml:space="preserve"> та ін. </w:t>
      </w:r>
      <w:r w:rsidRPr="005D1B01">
        <w:rPr>
          <w:rFonts w:ascii="Times New Roman" w:hAnsi="Times New Roman" w:cs="Times New Roman"/>
          <w:sz w:val="28"/>
          <w:szCs w:val="28"/>
        </w:rPr>
        <w:t>[240]</w:t>
      </w:r>
      <w:r w:rsidRPr="007F7EB7">
        <w:rPr>
          <w:rFonts w:ascii="Times New Roman" w:hAnsi="Times New Roman" w:cs="Times New Roman"/>
          <w:sz w:val="28"/>
          <w:szCs w:val="28"/>
          <w:lang w:val="uk-UA"/>
        </w:rPr>
        <w:t xml:space="preserve"> вказують на те, що з’являються ознаки глобальної конвергенції практик управління талантами в багатонаціональному секторі. Автори стверджують, що існує кілька причин, які змушують організації рухатися до конвергенції. Можливо, найактуальнішими є такі: фірми конкурують за один і той самий пул талановитих працівників і хочуть стандартизувати спосіб, у який вони відбирають і розвивають свої таланти </w:t>
      </w:r>
      <w:r w:rsidRPr="005D1B01">
        <w:rPr>
          <w:rFonts w:ascii="Times New Roman" w:hAnsi="Times New Roman" w:cs="Times New Roman"/>
          <w:sz w:val="28"/>
          <w:szCs w:val="28"/>
        </w:rPr>
        <w:t>[240]</w:t>
      </w:r>
      <w:r w:rsidRPr="007F7EB7">
        <w:rPr>
          <w:rFonts w:ascii="Times New Roman" w:hAnsi="Times New Roman" w:cs="Times New Roman"/>
          <w:sz w:val="28"/>
          <w:szCs w:val="28"/>
          <w:lang w:val="uk-UA"/>
        </w:rPr>
        <w:t xml:space="preserve">. У той же час автори відзначають, що, </w:t>
      </w:r>
      <w:proofErr w:type="spellStart"/>
      <w:r w:rsidRPr="007F7EB7">
        <w:rPr>
          <w:rFonts w:ascii="Times New Roman" w:hAnsi="Times New Roman" w:cs="Times New Roman"/>
          <w:sz w:val="28"/>
          <w:szCs w:val="28"/>
          <w:lang w:val="uk-UA"/>
        </w:rPr>
        <w:t>прагнучи</w:t>
      </w:r>
      <w:proofErr w:type="spellEnd"/>
      <w:r w:rsidRPr="007F7EB7">
        <w:rPr>
          <w:rFonts w:ascii="Times New Roman" w:hAnsi="Times New Roman" w:cs="Times New Roman"/>
          <w:sz w:val="28"/>
          <w:szCs w:val="28"/>
          <w:lang w:val="uk-UA"/>
        </w:rPr>
        <w:t xml:space="preserve"> до послідовності в своїх зусиллях щодо управління талантами, організації все ще намагаються адаптуватися до місцевих умов і стандартів, враховуючи національні відмінності.</w:t>
      </w:r>
    </w:p>
    <w:p w14:paraId="07CD7AA2"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Вчені повинні бути обережними, розкриваючи та досліджуючи ці відмінності, щоб зрозуміти їх походження та вплив. Як нещодавно зазначили </w:t>
      </w:r>
      <w:proofErr w:type="spellStart"/>
      <w:r w:rsidRPr="007F7EB7">
        <w:rPr>
          <w:rFonts w:ascii="Times New Roman" w:hAnsi="Times New Roman" w:cs="Times New Roman"/>
          <w:sz w:val="28"/>
          <w:szCs w:val="28"/>
          <w:lang w:val="uk-UA"/>
        </w:rPr>
        <w:lastRenderedPageBreak/>
        <w:t>Вейман</w:t>
      </w:r>
      <w:proofErr w:type="spellEnd"/>
      <w:r>
        <w:rPr>
          <w:rFonts w:ascii="Times New Roman" w:hAnsi="Times New Roman" w:cs="Times New Roman"/>
          <w:sz w:val="28"/>
          <w:szCs w:val="28"/>
          <w:lang w:val="uk-UA"/>
        </w:rPr>
        <w:t xml:space="preserve"> зі співавторами</w:t>
      </w:r>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[233]</w:t>
      </w:r>
      <w:r w:rsidRPr="007F7EB7">
        <w:rPr>
          <w:rFonts w:ascii="Times New Roman" w:hAnsi="Times New Roman" w:cs="Times New Roman"/>
          <w:sz w:val="28"/>
          <w:szCs w:val="28"/>
          <w:lang w:val="uk-UA"/>
        </w:rPr>
        <w:t xml:space="preserve">, дослідникам слід пам’ятати про припущення, які вони роблять щодо пояснень національних відмінностей (або схожості) у практиках управління персоналом і того, як вони впливають на міжнародні організації. Автори стверджують, що було б помилково дивитися лише на культурні відмінності між націями; для аналізу середовища управління персоналом слід прийняти скоріше збалансований погляд. </w:t>
      </w:r>
      <w:r>
        <w:rPr>
          <w:rFonts w:ascii="Times New Roman" w:hAnsi="Times New Roman" w:cs="Times New Roman"/>
          <w:sz w:val="28"/>
          <w:szCs w:val="28"/>
          <w:lang w:val="uk-UA"/>
        </w:rPr>
        <w:t>В подібних умовах можна стверджувати</w:t>
      </w:r>
      <w:r w:rsidRPr="007F7EB7">
        <w:rPr>
          <w:rFonts w:ascii="Times New Roman" w:hAnsi="Times New Roman" w:cs="Times New Roman"/>
          <w:sz w:val="28"/>
          <w:szCs w:val="28"/>
          <w:lang w:val="uk-UA"/>
        </w:rPr>
        <w:t>, що ці ідеї однаково актуальні для міркувань управління талантами.</w:t>
      </w:r>
    </w:p>
    <w:p w14:paraId="70E6589D" w14:textId="3BAA2FDD" w:rsidR="00571B42" w:rsidRPr="005D1B01"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У цьому відношенні повчальними є висновки з шир</w:t>
      </w:r>
      <w:r>
        <w:rPr>
          <w:rFonts w:ascii="Times New Roman" w:hAnsi="Times New Roman" w:cs="Times New Roman"/>
          <w:sz w:val="28"/>
          <w:szCs w:val="28"/>
          <w:lang w:val="uk-UA"/>
        </w:rPr>
        <w:t>око популяризованої наукової</w:t>
      </w:r>
      <w:r w:rsidRPr="007F7EB7">
        <w:rPr>
          <w:rFonts w:ascii="Times New Roman" w:hAnsi="Times New Roman" w:cs="Times New Roman"/>
          <w:sz w:val="28"/>
          <w:szCs w:val="28"/>
          <w:lang w:val="uk-UA"/>
        </w:rPr>
        <w:t xml:space="preserve"> літератури </w:t>
      </w:r>
      <w:r>
        <w:rPr>
          <w:rFonts w:ascii="Times New Roman" w:hAnsi="Times New Roman" w:cs="Times New Roman"/>
          <w:sz w:val="28"/>
          <w:szCs w:val="28"/>
          <w:lang w:val="uk-UA"/>
        </w:rPr>
        <w:t>питань управління людськими ресурсами</w:t>
      </w:r>
      <w:r w:rsidRPr="007F7EB7">
        <w:rPr>
          <w:rFonts w:ascii="Times New Roman" w:hAnsi="Times New Roman" w:cs="Times New Roman"/>
          <w:sz w:val="28"/>
          <w:szCs w:val="28"/>
          <w:lang w:val="uk-UA"/>
        </w:rPr>
        <w:t xml:space="preserve">. Нещодавно відбувся сплеск активності, коли вчені зафіксували важливість інституційних факторів і довели, що вони важливіші в таких видах діяльності з управління персоналом, як набір і відбір, навчання </w:t>
      </w:r>
      <w:r w:rsidRPr="005D1B01">
        <w:rPr>
          <w:rFonts w:ascii="Times New Roman" w:hAnsi="Times New Roman" w:cs="Times New Roman"/>
          <w:sz w:val="28"/>
          <w:szCs w:val="28"/>
          <w:lang w:val="uk-UA"/>
        </w:rPr>
        <w:t>[241]</w:t>
      </w:r>
      <w:r w:rsidRPr="007F7EB7">
        <w:rPr>
          <w:rFonts w:ascii="Times New Roman" w:hAnsi="Times New Roman" w:cs="Times New Roman"/>
          <w:sz w:val="28"/>
          <w:szCs w:val="28"/>
          <w:lang w:val="uk-UA"/>
        </w:rPr>
        <w:t xml:space="preserve">, гнучкі методи роботи </w:t>
      </w:r>
      <w:r w:rsidRPr="005D1B01">
        <w:rPr>
          <w:rFonts w:ascii="Times New Roman" w:hAnsi="Times New Roman" w:cs="Times New Roman"/>
          <w:sz w:val="28"/>
          <w:szCs w:val="28"/>
          <w:lang w:val="uk-UA"/>
        </w:rPr>
        <w:t>[242]</w:t>
      </w:r>
      <w:r w:rsidRPr="007F7EB7">
        <w:rPr>
          <w:rFonts w:ascii="Times New Roman" w:hAnsi="Times New Roman" w:cs="Times New Roman"/>
          <w:sz w:val="28"/>
          <w:szCs w:val="28"/>
          <w:lang w:val="uk-UA"/>
        </w:rPr>
        <w:t xml:space="preserve">, плинність кадрів </w:t>
      </w:r>
      <w:r w:rsidRPr="005D1B01">
        <w:rPr>
          <w:rFonts w:ascii="Times New Roman" w:hAnsi="Times New Roman" w:cs="Times New Roman"/>
          <w:sz w:val="28"/>
          <w:szCs w:val="28"/>
          <w:lang w:val="uk-UA"/>
        </w:rPr>
        <w:t>[243]</w:t>
      </w:r>
      <w:r w:rsidRPr="007F7EB7">
        <w:rPr>
          <w:rFonts w:ascii="Times New Roman" w:hAnsi="Times New Roman" w:cs="Times New Roman"/>
          <w:sz w:val="28"/>
          <w:szCs w:val="28"/>
          <w:lang w:val="uk-UA"/>
        </w:rPr>
        <w:t xml:space="preserve"> і скорочення штату </w:t>
      </w:r>
      <w:r w:rsidRPr="005D1B01">
        <w:rPr>
          <w:rFonts w:ascii="Times New Roman" w:hAnsi="Times New Roman" w:cs="Times New Roman"/>
          <w:sz w:val="28"/>
          <w:szCs w:val="28"/>
          <w:lang w:val="uk-UA"/>
        </w:rPr>
        <w:t>[244]</w:t>
      </w:r>
      <w:r w:rsidRPr="007F7EB7">
        <w:rPr>
          <w:rFonts w:ascii="Times New Roman" w:hAnsi="Times New Roman" w:cs="Times New Roman"/>
          <w:sz w:val="28"/>
          <w:szCs w:val="28"/>
          <w:lang w:val="uk-UA"/>
        </w:rPr>
        <w:t xml:space="preserve">. Варто також відзначити, що відмінності в тому, як ці практики реалізуються в різних країнах, досить стабільні </w:t>
      </w:r>
      <w:r>
        <w:rPr>
          <w:rFonts w:ascii="Times New Roman" w:hAnsi="Times New Roman" w:cs="Times New Roman"/>
          <w:sz w:val="28"/>
          <w:szCs w:val="28"/>
          <w:lang w:val="uk-UA"/>
        </w:rPr>
        <w:t xml:space="preserve">і можуть тривати десятиліттями </w:t>
      </w:r>
      <w:r w:rsidRPr="005D1B01">
        <w:rPr>
          <w:rFonts w:ascii="Times New Roman" w:hAnsi="Times New Roman" w:cs="Times New Roman"/>
          <w:sz w:val="28"/>
          <w:szCs w:val="28"/>
        </w:rPr>
        <w:t>[245]</w:t>
      </w:r>
      <w:r w:rsidRPr="007F7EB7">
        <w:rPr>
          <w:rFonts w:ascii="Times New Roman" w:hAnsi="Times New Roman" w:cs="Times New Roman"/>
          <w:sz w:val="28"/>
          <w:szCs w:val="28"/>
          <w:lang w:val="uk-UA"/>
        </w:rPr>
        <w:t xml:space="preserve">. Зв’язок між цими практиками та суспільними культурними відмінностями не такий очевидний. Однак у регіонах, де інституційні фактори не настільки виражені, культурні відмінності можуть бути більш значними </w:t>
      </w:r>
      <w:r w:rsidRPr="005D1B01">
        <w:rPr>
          <w:rFonts w:ascii="Times New Roman" w:hAnsi="Times New Roman" w:cs="Times New Roman"/>
          <w:sz w:val="28"/>
          <w:szCs w:val="28"/>
        </w:rPr>
        <w:t>[233]</w:t>
      </w:r>
      <w:r w:rsidRPr="007F7EB7">
        <w:rPr>
          <w:rFonts w:ascii="Times New Roman" w:hAnsi="Times New Roman" w:cs="Times New Roman"/>
          <w:sz w:val="28"/>
          <w:szCs w:val="28"/>
          <w:lang w:val="uk-UA"/>
        </w:rPr>
        <w:t xml:space="preserve">. Деякі приклади процесів </w:t>
      </w:r>
      <w:r>
        <w:rPr>
          <w:rFonts w:ascii="Times New Roman" w:hAnsi="Times New Roman" w:cs="Times New Roman"/>
          <w:sz w:val="28"/>
          <w:szCs w:val="28"/>
          <w:lang w:val="uk-UA"/>
        </w:rPr>
        <w:t>управління людськими ресурсами</w:t>
      </w:r>
      <w:r w:rsidRPr="007F7EB7">
        <w:rPr>
          <w:rFonts w:ascii="Times New Roman" w:hAnsi="Times New Roman" w:cs="Times New Roman"/>
          <w:sz w:val="28"/>
          <w:szCs w:val="28"/>
          <w:lang w:val="uk-UA"/>
        </w:rPr>
        <w:t xml:space="preserve">, де культурні відмінності відіграють, можливо, вирішальну роль, включають використання систем оцінювання </w:t>
      </w:r>
      <w:r w:rsidRPr="005D1B01">
        <w:rPr>
          <w:rFonts w:ascii="Times New Roman" w:hAnsi="Times New Roman" w:cs="Times New Roman"/>
          <w:sz w:val="28"/>
          <w:szCs w:val="28"/>
          <w:lang w:val="uk-UA"/>
        </w:rPr>
        <w:t>[246</w:t>
      </w:r>
      <w:r w:rsidR="00E82D76">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247]</w:t>
      </w:r>
      <w:r w:rsidRPr="007F7EB7">
        <w:rPr>
          <w:rFonts w:ascii="Times New Roman" w:hAnsi="Times New Roman" w:cs="Times New Roman"/>
          <w:sz w:val="28"/>
          <w:szCs w:val="28"/>
          <w:lang w:val="uk-UA"/>
        </w:rPr>
        <w:t xml:space="preserve">, спілкування </w:t>
      </w:r>
      <w:r w:rsidRPr="005D1B01">
        <w:rPr>
          <w:rFonts w:ascii="Times New Roman" w:hAnsi="Times New Roman" w:cs="Times New Roman"/>
          <w:sz w:val="28"/>
          <w:szCs w:val="28"/>
          <w:lang w:val="uk-UA"/>
        </w:rPr>
        <w:t>[248]</w:t>
      </w:r>
      <w:r w:rsidRPr="007F7EB7">
        <w:rPr>
          <w:rFonts w:ascii="Times New Roman" w:hAnsi="Times New Roman" w:cs="Times New Roman"/>
          <w:sz w:val="28"/>
          <w:szCs w:val="28"/>
          <w:lang w:val="uk-UA"/>
        </w:rPr>
        <w:t xml:space="preserve">, систем управління ефективністю </w:t>
      </w:r>
      <w:r w:rsidRPr="005D1B01">
        <w:rPr>
          <w:rFonts w:ascii="Times New Roman" w:hAnsi="Times New Roman" w:cs="Times New Roman"/>
          <w:sz w:val="28"/>
          <w:szCs w:val="28"/>
          <w:lang w:val="uk-UA"/>
        </w:rPr>
        <w:t>[241]</w:t>
      </w:r>
      <w:r w:rsidRPr="007F7EB7">
        <w:rPr>
          <w:rFonts w:ascii="Times New Roman" w:hAnsi="Times New Roman" w:cs="Times New Roman"/>
          <w:sz w:val="28"/>
          <w:szCs w:val="28"/>
          <w:lang w:val="uk-UA"/>
        </w:rPr>
        <w:t xml:space="preserve">, підбір персоналу </w:t>
      </w:r>
      <w:r w:rsidRPr="005D1B01">
        <w:rPr>
          <w:rFonts w:ascii="Times New Roman" w:hAnsi="Times New Roman" w:cs="Times New Roman"/>
          <w:sz w:val="28"/>
          <w:szCs w:val="28"/>
          <w:lang w:val="uk-UA"/>
        </w:rPr>
        <w:t>[249]</w:t>
      </w:r>
      <w:r w:rsidRPr="007F7EB7">
        <w:rPr>
          <w:rFonts w:ascii="Times New Roman" w:hAnsi="Times New Roman" w:cs="Times New Roman"/>
          <w:sz w:val="28"/>
          <w:szCs w:val="28"/>
          <w:lang w:val="uk-UA"/>
        </w:rPr>
        <w:t xml:space="preserve"> і розвиток </w:t>
      </w:r>
      <w:r w:rsidRPr="005D1B01">
        <w:rPr>
          <w:rFonts w:ascii="Times New Roman" w:hAnsi="Times New Roman" w:cs="Times New Roman"/>
          <w:sz w:val="28"/>
          <w:szCs w:val="28"/>
          <w:lang w:val="uk-UA"/>
        </w:rPr>
        <w:t>[233]</w:t>
      </w:r>
      <w:r w:rsidRPr="007F7EB7">
        <w:rPr>
          <w:rFonts w:ascii="Times New Roman" w:hAnsi="Times New Roman" w:cs="Times New Roman"/>
          <w:sz w:val="28"/>
          <w:szCs w:val="28"/>
          <w:lang w:val="uk-UA"/>
        </w:rPr>
        <w:t xml:space="preserve">, серед багатьох інших. Отже, знову ж таки, потрібен більш збалансований підхід до пояснення міжнаціональних відмінностей у діяльності </w:t>
      </w:r>
      <w:r w:rsidRPr="00E04004">
        <w:rPr>
          <w:rFonts w:ascii="Times New Roman" w:hAnsi="Times New Roman" w:cs="Times New Roman"/>
          <w:sz w:val="28"/>
          <w:szCs w:val="28"/>
          <w:lang w:val="uk-UA"/>
        </w:rPr>
        <w:t>управління талантами.</w:t>
      </w:r>
      <w:r w:rsidRPr="005D1B01">
        <w:rPr>
          <w:rFonts w:ascii="Times New Roman" w:hAnsi="Times New Roman" w:cs="Times New Roman"/>
          <w:sz w:val="28"/>
          <w:szCs w:val="28"/>
          <w:lang w:val="uk-UA"/>
        </w:rPr>
        <w:t xml:space="preserve"> </w:t>
      </w:r>
      <w:r w:rsidRPr="007F7EB7">
        <w:rPr>
          <w:rFonts w:ascii="Times New Roman" w:hAnsi="Times New Roman" w:cs="Times New Roman"/>
          <w:sz w:val="28"/>
          <w:szCs w:val="28"/>
          <w:lang w:val="uk-UA"/>
        </w:rPr>
        <w:t xml:space="preserve">За деякими помітними винятками </w:t>
      </w:r>
      <w:r w:rsidRPr="005D1B01">
        <w:rPr>
          <w:rFonts w:ascii="Times New Roman" w:hAnsi="Times New Roman" w:cs="Times New Roman"/>
          <w:sz w:val="28"/>
          <w:szCs w:val="28"/>
        </w:rPr>
        <w:t>[222</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229</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230</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232</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234</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250</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251]</w:t>
      </w:r>
      <w:r w:rsidRPr="007F7EB7">
        <w:rPr>
          <w:rFonts w:ascii="Times New Roman" w:hAnsi="Times New Roman" w:cs="Times New Roman"/>
          <w:sz w:val="28"/>
          <w:szCs w:val="28"/>
          <w:lang w:val="uk-UA"/>
        </w:rPr>
        <w:t>, більш міжнародн</w:t>
      </w:r>
      <w:r>
        <w:rPr>
          <w:rFonts w:ascii="Times New Roman" w:hAnsi="Times New Roman" w:cs="Times New Roman"/>
          <w:sz w:val="28"/>
          <w:szCs w:val="28"/>
          <w:lang w:val="uk-UA"/>
        </w:rPr>
        <w:t>ого направлення</w:t>
      </w:r>
      <w:r w:rsidRPr="007F7EB7">
        <w:rPr>
          <w:rFonts w:ascii="Times New Roman" w:hAnsi="Times New Roman" w:cs="Times New Roman"/>
          <w:sz w:val="28"/>
          <w:szCs w:val="28"/>
          <w:lang w:val="uk-UA"/>
        </w:rPr>
        <w:t xml:space="preserve"> погляди на управління талантами залишилися в меншості. Однак останнім часом з’явилася велика кількість статей і спеціальних випусків, присвячених саме управлінню талантами в різних національних контекстах і регіонах світу</w:t>
      </w:r>
      <w:r w:rsidRPr="005D1B01">
        <w:rPr>
          <w:rFonts w:ascii="Times New Roman" w:hAnsi="Times New Roman" w:cs="Times New Roman"/>
          <w:sz w:val="28"/>
          <w:szCs w:val="28"/>
        </w:rPr>
        <w:t xml:space="preserve"> [227</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230]</w:t>
      </w:r>
      <w:r w:rsidRPr="007F7EB7">
        <w:rPr>
          <w:rFonts w:ascii="Times New Roman" w:hAnsi="Times New Roman" w:cs="Times New Roman"/>
          <w:sz w:val="28"/>
          <w:szCs w:val="28"/>
          <w:lang w:val="uk-UA"/>
        </w:rPr>
        <w:t>. Спираючись на ранню північноамериканську науку, новіші внески</w:t>
      </w:r>
      <w:r w:rsidRPr="005D1B01">
        <w:rPr>
          <w:rFonts w:ascii="Times New Roman" w:hAnsi="Times New Roman" w:cs="Times New Roman"/>
          <w:sz w:val="28"/>
          <w:szCs w:val="28"/>
          <w:lang w:val="uk-UA"/>
        </w:rPr>
        <w:t xml:space="preserve"> [232</w:t>
      </w:r>
      <w:r w:rsidR="00E82D76">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252</w:t>
      </w:r>
      <w:r w:rsidR="00E82D76">
        <w:rPr>
          <w:rFonts w:ascii="Times New Roman" w:hAnsi="Times New Roman" w:cs="Times New Roman"/>
          <w:sz w:val="28"/>
          <w:szCs w:val="28"/>
          <w:lang w:val="uk-UA"/>
        </w:rPr>
        <w:t>–</w:t>
      </w:r>
      <w:r w:rsidRPr="005D1B01">
        <w:rPr>
          <w:rFonts w:ascii="Times New Roman" w:hAnsi="Times New Roman" w:cs="Times New Roman"/>
          <w:sz w:val="28"/>
          <w:szCs w:val="28"/>
          <w:lang w:val="uk-UA"/>
        </w:rPr>
        <w:t>254]</w:t>
      </w:r>
      <w:r>
        <w:rPr>
          <w:rFonts w:ascii="Times New Roman" w:hAnsi="Times New Roman" w:cs="Times New Roman"/>
          <w:sz w:val="28"/>
          <w:szCs w:val="28"/>
          <w:lang w:val="uk-UA"/>
        </w:rPr>
        <w:t xml:space="preserve"> </w:t>
      </w:r>
      <w:r w:rsidRPr="007F7EB7">
        <w:rPr>
          <w:rFonts w:ascii="Times New Roman" w:hAnsi="Times New Roman" w:cs="Times New Roman"/>
          <w:sz w:val="28"/>
          <w:szCs w:val="28"/>
          <w:lang w:val="uk-UA"/>
        </w:rPr>
        <w:t xml:space="preserve">явно виходять за межі </w:t>
      </w:r>
      <w:r w:rsidRPr="007F7EB7">
        <w:rPr>
          <w:rFonts w:ascii="Times New Roman" w:hAnsi="Times New Roman" w:cs="Times New Roman"/>
          <w:sz w:val="28"/>
          <w:szCs w:val="28"/>
          <w:lang w:val="uk-UA"/>
        </w:rPr>
        <w:lastRenderedPageBreak/>
        <w:t>контексту США, надаючи як академічні, так і практичні і</w:t>
      </w:r>
      <w:r>
        <w:rPr>
          <w:rFonts w:ascii="Times New Roman" w:hAnsi="Times New Roman" w:cs="Times New Roman"/>
          <w:sz w:val="28"/>
          <w:szCs w:val="28"/>
          <w:lang w:val="uk-UA"/>
        </w:rPr>
        <w:t>деї різних країн</w:t>
      </w:r>
      <w:r w:rsidRPr="007F7EB7">
        <w:rPr>
          <w:rFonts w:ascii="Times New Roman" w:hAnsi="Times New Roman" w:cs="Times New Roman"/>
          <w:sz w:val="28"/>
          <w:szCs w:val="28"/>
          <w:lang w:val="uk-UA"/>
        </w:rPr>
        <w:t xml:space="preserve"> і регіонів, а також розширення нашого розуміння управління талантами в глобальному контексті.</w:t>
      </w:r>
    </w:p>
    <w:p w14:paraId="4FE26EFA" w14:textId="7C6E3973"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Управління талантами неминуче залишатиметься головною проблемою для організацій у всіх великих економіках світу, а останні дослідження показують, що проблеми з управлінням талантами можуть бути ще більш вираженими на ринках, що розвиваються</w:t>
      </w:r>
      <w:r w:rsidRPr="005D1B01">
        <w:rPr>
          <w:rFonts w:ascii="Times New Roman" w:hAnsi="Times New Roman" w:cs="Times New Roman"/>
          <w:sz w:val="28"/>
          <w:szCs w:val="28"/>
        </w:rPr>
        <w:t xml:space="preserve"> [251</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252</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255]</w:t>
      </w:r>
      <w:r w:rsidRPr="007F7EB7">
        <w:rPr>
          <w:rFonts w:ascii="Times New Roman" w:hAnsi="Times New Roman" w:cs="Times New Roman"/>
          <w:sz w:val="28"/>
          <w:szCs w:val="28"/>
          <w:lang w:val="uk-UA"/>
        </w:rPr>
        <w:t xml:space="preserve">. Безпрецедентне зростання на цих ринках, зокрема, запропонувало цінну інформацію та дало важливі наслідки для стратегій управління талантами. Нещодавні дослідження показують, що навіть після широко обговорюваної глобальної фінансової кризи проблеми з кадрами залишаються головним пріоритетом для багатьох організацій у Китаї та Індії </w:t>
      </w:r>
      <w:r w:rsidRPr="005D1B01">
        <w:rPr>
          <w:rFonts w:ascii="Times New Roman" w:hAnsi="Times New Roman" w:cs="Times New Roman"/>
          <w:sz w:val="28"/>
          <w:szCs w:val="28"/>
          <w:lang w:val="uk-UA"/>
        </w:rPr>
        <w:t>[256</w:t>
      </w:r>
      <w:r w:rsidR="00E82D76">
        <w:rPr>
          <w:rFonts w:ascii="Times New Roman" w:hAnsi="Times New Roman" w:cs="Times New Roman"/>
          <w:sz w:val="28"/>
          <w:szCs w:val="28"/>
          <w:lang w:val="uk-UA"/>
        </w:rPr>
        <w:t xml:space="preserve"> – </w:t>
      </w:r>
      <w:r w:rsidRPr="005D1B01">
        <w:rPr>
          <w:rFonts w:ascii="Times New Roman" w:hAnsi="Times New Roman" w:cs="Times New Roman"/>
          <w:sz w:val="28"/>
          <w:szCs w:val="28"/>
          <w:lang w:val="uk-UA"/>
        </w:rPr>
        <w:t>258]</w:t>
      </w:r>
      <w:r w:rsidRPr="007F7EB7">
        <w:rPr>
          <w:rFonts w:ascii="Times New Roman" w:hAnsi="Times New Roman" w:cs="Times New Roman"/>
          <w:sz w:val="28"/>
          <w:szCs w:val="28"/>
          <w:lang w:val="uk-UA"/>
        </w:rPr>
        <w:t xml:space="preserve">. Так само, незважаючи на загальну відсутність досліджень з управління талантами в Центральній та Східній Європі, останні роботи в цій галузі підкреслили важливість питань управління талантами як для приватних, так і для державних організацій. Крім того, складна історія та культурні особливості в посткомуністичних країнах створюють додатковий контекст для зусиль з управління талантами, що, </w:t>
      </w:r>
      <w:r>
        <w:rPr>
          <w:rFonts w:ascii="Times New Roman" w:hAnsi="Times New Roman" w:cs="Times New Roman"/>
          <w:sz w:val="28"/>
          <w:szCs w:val="28"/>
          <w:lang w:val="uk-UA"/>
        </w:rPr>
        <w:t>в</w:t>
      </w:r>
      <w:r w:rsidRPr="007F7EB7">
        <w:rPr>
          <w:rFonts w:ascii="Times New Roman" w:hAnsi="Times New Roman" w:cs="Times New Roman"/>
          <w:sz w:val="28"/>
          <w:szCs w:val="28"/>
          <w:lang w:val="uk-UA"/>
        </w:rPr>
        <w:t xml:space="preserve"> свою чергу, ускладнює </w:t>
      </w:r>
      <w:r>
        <w:rPr>
          <w:rFonts w:ascii="Times New Roman" w:hAnsi="Times New Roman" w:cs="Times New Roman"/>
          <w:sz w:val="28"/>
          <w:szCs w:val="28"/>
          <w:lang w:val="uk-UA"/>
        </w:rPr>
        <w:t xml:space="preserve">їхнє </w:t>
      </w:r>
      <w:r w:rsidRPr="007F7EB7">
        <w:rPr>
          <w:rFonts w:ascii="Times New Roman" w:hAnsi="Times New Roman" w:cs="Times New Roman"/>
          <w:sz w:val="28"/>
          <w:szCs w:val="28"/>
          <w:lang w:val="uk-UA"/>
        </w:rPr>
        <w:t xml:space="preserve">розуміння та практику </w:t>
      </w:r>
      <w:r w:rsidRPr="005D1B01">
        <w:rPr>
          <w:rFonts w:ascii="Times New Roman" w:hAnsi="Times New Roman" w:cs="Times New Roman"/>
          <w:sz w:val="28"/>
          <w:szCs w:val="28"/>
        </w:rPr>
        <w:t>[251]</w:t>
      </w:r>
      <w:r w:rsidRPr="007F7EB7">
        <w:rPr>
          <w:rFonts w:ascii="Times New Roman" w:hAnsi="Times New Roman" w:cs="Times New Roman"/>
          <w:sz w:val="28"/>
          <w:szCs w:val="28"/>
          <w:lang w:val="uk-UA"/>
        </w:rPr>
        <w:t>.</w:t>
      </w:r>
    </w:p>
    <w:p w14:paraId="3CC8550C"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Щоб охопити всі ці різні міжнародні, національні та регіональні перспективи, включити постійний вплив ділового світу, що швидко глобалізується, і підкреслити важливість управління талантами в глобальному контексті, </w:t>
      </w:r>
      <w:proofErr w:type="spellStart"/>
      <w:r w:rsidRPr="00E27CB6">
        <w:rPr>
          <w:rFonts w:ascii="Times New Roman" w:hAnsi="Times New Roman" w:cs="Times New Roman"/>
          <w:sz w:val="28"/>
          <w:szCs w:val="28"/>
          <w:lang w:val="uk-UA"/>
        </w:rPr>
        <w:t>Тарік</w:t>
      </w:r>
      <w:proofErr w:type="spellEnd"/>
      <w:r w:rsidRPr="00E27CB6">
        <w:rPr>
          <w:rFonts w:ascii="Times New Roman" w:hAnsi="Times New Roman" w:cs="Times New Roman"/>
          <w:sz w:val="28"/>
          <w:szCs w:val="28"/>
          <w:lang w:val="uk-UA"/>
        </w:rPr>
        <w:t xml:space="preserve"> і Шулер </w:t>
      </w:r>
      <w:r w:rsidRPr="005D1B01">
        <w:rPr>
          <w:rFonts w:ascii="Times New Roman" w:hAnsi="Times New Roman" w:cs="Times New Roman"/>
          <w:sz w:val="28"/>
          <w:szCs w:val="28"/>
          <w:lang w:val="uk-UA"/>
        </w:rPr>
        <w:t>[219]</w:t>
      </w:r>
      <w:r w:rsidRPr="007F7EB7">
        <w:rPr>
          <w:rFonts w:ascii="Times New Roman" w:hAnsi="Times New Roman" w:cs="Times New Roman"/>
          <w:sz w:val="28"/>
          <w:szCs w:val="28"/>
          <w:lang w:val="uk-UA"/>
        </w:rPr>
        <w:t xml:space="preserve"> запропонували наступне визначення глобальн</w:t>
      </w:r>
      <w:r>
        <w:rPr>
          <w:rFonts w:ascii="Times New Roman" w:hAnsi="Times New Roman" w:cs="Times New Roman"/>
          <w:sz w:val="28"/>
          <w:szCs w:val="28"/>
          <w:lang w:val="uk-UA"/>
        </w:rPr>
        <w:t>ого управління талантами (GTM) як</w:t>
      </w:r>
      <w:r w:rsidRPr="005D1B01">
        <w:rPr>
          <w:rFonts w:ascii="Times New Roman" w:hAnsi="Times New Roman" w:cs="Times New Roman"/>
          <w:sz w:val="28"/>
          <w:szCs w:val="28"/>
          <w:lang w:val="uk-UA"/>
        </w:rPr>
        <w:t xml:space="preserve"> </w:t>
      </w:r>
      <w:r w:rsidRPr="007F7EB7">
        <w:rPr>
          <w:rFonts w:ascii="Times New Roman" w:hAnsi="Times New Roman" w:cs="Times New Roman"/>
          <w:sz w:val="28"/>
          <w:szCs w:val="28"/>
          <w:lang w:val="uk-UA"/>
        </w:rPr>
        <w:t>підгруп</w:t>
      </w:r>
      <w:r>
        <w:rPr>
          <w:rFonts w:ascii="Times New Roman" w:hAnsi="Times New Roman" w:cs="Times New Roman"/>
          <w:sz w:val="28"/>
          <w:szCs w:val="28"/>
          <w:lang w:val="uk-UA"/>
        </w:rPr>
        <w:t xml:space="preserve">и заходів </w:t>
      </w:r>
      <w:r w:rsidRPr="007F7EB7">
        <w:rPr>
          <w:rFonts w:ascii="Times New Roman" w:hAnsi="Times New Roman" w:cs="Times New Roman"/>
          <w:sz w:val="28"/>
          <w:szCs w:val="28"/>
          <w:lang w:val="uk-UA"/>
        </w:rPr>
        <w:t xml:space="preserve">HRM (систематично </w:t>
      </w:r>
      <w:r>
        <w:rPr>
          <w:rFonts w:ascii="Times New Roman" w:hAnsi="Times New Roman" w:cs="Times New Roman"/>
          <w:sz w:val="28"/>
          <w:szCs w:val="28"/>
          <w:lang w:val="uk-UA"/>
        </w:rPr>
        <w:t xml:space="preserve">пов’язана політика та практика </w:t>
      </w:r>
      <w:r w:rsidRPr="007F7EB7">
        <w:rPr>
          <w:rFonts w:ascii="Times New Roman" w:hAnsi="Times New Roman" w:cs="Times New Roman"/>
          <w:sz w:val="28"/>
          <w:szCs w:val="28"/>
          <w:lang w:val="uk-UA"/>
        </w:rPr>
        <w:t>HRM) для залучення, розвитку, утримання та мобілізації людей із високим рівнем поточного та потенційного людського капіталу, що</w:t>
      </w:r>
      <w:r>
        <w:rPr>
          <w:rFonts w:ascii="Times New Roman" w:hAnsi="Times New Roman" w:cs="Times New Roman"/>
          <w:sz w:val="28"/>
          <w:szCs w:val="28"/>
          <w:lang w:val="uk-UA"/>
        </w:rPr>
        <w:t xml:space="preserve"> відповідає стратегічним напрям</w:t>
      </w:r>
      <w:r w:rsidRPr="007F7EB7">
        <w:rPr>
          <w:rFonts w:ascii="Times New Roman" w:hAnsi="Times New Roman" w:cs="Times New Roman"/>
          <w:sz w:val="28"/>
          <w:szCs w:val="28"/>
          <w:lang w:val="uk-UA"/>
        </w:rPr>
        <w:t>ам багатонаціонального підприємства для досягнення цілей багатьох зацікавлених сторін.</w:t>
      </w:r>
    </w:p>
    <w:p w14:paraId="6C737A3C" w14:textId="6386FE42"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Для них центральна ідея, що підкреслює глобальн</w:t>
      </w:r>
      <w:r>
        <w:rPr>
          <w:rFonts w:ascii="Times New Roman" w:hAnsi="Times New Roman" w:cs="Times New Roman"/>
          <w:sz w:val="28"/>
          <w:szCs w:val="28"/>
          <w:lang w:val="uk-UA"/>
        </w:rPr>
        <w:t>е управління талантами</w:t>
      </w:r>
      <w:r w:rsidRPr="007F7EB7">
        <w:rPr>
          <w:rFonts w:ascii="Times New Roman" w:hAnsi="Times New Roman" w:cs="Times New Roman"/>
          <w:sz w:val="28"/>
          <w:szCs w:val="28"/>
          <w:lang w:val="uk-UA"/>
        </w:rPr>
        <w:t xml:space="preserve"> як концепцію, яка може слугувати «парасолькою» як для внутрішнього, так і для міжнародного управління талантами, полягає в тому, що організації стикаються </w:t>
      </w:r>
      <w:r w:rsidRPr="007F7EB7">
        <w:rPr>
          <w:rFonts w:ascii="Times New Roman" w:hAnsi="Times New Roman" w:cs="Times New Roman"/>
          <w:sz w:val="28"/>
          <w:szCs w:val="28"/>
          <w:lang w:val="uk-UA"/>
        </w:rPr>
        <w:lastRenderedPageBreak/>
        <w:t xml:space="preserve">зі зростаючою конкуренцією за таланти в глобальному масштабі та серйозними проблемами в залученні, розвитку та утриманні своїх ключових співробітників. Дійсно, </w:t>
      </w:r>
      <w:proofErr w:type="spellStart"/>
      <w:r w:rsidRPr="007F7EB7">
        <w:rPr>
          <w:rFonts w:ascii="Times New Roman" w:hAnsi="Times New Roman" w:cs="Times New Roman"/>
          <w:sz w:val="28"/>
          <w:szCs w:val="28"/>
          <w:lang w:val="uk-UA"/>
        </w:rPr>
        <w:t>Кашіо</w:t>
      </w:r>
      <w:proofErr w:type="spellEnd"/>
      <w:r w:rsidRPr="007F7EB7">
        <w:rPr>
          <w:rFonts w:ascii="Times New Roman" w:hAnsi="Times New Roman" w:cs="Times New Roman"/>
          <w:sz w:val="28"/>
          <w:szCs w:val="28"/>
          <w:lang w:val="uk-UA"/>
        </w:rPr>
        <w:t xml:space="preserve"> та </w:t>
      </w:r>
      <w:proofErr w:type="spellStart"/>
      <w:r w:rsidRPr="007F7EB7">
        <w:rPr>
          <w:rFonts w:ascii="Times New Roman" w:hAnsi="Times New Roman" w:cs="Times New Roman"/>
          <w:sz w:val="28"/>
          <w:szCs w:val="28"/>
          <w:lang w:val="uk-UA"/>
        </w:rPr>
        <w:t>Агініс</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[259]</w:t>
      </w:r>
      <w:r w:rsidRPr="007F7EB7">
        <w:rPr>
          <w:rFonts w:ascii="Times New Roman" w:hAnsi="Times New Roman" w:cs="Times New Roman"/>
          <w:sz w:val="28"/>
          <w:szCs w:val="28"/>
          <w:lang w:val="uk-UA"/>
        </w:rPr>
        <w:t xml:space="preserve"> стверджують, що успішні </w:t>
      </w:r>
      <w:r>
        <w:rPr>
          <w:rFonts w:ascii="Times New Roman" w:hAnsi="Times New Roman" w:cs="Times New Roman"/>
          <w:sz w:val="28"/>
          <w:szCs w:val="28"/>
          <w:lang w:val="uk-UA"/>
        </w:rPr>
        <w:t xml:space="preserve">міжнародні компанії </w:t>
      </w:r>
      <w:r w:rsidRPr="007F7EB7">
        <w:rPr>
          <w:rFonts w:ascii="Times New Roman" w:hAnsi="Times New Roman" w:cs="Times New Roman"/>
          <w:sz w:val="28"/>
          <w:szCs w:val="28"/>
          <w:lang w:val="uk-UA"/>
        </w:rPr>
        <w:t>майбутнього повинні будуть залучати людські та інтелектуальні ресурси незалежно від їх глобального розташування через зростання конкуренції. Щоб краще зрозуміти основні виклики глобальн</w:t>
      </w:r>
      <w:r>
        <w:rPr>
          <w:rFonts w:ascii="Times New Roman" w:hAnsi="Times New Roman" w:cs="Times New Roman"/>
          <w:sz w:val="28"/>
          <w:szCs w:val="28"/>
          <w:lang w:val="uk-UA"/>
        </w:rPr>
        <w:t>ого управління талантами</w:t>
      </w:r>
      <w:r w:rsidRPr="007F7EB7">
        <w:rPr>
          <w:rFonts w:ascii="Times New Roman" w:hAnsi="Times New Roman" w:cs="Times New Roman"/>
          <w:sz w:val="28"/>
          <w:szCs w:val="28"/>
          <w:lang w:val="uk-UA"/>
        </w:rPr>
        <w:t xml:space="preserve">, необхідно розглянути деякі основні зовнішні сили, які впливають на зусилля кожної організації щодо </w:t>
      </w:r>
      <w:r>
        <w:rPr>
          <w:rFonts w:ascii="Times New Roman" w:hAnsi="Times New Roman" w:cs="Times New Roman"/>
          <w:sz w:val="28"/>
          <w:szCs w:val="28"/>
          <w:lang w:val="uk-UA"/>
        </w:rPr>
        <w:t>управління талантами</w:t>
      </w:r>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rPr>
        <w:t>[219</w:t>
      </w:r>
      <w:r w:rsidR="00E82D76">
        <w:rPr>
          <w:rFonts w:ascii="Times New Roman" w:hAnsi="Times New Roman" w:cs="Times New Roman"/>
          <w:sz w:val="28"/>
          <w:szCs w:val="28"/>
          <w:lang w:val="uk-UA"/>
        </w:rPr>
        <w:t>;</w:t>
      </w:r>
      <w:r w:rsidRPr="005D1B01">
        <w:rPr>
          <w:rFonts w:ascii="Times New Roman" w:hAnsi="Times New Roman" w:cs="Times New Roman"/>
          <w:sz w:val="28"/>
          <w:szCs w:val="28"/>
        </w:rPr>
        <w:t xml:space="preserve"> 226]</w:t>
      </w:r>
      <w:r w:rsidRPr="007F7EB7">
        <w:rPr>
          <w:rFonts w:ascii="Times New Roman" w:hAnsi="Times New Roman" w:cs="Times New Roman"/>
          <w:sz w:val="28"/>
          <w:szCs w:val="28"/>
          <w:lang w:val="uk-UA"/>
        </w:rPr>
        <w:t xml:space="preserve">. Серед цих головних сил </w:t>
      </w:r>
      <w:r w:rsidR="00E82D76">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глобалізація (як</w:t>
      </w:r>
      <w:r>
        <w:rPr>
          <w:rFonts w:ascii="Times New Roman" w:hAnsi="Times New Roman" w:cs="Times New Roman"/>
          <w:sz w:val="28"/>
          <w:szCs w:val="28"/>
          <w:lang w:val="uk-UA"/>
        </w:rPr>
        <w:t>а не є предметом нашого дослідження</w:t>
      </w:r>
      <w:r w:rsidRPr="007F7EB7">
        <w:rPr>
          <w:rFonts w:ascii="Times New Roman" w:hAnsi="Times New Roman" w:cs="Times New Roman"/>
          <w:sz w:val="28"/>
          <w:szCs w:val="28"/>
          <w:lang w:val="uk-UA"/>
        </w:rPr>
        <w:t xml:space="preserve">, але вона виходить за межі всіх питань, які ми тут обговорюємо), нестача талановитих працівників, демографічні зміни, зміни у </w:t>
      </w:r>
      <w:r>
        <w:rPr>
          <w:rFonts w:ascii="Times New Roman" w:hAnsi="Times New Roman" w:cs="Times New Roman"/>
          <w:sz w:val="28"/>
          <w:szCs w:val="28"/>
          <w:lang w:val="uk-UA"/>
        </w:rPr>
        <w:t>ставленні працівників до роботи</w:t>
      </w:r>
      <w:r w:rsidRPr="007F7EB7">
        <w:rPr>
          <w:rFonts w:ascii="Times New Roman" w:hAnsi="Times New Roman" w:cs="Times New Roman"/>
          <w:sz w:val="28"/>
          <w:szCs w:val="28"/>
          <w:lang w:val="uk-UA"/>
        </w:rPr>
        <w:t xml:space="preserve">, національні культурні відмінності. Перші два </w:t>
      </w:r>
      <w:r w:rsidR="00E82D76">
        <w:rPr>
          <w:rFonts w:ascii="Times New Roman" w:hAnsi="Times New Roman" w:cs="Times New Roman"/>
          <w:sz w:val="28"/>
          <w:szCs w:val="28"/>
        </w:rPr>
        <w:t>–</w:t>
      </w:r>
      <w:r w:rsidRPr="007F7EB7">
        <w:rPr>
          <w:rFonts w:ascii="Times New Roman" w:hAnsi="Times New Roman" w:cs="Times New Roman"/>
          <w:sz w:val="28"/>
          <w:szCs w:val="28"/>
          <w:lang w:val="uk-UA"/>
        </w:rPr>
        <w:t xml:space="preserve"> нестача талантів і демографічні зміни </w:t>
      </w:r>
      <w:r w:rsidR="00E82D76">
        <w:rPr>
          <w:rFonts w:ascii="Times New Roman" w:hAnsi="Times New Roman" w:cs="Times New Roman"/>
          <w:sz w:val="28"/>
          <w:szCs w:val="28"/>
        </w:rPr>
        <w:t>–</w:t>
      </w:r>
      <w:r w:rsidRPr="007F7EB7">
        <w:rPr>
          <w:rFonts w:ascii="Times New Roman" w:hAnsi="Times New Roman" w:cs="Times New Roman"/>
          <w:sz w:val="28"/>
          <w:szCs w:val="28"/>
          <w:lang w:val="uk-UA"/>
        </w:rPr>
        <w:t xml:space="preserve"> є, мабуть, найважливішими, оскільки вони впливають на весь баланс пропозиції та попиту на таланти.</w:t>
      </w:r>
    </w:p>
    <w:p w14:paraId="25253793"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Що стосується попиту, є вагомі докази того, що організації в усьому світі мають значні труднощі з пошуком та утриманням талановитих співробітників. Наприклад, у 20</w:t>
      </w:r>
      <w:r>
        <w:rPr>
          <w:rFonts w:ascii="Times New Roman" w:hAnsi="Times New Roman" w:cs="Times New Roman"/>
          <w:sz w:val="28"/>
          <w:szCs w:val="28"/>
          <w:lang w:val="uk-UA"/>
        </w:rPr>
        <w:t>2</w:t>
      </w:r>
      <w:r w:rsidRPr="007F7EB7">
        <w:rPr>
          <w:rFonts w:ascii="Times New Roman" w:hAnsi="Times New Roman" w:cs="Times New Roman"/>
          <w:sz w:val="28"/>
          <w:szCs w:val="28"/>
          <w:lang w:val="uk-UA"/>
        </w:rPr>
        <w:t>2 році 49% роботодавців у США повідомили про труднощі із заповненням ключових посад, що є невеликим покращенням порівняно з показником 20</w:t>
      </w:r>
      <w:r>
        <w:rPr>
          <w:rFonts w:ascii="Times New Roman" w:hAnsi="Times New Roman" w:cs="Times New Roman"/>
          <w:sz w:val="28"/>
          <w:szCs w:val="28"/>
          <w:lang w:val="uk-UA"/>
        </w:rPr>
        <w:t>2</w:t>
      </w:r>
      <w:r w:rsidRPr="007F7EB7">
        <w:rPr>
          <w:rFonts w:ascii="Times New Roman" w:hAnsi="Times New Roman" w:cs="Times New Roman"/>
          <w:sz w:val="28"/>
          <w:szCs w:val="28"/>
          <w:lang w:val="uk-UA"/>
        </w:rPr>
        <w:t>1 року (52%), але все ще дуже високим порівняно з 14% у 20</w:t>
      </w:r>
      <w:r>
        <w:rPr>
          <w:rFonts w:ascii="Times New Roman" w:hAnsi="Times New Roman" w:cs="Times New Roman"/>
          <w:sz w:val="28"/>
          <w:szCs w:val="28"/>
          <w:lang w:val="uk-UA"/>
        </w:rPr>
        <w:t>2</w:t>
      </w:r>
      <w:r w:rsidRPr="007F7EB7">
        <w:rPr>
          <w:rFonts w:ascii="Times New Roman" w:hAnsi="Times New Roman" w:cs="Times New Roman"/>
          <w:sz w:val="28"/>
          <w:szCs w:val="28"/>
          <w:lang w:val="uk-UA"/>
        </w:rPr>
        <w:t xml:space="preserve">0 </w:t>
      </w:r>
      <w:r w:rsidRPr="00E04004">
        <w:rPr>
          <w:rFonts w:ascii="Times New Roman" w:hAnsi="Times New Roman" w:cs="Times New Roman"/>
          <w:sz w:val="28"/>
          <w:szCs w:val="28"/>
          <w:lang w:val="uk-UA"/>
        </w:rPr>
        <w:t xml:space="preserve">році </w:t>
      </w:r>
      <w:r w:rsidRPr="005D1B01">
        <w:rPr>
          <w:rFonts w:ascii="Times New Roman" w:hAnsi="Times New Roman" w:cs="Times New Roman"/>
          <w:sz w:val="28"/>
          <w:szCs w:val="28"/>
        </w:rPr>
        <w:t>[260]</w:t>
      </w:r>
      <w:r w:rsidRPr="00E04004">
        <w:rPr>
          <w:rFonts w:ascii="Times New Roman" w:hAnsi="Times New Roman" w:cs="Times New Roman"/>
          <w:sz w:val="28"/>
          <w:szCs w:val="28"/>
          <w:lang w:val="uk-UA"/>
        </w:rPr>
        <w:t>. З цих 49% приблизно 55% назвали відсутність талантів основною</w:t>
      </w:r>
      <w:r w:rsidRPr="007F7EB7">
        <w:rPr>
          <w:rFonts w:ascii="Times New Roman" w:hAnsi="Times New Roman" w:cs="Times New Roman"/>
          <w:sz w:val="28"/>
          <w:szCs w:val="28"/>
          <w:lang w:val="uk-UA"/>
        </w:rPr>
        <w:t xml:space="preserve"> причиною нездатності зайняти критичні посади. Організації в усьому світі стикаються з досить схожими проблемами. Роботодавці в країнах з економікою, що розвивається, як-от Бразилія (71%) та Індія (48%), мають проблеми із заповненням ключових посад. Ці цифри ще більш приголомшливі в розвинених країнах – 42% німецьких і 81% японських роботодавців пов</w:t>
      </w:r>
      <w:r>
        <w:rPr>
          <w:rFonts w:ascii="Times New Roman" w:hAnsi="Times New Roman" w:cs="Times New Roman"/>
          <w:sz w:val="28"/>
          <w:szCs w:val="28"/>
          <w:lang w:val="uk-UA"/>
        </w:rPr>
        <w:t xml:space="preserve">ідомляють про подібні проблеми </w:t>
      </w:r>
      <w:r w:rsidRPr="005D1B01">
        <w:rPr>
          <w:rFonts w:ascii="Times New Roman" w:hAnsi="Times New Roman" w:cs="Times New Roman"/>
          <w:sz w:val="28"/>
          <w:szCs w:val="28"/>
          <w:lang w:val="uk-UA"/>
        </w:rPr>
        <w:t>[260]</w:t>
      </w:r>
      <w:r w:rsidRPr="007F7EB7">
        <w:rPr>
          <w:rFonts w:ascii="Times New Roman" w:hAnsi="Times New Roman" w:cs="Times New Roman"/>
          <w:sz w:val="28"/>
          <w:szCs w:val="28"/>
          <w:lang w:val="uk-UA"/>
        </w:rPr>
        <w:t xml:space="preserve">. Загалом близько 43% організацій у різних країнах і галузях вважають, що заповнити вакантні посади важче порівняно з попередніми роками </w:t>
      </w:r>
      <w:r w:rsidRPr="005D1B01">
        <w:rPr>
          <w:rFonts w:ascii="Times New Roman" w:hAnsi="Times New Roman" w:cs="Times New Roman"/>
          <w:sz w:val="28"/>
          <w:szCs w:val="28"/>
          <w:lang w:val="uk-UA"/>
        </w:rPr>
        <w:t>[261]</w:t>
      </w:r>
      <w:r w:rsidRPr="007F7EB7">
        <w:rPr>
          <w:rFonts w:ascii="Times New Roman" w:hAnsi="Times New Roman" w:cs="Times New Roman"/>
          <w:sz w:val="28"/>
          <w:szCs w:val="28"/>
          <w:lang w:val="uk-UA"/>
        </w:rPr>
        <w:t xml:space="preserve">. Серед стратегій, які найчастіше використовуються для боротьби з нестачею талантів, компанії зосереджують більше зусиль на утриманні талантів і агресивному </w:t>
      </w:r>
      <w:proofErr w:type="spellStart"/>
      <w:r w:rsidRPr="007F7EB7">
        <w:rPr>
          <w:rFonts w:ascii="Times New Roman" w:hAnsi="Times New Roman" w:cs="Times New Roman"/>
          <w:sz w:val="28"/>
          <w:szCs w:val="28"/>
          <w:lang w:val="uk-UA"/>
        </w:rPr>
        <w:t>наймі</w:t>
      </w:r>
      <w:proofErr w:type="spellEnd"/>
      <w:r w:rsidRPr="007F7EB7">
        <w:rPr>
          <w:rFonts w:ascii="Times New Roman" w:hAnsi="Times New Roman" w:cs="Times New Roman"/>
          <w:sz w:val="28"/>
          <w:szCs w:val="28"/>
          <w:lang w:val="uk-UA"/>
        </w:rPr>
        <w:t xml:space="preserve"> персоналу, призначаючи людей із високим потенціалом на </w:t>
      </w:r>
      <w:r w:rsidRPr="007F7EB7">
        <w:rPr>
          <w:rFonts w:ascii="Times New Roman" w:hAnsi="Times New Roman" w:cs="Times New Roman"/>
          <w:sz w:val="28"/>
          <w:szCs w:val="28"/>
          <w:lang w:val="uk-UA"/>
        </w:rPr>
        <w:lastRenderedPageBreak/>
        <w:t xml:space="preserve">важливі посади, а також забезпечуючи додаткове навчання та розвиток для наявних співробітників, таким чином дозволяючи їм заповнити вакансії </w:t>
      </w:r>
      <w:r w:rsidRPr="005D1B01">
        <w:rPr>
          <w:rFonts w:ascii="Times New Roman" w:hAnsi="Times New Roman" w:cs="Times New Roman"/>
          <w:sz w:val="28"/>
          <w:szCs w:val="28"/>
          <w:lang w:val="uk-UA"/>
        </w:rPr>
        <w:t>[219]</w:t>
      </w:r>
      <w:r w:rsidRPr="007F7EB7">
        <w:rPr>
          <w:rFonts w:ascii="Times New Roman" w:hAnsi="Times New Roman" w:cs="Times New Roman"/>
          <w:sz w:val="28"/>
          <w:szCs w:val="28"/>
          <w:lang w:val="uk-UA"/>
        </w:rPr>
        <w:t>.</w:t>
      </w:r>
    </w:p>
    <w:p w14:paraId="1FD1CBE9"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Що стосується пропозиції, </w:t>
      </w:r>
      <w:r>
        <w:rPr>
          <w:rFonts w:ascii="Times New Roman" w:hAnsi="Times New Roman" w:cs="Times New Roman"/>
          <w:sz w:val="28"/>
          <w:szCs w:val="28"/>
          <w:lang w:val="uk-UA"/>
        </w:rPr>
        <w:t xml:space="preserve">то </w:t>
      </w:r>
      <w:r w:rsidRPr="007F7EB7">
        <w:rPr>
          <w:rFonts w:ascii="Times New Roman" w:hAnsi="Times New Roman" w:cs="Times New Roman"/>
          <w:sz w:val="28"/>
          <w:szCs w:val="28"/>
          <w:lang w:val="uk-UA"/>
        </w:rPr>
        <w:t>демографічні зміни також викликають серйозне занепокоєння. Ключовою тенденцією в цьому відношенні є старіння населення в розвинених країнах. Наприклад, серед членів ОЕСР кількість працівників у віці 40 років і старше скоро вперше перевищить кількість тих, хто молодше 40 років. У США протягом наступних кількох років кількість працівників у віці 55 років і старше становитиме близько 20% усього ринку праці порівняно з лише 13% у 20</w:t>
      </w:r>
      <w:r>
        <w:rPr>
          <w:rFonts w:ascii="Times New Roman" w:hAnsi="Times New Roman" w:cs="Times New Roman"/>
          <w:sz w:val="28"/>
          <w:szCs w:val="28"/>
          <w:lang w:val="uk-UA"/>
        </w:rPr>
        <w:t>1</w:t>
      </w:r>
      <w:r w:rsidRPr="007F7EB7">
        <w:rPr>
          <w:rFonts w:ascii="Times New Roman" w:hAnsi="Times New Roman" w:cs="Times New Roman"/>
          <w:sz w:val="28"/>
          <w:szCs w:val="28"/>
          <w:lang w:val="uk-UA"/>
        </w:rPr>
        <w:t>6 році.</w:t>
      </w:r>
      <w:r>
        <w:rPr>
          <w:rFonts w:ascii="Times New Roman" w:hAnsi="Times New Roman" w:cs="Times New Roman"/>
          <w:sz w:val="28"/>
          <w:szCs w:val="28"/>
          <w:lang w:val="uk-UA"/>
        </w:rPr>
        <w:t xml:space="preserve"> </w:t>
      </w:r>
      <w:r w:rsidRPr="007F7EB7">
        <w:rPr>
          <w:rFonts w:ascii="Times New Roman" w:hAnsi="Times New Roman" w:cs="Times New Roman"/>
          <w:sz w:val="28"/>
          <w:szCs w:val="28"/>
          <w:lang w:val="uk-UA"/>
        </w:rPr>
        <w:t>Подібним чином прогнозується, що до 202</w:t>
      </w:r>
      <w:r>
        <w:rPr>
          <w:rFonts w:ascii="Times New Roman" w:hAnsi="Times New Roman" w:cs="Times New Roman"/>
          <w:sz w:val="28"/>
          <w:szCs w:val="28"/>
          <w:lang w:val="uk-UA"/>
        </w:rPr>
        <w:t>5</w:t>
      </w:r>
      <w:r w:rsidRPr="007F7EB7">
        <w:rPr>
          <w:rFonts w:ascii="Times New Roman" w:hAnsi="Times New Roman" w:cs="Times New Roman"/>
          <w:sz w:val="28"/>
          <w:szCs w:val="28"/>
          <w:lang w:val="uk-UA"/>
        </w:rPr>
        <w:t xml:space="preserve"> року більше 40% працездатного населення Канади буде у віці від 45 до 64 років </w:t>
      </w:r>
      <w:r w:rsidRPr="005D1B01">
        <w:rPr>
          <w:rFonts w:ascii="Times New Roman" w:hAnsi="Times New Roman" w:cs="Times New Roman"/>
          <w:sz w:val="28"/>
          <w:szCs w:val="28"/>
        </w:rPr>
        <w:t>[262]</w:t>
      </w:r>
      <w:r w:rsidRPr="007F7EB7">
        <w:rPr>
          <w:rFonts w:ascii="Times New Roman" w:hAnsi="Times New Roman" w:cs="Times New Roman"/>
          <w:sz w:val="28"/>
          <w:szCs w:val="28"/>
          <w:lang w:val="uk-UA"/>
        </w:rPr>
        <w:t>. Досить схожу картину можна спостерігати в Європі. Населення працездатного віку в ЄС уже досягло свого піку в 20</w:t>
      </w:r>
      <w:r>
        <w:rPr>
          <w:rFonts w:ascii="Times New Roman" w:hAnsi="Times New Roman" w:cs="Times New Roman"/>
          <w:sz w:val="28"/>
          <w:szCs w:val="28"/>
          <w:lang w:val="uk-UA"/>
        </w:rPr>
        <w:t>2</w:t>
      </w:r>
      <w:r w:rsidRPr="007F7EB7">
        <w:rPr>
          <w:rFonts w:ascii="Times New Roman" w:hAnsi="Times New Roman" w:cs="Times New Roman"/>
          <w:sz w:val="28"/>
          <w:szCs w:val="28"/>
          <w:lang w:val="uk-UA"/>
        </w:rPr>
        <w:t xml:space="preserve">2 році і становило приблизно 308 мільйонів і почне скорочуватися протягом наступних </w:t>
      </w:r>
      <w:r>
        <w:rPr>
          <w:rFonts w:ascii="Times New Roman" w:hAnsi="Times New Roman" w:cs="Times New Roman"/>
          <w:sz w:val="28"/>
          <w:szCs w:val="28"/>
          <w:lang w:val="uk-UA"/>
        </w:rPr>
        <w:t>4</w:t>
      </w:r>
      <w:r w:rsidRPr="007F7EB7">
        <w:rPr>
          <w:rFonts w:ascii="Times New Roman" w:hAnsi="Times New Roman" w:cs="Times New Roman"/>
          <w:sz w:val="28"/>
          <w:szCs w:val="28"/>
          <w:lang w:val="uk-UA"/>
        </w:rPr>
        <w:t>0 років до приблизно 265 мільйонів у 2060 році. Водночас частка людей похилого віку продовжуватиме збільшуватися з роками. Навпаки, більшість країн, що розвиваються, розширюються та стають молодшими, що, однак, не дуже допомагає організаціям, які шукають таланти. Це тому, що більшість із цих молодих людей не володіють достатніми знаннями, навичками та здібностями, щоб відповідати вимогам сучасного, складного, швидкозмінного та все більш глобалізованого бізнес-середовища.</w:t>
      </w:r>
    </w:p>
    <w:p w14:paraId="4E886463" w14:textId="78C1296D"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Здається, немає легкого рішення, коли справа доходить до узгодження відмінностей між пропозицією та попитом на талановитих людей, навіть незважаючи на високий рівень безробіття. Дійсно, досліджуючи кількість компаній, які повідомляють про труднощі з пошуком талановитих людей, крізь призму показників безробіття, можна виявити деякі цікаві тенденції. Наприклад, у США рівень безробіття коливається на рівні 8%, а серед молоді – близько 16%. Серед 34 країн-членів ОЕСР рівень безробіття серед молоді становив 17,1% у 20</w:t>
      </w:r>
      <w:r>
        <w:rPr>
          <w:rFonts w:ascii="Times New Roman" w:hAnsi="Times New Roman" w:cs="Times New Roman"/>
          <w:sz w:val="28"/>
          <w:szCs w:val="28"/>
          <w:lang w:val="uk-UA"/>
        </w:rPr>
        <w:t>2</w:t>
      </w:r>
      <w:r w:rsidRPr="007F7EB7">
        <w:rPr>
          <w:rFonts w:ascii="Times New Roman" w:hAnsi="Times New Roman" w:cs="Times New Roman"/>
          <w:sz w:val="28"/>
          <w:szCs w:val="28"/>
          <w:lang w:val="uk-UA"/>
        </w:rPr>
        <w:t xml:space="preserve">2 році, що тьмяно порівняно з приблизно 51% у Греції та 52% в Іспанії </w:t>
      </w:r>
      <w:r w:rsidRPr="005D1B01">
        <w:rPr>
          <w:rFonts w:ascii="Times New Roman" w:hAnsi="Times New Roman" w:cs="Times New Roman"/>
          <w:sz w:val="28"/>
          <w:szCs w:val="28"/>
        </w:rPr>
        <w:t>[26</w:t>
      </w:r>
      <w:r>
        <w:rPr>
          <w:rFonts w:ascii="Times New Roman" w:hAnsi="Times New Roman" w:cs="Times New Roman"/>
          <w:sz w:val="28"/>
          <w:szCs w:val="28"/>
          <w:lang w:val="uk-UA"/>
        </w:rPr>
        <w:t>0</w:t>
      </w:r>
      <w:r w:rsidRPr="005D1B01">
        <w:rPr>
          <w:rFonts w:ascii="Times New Roman" w:hAnsi="Times New Roman" w:cs="Times New Roman"/>
          <w:sz w:val="28"/>
          <w:szCs w:val="28"/>
        </w:rPr>
        <w:t>]</w:t>
      </w:r>
      <w:r w:rsidRPr="007F7EB7">
        <w:rPr>
          <w:rFonts w:ascii="Times New Roman" w:hAnsi="Times New Roman" w:cs="Times New Roman"/>
          <w:sz w:val="28"/>
          <w:szCs w:val="28"/>
          <w:lang w:val="uk-UA"/>
        </w:rPr>
        <w:t xml:space="preserve">. У тому ж дослідженні передбачається, що оскільки навички, необхідні роботодавцям, стають все складнішими, нестача робочої сили - і, отже, нестача </w:t>
      </w:r>
      <w:r w:rsidRPr="007F7EB7">
        <w:rPr>
          <w:rFonts w:ascii="Times New Roman" w:hAnsi="Times New Roman" w:cs="Times New Roman"/>
          <w:sz w:val="28"/>
          <w:szCs w:val="28"/>
          <w:lang w:val="uk-UA"/>
        </w:rPr>
        <w:lastRenderedPageBreak/>
        <w:t xml:space="preserve">талантів </w:t>
      </w:r>
      <w:r w:rsidR="00E82D76">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вплине на багато ринків, включаючи США, Канаду, Німеччину та Італію, серед інших. Відповідно до останнього опитування </w:t>
      </w:r>
      <w:proofErr w:type="spellStart"/>
      <w:r w:rsidRPr="007F7EB7">
        <w:rPr>
          <w:rFonts w:ascii="Times New Roman" w:hAnsi="Times New Roman" w:cs="Times New Roman"/>
          <w:sz w:val="28"/>
          <w:szCs w:val="28"/>
          <w:lang w:val="uk-UA"/>
        </w:rPr>
        <w:t>Manpower</w:t>
      </w:r>
      <w:proofErr w:type="spellEnd"/>
      <w:r w:rsidRPr="007F7EB7">
        <w:rPr>
          <w:rFonts w:ascii="Times New Roman" w:hAnsi="Times New Roman" w:cs="Times New Roman"/>
          <w:sz w:val="28"/>
          <w:szCs w:val="28"/>
          <w:lang w:val="uk-UA"/>
        </w:rPr>
        <w:t xml:space="preserve"> </w:t>
      </w:r>
      <w:proofErr w:type="spellStart"/>
      <w:r w:rsidRPr="007F7EB7">
        <w:rPr>
          <w:rFonts w:ascii="Times New Roman" w:hAnsi="Times New Roman" w:cs="Times New Roman"/>
          <w:sz w:val="28"/>
          <w:szCs w:val="28"/>
          <w:lang w:val="uk-UA"/>
        </w:rPr>
        <w:t>Group</w:t>
      </w:r>
      <w:proofErr w:type="spellEnd"/>
      <w:r w:rsidRPr="007F7EB7">
        <w:rPr>
          <w:rFonts w:ascii="Times New Roman" w:hAnsi="Times New Roman" w:cs="Times New Roman"/>
          <w:sz w:val="28"/>
          <w:szCs w:val="28"/>
          <w:lang w:val="uk-UA"/>
        </w:rPr>
        <w:t xml:space="preserve"> </w:t>
      </w:r>
      <w:proofErr w:type="spellStart"/>
      <w:r w:rsidRPr="007F7EB7">
        <w:rPr>
          <w:rFonts w:ascii="Times New Roman" w:hAnsi="Times New Roman" w:cs="Times New Roman"/>
          <w:sz w:val="28"/>
          <w:szCs w:val="28"/>
          <w:lang w:val="uk-UA"/>
        </w:rPr>
        <w:t>Talent</w:t>
      </w:r>
      <w:proofErr w:type="spellEnd"/>
      <w:r w:rsidRPr="007F7EB7">
        <w:rPr>
          <w:rFonts w:ascii="Times New Roman" w:hAnsi="Times New Roman" w:cs="Times New Roman"/>
          <w:sz w:val="28"/>
          <w:szCs w:val="28"/>
          <w:lang w:val="uk-UA"/>
        </w:rPr>
        <w:t xml:space="preserve"> </w:t>
      </w:r>
      <w:proofErr w:type="spellStart"/>
      <w:r w:rsidRPr="007F7EB7">
        <w:rPr>
          <w:rFonts w:ascii="Times New Roman" w:hAnsi="Times New Roman" w:cs="Times New Roman"/>
          <w:sz w:val="28"/>
          <w:szCs w:val="28"/>
          <w:lang w:val="uk-UA"/>
        </w:rPr>
        <w:t>Shortage</w:t>
      </w:r>
      <w:proofErr w:type="spellEnd"/>
      <w:r w:rsidRPr="007F7EB7">
        <w:rPr>
          <w:rFonts w:ascii="Times New Roman" w:hAnsi="Times New Roman" w:cs="Times New Roman"/>
          <w:sz w:val="28"/>
          <w:szCs w:val="28"/>
          <w:lang w:val="uk-UA"/>
        </w:rPr>
        <w:t xml:space="preserve"> </w:t>
      </w:r>
      <w:proofErr w:type="spellStart"/>
      <w:r w:rsidRPr="007F7EB7">
        <w:rPr>
          <w:rFonts w:ascii="Times New Roman" w:hAnsi="Times New Roman" w:cs="Times New Roman"/>
          <w:sz w:val="28"/>
          <w:szCs w:val="28"/>
          <w:lang w:val="uk-UA"/>
        </w:rPr>
        <w:t>Survey</w:t>
      </w:r>
      <w:proofErr w:type="spellEnd"/>
      <w:r w:rsidRPr="007F7EB7">
        <w:rPr>
          <w:rFonts w:ascii="Times New Roman" w:hAnsi="Times New Roman" w:cs="Times New Roman"/>
          <w:sz w:val="28"/>
          <w:szCs w:val="28"/>
          <w:lang w:val="uk-UA"/>
        </w:rPr>
        <w:t xml:space="preserve">, 42% організацій у всьому світі вважають, що нестача талантів сильно або середньо впливає на їхніх ключових зацікавлених сторін </w:t>
      </w:r>
      <w:r w:rsidRPr="005D1B01">
        <w:rPr>
          <w:rFonts w:ascii="Times New Roman" w:hAnsi="Times New Roman" w:cs="Times New Roman"/>
          <w:sz w:val="28"/>
          <w:szCs w:val="28"/>
          <w:lang w:val="uk-UA"/>
        </w:rPr>
        <w:t>[262]</w:t>
      </w:r>
      <w:r w:rsidRPr="007F7EB7">
        <w:rPr>
          <w:rFonts w:ascii="Times New Roman" w:hAnsi="Times New Roman" w:cs="Times New Roman"/>
          <w:sz w:val="28"/>
          <w:szCs w:val="28"/>
          <w:lang w:val="uk-UA"/>
        </w:rPr>
        <w:t xml:space="preserve">. Тому можна зробити висновок, що хоча (дисбаланс) між попитом і пропозицією талантів може значно відрізнятися від ринку до ринку, він продовжуватиме впливати на глобальне робоче місце в </w:t>
      </w:r>
      <w:proofErr w:type="spellStart"/>
      <w:r w:rsidRPr="007F7EB7">
        <w:rPr>
          <w:rFonts w:ascii="Times New Roman" w:hAnsi="Times New Roman" w:cs="Times New Roman"/>
          <w:sz w:val="28"/>
          <w:szCs w:val="28"/>
          <w:lang w:val="uk-UA"/>
        </w:rPr>
        <w:t>осяжному</w:t>
      </w:r>
      <w:proofErr w:type="spellEnd"/>
      <w:r w:rsidRPr="007F7EB7">
        <w:rPr>
          <w:rFonts w:ascii="Times New Roman" w:hAnsi="Times New Roman" w:cs="Times New Roman"/>
          <w:sz w:val="28"/>
          <w:szCs w:val="28"/>
          <w:lang w:val="uk-UA"/>
        </w:rPr>
        <w:t xml:space="preserve"> майбутньому. Найбільшою проблемою для багатьох організацій зараз є невідповідність між навичками, необхідними для доступних робочих місць, і навичками, якими зараз володіють працівники. Серед інших важливих причин неможливості зайняти ключові посади організації називають відсутність технічних і так званих навичок м’якого спілкування, а також брак досвіду </w:t>
      </w:r>
      <w:r w:rsidRPr="005D1B01">
        <w:rPr>
          <w:rFonts w:ascii="Times New Roman" w:hAnsi="Times New Roman" w:cs="Times New Roman"/>
          <w:sz w:val="28"/>
          <w:szCs w:val="28"/>
          <w:lang w:val="uk-UA"/>
        </w:rPr>
        <w:t>[262]</w:t>
      </w:r>
      <w:r w:rsidRPr="007F7EB7">
        <w:rPr>
          <w:rFonts w:ascii="Times New Roman" w:hAnsi="Times New Roman" w:cs="Times New Roman"/>
          <w:sz w:val="28"/>
          <w:szCs w:val="28"/>
          <w:lang w:val="uk-UA"/>
        </w:rPr>
        <w:t>.</w:t>
      </w:r>
    </w:p>
    <w:p w14:paraId="61801363"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Щоб подолати ці виклики, потрібно переглянути глобальні стратегії розвитку талантів. Дійсно, результати дослідження </w:t>
      </w:r>
      <w:proofErr w:type="spellStart"/>
      <w:r w:rsidRPr="007F7EB7">
        <w:rPr>
          <w:rFonts w:ascii="Times New Roman" w:hAnsi="Times New Roman" w:cs="Times New Roman"/>
          <w:sz w:val="28"/>
          <w:szCs w:val="28"/>
          <w:lang w:val="uk-UA"/>
        </w:rPr>
        <w:t>Global</w:t>
      </w:r>
      <w:proofErr w:type="spellEnd"/>
      <w:r w:rsidRPr="007F7EB7">
        <w:rPr>
          <w:rFonts w:ascii="Times New Roman" w:hAnsi="Times New Roman" w:cs="Times New Roman"/>
          <w:sz w:val="28"/>
          <w:szCs w:val="28"/>
          <w:lang w:val="uk-UA"/>
        </w:rPr>
        <w:t xml:space="preserve"> </w:t>
      </w:r>
      <w:proofErr w:type="spellStart"/>
      <w:r w:rsidRPr="007F7EB7">
        <w:rPr>
          <w:rFonts w:ascii="Times New Roman" w:hAnsi="Times New Roman" w:cs="Times New Roman"/>
          <w:sz w:val="28"/>
          <w:szCs w:val="28"/>
          <w:lang w:val="uk-UA"/>
        </w:rPr>
        <w:t>Talent</w:t>
      </w:r>
      <w:proofErr w:type="spellEnd"/>
      <w:r w:rsidRPr="007F7EB7">
        <w:rPr>
          <w:rFonts w:ascii="Times New Roman" w:hAnsi="Times New Roman" w:cs="Times New Roman"/>
          <w:sz w:val="28"/>
          <w:szCs w:val="28"/>
          <w:lang w:val="uk-UA"/>
        </w:rPr>
        <w:t xml:space="preserve"> 2021 пропонують наступні можливі рішення </w:t>
      </w:r>
      <w:r w:rsidRPr="005D1B01">
        <w:rPr>
          <w:rFonts w:ascii="Times New Roman" w:hAnsi="Times New Roman" w:cs="Times New Roman"/>
          <w:sz w:val="28"/>
          <w:szCs w:val="28"/>
          <w:lang w:val="uk-UA"/>
        </w:rPr>
        <w:t>[262]</w:t>
      </w:r>
      <w:r w:rsidRPr="007F7EB7">
        <w:rPr>
          <w:rFonts w:ascii="Times New Roman" w:hAnsi="Times New Roman" w:cs="Times New Roman"/>
          <w:sz w:val="28"/>
          <w:szCs w:val="28"/>
          <w:lang w:val="uk-UA"/>
        </w:rPr>
        <w:t>, хоча вони представляють важливі сфери, де наукові дослідження можуть сприяти більш інформованому обговоренню:</w:t>
      </w:r>
    </w:p>
    <w:p w14:paraId="0974AC9D"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5D1B01">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7F7EB7">
        <w:rPr>
          <w:rFonts w:ascii="Times New Roman" w:hAnsi="Times New Roman" w:cs="Times New Roman"/>
          <w:sz w:val="28"/>
          <w:szCs w:val="28"/>
          <w:lang w:val="uk-UA"/>
        </w:rPr>
        <w:t xml:space="preserve">скільки дефіцит кадрів у розвиненому світі неминуче триватиме, організації повинні мати можливість чіткіше думати про те, як досягти належного балансу між утриманням, </w:t>
      </w:r>
      <w:proofErr w:type="spellStart"/>
      <w:r w:rsidRPr="007F7EB7">
        <w:rPr>
          <w:rFonts w:ascii="Times New Roman" w:hAnsi="Times New Roman" w:cs="Times New Roman"/>
          <w:sz w:val="28"/>
          <w:szCs w:val="28"/>
          <w:lang w:val="uk-UA"/>
        </w:rPr>
        <w:t>аутсорсинговою</w:t>
      </w:r>
      <w:proofErr w:type="spellEnd"/>
      <w:r w:rsidRPr="007F7EB7">
        <w:rPr>
          <w:rFonts w:ascii="Times New Roman" w:hAnsi="Times New Roman" w:cs="Times New Roman"/>
          <w:sz w:val="28"/>
          <w:szCs w:val="28"/>
          <w:lang w:val="uk-UA"/>
        </w:rPr>
        <w:t xml:space="preserve"> роботою та переміщенням персоналу в інші країни</w:t>
      </w:r>
      <w:r>
        <w:rPr>
          <w:rFonts w:ascii="Times New Roman" w:hAnsi="Times New Roman" w:cs="Times New Roman"/>
          <w:sz w:val="28"/>
          <w:szCs w:val="28"/>
          <w:lang w:val="uk-UA"/>
        </w:rPr>
        <w:t>;</w:t>
      </w:r>
    </w:p>
    <w:p w14:paraId="5C0EA8DF"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5D1B01">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7F7EB7">
        <w:rPr>
          <w:rFonts w:ascii="Times New Roman" w:hAnsi="Times New Roman" w:cs="Times New Roman"/>
          <w:sz w:val="28"/>
          <w:szCs w:val="28"/>
          <w:lang w:val="uk-UA"/>
        </w:rPr>
        <w:t>скільки цифрові знання, критичне мислення та чудові навички міжособистісного спілкування залишатимуться</w:t>
      </w:r>
      <w:r>
        <w:rPr>
          <w:rFonts w:ascii="Times New Roman" w:hAnsi="Times New Roman" w:cs="Times New Roman"/>
          <w:sz w:val="28"/>
          <w:szCs w:val="28"/>
          <w:lang w:val="uk-UA"/>
        </w:rPr>
        <w:t xml:space="preserve"> на</w:t>
      </w:r>
      <w:r w:rsidRPr="007F7EB7">
        <w:rPr>
          <w:rFonts w:ascii="Times New Roman" w:hAnsi="Times New Roman" w:cs="Times New Roman"/>
          <w:sz w:val="28"/>
          <w:szCs w:val="28"/>
          <w:lang w:val="uk-UA"/>
        </w:rPr>
        <w:t xml:space="preserve"> висок</w:t>
      </w:r>
      <w:r>
        <w:rPr>
          <w:rFonts w:ascii="Times New Roman" w:hAnsi="Times New Roman" w:cs="Times New Roman"/>
          <w:sz w:val="28"/>
          <w:szCs w:val="28"/>
          <w:lang w:val="uk-UA"/>
        </w:rPr>
        <w:t>ому</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рівні </w:t>
      </w:r>
      <w:r w:rsidRPr="007F7EB7">
        <w:rPr>
          <w:rFonts w:ascii="Times New Roman" w:hAnsi="Times New Roman" w:cs="Times New Roman"/>
          <w:sz w:val="28"/>
          <w:szCs w:val="28"/>
          <w:lang w:val="uk-UA"/>
        </w:rPr>
        <w:t>попит</w:t>
      </w:r>
      <w:r>
        <w:rPr>
          <w:rFonts w:ascii="Times New Roman" w:hAnsi="Times New Roman" w:cs="Times New Roman"/>
          <w:sz w:val="28"/>
          <w:szCs w:val="28"/>
          <w:lang w:val="uk-UA"/>
        </w:rPr>
        <w:t>у</w:t>
      </w:r>
      <w:r w:rsidRPr="007F7EB7">
        <w:rPr>
          <w:rFonts w:ascii="Times New Roman" w:hAnsi="Times New Roman" w:cs="Times New Roman"/>
          <w:sz w:val="28"/>
          <w:szCs w:val="28"/>
          <w:lang w:val="uk-UA"/>
        </w:rPr>
        <w:t xml:space="preserve">, організаціям необхідно </w:t>
      </w:r>
      <w:proofErr w:type="spellStart"/>
      <w:r w:rsidRPr="007F7EB7">
        <w:rPr>
          <w:rFonts w:ascii="Times New Roman" w:hAnsi="Times New Roman" w:cs="Times New Roman"/>
          <w:sz w:val="28"/>
          <w:szCs w:val="28"/>
          <w:lang w:val="uk-UA"/>
        </w:rPr>
        <w:t>перерозташувати</w:t>
      </w:r>
      <w:proofErr w:type="spellEnd"/>
      <w:r w:rsidRPr="007F7EB7">
        <w:rPr>
          <w:rFonts w:ascii="Times New Roman" w:hAnsi="Times New Roman" w:cs="Times New Roman"/>
          <w:sz w:val="28"/>
          <w:szCs w:val="28"/>
          <w:lang w:val="uk-UA"/>
        </w:rPr>
        <w:t xml:space="preserve"> набори навичок працівників таким чином, щоб узгоджуватись із (постійними) змінами в організаційній страте</w:t>
      </w:r>
      <w:r>
        <w:rPr>
          <w:rFonts w:ascii="Times New Roman" w:hAnsi="Times New Roman" w:cs="Times New Roman"/>
          <w:sz w:val="28"/>
          <w:szCs w:val="28"/>
          <w:lang w:val="uk-UA"/>
        </w:rPr>
        <w:t>гії, бізнес-моделях і підходах;</w:t>
      </w:r>
    </w:p>
    <w:p w14:paraId="397168CD"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5D1B01">
        <w:rPr>
          <w:rFonts w:ascii="Times New Roman" w:hAnsi="Times New Roman" w:cs="Times New Roman"/>
          <w:sz w:val="28"/>
          <w:szCs w:val="28"/>
        </w:rPr>
        <w:t>-</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щ</w:t>
      </w:r>
      <w:r w:rsidRPr="007F7EB7">
        <w:rPr>
          <w:rFonts w:ascii="Times New Roman" w:hAnsi="Times New Roman" w:cs="Times New Roman"/>
          <w:sz w:val="28"/>
          <w:szCs w:val="28"/>
          <w:lang w:val="uk-UA"/>
        </w:rPr>
        <w:t xml:space="preserve">об досягти успіху в довгостроковій перспективі, важливо продовжувати підвищувати залученість співробітників. Щоб досягти цього, </w:t>
      </w:r>
      <w:proofErr w:type="spellStart"/>
      <w:r w:rsidRPr="007F7EB7">
        <w:rPr>
          <w:rFonts w:ascii="Times New Roman" w:hAnsi="Times New Roman" w:cs="Times New Roman"/>
          <w:sz w:val="28"/>
          <w:szCs w:val="28"/>
          <w:lang w:val="uk-UA"/>
        </w:rPr>
        <w:t>життєво</w:t>
      </w:r>
      <w:proofErr w:type="spellEnd"/>
      <w:r w:rsidRPr="007F7EB7">
        <w:rPr>
          <w:rFonts w:ascii="Times New Roman" w:hAnsi="Times New Roman" w:cs="Times New Roman"/>
          <w:sz w:val="28"/>
          <w:szCs w:val="28"/>
          <w:lang w:val="uk-UA"/>
        </w:rPr>
        <w:t xml:space="preserve"> важливою є адаптація підходу до HRM, заснованого на доказах (що включає логічну аналітику, сегментацію, оптимізацію, використання ризиків, інтеграцію та </w:t>
      </w:r>
      <w:r w:rsidRPr="007F7EB7">
        <w:rPr>
          <w:rFonts w:ascii="Times New Roman" w:hAnsi="Times New Roman" w:cs="Times New Roman"/>
          <w:sz w:val="28"/>
          <w:szCs w:val="28"/>
          <w:lang w:val="uk-UA"/>
        </w:rPr>
        <w:lastRenderedPageBreak/>
        <w:t xml:space="preserve">синергію). Однак з академічної точки зору </w:t>
      </w:r>
      <w:r>
        <w:rPr>
          <w:rFonts w:ascii="Times New Roman" w:hAnsi="Times New Roman" w:cs="Times New Roman"/>
          <w:sz w:val="28"/>
          <w:szCs w:val="28"/>
          <w:lang w:val="uk-UA"/>
        </w:rPr>
        <w:t xml:space="preserve">доцільно підняти </w:t>
      </w:r>
      <w:r w:rsidRPr="007F7EB7">
        <w:rPr>
          <w:rFonts w:ascii="Times New Roman" w:hAnsi="Times New Roman" w:cs="Times New Roman"/>
          <w:sz w:val="28"/>
          <w:szCs w:val="28"/>
          <w:lang w:val="uk-UA"/>
        </w:rPr>
        <w:t>два важливих питання щодо взаємодії. По-перше, важливо, щоб залученість оцінювалася належним чином. Занадто довго домінували сумнівні практичні заходи. Проте</w:t>
      </w:r>
      <w:r>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важливим є</w:t>
      </w:r>
      <w:r w:rsidRPr="007F7EB7">
        <w:rPr>
          <w:rFonts w:ascii="Times New Roman" w:hAnsi="Times New Roman" w:cs="Times New Roman"/>
          <w:sz w:val="28"/>
          <w:szCs w:val="28"/>
          <w:lang w:val="uk-UA"/>
        </w:rPr>
        <w:t xml:space="preserve"> ширш</w:t>
      </w:r>
      <w:r>
        <w:rPr>
          <w:rFonts w:ascii="Times New Roman" w:hAnsi="Times New Roman" w:cs="Times New Roman"/>
          <w:sz w:val="28"/>
          <w:szCs w:val="28"/>
          <w:lang w:val="uk-UA"/>
        </w:rPr>
        <w:t>е</w:t>
      </w:r>
      <w:r w:rsidRPr="007F7EB7">
        <w:rPr>
          <w:rFonts w:ascii="Times New Roman" w:hAnsi="Times New Roman" w:cs="Times New Roman"/>
          <w:sz w:val="28"/>
          <w:szCs w:val="28"/>
          <w:lang w:val="uk-UA"/>
        </w:rPr>
        <w:t xml:space="preserve"> використання заходів, підкріплених більш надій</w:t>
      </w:r>
      <w:r>
        <w:rPr>
          <w:rFonts w:ascii="Times New Roman" w:hAnsi="Times New Roman" w:cs="Times New Roman"/>
          <w:sz w:val="28"/>
          <w:szCs w:val="28"/>
          <w:lang w:val="uk-UA"/>
        </w:rPr>
        <w:t>ними та обґрунтованими теоріями</w:t>
      </w:r>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rPr>
        <w:t>[260]</w:t>
      </w:r>
      <w:r>
        <w:rPr>
          <w:rFonts w:ascii="Times New Roman" w:hAnsi="Times New Roman" w:cs="Times New Roman"/>
          <w:sz w:val="28"/>
          <w:szCs w:val="28"/>
          <w:lang w:val="uk-UA"/>
        </w:rPr>
        <w:t>;</w:t>
      </w:r>
    </w:p>
    <w:p w14:paraId="4ECE48A1"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5D1B01">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7F7EB7">
        <w:rPr>
          <w:rFonts w:ascii="Times New Roman" w:hAnsi="Times New Roman" w:cs="Times New Roman"/>
          <w:sz w:val="28"/>
          <w:szCs w:val="28"/>
          <w:lang w:val="uk-UA"/>
        </w:rPr>
        <w:t>жерела, ставлення та очікування талантів постійно розвиваються, тому організаціям важливо пам’ятати, що буде приділятися підвищена увага глобальній мобільності співробітників, яка також може включати різні графіки роботи, місця роботи</w:t>
      </w:r>
      <w:r>
        <w:rPr>
          <w:rFonts w:ascii="Times New Roman" w:hAnsi="Times New Roman" w:cs="Times New Roman"/>
          <w:sz w:val="28"/>
          <w:szCs w:val="28"/>
          <w:lang w:val="uk-UA"/>
        </w:rPr>
        <w:t xml:space="preserve"> та режими роботи (наприклад, </w:t>
      </w:r>
      <w:r w:rsidRPr="007F7EB7">
        <w:rPr>
          <w:rFonts w:ascii="Times New Roman" w:hAnsi="Times New Roman" w:cs="Times New Roman"/>
          <w:sz w:val="28"/>
          <w:szCs w:val="28"/>
          <w:lang w:val="uk-UA"/>
        </w:rPr>
        <w:t>віртуальний чи локальний).</w:t>
      </w:r>
    </w:p>
    <w:p w14:paraId="5AC51F41"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Тепер звернемо нашу увагу на інші дві сили, які керують зусиллями з управління талантами в організаціях, а саме зміни у ставленні працівників до роботи та національні культурні відмінності.</w:t>
      </w:r>
    </w:p>
    <w:p w14:paraId="574CE77D"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Дані показують, що ставлення до роботи змінюється в багатьох частинах світу </w:t>
      </w:r>
      <w:r w:rsidRPr="005D1B01">
        <w:rPr>
          <w:rFonts w:ascii="Times New Roman" w:hAnsi="Times New Roman" w:cs="Times New Roman"/>
          <w:sz w:val="28"/>
          <w:szCs w:val="28"/>
        </w:rPr>
        <w:t>[219]</w:t>
      </w:r>
      <w:r w:rsidRPr="007F7EB7">
        <w:rPr>
          <w:rFonts w:ascii="Times New Roman" w:hAnsi="Times New Roman" w:cs="Times New Roman"/>
          <w:sz w:val="28"/>
          <w:szCs w:val="28"/>
          <w:lang w:val="uk-UA"/>
        </w:rPr>
        <w:t>. Традиційний психологічний контракт, який прямо передбачає почуття взаємної лояльності та відданості між праці</w:t>
      </w:r>
      <w:r>
        <w:rPr>
          <w:rFonts w:ascii="Times New Roman" w:hAnsi="Times New Roman" w:cs="Times New Roman"/>
          <w:sz w:val="28"/>
          <w:szCs w:val="28"/>
          <w:lang w:val="uk-UA"/>
        </w:rPr>
        <w:t xml:space="preserve">вником та його/її організацією </w:t>
      </w:r>
      <w:r w:rsidRPr="007F7EB7">
        <w:rPr>
          <w:rFonts w:ascii="Times New Roman" w:hAnsi="Times New Roman" w:cs="Times New Roman"/>
          <w:sz w:val="28"/>
          <w:szCs w:val="28"/>
          <w:lang w:val="uk-UA"/>
        </w:rPr>
        <w:t>швидко зникає.</w:t>
      </w:r>
      <w:r>
        <w:rPr>
          <w:rFonts w:ascii="Times New Roman" w:hAnsi="Times New Roman" w:cs="Times New Roman"/>
          <w:sz w:val="28"/>
          <w:szCs w:val="28"/>
          <w:lang w:val="uk-UA"/>
        </w:rPr>
        <w:t xml:space="preserve"> </w:t>
      </w:r>
      <w:r w:rsidRPr="007F7EB7">
        <w:rPr>
          <w:rFonts w:ascii="Times New Roman" w:hAnsi="Times New Roman" w:cs="Times New Roman"/>
          <w:sz w:val="28"/>
          <w:szCs w:val="28"/>
          <w:lang w:val="uk-UA"/>
        </w:rPr>
        <w:t xml:space="preserve">Іншими словами, від працівника завжди очікувалося, що він буде надавати компанії-роботодавцю свої знання, навички, здібності, досвід і лояльність в обмін на хорошу зарплату, безпеку роботи та можливості для розвитку. Однак сьогодні ситуація зовсім інша – працівники </w:t>
      </w:r>
      <w:r>
        <w:rPr>
          <w:rFonts w:ascii="Times New Roman" w:hAnsi="Times New Roman" w:cs="Times New Roman"/>
          <w:sz w:val="28"/>
          <w:szCs w:val="28"/>
          <w:lang w:val="uk-UA"/>
        </w:rPr>
        <w:t>бажа</w:t>
      </w:r>
      <w:r w:rsidRPr="007F7EB7">
        <w:rPr>
          <w:rFonts w:ascii="Times New Roman" w:hAnsi="Times New Roman" w:cs="Times New Roman"/>
          <w:sz w:val="28"/>
          <w:szCs w:val="28"/>
          <w:lang w:val="uk-UA"/>
        </w:rPr>
        <w:t>ють часто змінювати роботу, використовувати свої можливості працевлаштування (що включає виграшну комбінацію технічних і соціальних навичок) для пошуку кращих можливостей деінде та використовувати глобальну мобільність як інст</w:t>
      </w:r>
      <w:r>
        <w:rPr>
          <w:rFonts w:ascii="Times New Roman" w:hAnsi="Times New Roman" w:cs="Times New Roman"/>
          <w:sz w:val="28"/>
          <w:szCs w:val="28"/>
          <w:lang w:val="uk-UA"/>
        </w:rPr>
        <w:t xml:space="preserve">румент саморозвитку, </w:t>
      </w:r>
      <w:r w:rsidRPr="007F7EB7">
        <w:rPr>
          <w:rFonts w:ascii="Times New Roman" w:hAnsi="Times New Roman" w:cs="Times New Roman"/>
          <w:sz w:val="28"/>
          <w:szCs w:val="28"/>
          <w:lang w:val="uk-UA"/>
        </w:rPr>
        <w:t xml:space="preserve">щоб підвищити </w:t>
      </w:r>
      <w:r>
        <w:rPr>
          <w:rFonts w:ascii="Times New Roman" w:hAnsi="Times New Roman" w:cs="Times New Roman"/>
          <w:sz w:val="28"/>
          <w:szCs w:val="28"/>
          <w:lang w:val="uk-UA"/>
        </w:rPr>
        <w:t>свою</w:t>
      </w:r>
      <w:r w:rsidRPr="007F7EB7">
        <w:rPr>
          <w:rFonts w:ascii="Times New Roman" w:hAnsi="Times New Roman" w:cs="Times New Roman"/>
          <w:sz w:val="28"/>
          <w:szCs w:val="28"/>
          <w:lang w:val="uk-UA"/>
        </w:rPr>
        <w:t xml:space="preserve"> привабливість для інших потенційних роботодавців. Це означає, що найталановитіші працівники бажають і зможуть працювати на кількох роботодавців, матимуть відмінні соціальні </w:t>
      </w:r>
      <w:r>
        <w:rPr>
          <w:rFonts w:ascii="Times New Roman" w:hAnsi="Times New Roman" w:cs="Times New Roman"/>
          <w:sz w:val="28"/>
          <w:szCs w:val="28"/>
          <w:lang w:val="uk-UA"/>
        </w:rPr>
        <w:t>і</w:t>
      </w:r>
      <w:r w:rsidRPr="007F7EB7">
        <w:rPr>
          <w:rFonts w:ascii="Times New Roman" w:hAnsi="Times New Roman" w:cs="Times New Roman"/>
          <w:sz w:val="28"/>
          <w:szCs w:val="28"/>
          <w:lang w:val="uk-UA"/>
        </w:rPr>
        <w:t xml:space="preserve"> професійні зв’язки та будуть переходити з однієї роботи на іншу, незважаючи на географічні відстані </w:t>
      </w:r>
      <w:r w:rsidRPr="005D1B01">
        <w:rPr>
          <w:rFonts w:ascii="Times New Roman" w:hAnsi="Times New Roman" w:cs="Times New Roman"/>
          <w:sz w:val="28"/>
          <w:szCs w:val="28"/>
          <w:lang w:val="uk-UA"/>
        </w:rPr>
        <w:t>[219]</w:t>
      </w:r>
      <w:r w:rsidRPr="007F7EB7">
        <w:rPr>
          <w:rFonts w:ascii="Times New Roman" w:hAnsi="Times New Roman" w:cs="Times New Roman"/>
          <w:sz w:val="28"/>
          <w:szCs w:val="28"/>
          <w:lang w:val="uk-UA"/>
        </w:rPr>
        <w:t xml:space="preserve">. Щоб впоратися з цими мінливими ставленнями, організації повинні докладати додаткових зусиль до своєї діяльності з управління талантами, і зокрема, до залучення/виявлення та утримання найкращих </w:t>
      </w:r>
      <w:r>
        <w:rPr>
          <w:rFonts w:ascii="Times New Roman" w:hAnsi="Times New Roman" w:cs="Times New Roman"/>
          <w:sz w:val="28"/>
          <w:szCs w:val="28"/>
          <w:lang w:val="uk-UA"/>
        </w:rPr>
        <w:t>з них</w:t>
      </w:r>
      <w:r w:rsidRPr="007F7EB7">
        <w:rPr>
          <w:rFonts w:ascii="Times New Roman" w:hAnsi="Times New Roman" w:cs="Times New Roman"/>
          <w:sz w:val="28"/>
          <w:szCs w:val="28"/>
          <w:lang w:val="uk-UA"/>
        </w:rPr>
        <w:t>.</w:t>
      </w:r>
    </w:p>
    <w:p w14:paraId="3C598F4F"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lastRenderedPageBreak/>
        <w:t xml:space="preserve">Поряд зі зміною ставлення національні культури та інституційні відмінності також відіграють значну роль у способах управління людьми в організаціях </w:t>
      </w:r>
      <w:r w:rsidRPr="005D1B01">
        <w:rPr>
          <w:rFonts w:ascii="Times New Roman" w:hAnsi="Times New Roman" w:cs="Times New Roman"/>
          <w:sz w:val="28"/>
          <w:szCs w:val="28"/>
          <w:lang w:val="uk-UA"/>
        </w:rPr>
        <w:t>[219]</w:t>
      </w:r>
      <w:r w:rsidRPr="007F7EB7">
        <w:rPr>
          <w:rFonts w:ascii="Times New Roman" w:hAnsi="Times New Roman" w:cs="Times New Roman"/>
          <w:sz w:val="28"/>
          <w:szCs w:val="28"/>
          <w:lang w:val="uk-UA"/>
        </w:rPr>
        <w:t xml:space="preserve">. Якщо говорити точніше, культура має як прямий, так і опосередкований вплив на те, як розробляються та впроваджуються кадрові політики, процедури та методи, а також на те, як це впливає на поведінку працівників. Наприклад, у деяких культурах, наприклад у скандинавських, багатьом керівникам незручно та/або не хочеться визнавати відмінності в продуктивності між працівниками </w:t>
      </w:r>
      <w:r>
        <w:rPr>
          <w:rFonts w:ascii="Times New Roman" w:hAnsi="Times New Roman" w:cs="Times New Roman"/>
          <w:sz w:val="28"/>
          <w:szCs w:val="28"/>
          <w:lang w:val="uk-UA"/>
        </w:rPr>
        <w:t>(</w:t>
      </w:r>
      <w:r w:rsidRPr="007F7EB7">
        <w:rPr>
          <w:rFonts w:ascii="Times New Roman" w:hAnsi="Times New Roman" w:cs="Times New Roman"/>
          <w:sz w:val="28"/>
          <w:szCs w:val="28"/>
          <w:lang w:val="uk-UA"/>
        </w:rPr>
        <w:t>важливий крок, необхідний для покращення продуктивності тощо</w:t>
      </w:r>
      <w:r>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через поширеніст</w:t>
      </w:r>
      <w:r>
        <w:rPr>
          <w:rFonts w:ascii="Times New Roman" w:hAnsi="Times New Roman" w:cs="Times New Roman"/>
          <w:sz w:val="28"/>
          <w:szCs w:val="28"/>
          <w:lang w:val="uk-UA"/>
        </w:rPr>
        <w:t xml:space="preserve">ь егалітаризму в цих культурах </w:t>
      </w:r>
      <w:r w:rsidRPr="005D1B01">
        <w:rPr>
          <w:rFonts w:ascii="Times New Roman" w:hAnsi="Times New Roman" w:cs="Times New Roman"/>
          <w:sz w:val="28"/>
          <w:szCs w:val="28"/>
        </w:rPr>
        <w:t>[251]</w:t>
      </w:r>
      <w:r w:rsidRPr="007F7EB7">
        <w:rPr>
          <w:rFonts w:ascii="Times New Roman" w:hAnsi="Times New Roman" w:cs="Times New Roman"/>
          <w:sz w:val="28"/>
          <w:szCs w:val="28"/>
          <w:lang w:val="uk-UA"/>
        </w:rPr>
        <w:t>. Ці та подібні фактори, пов’язані з культурою, створюють серйозні проблеми для глобального управління талантами, особливо для тих транснаціональних компаній, які намагаються об’єднати свої практики управління талантами. Крім того, інституційні фактори, такі як законодавчий контекст і національна інфраструктурна підтримка бізнесу, мають значний потенціал для впливу на характер практики управління талантами в різних регіонах.</w:t>
      </w:r>
    </w:p>
    <w:p w14:paraId="52DBAEED"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Підводячи підсумок, можна сказати, що всі чотири вищезазначені зовнішні чинники – нестача талантів, демографія, зміна ставлення до роботи та національні культурні відмінності – дійсно сильно впливають на глобальні організаційні зусилля із залучення, розвитку, мобілізації та утримання ключових працівників. Цей вплив насамперед впливає на те, як розробляються, налаштовуються, використовуються та оцінюються глобальні процедури управління талантами, політики та стратегії </w:t>
      </w:r>
      <w:r w:rsidRPr="005D1B01">
        <w:rPr>
          <w:rFonts w:ascii="Times New Roman" w:hAnsi="Times New Roman" w:cs="Times New Roman"/>
          <w:sz w:val="28"/>
          <w:szCs w:val="28"/>
        </w:rPr>
        <w:t>[219]</w:t>
      </w:r>
      <w:r w:rsidRPr="007F7EB7">
        <w:rPr>
          <w:rFonts w:ascii="Times New Roman" w:hAnsi="Times New Roman" w:cs="Times New Roman"/>
          <w:sz w:val="28"/>
          <w:szCs w:val="28"/>
          <w:lang w:val="uk-UA"/>
        </w:rPr>
        <w:t>.</w:t>
      </w:r>
    </w:p>
    <w:p w14:paraId="50D2A325" w14:textId="75E73687" w:rsidR="00571B42"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Як зазначалося вище, ключовою сферою дослідження глобального управління талантами були практики управління персоналом, які підтримують ефективн</w:t>
      </w:r>
      <w:r>
        <w:rPr>
          <w:rFonts w:ascii="Times New Roman" w:hAnsi="Times New Roman" w:cs="Times New Roman"/>
          <w:sz w:val="28"/>
          <w:szCs w:val="28"/>
          <w:lang w:val="uk-UA"/>
        </w:rPr>
        <w:t>е</w:t>
      </w:r>
      <w:r w:rsidRPr="007F7EB7">
        <w:rPr>
          <w:rFonts w:ascii="Times New Roman" w:hAnsi="Times New Roman" w:cs="Times New Roman"/>
          <w:sz w:val="28"/>
          <w:szCs w:val="28"/>
          <w:lang w:val="uk-UA"/>
        </w:rPr>
        <w:t xml:space="preserve"> глобальн</w:t>
      </w:r>
      <w:r>
        <w:rPr>
          <w:rFonts w:ascii="Times New Roman" w:hAnsi="Times New Roman" w:cs="Times New Roman"/>
          <w:sz w:val="28"/>
          <w:szCs w:val="28"/>
          <w:lang w:val="uk-UA"/>
        </w:rPr>
        <w:t>е управління талантами</w:t>
      </w:r>
      <w:r w:rsidRPr="007F7EB7">
        <w:rPr>
          <w:rFonts w:ascii="Times New Roman" w:hAnsi="Times New Roman" w:cs="Times New Roman"/>
          <w:sz w:val="28"/>
          <w:szCs w:val="28"/>
          <w:lang w:val="uk-UA"/>
        </w:rPr>
        <w:t>. Проте т</w:t>
      </w:r>
      <w:r>
        <w:rPr>
          <w:rFonts w:ascii="Times New Roman" w:hAnsi="Times New Roman" w:cs="Times New Roman"/>
          <w:sz w:val="28"/>
          <w:szCs w:val="28"/>
          <w:lang w:val="uk-UA"/>
        </w:rPr>
        <w:t>ому</w:t>
      </w:r>
      <w:r w:rsidRPr="007F7EB7">
        <w:rPr>
          <w:rFonts w:ascii="Times New Roman" w:hAnsi="Times New Roman" w:cs="Times New Roman"/>
          <w:sz w:val="28"/>
          <w:szCs w:val="28"/>
          <w:lang w:val="uk-UA"/>
        </w:rPr>
        <w:t xml:space="preserve">, як ці практики та глобальні потоки талантів загалом управляються та координуються на глобальному рівні, </w:t>
      </w:r>
      <w:r>
        <w:rPr>
          <w:rFonts w:ascii="Times New Roman" w:hAnsi="Times New Roman" w:cs="Times New Roman"/>
          <w:sz w:val="28"/>
          <w:szCs w:val="28"/>
          <w:lang w:val="uk-UA"/>
        </w:rPr>
        <w:t xml:space="preserve">було </w:t>
      </w:r>
      <w:r w:rsidRPr="007F7EB7">
        <w:rPr>
          <w:rFonts w:ascii="Times New Roman" w:hAnsi="Times New Roman" w:cs="Times New Roman"/>
          <w:sz w:val="28"/>
          <w:szCs w:val="28"/>
          <w:lang w:val="uk-UA"/>
        </w:rPr>
        <w:t>приділ</w:t>
      </w:r>
      <w:r>
        <w:rPr>
          <w:rFonts w:ascii="Times New Roman" w:hAnsi="Times New Roman" w:cs="Times New Roman"/>
          <w:sz w:val="28"/>
          <w:szCs w:val="28"/>
          <w:lang w:val="uk-UA"/>
        </w:rPr>
        <w:t>ен</w:t>
      </w:r>
      <w:r w:rsidRPr="007F7EB7">
        <w:rPr>
          <w:rFonts w:ascii="Times New Roman" w:hAnsi="Times New Roman" w:cs="Times New Roman"/>
          <w:sz w:val="28"/>
          <w:szCs w:val="28"/>
          <w:lang w:val="uk-UA"/>
        </w:rPr>
        <w:t xml:space="preserve">о набагато менше уваги </w:t>
      </w:r>
      <w:r w:rsidRPr="005D1B01">
        <w:rPr>
          <w:rFonts w:ascii="Times New Roman" w:hAnsi="Times New Roman" w:cs="Times New Roman"/>
          <w:sz w:val="28"/>
          <w:szCs w:val="28"/>
        </w:rPr>
        <w:t>[224, 229, 263]</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Науковці </w:t>
      </w:r>
      <w:r w:rsidRPr="007F7EB7">
        <w:rPr>
          <w:rFonts w:ascii="Times New Roman" w:hAnsi="Times New Roman" w:cs="Times New Roman"/>
          <w:sz w:val="28"/>
          <w:szCs w:val="28"/>
          <w:lang w:val="uk-UA"/>
        </w:rPr>
        <w:t>стверджу</w:t>
      </w:r>
      <w:r>
        <w:rPr>
          <w:rFonts w:ascii="Times New Roman" w:hAnsi="Times New Roman" w:cs="Times New Roman"/>
          <w:sz w:val="28"/>
          <w:szCs w:val="28"/>
          <w:lang w:val="uk-UA"/>
        </w:rPr>
        <w:t>ють</w:t>
      </w:r>
      <w:r w:rsidRPr="007F7EB7">
        <w:rPr>
          <w:rFonts w:ascii="Times New Roman" w:hAnsi="Times New Roman" w:cs="Times New Roman"/>
          <w:sz w:val="28"/>
          <w:szCs w:val="28"/>
          <w:lang w:val="uk-UA"/>
        </w:rPr>
        <w:t>, що це є ключовим обмеженням, оскільки організаційні структури, які підтримують і організовують глобальн</w:t>
      </w:r>
      <w:r>
        <w:rPr>
          <w:rFonts w:ascii="Times New Roman" w:hAnsi="Times New Roman" w:cs="Times New Roman"/>
          <w:sz w:val="28"/>
          <w:szCs w:val="28"/>
          <w:lang w:val="uk-UA"/>
        </w:rPr>
        <w:t>е управління талантами</w:t>
      </w:r>
      <w:r w:rsidRPr="007F7EB7">
        <w:rPr>
          <w:rFonts w:ascii="Times New Roman" w:hAnsi="Times New Roman" w:cs="Times New Roman"/>
          <w:sz w:val="28"/>
          <w:szCs w:val="28"/>
          <w:lang w:val="uk-UA"/>
        </w:rPr>
        <w:t xml:space="preserve">, матимуть значний вплив на глобальні потоки талантів у </w:t>
      </w:r>
      <w:r>
        <w:rPr>
          <w:rFonts w:ascii="Times New Roman" w:hAnsi="Times New Roman" w:cs="Times New Roman"/>
          <w:sz w:val="28"/>
          <w:szCs w:val="28"/>
          <w:lang w:val="uk-UA"/>
        </w:rPr>
        <w:t xml:space="preserve">міжнародних </w:t>
      </w:r>
      <w:r>
        <w:rPr>
          <w:rFonts w:ascii="Times New Roman" w:hAnsi="Times New Roman" w:cs="Times New Roman"/>
          <w:sz w:val="28"/>
          <w:szCs w:val="28"/>
          <w:lang w:val="uk-UA"/>
        </w:rPr>
        <w:lastRenderedPageBreak/>
        <w:t>корпораціях</w:t>
      </w:r>
      <w:r w:rsidRPr="007F7EB7">
        <w:rPr>
          <w:rFonts w:ascii="Times New Roman" w:hAnsi="Times New Roman" w:cs="Times New Roman"/>
          <w:sz w:val="28"/>
          <w:szCs w:val="28"/>
          <w:lang w:val="uk-UA"/>
        </w:rPr>
        <w:t xml:space="preserve"> і, зрештою, потенційно корелюють із ефективністю організації. У цьому відношенні ключовим передумовою глобальної орієнтації, до якої прагнуть багато </w:t>
      </w:r>
      <w:r>
        <w:rPr>
          <w:rFonts w:ascii="Times New Roman" w:hAnsi="Times New Roman" w:cs="Times New Roman"/>
          <w:sz w:val="28"/>
          <w:szCs w:val="28"/>
          <w:lang w:val="uk-UA"/>
        </w:rPr>
        <w:t>міжнародних корпорацій</w:t>
      </w:r>
      <w:r w:rsidRPr="007F7EB7">
        <w:rPr>
          <w:rFonts w:ascii="Times New Roman" w:hAnsi="Times New Roman" w:cs="Times New Roman"/>
          <w:sz w:val="28"/>
          <w:szCs w:val="28"/>
          <w:lang w:val="uk-UA"/>
        </w:rPr>
        <w:t xml:space="preserve">, є ефективне управління потоками кадрів у всій </w:t>
      </w:r>
      <w:r>
        <w:rPr>
          <w:rFonts w:ascii="Times New Roman" w:hAnsi="Times New Roman" w:cs="Times New Roman"/>
          <w:sz w:val="28"/>
          <w:szCs w:val="28"/>
          <w:lang w:val="uk-UA"/>
        </w:rPr>
        <w:t xml:space="preserve">їхній </w:t>
      </w:r>
      <w:r w:rsidRPr="007F7EB7">
        <w:rPr>
          <w:rFonts w:ascii="Times New Roman" w:hAnsi="Times New Roman" w:cs="Times New Roman"/>
          <w:sz w:val="28"/>
          <w:szCs w:val="28"/>
          <w:lang w:val="uk-UA"/>
        </w:rPr>
        <w:t xml:space="preserve">мережі. Як Тейлор та ін. стверджують, що «для того, щоб забезпечити цінність бізнесу, (стратегічна міжнародна) система HRM глобальних фірм повинна бути побудована навколо певних організаційних компетенцій, які мають вирішальне значення для забезпечення конкурентної переваги в глобальному середовищі» </w:t>
      </w:r>
      <w:r w:rsidRPr="005D1B01">
        <w:rPr>
          <w:rFonts w:ascii="Times New Roman" w:hAnsi="Times New Roman" w:cs="Times New Roman"/>
          <w:sz w:val="28"/>
          <w:szCs w:val="28"/>
          <w:lang w:val="uk-UA"/>
        </w:rPr>
        <w:t>[264]</w:t>
      </w:r>
      <w:r w:rsidRPr="007F7EB7">
        <w:rPr>
          <w:rFonts w:ascii="Times New Roman" w:hAnsi="Times New Roman" w:cs="Times New Roman"/>
          <w:sz w:val="28"/>
          <w:szCs w:val="28"/>
          <w:lang w:val="uk-UA"/>
        </w:rPr>
        <w:t xml:space="preserve">. У зв’язку з цим Гонг </w:t>
      </w:r>
      <w:r w:rsidRPr="005D1B01">
        <w:rPr>
          <w:rFonts w:ascii="Times New Roman" w:hAnsi="Times New Roman" w:cs="Times New Roman"/>
          <w:sz w:val="28"/>
          <w:szCs w:val="28"/>
          <w:lang w:val="uk-UA"/>
        </w:rPr>
        <w:t>[265]</w:t>
      </w:r>
      <w:r w:rsidRPr="007F7EB7">
        <w:rPr>
          <w:rFonts w:ascii="Times New Roman" w:hAnsi="Times New Roman" w:cs="Times New Roman"/>
          <w:sz w:val="28"/>
          <w:szCs w:val="28"/>
          <w:lang w:val="uk-UA"/>
        </w:rPr>
        <w:t xml:space="preserve"> прямо закликає до гетерогенного складу персоналу (тобто відповідного поєднання PCN, HCN та TCN) для сприяння інноваціям та організаційному навчанню в </w:t>
      </w:r>
      <w:r>
        <w:rPr>
          <w:rFonts w:ascii="Times New Roman" w:hAnsi="Times New Roman" w:cs="Times New Roman"/>
          <w:sz w:val="28"/>
          <w:szCs w:val="28"/>
          <w:lang w:val="uk-UA"/>
        </w:rPr>
        <w:t>міжнародних корпораціях</w:t>
      </w:r>
      <w:r w:rsidRPr="007F7EB7">
        <w:rPr>
          <w:rFonts w:ascii="Times New Roman" w:hAnsi="Times New Roman" w:cs="Times New Roman"/>
          <w:sz w:val="28"/>
          <w:szCs w:val="28"/>
          <w:lang w:val="uk-UA"/>
        </w:rPr>
        <w:t>. Зосереджуючись на допоміжному рівні, він стверджує, що гетерогенний склад персоналу полегшує доступ до різноманітних джерел інновацій та організаційного навчання та розпізнавання їх, покращує продуктивність щодо інтерпретації інформації та інтегрованого навчання. У більш загальному плані ефективне позиціонування корпоративної HR</w:t>
      </w:r>
      <w:r>
        <w:rPr>
          <w:rFonts w:ascii="Times New Roman" w:hAnsi="Times New Roman" w:cs="Times New Roman"/>
          <w:sz w:val="28"/>
          <w:szCs w:val="28"/>
          <w:lang w:val="uk-UA"/>
        </w:rPr>
        <w:t>М</w:t>
      </w:r>
      <w:r w:rsidRPr="007F7EB7">
        <w:rPr>
          <w:rFonts w:ascii="Times New Roman" w:hAnsi="Times New Roman" w:cs="Times New Roman"/>
          <w:sz w:val="28"/>
          <w:szCs w:val="28"/>
          <w:lang w:val="uk-UA"/>
        </w:rPr>
        <w:t xml:space="preserve"> або глобальної функції талантів є центральним з точки зору управління напругою між глобальною інтеграцією та місцевим реагуванням на ключові проблеми талантів і управління </w:t>
      </w:r>
      <w:r>
        <w:rPr>
          <w:rFonts w:ascii="Times New Roman" w:hAnsi="Times New Roman" w:cs="Times New Roman"/>
          <w:sz w:val="28"/>
          <w:szCs w:val="28"/>
          <w:lang w:val="uk-UA"/>
        </w:rPr>
        <w:t>міжнародних корпораціях</w:t>
      </w:r>
      <w:r w:rsidRPr="007F7EB7">
        <w:rPr>
          <w:rFonts w:ascii="Times New Roman" w:hAnsi="Times New Roman" w:cs="Times New Roman"/>
          <w:sz w:val="28"/>
          <w:szCs w:val="28"/>
          <w:lang w:val="uk-UA"/>
        </w:rPr>
        <w:t xml:space="preserve"> у більш </w:t>
      </w:r>
      <w:r w:rsidRPr="005F5066">
        <w:rPr>
          <w:rFonts w:ascii="Times New Roman" w:hAnsi="Times New Roman" w:cs="Times New Roman"/>
          <w:sz w:val="28"/>
          <w:szCs w:val="28"/>
          <w:lang w:val="uk-UA"/>
        </w:rPr>
        <w:t xml:space="preserve">загальному плані </w:t>
      </w:r>
      <w:r w:rsidRPr="005D1B01">
        <w:rPr>
          <w:rFonts w:ascii="Times New Roman" w:hAnsi="Times New Roman" w:cs="Times New Roman"/>
          <w:sz w:val="28"/>
          <w:szCs w:val="28"/>
          <w:lang w:val="uk-UA"/>
        </w:rPr>
        <w:t>[224]</w:t>
      </w:r>
      <w:r w:rsidRPr="005F506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3BC9B59B" w14:textId="7C4655ED"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Однак управління глобальними талантами є складним завданням, і є докази того, що </w:t>
      </w:r>
      <w:proofErr w:type="spellStart"/>
      <w:r w:rsidRPr="007F7EB7">
        <w:rPr>
          <w:rFonts w:ascii="Times New Roman" w:hAnsi="Times New Roman" w:cs="Times New Roman"/>
          <w:sz w:val="28"/>
          <w:szCs w:val="28"/>
          <w:lang w:val="uk-UA"/>
        </w:rPr>
        <w:t>етноцентричні</w:t>
      </w:r>
      <w:proofErr w:type="spellEnd"/>
      <w:r w:rsidRPr="007F7EB7">
        <w:rPr>
          <w:rFonts w:ascii="Times New Roman" w:hAnsi="Times New Roman" w:cs="Times New Roman"/>
          <w:sz w:val="28"/>
          <w:szCs w:val="28"/>
          <w:lang w:val="uk-UA"/>
        </w:rPr>
        <w:t xml:space="preserve"> тенденції переважають (хоча й підсвідомо) у багатьох </w:t>
      </w:r>
      <w:r>
        <w:rPr>
          <w:rFonts w:ascii="Times New Roman" w:hAnsi="Times New Roman" w:cs="Times New Roman"/>
          <w:sz w:val="28"/>
          <w:szCs w:val="28"/>
          <w:lang w:val="uk-UA"/>
        </w:rPr>
        <w:t>міжнародних корпораціях</w:t>
      </w:r>
      <w:r w:rsidRPr="007F7EB7">
        <w:rPr>
          <w:rFonts w:ascii="Times New Roman" w:hAnsi="Times New Roman" w:cs="Times New Roman"/>
          <w:sz w:val="28"/>
          <w:szCs w:val="28"/>
          <w:lang w:val="uk-UA"/>
        </w:rPr>
        <w:t xml:space="preserve">, де </w:t>
      </w:r>
      <w:r>
        <w:rPr>
          <w:rFonts w:ascii="Times New Roman" w:hAnsi="Times New Roman" w:cs="Times New Roman"/>
          <w:sz w:val="28"/>
          <w:szCs w:val="28"/>
          <w:lang w:val="uk-UA"/>
        </w:rPr>
        <w:t>працівники</w:t>
      </w:r>
      <w:r w:rsidRPr="007F7EB7">
        <w:rPr>
          <w:rFonts w:ascii="Times New Roman" w:hAnsi="Times New Roman" w:cs="Times New Roman"/>
          <w:sz w:val="28"/>
          <w:szCs w:val="28"/>
          <w:lang w:val="uk-UA"/>
        </w:rPr>
        <w:t xml:space="preserve"> головної країни займають ключові керівні посади в штаб-квартирі </w:t>
      </w:r>
      <w:r w:rsidRPr="005D1B01">
        <w:rPr>
          <w:rFonts w:ascii="Times New Roman" w:hAnsi="Times New Roman" w:cs="Times New Roman"/>
          <w:sz w:val="28"/>
          <w:szCs w:val="28"/>
          <w:lang w:val="uk-UA"/>
        </w:rPr>
        <w:t>[222</w:t>
      </w:r>
      <w:r w:rsidR="00A90B89">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266</w:t>
      </w:r>
      <w:r w:rsidR="00A90B89">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267]</w:t>
      </w:r>
      <w:r w:rsidRPr="007F7EB7">
        <w:rPr>
          <w:rFonts w:ascii="Times New Roman" w:hAnsi="Times New Roman" w:cs="Times New Roman"/>
          <w:sz w:val="28"/>
          <w:szCs w:val="28"/>
          <w:lang w:val="uk-UA"/>
        </w:rPr>
        <w:t xml:space="preserve">. Проте дослідження </w:t>
      </w:r>
      <w:proofErr w:type="spellStart"/>
      <w:r w:rsidRPr="007F7EB7">
        <w:rPr>
          <w:rFonts w:ascii="Times New Roman" w:hAnsi="Times New Roman" w:cs="Times New Roman"/>
          <w:sz w:val="28"/>
          <w:szCs w:val="28"/>
          <w:lang w:val="uk-UA"/>
        </w:rPr>
        <w:t>Скалліона</w:t>
      </w:r>
      <w:proofErr w:type="spellEnd"/>
      <w:r w:rsidRPr="007F7EB7">
        <w:rPr>
          <w:rFonts w:ascii="Times New Roman" w:hAnsi="Times New Roman" w:cs="Times New Roman"/>
          <w:sz w:val="28"/>
          <w:szCs w:val="28"/>
          <w:lang w:val="uk-UA"/>
        </w:rPr>
        <w:t xml:space="preserve"> та </w:t>
      </w:r>
      <w:proofErr w:type="spellStart"/>
      <w:r w:rsidRPr="007F7EB7">
        <w:rPr>
          <w:rFonts w:ascii="Times New Roman" w:hAnsi="Times New Roman" w:cs="Times New Roman"/>
          <w:sz w:val="28"/>
          <w:szCs w:val="28"/>
          <w:lang w:val="uk-UA"/>
        </w:rPr>
        <w:t>Старкі</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rPr>
        <w:t>[268]</w:t>
      </w:r>
      <w:r w:rsidRPr="007F7EB7">
        <w:rPr>
          <w:rFonts w:ascii="Times New Roman" w:hAnsi="Times New Roman" w:cs="Times New Roman"/>
          <w:sz w:val="28"/>
          <w:szCs w:val="28"/>
          <w:lang w:val="uk-UA"/>
        </w:rPr>
        <w:t xml:space="preserve"> вказали на оптимістичний план корпоративних кадрів у міжнародних компаніях, що зосереджується на розвитку вищого керівництва, плануванні наступності та формуванні кадрів менеджерів з міжнародними можливостями. </w:t>
      </w:r>
      <w:r>
        <w:rPr>
          <w:rFonts w:ascii="Times New Roman" w:hAnsi="Times New Roman" w:cs="Times New Roman"/>
          <w:sz w:val="28"/>
          <w:szCs w:val="28"/>
          <w:lang w:val="uk-UA"/>
        </w:rPr>
        <w:t>Вони</w:t>
      </w:r>
      <w:r w:rsidRPr="007F7EB7">
        <w:rPr>
          <w:rFonts w:ascii="Times New Roman" w:hAnsi="Times New Roman" w:cs="Times New Roman"/>
          <w:sz w:val="28"/>
          <w:szCs w:val="28"/>
          <w:lang w:val="uk-UA"/>
        </w:rPr>
        <w:t xml:space="preserve"> стверджу</w:t>
      </w:r>
      <w:r>
        <w:rPr>
          <w:rFonts w:ascii="Times New Roman" w:hAnsi="Times New Roman" w:cs="Times New Roman"/>
          <w:sz w:val="28"/>
          <w:szCs w:val="28"/>
          <w:lang w:val="uk-UA"/>
        </w:rPr>
        <w:t>ють</w:t>
      </w:r>
      <w:r w:rsidRPr="007F7EB7">
        <w:rPr>
          <w:rFonts w:ascii="Times New Roman" w:hAnsi="Times New Roman" w:cs="Times New Roman"/>
          <w:sz w:val="28"/>
          <w:szCs w:val="28"/>
          <w:lang w:val="uk-UA"/>
        </w:rPr>
        <w:t xml:space="preserve">, що розробка ефективної функції управління талантами або відповідальність за це в рамках корпоративної функції кадрів є центральною для максимізації внеску глобального резерву талантів </w:t>
      </w:r>
      <w:r>
        <w:rPr>
          <w:rFonts w:ascii="Times New Roman" w:hAnsi="Times New Roman" w:cs="Times New Roman"/>
          <w:sz w:val="28"/>
          <w:szCs w:val="28"/>
          <w:lang w:val="uk-UA"/>
        </w:rPr>
        <w:t>міжнародних корпораціях</w:t>
      </w:r>
      <w:r w:rsidRPr="007F7EB7">
        <w:rPr>
          <w:rFonts w:ascii="Times New Roman" w:hAnsi="Times New Roman" w:cs="Times New Roman"/>
          <w:sz w:val="28"/>
          <w:szCs w:val="28"/>
          <w:lang w:val="uk-UA"/>
        </w:rPr>
        <w:t xml:space="preserve"> і виходу на місцеві ринки талантів, які відображають глобальний слід </w:t>
      </w:r>
      <w:r>
        <w:rPr>
          <w:rFonts w:ascii="Times New Roman" w:hAnsi="Times New Roman" w:cs="Times New Roman"/>
          <w:sz w:val="28"/>
          <w:szCs w:val="28"/>
          <w:lang w:val="uk-UA"/>
        </w:rPr>
        <w:t>міжнародних корпорацій</w:t>
      </w:r>
      <w:r w:rsidRPr="007F7EB7">
        <w:rPr>
          <w:rFonts w:ascii="Times New Roman" w:hAnsi="Times New Roman" w:cs="Times New Roman"/>
          <w:sz w:val="28"/>
          <w:szCs w:val="28"/>
          <w:lang w:val="uk-UA"/>
        </w:rPr>
        <w:t xml:space="preserve">. Наприклад, емпіричне дослідження </w:t>
      </w:r>
      <w:proofErr w:type="spellStart"/>
      <w:r w:rsidRPr="007F7EB7">
        <w:rPr>
          <w:rFonts w:ascii="Times New Roman" w:hAnsi="Times New Roman" w:cs="Times New Roman"/>
          <w:sz w:val="28"/>
          <w:szCs w:val="28"/>
          <w:lang w:val="uk-UA"/>
        </w:rPr>
        <w:t>Коллінгса</w:t>
      </w:r>
      <w:proofErr w:type="spellEnd"/>
      <w:r w:rsidRPr="007F7EB7">
        <w:rPr>
          <w:rFonts w:ascii="Times New Roman" w:hAnsi="Times New Roman" w:cs="Times New Roman"/>
          <w:sz w:val="28"/>
          <w:szCs w:val="28"/>
          <w:lang w:val="uk-UA"/>
        </w:rPr>
        <w:t xml:space="preserve"> та </w:t>
      </w:r>
      <w:r w:rsidRPr="007F7EB7">
        <w:rPr>
          <w:rFonts w:ascii="Times New Roman" w:hAnsi="Times New Roman" w:cs="Times New Roman"/>
          <w:sz w:val="28"/>
          <w:szCs w:val="28"/>
          <w:lang w:val="uk-UA"/>
        </w:rPr>
        <w:lastRenderedPageBreak/>
        <w:t xml:space="preserve">інших </w:t>
      </w:r>
      <w:r w:rsidRPr="005D1B01">
        <w:rPr>
          <w:rFonts w:ascii="Times New Roman" w:hAnsi="Times New Roman" w:cs="Times New Roman"/>
          <w:sz w:val="28"/>
          <w:szCs w:val="28"/>
          <w:lang w:val="uk-UA"/>
        </w:rPr>
        <w:t>[227]</w:t>
      </w:r>
      <w:r w:rsidRPr="007F7EB7">
        <w:rPr>
          <w:rFonts w:ascii="Times New Roman" w:hAnsi="Times New Roman" w:cs="Times New Roman"/>
          <w:sz w:val="28"/>
          <w:szCs w:val="28"/>
          <w:lang w:val="uk-UA"/>
        </w:rPr>
        <w:t xml:space="preserve"> іноземних дочірніх компаній в Ірландії вказує на важливість корпоративних структур і систем у сприянні кадровим потокам від дочірніх операцій до корпоративної штаб-квартири в якості </w:t>
      </w:r>
      <w:proofErr w:type="spellStart"/>
      <w:r w:rsidRPr="007F7EB7">
        <w:rPr>
          <w:rFonts w:ascii="Times New Roman" w:hAnsi="Times New Roman" w:cs="Times New Roman"/>
          <w:sz w:val="28"/>
          <w:szCs w:val="28"/>
          <w:lang w:val="uk-UA"/>
        </w:rPr>
        <w:t>інпатріованих</w:t>
      </w:r>
      <w:proofErr w:type="spellEnd"/>
      <w:r w:rsidRPr="007F7EB7">
        <w:rPr>
          <w:rFonts w:ascii="Times New Roman" w:hAnsi="Times New Roman" w:cs="Times New Roman"/>
          <w:sz w:val="28"/>
          <w:szCs w:val="28"/>
          <w:lang w:val="uk-UA"/>
        </w:rPr>
        <w:t xml:space="preserve"> працівників. </w:t>
      </w:r>
      <w:proofErr w:type="spellStart"/>
      <w:r w:rsidRPr="00CE38B3">
        <w:rPr>
          <w:rFonts w:ascii="Times New Roman" w:hAnsi="Times New Roman" w:cs="Times New Roman"/>
          <w:sz w:val="28"/>
          <w:szCs w:val="28"/>
          <w:lang w:val="uk-UA"/>
        </w:rPr>
        <w:t>Спарроу</w:t>
      </w:r>
      <w:proofErr w:type="spellEnd"/>
      <w:r w:rsidRPr="007F7EB7">
        <w:rPr>
          <w:rFonts w:ascii="Times New Roman" w:hAnsi="Times New Roman" w:cs="Times New Roman"/>
          <w:sz w:val="28"/>
          <w:szCs w:val="28"/>
          <w:lang w:val="uk-UA"/>
        </w:rPr>
        <w:t xml:space="preserve"> та інші </w:t>
      </w:r>
      <w:r w:rsidRPr="005D1B01">
        <w:rPr>
          <w:rFonts w:ascii="Times New Roman" w:hAnsi="Times New Roman" w:cs="Times New Roman"/>
          <w:sz w:val="28"/>
          <w:szCs w:val="28"/>
          <w:lang w:val="uk-UA"/>
        </w:rPr>
        <w:t>[269]</w:t>
      </w:r>
      <w:r w:rsidRPr="007F7EB7">
        <w:rPr>
          <w:rFonts w:ascii="Times New Roman" w:hAnsi="Times New Roman" w:cs="Times New Roman"/>
          <w:sz w:val="28"/>
          <w:szCs w:val="28"/>
          <w:lang w:val="uk-UA"/>
        </w:rPr>
        <w:t xml:space="preserve"> зазначають, що окрім цього підходу «згори донизу» (контрольованого керівництвом) до управління потоками талантів, підхід «знизу вгору» (</w:t>
      </w:r>
      <w:proofErr w:type="spellStart"/>
      <w:r w:rsidRPr="007F7EB7">
        <w:rPr>
          <w:rFonts w:ascii="Times New Roman" w:hAnsi="Times New Roman" w:cs="Times New Roman"/>
          <w:sz w:val="28"/>
          <w:szCs w:val="28"/>
          <w:lang w:val="uk-UA"/>
        </w:rPr>
        <w:t>самоініціативний</w:t>
      </w:r>
      <w:proofErr w:type="spellEnd"/>
      <w:r w:rsidRPr="007F7EB7">
        <w:rPr>
          <w:rFonts w:ascii="Times New Roman" w:hAnsi="Times New Roman" w:cs="Times New Roman"/>
          <w:sz w:val="28"/>
          <w:szCs w:val="28"/>
          <w:lang w:val="uk-UA"/>
        </w:rPr>
        <w:t xml:space="preserve"> підхід, керований культурою) також впливає на корпоративну роль HR</w:t>
      </w:r>
      <w:r>
        <w:rPr>
          <w:rFonts w:ascii="Times New Roman" w:hAnsi="Times New Roman" w:cs="Times New Roman"/>
          <w:sz w:val="28"/>
          <w:szCs w:val="28"/>
          <w:lang w:val="uk-UA"/>
        </w:rPr>
        <w:t>М</w:t>
      </w:r>
      <w:r w:rsidRPr="007F7EB7">
        <w:rPr>
          <w:rFonts w:ascii="Times New Roman" w:hAnsi="Times New Roman" w:cs="Times New Roman"/>
          <w:sz w:val="28"/>
          <w:szCs w:val="28"/>
          <w:lang w:val="uk-UA"/>
        </w:rPr>
        <w:t xml:space="preserve">. Це підкреслює потенціал для залучення місцевих кадрів або </w:t>
      </w:r>
      <w:proofErr w:type="spellStart"/>
      <w:r w:rsidRPr="007F7EB7">
        <w:rPr>
          <w:rFonts w:ascii="Times New Roman" w:hAnsi="Times New Roman" w:cs="Times New Roman"/>
          <w:sz w:val="28"/>
          <w:szCs w:val="28"/>
          <w:lang w:val="uk-UA"/>
        </w:rPr>
        <w:t>самоініціаторів</w:t>
      </w:r>
      <w:proofErr w:type="spellEnd"/>
      <w:r w:rsidRPr="007F7EB7">
        <w:rPr>
          <w:rFonts w:ascii="Times New Roman" w:hAnsi="Times New Roman" w:cs="Times New Roman"/>
          <w:sz w:val="28"/>
          <w:szCs w:val="28"/>
          <w:lang w:val="uk-UA"/>
        </w:rPr>
        <w:t xml:space="preserve"> експатріантів на місцевому ринку, щоб заповнити ключові прогалини в талантах у </w:t>
      </w:r>
      <w:r>
        <w:rPr>
          <w:rFonts w:ascii="Times New Roman" w:hAnsi="Times New Roman" w:cs="Times New Roman"/>
          <w:sz w:val="28"/>
          <w:szCs w:val="28"/>
          <w:lang w:val="uk-UA"/>
        </w:rPr>
        <w:t>міжнародних корпораціях</w:t>
      </w:r>
      <w:r w:rsidRPr="007F7EB7">
        <w:rPr>
          <w:rFonts w:ascii="Times New Roman" w:hAnsi="Times New Roman" w:cs="Times New Roman"/>
          <w:sz w:val="28"/>
          <w:szCs w:val="28"/>
          <w:lang w:val="uk-UA"/>
        </w:rPr>
        <w:t>.</w:t>
      </w:r>
    </w:p>
    <w:p w14:paraId="4448DC1E" w14:textId="06AFCFFB" w:rsidR="00571B42" w:rsidRPr="007F7EB7" w:rsidRDefault="00571B42" w:rsidP="00571B42">
      <w:pPr>
        <w:spacing w:after="0" w:line="360" w:lineRule="auto"/>
        <w:ind w:firstLine="720"/>
        <w:jc w:val="both"/>
        <w:rPr>
          <w:rFonts w:ascii="Times New Roman" w:hAnsi="Times New Roman" w:cs="Times New Roman"/>
          <w:sz w:val="28"/>
          <w:szCs w:val="28"/>
          <w:lang w:val="uk-UA"/>
        </w:rPr>
      </w:pPr>
      <w:proofErr w:type="spellStart"/>
      <w:r w:rsidRPr="007F7EB7">
        <w:rPr>
          <w:rFonts w:ascii="Times New Roman" w:hAnsi="Times New Roman" w:cs="Times New Roman"/>
          <w:sz w:val="28"/>
          <w:szCs w:val="28"/>
          <w:lang w:val="uk-UA"/>
        </w:rPr>
        <w:t>Фарндейл</w:t>
      </w:r>
      <w:proofErr w:type="spellEnd"/>
      <w:r w:rsidRPr="007F7EB7">
        <w:rPr>
          <w:rFonts w:ascii="Times New Roman" w:hAnsi="Times New Roman" w:cs="Times New Roman"/>
          <w:sz w:val="28"/>
          <w:szCs w:val="28"/>
          <w:lang w:val="uk-UA"/>
        </w:rPr>
        <w:t xml:space="preserve"> та ін. виділяють чотири важливі корпоративні ролі HR (CHR), які суттєво впливають на корпоративні зусилля щодо управління талантами в усьому світі. Роль CHR як «чемпіона процесу» базується на </w:t>
      </w:r>
      <w:proofErr w:type="spellStart"/>
      <w:r w:rsidRPr="007F7EB7">
        <w:rPr>
          <w:rFonts w:ascii="Times New Roman" w:hAnsi="Times New Roman" w:cs="Times New Roman"/>
          <w:sz w:val="28"/>
          <w:szCs w:val="28"/>
          <w:lang w:val="uk-UA"/>
        </w:rPr>
        <w:t>вимозі</w:t>
      </w:r>
      <w:proofErr w:type="spellEnd"/>
      <w:r w:rsidRPr="007F7EB7">
        <w:rPr>
          <w:rFonts w:ascii="Times New Roman" w:hAnsi="Times New Roman" w:cs="Times New Roman"/>
          <w:sz w:val="28"/>
          <w:szCs w:val="28"/>
          <w:lang w:val="uk-UA"/>
        </w:rPr>
        <w:t xml:space="preserve"> покращення горизонтальної координації процесів і практик внутрішнього управління талантами. Це досягається завдяки ефективному управлінню тим, що </w:t>
      </w:r>
      <w:proofErr w:type="spellStart"/>
      <w:r w:rsidRPr="007F7EB7">
        <w:rPr>
          <w:rFonts w:ascii="Times New Roman" w:hAnsi="Times New Roman" w:cs="Times New Roman"/>
          <w:sz w:val="28"/>
          <w:szCs w:val="28"/>
          <w:lang w:val="uk-UA"/>
        </w:rPr>
        <w:t>Фарндейл</w:t>
      </w:r>
      <w:proofErr w:type="spellEnd"/>
      <w:r w:rsidRPr="007F7EB7">
        <w:rPr>
          <w:rFonts w:ascii="Times New Roman" w:hAnsi="Times New Roman" w:cs="Times New Roman"/>
          <w:sz w:val="28"/>
          <w:szCs w:val="28"/>
          <w:lang w:val="uk-UA"/>
        </w:rPr>
        <w:t xml:space="preserve"> і його колеги називають «глобальними експертними мережами», а також визначеній ролі чемпіона процесу, спрямованого на моніторинг глобальної реалізації стратегії GTM і пов’язаних цілей</w:t>
      </w:r>
      <w:r w:rsidRPr="005D1B01">
        <w:rPr>
          <w:rFonts w:ascii="Times New Roman" w:hAnsi="Times New Roman" w:cs="Times New Roman"/>
          <w:sz w:val="28"/>
          <w:szCs w:val="28"/>
          <w:lang w:val="uk-UA"/>
        </w:rPr>
        <w:t xml:space="preserve"> [270]</w:t>
      </w:r>
      <w:r w:rsidRPr="007F7EB7">
        <w:rPr>
          <w:rFonts w:ascii="Times New Roman" w:hAnsi="Times New Roman" w:cs="Times New Roman"/>
          <w:sz w:val="28"/>
          <w:szCs w:val="28"/>
          <w:lang w:val="uk-UA"/>
        </w:rPr>
        <w:t>. По-друге, CHR як «охоронець культури» зосереджується на впровадженні глобальних цінностей і культури, а також на управлінні брендом роботодавця в усьому світі. По-третє, CHR може відігравати ключову роль у «</w:t>
      </w:r>
      <w:r>
        <w:rPr>
          <w:rFonts w:ascii="Times New Roman" w:hAnsi="Times New Roman" w:cs="Times New Roman"/>
          <w:sz w:val="28"/>
          <w:szCs w:val="28"/>
          <w:lang w:val="uk-UA"/>
        </w:rPr>
        <w:t>м</w:t>
      </w:r>
      <w:r w:rsidRPr="007F7EB7">
        <w:rPr>
          <w:rFonts w:ascii="Times New Roman" w:hAnsi="Times New Roman" w:cs="Times New Roman"/>
          <w:sz w:val="28"/>
          <w:szCs w:val="28"/>
          <w:lang w:val="uk-UA"/>
        </w:rPr>
        <w:t xml:space="preserve">ережевому лідерстві та інтелекті». Це передбачає розвинену обізнаність про провідні тенденції та події на внутрішньому та зовнішньому ринках праці </w:t>
      </w:r>
      <w:r>
        <w:rPr>
          <w:rFonts w:ascii="Times New Roman" w:hAnsi="Times New Roman" w:cs="Times New Roman"/>
          <w:sz w:val="28"/>
          <w:szCs w:val="28"/>
          <w:lang w:val="uk-UA"/>
        </w:rPr>
        <w:t>міжнародних корпорацій</w:t>
      </w:r>
      <w:r w:rsidRPr="007F7EB7">
        <w:rPr>
          <w:rFonts w:ascii="Times New Roman" w:hAnsi="Times New Roman" w:cs="Times New Roman"/>
          <w:sz w:val="28"/>
          <w:szCs w:val="28"/>
          <w:lang w:val="uk-UA"/>
        </w:rPr>
        <w:t>, здатність належним чином роз</w:t>
      </w:r>
      <w:r>
        <w:rPr>
          <w:rFonts w:ascii="Times New Roman" w:hAnsi="Times New Roman" w:cs="Times New Roman"/>
          <w:sz w:val="28"/>
          <w:szCs w:val="28"/>
          <w:lang w:val="uk-UA"/>
        </w:rPr>
        <w:t>вива</w:t>
      </w:r>
      <w:r w:rsidRPr="007F7EB7">
        <w:rPr>
          <w:rFonts w:ascii="Times New Roman" w:hAnsi="Times New Roman" w:cs="Times New Roman"/>
          <w:sz w:val="28"/>
          <w:szCs w:val="28"/>
          <w:lang w:val="uk-UA"/>
        </w:rPr>
        <w:t>ти людський капітал та чутливість до контексту, в якому працю</w:t>
      </w:r>
      <w:r>
        <w:rPr>
          <w:rFonts w:ascii="Times New Roman" w:hAnsi="Times New Roman" w:cs="Times New Roman"/>
          <w:sz w:val="28"/>
          <w:szCs w:val="28"/>
          <w:lang w:val="uk-UA"/>
        </w:rPr>
        <w:t>ють</w:t>
      </w:r>
      <w:r w:rsidRPr="007F7EB7">
        <w:rPr>
          <w:rFonts w:ascii="Times New Roman" w:hAnsi="Times New Roman" w:cs="Times New Roman"/>
          <w:sz w:val="28"/>
          <w:szCs w:val="28"/>
          <w:lang w:val="uk-UA"/>
        </w:rPr>
        <w:t xml:space="preserve"> </w:t>
      </w:r>
      <w:r>
        <w:rPr>
          <w:rFonts w:ascii="Times New Roman" w:hAnsi="Times New Roman" w:cs="Times New Roman"/>
          <w:sz w:val="28"/>
          <w:szCs w:val="28"/>
          <w:lang w:val="uk-UA"/>
        </w:rPr>
        <w:t>міжнародні корпорації</w:t>
      </w:r>
      <w:r w:rsidRPr="007F7EB7">
        <w:rPr>
          <w:rFonts w:ascii="Times New Roman" w:hAnsi="Times New Roman" w:cs="Times New Roman"/>
          <w:sz w:val="28"/>
          <w:szCs w:val="28"/>
          <w:lang w:val="uk-UA"/>
        </w:rPr>
        <w:t xml:space="preserve">. Роль </w:t>
      </w:r>
      <w:proofErr w:type="spellStart"/>
      <w:r w:rsidRPr="007F7EB7">
        <w:rPr>
          <w:rFonts w:ascii="Times New Roman" w:hAnsi="Times New Roman" w:cs="Times New Roman"/>
          <w:sz w:val="28"/>
          <w:szCs w:val="28"/>
          <w:lang w:val="uk-UA"/>
        </w:rPr>
        <w:t>нетворкінгу</w:t>
      </w:r>
      <w:proofErr w:type="spellEnd"/>
      <w:r w:rsidRPr="007F7EB7">
        <w:rPr>
          <w:rFonts w:ascii="Times New Roman" w:hAnsi="Times New Roman" w:cs="Times New Roman"/>
          <w:sz w:val="28"/>
          <w:szCs w:val="28"/>
          <w:lang w:val="uk-UA"/>
        </w:rPr>
        <w:t xml:space="preserve"> (як для самої функції управління персоналом, так і для сприяння цьому в організації) стає ключовою. Нарешті, як «</w:t>
      </w:r>
      <w:r>
        <w:rPr>
          <w:rFonts w:ascii="Times New Roman" w:hAnsi="Times New Roman" w:cs="Times New Roman"/>
          <w:sz w:val="28"/>
          <w:szCs w:val="28"/>
          <w:lang w:val="uk-UA"/>
        </w:rPr>
        <w:t>м</w:t>
      </w:r>
      <w:r w:rsidRPr="007F7EB7">
        <w:rPr>
          <w:rFonts w:ascii="Times New Roman" w:hAnsi="Times New Roman" w:cs="Times New Roman"/>
          <w:sz w:val="28"/>
          <w:szCs w:val="28"/>
          <w:lang w:val="uk-UA"/>
        </w:rPr>
        <w:t xml:space="preserve">енеджери внутрішньої сприйнятливості» підкреслюється роль CHR в управлінні кар’єрою міжнародних співробітників. Очевидно, що ця роль орієнтована на вище керівництво та високий потенціал розвитку та управління кар’єрою. Ці чотири ролі не є взаємовиключними, і дослідження </w:t>
      </w:r>
      <w:proofErr w:type="spellStart"/>
      <w:r w:rsidRPr="007F7EB7">
        <w:rPr>
          <w:rFonts w:ascii="Times New Roman" w:hAnsi="Times New Roman" w:cs="Times New Roman"/>
          <w:sz w:val="28"/>
          <w:szCs w:val="28"/>
          <w:lang w:val="uk-UA"/>
        </w:rPr>
        <w:t>Фарндейл</w:t>
      </w:r>
      <w:proofErr w:type="spellEnd"/>
      <w:r w:rsidRPr="007F7EB7">
        <w:rPr>
          <w:rFonts w:ascii="Times New Roman" w:hAnsi="Times New Roman" w:cs="Times New Roman"/>
          <w:sz w:val="28"/>
          <w:szCs w:val="28"/>
          <w:lang w:val="uk-UA"/>
        </w:rPr>
        <w:t xml:space="preserve"> та ін. </w:t>
      </w:r>
      <w:r w:rsidRPr="005D1B01">
        <w:rPr>
          <w:rFonts w:ascii="Times New Roman" w:hAnsi="Times New Roman" w:cs="Times New Roman"/>
          <w:sz w:val="28"/>
          <w:szCs w:val="28"/>
        </w:rPr>
        <w:lastRenderedPageBreak/>
        <w:t>[270]</w:t>
      </w:r>
      <w:r w:rsidRPr="007F7EB7">
        <w:rPr>
          <w:rFonts w:ascii="Times New Roman" w:hAnsi="Times New Roman" w:cs="Times New Roman"/>
          <w:sz w:val="28"/>
          <w:szCs w:val="28"/>
          <w:lang w:val="uk-UA"/>
        </w:rPr>
        <w:t xml:space="preserve"> вказують на збіги між ними, що призводить до створення додаткової цінності завдяки пов’язаній взаємодоповнюваності.</w:t>
      </w:r>
    </w:p>
    <w:p w14:paraId="3A313873"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Ключова роль корпоративної HR-функції в управлінні потоками талантів, як «зверху донизу», так і «знизу вгору», якщо використовувати термінологію </w:t>
      </w:r>
      <w:proofErr w:type="spellStart"/>
      <w:r w:rsidRPr="00CE38B3">
        <w:rPr>
          <w:rFonts w:ascii="Times New Roman" w:hAnsi="Times New Roman" w:cs="Times New Roman"/>
          <w:sz w:val="28"/>
          <w:szCs w:val="28"/>
          <w:lang w:val="uk-UA"/>
        </w:rPr>
        <w:t>Спарроу</w:t>
      </w:r>
      <w:proofErr w:type="spellEnd"/>
      <w:r w:rsidRPr="007F7EB7">
        <w:rPr>
          <w:rFonts w:ascii="Times New Roman" w:hAnsi="Times New Roman" w:cs="Times New Roman"/>
          <w:sz w:val="28"/>
          <w:szCs w:val="28"/>
          <w:lang w:val="uk-UA"/>
        </w:rPr>
        <w:t xml:space="preserve"> та інших</w:t>
      </w:r>
      <w:r w:rsidRPr="005D1B01">
        <w:rPr>
          <w:rFonts w:ascii="Times New Roman" w:hAnsi="Times New Roman" w:cs="Times New Roman"/>
          <w:sz w:val="28"/>
          <w:szCs w:val="28"/>
        </w:rPr>
        <w:t xml:space="preserve"> [269]</w:t>
      </w:r>
      <w:r w:rsidRPr="007F7EB7">
        <w:rPr>
          <w:rFonts w:ascii="Times New Roman" w:hAnsi="Times New Roman" w:cs="Times New Roman"/>
          <w:sz w:val="28"/>
          <w:szCs w:val="28"/>
          <w:lang w:val="uk-UA"/>
        </w:rPr>
        <w:t xml:space="preserve">, є важливим елементом глобального управління талантами, який, за помітними винятками, зазначеними вище, залишається значною мірою недостатньо розвиненим. Цей аргумент узгоджується з розрізненням </w:t>
      </w:r>
      <w:proofErr w:type="spellStart"/>
      <w:r w:rsidRPr="007F7EB7">
        <w:rPr>
          <w:rFonts w:ascii="Times New Roman" w:hAnsi="Times New Roman" w:cs="Times New Roman"/>
          <w:sz w:val="28"/>
          <w:szCs w:val="28"/>
          <w:lang w:val="uk-UA"/>
        </w:rPr>
        <w:t>Боксала</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rPr>
        <w:t>[271]</w:t>
      </w:r>
      <w:r w:rsidRPr="007F7EB7">
        <w:rPr>
          <w:rFonts w:ascii="Times New Roman" w:hAnsi="Times New Roman" w:cs="Times New Roman"/>
          <w:sz w:val="28"/>
          <w:szCs w:val="28"/>
          <w:lang w:val="uk-UA"/>
        </w:rPr>
        <w:t xml:space="preserve"> між перевагою людського капіталу та перевагою організаційного процесу. У той час як перше стосується знань, навичок і здібностей співробітників організації, друге відноситься до систем і процесів, які сприяють їх ефективному розгортанню та управлінню. Однак, на жаль, мало доказів того, що стратегічний нагляд за глобальними талантами широко очевидний у багатьох корпоративних відділах кадрів або глобальних функціях мобільності, причому набагато частіше зосереджуються на транзакціях і </w:t>
      </w:r>
      <w:proofErr w:type="spellStart"/>
      <w:r w:rsidRPr="007F7EB7">
        <w:rPr>
          <w:rFonts w:ascii="Times New Roman" w:hAnsi="Times New Roman" w:cs="Times New Roman"/>
          <w:sz w:val="28"/>
          <w:szCs w:val="28"/>
          <w:lang w:val="uk-UA"/>
        </w:rPr>
        <w:t>комплаєнсі</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rPr>
        <w:t>[222]</w:t>
      </w:r>
      <w:r w:rsidRPr="007F7EB7">
        <w:rPr>
          <w:rFonts w:ascii="Times New Roman" w:hAnsi="Times New Roman" w:cs="Times New Roman"/>
          <w:sz w:val="28"/>
          <w:szCs w:val="28"/>
          <w:lang w:val="uk-UA"/>
        </w:rPr>
        <w:t xml:space="preserve">. Таким чином, основна увага в подальшому дослідженні повинна бути зосереджена на допомозі </w:t>
      </w:r>
      <w:r>
        <w:rPr>
          <w:rFonts w:ascii="Times New Roman" w:hAnsi="Times New Roman" w:cs="Times New Roman"/>
          <w:sz w:val="28"/>
          <w:szCs w:val="28"/>
          <w:lang w:val="uk-UA"/>
        </w:rPr>
        <w:t>міжнародним корпораціям</w:t>
      </w:r>
      <w:r w:rsidRPr="007F7EB7">
        <w:rPr>
          <w:rFonts w:ascii="Times New Roman" w:hAnsi="Times New Roman" w:cs="Times New Roman"/>
          <w:sz w:val="28"/>
          <w:szCs w:val="28"/>
          <w:lang w:val="uk-UA"/>
        </w:rPr>
        <w:t xml:space="preserve"> краще зрозуміти важливість корпоративної ролі відділу кадрів в ефективному управлінні потоками талантів і координації талантів у глобальному масштабі.</w:t>
      </w:r>
    </w:p>
    <w:p w14:paraId="0D4F6D8B" w14:textId="369B2E41"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Одним із прикладів ролі глобальної функції талантів на практиці є сприяння створенню та обміну знаннями в </w:t>
      </w:r>
      <w:r>
        <w:rPr>
          <w:rFonts w:ascii="Times New Roman" w:hAnsi="Times New Roman" w:cs="Times New Roman"/>
          <w:sz w:val="28"/>
          <w:szCs w:val="28"/>
          <w:lang w:val="uk-UA"/>
        </w:rPr>
        <w:t>міжнародних корпораціях</w:t>
      </w:r>
      <w:r w:rsidRPr="007F7EB7">
        <w:rPr>
          <w:rFonts w:ascii="Times New Roman" w:hAnsi="Times New Roman" w:cs="Times New Roman"/>
          <w:sz w:val="28"/>
          <w:szCs w:val="28"/>
          <w:lang w:val="uk-UA"/>
        </w:rPr>
        <w:t xml:space="preserve">. Знання все частіше розглядаються як критичне джерело конкурентної переваги в МНК </w:t>
      </w:r>
      <w:r w:rsidRPr="005D1B01">
        <w:rPr>
          <w:rFonts w:ascii="Times New Roman" w:hAnsi="Times New Roman" w:cs="Times New Roman"/>
          <w:sz w:val="28"/>
          <w:szCs w:val="28"/>
        </w:rPr>
        <w:t>[254</w:t>
      </w:r>
      <w:r w:rsidR="00A90B89">
        <w:rPr>
          <w:rFonts w:ascii="Times New Roman" w:hAnsi="Times New Roman" w:cs="Times New Roman"/>
          <w:sz w:val="28"/>
          <w:szCs w:val="28"/>
          <w:lang w:val="uk-UA"/>
        </w:rPr>
        <w:t>;</w:t>
      </w:r>
      <w:r w:rsidRPr="005D1B01">
        <w:rPr>
          <w:rFonts w:ascii="Times New Roman" w:hAnsi="Times New Roman" w:cs="Times New Roman"/>
          <w:sz w:val="28"/>
          <w:szCs w:val="28"/>
        </w:rPr>
        <w:t xml:space="preserve"> 272]</w:t>
      </w:r>
      <w:r w:rsidRPr="007F7EB7">
        <w:rPr>
          <w:rFonts w:ascii="Times New Roman" w:hAnsi="Times New Roman" w:cs="Times New Roman"/>
          <w:sz w:val="28"/>
          <w:szCs w:val="28"/>
          <w:lang w:val="uk-UA"/>
        </w:rPr>
        <w:t xml:space="preserve">. Таким чином, ключовим питанням для глобальної служби управління персоналом є те, як максимізувати внесок тих осіб, які охоплюють географічні та культурні кордони та які є учасниками високої доданої вартості як у процесі координації, так і в процесі створення та обміну знаннями. Цю групу можна класифікувати як ключі </w:t>
      </w:r>
      <w:r>
        <w:rPr>
          <w:rFonts w:ascii="Times New Roman" w:hAnsi="Times New Roman" w:cs="Times New Roman"/>
          <w:sz w:val="28"/>
          <w:szCs w:val="28"/>
          <w:lang w:val="uk-UA"/>
        </w:rPr>
        <w:t xml:space="preserve">складові </w:t>
      </w:r>
      <w:r w:rsidRPr="007F7EB7">
        <w:rPr>
          <w:rFonts w:ascii="Times New Roman" w:hAnsi="Times New Roman" w:cs="Times New Roman"/>
          <w:sz w:val="28"/>
          <w:szCs w:val="28"/>
          <w:lang w:val="uk-UA"/>
        </w:rPr>
        <w:t xml:space="preserve">великої вартості </w:t>
      </w:r>
      <w:r w:rsidRPr="005D1B01">
        <w:rPr>
          <w:rFonts w:ascii="Times New Roman" w:hAnsi="Times New Roman" w:cs="Times New Roman"/>
          <w:sz w:val="28"/>
          <w:szCs w:val="28"/>
          <w:lang w:val="uk-UA"/>
        </w:rPr>
        <w:t>[264</w:t>
      </w:r>
      <w:r w:rsidR="00A90B89">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273]</w:t>
      </w:r>
      <w:r w:rsidRPr="007F7EB7">
        <w:rPr>
          <w:rFonts w:ascii="Times New Roman" w:hAnsi="Times New Roman" w:cs="Times New Roman"/>
          <w:sz w:val="28"/>
          <w:szCs w:val="28"/>
          <w:lang w:val="uk-UA"/>
        </w:rPr>
        <w:t>. Ці особи можуть знаходитися будь-де в багатонаціональній мережі, і завдання полягає в тому, щоб ідентифікувати їх і забезпечити їх ефективне розгортання в багатонаціональній мережі.</w:t>
      </w:r>
      <w:r>
        <w:rPr>
          <w:rFonts w:ascii="Times New Roman" w:hAnsi="Times New Roman" w:cs="Times New Roman"/>
          <w:sz w:val="28"/>
          <w:szCs w:val="28"/>
          <w:lang w:val="uk-UA"/>
        </w:rPr>
        <w:t xml:space="preserve"> </w:t>
      </w:r>
      <w:r w:rsidRPr="007F7EB7">
        <w:rPr>
          <w:rFonts w:ascii="Times New Roman" w:hAnsi="Times New Roman" w:cs="Times New Roman"/>
          <w:sz w:val="28"/>
          <w:szCs w:val="28"/>
          <w:lang w:val="uk-UA"/>
        </w:rPr>
        <w:t xml:space="preserve">Однак важливо визнати, що передача знань не відбувається без виконання ряду умов і існують значні приховані перешкоди для обміну </w:t>
      </w:r>
      <w:r w:rsidRPr="007F7EB7">
        <w:rPr>
          <w:rFonts w:ascii="Times New Roman" w:hAnsi="Times New Roman" w:cs="Times New Roman"/>
          <w:sz w:val="28"/>
          <w:szCs w:val="28"/>
          <w:lang w:val="uk-UA"/>
        </w:rPr>
        <w:lastRenderedPageBreak/>
        <w:t xml:space="preserve">знаннями. По-перше, важливість їхньої мотивації та здатності ділитися знаннями стає </w:t>
      </w:r>
      <w:r>
        <w:rPr>
          <w:rFonts w:ascii="Times New Roman" w:hAnsi="Times New Roman" w:cs="Times New Roman"/>
          <w:sz w:val="28"/>
          <w:szCs w:val="28"/>
          <w:lang w:val="uk-UA"/>
        </w:rPr>
        <w:t>суттєв</w:t>
      </w:r>
      <w:r w:rsidRPr="007F7EB7">
        <w:rPr>
          <w:rFonts w:ascii="Times New Roman" w:hAnsi="Times New Roman" w:cs="Times New Roman"/>
          <w:sz w:val="28"/>
          <w:szCs w:val="28"/>
          <w:lang w:val="uk-UA"/>
        </w:rPr>
        <w:t xml:space="preserve">ою. Це були терміни здатності до поширення </w:t>
      </w:r>
      <w:r w:rsidRPr="005D1B01">
        <w:rPr>
          <w:rFonts w:ascii="Times New Roman" w:hAnsi="Times New Roman" w:cs="Times New Roman"/>
          <w:sz w:val="28"/>
          <w:szCs w:val="28"/>
        </w:rPr>
        <w:t>[274]</w:t>
      </w:r>
      <w:r w:rsidRPr="007F7EB7">
        <w:rPr>
          <w:rFonts w:ascii="Times New Roman" w:hAnsi="Times New Roman" w:cs="Times New Roman"/>
          <w:sz w:val="28"/>
          <w:szCs w:val="28"/>
          <w:lang w:val="uk-UA"/>
        </w:rPr>
        <w:t xml:space="preserve">. Для одержувача здібності та мотивація допоміжних працівників (здатність до поглинання) також є важливими </w:t>
      </w:r>
      <w:r w:rsidRPr="005D1B01">
        <w:rPr>
          <w:rFonts w:ascii="Times New Roman" w:hAnsi="Times New Roman" w:cs="Times New Roman"/>
          <w:sz w:val="28"/>
          <w:szCs w:val="28"/>
        </w:rPr>
        <w:t>[275]</w:t>
      </w:r>
      <w:r w:rsidRPr="007F7EB7">
        <w:rPr>
          <w:rFonts w:ascii="Times New Roman" w:hAnsi="Times New Roman" w:cs="Times New Roman"/>
          <w:sz w:val="28"/>
          <w:szCs w:val="28"/>
          <w:lang w:val="uk-UA"/>
        </w:rPr>
        <w:t>. Особливе значення для розгляду практик талантів, які можуть сприяти цій критично важливій організаційній маршрутизації (обміну знаннями), мають базові практики HR, які максимізують обмін знаннями.</w:t>
      </w:r>
    </w:p>
    <w:p w14:paraId="3B2A3833"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Більш широкі погляди з HR-літератури дають зрозуміти, як практика HR може допомогти в обміні знаннями та, ширше, роль HR у створенні та поширенні знань. Значна частина цих досліджень теоретично позиціонується в літературі про соціальний капітал. Хоча детальне обговорення конструкції виходить за рамки цього розділу, соціальний капітал у </w:t>
      </w:r>
      <w:r>
        <w:rPr>
          <w:rFonts w:ascii="Times New Roman" w:hAnsi="Times New Roman" w:cs="Times New Roman"/>
          <w:sz w:val="28"/>
          <w:szCs w:val="28"/>
          <w:lang w:val="uk-UA"/>
        </w:rPr>
        <w:t xml:space="preserve">широкому сенсі визначається як </w:t>
      </w:r>
      <w:r w:rsidRPr="007F7EB7">
        <w:rPr>
          <w:rFonts w:ascii="Times New Roman" w:hAnsi="Times New Roman" w:cs="Times New Roman"/>
          <w:sz w:val="28"/>
          <w:szCs w:val="28"/>
          <w:lang w:val="uk-UA"/>
        </w:rPr>
        <w:t>сума фактичних і потенційних ресурсів, закладених усередині, доступних через і похідних від мережі відносин, якими володі</w:t>
      </w:r>
      <w:r>
        <w:rPr>
          <w:rFonts w:ascii="Times New Roman" w:hAnsi="Times New Roman" w:cs="Times New Roman"/>
          <w:sz w:val="28"/>
          <w:szCs w:val="28"/>
          <w:lang w:val="uk-UA"/>
        </w:rPr>
        <w:t>є індивід або соціальна одиниця</w:t>
      </w:r>
      <w:r w:rsidRPr="007F7EB7">
        <w:rPr>
          <w:rFonts w:ascii="Times New Roman" w:hAnsi="Times New Roman" w:cs="Times New Roman"/>
          <w:sz w:val="28"/>
          <w:szCs w:val="28"/>
          <w:lang w:val="uk-UA"/>
        </w:rPr>
        <w:t>. Соціальний капітал включає мережу та активи, які можуть бу</w:t>
      </w:r>
      <w:r>
        <w:rPr>
          <w:rFonts w:ascii="Times New Roman" w:hAnsi="Times New Roman" w:cs="Times New Roman"/>
          <w:sz w:val="28"/>
          <w:szCs w:val="28"/>
          <w:lang w:val="uk-UA"/>
        </w:rPr>
        <w:t>ти мобілізовані через цю мережу</w:t>
      </w:r>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rPr>
        <w:t>[276]</w:t>
      </w:r>
      <w:r w:rsidRPr="007F7EB7">
        <w:rPr>
          <w:rFonts w:ascii="Times New Roman" w:hAnsi="Times New Roman" w:cs="Times New Roman"/>
          <w:sz w:val="28"/>
          <w:szCs w:val="28"/>
          <w:lang w:val="uk-UA"/>
        </w:rPr>
        <w:t xml:space="preserve">. </w:t>
      </w:r>
      <w:proofErr w:type="spellStart"/>
      <w:r w:rsidRPr="007F7EB7">
        <w:rPr>
          <w:rFonts w:ascii="Times New Roman" w:hAnsi="Times New Roman" w:cs="Times New Roman"/>
          <w:sz w:val="28"/>
          <w:szCs w:val="28"/>
          <w:lang w:val="uk-UA"/>
        </w:rPr>
        <w:t>Нахапієт</w:t>
      </w:r>
      <w:proofErr w:type="spellEnd"/>
      <w:r w:rsidRPr="007F7EB7">
        <w:rPr>
          <w:rFonts w:ascii="Times New Roman" w:hAnsi="Times New Roman" w:cs="Times New Roman"/>
          <w:sz w:val="28"/>
          <w:szCs w:val="28"/>
          <w:lang w:val="uk-UA"/>
        </w:rPr>
        <w:t xml:space="preserve"> і </w:t>
      </w:r>
      <w:proofErr w:type="spellStart"/>
      <w:r w:rsidRPr="007F7EB7">
        <w:rPr>
          <w:rFonts w:ascii="Times New Roman" w:hAnsi="Times New Roman" w:cs="Times New Roman"/>
          <w:sz w:val="28"/>
          <w:szCs w:val="28"/>
          <w:lang w:val="uk-UA"/>
        </w:rPr>
        <w:t>Гошал</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rPr>
        <w:t xml:space="preserve">[276] </w:t>
      </w:r>
      <w:r w:rsidRPr="007F7EB7">
        <w:rPr>
          <w:rFonts w:ascii="Times New Roman" w:hAnsi="Times New Roman" w:cs="Times New Roman"/>
          <w:sz w:val="28"/>
          <w:szCs w:val="28"/>
          <w:lang w:val="uk-UA"/>
        </w:rPr>
        <w:t xml:space="preserve">далі пояснюють три типи соціального капіталу. Структурний соціальний капітал зосереджується на моделях взаємодії між індивідами в мережі. У багатонаціональному контексті він сприяє потоку знань і координації, охоплюючи підрозділи або мережі в глобальних операціях </w:t>
      </w:r>
      <w:r>
        <w:rPr>
          <w:rFonts w:ascii="Times New Roman" w:hAnsi="Times New Roman" w:cs="Times New Roman"/>
          <w:sz w:val="28"/>
          <w:szCs w:val="28"/>
          <w:lang w:val="uk-UA"/>
        </w:rPr>
        <w:t>міжнародних корпорацій</w:t>
      </w:r>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[273]</w:t>
      </w:r>
      <w:r w:rsidRPr="007F7EB7">
        <w:rPr>
          <w:rFonts w:ascii="Times New Roman" w:hAnsi="Times New Roman" w:cs="Times New Roman"/>
          <w:sz w:val="28"/>
          <w:szCs w:val="28"/>
          <w:lang w:val="uk-UA"/>
        </w:rPr>
        <w:t>. Реляційний соціальний капітал зосереджується на природі особистих стосунків, що склалися з часом, і висуває довіру на перший план. Нарешті, когнітивний соціальний капітал зосереджується на спільних цілях, нормах і цінностях, які бу</w:t>
      </w:r>
      <w:r>
        <w:rPr>
          <w:rFonts w:ascii="Times New Roman" w:hAnsi="Times New Roman" w:cs="Times New Roman"/>
          <w:sz w:val="28"/>
          <w:szCs w:val="28"/>
          <w:lang w:val="uk-UA"/>
        </w:rPr>
        <w:t>дуються через стосунки з часом [</w:t>
      </w:r>
      <w:r w:rsidRPr="005D1B01">
        <w:rPr>
          <w:rFonts w:ascii="Times New Roman" w:hAnsi="Times New Roman" w:cs="Times New Roman"/>
          <w:sz w:val="28"/>
          <w:szCs w:val="28"/>
        </w:rPr>
        <w:t>277</w:t>
      </w:r>
      <w:r>
        <w:rPr>
          <w:rFonts w:ascii="Times New Roman" w:hAnsi="Times New Roman" w:cs="Times New Roman"/>
          <w:sz w:val="28"/>
          <w:szCs w:val="28"/>
          <w:lang w:val="uk-UA"/>
        </w:rPr>
        <w:t>]</w:t>
      </w:r>
      <w:r w:rsidRPr="007F7EB7">
        <w:rPr>
          <w:rFonts w:ascii="Times New Roman" w:hAnsi="Times New Roman" w:cs="Times New Roman"/>
          <w:sz w:val="28"/>
          <w:szCs w:val="28"/>
          <w:lang w:val="uk-UA"/>
        </w:rPr>
        <w:t>.</w:t>
      </w:r>
    </w:p>
    <w:p w14:paraId="5DBADA09" w14:textId="5CE06CD6"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Теоретичні та емпіричні висновки вказують на деякі важливі перспективи того, як практика управління персоналом може сприяти обміну знаннями, і вони забезпечують важливу інформацію для глобальної функції управління талантами </w:t>
      </w:r>
      <w:r w:rsidRPr="005D1B01">
        <w:rPr>
          <w:rFonts w:ascii="Times New Roman" w:hAnsi="Times New Roman" w:cs="Times New Roman"/>
          <w:sz w:val="28"/>
          <w:szCs w:val="28"/>
          <w:lang w:val="uk-UA"/>
        </w:rPr>
        <w:t>[275</w:t>
      </w:r>
      <w:r w:rsidR="00A90B89">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278</w:t>
      </w:r>
      <w:r w:rsidR="00A90B89">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279]</w:t>
      </w:r>
      <w:r w:rsidRPr="007F7EB7">
        <w:rPr>
          <w:rFonts w:ascii="Times New Roman" w:hAnsi="Times New Roman" w:cs="Times New Roman"/>
          <w:sz w:val="28"/>
          <w:szCs w:val="28"/>
          <w:lang w:val="uk-UA"/>
        </w:rPr>
        <w:t xml:space="preserve">. Наприклад, реляційний соціальний капітал вказує на важливість норм та ідентифікації всередині групи, тоді як когнітивний соціальний капітал вказує на важливість спільних цілей, норм і цінностей. Враховуючи їхню роль у створенні та обміні знаннями, це висуває на перший план важливість виявлення </w:t>
      </w:r>
      <w:r w:rsidRPr="007F7EB7">
        <w:rPr>
          <w:rFonts w:ascii="Times New Roman" w:hAnsi="Times New Roman" w:cs="Times New Roman"/>
          <w:sz w:val="28"/>
          <w:szCs w:val="28"/>
          <w:lang w:val="uk-UA"/>
        </w:rPr>
        <w:lastRenderedPageBreak/>
        <w:t xml:space="preserve">майбутніх працівників, які матимуть більшу ймовірність поділяти однакові норми та ідентифікувати один одного, вказуючи на важливість спільних цінностей </w:t>
      </w:r>
      <w:r w:rsidRPr="005D1B01">
        <w:rPr>
          <w:rFonts w:ascii="Times New Roman" w:hAnsi="Times New Roman" w:cs="Times New Roman"/>
          <w:sz w:val="28"/>
          <w:szCs w:val="28"/>
          <w:lang w:val="uk-UA"/>
        </w:rPr>
        <w:t>[278]</w:t>
      </w:r>
      <w:r>
        <w:rPr>
          <w:rFonts w:ascii="Times New Roman" w:hAnsi="Times New Roman" w:cs="Times New Roman"/>
          <w:sz w:val="28"/>
          <w:szCs w:val="28"/>
          <w:lang w:val="uk-UA"/>
        </w:rPr>
        <w:t>.</w:t>
      </w:r>
      <w:r w:rsidRPr="007F7EB7">
        <w:rPr>
          <w:rFonts w:ascii="Times New Roman" w:hAnsi="Times New Roman" w:cs="Times New Roman"/>
          <w:sz w:val="28"/>
          <w:szCs w:val="28"/>
          <w:lang w:val="uk-UA"/>
        </w:rPr>
        <w:t xml:space="preserve"> Це узгоджується з передовою практикою управління талантами, яка вказує на важливість зосередження уваги на цінностях під час найму та відбору </w:t>
      </w:r>
      <w:r w:rsidRPr="005D1B01">
        <w:rPr>
          <w:rFonts w:ascii="Times New Roman" w:hAnsi="Times New Roman" w:cs="Times New Roman"/>
          <w:sz w:val="28"/>
          <w:szCs w:val="28"/>
        </w:rPr>
        <w:t>[240]</w:t>
      </w:r>
      <w:r w:rsidRPr="007F7EB7">
        <w:rPr>
          <w:rFonts w:ascii="Times New Roman" w:hAnsi="Times New Roman" w:cs="Times New Roman"/>
          <w:sz w:val="28"/>
          <w:szCs w:val="28"/>
          <w:lang w:val="uk-UA"/>
        </w:rPr>
        <w:t>. Теоретично відповідність особ</w:t>
      </w:r>
      <w:r>
        <w:rPr>
          <w:rFonts w:ascii="Times New Roman" w:hAnsi="Times New Roman" w:cs="Times New Roman"/>
          <w:sz w:val="28"/>
          <w:szCs w:val="28"/>
          <w:lang w:val="uk-UA"/>
        </w:rPr>
        <w:t>и</w:t>
      </w:r>
      <w:r w:rsidRPr="007F7EB7">
        <w:rPr>
          <w:rFonts w:ascii="Times New Roman" w:hAnsi="Times New Roman" w:cs="Times New Roman"/>
          <w:sz w:val="28"/>
          <w:szCs w:val="28"/>
          <w:lang w:val="uk-UA"/>
        </w:rPr>
        <w:t>-організаці</w:t>
      </w:r>
      <w:r>
        <w:rPr>
          <w:rFonts w:ascii="Times New Roman" w:hAnsi="Times New Roman" w:cs="Times New Roman"/>
          <w:sz w:val="28"/>
          <w:szCs w:val="28"/>
          <w:lang w:val="uk-UA"/>
        </w:rPr>
        <w:t>ї</w:t>
      </w:r>
      <w:r w:rsidRPr="007F7EB7">
        <w:rPr>
          <w:rFonts w:ascii="Times New Roman" w:hAnsi="Times New Roman" w:cs="Times New Roman"/>
          <w:sz w:val="28"/>
          <w:szCs w:val="28"/>
          <w:lang w:val="uk-UA"/>
        </w:rPr>
        <w:t xml:space="preserve"> є корисною лінзою для подальшого розкриття цього зв’язку.</w:t>
      </w:r>
    </w:p>
    <w:p w14:paraId="644B7F7B"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Дизайн роботи також був визначений як важливий у сприянні створенню та обміні знаннями. </w:t>
      </w:r>
      <w:proofErr w:type="spellStart"/>
      <w:r w:rsidRPr="007F7EB7">
        <w:rPr>
          <w:rFonts w:ascii="Times New Roman" w:hAnsi="Times New Roman" w:cs="Times New Roman"/>
          <w:sz w:val="28"/>
          <w:szCs w:val="28"/>
          <w:lang w:val="uk-UA"/>
        </w:rPr>
        <w:t>Кабрера</w:t>
      </w:r>
      <w:proofErr w:type="spellEnd"/>
      <w:r w:rsidRPr="007F7EB7">
        <w:rPr>
          <w:rFonts w:ascii="Times New Roman" w:hAnsi="Times New Roman" w:cs="Times New Roman"/>
          <w:sz w:val="28"/>
          <w:szCs w:val="28"/>
          <w:lang w:val="uk-UA"/>
        </w:rPr>
        <w:t xml:space="preserve"> та </w:t>
      </w:r>
      <w:proofErr w:type="spellStart"/>
      <w:r w:rsidRPr="007F7EB7">
        <w:rPr>
          <w:rFonts w:ascii="Times New Roman" w:hAnsi="Times New Roman" w:cs="Times New Roman"/>
          <w:sz w:val="28"/>
          <w:szCs w:val="28"/>
          <w:lang w:val="uk-UA"/>
        </w:rPr>
        <w:t>Кабрера</w:t>
      </w:r>
      <w:proofErr w:type="spellEnd"/>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[278]</w:t>
      </w:r>
      <w:r w:rsidRPr="007F7EB7">
        <w:rPr>
          <w:rFonts w:ascii="Times New Roman" w:hAnsi="Times New Roman" w:cs="Times New Roman"/>
          <w:sz w:val="28"/>
          <w:szCs w:val="28"/>
          <w:lang w:val="uk-UA"/>
        </w:rPr>
        <w:t xml:space="preserve"> стверджують, що дизайн роботи тісно пов’язаний зі структурним соціальним капіталом через встановлення </w:t>
      </w:r>
      <w:proofErr w:type="spellStart"/>
      <w:r w:rsidRPr="007F7EB7">
        <w:rPr>
          <w:rFonts w:ascii="Times New Roman" w:hAnsi="Times New Roman" w:cs="Times New Roman"/>
          <w:sz w:val="28"/>
          <w:szCs w:val="28"/>
          <w:lang w:val="uk-UA"/>
        </w:rPr>
        <w:t>взаємозалежностей</w:t>
      </w:r>
      <w:proofErr w:type="spellEnd"/>
      <w:r w:rsidRPr="007F7EB7">
        <w:rPr>
          <w:rFonts w:ascii="Times New Roman" w:hAnsi="Times New Roman" w:cs="Times New Roman"/>
          <w:sz w:val="28"/>
          <w:szCs w:val="28"/>
          <w:lang w:val="uk-UA"/>
        </w:rPr>
        <w:t>, частіших взаємодій та потоку інформації між працівниками. У той час як стабільна робота з конкретними завданнями може стримувати потоки знань, більш плавна організація роботи, де робота організована як послідовність доручень і</w:t>
      </w:r>
      <w:r>
        <w:rPr>
          <w:rFonts w:ascii="Times New Roman" w:hAnsi="Times New Roman" w:cs="Times New Roman"/>
          <w:sz w:val="28"/>
          <w:szCs w:val="28"/>
          <w:lang w:val="uk-UA"/>
        </w:rPr>
        <w:t xml:space="preserve">з працівниками, які працюють </w:t>
      </w:r>
      <w:r w:rsidRPr="007F7EB7">
        <w:rPr>
          <w:rFonts w:ascii="Times New Roman" w:hAnsi="Times New Roman" w:cs="Times New Roman"/>
          <w:sz w:val="28"/>
          <w:szCs w:val="28"/>
          <w:lang w:val="uk-UA"/>
        </w:rPr>
        <w:t xml:space="preserve">на основі проекту, може сприяти потокам знань </w:t>
      </w:r>
      <w:r w:rsidRPr="005D1B01">
        <w:rPr>
          <w:rFonts w:ascii="Times New Roman" w:hAnsi="Times New Roman" w:cs="Times New Roman"/>
          <w:sz w:val="28"/>
          <w:szCs w:val="28"/>
        </w:rPr>
        <w:t>[278]</w:t>
      </w:r>
      <w:r w:rsidRPr="007F7EB7">
        <w:rPr>
          <w:rFonts w:ascii="Times New Roman" w:hAnsi="Times New Roman" w:cs="Times New Roman"/>
          <w:sz w:val="28"/>
          <w:szCs w:val="28"/>
          <w:lang w:val="uk-UA"/>
        </w:rPr>
        <w:t xml:space="preserve">. Емпірично </w:t>
      </w:r>
      <w:proofErr w:type="spellStart"/>
      <w:r w:rsidRPr="007F7EB7">
        <w:rPr>
          <w:rFonts w:ascii="Times New Roman" w:hAnsi="Times New Roman" w:cs="Times New Roman"/>
          <w:sz w:val="28"/>
          <w:szCs w:val="28"/>
          <w:lang w:val="uk-UA"/>
        </w:rPr>
        <w:t>Фосс</w:t>
      </w:r>
      <w:proofErr w:type="spellEnd"/>
      <w:r w:rsidRPr="007F7EB7">
        <w:rPr>
          <w:rFonts w:ascii="Times New Roman" w:hAnsi="Times New Roman" w:cs="Times New Roman"/>
          <w:sz w:val="28"/>
          <w:szCs w:val="28"/>
          <w:lang w:val="uk-UA"/>
        </w:rPr>
        <w:t xml:space="preserve"> та інші </w:t>
      </w:r>
      <w:r w:rsidRPr="005D1B01">
        <w:rPr>
          <w:rFonts w:ascii="Times New Roman" w:hAnsi="Times New Roman" w:cs="Times New Roman"/>
          <w:sz w:val="28"/>
          <w:szCs w:val="28"/>
          <w:lang w:val="uk-UA"/>
        </w:rPr>
        <w:t>[279]</w:t>
      </w:r>
      <w:r w:rsidRPr="007F7EB7">
        <w:rPr>
          <w:rFonts w:ascii="Times New Roman" w:hAnsi="Times New Roman" w:cs="Times New Roman"/>
          <w:sz w:val="28"/>
          <w:szCs w:val="28"/>
          <w:lang w:val="uk-UA"/>
        </w:rPr>
        <w:t xml:space="preserve"> виявили, що такі характеристики роботи, як автономія, ідентичність завдання та зворотній зв’язок, визначають мотивацію людини ділитися знаннями, що, у свою чергу, передбачає поведінку співробітників щодо обміну знаннями.</w:t>
      </w:r>
    </w:p>
    <w:p w14:paraId="3F668752" w14:textId="57583901"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Організаційна культура також є ключовою. В</w:t>
      </w:r>
      <w:r>
        <w:rPr>
          <w:rFonts w:ascii="Times New Roman" w:hAnsi="Times New Roman" w:cs="Times New Roman"/>
          <w:sz w:val="28"/>
          <w:szCs w:val="28"/>
          <w:lang w:val="uk-UA"/>
        </w:rPr>
        <w:t>она</w:t>
      </w:r>
      <w:r w:rsidRPr="007F7EB7">
        <w:rPr>
          <w:rFonts w:ascii="Times New Roman" w:hAnsi="Times New Roman" w:cs="Times New Roman"/>
          <w:sz w:val="28"/>
          <w:szCs w:val="28"/>
          <w:lang w:val="uk-UA"/>
        </w:rPr>
        <w:t xml:space="preserve"> може зіграти певну роль у розробці соціальних норм щодо обміну знаннями і в плані створення клімату довіри, який є ключовим для появи соціального капіталу відносин </w:t>
      </w:r>
      <w:r w:rsidRPr="005D1B01">
        <w:rPr>
          <w:rFonts w:ascii="Times New Roman" w:hAnsi="Times New Roman" w:cs="Times New Roman"/>
          <w:sz w:val="28"/>
          <w:szCs w:val="28"/>
        </w:rPr>
        <w:t>[278]</w:t>
      </w:r>
      <w:r>
        <w:rPr>
          <w:rFonts w:ascii="Times New Roman" w:hAnsi="Times New Roman" w:cs="Times New Roman"/>
          <w:sz w:val="28"/>
          <w:szCs w:val="28"/>
          <w:lang w:val="uk-UA"/>
        </w:rPr>
        <w:t xml:space="preserve">. Дійсно, </w:t>
      </w:r>
      <w:proofErr w:type="spellStart"/>
      <w:r>
        <w:rPr>
          <w:rFonts w:ascii="Times New Roman" w:hAnsi="Times New Roman" w:cs="Times New Roman"/>
          <w:sz w:val="28"/>
          <w:szCs w:val="28"/>
          <w:lang w:val="uk-UA"/>
        </w:rPr>
        <w:t>Мінбаєва</w:t>
      </w:r>
      <w:proofErr w:type="spellEnd"/>
      <w:r>
        <w:rPr>
          <w:rFonts w:ascii="Times New Roman" w:hAnsi="Times New Roman" w:cs="Times New Roman"/>
          <w:sz w:val="28"/>
          <w:szCs w:val="28"/>
          <w:lang w:val="uk-UA"/>
        </w:rPr>
        <w:t xml:space="preserve"> та інші</w:t>
      </w:r>
      <w:r w:rsidRPr="007F7EB7">
        <w:rPr>
          <w:rFonts w:ascii="Times New Roman" w:hAnsi="Times New Roman" w:cs="Times New Roman"/>
          <w:sz w:val="28"/>
          <w:szCs w:val="28"/>
          <w:lang w:val="uk-UA"/>
        </w:rPr>
        <w:t xml:space="preserve"> </w:t>
      </w:r>
      <w:r w:rsidRPr="005D1B01">
        <w:rPr>
          <w:rFonts w:ascii="Times New Roman" w:hAnsi="Times New Roman" w:cs="Times New Roman"/>
          <w:sz w:val="28"/>
          <w:szCs w:val="28"/>
          <w:lang w:val="uk-UA"/>
        </w:rPr>
        <w:t>[275]</w:t>
      </w:r>
      <w:r w:rsidRPr="007F7EB7">
        <w:rPr>
          <w:rFonts w:ascii="Times New Roman" w:hAnsi="Times New Roman" w:cs="Times New Roman"/>
          <w:sz w:val="28"/>
          <w:szCs w:val="28"/>
          <w:lang w:val="uk-UA"/>
        </w:rPr>
        <w:t xml:space="preserve"> емпірично продемонстрували, що сприйняття працівниками зобов’язань організації щодо обміну знаннями в поєднанні із зовнішньою мотивацією безпосередньо впливає на ступінь участі працівників у внутрішньому обміні знаннями фірми. Крім того, внутрішня мотивація індивіда в поєднанні із залученням до соціальної взаємодії опосередковувала стосунки. Враховуючи висновок </w:t>
      </w:r>
      <w:proofErr w:type="spellStart"/>
      <w:r w:rsidRPr="007F7EB7">
        <w:rPr>
          <w:rFonts w:ascii="Times New Roman" w:hAnsi="Times New Roman" w:cs="Times New Roman"/>
          <w:sz w:val="28"/>
          <w:szCs w:val="28"/>
          <w:lang w:val="uk-UA"/>
        </w:rPr>
        <w:t>Мінбаєвої</w:t>
      </w:r>
      <w:proofErr w:type="spellEnd"/>
      <w:r w:rsidRPr="007F7EB7">
        <w:rPr>
          <w:rFonts w:ascii="Times New Roman" w:hAnsi="Times New Roman" w:cs="Times New Roman"/>
          <w:sz w:val="28"/>
          <w:szCs w:val="28"/>
          <w:lang w:val="uk-UA"/>
        </w:rPr>
        <w:t xml:space="preserve"> та її колег про те, що HR може впливати на ці умови через сигнальний ефект HR-практик у поєднанні з самими практиками, це підсилює ключову роль глобальної HR-функції у створенні та обміні знаннями </w:t>
      </w:r>
      <w:r w:rsidRPr="005D1B01">
        <w:rPr>
          <w:rFonts w:ascii="Times New Roman" w:hAnsi="Times New Roman" w:cs="Times New Roman"/>
          <w:sz w:val="28"/>
          <w:szCs w:val="28"/>
          <w:lang w:val="uk-UA"/>
        </w:rPr>
        <w:t>[275]</w:t>
      </w:r>
      <w:r w:rsidRPr="007F7EB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F7EB7">
        <w:rPr>
          <w:rFonts w:ascii="Times New Roman" w:hAnsi="Times New Roman" w:cs="Times New Roman"/>
          <w:sz w:val="28"/>
          <w:szCs w:val="28"/>
          <w:lang w:val="uk-UA"/>
        </w:rPr>
        <w:t xml:space="preserve">Очевидно, що наведені вище приклади є ілюстративними, і існує низка інших важливих кадрових практик, які можуть сприяти створенню та обміну </w:t>
      </w:r>
      <w:r w:rsidRPr="007F7EB7">
        <w:rPr>
          <w:rFonts w:ascii="Times New Roman" w:hAnsi="Times New Roman" w:cs="Times New Roman"/>
          <w:sz w:val="28"/>
          <w:szCs w:val="28"/>
          <w:lang w:val="uk-UA"/>
        </w:rPr>
        <w:lastRenderedPageBreak/>
        <w:t xml:space="preserve">знаннями. Вони представлені як ілюстрація того, як ретельне узгодження практики управління персоналом може підтримувати стратегічну ціль талантів (у цьому прикладі створення та обмін знаннями). Відповідно до останніх досягнень у кадровій літературі та моделях управління талантами </w:t>
      </w:r>
      <w:r w:rsidRPr="005D1B01">
        <w:rPr>
          <w:rFonts w:ascii="Times New Roman" w:hAnsi="Times New Roman" w:cs="Times New Roman"/>
          <w:sz w:val="28"/>
          <w:szCs w:val="28"/>
          <w:lang w:val="uk-UA"/>
        </w:rPr>
        <w:t>[222</w:t>
      </w:r>
      <w:r w:rsidR="00A90B89">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280] </w:t>
      </w:r>
      <w:r w:rsidRPr="007F7EB7">
        <w:rPr>
          <w:rFonts w:ascii="Times New Roman" w:hAnsi="Times New Roman" w:cs="Times New Roman"/>
          <w:sz w:val="28"/>
          <w:szCs w:val="28"/>
          <w:lang w:val="uk-UA"/>
        </w:rPr>
        <w:t>виступаємо за диференційовану HR-архітектуру, де такі кадрові практики безпосередньо націлені на групу праців</w:t>
      </w:r>
      <w:r>
        <w:rPr>
          <w:rFonts w:ascii="Times New Roman" w:hAnsi="Times New Roman" w:cs="Times New Roman"/>
          <w:sz w:val="28"/>
          <w:szCs w:val="28"/>
          <w:lang w:val="uk-UA"/>
        </w:rPr>
        <w:t>ників, для якої вони призначені та</w:t>
      </w:r>
      <w:r w:rsidRPr="007F7EB7">
        <w:rPr>
          <w:rFonts w:ascii="Times New Roman" w:hAnsi="Times New Roman" w:cs="Times New Roman"/>
          <w:sz w:val="28"/>
          <w:szCs w:val="28"/>
          <w:lang w:val="uk-UA"/>
        </w:rPr>
        <w:t xml:space="preserve"> розроблен</w:t>
      </w:r>
      <w:r>
        <w:rPr>
          <w:rFonts w:ascii="Times New Roman" w:hAnsi="Times New Roman" w:cs="Times New Roman"/>
          <w:sz w:val="28"/>
          <w:szCs w:val="28"/>
          <w:lang w:val="uk-UA"/>
        </w:rPr>
        <w:t>і</w:t>
      </w:r>
      <w:r w:rsidRPr="007F7EB7">
        <w:rPr>
          <w:rFonts w:ascii="Times New Roman" w:hAnsi="Times New Roman" w:cs="Times New Roman"/>
          <w:sz w:val="28"/>
          <w:szCs w:val="28"/>
          <w:lang w:val="uk-UA"/>
        </w:rPr>
        <w:t>.</w:t>
      </w:r>
    </w:p>
    <w:p w14:paraId="5B62355F"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Цей розділ має на меті надати відносно широкий огляд нової галузі глобального управління талантами</w:t>
      </w:r>
      <w:r>
        <w:rPr>
          <w:rFonts w:ascii="Times New Roman" w:hAnsi="Times New Roman" w:cs="Times New Roman"/>
          <w:sz w:val="28"/>
          <w:szCs w:val="28"/>
          <w:lang w:val="uk-UA"/>
        </w:rPr>
        <w:t xml:space="preserve"> в рамках побудови успішної кар’єри</w:t>
      </w:r>
      <w:r w:rsidRPr="007F7EB7">
        <w:rPr>
          <w:rFonts w:ascii="Times New Roman" w:hAnsi="Times New Roman" w:cs="Times New Roman"/>
          <w:sz w:val="28"/>
          <w:szCs w:val="28"/>
          <w:lang w:val="uk-UA"/>
        </w:rPr>
        <w:t>. Немає сумнівів у тому, що глобальне управління талантами набуло значної популярності як ключовий глобальний процес управління персоналом для використання конкурентної переваги. Проте наявна література свідчить про те, що організації продовжують боротися з проблемами управління глобальними талантами, і справді, ключовим викликом для академічної спільноти є продовження розвитку масиву досліджень для кращого інформування управлінської практики в цьому відношенні.</w:t>
      </w:r>
      <w:r w:rsidRPr="005D1B01">
        <w:rPr>
          <w:rFonts w:ascii="Times New Roman" w:hAnsi="Times New Roman" w:cs="Times New Roman"/>
          <w:sz w:val="28"/>
          <w:szCs w:val="28"/>
          <w:lang w:val="uk-UA"/>
        </w:rPr>
        <w:t xml:space="preserve"> </w:t>
      </w:r>
      <w:r w:rsidRPr="007F7EB7">
        <w:rPr>
          <w:rFonts w:ascii="Times New Roman" w:hAnsi="Times New Roman" w:cs="Times New Roman"/>
          <w:sz w:val="28"/>
          <w:szCs w:val="28"/>
          <w:lang w:val="uk-UA"/>
        </w:rPr>
        <w:t xml:space="preserve">Наш огляд стосується як </w:t>
      </w:r>
      <w:proofErr w:type="spellStart"/>
      <w:r w:rsidRPr="007F7EB7">
        <w:rPr>
          <w:rFonts w:ascii="Times New Roman" w:hAnsi="Times New Roman" w:cs="Times New Roman"/>
          <w:sz w:val="28"/>
          <w:szCs w:val="28"/>
          <w:lang w:val="uk-UA"/>
        </w:rPr>
        <w:t>макро</w:t>
      </w:r>
      <w:proofErr w:type="spellEnd"/>
      <w:r w:rsidRPr="007F7EB7">
        <w:rPr>
          <w:rFonts w:ascii="Times New Roman" w:hAnsi="Times New Roman" w:cs="Times New Roman"/>
          <w:sz w:val="28"/>
          <w:szCs w:val="28"/>
          <w:lang w:val="uk-UA"/>
        </w:rPr>
        <w:t xml:space="preserve">-, так і </w:t>
      </w:r>
      <w:proofErr w:type="spellStart"/>
      <w:r w:rsidRPr="007F7EB7">
        <w:rPr>
          <w:rFonts w:ascii="Times New Roman" w:hAnsi="Times New Roman" w:cs="Times New Roman"/>
          <w:sz w:val="28"/>
          <w:szCs w:val="28"/>
          <w:lang w:val="uk-UA"/>
        </w:rPr>
        <w:t>мезо</w:t>
      </w:r>
      <w:proofErr w:type="spellEnd"/>
      <w:r w:rsidRPr="007F7EB7">
        <w:rPr>
          <w:rFonts w:ascii="Times New Roman" w:hAnsi="Times New Roman" w:cs="Times New Roman"/>
          <w:sz w:val="28"/>
          <w:szCs w:val="28"/>
          <w:lang w:val="uk-UA"/>
        </w:rPr>
        <w:t>- та організаційного к</w:t>
      </w:r>
      <w:r>
        <w:rPr>
          <w:rFonts w:ascii="Times New Roman" w:hAnsi="Times New Roman" w:cs="Times New Roman"/>
          <w:sz w:val="28"/>
          <w:szCs w:val="28"/>
          <w:lang w:val="uk-UA"/>
        </w:rPr>
        <w:t>онтексту GTM</w:t>
      </w:r>
      <w:r w:rsidRPr="007F7EB7">
        <w:rPr>
          <w:rFonts w:ascii="Times New Roman" w:hAnsi="Times New Roman" w:cs="Times New Roman"/>
          <w:sz w:val="28"/>
          <w:szCs w:val="28"/>
          <w:lang w:val="uk-UA"/>
        </w:rPr>
        <w:t>.</w:t>
      </w:r>
    </w:p>
    <w:p w14:paraId="61A65C85"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Ми стверджуємо, що краще розуміння </w:t>
      </w:r>
      <w:proofErr w:type="spellStart"/>
      <w:r w:rsidRPr="007F7EB7">
        <w:rPr>
          <w:rFonts w:ascii="Times New Roman" w:hAnsi="Times New Roman" w:cs="Times New Roman"/>
          <w:sz w:val="28"/>
          <w:szCs w:val="28"/>
          <w:lang w:val="uk-UA"/>
        </w:rPr>
        <w:t>макроконтексту</w:t>
      </w:r>
      <w:proofErr w:type="spellEnd"/>
      <w:r w:rsidRPr="007F7EB7">
        <w:rPr>
          <w:rFonts w:ascii="Times New Roman" w:hAnsi="Times New Roman" w:cs="Times New Roman"/>
          <w:sz w:val="28"/>
          <w:szCs w:val="28"/>
          <w:lang w:val="uk-UA"/>
        </w:rPr>
        <w:t xml:space="preserve"> GTM забезпечить основу для порівняльного розуміння природи управління талантами в глобальному масштабі. Ми визначаємо порівняльне управління талантами в цьому сенсі як варіації в практиці управління талантами між різними націями чи регіонами, які значною мірою можна простежити до відмінностей у </w:t>
      </w:r>
      <w:proofErr w:type="spellStart"/>
      <w:r w:rsidRPr="007F7EB7">
        <w:rPr>
          <w:rFonts w:ascii="Times New Roman" w:hAnsi="Times New Roman" w:cs="Times New Roman"/>
          <w:sz w:val="28"/>
          <w:szCs w:val="28"/>
          <w:lang w:val="uk-UA"/>
        </w:rPr>
        <w:t>макроінституційному</w:t>
      </w:r>
      <w:proofErr w:type="spellEnd"/>
      <w:r w:rsidRPr="007F7EB7">
        <w:rPr>
          <w:rFonts w:ascii="Times New Roman" w:hAnsi="Times New Roman" w:cs="Times New Roman"/>
          <w:sz w:val="28"/>
          <w:szCs w:val="28"/>
          <w:lang w:val="uk-UA"/>
        </w:rPr>
        <w:t xml:space="preserve">, законодавчому та культурному контексті, в якому розгортається бізнес у національній державі. Подібно до того, як порівняльна HR зарекомендувала себе як ключове поле дослідження, побудова порівняльного розуміння управління талантами в різних державах, яке відображає конкретний </w:t>
      </w:r>
      <w:proofErr w:type="spellStart"/>
      <w:r w:rsidRPr="007F7EB7">
        <w:rPr>
          <w:rFonts w:ascii="Times New Roman" w:hAnsi="Times New Roman" w:cs="Times New Roman"/>
          <w:sz w:val="28"/>
          <w:szCs w:val="28"/>
          <w:lang w:val="uk-UA"/>
        </w:rPr>
        <w:t>макроконтекст</w:t>
      </w:r>
      <w:proofErr w:type="spellEnd"/>
      <w:r w:rsidRPr="007F7EB7">
        <w:rPr>
          <w:rFonts w:ascii="Times New Roman" w:hAnsi="Times New Roman" w:cs="Times New Roman"/>
          <w:sz w:val="28"/>
          <w:szCs w:val="28"/>
          <w:lang w:val="uk-UA"/>
        </w:rPr>
        <w:t>, у якому розгортається управління талантами, забезпечить корисний потік до</w:t>
      </w:r>
      <w:r>
        <w:rPr>
          <w:rFonts w:ascii="Times New Roman" w:hAnsi="Times New Roman" w:cs="Times New Roman"/>
          <w:sz w:val="28"/>
          <w:szCs w:val="28"/>
          <w:lang w:val="uk-UA"/>
        </w:rPr>
        <w:t>сліджень у глобальному масштабі</w:t>
      </w:r>
      <w:r w:rsidRPr="007F7EB7">
        <w:rPr>
          <w:rFonts w:ascii="Times New Roman" w:hAnsi="Times New Roman" w:cs="Times New Roman"/>
          <w:sz w:val="28"/>
          <w:szCs w:val="28"/>
          <w:lang w:val="uk-UA"/>
        </w:rPr>
        <w:t xml:space="preserve"> прост</w:t>
      </w:r>
      <w:r>
        <w:rPr>
          <w:rFonts w:ascii="Times New Roman" w:hAnsi="Times New Roman" w:cs="Times New Roman"/>
          <w:sz w:val="28"/>
          <w:szCs w:val="28"/>
          <w:lang w:val="uk-UA"/>
        </w:rPr>
        <w:t>ору</w:t>
      </w:r>
      <w:r w:rsidRPr="007F7EB7">
        <w:rPr>
          <w:rFonts w:ascii="Times New Roman" w:hAnsi="Times New Roman" w:cs="Times New Roman"/>
          <w:sz w:val="28"/>
          <w:szCs w:val="28"/>
          <w:lang w:val="uk-UA"/>
        </w:rPr>
        <w:t xml:space="preserve"> управління талантами. Розуміння відмінностей у способах управління талантами в різних державах і регіонах буде цінним для розуміння глобальної локальної </w:t>
      </w:r>
      <w:r w:rsidRPr="007F7EB7">
        <w:rPr>
          <w:rFonts w:ascii="Times New Roman" w:hAnsi="Times New Roman" w:cs="Times New Roman"/>
          <w:sz w:val="28"/>
          <w:szCs w:val="28"/>
          <w:lang w:val="uk-UA"/>
        </w:rPr>
        <w:lastRenderedPageBreak/>
        <w:t xml:space="preserve">напруженості, яку </w:t>
      </w:r>
      <w:r>
        <w:rPr>
          <w:rFonts w:ascii="Times New Roman" w:hAnsi="Times New Roman" w:cs="Times New Roman"/>
          <w:sz w:val="28"/>
          <w:szCs w:val="28"/>
          <w:lang w:val="uk-UA"/>
        </w:rPr>
        <w:t>міжнаціональні корпорації</w:t>
      </w:r>
      <w:r w:rsidRPr="007F7EB7">
        <w:rPr>
          <w:rFonts w:ascii="Times New Roman" w:hAnsi="Times New Roman" w:cs="Times New Roman"/>
          <w:sz w:val="28"/>
          <w:szCs w:val="28"/>
          <w:lang w:val="uk-UA"/>
        </w:rPr>
        <w:t xml:space="preserve"> повинні збалансувати при розробці та впровадженні ефективних глобальних систем управління талантами.</w:t>
      </w:r>
    </w:p>
    <w:p w14:paraId="46384072"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Крім того, необхідно продовжити дослідження для розвитку нашого розуміння ролі ефективного GTM у продуктивності організації. Подібно до важливості роботи Марка </w:t>
      </w:r>
      <w:proofErr w:type="spellStart"/>
      <w:r w:rsidRPr="007F7EB7">
        <w:rPr>
          <w:rFonts w:ascii="Times New Roman" w:hAnsi="Times New Roman" w:cs="Times New Roman"/>
          <w:sz w:val="28"/>
          <w:szCs w:val="28"/>
          <w:lang w:val="uk-UA"/>
        </w:rPr>
        <w:t>Хуселіда</w:t>
      </w:r>
      <w:proofErr w:type="spellEnd"/>
      <w:r w:rsidRPr="007F7EB7">
        <w:rPr>
          <w:rFonts w:ascii="Times New Roman" w:hAnsi="Times New Roman" w:cs="Times New Roman"/>
          <w:sz w:val="28"/>
          <w:szCs w:val="28"/>
          <w:lang w:val="uk-UA"/>
        </w:rPr>
        <w:t xml:space="preserve"> та інших щодо ілюстрації зв’язку між інвестиціями в людські ресурси та продуктивністю організації, добре сплановані емпіричні дослідження, які могли б з’ясувати взаємозв’язок між ефективним GTM та ефективністю організації, значно</w:t>
      </w:r>
      <w:r>
        <w:rPr>
          <w:rFonts w:ascii="Times New Roman" w:hAnsi="Times New Roman" w:cs="Times New Roman"/>
          <w:sz w:val="28"/>
          <w:szCs w:val="28"/>
          <w:lang w:val="uk-UA"/>
        </w:rPr>
        <w:t xml:space="preserve"> підвищили б авторитет компанії у</w:t>
      </w:r>
      <w:r w:rsidRPr="007F7EB7">
        <w:rPr>
          <w:rFonts w:ascii="Times New Roman" w:hAnsi="Times New Roman" w:cs="Times New Roman"/>
          <w:sz w:val="28"/>
          <w:szCs w:val="28"/>
          <w:lang w:val="uk-UA"/>
        </w:rPr>
        <w:t xml:space="preserve"> сфер</w:t>
      </w:r>
      <w:r>
        <w:rPr>
          <w:rFonts w:ascii="Times New Roman" w:hAnsi="Times New Roman" w:cs="Times New Roman"/>
          <w:sz w:val="28"/>
          <w:szCs w:val="28"/>
          <w:lang w:val="uk-UA"/>
        </w:rPr>
        <w:t>і</w:t>
      </w:r>
      <w:r w:rsidRPr="007F7EB7">
        <w:rPr>
          <w:rFonts w:ascii="Times New Roman" w:hAnsi="Times New Roman" w:cs="Times New Roman"/>
          <w:sz w:val="28"/>
          <w:szCs w:val="28"/>
          <w:lang w:val="uk-UA"/>
        </w:rPr>
        <w:t xml:space="preserve"> навчання. Дійсно, такі дослідження виграли б від творчих змінних результатів, більш складних методів, більшої уваги до контексту та більшої концептуальної ясності. Дослідження в цьому ключі забезпечать логіку, засновану на доказах, для обговорення найкращої практики GTM. Хоча ця термінологія використовується зараз, ми ще не проводили досліджень, щоб визначити, що є найкращою практикою та як така практика перетворюється на організаційні результати, такі як стійка ефективність.</w:t>
      </w:r>
    </w:p>
    <w:p w14:paraId="770D1EFE" w14:textId="0F6D553E"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Ще один шлях, який заслуговує емпіричного розгляду,</w:t>
      </w:r>
      <w:r w:rsidR="00A90B89">
        <w:rPr>
          <w:rFonts w:ascii="Times New Roman" w:hAnsi="Times New Roman" w:cs="Times New Roman"/>
          <w:sz w:val="28"/>
          <w:szCs w:val="28"/>
          <w:lang w:val="uk-UA"/>
        </w:rPr>
        <w:t xml:space="preserve"> –</w:t>
      </w:r>
      <w:r w:rsidRPr="007F7EB7">
        <w:rPr>
          <w:rFonts w:ascii="Times New Roman" w:hAnsi="Times New Roman" w:cs="Times New Roman"/>
          <w:sz w:val="28"/>
          <w:szCs w:val="28"/>
          <w:lang w:val="uk-UA"/>
        </w:rPr>
        <w:t xml:space="preserve"> це</w:t>
      </w:r>
      <w:r w:rsidR="00A90B89">
        <w:rPr>
          <w:rFonts w:ascii="Times New Roman" w:hAnsi="Times New Roman" w:cs="Times New Roman"/>
          <w:sz w:val="28"/>
          <w:szCs w:val="28"/>
          <w:lang w:val="uk-UA"/>
        </w:rPr>
        <w:t xml:space="preserve"> </w:t>
      </w:r>
      <w:r w:rsidRPr="007F7EB7">
        <w:rPr>
          <w:rFonts w:ascii="Times New Roman" w:hAnsi="Times New Roman" w:cs="Times New Roman"/>
          <w:sz w:val="28"/>
          <w:szCs w:val="28"/>
          <w:lang w:val="uk-UA"/>
        </w:rPr>
        <w:t xml:space="preserve">поглиблення нашого розуміння взаємодії між мобільністю співробітників і глобальним управлінням талантами. У цій дискусії є два ключові елементи. По-перше, нам потрібно краще зрозуміти, як організації можуть залучати глобальні таланти на місцевих ринках праці. Наприклад, нові дослідження </w:t>
      </w:r>
      <w:proofErr w:type="spellStart"/>
      <w:r w:rsidRPr="007F7EB7">
        <w:rPr>
          <w:rFonts w:ascii="Times New Roman" w:hAnsi="Times New Roman" w:cs="Times New Roman"/>
          <w:sz w:val="28"/>
          <w:szCs w:val="28"/>
          <w:lang w:val="uk-UA"/>
        </w:rPr>
        <w:t>самоініціативної</w:t>
      </w:r>
      <w:proofErr w:type="spellEnd"/>
      <w:r w:rsidRPr="007F7EB7">
        <w:rPr>
          <w:rFonts w:ascii="Times New Roman" w:hAnsi="Times New Roman" w:cs="Times New Roman"/>
          <w:sz w:val="28"/>
          <w:szCs w:val="28"/>
          <w:lang w:val="uk-UA"/>
        </w:rPr>
        <w:t xml:space="preserve"> експатріації зосереджують увагу на особах, які переселяються за кордон за власним бажанням без організаційної підтримки </w:t>
      </w:r>
      <w:r w:rsidRPr="005D1B01">
        <w:rPr>
          <w:rFonts w:ascii="Times New Roman" w:hAnsi="Times New Roman" w:cs="Times New Roman"/>
          <w:sz w:val="28"/>
          <w:szCs w:val="28"/>
          <w:lang w:val="uk-UA"/>
        </w:rPr>
        <w:t>[251</w:t>
      </w:r>
      <w:r w:rsidR="00A90B89">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281</w:t>
      </w:r>
      <w:r w:rsidR="00A90B89">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282]</w:t>
      </w:r>
      <w:r w:rsidRPr="007F7EB7">
        <w:rPr>
          <w:rFonts w:ascii="Times New Roman" w:hAnsi="Times New Roman" w:cs="Times New Roman"/>
          <w:sz w:val="28"/>
          <w:szCs w:val="28"/>
          <w:lang w:val="uk-UA"/>
        </w:rPr>
        <w:t xml:space="preserve">. Це дослідження показало, що ці люди часто мають недостатню зайнятість у приймаючих економіках і що організації не в змозі охопити потенційну цінність цих працівників </w:t>
      </w:r>
      <w:r w:rsidRPr="005D1B01">
        <w:rPr>
          <w:rFonts w:ascii="Times New Roman" w:hAnsi="Times New Roman" w:cs="Times New Roman"/>
          <w:sz w:val="28"/>
          <w:szCs w:val="28"/>
          <w:lang w:val="uk-UA"/>
        </w:rPr>
        <w:t>[281</w:t>
      </w:r>
      <w:r w:rsidR="00A90B89">
        <w:rPr>
          <w:rFonts w:ascii="Times New Roman" w:hAnsi="Times New Roman" w:cs="Times New Roman"/>
          <w:sz w:val="28"/>
          <w:szCs w:val="28"/>
          <w:lang w:val="uk-UA"/>
        </w:rPr>
        <w:t>;</w:t>
      </w:r>
      <w:r w:rsidRPr="005D1B01">
        <w:rPr>
          <w:rFonts w:ascii="Times New Roman" w:hAnsi="Times New Roman" w:cs="Times New Roman"/>
          <w:sz w:val="28"/>
          <w:szCs w:val="28"/>
          <w:lang w:val="uk-UA"/>
        </w:rPr>
        <w:t xml:space="preserve"> 283]</w:t>
      </w:r>
      <w:r w:rsidRPr="007F7EB7">
        <w:rPr>
          <w:rFonts w:ascii="Times New Roman" w:hAnsi="Times New Roman" w:cs="Times New Roman"/>
          <w:sz w:val="28"/>
          <w:szCs w:val="28"/>
          <w:lang w:val="uk-UA"/>
        </w:rPr>
        <w:t>. Розуміння потенційної цінності цих резервів талантів і того, як найкраще її реалізувати в контексті глобального управлін</w:t>
      </w:r>
      <w:r>
        <w:rPr>
          <w:rFonts w:ascii="Times New Roman" w:hAnsi="Times New Roman" w:cs="Times New Roman"/>
          <w:sz w:val="28"/>
          <w:szCs w:val="28"/>
          <w:lang w:val="uk-UA"/>
        </w:rPr>
        <w:t>ня талантами, є важливим напрям</w:t>
      </w:r>
      <w:r w:rsidRPr="007F7EB7">
        <w:rPr>
          <w:rFonts w:ascii="Times New Roman" w:hAnsi="Times New Roman" w:cs="Times New Roman"/>
          <w:sz w:val="28"/>
          <w:szCs w:val="28"/>
          <w:lang w:val="uk-UA"/>
        </w:rPr>
        <w:t xml:space="preserve">ом досліджень. По-друге, хоча глобальна мобільність працівників часто вважається центральною для глобального управління талантами, реальність така, що на практиці вони часто виконують різні функції, і ми маємо мало теоретичних та емпіричних вказівок для фахівців із глобальної </w:t>
      </w:r>
      <w:r w:rsidRPr="007F7EB7">
        <w:rPr>
          <w:rFonts w:ascii="Times New Roman" w:hAnsi="Times New Roman" w:cs="Times New Roman"/>
          <w:sz w:val="28"/>
          <w:szCs w:val="28"/>
          <w:lang w:val="uk-UA"/>
        </w:rPr>
        <w:lastRenderedPageBreak/>
        <w:t xml:space="preserve">мобільності щодо розробки ефективної практики в цьому відношенні </w:t>
      </w:r>
      <w:r w:rsidRPr="005D1B01">
        <w:rPr>
          <w:rFonts w:ascii="Times New Roman" w:hAnsi="Times New Roman" w:cs="Times New Roman"/>
          <w:sz w:val="28"/>
          <w:szCs w:val="28"/>
          <w:lang w:val="uk-UA"/>
        </w:rPr>
        <w:t>[222]</w:t>
      </w:r>
      <w:r w:rsidRPr="007F7EB7">
        <w:rPr>
          <w:rFonts w:ascii="Times New Roman" w:hAnsi="Times New Roman" w:cs="Times New Roman"/>
          <w:sz w:val="28"/>
          <w:szCs w:val="28"/>
          <w:lang w:val="uk-UA"/>
        </w:rPr>
        <w:t>. Краще розуміння глобальної мобільності</w:t>
      </w:r>
      <w:r>
        <w:rPr>
          <w:rFonts w:ascii="Times New Roman" w:hAnsi="Times New Roman" w:cs="Times New Roman"/>
          <w:sz w:val="28"/>
          <w:szCs w:val="28"/>
          <w:lang w:val="uk-UA"/>
        </w:rPr>
        <w:t xml:space="preserve"> </w:t>
      </w:r>
      <w:r w:rsidRPr="007F7EB7">
        <w:rPr>
          <w:rFonts w:ascii="Times New Roman" w:hAnsi="Times New Roman" w:cs="Times New Roman"/>
          <w:sz w:val="28"/>
          <w:szCs w:val="28"/>
          <w:lang w:val="uk-UA"/>
        </w:rPr>
        <w:t>і глобальні таланти взаємодіють і працюють разом, щоб гарантувати, що співробітники з високим рівнем людського капіталу в усьому світі відповідають потребам у талантах у всій багатонаціональній мережі.</w:t>
      </w:r>
    </w:p>
    <w:p w14:paraId="4D6ADE59" w14:textId="77777777" w:rsidR="00571B42" w:rsidRPr="007F7EB7"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Нарешті, було б корисно краще зрозуміти інституційні та культурні чинники, які виявляються важливими в управлінні балансом між глобальною стандартизацією та місцевою адаптацією політики та практики GTM. Це суттєво просунуло б дискусію про найкращі практики в GTM, забезпечивши розуміння типів практик, які є більш </w:t>
      </w:r>
      <w:proofErr w:type="spellStart"/>
      <w:r w:rsidRPr="007F7EB7">
        <w:rPr>
          <w:rFonts w:ascii="Times New Roman" w:hAnsi="Times New Roman" w:cs="Times New Roman"/>
          <w:sz w:val="28"/>
          <w:szCs w:val="28"/>
          <w:lang w:val="uk-UA"/>
        </w:rPr>
        <w:t>глобально</w:t>
      </w:r>
      <w:proofErr w:type="spellEnd"/>
      <w:r w:rsidRPr="007F7EB7">
        <w:rPr>
          <w:rFonts w:ascii="Times New Roman" w:hAnsi="Times New Roman" w:cs="Times New Roman"/>
          <w:sz w:val="28"/>
          <w:szCs w:val="28"/>
          <w:lang w:val="uk-UA"/>
        </w:rPr>
        <w:t xml:space="preserve"> прийнятними та ефективними порівняно з тими, які вимагають більшого ступеня адаптації до місцевих культурних та інституційних норм. У більш широкому плані це забезпечить краще розуміння відмінностей у практиці талантів у різних національних контекстах.</w:t>
      </w:r>
    </w:p>
    <w:p w14:paraId="17E0E1B6" w14:textId="77777777" w:rsidR="00571B42" w:rsidRDefault="00571B42" w:rsidP="00571B42">
      <w:pPr>
        <w:spacing w:after="0" w:line="360" w:lineRule="auto"/>
        <w:ind w:firstLine="720"/>
        <w:jc w:val="both"/>
        <w:rPr>
          <w:rFonts w:ascii="Times New Roman" w:hAnsi="Times New Roman" w:cs="Times New Roman"/>
          <w:sz w:val="28"/>
          <w:szCs w:val="28"/>
          <w:lang w:val="uk-UA"/>
        </w:rPr>
      </w:pPr>
      <w:r w:rsidRPr="007F7EB7">
        <w:rPr>
          <w:rFonts w:ascii="Times New Roman" w:hAnsi="Times New Roman" w:cs="Times New Roman"/>
          <w:sz w:val="28"/>
          <w:szCs w:val="28"/>
          <w:lang w:val="uk-UA"/>
        </w:rPr>
        <w:t xml:space="preserve">На завершення ми знаходимося на захоплюючому етапі еволюції сфери </w:t>
      </w:r>
      <w:r>
        <w:rPr>
          <w:rFonts w:ascii="Times New Roman" w:hAnsi="Times New Roman" w:cs="Times New Roman"/>
          <w:sz w:val="28"/>
          <w:szCs w:val="28"/>
          <w:lang w:val="uk-UA"/>
        </w:rPr>
        <w:t>глобального управління талантами</w:t>
      </w:r>
      <w:r w:rsidRPr="007F7EB7">
        <w:rPr>
          <w:rFonts w:ascii="Times New Roman" w:hAnsi="Times New Roman" w:cs="Times New Roman"/>
          <w:sz w:val="28"/>
          <w:szCs w:val="28"/>
          <w:lang w:val="uk-UA"/>
        </w:rPr>
        <w:t xml:space="preserve">. Незважаючи на те, що для чіткого встановлення меж поля ще потрібно трохи попрацювати, ми не вважаємо, що єдине узгоджене визначення </w:t>
      </w:r>
      <w:r>
        <w:rPr>
          <w:rFonts w:ascii="Times New Roman" w:hAnsi="Times New Roman" w:cs="Times New Roman"/>
          <w:sz w:val="28"/>
          <w:szCs w:val="28"/>
          <w:lang w:val="uk-UA"/>
        </w:rPr>
        <w:t>глобального управління талантами</w:t>
      </w:r>
      <w:r w:rsidRPr="007F7EB7">
        <w:rPr>
          <w:rFonts w:ascii="Times New Roman" w:hAnsi="Times New Roman" w:cs="Times New Roman"/>
          <w:sz w:val="28"/>
          <w:szCs w:val="28"/>
          <w:lang w:val="uk-UA"/>
        </w:rPr>
        <w:t xml:space="preserve"> є обов’язковим. Проте існує як мінімум вимога до вчених і практиків чітко визначити, як вони використовують термінологію у своїй власній роботі. Очевидно, що існує значний інтерес до академічних досліджень, щоб інформувати практику та краще зрозуміти природу таланту </w:t>
      </w:r>
      <w:r>
        <w:rPr>
          <w:rFonts w:ascii="Times New Roman" w:hAnsi="Times New Roman" w:cs="Times New Roman"/>
          <w:sz w:val="28"/>
          <w:szCs w:val="28"/>
          <w:lang w:val="uk-UA"/>
        </w:rPr>
        <w:t>та його застосування в сучасних транснаціональних корпораціях</w:t>
      </w:r>
      <w:r w:rsidRPr="007F7EB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293FD3BE" w14:textId="77777777" w:rsidR="00571B42"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можна зробити висновки про те, що державні </w:t>
      </w:r>
      <w:r w:rsidRPr="006259E5">
        <w:rPr>
          <w:rFonts w:ascii="Times New Roman" w:hAnsi="Times New Roman" w:cs="Times New Roman"/>
          <w:sz w:val="28"/>
          <w:szCs w:val="28"/>
          <w:lang w:val="uk-UA"/>
        </w:rPr>
        <w:t xml:space="preserve">інституції відіграють певну роль у впровадженні національними компаніями широкомасштабної політики навчання та розвитку: </w:t>
      </w:r>
      <w:r>
        <w:rPr>
          <w:rFonts w:ascii="Times New Roman" w:hAnsi="Times New Roman" w:cs="Times New Roman"/>
          <w:sz w:val="28"/>
          <w:szCs w:val="28"/>
          <w:lang w:val="uk-UA"/>
        </w:rPr>
        <w:t xml:space="preserve">найчастіше саме великі міжнародні компанії можуть дозволити собі запропонувати своїм співробітникам кар’єрне зростання з елементами управління талантами. Виходячи з наведеного вище, культура в певному суспільстві реалізує значний вплив на корпоративну культуру в організаціях. Саме тому для проведеного дослідження ми орали різні країни для порівняння. Крім того, важливо </w:t>
      </w:r>
      <w:r>
        <w:rPr>
          <w:rFonts w:ascii="Times New Roman" w:hAnsi="Times New Roman" w:cs="Times New Roman"/>
          <w:sz w:val="28"/>
          <w:szCs w:val="28"/>
          <w:lang w:val="uk-UA"/>
        </w:rPr>
        <w:lastRenderedPageBreak/>
        <w:t xml:space="preserve">зазначити, що особливе місце у побудові кар’єри сучасного працівника займає управління талантами. Безумовним є той факт, що крім відділу з управління людськими ресурсами, який проводить підбір та відбір потенційних працівників, у практиці сьогодення талановиті співробітники також обирають сприятливі для них умови, в яких можливо побудувати свою успішну кар’єру. </w:t>
      </w:r>
    </w:p>
    <w:p w14:paraId="10AAE496" w14:textId="77777777" w:rsidR="00571B42" w:rsidRDefault="00571B42" w:rsidP="00571B42">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наведеному вище матеріалі можна знайти аналіз практик як великих міжнародних компаніях різних за рівнем розвитку економік світу, так і звичайних підприємств різних галузей промисловості. Наведена інформація зображає подібні тенденції розвитку та проблемні моменти у взаємодії як всередині організацій, так і за її межами. Але, щоб можна</w:t>
      </w:r>
      <w:r w:rsidRPr="006259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w:t>
      </w:r>
      <w:r w:rsidRPr="006259E5">
        <w:rPr>
          <w:rFonts w:ascii="Times New Roman" w:hAnsi="Times New Roman" w:cs="Times New Roman"/>
          <w:sz w:val="28"/>
          <w:szCs w:val="28"/>
          <w:lang w:val="uk-UA"/>
        </w:rPr>
        <w:t xml:space="preserve">зрозуміти подібності та відмінності між цими двома типами фірм, виявивши, що установи </w:t>
      </w:r>
      <w:r>
        <w:rPr>
          <w:rFonts w:ascii="Times New Roman" w:hAnsi="Times New Roman" w:cs="Times New Roman"/>
          <w:sz w:val="28"/>
          <w:szCs w:val="28"/>
          <w:lang w:val="uk-UA"/>
        </w:rPr>
        <w:t>кожної окремої</w:t>
      </w:r>
      <w:r w:rsidRPr="006259E5">
        <w:rPr>
          <w:rFonts w:ascii="Times New Roman" w:hAnsi="Times New Roman" w:cs="Times New Roman"/>
          <w:sz w:val="28"/>
          <w:szCs w:val="28"/>
          <w:lang w:val="uk-UA"/>
        </w:rPr>
        <w:t xml:space="preserve"> країни впливають на впровадження деяких із цих практик у </w:t>
      </w:r>
      <w:r>
        <w:rPr>
          <w:rFonts w:ascii="Times New Roman" w:hAnsi="Times New Roman" w:cs="Times New Roman"/>
          <w:sz w:val="28"/>
          <w:szCs w:val="28"/>
          <w:lang w:val="uk-UA"/>
        </w:rPr>
        <w:t>міжнародних компаніях</w:t>
      </w:r>
      <w:r w:rsidRPr="006259E5">
        <w:rPr>
          <w:rFonts w:ascii="Times New Roman" w:hAnsi="Times New Roman" w:cs="Times New Roman"/>
          <w:sz w:val="28"/>
          <w:szCs w:val="28"/>
          <w:lang w:val="uk-UA"/>
        </w:rPr>
        <w:t xml:space="preserve">. Ізоморфізм, </w:t>
      </w:r>
      <w:r>
        <w:rPr>
          <w:rFonts w:ascii="Times New Roman" w:hAnsi="Times New Roman" w:cs="Times New Roman"/>
          <w:sz w:val="28"/>
          <w:szCs w:val="28"/>
          <w:lang w:val="uk-UA"/>
        </w:rPr>
        <w:t>виходячи із досліджень наведених авторів</w:t>
      </w:r>
      <w:r w:rsidRPr="006259E5">
        <w:rPr>
          <w:rFonts w:ascii="Times New Roman" w:hAnsi="Times New Roman" w:cs="Times New Roman"/>
          <w:sz w:val="28"/>
          <w:szCs w:val="28"/>
          <w:lang w:val="uk-UA"/>
        </w:rPr>
        <w:t xml:space="preserve">, впливає на деякі практики управління персоналом у </w:t>
      </w:r>
      <w:r>
        <w:rPr>
          <w:rFonts w:ascii="Times New Roman" w:hAnsi="Times New Roman" w:cs="Times New Roman"/>
          <w:sz w:val="28"/>
          <w:szCs w:val="28"/>
          <w:lang w:val="uk-UA"/>
        </w:rPr>
        <w:t>міжнародних компаніях</w:t>
      </w:r>
      <w:r w:rsidRPr="006259E5">
        <w:rPr>
          <w:rFonts w:ascii="Times New Roman" w:hAnsi="Times New Roman" w:cs="Times New Roman"/>
          <w:sz w:val="28"/>
          <w:szCs w:val="28"/>
          <w:lang w:val="uk-UA"/>
        </w:rPr>
        <w:t>. Таким чином, не спостерігалося жодних статистично значущих відмінностей мі</w:t>
      </w:r>
      <w:r>
        <w:rPr>
          <w:rFonts w:ascii="Times New Roman" w:hAnsi="Times New Roman" w:cs="Times New Roman"/>
          <w:sz w:val="28"/>
          <w:szCs w:val="28"/>
          <w:lang w:val="uk-UA"/>
        </w:rPr>
        <w:t>ж двома типами фірм щодо</w:t>
      </w:r>
      <w:r w:rsidRPr="006259E5">
        <w:rPr>
          <w:rFonts w:ascii="Times New Roman" w:hAnsi="Times New Roman" w:cs="Times New Roman"/>
          <w:sz w:val="28"/>
          <w:szCs w:val="28"/>
          <w:lang w:val="uk-UA"/>
        </w:rPr>
        <w:t xml:space="preserve"> </w:t>
      </w:r>
      <w:r>
        <w:rPr>
          <w:rFonts w:ascii="Times New Roman" w:hAnsi="Times New Roman" w:cs="Times New Roman"/>
          <w:sz w:val="28"/>
          <w:szCs w:val="28"/>
          <w:lang w:val="uk-UA"/>
        </w:rPr>
        <w:t>вибіркового найму і відбору та</w:t>
      </w:r>
      <w:r w:rsidRPr="006259E5">
        <w:rPr>
          <w:rFonts w:ascii="Times New Roman" w:hAnsi="Times New Roman" w:cs="Times New Roman"/>
          <w:sz w:val="28"/>
          <w:szCs w:val="28"/>
          <w:lang w:val="uk-UA"/>
        </w:rPr>
        <w:t xml:space="preserve"> залучення та участі працівників. </w:t>
      </w:r>
      <w:r>
        <w:rPr>
          <w:rFonts w:ascii="Times New Roman" w:hAnsi="Times New Roman" w:cs="Times New Roman"/>
          <w:sz w:val="28"/>
          <w:szCs w:val="28"/>
          <w:lang w:val="uk-UA"/>
        </w:rPr>
        <w:t>Оцінка та аналіз</w:t>
      </w:r>
      <w:r w:rsidRPr="006259E5">
        <w:rPr>
          <w:rFonts w:ascii="Times New Roman" w:hAnsi="Times New Roman" w:cs="Times New Roman"/>
          <w:sz w:val="28"/>
          <w:szCs w:val="28"/>
          <w:lang w:val="uk-UA"/>
        </w:rPr>
        <w:t xml:space="preserve"> ефективності більш імовірно будуть використовуватися статистично значущим чином </w:t>
      </w:r>
      <w:r>
        <w:rPr>
          <w:rFonts w:ascii="Times New Roman" w:hAnsi="Times New Roman" w:cs="Times New Roman"/>
          <w:sz w:val="28"/>
          <w:szCs w:val="28"/>
          <w:lang w:val="uk-UA"/>
        </w:rPr>
        <w:t>міжнародними компаніями</w:t>
      </w:r>
      <w:r w:rsidRPr="006259E5">
        <w:rPr>
          <w:rFonts w:ascii="Times New Roman" w:hAnsi="Times New Roman" w:cs="Times New Roman"/>
          <w:sz w:val="28"/>
          <w:szCs w:val="28"/>
          <w:lang w:val="uk-UA"/>
        </w:rPr>
        <w:t xml:space="preserve">. Дотримуючись </w:t>
      </w:r>
      <w:r>
        <w:rPr>
          <w:rFonts w:ascii="Times New Roman" w:hAnsi="Times New Roman" w:cs="Times New Roman"/>
          <w:sz w:val="28"/>
          <w:szCs w:val="28"/>
          <w:lang w:val="uk-UA"/>
        </w:rPr>
        <w:t>певн</w:t>
      </w:r>
      <w:r w:rsidRPr="006259E5">
        <w:rPr>
          <w:rFonts w:ascii="Times New Roman" w:hAnsi="Times New Roman" w:cs="Times New Roman"/>
          <w:sz w:val="28"/>
          <w:szCs w:val="28"/>
          <w:lang w:val="uk-UA"/>
        </w:rPr>
        <w:t xml:space="preserve">их соціальних норм, </w:t>
      </w:r>
      <w:r>
        <w:rPr>
          <w:rFonts w:ascii="Times New Roman" w:hAnsi="Times New Roman" w:cs="Times New Roman"/>
          <w:sz w:val="28"/>
          <w:szCs w:val="28"/>
          <w:lang w:val="uk-UA"/>
        </w:rPr>
        <w:t>компанії</w:t>
      </w:r>
      <w:r w:rsidRPr="006259E5">
        <w:rPr>
          <w:rFonts w:ascii="Times New Roman" w:hAnsi="Times New Roman" w:cs="Times New Roman"/>
          <w:sz w:val="28"/>
          <w:szCs w:val="28"/>
          <w:lang w:val="uk-UA"/>
        </w:rPr>
        <w:t xml:space="preserve">, </w:t>
      </w:r>
      <w:r>
        <w:rPr>
          <w:rFonts w:ascii="Times New Roman" w:hAnsi="Times New Roman" w:cs="Times New Roman"/>
          <w:sz w:val="28"/>
          <w:szCs w:val="28"/>
          <w:lang w:val="uk-UA"/>
        </w:rPr>
        <w:t>виходячи із наведених даних</w:t>
      </w:r>
      <w:r w:rsidRPr="006259E5">
        <w:rPr>
          <w:rFonts w:ascii="Times New Roman" w:hAnsi="Times New Roman" w:cs="Times New Roman"/>
          <w:sz w:val="28"/>
          <w:szCs w:val="28"/>
          <w:lang w:val="uk-UA"/>
        </w:rPr>
        <w:t>, менш зацікавлені в суворому впровадженні п</w:t>
      </w:r>
      <w:r>
        <w:rPr>
          <w:rFonts w:ascii="Times New Roman" w:hAnsi="Times New Roman" w:cs="Times New Roman"/>
          <w:sz w:val="28"/>
          <w:szCs w:val="28"/>
          <w:lang w:val="uk-UA"/>
        </w:rPr>
        <w:t xml:space="preserve">рактики перевірки ефективності. </w:t>
      </w:r>
    </w:p>
    <w:p w14:paraId="071009B0" w14:textId="77777777" w:rsidR="00571B42" w:rsidRPr="006259E5" w:rsidRDefault="00571B42" w:rsidP="00571B42">
      <w:pPr>
        <w:spacing w:after="0" w:line="360" w:lineRule="auto"/>
        <w:ind w:firstLine="720"/>
        <w:jc w:val="both"/>
        <w:rPr>
          <w:rFonts w:ascii="Times New Roman" w:hAnsi="Times New Roman" w:cs="Times New Roman"/>
          <w:sz w:val="28"/>
          <w:szCs w:val="28"/>
          <w:lang w:val="uk-UA"/>
        </w:rPr>
      </w:pPr>
      <w:r w:rsidRPr="006259E5">
        <w:rPr>
          <w:rFonts w:ascii="Times New Roman" w:hAnsi="Times New Roman" w:cs="Times New Roman"/>
          <w:sz w:val="28"/>
          <w:szCs w:val="28"/>
          <w:lang w:val="uk-UA"/>
        </w:rPr>
        <w:t xml:space="preserve">Важливим аргументом нашого дослідження було те, що високоефективна модель HRM отримала інституційний статус як найкраща модель США. Це спонукало деякі фірми по всьому світу організувати свою практику </w:t>
      </w:r>
      <w:r>
        <w:rPr>
          <w:rFonts w:ascii="Times New Roman" w:hAnsi="Times New Roman" w:cs="Times New Roman"/>
          <w:sz w:val="28"/>
          <w:szCs w:val="28"/>
          <w:lang w:val="uk-UA"/>
        </w:rPr>
        <w:t>управління людськими ресурсами</w:t>
      </w:r>
      <w:r w:rsidRPr="006259E5">
        <w:rPr>
          <w:rFonts w:ascii="Times New Roman" w:hAnsi="Times New Roman" w:cs="Times New Roman"/>
          <w:sz w:val="28"/>
          <w:szCs w:val="28"/>
          <w:lang w:val="uk-UA"/>
        </w:rPr>
        <w:t xml:space="preserve"> за моделями </w:t>
      </w:r>
      <w:r w:rsidRPr="00481AC2">
        <w:rPr>
          <w:rFonts w:ascii="Times New Roman" w:hAnsi="Times New Roman" w:cs="Times New Roman"/>
          <w:sz w:val="28"/>
          <w:szCs w:val="28"/>
          <w:lang w:val="uk-UA"/>
        </w:rPr>
        <w:t>високопродуктивн</w:t>
      </w:r>
      <w:r>
        <w:rPr>
          <w:rFonts w:ascii="Times New Roman" w:hAnsi="Times New Roman" w:cs="Times New Roman"/>
          <w:sz w:val="28"/>
          <w:szCs w:val="28"/>
          <w:lang w:val="uk-UA"/>
        </w:rPr>
        <w:t>ої</w:t>
      </w:r>
      <w:r w:rsidRPr="00481AC2">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Pr="00481AC2">
        <w:rPr>
          <w:rFonts w:ascii="Times New Roman" w:hAnsi="Times New Roman" w:cs="Times New Roman"/>
          <w:sz w:val="28"/>
          <w:szCs w:val="28"/>
          <w:lang w:val="uk-UA"/>
        </w:rPr>
        <w:t xml:space="preserve"> роботи</w:t>
      </w:r>
      <w:r w:rsidRPr="006259E5">
        <w:rPr>
          <w:rFonts w:ascii="Times New Roman" w:hAnsi="Times New Roman" w:cs="Times New Roman"/>
          <w:sz w:val="28"/>
          <w:szCs w:val="28"/>
          <w:lang w:val="uk-UA"/>
        </w:rPr>
        <w:t xml:space="preserve">. Проте чи має модель, що сягає своїм корінням в інститути США, універсалістську привабливість? Чи приймають фірми в інших установах модель </w:t>
      </w:r>
      <w:r w:rsidRPr="00481AC2">
        <w:rPr>
          <w:rFonts w:ascii="Times New Roman" w:hAnsi="Times New Roman" w:cs="Times New Roman"/>
          <w:sz w:val="28"/>
          <w:szCs w:val="28"/>
          <w:lang w:val="uk-UA"/>
        </w:rPr>
        <w:t>високопродуктивн</w:t>
      </w:r>
      <w:r>
        <w:rPr>
          <w:rFonts w:ascii="Times New Roman" w:hAnsi="Times New Roman" w:cs="Times New Roman"/>
          <w:sz w:val="28"/>
          <w:szCs w:val="28"/>
          <w:lang w:val="uk-UA"/>
        </w:rPr>
        <w:t>ої</w:t>
      </w:r>
      <w:r w:rsidRPr="00481AC2">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Pr="00481AC2">
        <w:rPr>
          <w:rFonts w:ascii="Times New Roman" w:hAnsi="Times New Roman" w:cs="Times New Roman"/>
          <w:sz w:val="28"/>
          <w:szCs w:val="28"/>
          <w:lang w:val="uk-UA"/>
        </w:rPr>
        <w:t xml:space="preserve"> роботи</w:t>
      </w:r>
      <w:r w:rsidRPr="006259E5">
        <w:rPr>
          <w:rFonts w:ascii="Times New Roman" w:hAnsi="Times New Roman" w:cs="Times New Roman"/>
          <w:sz w:val="28"/>
          <w:szCs w:val="28"/>
          <w:lang w:val="uk-UA"/>
        </w:rPr>
        <w:t xml:space="preserve"> як найкращу практику? </w:t>
      </w:r>
      <w:r>
        <w:rPr>
          <w:rFonts w:ascii="Times New Roman" w:hAnsi="Times New Roman" w:cs="Times New Roman"/>
          <w:sz w:val="28"/>
          <w:szCs w:val="28"/>
          <w:lang w:val="uk-UA"/>
        </w:rPr>
        <w:t>Під час аналізу літературних джерел за останні тридцять (а в деяких випадках, за потреби, і більше років) не було знайдено</w:t>
      </w:r>
      <w:r w:rsidRPr="006259E5">
        <w:rPr>
          <w:rFonts w:ascii="Times New Roman" w:hAnsi="Times New Roman" w:cs="Times New Roman"/>
          <w:sz w:val="28"/>
          <w:szCs w:val="28"/>
          <w:lang w:val="uk-UA"/>
        </w:rPr>
        <w:t xml:space="preserve"> жодних доказів повного зближення з американською моделлю </w:t>
      </w:r>
      <w:r w:rsidRPr="00481AC2">
        <w:rPr>
          <w:rFonts w:ascii="Times New Roman" w:hAnsi="Times New Roman" w:cs="Times New Roman"/>
          <w:sz w:val="28"/>
          <w:szCs w:val="28"/>
          <w:lang w:val="uk-UA"/>
        </w:rPr>
        <w:t>високопродуктивн</w:t>
      </w:r>
      <w:r>
        <w:rPr>
          <w:rFonts w:ascii="Times New Roman" w:hAnsi="Times New Roman" w:cs="Times New Roman"/>
          <w:sz w:val="28"/>
          <w:szCs w:val="28"/>
          <w:lang w:val="uk-UA"/>
        </w:rPr>
        <w:t>ої</w:t>
      </w:r>
      <w:r w:rsidRPr="00481AC2">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Pr="00481AC2">
        <w:rPr>
          <w:rFonts w:ascii="Times New Roman" w:hAnsi="Times New Roman" w:cs="Times New Roman"/>
          <w:sz w:val="28"/>
          <w:szCs w:val="28"/>
          <w:lang w:val="uk-UA"/>
        </w:rPr>
        <w:t xml:space="preserve"> роботи</w:t>
      </w:r>
      <w:r w:rsidRPr="006259E5">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міжнародних </w:t>
      </w:r>
      <w:r>
        <w:rPr>
          <w:rFonts w:ascii="Times New Roman" w:hAnsi="Times New Roman" w:cs="Times New Roman"/>
          <w:sz w:val="28"/>
          <w:szCs w:val="28"/>
          <w:lang w:val="uk-UA"/>
        </w:rPr>
        <w:lastRenderedPageBreak/>
        <w:t>корпораціях</w:t>
      </w:r>
      <w:r w:rsidRPr="006259E5">
        <w:rPr>
          <w:rFonts w:ascii="Times New Roman" w:hAnsi="Times New Roman" w:cs="Times New Roman"/>
          <w:sz w:val="28"/>
          <w:szCs w:val="28"/>
          <w:lang w:val="uk-UA"/>
        </w:rPr>
        <w:t xml:space="preserve">. Вивчення окремих </w:t>
      </w:r>
      <w:r>
        <w:rPr>
          <w:rFonts w:ascii="Times New Roman" w:hAnsi="Times New Roman" w:cs="Times New Roman"/>
          <w:sz w:val="28"/>
          <w:szCs w:val="28"/>
          <w:lang w:val="uk-UA"/>
        </w:rPr>
        <w:t>кейсів щодо побудови кар’єри та управління талантами в певних високорозвинених країнах</w:t>
      </w:r>
      <w:r w:rsidRPr="006259E5">
        <w:rPr>
          <w:rFonts w:ascii="Times New Roman" w:hAnsi="Times New Roman" w:cs="Times New Roman"/>
          <w:sz w:val="28"/>
          <w:szCs w:val="28"/>
          <w:lang w:val="uk-UA"/>
        </w:rPr>
        <w:t xml:space="preserve"> у нашому випадку допомогло відокремити практики, які були більш локалізовані </w:t>
      </w:r>
      <w:r>
        <w:rPr>
          <w:rFonts w:ascii="Times New Roman" w:hAnsi="Times New Roman" w:cs="Times New Roman"/>
          <w:sz w:val="28"/>
          <w:szCs w:val="28"/>
          <w:lang w:val="uk-UA"/>
        </w:rPr>
        <w:t>міжнародними компаніями</w:t>
      </w:r>
      <w:r w:rsidRPr="006259E5">
        <w:rPr>
          <w:rFonts w:ascii="Times New Roman" w:hAnsi="Times New Roman" w:cs="Times New Roman"/>
          <w:sz w:val="28"/>
          <w:szCs w:val="28"/>
          <w:lang w:val="uk-UA"/>
        </w:rPr>
        <w:t>, і ті, які були інтегровані в найкраща модель США. Хоча нашою основою для порівняння бу</w:t>
      </w:r>
      <w:r>
        <w:rPr>
          <w:rFonts w:ascii="Times New Roman" w:hAnsi="Times New Roman" w:cs="Times New Roman"/>
          <w:sz w:val="28"/>
          <w:szCs w:val="28"/>
          <w:lang w:val="uk-UA"/>
        </w:rPr>
        <w:t>в</w:t>
      </w:r>
      <w:r w:rsidRPr="006259E5">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481AC2">
        <w:rPr>
          <w:rFonts w:ascii="Times New Roman" w:hAnsi="Times New Roman" w:cs="Times New Roman"/>
          <w:sz w:val="28"/>
          <w:szCs w:val="28"/>
          <w:lang w:val="uk-UA"/>
        </w:rPr>
        <w:t>онвергентний підхід до успішної кар’єри як напрям управління персоналом підприємства</w:t>
      </w:r>
      <w:r w:rsidRPr="006259E5">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w:t>
      </w:r>
      <w:r w:rsidRPr="006259E5">
        <w:rPr>
          <w:rFonts w:ascii="Times New Roman" w:hAnsi="Times New Roman" w:cs="Times New Roman"/>
          <w:sz w:val="28"/>
          <w:szCs w:val="28"/>
          <w:lang w:val="uk-UA"/>
        </w:rPr>
        <w:t xml:space="preserve"> знай</w:t>
      </w:r>
      <w:r>
        <w:rPr>
          <w:rFonts w:ascii="Times New Roman" w:hAnsi="Times New Roman" w:cs="Times New Roman"/>
          <w:sz w:val="28"/>
          <w:szCs w:val="28"/>
          <w:lang w:val="uk-UA"/>
        </w:rPr>
        <w:t>дено достатньо доказів на</w:t>
      </w:r>
      <w:r w:rsidRPr="006259E5">
        <w:rPr>
          <w:rFonts w:ascii="Times New Roman" w:hAnsi="Times New Roman" w:cs="Times New Roman"/>
          <w:sz w:val="28"/>
          <w:szCs w:val="28"/>
          <w:lang w:val="uk-UA"/>
        </w:rPr>
        <w:t xml:space="preserve"> підтримку перспективи </w:t>
      </w:r>
      <w:r>
        <w:rPr>
          <w:rFonts w:ascii="Times New Roman" w:hAnsi="Times New Roman" w:cs="Times New Roman"/>
          <w:sz w:val="28"/>
          <w:szCs w:val="28"/>
          <w:lang w:val="uk-UA"/>
        </w:rPr>
        <w:t xml:space="preserve">її розвитку та актуальності в дискусійній риториці сучасних науковців всього світу. Результати проведеного дослідження підтверджують </w:t>
      </w:r>
      <w:r w:rsidRPr="006259E5">
        <w:rPr>
          <w:rFonts w:ascii="Times New Roman" w:hAnsi="Times New Roman" w:cs="Times New Roman"/>
          <w:sz w:val="28"/>
          <w:szCs w:val="28"/>
          <w:lang w:val="uk-UA"/>
        </w:rPr>
        <w:t>аргумент</w:t>
      </w:r>
      <w:r>
        <w:rPr>
          <w:rFonts w:ascii="Times New Roman" w:hAnsi="Times New Roman" w:cs="Times New Roman"/>
          <w:sz w:val="28"/>
          <w:szCs w:val="28"/>
          <w:lang w:val="uk-UA"/>
        </w:rPr>
        <w:t xml:space="preserve"> про те</w:t>
      </w:r>
      <w:r w:rsidRPr="006259E5">
        <w:rPr>
          <w:rFonts w:ascii="Times New Roman" w:hAnsi="Times New Roman" w:cs="Times New Roman"/>
          <w:sz w:val="28"/>
          <w:szCs w:val="28"/>
          <w:lang w:val="uk-UA"/>
        </w:rPr>
        <w:t xml:space="preserve">, що </w:t>
      </w:r>
      <w:r>
        <w:rPr>
          <w:rFonts w:ascii="Times New Roman" w:hAnsi="Times New Roman" w:cs="Times New Roman"/>
          <w:sz w:val="28"/>
          <w:szCs w:val="28"/>
          <w:lang w:val="uk-UA"/>
        </w:rPr>
        <w:t>в практиці сьогодення підприємств різних сфер діяльності існують відмінні механізми побудови кар’єри на основі важелів управління</w:t>
      </w:r>
      <w:r w:rsidRPr="006259E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людськими ресурсами та талантами, які підпорядковуються </w:t>
      </w:r>
      <w:r w:rsidRPr="006259E5">
        <w:rPr>
          <w:rFonts w:ascii="Times New Roman" w:hAnsi="Times New Roman" w:cs="Times New Roman"/>
          <w:sz w:val="28"/>
          <w:szCs w:val="28"/>
          <w:lang w:val="uk-UA"/>
        </w:rPr>
        <w:t xml:space="preserve">різноманітним інституційним, особливо нормативним, тискам як з боку </w:t>
      </w:r>
      <w:r>
        <w:rPr>
          <w:rFonts w:ascii="Times New Roman" w:hAnsi="Times New Roman" w:cs="Times New Roman"/>
          <w:sz w:val="28"/>
          <w:szCs w:val="28"/>
          <w:lang w:val="uk-UA"/>
        </w:rPr>
        <w:t>відділу кадрів</w:t>
      </w:r>
      <w:r w:rsidRPr="006259E5">
        <w:rPr>
          <w:rFonts w:ascii="Times New Roman" w:hAnsi="Times New Roman" w:cs="Times New Roman"/>
          <w:sz w:val="28"/>
          <w:szCs w:val="28"/>
          <w:lang w:val="uk-UA"/>
        </w:rPr>
        <w:t xml:space="preserve">, так і </w:t>
      </w:r>
      <w:r>
        <w:rPr>
          <w:rFonts w:ascii="Times New Roman" w:hAnsi="Times New Roman" w:cs="Times New Roman"/>
          <w:sz w:val="28"/>
          <w:szCs w:val="28"/>
          <w:lang w:val="uk-UA"/>
        </w:rPr>
        <w:t>керівництва компанії</w:t>
      </w:r>
      <w:r w:rsidRPr="006259E5">
        <w:rPr>
          <w:rFonts w:ascii="Times New Roman" w:hAnsi="Times New Roman" w:cs="Times New Roman"/>
          <w:sz w:val="28"/>
          <w:szCs w:val="28"/>
          <w:lang w:val="uk-UA"/>
        </w:rPr>
        <w:t>.</w:t>
      </w:r>
    </w:p>
    <w:p w14:paraId="0D506B73" w14:textId="77777777" w:rsidR="00571B42" w:rsidRPr="006259E5" w:rsidRDefault="00571B42" w:rsidP="00571B42">
      <w:pPr>
        <w:spacing w:after="0" w:line="360" w:lineRule="auto"/>
        <w:ind w:firstLine="720"/>
        <w:jc w:val="both"/>
        <w:rPr>
          <w:rFonts w:ascii="Times New Roman" w:hAnsi="Times New Roman" w:cs="Times New Roman"/>
          <w:sz w:val="28"/>
          <w:szCs w:val="28"/>
          <w:lang w:val="uk-UA"/>
        </w:rPr>
      </w:pPr>
      <w:r w:rsidRPr="006259E5">
        <w:rPr>
          <w:rFonts w:ascii="Times New Roman" w:hAnsi="Times New Roman" w:cs="Times New Roman"/>
          <w:sz w:val="28"/>
          <w:szCs w:val="28"/>
          <w:lang w:val="uk-UA"/>
        </w:rPr>
        <w:t xml:space="preserve">Наші висновки мають деякі практичні </w:t>
      </w:r>
      <w:r>
        <w:rPr>
          <w:rFonts w:ascii="Times New Roman" w:hAnsi="Times New Roman" w:cs="Times New Roman"/>
          <w:sz w:val="28"/>
          <w:szCs w:val="28"/>
          <w:lang w:val="uk-UA"/>
        </w:rPr>
        <w:t>рекомендації</w:t>
      </w:r>
      <w:r w:rsidRPr="006259E5">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міжнародних </w:t>
      </w:r>
      <w:r w:rsidRPr="006259E5">
        <w:rPr>
          <w:rFonts w:ascii="Times New Roman" w:hAnsi="Times New Roman" w:cs="Times New Roman"/>
          <w:sz w:val="28"/>
          <w:szCs w:val="28"/>
          <w:lang w:val="uk-UA"/>
        </w:rPr>
        <w:t xml:space="preserve">компаній. Вони можуть допомогти менеджерам </w:t>
      </w:r>
      <w:r>
        <w:rPr>
          <w:rFonts w:ascii="Times New Roman" w:hAnsi="Times New Roman" w:cs="Times New Roman"/>
          <w:sz w:val="28"/>
          <w:szCs w:val="28"/>
          <w:lang w:val="uk-UA"/>
        </w:rPr>
        <w:t xml:space="preserve">різних ієрархічних рівнів </w:t>
      </w:r>
      <w:r w:rsidRPr="006259E5">
        <w:rPr>
          <w:rFonts w:ascii="Times New Roman" w:hAnsi="Times New Roman" w:cs="Times New Roman"/>
          <w:sz w:val="28"/>
          <w:szCs w:val="28"/>
          <w:lang w:val="uk-UA"/>
        </w:rPr>
        <w:t xml:space="preserve">краще зрозуміти ситуацію в місцевому контексті та їхню позицію по відношенню до </w:t>
      </w:r>
      <w:r>
        <w:rPr>
          <w:rFonts w:ascii="Times New Roman" w:hAnsi="Times New Roman" w:cs="Times New Roman"/>
          <w:sz w:val="28"/>
          <w:szCs w:val="28"/>
          <w:lang w:val="uk-UA"/>
        </w:rPr>
        <w:t xml:space="preserve">моделі </w:t>
      </w:r>
      <w:r w:rsidRPr="00481AC2">
        <w:rPr>
          <w:rFonts w:ascii="Times New Roman" w:hAnsi="Times New Roman" w:cs="Times New Roman"/>
          <w:sz w:val="28"/>
          <w:szCs w:val="28"/>
          <w:lang w:val="uk-UA"/>
        </w:rPr>
        <w:t>високопродуктивн</w:t>
      </w:r>
      <w:r>
        <w:rPr>
          <w:rFonts w:ascii="Times New Roman" w:hAnsi="Times New Roman" w:cs="Times New Roman"/>
          <w:sz w:val="28"/>
          <w:szCs w:val="28"/>
          <w:lang w:val="uk-UA"/>
        </w:rPr>
        <w:t>ої</w:t>
      </w:r>
      <w:r w:rsidRPr="00481AC2">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Pr="00481AC2">
        <w:rPr>
          <w:rFonts w:ascii="Times New Roman" w:hAnsi="Times New Roman" w:cs="Times New Roman"/>
          <w:sz w:val="28"/>
          <w:szCs w:val="28"/>
          <w:lang w:val="uk-UA"/>
        </w:rPr>
        <w:t xml:space="preserve"> роботи</w:t>
      </w:r>
      <w:r w:rsidRPr="006259E5">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Pr="006259E5">
        <w:rPr>
          <w:rFonts w:ascii="Times New Roman" w:hAnsi="Times New Roman" w:cs="Times New Roman"/>
          <w:sz w:val="28"/>
          <w:szCs w:val="28"/>
          <w:lang w:val="uk-UA"/>
        </w:rPr>
        <w:t xml:space="preserve"> подібним чином місцевим менеджерам встановити свої орієнтири для оцінки статусу </w:t>
      </w:r>
      <w:r>
        <w:rPr>
          <w:rFonts w:ascii="Times New Roman" w:hAnsi="Times New Roman" w:cs="Times New Roman"/>
          <w:sz w:val="28"/>
          <w:szCs w:val="28"/>
          <w:lang w:val="uk-UA"/>
        </w:rPr>
        <w:t>відділу з управління людськими ресурсами</w:t>
      </w:r>
      <w:r w:rsidRPr="006259E5">
        <w:rPr>
          <w:rFonts w:ascii="Times New Roman" w:hAnsi="Times New Roman" w:cs="Times New Roman"/>
          <w:sz w:val="28"/>
          <w:szCs w:val="28"/>
          <w:lang w:val="uk-UA"/>
        </w:rPr>
        <w:t xml:space="preserve"> та </w:t>
      </w:r>
      <w:r>
        <w:rPr>
          <w:rFonts w:ascii="Times New Roman" w:hAnsi="Times New Roman" w:cs="Times New Roman"/>
          <w:sz w:val="28"/>
          <w:szCs w:val="28"/>
          <w:lang w:val="uk-UA"/>
        </w:rPr>
        <w:t>талантами (якщо такий вже є організованим на певному підприємстві або його функції виконує певна людина з відповідними знаннями, навичками та компетенціями)</w:t>
      </w:r>
      <w:r w:rsidRPr="006259E5">
        <w:rPr>
          <w:rFonts w:ascii="Times New Roman" w:hAnsi="Times New Roman" w:cs="Times New Roman"/>
          <w:sz w:val="28"/>
          <w:szCs w:val="28"/>
          <w:lang w:val="uk-UA"/>
        </w:rPr>
        <w:t xml:space="preserve"> порівняно з </w:t>
      </w:r>
      <w:r>
        <w:rPr>
          <w:rFonts w:ascii="Times New Roman" w:hAnsi="Times New Roman" w:cs="Times New Roman"/>
          <w:sz w:val="28"/>
          <w:szCs w:val="28"/>
          <w:lang w:val="uk-UA"/>
        </w:rPr>
        <w:t xml:space="preserve">попереднім періодом. </w:t>
      </w:r>
      <w:r w:rsidRPr="006259E5">
        <w:rPr>
          <w:rFonts w:ascii="Times New Roman" w:hAnsi="Times New Roman" w:cs="Times New Roman"/>
          <w:sz w:val="28"/>
          <w:szCs w:val="28"/>
          <w:lang w:val="uk-UA"/>
        </w:rPr>
        <w:t xml:space="preserve">Існує сильне переважання конвергенції в компаніях, які застосовують </w:t>
      </w:r>
      <w:proofErr w:type="spellStart"/>
      <w:r w:rsidRPr="006259E5">
        <w:rPr>
          <w:rFonts w:ascii="Times New Roman" w:hAnsi="Times New Roman" w:cs="Times New Roman"/>
          <w:sz w:val="28"/>
          <w:szCs w:val="28"/>
          <w:lang w:val="uk-UA"/>
        </w:rPr>
        <w:t>етноцентричний</w:t>
      </w:r>
      <w:proofErr w:type="spellEnd"/>
      <w:r w:rsidRPr="006259E5">
        <w:rPr>
          <w:rFonts w:ascii="Times New Roman" w:hAnsi="Times New Roman" w:cs="Times New Roman"/>
          <w:sz w:val="28"/>
          <w:szCs w:val="28"/>
          <w:lang w:val="uk-UA"/>
        </w:rPr>
        <w:t xml:space="preserve"> підхід, тоді як компанії з поліцентричним або </w:t>
      </w:r>
      <w:r>
        <w:rPr>
          <w:rFonts w:ascii="Times New Roman" w:hAnsi="Times New Roman" w:cs="Times New Roman"/>
          <w:sz w:val="28"/>
          <w:szCs w:val="28"/>
          <w:lang w:val="uk-UA"/>
        </w:rPr>
        <w:t>міжнарод</w:t>
      </w:r>
      <w:r w:rsidRPr="006259E5">
        <w:rPr>
          <w:rFonts w:ascii="Times New Roman" w:hAnsi="Times New Roman" w:cs="Times New Roman"/>
          <w:sz w:val="28"/>
          <w:szCs w:val="28"/>
          <w:lang w:val="uk-UA"/>
        </w:rPr>
        <w:t xml:space="preserve">ним підходом більш схильні до поєднання конвергенції та дивергенції. Чиста дивергенція має найслабше представництво серед опитаних компаній. Як ми зазначали в теоретичній частині, повна конвергенція або розбіжність на практиці практично відсутня. Ось чому </w:t>
      </w:r>
      <w:r>
        <w:rPr>
          <w:rFonts w:ascii="Times New Roman" w:hAnsi="Times New Roman" w:cs="Times New Roman"/>
          <w:sz w:val="28"/>
          <w:szCs w:val="28"/>
          <w:lang w:val="uk-UA"/>
        </w:rPr>
        <w:t>автори, аналіз чиїх робіт представлений в нашому досліджені,</w:t>
      </w:r>
      <w:r w:rsidRPr="006259E5">
        <w:rPr>
          <w:rFonts w:ascii="Times New Roman" w:hAnsi="Times New Roman" w:cs="Times New Roman"/>
          <w:sz w:val="28"/>
          <w:szCs w:val="28"/>
          <w:lang w:val="uk-UA"/>
        </w:rPr>
        <w:t xml:space="preserve"> стверджу</w:t>
      </w:r>
      <w:r>
        <w:rPr>
          <w:rFonts w:ascii="Times New Roman" w:hAnsi="Times New Roman" w:cs="Times New Roman"/>
          <w:sz w:val="28"/>
          <w:szCs w:val="28"/>
          <w:lang w:val="uk-UA"/>
        </w:rPr>
        <w:t xml:space="preserve">ють, </w:t>
      </w:r>
      <w:r w:rsidRPr="006259E5">
        <w:rPr>
          <w:rFonts w:ascii="Times New Roman" w:hAnsi="Times New Roman" w:cs="Times New Roman"/>
          <w:sz w:val="28"/>
          <w:szCs w:val="28"/>
          <w:lang w:val="uk-UA"/>
        </w:rPr>
        <w:t xml:space="preserve">що поєднання обох буде найімовірнішим вибором менеджерів </w:t>
      </w:r>
      <w:r>
        <w:rPr>
          <w:rFonts w:ascii="Times New Roman" w:hAnsi="Times New Roman" w:cs="Times New Roman"/>
          <w:sz w:val="28"/>
          <w:szCs w:val="28"/>
          <w:lang w:val="uk-UA"/>
        </w:rPr>
        <w:t>міжнарод</w:t>
      </w:r>
      <w:r w:rsidRPr="006259E5">
        <w:rPr>
          <w:rFonts w:ascii="Times New Roman" w:hAnsi="Times New Roman" w:cs="Times New Roman"/>
          <w:sz w:val="28"/>
          <w:szCs w:val="28"/>
          <w:lang w:val="uk-UA"/>
        </w:rPr>
        <w:t xml:space="preserve">них компаній </w:t>
      </w:r>
      <w:r>
        <w:rPr>
          <w:rFonts w:ascii="Times New Roman" w:hAnsi="Times New Roman" w:cs="Times New Roman"/>
          <w:sz w:val="28"/>
          <w:szCs w:val="28"/>
          <w:lang w:val="uk-UA"/>
        </w:rPr>
        <w:t>в</w:t>
      </w:r>
      <w:r w:rsidRPr="006259E5">
        <w:rPr>
          <w:rFonts w:ascii="Times New Roman" w:hAnsi="Times New Roman" w:cs="Times New Roman"/>
          <w:sz w:val="28"/>
          <w:szCs w:val="28"/>
          <w:lang w:val="uk-UA"/>
        </w:rPr>
        <w:t xml:space="preserve"> управлінні людськими ресурсами </w:t>
      </w:r>
      <w:r>
        <w:rPr>
          <w:rFonts w:ascii="Times New Roman" w:hAnsi="Times New Roman" w:cs="Times New Roman"/>
          <w:sz w:val="28"/>
          <w:szCs w:val="28"/>
          <w:lang w:val="uk-UA"/>
        </w:rPr>
        <w:t xml:space="preserve">та талантами </w:t>
      </w:r>
      <w:r w:rsidRPr="006259E5">
        <w:rPr>
          <w:rFonts w:ascii="Times New Roman" w:hAnsi="Times New Roman" w:cs="Times New Roman"/>
          <w:sz w:val="28"/>
          <w:szCs w:val="28"/>
          <w:lang w:val="uk-UA"/>
        </w:rPr>
        <w:t>в майбутньому.</w:t>
      </w:r>
    </w:p>
    <w:p w14:paraId="6136CB54" w14:textId="77777777" w:rsidR="00571B42" w:rsidRPr="006259E5" w:rsidRDefault="00571B42" w:rsidP="00571B42">
      <w:pPr>
        <w:spacing w:after="0" w:line="360" w:lineRule="auto"/>
        <w:ind w:firstLine="720"/>
        <w:jc w:val="both"/>
        <w:rPr>
          <w:rFonts w:ascii="Times New Roman" w:hAnsi="Times New Roman" w:cs="Times New Roman"/>
          <w:sz w:val="28"/>
          <w:szCs w:val="28"/>
          <w:lang w:val="uk-UA"/>
        </w:rPr>
      </w:pPr>
      <w:r w:rsidRPr="006259E5">
        <w:rPr>
          <w:rFonts w:ascii="Times New Roman" w:hAnsi="Times New Roman" w:cs="Times New Roman"/>
          <w:sz w:val="28"/>
          <w:szCs w:val="28"/>
          <w:lang w:val="uk-UA"/>
        </w:rPr>
        <w:lastRenderedPageBreak/>
        <w:t>На основі огляду вторинних джерел мож</w:t>
      </w:r>
      <w:r>
        <w:rPr>
          <w:rFonts w:ascii="Times New Roman" w:hAnsi="Times New Roman" w:cs="Times New Roman"/>
          <w:sz w:val="28"/>
          <w:szCs w:val="28"/>
          <w:lang w:val="uk-UA"/>
        </w:rPr>
        <w:t>на</w:t>
      </w:r>
      <w:r w:rsidRPr="006259E5">
        <w:rPr>
          <w:rFonts w:ascii="Times New Roman" w:hAnsi="Times New Roman" w:cs="Times New Roman"/>
          <w:sz w:val="28"/>
          <w:szCs w:val="28"/>
          <w:lang w:val="uk-UA"/>
        </w:rPr>
        <w:t xml:space="preserve"> зробити </w:t>
      </w:r>
      <w:r>
        <w:rPr>
          <w:rFonts w:ascii="Times New Roman" w:hAnsi="Times New Roman" w:cs="Times New Roman"/>
          <w:sz w:val="28"/>
          <w:szCs w:val="28"/>
          <w:lang w:val="uk-UA"/>
        </w:rPr>
        <w:t>наступні</w:t>
      </w:r>
      <w:r w:rsidRPr="006259E5">
        <w:rPr>
          <w:rFonts w:ascii="Times New Roman" w:hAnsi="Times New Roman" w:cs="Times New Roman"/>
          <w:sz w:val="28"/>
          <w:szCs w:val="28"/>
          <w:lang w:val="uk-UA"/>
        </w:rPr>
        <w:t xml:space="preserve"> висновки. Менеджери </w:t>
      </w:r>
      <w:r>
        <w:rPr>
          <w:rFonts w:ascii="Times New Roman" w:hAnsi="Times New Roman" w:cs="Times New Roman"/>
          <w:sz w:val="28"/>
          <w:szCs w:val="28"/>
          <w:lang w:val="uk-UA"/>
        </w:rPr>
        <w:t>міжнарод</w:t>
      </w:r>
      <w:r w:rsidRPr="006259E5">
        <w:rPr>
          <w:rFonts w:ascii="Times New Roman" w:hAnsi="Times New Roman" w:cs="Times New Roman"/>
          <w:sz w:val="28"/>
          <w:szCs w:val="28"/>
          <w:lang w:val="uk-UA"/>
        </w:rPr>
        <w:t xml:space="preserve">них компаній стають більш чутливими до </w:t>
      </w:r>
      <w:r>
        <w:rPr>
          <w:rFonts w:ascii="Times New Roman" w:hAnsi="Times New Roman" w:cs="Times New Roman"/>
          <w:sz w:val="28"/>
          <w:szCs w:val="28"/>
          <w:lang w:val="uk-UA"/>
        </w:rPr>
        <w:t>органів місцевої влади</w:t>
      </w:r>
      <w:r w:rsidRPr="006259E5">
        <w:rPr>
          <w:rFonts w:ascii="Times New Roman" w:hAnsi="Times New Roman" w:cs="Times New Roman"/>
          <w:sz w:val="28"/>
          <w:szCs w:val="28"/>
          <w:lang w:val="uk-UA"/>
        </w:rPr>
        <w:t xml:space="preserve">, місцевого ринку праці, громадської думки та нормативних актів, ніж керівники вітчизняних підприємств. Підходи до управління, які застосовуються в материнській компанії, пристосовані до умов іноземних філій, оскільки уніфіковані процедури та стандарти не можуть бути впроваджені в усіх країнах. У </w:t>
      </w:r>
      <w:r>
        <w:rPr>
          <w:rFonts w:ascii="Times New Roman" w:hAnsi="Times New Roman" w:cs="Times New Roman"/>
          <w:sz w:val="28"/>
          <w:szCs w:val="28"/>
          <w:lang w:val="uk-UA"/>
        </w:rPr>
        <w:t>міжнарод</w:t>
      </w:r>
      <w:r w:rsidRPr="006259E5">
        <w:rPr>
          <w:rFonts w:ascii="Times New Roman" w:hAnsi="Times New Roman" w:cs="Times New Roman"/>
          <w:sz w:val="28"/>
          <w:szCs w:val="28"/>
          <w:lang w:val="uk-UA"/>
        </w:rPr>
        <w:t>них компаніях існує тиск з метою створення глобальних підрозділів для досягнення цілей. Це підтримує конвергенцію політики та практики кадрових ресурсів і послаблює їх розбіжності. У міжнародному управлінні людськими ресурсами, беручи до уваги економічну, політичну, соціальну та законодавчу ситуацію в різних країнах, конвергенція на основі стандартизації процедур та/або розбіжності, пов’язані з прийняттям відмінностей в управлінні, є кращими, навіть якщо повна конвергенція чи розбіжність практично відсутні в практи</w:t>
      </w:r>
      <w:r>
        <w:rPr>
          <w:rFonts w:ascii="Times New Roman" w:hAnsi="Times New Roman" w:cs="Times New Roman"/>
          <w:sz w:val="28"/>
          <w:szCs w:val="28"/>
          <w:lang w:val="uk-UA"/>
        </w:rPr>
        <w:t>ці</w:t>
      </w:r>
      <w:r w:rsidRPr="006259E5">
        <w:rPr>
          <w:rFonts w:ascii="Times New Roman" w:hAnsi="Times New Roman" w:cs="Times New Roman"/>
          <w:sz w:val="28"/>
          <w:szCs w:val="28"/>
          <w:lang w:val="uk-UA"/>
        </w:rPr>
        <w:t xml:space="preserve">. </w:t>
      </w:r>
      <w:proofErr w:type="spellStart"/>
      <w:r w:rsidRPr="006259E5">
        <w:rPr>
          <w:rFonts w:ascii="Times New Roman" w:hAnsi="Times New Roman" w:cs="Times New Roman"/>
          <w:sz w:val="28"/>
          <w:szCs w:val="28"/>
          <w:lang w:val="uk-UA"/>
        </w:rPr>
        <w:t>Етноцентричний</w:t>
      </w:r>
      <w:proofErr w:type="spellEnd"/>
      <w:r w:rsidRPr="006259E5">
        <w:rPr>
          <w:rFonts w:ascii="Times New Roman" w:hAnsi="Times New Roman" w:cs="Times New Roman"/>
          <w:sz w:val="28"/>
          <w:szCs w:val="28"/>
          <w:lang w:val="uk-UA"/>
        </w:rPr>
        <w:t xml:space="preserve"> або поліцентричний підхід був характерним для управління людськими ресурсами </w:t>
      </w:r>
      <w:r>
        <w:rPr>
          <w:rFonts w:ascii="Times New Roman" w:hAnsi="Times New Roman" w:cs="Times New Roman"/>
          <w:sz w:val="28"/>
          <w:szCs w:val="28"/>
          <w:lang w:val="uk-UA"/>
        </w:rPr>
        <w:t xml:space="preserve">та талантами </w:t>
      </w:r>
      <w:r w:rsidRPr="006259E5">
        <w:rPr>
          <w:rFonts w:ascii="Times New Roman" w:hAnsi="Times New Roman" w:cs="Times New Roman"/>
          <w:sz w:val="28"/>
          <w:szCs w:val="28"/>
          <w:lang w:val="uk-UA"/>
        </w:rPr>
        <w:t xml:space="preserve">на початку становлення </w:t>
      </w:r>
      <w:r>
        <w:rPr>
          <w:rFonts w:ascii="Times New Roman" w:hAnsi="Times New Roman" w:cs="Times New Roman"/>
          <w:sz w:val="28"/>
          <w:szCs w:val="28"/>
          <w:lang w:val="uk-UA"/>
        </w:rPr>
        <w:t>міжнарод</w:t>
      </w:r>
      <w:r w:rsidRPr="006259E5">
        <w:rPr>
          <w:rFonts w:ascii="Times New Roman" w:hAnsi="Times New Roman" w:cs="Times New Roman"/>
          <w:sz w:val="28"/>
          <w:szCs w:val="28"/>
          <w:lang w:val="uk-UA"/>
        </w:rPr>
        <w:t xml:space="preserve">них компаній. Поступово, враховуючи економічний розвиток різних місць (регіонів), законодавство, особливості ринку праці, певні види діяльності з управління персоналом в одній багатонаціональній компанії зближуються, а інші </w:t>
      </w:r>
      <w:r>
        <w:rPr>
          <w:rFonts w:ascii="Times New Roman" w:hAnsi="Times New Roman" w:cs="Times New Roman"/>
          <w:sz w:val="28"/>
          <w:szCs w:val="28"/>
          <w:lang w:val="uk-UA"/>
        </w:rPr>
        <w:t>-</w:t>
      </w:r>
      <w:r w:rsidRPr="006259E5">
        <w:rPr>
          <w:rFonts w:ascii="Times New Roman" w:hAnsi="Times New Roman" w:cs="Times New Roman"/>
          <w:sz w:val="28"/>
          <w:szCs w:val="28"/>
          <w:lang w:val="uk-UA"/>
        </w:rPr>
        <w:t xml:space="preserve"> розходяться. З розвитком глобалізації та взаємним визнанням культурних та інституційних відмінностей застосовується </w:t>
      </w:r>
      <w:proofErr w:type="spellStart"/>
      <w:r w:rsidRPr="006259E5">
        <w:rPr>
          <w:rFonts w:ascii="Times New Roman" w:hAnsi="Times New Roman" w:cs="Times New Roman"/>
          <w:sz w:val="28"/>
          <w:szCs w:val="28"/>
          <w:lang w:val="uk-UA"/>
        </w:rPr>
        <w:t>регіоцентрична</w:t>
      </w:r>
      <w:proofErr w:type="spellEnd"/>
      <w:r w:rsidRPr="006259E5">
        <w:rPr>
          <w:rFonts w:ascii="Times New Roman" w:hAnsi="Times New Roman" w:cs="Times New Roman"/>
          <w:sz w:val="28"/>
          <w:szCs w:val="28"/>
          <w:lang w:val="uk-UA"/>
        </w:rPr>
        <w:t xml:space="preserve"> або геоцентрична (глобальна) політика міжнародного управління людськими ресурсами</w:t>
      </w:r>
      <w:r>
        <w:rPr>
          <w:rFonts w:ascii="Times New Roman" w:hAnsi="Times New Roman" w:cs="Times New Roman"/>
          <w:sz w:val="28"/>
          <w:szCs w:val="28"/>
          <w:lang w:val="uk-UA"/>
        </w:rPr>
        <w:t xml:space="preserve"> та талантами</w:t>
      </w:r>
      <w:r w:rsidRPr="006259E5">
        <w:rPr>
          <w:rFonts w:ascii="Times New Roman" w:hAnsi="Times New Roman" w:cs="Times New Roman"/>
          <w:sz w:val="28"/>
          <w:szCs w:val="28"/>
          <w:lang w:val="uk-UA"/>
        </w:rPr>
        <w:t>.</w:t>
      </w:r>
    </w:p>
    <w:p w14:paraId="0E234A55" w14:textId="77777777" w:rsidR="00571B42" w:rsidRPr="006259E5" w:rsidRDefault="00571B42" w:rsidP="00571B42">
      <w:pPr>
        <w:spacing w:after="0" w:line="360" w:lineRule="auto"/>
        <w:ind w:firstLine="720"/>
        <w:jc w:val="both"/>
        <w:rPr>
          <w:rFonts w:ascii="Times New Roman" w:hAnsi="Times New Roman" w:cs="Times New Roman"/>
          <w:sz w:val="28"/>
          <w:szCs w:val="28"/>
          <w:lang w:val="uk-UA"/>
        </w:rPr>
      </w:pPr>
      <w:r w:rsidRPr="006259E5">
        <w:rPr>
          <w:rFonts w:ascii="Times New Roman" w:hAnsi="Times New Roman" w:cs="Times New Roman"/>
          <w:sz w:val="28"/>
          <w:szCs w:val="28"/>
          <w:lang w:val="uk-UA"/>
        </w:rPr>
        <w:t xml:space="preserve">На підставі аналізу </w:t>
      </w:r>
      <w:r>
        <w:rPr>
          <w:rFonts w:ascii="Times New Roman" w:hAnsi="Times New Roman" w:cs="Times New Roman"/>
          <w:sz w:val="28"/>
          <w:szCs w:val="28"/>
          <w:lang w:val="uk-UA"/>
        </w:rPr>
        <w:t>досліджень науковців, що були наведені в роботі,</w:t>
      </w:r>
      <w:r w:rsidRPr="006259E5">
        <w:rPr>
          <w:rFonts w:ascii="Times New Roman" w:hAnsi="Times New Roman" w:cs="Times New Roman"/>
          <w:sz w:val="28"/>
          <w:szCs w:val="28"/>
          <w:lang w:val="uk-UA"/>
        </w:rPr>
        <w:t xml:space="preserve"> стверджуємо, що обраний підхід до управління персоналом в опитаних компаніях з іноземною участю не впливає на рівень централізації чи децентралізації, тобто концентрації повноважень і підзвітності в руках ви</w:t>
      </w:r>
      <w:r>
        <w:rPr>
          <w:rFonts w:ascii="Times New Roman" w:hAnsi="Times New Roman" w:cs="Times New Roman"/>
          <w:sz w:val="28"/>
          <w:szCs w:val="28"/>
          <w:lang w:val="uk-UA"/>
        </w:rPr>
        <w:t>щого керівництва підприємства. К</w:t>
      </w:r>
      <w:r w:rsidRPr="006259E5">
        <w:rPr>
          <w:rFonts w:ascii="Times New Roman" w:hAnsi="Times New Roman" w:cs="Times New Roman"/>
          <w:sz w:val="28"/>
          <w:szCs w:val="28"/>
          <w:lang w:val="uk-UA"/>
        </w:rPr>
        <w:t xml:space="preserve">омпанії проти розподілу повноважень і відповідальності за прийняття рішень в управлінні людськими ресурсами </w:t>
      </w:r>
      <w:r>
        <w:rPr>
          <w:rFonts w:ascii="Times New Roman" w:hAnsi="Times New Roman" w:cs="Times New Roman"/>
          <w:sz w:val="28"/>
          <w:szCs w:val="28"/>
          <w:lang w:val="uk-UA"/>
        </w:rPr>
        <w:t xml:space="preserve">та талантами </w:t>
      </w:r>
      <w:r w:rsidRPr="006259E5">
        <w:rPr>
          <w:rFonts w:ascii="Times New Roman" w:hAnsi="Times New Roman" w:cs="Times New Roman"/>
          <w:sz w:val="28"/>
          <w:szCs w:val="28"/>
          <w:lang w:val="uk-UA"/>
        </w:rPr>
        <w:t xml:space="preserve">менеджери нижчих рівнів організаційної ієрархії компанії залежать від інших факторів. З іншого боку, результати показують, що обраний підхід має </w:t>
      </w:r>
      <w:r w:rsidRPr="006259E5">
        <w:rPr>
          <w:rFonts w:ascii="Times New Roman" w:hAnsi="Times New Roman" w:cs="Times New Roman"/>
          <w:sz w:val="28"/>
          <w:szCs w:val="28"/>
          <w:lang w:val="uk-UA"/>
        </w:rPr>
        <w:lastRenderedPageBreak/>
        <w:t xml:space="preserve">певний </w:t>
      </w:r>
      <w:r>
        <w:rPr>
          <w:rFonts w:ascii="Times New Roman" w:hAnsi="Times New Roman" w:cs="Times New Roman"/>
          <w:sz w:val="28"/>
          <w:szCs w:val="28"/>
          <w:lang w:val="uk-UA"/>
        </w:rPr>
        <w:t xml:space="preserve">вплив на рівень конвергенції та </w:t>
      </w:r>
      <w:r w:rsidRPr="006259E5">
        <w:rPr>
          <w:rFonts w:ascii="Times New Roman" w:hAnsi="Times New Roman" w:cs="Times New Roman"/>
          <w:sz w:val="28"/>
          <w:szCs w:val="28"/>
          <w:lang w:val="uk-UA"/>
        </w:rPr>
        <w:t>розбіжностей у формуванні кадрових стратегій і політики або застосування конкретних стандартів, настанов і процедур. Ця залежність відносно слабка, але не незначна. Це означає, що підхід до управління людськими ресурсами є одним із ряду факторів (наприклад, особистість керівника, законодавче середовище в країні, сила національної культури та інші).</w:t>
      </w:r>
    </w:p>
    <w:p w14:paraId="7AE7592B" w14:textId="77777777" w:rsidR="00571B42" w:rsidRPr="006259E5" w:rsidRDefault="00571B42" w:rsidP="00571B42">
      <w:pPr>
        <w:spacing w:after="0" w:line="360" w:lineRule="auto"/>
        <w:ind w:firstLine="720"/>
        <w:jc w:val="both"/>
        <w:rPr>
          <w:rFonts w:ascii="Times New Roman" w:hAnsi="Times New Roman" w:cs="Times New Roman"/>
          <w:sz w:val="28"/>
          <w:szCs w:val="28"/>
          <w:lang w:val="uk-UA"/>
        </w:rPr>
      </w:pPr>
      <w:r w:rsidRPr="006259E5">
        <w:rPr>
          <w:rFonts w:ascii="Times New Roman" w:hAnsi="Times New Roman" w:cs="Times New Roman"/>
          <w:sz w:val="28"/>
          <w:szCs w:val="28"/>
          <w:lang w:val="uk-UA"/>
        </w:rPr>
        <w:t xml:space="preserve">Інші фактори можуть стати предметом </w:t>
      </w:r>
      <w:r>
        <w:rPr>
          <w:rFonts w:ascii="Times New Roman" w:hAnsi="Times New Roman" w:cs="Times New Roman"/>
          <w:sz w:val="28"/>
          <w:szCs w:val="28"/>
          <w:lang w:val="uk-UA"/>
        </w:rPr>
        <w:t>подальших</w:t>
      </w:r>
      <w:r w:rsidRPr="006259E5">
        <w:rPr>
          <w:rFonts w:ascii="Times New Roman" w:hAnsi="Times New Roman" w:cs="Times New Roman"/>
          <w:sz w:val="28"/>
          <w:szCs w:val="28"/>
          <w:lang w:val="uk-UA"/>
        </w:rPr>
        <w:t xml:space="preserve"> досліджен</w:t>
      </w:r>
      <w:r>
        <w:rPr>
          <w:rFonts w:ascii="Times New Roman" w:hAnsi="Times New Roman" w:cs="Times New Roman"/>
          <w:sz w:val="28"/>
          <w:szCs w:val="28"/>
          <w:lang w:val="uk-UA"/>
        </w:rPr>
        <w:t>ь</w:t>
      </w:r>
      <w:r w:rsidRPr="006259E5">
        <w:rPr>
          <w:rFonts w:ascii="Times New Roman" w:hAnsi="Times New Roman" w:cs="Times New Roman"/>
          <w:sz w:val="28"/>
          <w:szCs w:val="28"/>
          <w:lang w:val="uk-UA"/>
        </w:rPr>
        <w:t xml:space="preserve">. У майбутньому також </w:t>
      </w:r>
      <w:r>
        <w:rPr>
          <w:rFonts w:ascii="Times New Roman" w:hAnsi="Times New Roman" w:cs="Times New Roman"/>
          <w:sz w:val="28"/>
          <w:szCs w:val="28"/>
          <w:lang w:val="uk-UA"/>
        </w:rPr>
        <w:t xml:space="preserve">було би доцільно </w:t>
      </w:r>
      <w:r w:rsidRPr="006259E5">
        <w:rPr>
          <w:rFonts w:ascii="Times New Roman" w:hAnsi="Times New Roman" w:cs="Times New Roman"/>
          <w:sz w:val="28"/>
          <w:szCs w:val="28"/>
          <w:lang w:val="uk-UA"/>
        </w:rPr>
        <w:t xml:space="preserve">провести подібне дослідження, щоб побачити, чи справді керівники </w:t>
      </w:r>
      <w:r>
        <w:rPr>
          <w:rFonts w:ascii="Times New Roman" w:hAnsi="Times New Roman" w:cs="Times New Roman"/>
          <w:sz w:val="28"/>
          <w:szCs w:val="28"/>
          <w:lang w:val="uk-UA"/>
        </w:rPr>
        <w:t>міжнарод</w:t>
      </w:r>
      <w:r w:rsidRPr="006259E5">
        <w:rPr>
          <w:rFonts w:ascii="Times New Roman" w:hAnsi="Times New Roman" w:cs="Times New Roman"/>
          <w:sz w:val="28"/>
          <w:szCs w:val="28"/>
          <w:lang w:val="uk-UA"/>
        </w:rPr>
        <w:t>них корпорацій вирішують віддати перевагу поєднанню конвергенції та дивергенції в міжнародному управлінні людськими ресурсами</w:t>
      </w:r>
      <w:r>
        <w:rPr>
          <w:rFonts w:ascii="Times New Roman" w:hAnsi="Times New Roman" w:cs="Times New Roman"/>
          <w:sz w:val="28"/>
          <w:szCs w:val="28"/>
          <w:lang w:val="uk-UA"/>
        </w:rPr>
        <w:t xml:space="preserve"> та талантами</w:t>
      </w:r>
      <w:r w:rsidRPr="006259E5">
        <w:rPr>
          <w:rFonts w:ascii="Times New Roman" w:hAnsi="Times New Roman" w:cs="Times New Roman"/>
          <w:sz w:val="28"/>
          <w:szCs w:val="28"/>
          <w:lang w:val="uk-UA"/>
        </w:rPr>
        <w:t xml:space="preserve">. Крім того, подальші дослідження в цій галузі будуть зосереджені </w:t>
      </w:r>
      <w:r>
        <w:rPr>
          <w:rFonts w:ascii="Times New Roman" w:hAnsi="Times New Roman" w:cs="Times New Roman"/>
          <w:sz w:val="28"/>
          <w:szCs w:val="28"/>
          <w:lang w:val="uk-UA"/>
        </w:rPr>
        <w:t>на мультинаціональних компаніях</w:t>
      </w:r>
      <w:r w:rsidRPr="006259E5">
        <w:rPr>
          <w:rFonts w:ascii="Times New Roman" w:hAnsi="Times New Roman" w:cs="Times New Roman"/>
          <w:sz w:val="28"/>
          <w:szCs w:val="28"/>
          <w:lang w:val="uk-UA"/>
        </w:rPr>
        <w:t xml:space="preserve">. Предметом дослідження буде визначення способу взаємної комунікації та обсягу розподілених повноважень між материнською компанією та її дочірніми компаніями, які можуть мати чи не впливати на досягнуті результати діяльності. </w:t>
      </w:r>
      <w:r>
        <w:rPr>
          <w:rFonts w:ascii="Times New Roman" w:hAnsi="Times New Roman" w:cs="Times New Roman"/>
          <w:sz w:val="28"/>
          <w:szCs w:val="28"/>
          <w:lang w:val="uk-UA"/>
        </w:rPr>
        <w:t xml:space="preserve">На наш погляд, доцільно було би </w:t>
      </w:r>
      <w:r w:rsidRPr="006259E5">
        <w:rPr>
          <w:rFonts w:ascii="Times New Roman" w:hAnsi="Times New Roman" w:cs="Times New Roman"/>
          <w:sz w:val="28"/>
          <w:szCs w:val="28"/>
          <w:lang w:val="uk-UA"/>
        </w:rPr>
        <w:t>порівня</w:t>
      </w:r>
      <w:r>
        <w:rPr>
          <w:rFonts w:ascii="Times New Roman" w:hAnsi="Times New Roman" w:cs="Times New Roman"/>
          <w:sz w:val="28"/>
          <w:szCs w:val="28"/>
          <w:lang w:val="uk-UA"/>
        </w:rPr>
        <w:t>ти</w:t>
      </w:r>
      <w:r w:rsidRPr="006259E5">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отримані</w:t>
      </w:r>
      <w:r w:rsidRPr="006259E5">
        <w:rPr>
          <w:rFonts w:ascii="Times New Roman" w:hAnsi="Times New Roman" w:cs="Times New Roman"/>
          <w:sz w:val="28"/>
          <w:szCs w:val="28"/>
          <w:lang w:val="uk-UA"/>
        </w:rPr>
        <w:t xml:space="preserve"> висновки з практикою на вітчизняних підприємствах, які не досягають таких </w:t>
      </w:r>
      <w:r>
        <w:rPr>
          <w:rFonts w:ascii="Times New Roman" w:hAnsi="Times New Roman" w:cs="Times New Roman"/>
          <w:sz w:val="28"/>
          <w:szCs w:val="28"/>
          <w:lang w:val="uk-UA"/>
        </w:rPr>
        <w:t>позитивних економічних результатів</w:t>
      </w:r>
      <w:r w:rsidRPr="006259E5">
        <w:rPr>
          <w:rFonts w:ascii="Times New Roman" w:hAnsi="Times New Roman" w:cs="Times New Roman"/>
          <w:sz w:val="28"/>
          <w:szCs w:val="28"/>
          <w:lang w:val="uk-UA"/>
        </w:rPr>
        <w:t>. Результатом має стати пропозиці</w:t>
      </w:r>
      <w:r>
        <w:rPr>
          <w:rFonts w:ascii="Times New Roman" w:hAnsi="Times New Roman" w:cs="Times New Roman"/>
          <w:sz w:val="28"/>
          <w:szCs w:val="28"/>
          <w:lang w:val="uk-UA"/>
        </w:rPr>
        <w:t>ї</w:t>
      </w:r>
      <w:r w:rsidRPr="006259E5">
        <w:rPr>
          <w:rFonts w:ascii="Times New Roman" w:hAnsi="Times New Roman" w:cs="Times New Roman"/>
          <w:sz w:val="28"/>
          <w:szCs w:val="28"/>
          <w:lang w:val="uk-UA"/>
        </w:rPr>
        <w:t xml:space="preserve"> щодо кращого управління людськими ресурсами</w:t>
      </w:r>
      <w:r>
        <w:rPr>
          <w:rFonts w:ascii="Times New Roman" w:hAnsi="Times New Roman" w:cs="Times New Roman"/>
          <w:sz w:val="28"/>
          <w:szCs w:val="28"/>
          <w:lang w:val="uk-UA"/>
        </w:rPr>
        <w:t xml:space="preserve"> та талантами</w:t>
      </w:r>
      <w:r w:rsidRPr="006259E5">
        <w:rPr>
          <w:rFonts w:ascii="Times New Roman" w:hAnsi="Times New Roman" w:cs="Times New Roman"/>
          <w:sz w:val="28"/>
          <w:szCs w:val="28"/>
          <w:lang w:val="uk-UA"/>
        </w:rPr>
        <w:t xml:space="preserve"> на вітчизняних підприємствах з метою </w:t>
      </w:r>
      <w:r>
        <w:rPr>
          <w:rFonts w:ascii="Times New Roman" w:hAnsi="Times New Roman" w:cs="Times New Roman"/>
          <w:sz w:val="28"/>
          <w:szCs w:val="28"/>
          <w:lang w:val="uk-UA"/>
        </w:rPr>
        <w:t>підвищення</w:t>
      </w:r>
      <w:r w:rsidRPr="006259E5">
        <w:rPr>
          <w:rFonts w:ascii="Times New Roman" w:hAnsi="Times New Roman" w:cs="Times New Roman"/>
          <w:sz w:val="28"/>
          <w:szCs w:val="28"/>
          <w:lang w:val="uk-UA"/>
        </w:rPr>
        <w:t xml:space="preserve"> їх</w:t>
      </w:r>
      <w:r>
        <w:rPr>
          <w:rFonts w:ascii="Times New Roman" w:hAnsi="Times New Roman" w:cs="Times New Roman"/>
          <w:sz w:val="28"/>
          <w:szCs w:val="28"/>
          <w:lang w:val="uk-UA"/>
        </w:rPr>
        <w:t>ньої</w:t>
      </w:r>
      <w:r w:rsidRPr="006259E5">
        <w:rPr>
          <w:rFonts w:ascii="Times New Roman" w:hAnsi="Times New Roman" w:cs="Times New Roman"/>
          <w:sz w:val="28"/>
          <w:szCs w:val="28"/>
          <w:lang w:val="uk-UA"/>
        </w:rPr>
        <w:t xml:space="preserve"> конкурентоспроможн</w:t>
      </w:r>
      <w:r>
        <w:rPr>
          <w:rFonts w:ascii="Times New Roman" w:hAnsi="Times New Roman" w:cs="Times New Roman"/>
          <w:sz w:val="28"/>
          <w:szCs w:val="28"/>
          <w:lang w:val="uk-UA"/>
        </w:rPr>
        <w:t>о</w:t>
      </w:r>
      <w:r w:rsidRPr="006259E5">
        <w:rPr>
          <w:rFonts w:ascii="Times New Roman" w:hAnsi="Times New Roman" w:cs="Times New Roman"/>
          <w:sz w:val="28"/>
          <w:szCs w:val="28"/>
          <w:lang w:val="uk-UA"/>
        </w:rPr>
        <w:t>ст</w:t>
      </w:r>
      <w:r>
        <w:rPr>
          <w:rFonts w:ascii="Times New Roman" w:hAnsi="Times New Roman" w:cs="Times New Roman"/>
          <w:sz w:val="28"/>
          <w:szCs w:val="28"/>
          <w:lang w:val="uk-UA"/>
        </w:rPr>
        <w:t>і</w:t>
      </w:r>
      <w:r w:rsidRPr="006259E5">
        <w:rPr>
          <w:rFonts w:ascii="Times New Roman" w:hAnsi="Times New Roman" w:cs="Times New Roman"/>
          <w:sz w:val="28"/>
          <w:szCs w:val="28"/>
          <w:lang w:val="uk-UA"/>
        </w:rPr>
        <w:t>.</w:t>
      </w:r>
    </w:p>
    <w:p w14:paraId="51A4E383" w14:textId="77777777" w:rsidR="00C90087" w:rsidRDefault="00C90087" w:rsidP="00571B42">
      <w:pPr>
        <w:autoSpaceDE w:val="0"/>
        <w:autoSpaceDN w:val="0"/>
        <w:adjustRightInd w:val="0"/>
        <w:spacing w:after="0" w:line="360" w:lineRule="auto"/>
        <w:ind w:firstLine="720"/>
        <w:jc w:val="center"/>
        <w:rPr>
          <w:rFonts w:ascii="Times New Roman" w:hAnsi="Times New Roman" w:cs="Times New Roman"/>
          <w:b/>
          <w:sz w:val="28"/>
          <w:szCs w:val="28"/>
          <w:lang w:val="uk-UA"/>
        </w:rPr>
      </w:pPr>
    </w:p>
    <w:p w14:paraId="1854D2F7" w14:textId="7F274A5D" w:rsidR="00571B42" w:rsidRDefault="00571B42" w:rsidP="00571B42">
      <w:pPr>
        <w:autoSpaceDE w:val="0"/>
        <w:autoSpaceDN w:val="0"/>
        <w:adjustRightInd w:val="0"/>
        <w:spacing w:after="0" w:line="360" w:lineRule="auto"/>
        <w:ind w:firstLine="720"/>
        <w:jc w:val="center"/>
        <w:rPr>
          <w:rFonts w:ascii="Times New Roman" w:hAnsi="Times New Roman" w:cs="Times New Roman"/>
          <w:b/>
          <w:sz w:val="28"/>
          <w:szCs w:val="28"/>
          <w:lang w:val="uk-UA"/>
        </w:rPr>
      </w:pPr>
      <w:r w:rsidRPr="002D3DBC">
        <w:rPr>
          <w:rFonts w:ascii="Times New Roman" w:hAnsi="Times New Roman" w:cs="Times New Roman"/>
          <w:b/>
          <w:sz w:val="28"/>
          <w:szCs w:val="28"/>
          <w:lang w:val="uk-UA"/>
        </w:rPr>
        <w:t>Список використаних джерел</w:t>
      </w:r>
    </w:p>
    <w:p w14:paraId="092E0974"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63233C">
        <w:rPr>
          <w:rFonts w:ascii="Times New Roman" w:eastAsiaTheme="minorHAnsi" w:hAnsi="Times New Roman" w:cs="Times New Roman"/>
          <w:sz w:val="28"/>
          <w:szCs w:val="28"/>
          <w:lang w:val="en-US" w:eastAsia="en-US"/>
        </w:rPr>
        <w:t xml:space="preserve">1. </w:t>
      </w:r>
      <w:r w:rsidRPr="00C90087">
        <w:rPr>
          <w:rFonts w:ascii="Times New Roman" w:eastAsiaTheme="minorHAnsi" w:hAnsi="Times New Roman" w:cs="Times New Roman"/>
          <w:sz w:val="28"/>
          <w:szCs w:val="28"/>
          <w:lang w:val="en-US" w:eastAsia="en-US"/>
        </w:rPr>
        <w:t xml:space="preserve">Baruch Y., Peiperl M. Career management practices: An empirical survey and implications. Human Resource Management. 2000. № 39(4). </w:t>
      </w:r>
      <w:r w:rsidRPr="00C90087">
        <w:rPr>
          <w:rFonts w:ascii="Times New Roman" w:eastAsiaTheme="minorHAnsi" w:hAnsi="Times New Roman" w:cs="Times New Roman"/>
          <w:sz w:val="28"/>
          <w:szCs w:val="28"/>
          <w:lang w:val="uk-UA" w:eastAsia="en-US"/>
        </w:rPr>
        <w:t>Р</w:t>
      </w:r>
      <w:r w:rsidRPr="00C90087">
        <w:rPr>
          <w:rFonts w:ascii="Times New Roman" w:eastAsiaTheme="minorHAnsi" w:hAnsi="Times New Roman" w:cs="Times New Roman"/>
          <w:sz w:val="28"/>
          <w:szCs w:val="28"/>
          <w:lang w:val="en-US" w:eastAsia="en-US"/>
        </w:rPr>
        <w:t xml:space="preserve">. 347–366. DOI: </w:t>
      </w:r>
      <w:hyperlink r:id="rId45" w:history="1">
        <w:r w:rsidRPr="00C90087">
          <w:rPr>
            <w:rFonts w:ascii="Times New Roman" w:hAnsi="Times New Roman" w:cs="Times New Roman"/>
            <w:sz w:val="28"/>
            <w:szCs w:val="28"/>
            <w:lang w:val="en-US" w:eastAsia="en-US"/>
          </w:rPr>
          <w:t>https://doi.org/10.1002/1099-050X(200024)39:43.0.CO;2-C</w:t>
        </w:r>
      </w:hyperlink>
      <w:r w:rsidRPr="00C90087">
        <w:rPr>
          <w:rFonts w:ascii="Times New Roman" w:eastAsiaTheme="minorHAnsi" w:hAnsi="Times New Roman" w:cs="Times New Roman"/>
          <w:sz w:val="28"/>
          <w:szCs w:val="28"/>
          <w:lang w:val="en-US" w:eastAsia="en-US"/>
        </w:rPr>
        <w:t>.</w:t>
      </w:r>
    </w:p>
    <w:p w14:paraId="462D51B3" w14:textId="77777777" w:rsidR="00571B42" w:rsidRPr="0063233C"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2. Stumpf S. A., </w:t>
      </w:r>
      <w:proofErr w:type="spellStart"/>
      <w:r w:rsidRPr="00C90087">
        <w:rPr>
          <w:rFonts w:ascii="Times New Roman" w:eastAsiaTheme="minorHAnsi" w:hAnsi="Times New Roman" w:cs="Times New Roman"/>
          <w:sz w:val="28"/>
          <w:szCs w:val="28"/>
          <w:lang w:val="en-US" w:eastAsia="en-US"/>
        </w:rPr>
        <w:t>Doh</w:t>
      </w:r>
      <w:proofErr w:type="spellEnd"/>
      <w:r w:rsidRPr="00C90087">
        <w:rPr>
          <w:rFonts w:ascii="Times New Roman" w:eastAsiaTheme="minorHAnsi" w:hAnsi="Times New Roman" w:cs="Times New Roman"/>
          <w:sz w:val="28"/>
          <w:szCs w:val="28"/>
          <w:lang w:val="en-US" w:eastAsia="en-US"/>
        </w:rPr>
        <w:t xml:space="preserve"> J. P., Tymon W. G. The strength of HR practices in India and their effects on employee career success, performance, and potential. Human Resource Management. 2010. № 49(3). </w:t>
      </w:r>
      <w:r w:rsidRPr="00C90087">
        <w:rPr>
          <w:rFonts w:ascii="Times New Roman" w:eastAsiaTheme="minorHAnsi" w:hAnsi="Times New Roman" w:cs="Times New Roman"/>
          <w:sz w:val="28"/>
          <w:szCs w:val="28"/>
          <w:lang w:val="uk-UA" w:eastAsia="en-US"/>
        </w:rPr>
        <w:t>Р</w:t>
      </w:r>
      <w:r w:rsidRPr="00C90087">
        <w:rPr>
          <w:rFonts w:ascii="Times New Roman" w:eastAsiaTheme="minorHAnsi" w:hAnsi="Times New Roman" w:cs="Times New Roman"/>
          <w:sz w:val="28"/>
          <w:szCs w:val="28"/>
          <w:lang w:val="en-US" w:eastAsia="en-US"/>
        </w:rPr>
        <w:t>. 353–375. DOI: https://doi.org/10.1002/hrm</w:t>
      </w:r>
      <w:r w:rsidRPr="0063233C">
        <w:rPr>
          <w:rFonts w:ascii="Times New Roman" w:eastAsiaTheme="minorHAnsi" w:hAnsi="Times New Roman" w:cs="Times New Roman"/>
          <w:sz w:val="28"/>
          <w:szCs w:val="28"/>
          <w:lang w:val="en-US" w:eastAsia="en-US"/>
        </w:rPr>
        <w:t>.20361.</w:t>
      </w:r>
    </w:p>
    <w:p w14:paraId="53A42076"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63233C">
        <w:rPr>
          <w:rFonts w:ascii="Times New Roman" w:eastAsiaTheme="minorHAnsi" w:hAnsi="Times New Roman" w:cs="Times New Roman"/>
          <w:sz w:val="28"/>
          <w:szCs w:val="28"/>
          <w:lang w:val="en-US" w:eastAsia="en-US"/>
        </w:rPr>
        <w:lastRenderedPageBreak/>
        <w:t xml:space="preserve">3. </w:t>
      </w:r>
      <w:proofErr w:type="spellStart"/>
      <w:r w:rsidRPr="00C90087">
        <w:rPr>
          <w:rFonts w:ascii="Times New Roman" w:eastAsiaTheme="minorHAnsi" w:hAnsi="Times New Roman" w:cs="Times New Roman"/>
          <w:sz w:val="28"/>
          <w:szCs w:val="28"/>
          <w:lang w:val="en-US" w:eastAsia="en-US"/>
        </w:rPr>
        <w:t>Kraimer</w:t>
      </w:r>
      <w:proofErr w:type="spellEnd"/>
      <w:r w:rsidRPr="00C90087">
        <w:rPr>
          <w:rFonts w:ascii="Times New Roman" w:eastAsiaTheme="minorHAnsi" w:hAnsi="Times New Roman" w:cs="Times New Roman"/>
          <w:sz w:val="28"/>
          <w:szCs w:val="28"/>
          <w:lang w:val="en-US" w:eastAsia="en-US"/>
        </w:rPr>
        <w:t xml:space="preserve"> M. L., Seibert S. E., Wayne S. J., Liden R. C., Bravo J. Antecedents and outcomes of organizational support for development: The critical role of career opportunities. Journal of Applied Psychology. 2021. № 96 (3). </w:t>
      </w:r>
      <w:r w:rsidRPr="00C90087">
        <w:rPr>
          <w:rFonts w:ascii="Times New Roman" w:eastAsiaTheme="minorHAnsi" w:hAnsi="Times New Roman" w:cs="Times New Roman"/>
          <w:sz w:val="28"/>
          <w:szCs w:val="28"/>
          <w:lang w:val="uk-UA" w:eastAsia="en-US"/>
        </w:rPr>
        <w:t>Р</w:t>
      </w:r>
      <w:r w:rsidRPr="00C90087">
        <w:rPr>
          <w:rFonts w:ascii="Times New Roman" w:eastAsiaTheme="minorHAnsi" w:hAnsi="Times New Roman" w:cs="Times New Roman"/>
          <w:sz w:val="28"/>
          <w:szCs w:val="28"/>
          <w:lang w:val="en-US" w:eastAsia="en-US"/>
        </w:rPr>
        <w:t>. 485–500.</w:t>
      </w:r>
    </w:p>
    <w:p w14:paraId="5A7E1FF0" w14:textId="5CAD3241"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4. Mayrhofer W., Meyer M., </w:t>
      </w:r>
      <w:proofErr w:type="spellStart"/>
      <w:r w:rsidRPr="00C90087">
        <w:rPr>
          <w:rFonts w:ascii="Times New Roman" w:eastAsiaTheme="minorHAnsi" w:hAnsi="Times New Roman" w:cs="Times New Roman"/>
          <w:sz w:val="28"/>
          <w:szCs w:val="28"/>
          <w:lang w:val="en-US" w:eastAsia="en-US"/>
        </w:rPr>
        <w:t>Iellatchitch</w:t>
      </w:r>
      <w:proofErr w:type="spellEnd"/>
      <w:r w:rsidRPr="00C90087">
        <w:rPr>
          <w:rFonts w:ascii="Times New Roman" w:eastAsiaTheme="minorHAnsi" w:hAnsi="Times New Roman" w:cs="Times New Roman"/>
          <w:sz w:val="28"/>
          <w:szCs w:val="28"/>
          <w:lang w:val="en-US" w:eastAsia="en-US"/>
        </w:rPr>
        <w:t xml:space="preserve"> A., </w:t>
      </w:r>
      <w:proofErr w:type="spellStart"/>
      <w:r w:rsidRPr="00C90087">
        <w:rPr>
          <w:rFonts w:ascii="Times New Roman" w:eastAsiaTheme="minorHAnsi" w:hAnsi="Times New Roman" w:cs="Times New Roman"/>
          <w:sz w:val="28"/>
          <w:szCs w:val="28"/>
          <w:lang w:val="en-US" w:eastAsia="en-US"/>
        </w:rPr>
        <w:t>Schiffinger</w:t>
      </w:r>
      <w:proofErr w:type="spellEnd"/>
      <w:r w:rsidRPr="00C90087">
        <w:rPr>
          <w:rFonts w:ascii="Times New Roman" w:eastAsiaTheme="minorHAnsi" w:hAnsi="Times New Roman" w:cs="Times New Roman"/>
          <w:sz w:val="28"/>
          <w:szCs w:val="28"/>
          <w:lang w:val="en-US" w:eastAsia="en-US"/>
        </w:rPr>
        <w:t xml:space="preserve"> M. Careers and human resource management </w:t>
      </w:r>
      <w:r w:rsidR="00C90087" w:rsidRPr="00C90087">
        <w:rPr>
          <w:rFonts w:ascii="Times New Roman" w:eastAsiaTheme="minorHAnsi" w:hAnsi="Times New Roman" w:cs="Times New Roman"/>
          <w:sz w:val="28"/>
          <w:szCs w:val="28"/>
          <w:lang w:val="en-US" w:eastAsia="en-US"/>
        </w:rPr>
        <w:t>–</w:t>
      </w:r>
      <w:r w:rsidRPr="00C90087">
        <w:rPr>
          <w:rFonts w:ascii="Times New Roman" w:eastAsiaTheme="minorHAnsi" w:hAnsi="Times New Roman" w:cs="Times New Roman"/>
          <w:sz w:val="28"/>
          <w:szCs w:val="28"/>
          <w:lang w:val="en-US" w:eastAsia="en-US"/>
        </w:rPr>
        <w:t xml:space="preserve"> A</w:t>
      </w:r>
      <w:r w:rsidR="00C90087"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 xml:space="preserve">European perspective. Human Resource Management Review. 2014. № 14(4). </w:t>
      </w:r>
      <w:r w:rsidRPr="00C90087">
        <w:rPr>
          <w:rFonts w:ascii="Times New Roman" w:eastAsiaTheme="minorHAnsi" w:hAnsi="Times New Roman" w:cs="Times New Roman"/>
          <w:sz w:val="28"/>
          <w:szCs w:val="28"/>
          <w:lang w:val="uk-UA" w:eastAsia="en-US"/>
        </w:rPr>
        <w:t>Р</w:t>
      </w:r>
      <w:r w:rsidRPr="00C90087">
        <w:rPr>
          <w:rFonts w:ascii="Times New Roman" w:eastAsiaTheme="minorHAnsi" w:hAnsi="Times New Roman" w:cs="Times New Roman"/>
          <w:sz w:val="28"/>
          <w:szCs w:val="28"/>
          <w:lang w:val="en-US" w:eastAsia="en-US"/>
        </w:rPr>
        <w:t>. 473-498. DOI: https://doi.org/10.1016/j.hrmr.2004.10.006.</w:t>
      </w:r>
    </w:p>
    <w:p w14:paraId="339C288F"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5. </w:t>
      </w:r>
      <w:proofErr w:type="spellStart"/>
      <w:r w:rsidRPr="00C90087">
        <w:rPr>
          <w:rFonts w:ascii="Times New Roman" w:eastAsiaTheme="minorHAnsi" w:hAnsi="Times New Roman" w:cs="Times New Roman"/>
          <w:sz w:val="28"/>
          <w:szCs w:val="28"/>
          <w:lang w:val="en-US" w:eastAsia="en-US"/>
        </w:rPr>
        <w:t>Gunz</w:t>
      </w:r>
      <w:proofErr w:type="spellEnd"/>
      <w:r w:rsidRPr="00C90087">
        <w:rPr>
          <w:rFonts w:ascii="Times New Roman" w:eastAsiaTheme="minorHAnsi" w:hAnsi="Times New Roman" w:cs="Times New Roman"/>
          <w:sz w:val="28"/>
          <w:szCs w:val="28"/>
          <w:lang w:val="en-US" w:eastAsia="en-US"/>
        </w:rPr>
        <w:t xml:space="preserve"> H. P., </w:t>
      </w:r>
      <w:proofErr w:type="spellStart"/>
      <w:r w:rsidRPr="00C90087">
        <w:rPr>
          <w:rFonts w:ascii="Times New Roman" w:eastAsiaTheme="minorHAnsi" w:hAnsi="Times New Roman" w:cs="Times New Roman"/>
          <w:sz w:val="28"/>
          <w:szCs w:val="28"/>
          <w:lang w:val="en-US" w:eastAsia="en-US"/>
        </w:rPr>
        <w:t>Heslin</w:t>
      </w:r>
      <w:proofErr w:type="spellEnd"/>
      <w:r w:rsidRPr="00C90087">
        <w:rPr>
          <w:rFonts w:ascii="Times New Roman" w:eastAsiaTheme="minorHAnsi" w:hAnsi="Times New Roman" w:cs="Times New Roman"/>
          <w:sz w:val="28"/>
          <w:szCs w:val="28"/>
          <w:lang w:val="en-US" w:eastAsia="en-US"/>
        </w:rPr>
        <w:t xml:space="preserve"> P. A. Reconceptualizing career success. Journal of Organizational Behavior. 20</w:t>
      </w:r>
      <w:r w:rsidRPr="00C90087">
        <w:rPr>
          <w:rFonts w:ascii="Times New Roman" w:eastAsiaTheme="minorHAnsi" w:hAnsi="Times New Roman" w:cs="Times New Roman"/>
          <w:sz w:val="28"/>
          <w:szCs w:val="28"/>
          <w:lang w:val="uk-UA" w:eastAsia="en-US"/>
        </w:rPr>
        <w:t>1</w:t>
      </w:r>
      <w:r w:rsidRPr="00C90087">
        <w:rPr>
          <w:rFonts w:ascii="Times New Roman" w:eastAsiaTheme="minorHAnsi" w:hAnsi="Times New Roman" w:cs="Times New Roman"/>
          <w:sz w:val="28"/>
          <w:szCs w:val="28"/>
          <w:lang w:val="en-US" w:eastAsia="en-US"/>
        </w:rPr>
        <w:t xml:space="preserve">5. № 26(2). </w:t>
      </w:r>
      <w:r w:rsidRPr="00C90087">
        <w:rPr>
          <w:rFonts w:ascii="Times New Roman" w:eastAsiaTheme="minorHAnsi" w:hAnsi="Times New Roman" w:cs="Times New Roman"/>
          <w:sz w:val="28"/>
          <w:szCs w:val="28"/>
          <w:lang w:val="uk-UA" w:eastAsia="en-US"/>
        </w:rPr>
        <w:t>Р</w:t>
      </w:r>
      <w:r w:rsidRPr="00C90087">
        <w:rPr>
          <w:rFonts w:ascii="Times New Roman" w:eastAsiaTheme="minorHAnsi" w:hAnsi="Times New Roman" w:cs="Times New Roman"/>
          <w:sz w:val="28"/>
          <w:szCs w:val="28"/>
          <w:lang w:val="en-US" w:eastAsia="en-US"/>
        </w:rPr>
        <w:t>. 105–111. DOI: https://doi.org/10.1002/job.300.</w:t>
      </w:r>
    </w:p>
    <w:p w14:paraId="08CCBEC9"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6. Ng T. W., </w:t>
      </w:r>
      <w:proofErr w:type="spellStart"/>
      <w:r w:rsidRPr="00C90087">
        <w:rPr>
          <w:rFonts w:ascii="Times New Roman" w:eastAsiaTheme="minorHAnsi" w:hAnsi="Times New Roman" w:cs="Times New Roman"/>
          <w:sz w:val="28"/>
          <w:szCs w:val="28"/>
          <w:lang w:val="en-US" w:eastAsia="en-US"/>
        </w:rPr>
        <w:t>Eby</w:t>
      </w:r>
      <w:proofErr w:type="spellEnd"/>
      <w:r w:rsidRPr="00C90087">
        <w:rPr>
          <w:rFonts w:ascii="Times New Roman" w:eastAsiaTheme="minorHAnsi" w:hAnsi="Times New Roman" w:cs="Times New Roman"/>
          <w:sz w:val="28"/>
          <w:szCs w:val="28"/>
          <w:lang w:val="en-US" w:eastAsia="en-US"/>
        </w:rPr>
        <w:t xml:space="preserve"> L. T., Sorensen K. L., Feldman D. C. Predictors of objective and subjective career success. A meta-analysis. Personnel Psychology. 2005. № 58(2). </w:t>
      </w:r>
      <w:r w:rsidRPr="00C90087">
        <w:rPr>
          <w:rFonts w:ascii="Times New Roman" w:eastAsiaTheme="minorHAnsi" w:hAnsi="Times New Roman" w:cs="Times New Roman"/>
          <w:sz w:val="28"/>
          <w:szCs w:val="28"/>
          <w:lang w:val="uk-UA" w:eastAsia="en-US"/>
        </w:rPr>
        <w:t>Р</w:t>
      </w:r>
      <w:r w:rsidRPr="00C90087">
        <w:rPr>
          <w:rFonts w:ascii="Times New Roman" w:eastAsiaTheme="minorHAnsi" w:hAnsi="Times New Roman" w:cs="Times New Roman"/>
          <w:sz w:val="28"/>
          <w:szCs w:val="28"/>
          <w:lang w:val="en-US" w:eastAsia="en-US"/>
        </w:rPr>
        <w:t xml:space="preserve">. 367–408. DOI: </w:t>
      </w:r>
      <w:hyperlink r:id="rId46" w:tgtFrame="_blank" w:history="1">
        <w:r w:rsidRPr="00C90087">
          <w:rPr>
            <w:rFonts w:ascii="Times New Roman" w:eastAsiaTheme="minorHAnsi" w:hAnsi="Times New Roman" w:cs="Times New Roman"/>
            <w:sz w:val="28"/>
            <w:szCs w:val="28"/>
            <w:lang w:val="en-US" w:eastAsia="en-US"/>
          </w:rPr>
          <w:t>https://doi.org/10.1111/j.1744-6570.2005.00515.x</w:t>
        </w:r>
      </w:hyperlink>
      <w:r w:rsidRPr="00C90087">
        <w:rPr>
          <w:rFonts w:ascii="Times New Roman" w:eastAsiaTheme="minorHAnsi" w:hAnsi="Times New Roman" w:cs="Times New Roman"/>
          <w:sz w:val="28"/>
          <w:szCs w:val="28"/>
          <w:lang w:val="en-US" w:eastAsia="en-US"/>
        </w:rPr>
        <w:t xml:space="preserve">. </w:t>
      </w:r>
    </w:p>
    <w:p w14:paraId="31BFC76A"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uk-UA" w:eastAsia="en-US"/>
        </w:rPr>
        <w:t xml:space="preserve">7. </w:t>
      </w:r>
      <w:proofErr w:type="spellStart"/>
      <w:r w:rsidRPr="00C90087">
        <w:rPr>
          <w:rFonts w:ascii="Times New Roman" w:eastAsiaTheme="minorHAnsi" w:hAnsi="Times New Roman" w:cs="Times New Roman"/>
          <w:sz w:val="28"/>
          <w:szCs w:val="28"/>
          <w:lang w:val="uk-UA" w:eastAsia="en-US"/>
        </w:rPr>
        <w:t>Лозовецька</w:t>
      </w:r>
      <w:proofErr w:type="spellEnd"/>
      <w:r w:rsidRPr="00C90087">
        <w:rPr>
          <w:rFonts w:ascii="Times New Roman" w:eastAsiaTheme="minorHAnsi" w:hAnsi="Times New Roman" w:cs="Times New Roman"/>
          <w:sz w:val="28"/>
          <w:szCs w:val="28"/>
          <w:lang w:val="uk-UA" w:eastAsia="en-US"/>
        </w:rPr>
        <w:t xml:space="preserve"> В. Т. Професійна кар’єра особистості в сучасних умовах: монографія. Київ: Інститут професійно-технічної освіти. 2015. 279 с.</w:t>
      </w:r>
    </w:p>
    <w:p w14:paraId="2551EF4C"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uk-UA" w:eastAsia="en-US"/>
        </w:rPr>
        <w:t xml:space="preserve">8. </w:t>
      </w:r>
      <w:proofErr w:type="spellStart"/>
      <w:r w:rsidRPr="00C90087">
        <w:rPr>
          <w:rFonts w:ascii="Times New Roman" w:eastAsiaTheme="minorHAnsi" w:hAnsi="Times New Roman" w:cs="Times New Roman"/>
          <w:sz w:val="28"/>
          <w:szCs w:val="28"/>
          <w:lang w:val="uk-UA" w:eastAsia="en-US"/>
        </w:rPr>
        <w:t>Літинська</w:t>
      </w:r>
      <w:proofErr w:type="spellEnd"/>
      <w:r w:rsidRPr="00C90087">
        <w:rPr>
          <w:rFonts w:ascii="Times New Roman" w:eastAsiaTheme="minorHAnsi" w:hAnsi="Times New Roman" w:cs="Times New Roman"/>
          <w:sz w:val="28"/>
          <w:szCs w:val="28"/>
          <w:lang w:val="uk-UA" w:eastAsia="en-US"/>
        </w:rPr>
        <w:t xml:space="preserve"> В. А. Формування системи управління кар’єрою працівників у закладах вищої освіти. Освітня аналітика України. 2022. № 2 (18). С. 45-55. </w:t>
      </w:r>
    </w:p>
    <w:p w14:paraId="5355FC84"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uk-UA" w:eastAsia="en-US"/>
        </w:rPr>
        <w:t xml:space="preserve">9. </w:t>
      </w:r>
      <w:proofErr w:type="spellStart"/>
      <w:r w:rsidRPr="00C90087">
        <w:rPr>
          <w:rFonts w:ascii="Times New Roman" w:eastAsiaTheme="minorHAnsi" w:hAnsi="Times New Roman" w:cs="Times New Roman"/>
          <w:sz w:val="28"/>
          <w:szCs w:val="28"/>
          <w:lang w:val="uk-UA" w:eastAsia="en-US"/>
        </w:rPr>
        <w:t>Козубовська</w:t>
      </w:r>
      <w:proofErr w:type="spellEnd"/>
      <w:r w:rsidRPr="00C90087">
        <w:rPr>
          <w:rFonts w:ascii="Times New Roman" w:eastAsiaTheme="minorHAnsi" w:hAnsi="Times New Roman" w:cs="Times New Roman"/>
          <w:sz w:val="28"/>
          <w:szCs w:val="28"/>
          <w:lang w:val="uk-UA" w:eastAsia="en-US"/>
        </w:rPr>
        <w:t xml:space="preserve"> І. В., Стойка О. Я, </w:t>
      </w:r>
      <w:proofErr w:type="spellStart"/>
      <w:r w:rsidRPr="00C90087">
        <w:rPr>
          <w:rFonts w:ascii="Times New Roman" w:eastAsiaTheme="minorHAnsi" w:hAnsi="Times New Roman" w:cs="Times New Roman"/>
          <w:sz w:val="28"/>
          <w:szCs w:val="28"/>
          <w:lang w:val="uk-UA" w:eastAsia="en-US"/>
        </w:rPr>
        <w:t>Сідун</w:t>
      </w:r>
      <w:proofErr w:type="spellEnd"/>
      <w:r w:rsidRPr="00C90087">
        <w:rPr>
          <w:rFonts w:ascii="Times New Roman" w:eastAsiaTheme="minorHAnsi" w:hAnsi="Times New Roman" w:cs="Times New Roman"/>
          <w:sz w:val="28"/>
          <w:szCs w:val="28"/>
          <w:lang w:val="uk-UA" w:eastAsia="en-US"/>
        </w:rPr>
        <w:t xml:space="preserve"> Л. Ю. Історико–педагогічні аспекти розвитку вищої освіти в США (кінець ХХ початок ХХІ століття): монографія. Ужгород: Видавництво ПП «АУТДОР-ШАРК». 2015. 186 с.</w:t>
      </w:r>
    </w:p>
    <w:p w14:paraId="24C53FDA"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10. Al </w:t>
      </w:r>
      <w:proofErr w:type="spellStart"/>
      <w:r w:rsidRPr="00C90087">
        <w:rPr>
          <w:rFonts w:ascii="Times New Roman" w:eastAsiaTheme="minorHAnsi" w:hAnsi="Times New Roman" w:cs="Times New Roman"/>
          <w:sz w:val="28"/>
          <w:szCs w:val="28"/>
          <w:lang w:val="en-US" w:eastAsia="en-US"/>
        </w:rPr>
        <w:t>Ariss</w:t>
      </w:r>
      <w:proofErr w:type="spellEnd"/>
      <w:r w:rsidRPr="00C90087">
        <w:rPr>
          <w:rFonts w:ascii="Times New Roman" w:eastAsiaTheme="minorHAnsi" w:hAnsi="Times New Roman" w:cs="Times New Roman"/>
          <w:sz w:val="28"/>
          <w:szCs w:val="28"/>
          <w:lang w:val="en-US" w:eastAsia="en-US"/>
        </w:rPr>
        <w:t xml:space="preserve"> A. Modes of engagement: Migration, self</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 xml:space="preserve">initiated expatriation, and career development. Career Development International. 2015. № 15(4). Р. 338–358. DOI: </w:t>
      </w:r>
      <w:hyperlink r:id="rId47" w:history="1">
        <w:r w:rsidRPr="00C90087">
          <w:rPr>
            <w:rFonts w:ascii="Times New Roman" w:hAnsi="Times New Roman" w:cs="Times New Roman"/>
            <w:sz w:val="28"/>
            <w:szCs w:val="28"/>
            <w:lang w:val="en-US" w:eastAsia="en-US"/>
          </w:rPr>
          <w:t>https://doi.org/10.1108/13620431011066231</w:t>
        </w:r>
      </w:hyperlink>
    </w:p>
    <w:p w14:paraId="3E2F5740"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11. </w:t>
      </w:r>
      <w:proofErr w:type="spellStart"/>
      <w:r w:rsidRPr="00C90087">
        <w:rPr>
          <w:rFonts w:ascii="Times New Roman" w:eastAsiaTheme="minorHAnsi" w:hAnsi="Times New Roman" w:cs="Times New Roman"/>
          <w:sz w:val="28"/>
          <w:szCs w:val="28"/>
          <w:lang w:val="en-US" w:eastAsia="en-US"/>
        </w:rPr>
        <w:t>Boussebaa</w:t>
      </w:r>
      <w:proofErr w:type="spellEnd"/>
      <w:r w:rsidRPr="00C90087">
        <w:rPr>
          <w:rFonts w:ascii="Times New Roman" w:eastAsiaTheme="minorHAnsi" w:hAnsi="Times New Roman" w:cs="Times New Roman"/>
          <w:sz w:val="28"/>
          <w:szCs w:val="28"/>
          <w:lang w:val="en-US" w:eastAsia="en-US"/>
        </w:rPr>
        <w:t xml:space="preserve"> M., Morgan G. Managing talent across national borders: The challenges faced by an international retail group. Critical Perspectives on International Business. 2008. № 4(1). Р. 25–41. DOI: </w:t>
      </w:r>
      <w:hyperlink r:id="rId48" w:history="1">
        <w:r w:rsidRPr="00C90087">
          <w:rPr>
            <w:rFonts w:ascii="Times New Roman" w:hAnsi="Times New Roman" w:cs="Times New Roman"/>
            <w:sz w:val="28"/>
            <w:szCs w:val="28"/>
            <w:lang w:val="en-US" w:eastAsia="en-US"/>
          </w:rPr>
          <w:t>https://doi.org/10.1108/17422040810849749</w:t>
        </w:r>
      </w:hyperlink>
      <w:r w:rsidRPr="00C90087">
        <w:rPr>
          <w:rFonts w:ascii="Times New Roman" w:eastAsiaTheme="minorHAnsi" w:hAnsi="Times New Roman" w:cs="Times New Roman"/>
          <w:sz w:val="28"/>
          <w:szCs w:val="28"/>
          <w:lang w:val="en-US" w:eastAsia="en-US"/>
        </w:rPr>
        <w:t>.</w:t>
      </w:r>
    </w:p>
    <w:p w14:paraId="39330FE9"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12. Engelhardt H. Late careers in Europe: Effects of individual and institutional factors. European Sociological Review. 2011. № 28(4). Р. 550–563.</w:t>
      </w:r>
    </w:p>
    <w:p w14:paraId="76F6396E"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13. Shockley K.M., </w:t>
      </w:r>
      <w:proofErr w:type="spellStart"/>
      <w:r w:rsidRPr="00C90087">
        <w:rPr>
          <w:rFonts w:ascii="Times New Roman" w:eastAsiaTheme="minorHAnsi" w:hAnsi="Times New Roman" w:cs="Times New Roman"/>
          <w:sz w:val="28"/>
          <w:szCs w:val="28"/>
          <w:lang w:val="en-US" w:eastAsia="en-US"/>
        </w:rPr>
        <w:t>Ureksoy</w:t>
      </w:r>
      <w:proofErr w:type="spellEnd"/>
      <w:r w:rsidRPr="00C90087">
        <w:rPr>
          <w:rFonts w:ascii="Times New Roman" w:eastAsiaTheme="minorHAnsi" w:hAnsi="Times New Roman" w:cs="Times New Roman"/>
          <w:sz w:val="28"/>
          <w:szCs w:val="28"/>
          <w:lang w:val="en-US" w:eastAsia="en-US"/>
        </w:rPr>
        <w:t xml:space="preserve"> H., </w:t>
      </w:r>
      <w:proofErr w:type="spellStart"/>
      <w:r w:rsidRPr="00C90087">
        <w:rPr>
          <w:rFonts w:ascii="Times New Roman" w:eastAsiaTheme="minorHAnsi" w:hAnsi="Times New Roman" w:cs="Times New Roman"/>
          <w:sz w:val="28"/>
          <w:szCs w:val="28"/>
          <w:lang w:val="en-US" w:eastAsia="en-US"/>
        </w:rPr>
        <w:t>Rodopman</w:t>
      </w:r>
      <w:proofErr w:type="spellEnd"/>
      <w:r w:rsidRPr="00C90087">
        <w:rPr>
          <w:rFonts w:ascii="Times New Roman" w:eastAsiaTheme="minorHAnsi" w:hAnsi="Times New Roman" w:cs="Times New Roman"/>
          <w:sz w:val="28"/>
          <w:szCs w:val="28"/>
          <w:lang w:val="en-US" w:eastAsia="en-US"/>
        </w:rPr>
        <w:t xml:space="preserve"> O.B., </w:t>
      </w:r>
      <w:proofErr w:type="spellStart"/>
      <w:r w:rsidRPr="00C90087">
        <w:rPr>
          <w:rFonts w:ascii="Times New Roman" w:eastAsiaTheme="minorHAnsi" w:hAnsi="Times New Roman" w:cs="Times New Roman"/>
          <w:sz w:val="28"/>
          <w:szCs w:val="28"/>
          <w:lang w:val="en-US" w:eastAsia="en-US"/>
        </w:rPr>
        <w:t>Poteat</w:t>
      </w:r>
      <w:proofErr w:type="spellEnd"/>
      <w:r w:rsidRPr="00C90087">
        <w:rPr>
          <w:rFonts w:ascii="Times New Roman" w:eastAsiaTheme="minorHAnsi" w:hAnsi="Times New Roman" w:cs="Times New Roman"/>
          <w:sz w:val="28"/>
          <w:szCs w:val="28"/>
          <w:lang w:val="en-US" w:eastAsia="en-US"/>
        </w:rPr>
        <w:t xml:space="preserve"> L.F., </w:t>
      </w:r>
      <w:proofErr w:type="spellStart"/>
      <w:r w:rsidRPr="00C90087">
        <w:rPr>
          <w:rFonts w:ascii="Times New Roman" w:eastAsiaTheme="minorHAnsi" w:hAnsi="Times New Roman" w:cs="Times New Roman"/>
          <w:sz w:val="28"/>
          <w:szCs w:val="28"/>
          <w:lang w:val="en-US" w:eastAsia="en-US"/>
        </w:rPr>
        <w:t>Dullaghan</w:t>
      </w:r>
      <w:proofErr w:type="spellEnd"/>
      <w:r w:rsidRPr="00C90087">
        <w:rPr>
          <w:rFonts w:ascii="Times New Roman" w:eastAsiaTheme="minorHAnsi" w:hAnsi="Times New Roman" w:cs="Times New Roman"/>
          <w:sz w:val="28"/>
          <w:szCs w:val="28"/>
          <w:lang w:val="en-US" w:eastAsia="en-US"/>
        </w:rPr>
        <w:t xml:space="preserve"> T.R. Development of a new scale to measure subjective career success: A mixed</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 xml:space="preserve">methods </w:t>
      </w:r>
      <w:r w:rsidRPr="00C90087">
        <w:rPr>
          <w:rFonts w:ascii="Times New Roman" w:eastAsiaTheme="minorHAnsi" w:hAnsi="Times New Roman" w:cs="Times New Roman"/>
          <w:sz w:val="28"/>
          <w:szCs w:val="28"/>
          <w:lang w:val="en-US" w:eastAsia="en-US"/>
        </w:rPr>
        <w:lastRenderedPageBreak/>
        <w:t>study. Journal of Organizational Behavior. 2016. № 37(1). Р. 128–153. DOI: https://doi.org/10.1002/job.2046.</w:t>
      </w:r>
    </w:p>
    <w:p w14:paraId="5F061E5B"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14. Nisbett R. E., Miyamoto Y. The influence of culture: Holistic versus analytic perception. Trends in Cognitive Sciences. 20</w:t>
      </w:r>
      <w:r w:rsidRPr="00C90087">
        <w:rPr>
          <w:rFonts w:ascii="Times New Roman" w:eastAsiaTheme="minorHAnsi" w:hAnsi="Times New Roman" w:cs="Times New Roman"/>
          <w:sz w:val="28"/>
          <w:szCs w:val="28"/>
          <w:lang w:val="uk-UA" w:eastAsia="en-US"/>
        </w:rPr>
        <w:t>1</w:t>
      </w:r>
      <w:r w:rsidRPr="00C90087">
        <w:rPr>
          <w:rFonts w:ascii="Times New Roman" w:eastAsiaTheme="minorHAnsi" w:hAnsi="Times New Roman" w:cs="Times New Roman"/>
          <w:sz w:val="28"/>
          <w:szCs w:val="28"/>
          <w:lang w:val="en-US" w:eastAsia="en-US"/>
        </w:rPr>
        <w:t>5. № 9(10). Р. 467–473. DOI: https://doi.org/10.1016/j.tics.20</w:t>
      </w:r>
      <w:r w:rsidRPr="00C90087">
        <w:rPr>
          <w:rFonts w:ascii="Times New Roman" w:eastAsiaTheme="minorHAnsi" w:hAnsi="Times New Roman" w:cs="Times New Roman"/>
          <w:sz w:val="28"/>
          <w:szCs w:val="28"/>
          <w:lang w:val="uk-UA" w:eastAsia="en-US"/>
        </w:rPr>
        <w:t>1</w:t>
      </w:r>
      <w:r w:rsidRPr="00C90087">
        <w:rPr>
          <w:rFonts w:ascii="Times New Roman" w:eastAsiaTheme="minorHAnsi" w:hAnsi="Times New Roman" w:cs="Times New Roman"/>
          <w:sz w:val="28"/>
          <w:szCs w:val="28"/>
          <w:lang w:val="en-US" w:eastAsia="en-US"/>
        </w:rPr>
        <w:t>5.08.004.</w:t>
      </w:r>
    </w:p>
    <w:p w14:paraId="08C76A65"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15. Rousseau D. M. Schema, promise and mutuality: The building blocks of the psychological contract. Journal of Occupational and Organizational Psychology. 2021. № 74(4). Р. 511–541. DOI: https://doi.org/10.1348/096317901167505.</w:t>
      </w:r>
    </w:p>
    <w:p w14:paraId="6549564B"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uk-UA" w:eastAsia="en-US"/>
        </w:rPr>
        <w:t xml:space="preserve">16. </w:t>
      </w:r>
      <w:proofErr w:type="spellStart"/>
      <w:r w:rsidRPr="00C90087">
        <w:rPr>
          <w:rFonts w:ascii="Times New Roman" w:eastAsiaTheme="minorHAnsi" w:hAnsi="Times New Roman" w:cs="Times New Roman"/>
          <w:sz w:val="28"/>
          <w:szCs w:val="28"/>
          <w:lang w:val="uk-UA" w:eastAsia="en-US"/>
        </w:rPr>
        <w:t>Зливков</w:t>
      </w:r>
      <w:proofErr w:type="spellEnd"/>
      <w:r w:rsidRPr="00C90087">
        <w:rPr>
          <w:rFonts w:ascii="Times New Roman" w:eastAsiaTheme="minorHAnsi" w:hAnsi="Times New Roman" w:cs="Times New Roman"/>
          <w:sz w:val="28"/>
          <w:szCs w:val="28"/>
          <w:lang w:val="uk-UA" w:eastAsia="en-US"/>
        </w:rPr>
        <w:t xml:space="preserve"> В.Л., Лукомська С.О., </w:t>
      </w:r>
      <w:proofErr w:type="spellStart"/>
      <w:r w:rsidRPr="00C90087">
        <w:rPr>
          <w:rFonts w:ascii="Times New Roman" w:eastAsiaTheme="minorHAnsi" w:hAnsi="Times New Roman" w:cs="Times New Roman"/>
          <w:sz w:val="28"/>
          <w:szCs w:val="28"/>
          <w:lang w:val="uk-UA" w:eastAsia="en-US"/>
        </w:rPr>
        <w:t>Федан</w:t>
      </w:r>
      <w:proofErr w:type="spellEnd"/>
      <w:r w:rsidRPr="00C90087">
        <w:rPr>
          <w:rFonts w:ascii="Times New Roman" w:eastAsiaTheme="minorHAnsi" w:hAnsi="Times New Roman" w:cs="Times New Roman"/>
          <w:sz w:val="28"/>
          <w:szCs w:val="28"/>
          <w:lang w:val="uk-UA" w:eastAsia="en-US"/>
        </w:rPr>
        <w:t xml:space="preserve"> О.В. Психодіагностика особистості у кризових життєвих ситуаціях. К.: Педагогічна думка. 2016.219с.</w:t>
      </w:r>
    </w:p>
    <w:p w14:paraId="49805E87"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en-US" w:eastAsia="en-US"/>
        </w:rPr>
        <w:t>17. Nisbett R. E., Miyamoto Y. The influence of culture: Holistic versus analytic perception. Trends in Cognitive Sciences. 2015. № 9(10). Р. 467–473. DOI: https://doi.org/10.1016/j.tics.2005.08.004</w:t>
      </w:r>
      <w:r w:rsidRPr="00C90087">
        <w:rPr>
          <w:rFonts w:ascii="Times New Roman" w:eastAsiaTheme="minorHAnsi" w:hAnsi="Times New Roman" w:cs="Times New Roman"/>
          <w:sz w:val="28"/>
          <w:szCs w:val="28"/>
          <w:lang w:val="uk-UA" w:eastAsia="en-US"/>
        </w:rPr>
        <w:t>.</w:t>
      </w:r>
    </w:p>
    <w:p w14:paraId="5CB72E5E"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en-US" w:eastAsia="en-US"/>
        </w:rPr>
        <w:t xml:space="preserve">18. </w:t>
      </w:r>
      <w:proofErr w:type="spellStart"/>
      <w:r w:rsidRPr="00C90087">
        <w:rPr>
          <w:rFonts w:ascii="Times New Roman" w:eastAsiaTheme="minorHAnsi" w:hAnsi="Times New Roman" w:cs="Times New Roman"/>
          <w:sz w:val="28"/>
          <w:szCs w:val="28"/>
          <w:lang w:val="en-US" w:eastAsia="en-US"/>
        </w:rPr>
        <w:t>Zerubavel</w:t>
      </w:r>
      <w:proofErr w:type="spellEnd"/>
      <w:r w:rsidRPr="00C90087">
        <w:rPr>
          <w:rFonts w:ascii="Times New Roman" w:eastAsiaTheme="minorHAnsi" w:hAnsi="Times New Roman" w:cs="Times New Roman"/>
          <w:sz w:val="28"/>
          <w:szCs w:val="28"/>
          <w:lang w:val="en-US" w:eastAsia="en-US"/>
        </w:rPr>
        <w:t xml:space="preserve"> E. Lumping and splitting: Notes on social classification. Sociological Forum</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val="uk-UA" w:eastAsia="en-US"/>
        </w:rPr>
        <w:t>20</w:t>
      </w:r>
      <w:r w:rsidRPr="00C90087">
        <w:rPr>
          <w:rFonts w:ascii="Times New Roman" w:eastAsiaTheme="minorHAnsi" w:hAnsi="Times New Roman" w:cs="Times New Roman"/>
          <w:sz w:val="28"/>
          <w:szCs w:val="28"/>
          <w:lang w:val="en-US" w:eastAsia="en-US"/>
        </w:rPr>
        <w:t>16</w:t>
      </w:r>
      <w:r w:rsidRPr="00C90087">
        <w:rPr>
          <w:rFonts w:ascii="Times New Roman" w:eastAsiaTheme="minorHAnsi" w:hAnsi="Times New Roman" w:cs="Times New Roman"/>
          <w:sz w:val="28"/>
          <w:szCs w:val="28"/>
          <w:lang w:val="uk-UA" w:eastAsia="en-US"/>
        </w:rPr>
        <w:t>. №</w:t>
      </w:r>
      <w:r w:rsidRPr="00C90087">
        <w:rPr>
          <w:rFonts w:ascii="Times New Roman" w:eastAsiaTheme="minorHAnsi" w:hAnsi="Times New Roman" w:cs="Times New Roman"/>
          <w:sz w:val="28"/>
          <w:szCs w:val="28"/>
          <w:lang w:val="en-US" w:eastAsia="en-US"/>
        </w:rPr>
        <w:t>11(3)</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val="uk-UA" w:eastAsia="en-US"/>
        </w:rPr>
        <w:t xml:space="preserve">Р. </w:t>
      </w:r>
      <w:r w:rsidRPr="00C90087">
        <w:rPr>
          <w:rFonts w:ascii="Times New Roman" w:eastAsiaTheme="minorHAnsi" w:hAnsi="Times New Roman" w:cs="Times New Roman"/>
          <w:sz w:val="28"/>
          <w:szCs w:val="28"/>
          <w:lang w:val="en-US" w:eastAsia="en-US"/>
        </w:rPr>
        <w:t>421–433. DOI: https://doi.org/10.1007/BF02408386</w:t>
      </w:r>
      <w:r w:rsidRPr="00C90087">
        <w:rPr>
          <w:rFonts w:ascii="Times New Roman" w:eastAsiaTheme="minorHAnsi" w:hAnsi="Times New Roman" w:cs="Times New Roman"/>
          <w:sz w:val="28"/>
          <w:szCs w:val="28"/>
          <w:lang w:val="uk-UA" w:eastAsia="en-US"/>
        </w:rPr>
        <w:t>.</w:t>
      </w:r>
    </w:p>
    <w:p w14:paraId="7A7AB75E"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19. Leung S. A. The big five career theories. In J. A. </w:t>
      </w:r>
      <w:proofErr w:type="spellStart"/>
      <w:r w:rsidRPr="00C90087">
        <w:rPr>
          <w:rFonts w:ascii="Times New Roman" w:eastAsiaTheme="minorHAnsi" w:hAnsi="Times New Roman" w:cs="Times New Roman"/>
          <w:sz w:val="28"/>
          <w:szCs w:val="28"/>
          <w:lang w:val="en-US" w:eastAsia="en-US"/>
        </w:rPr>
        <w:t>Athanasou</w:t>
      </w:r>
      <w:proofErr w:type="spellEnd"/>
      <w:r w:rsidRPr="00C90087">
        <w:rPr>
          <w:rFonts w:ascii="Times New Roman" w:eastAsiaTheme="minorHAnsi" w:hAnsi="Times New Roman" w:cs="Times New Roman"/>
          <w:sz w:val="28"/>
          <w:szCs w:val="28"/>
          <w:lang w:val="en-US" w:eastAsia="en-US"/>
        </w:rPr>
        <w:t xml:space="preserve"> &amp; R. van </w:t>
      </w:r>
      <w:proofErr w:type="spellStart"/>
      <w:r w:rsidRPr="00C90087">
        <w:rPr>
          <w:rFonts w:ascii="Times New Roman" w:eastAsiaTheme="minorHAnsi" w:hAnsi="Times New Roman" w:cs="Times New Roman"/>
          <w:sz w:val="28"/>
          <w:szCs w:val="28"/>
          <w:lang w:val="en-US" w:eastAsia="en-US"/>
        </w:rPr>
        <w:t>Esbroeck</w:t>
      </w:r>
      <w:proofErr w:type="spellEnd"/>
      <w:r w:rsidRPr="00C90087">
        <w:rPr>
          <w:rFonts w:ascii="Times New Roman" w:eastAsiaTheme="minorHAnsi" w:hAnsi="Times New Roman" w:cs="Times New Roman"/>
          <w:sz w:val="28"/>
          <w:szCs w:val="28"/>
          <w:lang w:val="en-US" w:eastAsia="en-US"/>
        </w:rPr>
        <w:t xml:space="preserve"> (Eds.). International handbook of career guidance. 2018. P. 115–132. DOI: https://doi.org/10.1007/978</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1</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4020</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6230</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8_6.</w:t>
      </w:r>
    </w:p>
    <w:p w14:paraId="50D98E94"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20. Weber K., Glynn M. A. Making sense with institutions: Context, thought and action in Karl Weick's theory. Organization Studies. 2006. № 27(11). Р. 1639–1660. DOI: https://doi.org/10.1177/0170840606068343.</w:t>
      </w:r>
    </w:p>
    <w:p w14:paraId="453FA04D"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21. Jonker C. M., Van </w:t>
      </w:r>
      <w:proofErr w:type="spellStart"/>
      <w:r w:rsidRPr="00C90087">
        <w:rPr>
          <w:rFonts w:ascii="Times New Roman" w:eastAsiaTheme="minorHAnsi" w:hAnsi="Times New Roman" w:cs="Times New Roman"/>
          <w:sz w:val="28"/>
          <w:szCs w:val="28"/>
          <w:lang w:val="en-US" w:eastAsia="en-US"/>
        </w:rPr>
        <w:t>Riemsdijk</w:t>
      </w:r>
      <w:proofErr w:type="spellEnd"/>
      <w:r w:rsidRPr="00C90087">
        <w:rPr>
          <w:rFonts w:ascii="Times New Roman" w:eastAsiaTheme="minorHAnsi" w:hAnsi="Times New Roman" w:cs="Times New Roman"/>
          <w:sz w:val="28"/>
          <w:szCs w:val="28"/>
          <w:lang w:val="en-US" w:eastAsia="en-US"/>
        </w:rPr>
        <w:t xml:space="preserve"> M. B., Vermeulen B. Coordination, organizations, institutions, and norms in agent systems. Heidelberg: Springer. 2011. P. 132–151. DOI: https://doi.org/10.1007/978-3-642-21268-0_8.</w:t>
      </w:r>
    </w:p>
    <w:p w14:paraId="34F59053"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en-US" w:eastAsia="en-US"/>
        </w:rPr>
        <w:t>22. Johns G. The essential impact of context on organizational behavior. Academy of Management Review</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20</w:t>
      </w:r>
      <w:r w:rsidRPr="00C90087">
        <w:rPr>
          <w:rFonts w:ascii="Times New Roman" w:eastAsiaTheme="minorHAnsi" w:hAnsi="Times New Roman" w:cs="Times New Roman"/>
          <w:sz w:val="28"/>
          <w:szCs w:val="28"/>
          <w:lang w:val="uk-UA" w:eastAsia="en-US"/>
        </w:rPr>
        <w:t>1</w:t>
      </w:r>
      <w:r w:rsidRPr="00C90087">
        <w:rPr>
          <w:rFonts w:ascii="Times New Roman" w:eastAsiaTheme="minorHAnsi" w:hAnsi="Times New Roman" w:cs="Times New Roman"/>
          <w:sz w:val="28"/>
          <w:szCs w:val="28"/>
          <w:lang w:val="en-US" w:eastAsia="en-US"/>
        </w:rPr>
        <w:t>6</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 xml:space="preserve">31(2). </w:t>
      </w:r>
      <w:r w:rsidRPr="00C90087">
        <w:rPr>
          <w:rFonts w:ascii="Times New Roman" w:eastAsiaTheme="minorHAnsi" w:hAnsi="Times New Roman" w:cs="Times New Roman"/>
          <w:sz w:val="28"/>
          <w:szCs w:val="28"/>
          <w:lang w:val="uk-UA" w:eastAsia="en-US"/>
        </w:rPr>
        <w:t xml:space="preserve">Р. </w:t>
      </w:r>
      <w:r w:rsidRPr="00C90087">
        <w:rPr>
          <w:rFonts w:ascii="Times New Roman" w:eastAsiaTheme="minorHAnsi" w:hAnsi="Times New Roman" w:cs="Times New Roman"/>
          <w:sz w:val="28"/>
          <w:szCs w:val="28"/>
          <w:lang w:val="en-US" w:eastAsia="en-US"/>
        </w:rPr>
        <w:t>386–408. DOI: https://doi.org/10.5465/amr.2006.20208687</w:t>
      </w:r>
      <w:r w:rsidRPr="00C90087">
        <w:rPr>
          <w:rFonts w:ascii="Times New Roman" w:eastAsiaTheme="minorHAnsi" w:hAnsi="Times New Roman" w:cs="Times New Roman"/>
          <w:sz w:val="28"/>
          <w:szCs w:val="28"/>
          <w:lang w:val="uk-UA" w:eastAsia="en-US"/>
        </w:rPr>
        <w:t>.</w:t>
      </w:r>
    </w:p>
    <w:p w14:paraId="4BAE9EA3"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en-US" w:eastAsia="en-US"/>
        </w:rPr>
        <w:lastRenderedPageBreak/>
        <w:t>23. Tomlinson J., Baird M., Berg P., Cooper R. Flexible careers across the life course: Advancing theory, research and</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practice. Human Relations</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2018</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71(1)</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val="uk-UA" w:eastAsia="en-US"/>
        </w:rPr>
        <w:t xml:space="preserve">Р. </w:t>
      </w:r>
      <w:r w:rsidRPr="00C90087">
        <w:rPr>
          <w:rFonts w:ascii="Times New Roman" w:eastAsiaTheme="minorHAnsi" w:hAnsi="Times New Roman" w:cs="Times New Roman"/>
          <w:sz w:val="28"/>
          <w:szCs w:val="28"/>
          <w:lang w:val="en-US" w:eastAsia="en-US"/>
        </w:rPr>
        <w:t>4–22. DOI: https://doi.org/10.1177/0018726717733313</w:t>
      </w:r>
      <w:r w:rsidRPr="00C90087">
        <w:rPr>
          <w:rFonts w:ascii="Times New Roman" w:eastAsiaTheme="minorHAnsi" w:hAnsi="Times New Roman" w:cs="Times New Roman"/>
          <w:sz w:val="28"/>
          <w:szCs w:val="28"/>
          <w:lang w:val="uk-UA" w:eastAsia="en-US"/>
        </w:rPr>
        <w:t>.</w:t>
      </w:r>
    </w:p>
    <w:p w14:paraId="0508AEEE"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en-US" w:eastAsia="en-US"/>
        </w:rPr>
        <w:t>24. Palmer T. B., Pickett G. M. The role of mental models in control theory: Understanding cognitive factors influencing</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the behaviors of salespeople. Journal of Marketing Theory and Practice</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val="uk-UA" w:eastAsia="en-US"/>
        </w:rPr>
        <w:t>201</w:t>
      </w:r>
      <w:r w:rsidRPr="00C90087">
        <w:rPr>
          <w:rFonts w:ascii="Times New Roman" w:eastAsiaTheme="minorHAnsi" w:hAnsi="Times New Roman" w:cs="Times New Roman"/>
          <w:sz w:val="28"/>
          <w:szCs w:val="28"/>
          <w:lang w:val="en-US" w:eastAsia="en-US"/>
        </w:rPr>
        <w:t>9</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 xml:space="preserve">7(1), </w:t>
      </w:r>
      <w:r w:rsidRPr="00C90087">
        <w:rPr>
          <w:rFonts w:ascii="Times New Roman" w:eastAsiaTheme="minorHAnsi" w:hAnsi="Times New Roman" w:cs="Times New Roman"/>
          <w:sz w:val="28"/>
          <w:szCs w:val="28"/>
          <w:lang w:val="uk-UA" w:eastAsia="en-US"/>
        </w:rPr>
        <w:t xml:space="preserve">Р. </w:t>
      </w:r>
      <w:r w:rsidRPr="00C90087">
        <w:rPr>
          <w:rFonts w:ascii="Times New Roman" w:eastAsiaTheme="minorHAnsi" w:hAnsi="Times New Roman" w:cs="Times New Roman"/>
          <w:sz w:val="28"/>
          <w:szCs w:val="28"/>
          <w:lang w:val="en-US" w:eastAsia="en-US"/>
        </w:rPr>
        <w:t>17–29. DOI: https://doi.org/10.1080/10696679.1999.11501816</w:t>
      </w:r>
      <w:r w:rsidRPr="00C90087">
        <w:rPr>
          <w:rFonts w:ascii="Times New Roman" w:eastAsiaTheme="minorHAnsi" w:hAnsi="Times New Roman" w:cs="Times New Roman"/>
          <w:sz w:val="28"/>
          <w:szCs w:val="28"/>
          <w:lang w:val="uk-UA" w:eastAsia="en-US"/>
        </w:rPr>
        <w:t>.</w:t>
      </w:r>
    </w:p>
    <w:p w14:paraId="392BA086"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eastAsia="en-US"/>
        </w:rPr>
        <w:t xml:space="preserve">25. </w:t>
      </w:r>
      <w:proofErr w:type="spellStart"/>
      <w:r w:rsidRPr="00C90087">
        <w:rPr>
          <w:rFonts w:ascii="Times New Roman" w:eastAsiaTheme="minorHAnsi" w:hAnsi="Times New Roman" w:cs="Times New Roman"/>
          <w:sz w:val="28"/>
          <w:szCs w:val="28"/>
          <w:lang w:eastAsia="en-US"/>
        </w:rPr>
        <w:t>Васютинський</w:t>
      </w:r>
      <w:proofErr w:type="spellEnd"/>
      <w:r w:rsidRPr="00C90087">
        <w:rPr>
          <w:rFonts w:ascii="Times New Roman" w:eastAsiaTheme="minorHAnsi" w:hAnsi="Times New Roman" w:cs="Times New Roman"/>
          <w:sz w:val="28"/>
          <w:szCs w:val="28"/>
          <w:lang w:eastAsia="en-US"/>
        </w:rPr>
        <w:t xml:space="preserve"> В. </w:t>
      </w:r>
      <w:proofErr w:type="spellStart"/>
      <w:r w:rsidRPr="00C90087">
        <w:rPr>
          <w:rFonts w:ascii="Times New Roman" w:eastAsiaTheme="minorHAnsi" w:hAnsi="Times New Roman" w:cs="Times New Roman"/>
          <w:sz w:val="28"/>
          <w:szCs w:val="28"/>
          <w:lang w:eastAsia="en-US"/>
        </w:rPr>
        <w:t>Інтеракційна</w:t>
      </w:r>
      <w:proofErr w:type="spellEnd"/>
      <w:r w:rsidRPr="00C90087">
        <w:rPr>
          <w:rFonts w:ascii="Times New Roman" w:eastAsiaTheme="minorHAnsi" w:hAnsi="Times New Roman" w:cs="Times New Roman"/>
          <w:sz w:val="28"/>
          <w:szCs w:val="28"/>
          <w:lang w:eastAsia="en-US"/>
        </w:rPr>
        <w:t xml:space="preserve"> </w:t>
      </w:r>
      <w:proofErr w:type="spellStart"/>
      <w:r w:rsidRPr="00C90087">
        <w:rPr>
          <w:rFonts w:ascii="Times New Roman" w:eastAsiaTheme="minorHAnsi" w:hAnsi="Times New Roman" w:cs="Times New Roman"/>
          <w:sz w:val="28"/>
          <w:szCs w:val="28"/>
          <w:lang w:eastAsia="en-US"/>
        </w:rPr>
        <w:t>психологія</w:t>
      </w:r>
      <w:proofErr w:type="spellEnd"/>
      <w:r w:rsidRPr="00C90087">
        <w:rPr>
          <w:rFonts w:ascii="Times New Roman" w:eastAsiaTheme="minorHAnsi" w:hAnsi="Times New Roman" w:cs="Times New Roman"/>
          <w:sz w:val="28"/>
          <w:szCs w:val="28"/>
          <w:lang w:eastAsia="en-US"/>
        </w:rPr>
        <w:t xml:space="preserve"> </w:t>
      </w:r>
      <w:proofErr w:type="spellStart"/>
      <w:proofErr w:type="gramStart"/>
      <w:r w:rsidRPr="00C90087">
        <w:rPr>
          <w:rFonts w:ascii="Times New Roman" w:eastAsiaTheme="minorHAnsi" w:hAnsi="Times New Roman" w:cs="Times New Roman"/>
          <w:sz w:val="28"/>
          <w:szCs w:val="28"/>
          <w:lang w:eastAsia="en-US"/>
        </w:rPr>
        <w:t>влади</w:t>
      </w:r>
      <w:proofErr w:type="spellEnd"/>
      <w:r w:rsidRPr="00C90087">
        <w:rPr>
          <w:rFonts w:ascii="Times New Roman" w:eastAsiaTheme="minorHAnsi" w:hAnsi="Times New Roman" w:cs="Times New Roman"/>
          <w:sz w:val="28"/>
          <w:szCs w:val="28"/>
          <w:lang w:eastAsia="en-US"/>
        </w:rPr>
        <w:t xml:space="preserve"> :</w:t>
      </w:r>
      <w:proofErr w:type="gramEnd"/>
      <w:r w:rsidRPr="00C90087">
        <w:rPr>
          <w:rFonts w:ascii="Times New Roman" w:eastAsiaTheme="minorHAnsi" w:hAnsi="Times New Roman" w:cs="Times New Roman"/>
          <w:sz w:val="28"/>
          <w:szCs w:val="28"/>
          <w:lang w:eastAsia="en-US"/>
        </w:rPr>
        <w:t xml:space="preserve"> </w:t>
      </w:r>
      <w:proofErr w:type="spellStart"/>
      <w:r w:rsidRPr="00C90087">
        <w:rPr>
          <w:rFonts w:ascii="Times New Roman" w:eastAsiaTheme="minorHAnsi" w:hAnsi="Times New Roman" w:cs="Times New Roman"/>
          <w:sz w:val="28"/>
          <w:szCs w:val="28"/>
          <w:lang w:eastAsia="en-US"/>
        </w:rPr>
        <w:t>монографія</w:t>
      </w:r>
      <w:proofErr w:type="spellEnd"/>
      <w:r w:rsidRPr="00C90087">
        <w:rPr>
          <w:rFonts w:ascii="Times New Roman" w:eastAsiaTheme="minorHAnsi" w:hAnsi="Times New Roman" w:cs="Times New Roman"/>
          <w:sz w:val="28"/>
          <w:szCs w:val="28"/>
          <w:lang w:eastAsia="en-US"/>
        </w:rPr>
        <w:t xml:space="preserve">. </w:t>
      </w:r>
      <w:r w:rsidRPr="00C90087">
        <w:rPr>
          <w:rFonts w:ascii="Times New Roman" w:eastAsiaTheme="minorHAnsi" w:hAnsi="Times New Roman" w:cs="Times New Roman"/>
          <w:sz w:val="28"/>
          <w:szCs w:val="28"/>
          <w:lang w:val="en-US" w:eastAsia="en-US"/>
        </w:rPr>
        <w:t>К., 2005. 492 с</w:t>
      </w:r>
      <w:r w:rsidRPr="00C90087">
        <w:rPr>
          <w:rFonts w:ascii="Times New Roman" w:eastAsiaTheme="minorHAnsi" w:hAnsi="Times New Roman" w:cs="Times New Roman"/>
          <w:sz w:val="28"/>
          <w:szCs w:val="28"/>
          <w:lang w:val="uk-UA" w:eastAsia="en-US"/>
        </w:rPr>
        <w:t>.</w:t>
      </w:r>
    </w:p>
    <w:p w14:paraId="59BA1A22"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011B00">
        <w:rPr>
          <w:rFonts w:ascii="Times New Roman" w:eastAsiaTheme="minorHAnsi" w:hAnsi="Times New Roman" w:cs="Times New Roman"/>
          <w:sz w:val="28"/>
          <w:szCs w:val="28"/>
          <w:lang w:val="en-US" w:eastAsia="en-US"/>
        </w:rPr>
        <w:t xml:space="preserve">26. </w:t>
      </w:r>
      <w:r w:rsidRPr="00C90087">
        <w:rPr>
          <w:rFonts w:ascii="Times New Roman" w:eastAsiaTheme="minorHAnsi" w:hAnsi="Times New Roman" w:cs="Times New Roman"/>
          <w:sz w:val="28"/>
          <w:szCs w:val="28"/>
          <w:lang w:val="en-US" w:eastAsia="en-US"/>
        </w:rPr>
        <w:t xml:space="preserve">Spicer D. P. Linking mental models and cognitive maps as an aid to </w:t>
      </w:r>
      <w:proofErr w:type="spellStart"/>
      <w:r w:rsidRPr="00C90087">
        <w:rPr>
          <w:rFonts w:ascii="Times New Roman" w:eastAsiaTheme="minorHAnsi" w:hAnsi="Times New Roman" w:cs="Times New Roman"/>
          <w:sz w:val="28"/>
          <w:szCs w:val="28"/>
          <w:lang w:val="en-US" w:eastAsia="en-US"/>
        </w:rPr>
        <w:t>organisational</w:t>
      </w:r>
      <w:proofErr w:type="spellEnd"/>
      <w:r w:rsidRPr="00C90087">
        <w:rPr>
          <w:rFonts w:ascii="Times New Roman" w:eastAsiaTheme="minorHAnsi" w:hAnsi="Times New Roman" w:cs="Times New Roman"/>
          <w:sz w:val="28"/>
          <w:szCs w:val="28"/>
          <w:lang w:val="en-US" w:eastAsia="en-US"/>
        </w:rPr>
        <w:t xml:space="preserve"> learning. Career Development</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International</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val="uk-UA" w:eastAsia="en-US"/>
        </w:rPr>
        <w:t>20</w:t>
      </w:r>
      <w:r w:rsidRPr="00C90087">
        <w:rPr>
          <w:rFonts w:ascii="Times New Roman" w:eastAsiaTheme="minorHAnsi" w:hAnsi="Times New Roman" w:cs="Times New Roman"/>
          <w:sz w:val="28"/>
          <w:szCs w:val="28"/>
          <w:lang w:val="en-US" w:eastAsia="en-US"/>
        </w:rPr>
        <w:t>18</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3(3). Р. 125–132. DOI: https://doi.org/10.1108/13620439810211126</w:t>
      </w:r>
      <w:r w:rsidRPr="00C90087">
        <w:rPr>
          <w:rFonts w:ascii="Times New Roman" w:eastAsiaTheme="minorHAnsi" w:hAnsi="Times New Roman" w:cs="Times New Roman"/>
          <w:sz w:val="28"/>
          <w:szCs w:val="28"/>
          <w:lang w:val="uk-UA" w:eastAsia="en-US"/>
        </w:rPr>
        <w:t>.</w:t>
      </w:r>
    </w:p>
    <w:p w14:paraId="538961F1"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en-US" w:eastAsia="en-US"/>
        </w:rPr>
        <w:t xml:space="preserve">27. Jones N. A., Ross H., </w:t>
      </w:r>
      <w:proofErr w:type="spellStart"/>
      <w:r w:rsidRPr="00C90087">
        <w:rPr>
          <w:rFonts w:ascii="Times New Roman" w:eastAsiaTheme="minorHAnsi" w:hAnsi="Times New Roman" w:cs="Times New Roman"/>
          <w:sz w:val="28"/>
          <w:szCs w:val="28"/>
          <w:lang w:val="en-US" w:eastAsia="en-US"/>
        </w:rPr>
        <w:t>Lynam</w:t>
      </w:r>
      <w:proofErr w:type="spellEnd"/>
      <w:r w:rsidRPr="00C90087">
        <w:rPr>
          <w:rFonts w:ascii="Times New Roman" w:eastAsiaTheme="minorHAnsi" w:hAnsi="Times New Roman" w:cs="Times New Roman"/>
          <w:sz w:val="28"/>
          <w:szCs w:val="28"/>
          <w:lang w:val="en-US" w:eastAsia="en-US"/>
        </w:rPr>
        <w:t xml:space="preserve"> T., Perez P., Leitch A. Mental models: An interdisciplinary synthesis of theory and</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methods. Ecology and Society</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20</w:t>
      </w:r>
      <w:r w:rsidRPr="00C90087">
        <w:rPr>
          <w:rFonts w:ascii="Times New Roman" w:eastAsiaTheme="minorHAnsi" w:hAnsi="Times New Roman" w:cs="Times New Roman"/>
          <w:sz w:val="28"/>
          <w:szCs w:val="28"/>
          <w:lang w:val="uk-UA" w:eastAsia="en-US"/>
        </w:rPr>
        <w:t>2</w:t>
      </w:r>
      <w:r w:rsidRPr="00C90087">
        <w:rPr>
          <w:rFonts w:ascii="Times New Roman" w:eastAsiaTheme="minorHAnsi" w:hAnsi="Times New Roman" w:cs="Times New Roman"/>
          <w:sz w:val="28"/>
          <w:szCs w:val="28"/>
          <w:lang w:val="en-US" w:eastAsia="en-US"/>
        </w:rPr>
        <w:t>1</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16(1). https://www.jstor.org/stable/26268859</w:t>
      </w:r>
      <w:r w:rsidRPr="00C90087">
        <w:rPr>
          <w:rFonts w:ascii="Times New Roman" w:eastAsiaTheme="minorHAnsi" w:hAnsi="Times New Roman" w:cs="Times New Roman"/>
          <w:sz w:val="28"/>
          <w:szCs w:val="28"/>
          <w:lang w:val="uk-UA" w:eastAsia="en-US"/>
        </w:rPr>
        <w:t>.</w:t>
      </w:r>
    </w:p>
    <w:p w14:paraId="587F415A"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28. </w:t>
      </w:r>
      <w:proofErr w:type="spellStart"/>
      <w:r w:rsidRPr="00C90087">
        <w:rPr>
          <w:rFonts w:ascii="Times New Roman" w:eastAsiaTheme="minorHAnsi" w:hAnsi="Times New Roman" w:cs="Times New Roman"/>
          <w:sz w:val="28"/>
          <w:szCs w:val="28"/>
          <w:lang w:val="en-US" w:eastAsia="en-US"/>
        </w:rPr>
        <w:t>Aryee</w:t>
      </w:r>
      <w:proofErr w:type="spellEnd"/>
      <w:r w:rsidRPr="00C90087">
        <w:rPr>
          <w:rFonts w:ascii="Times New Roman" w:eastAsiaTheme="minorHAnsi" w:hAnsi="Times New Roman" w:cs="Times New Roman"/>
          <w:sz w:val="28"/>
          <w:szCs w:val="28"/>
          <w:lang w:val="en-US" w:eastAsia="en-US"/>
        </w:rPr>
        <w:t xml:space="preserve"> S., </w:t>
      </w:r>
      <w:proofErr w:type="spellStart"/>
      <w:r w:rsidRPr="00C90087">
        <w:rPr>
          <w:rFonts w:ascii="Times New Roman" w:eastAsiaTheme="minorHAnsi" w:hAnsi="Times New Roman" w:cs="Times New Roman"/>
          <w:sz w:val="28"/>
          <w:szCs w:val="28"/>
          <w:lang w:val="en-US" w:eastAsia="en-US"/>
        </w:rPr>
        <w:t>Chay</w:t>
      </w:r>
      <w:proofErr w:type="spellEnd"/>
      <w:r w:rsidRPr="00C90087">
        <w:rPr>
          <w:rFonts w:ascii="Times New Roman" w:eastAsiaTheme="minorHAnsi" w:hAnsi="Times New Roman" w:cs="Times New Roman"/>
          <w:sz w:val="28"/>
          <w:szCs w:val="28"/>
          <w:lang w:val="en-US" w:eastAsia="en-US"/>
        </w:rPr>
        <w:t xml:space="preserve"> Y. W., Tan H. H. An examination of the antecedents of subjective career success among a managerial sample in Singapore. Human Relations. 2019. № 47(5). Р. 487–509. DOI: https://doi.org/10.1177/001872679404700502.</w:t>
      </w:r>
    </w:p>
    <w:p w14:paraId="24FAFBA1"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29. Judge T. A., Cable D. M., Boudreau J. W., </w:t>
      </w:r>
      <w:proofErr w:type="spellStart"/>
      <w:r w:rsidRPr="00C90087">
        <w:rPr>
          <w:rFonts w:ascii="Times New Roman" w:eastAsiaTheme="minorHAnsi" w:hAnsi="Times New Roman" w:cs="Times New Roman"/>
          <w:sz w:val="28"/>
          <w:szCs w:val="28"/>
          <w:lang w:val="en-US" w:eastAsia="en-US"/>
        </w:rPr>
        <w:t>Bretz</w:t>
      </w:r>
      <w:proofErr w:type="spellEnd"/>
      <w:r w:rsidRPr="00C90087">
        <w:rPr>
          <w:rFonts w:ascii="Times New Roman" w:eastAsiaTheme="minorHAnsi" w:hAnsi="Times New Roman" w:cs="Times New Roman"/>
          <w:sz w:val="28"/>
          <w:szCs w:val="28"/>
          <w:lang w:val="en-US" w:eastAsia="en-US"/>
        </w:rPr>
        <w:t xml:space="preserve"> R. D. An empirical investigation of the predictors of executive career success. Personnel Psychology. 2019. № 48(3). Р. 485–519. DOI: https://doi.org/10.1111/j.1744</w:t>
      </w:r>
      <w:r w:rsidRPr="00C90087">
        <w:rPr>
          <w:rFonts w:ascii="Cambria Math" w:eastAsiaTheme="minorHAnsi" w:hAnsi="Cambria Math" w:cs="Cambria Math"/>
          <w:sz w:val="28"/>
          <w:szCs w:val="28"/>
          <w:lang w:val="en-US" w:eastAsia="en-US"/>
        </w:rPr>
        <w:t>‐</w:t>
      </w:r>
      <w:proofErr w:type="gramStart"/>
      <w:r w:rsidRPr="00C90087">
        <w:rPr>
          <w:rFonts w:ascii="Times New Roman" w:eastAsiaTheme="minorHAnsi" w:hAnsi="Times New Roman" w:cs="Times New Roman"/>
          <w:sz w:val="28"/>
          <w:szCs w:val="28"/>
          <w:lang w:val="en-US" w:eastAsia="en-US"/>
        </w:rPr>
        <w:t>6570.1995.tb</w:t>
      </w:r>
      <w:proofErr w:type="gramEnd"/>
      <w:r w:rsidRPr="00C90087">
        <w:rPr>
          <w:rFonts w:ascii="Times New Roman" w:eastAsiaTheme="minorHAnsi" w:hAnsi="Times New Roman" w:cs="Times New Roman"/>
          <w:sz w:val="28"/>
          <w:szCs w:val="28"/>
          <w:lang w:val="en-US" w:eastAsia="en-US"/>
        </w:rPr>
        <w:t>01767.x</w:t>
      </w:r>
    </w:p>
    <w:p w14:paraId="4B941279"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30. </w:t>
      </w:r>
      <w:proofErr w:type="spellStart"/>
      <w:r w:rsidRPr="00C90087">
        <w:rPr>
          <w:rFonts w:ascii="Times New Roman" w:eastAsiaTheme="minorHAnsi" w:hAnsi="Times New Roman" w:cs="Times New Roman"/>
          <w:sz w:val="28"/>
          <w:szCs w:val="28"/>
          <w:lang w:val="en-US" w:eastAsia="en-US"/>
        </w:rPr>
        <w:t>Eby</w:t>
      </w:r>
      <w:proofErr w:type="spellEnd"/>
      <w:r w:rsidRPr="00C90087">
        <w:rPr>
          <w:rFonts w:ascii="Times New Roman" w:eastAsiaTheme="minorHAnsi" w:hAnsi="Times New Roman" w:cs="Times New Roman"/>
          <w:sz w:val="28"/>
          <w:szCs w:val="28"/>
          <w:lang w:val="en-US" w:eastAsia="en-US"/>
        </w:rPr>
        <w:t xml:space="preserve"> L. T., Durley J. R., Evans S. C., </w:t>
      </w:r>
      <w:proofErr w:type="spellStart"/>
      <w:r w:rsidRPr="00C90087">
        <w:rPr>
          <w:rFonts w:ascii="Times New Roman" w:eastAsiaTheme="minorHAnsi" w:hAnsi="Times New Roman" w:cs="Times New Roman"/>
          <w:sz w:val="28"/>
          <w:szCs w:val="28"/>
          <w:lang w:val="en-US" w:eastAsia="en-US"/>
        </w:rPr>
        <w:t>Ragins</w:t>
      </w:r>
      <w:proofErr w:type="spellEnd"/>
      <w:r w:rsidRPr="00C90087">
        <w:rPr>
          <w:rFonts w:ascii="Times New Roman" w:eastAsiaTheme="minorHAnsi" w:hAnsi="Times New Roman" w:cs="Times New Roman"/>
          <w:sz w:val="28"/>
          <w:szCs w:val="28"/>
          <w:lang w:val="en-US" w:eastAsia="en-US"/>
        </w:rPr>
        <w:t xml:space="preserve"> B. R. The relationship between short</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 xml:space="preserve">term mentoring benefits and </w:t>
      </w:r>
      <w:proofErr w:type="spellStart"/>
      <w:r w:rsidRPr="00C90087">
        <w:rPr>
          <w:rFonts w:ascii="Times New Roman" w:eastAsiaTheme="minorHAnsi" w:hAnsi="Times New Roman" w:cs="Times New Roman"/>
          <w:sz w:val="28"/>
          <w:szCs w:val="28"/>
          <w:lang w:val="en-US" w:eastAsia="en-US"/>
        </w:rPr>
        <w:t>longterm</w:t>
      </w:r>
      <w:proofErr w:type="spellEnd"/>
      <w:r w:rsidRPr="00C90087">
        <w:rPr>
          <w:rFonts w:ascii="Times New Roman" w:eastAsiaTheme="minorHAnsi" w:hAnsi="Times New Roman" w:cs="Times New Roman"/>
          <w:sz w:val="28"/>
          <w:szCs w:val="28"/>
          <w:lang w:val="en-US" w:eastAsia="en-US"/>
        </w:rPr>
        <w:t xml:space="preserve"> mentor outcomes. Journal of Vocational Behavior. 2016. № 69. Р. 424-444. DOI: https://doi.org/10.1016/j.jvb.2006.05.003.</w:t>
      </w:r>
    </w:p>
    <w:p w14:paraId="0A9594A3"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31. Gabriel Y., Gray D. E., </w:t>
      </w:r>
      <w:proofErr w:type="spellStart"/>
      <w:r w:rsidRPr="00C90087">
        <w:rPr>
          <w:rFonts w:ascii="Times New Roman" w:eastAsiaTheme="minorHAnsi" w:hAnsi="Times New Roman" w:cs="Times New Roman"/>
          <w:sz w:val="28"/>
          <w:szCs w:val="28"/>
          <w:lang w:val="en-US" w:eastAsia="en-US"/>
        </w:rPr>
        <w:t>Goregaokar</w:t>
      </w:r>
      <w:proofErr w:type="spellEnd"/>
      <w:r w:rsidRPr="00C90087">
        <w:rPr>
          <w:rFonts w:ascii="Times New Roman" w:eastAsiaTheme="minorHAnsi" w:hAnsi="Times New Roman" w:cs="Times New Roman"/>
          <w:sz w:val="28"/>
          <w:szCs w:val="28"/>
          <w:lang w:val="en-US" w:eastAsia="en-US"/>
        </w:rPr>
        <w:t xml:space="preserve"> H. Temporary derailment or the end of the line? Managers coping with unemployment at 50. Organization Studies. 2010. № 31(12). </w:t>
      </w:r>
      <w:r w:rsidRPr="00C90087">
        <w:rPr>
          <w:rFonts w:ascii="Times New Roman" w:eastAsiaTheme="minorHAnsi" w:hAnsi="Times New Roman" w:cs="Times New Roman"/>
          <w:sz w:val="28"/>
          <w:szCs w:val="28"/>
          <w:lang w:eastAsia="en-US"/>
        </w:rPr>
        <w:t>Р</w:t>
      </w:r>
      <w:r w:rsidRPr="00C90087">
        <w:rPr>
          <w:rFonts w:ascii="Times New Roman" w:eastAsiaTheme="minorHAnsi" w:hAnsi="Times New Roman" w:cs="Times New Roman"/>
          <w:sz w:val="28"/>
          <w:szCs w:val="28"/>
          <w:lang w:val="en-US" w:eastAsia="en-US"/>
        </w:rPr>
        <w:t>. 1687–1712. DOI: https://doi.org/10.1177/0170840610387237.</w:t>
      </w:r>
    </w:p>
    <w:p w14:paraId="2773DB2D"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en-US" w:eastAsia="en-US"/>
        </w:rPr>
        <w:t xml:space="preserve">32. </w:t>
      </w:r>
      <w:proofErr w:type="spellStart"/>
      <w:r w:rsidRPr="00C90087">
        <w:rPr>
          <w:rFonts w:ascii="Times New Roman" w:eastAsiaTheme="minorHAnsi" w:hAnsi="Times New Roman" w:cs="Times New Roman"/>
          <w:sz w:val="28"/>
          <w:szCs w:val="28"/>
          <w:lang w:val="en-US" w:eastAsia="en-US"/>
        </w:rPr>
        <w:t>Fayer</w:t>
      </w:r>
      <w:proofErr w:type="spellEnd"/>
      <w:r w:rsidRPr="00C90087">
        <w:rPr>
          <w:rFonts w:ascii="Times New Roman" w:eastAsiaTheme="minorHAnsi" w:hAnsi="Times New Roman" w:cs="Times New Roman"/>
          <w:sz w:val="28"/>
          <w:szCs w:val="28"/>
          <w:lang w:val="en-US" w:eastAsia="en-US"/>
        </w:rPr>
        <w:t xml:space="preserve"> S., Lacey A., Watson A. STEM occupations: Past, present and future. U.S. Bureau of Labor Statistics,</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Spotlight on Statistics. 2017</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January</w:t>
      </w:r>
      <w:r w:rsidRPr="00C90087">
        <w:rPr>
          <w:rFonts w:ascii="Times New Roman" w:eastAsiaTheme="minorHAnsi" w:hAnsi="Times New Roman" w:cs="Times New Roman"/>
          <w:sz w:val="28"/>
          <w:szCs w:val="28"/>
          <w:lang w:val="uk-UA" w:eastAsia="en-US"/>
        </w:rPr>
        <w:t xml:space="preserve">. </w:t>
      </w:r>
    </w:p>
    <w:p w14:paraId="22AC1C66"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en-US" w:eastAsia="en-US"/>
        </w:rPr>
        <w:lastRenderedPageBreak/>
        <w:t>33. Carley K., Palmquist M. Extracting, representing, and analyzing mental models. Social Forces</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2</w:t>
      </w:r>
      <w:r w:rsidRPr="00C90087">
        <w:rPr>
          <w:rFonts w:ascii="Times New Roman" w:eastAsiaTheme="minorHAnsi" w:hAnsi="Times New Roman" w:cs="Times New Roman"/>
          <w:sz w:val="28"/>
          <w:szCs w:val="28"/>
          <w:lang w:val="uk-UA" w:eastAsia="en-US"/>
        </w:rPr>
        <w:t>0</w:t>
      </w:r>
      <w:r w:rsidRPr="00C90087">
        <w:rPr>
          <w:rFonts w:ascii="Times New Roman" w:eastAsiaTheme="minorHAnsi" w:hAnsi="Times New Roman" w:cs="Times New Roman"/>
          <w:sz w:val="28"/>
          <w:szCs w:val="28"/>
          <w:lang w:val="en-US" w:eastAsia="en-US"/>
        </w:rPr>
        <w:t>19</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 xml:space="preserve">70(3). </w:t>
      </w:r>
      <w:r w:rsidRPr="00C90087">
        <w:rPr>
          <w:rFonts w:ascii="Times New Roman" w:eastAsiaTheme="minorHAnsi" w:hAnsi="Times New Roman" w:cs="Times New Roman"/>
          <w:sz w:val="28"/>
          <w:szCs w:val="28"/>
          <w:lang w:val="uk-UA" w:eastAsia="en-US"/>
        </w:rPr>
        <w:t xml:space="preserve">Р. </w:t>
      </w:r>
      <w:r w:rsidRPr="00C90087">
        <w:rPr>
          <w:rFonts w:ascii="Times New Roman" w:eastAsiaTheme="minorHAnsi" w:hAnsi="Times New Roman" w:cs="Times New Roman"/>
          <w:sz w:val="28"/>
          <w:szCs w:val="28"/>
          <w:lang w:val="en-US" w:eastAsia="en-US"/>
        </w:rPr>
        <w:t>601–636.</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DOI: https://doi.org/10.1093/sf/70.3.601</w:t>
      </w:r>
      <w:r w:rsidRPr="00C90087">
        <w:rPr>
          <w:rFonts w:ascii="Times New Roman" w:eastAsiaTheme="minorHAnsi" w:hAnsi="Times New Roman" w:cs="Times New Roman"/>
          <w:sz w:val="28"/>
          <w:szCs w:val="28"/>
          <w:lang w:val="uk-UA" w:eastAsia="en-US"/>
        </w:rPr>
        <w:t>.</w:t>
      </w:r>
    </w:p>
    <w:p w14:paraId="3FCA40BC"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EE578D">
        <w:rPr>
          <w:rFonts w:ascii="Times New Roman" w:eastAsiaTheme="minorHAnsi" w:hAnsi="Times New Roman" w:cs="Times New Roman"/>
          <w:sz w:val="28"/>
          <w:szCs w:val="28"/>
          <w:lang w:val="en-US" w:eastAsia="en-US"/>
        </w:rPr>
        <w:t xml:space="preserve">34. </w:t>
      </w:r>
      <w:proofErr w:type="spellStart"/>
      <w:r w:rsidRPr="00C90087">
        <w:rPr>
          <w:rFonts w:ascii="Times New Roman" w:eastAsiaTheme="minorHAnsi" w:hAnsi="Times New Roman" w:cs="Times New Roman"/>
          <w:sz w:val="28"/>
          <w:szCs w:val="28"/>
          <w:lang w:eastAsia="en-US"/>
        </w:rPr>
        <w:t>Дичковський</w:t>
      </w:r>
      <w:proofErr w:type="spellEnd"/>
      <w:r w:rsidRPr="00EE578D">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eastAsia="en-US"/>
        </w:rPr>
        <w:t>С</w:t>
      </w:r>
      <w:r w:rsidRPr="00EE578D">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eastAsia="en-US"/>
        </w:rPr>
        <w:t>І</w:t>
      </w:r>
      <w:r w:rsidRPr="00EE578D">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Гуткевич</w:t>
      </w:r>
      <w:proofErr w:type="spellEnd"/>
      <w:r w:rsidRPr="00EE578D">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eastAsia="en-US"/>
        </w:rPr>
        <w:t>С</w:t>
      </w:r>
      <w:r w:rsidRPr="00EE578D">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eastAsia="en-US"/>
        </w:rPr>
        <w:t>О</w:t>
      </w:r>
      <w:r w:rsidRPr="00EE578D">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Оніщенко</w:t>
      </w:r>
      <w:proofErr w:type="spellEnd"/>
      <w:r w:rsidRPr="00EE578D">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eastAsia="en-US"/>
        </w:rPr>
        <w:t>І</w:t>
      </w:r>
      <w:r w:rsidRPr="00EE578D">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eastAsia="en-US"/>
        </w:rPr>
        <w:t>О</w:t>
      </w:r>
      <w:r w:rsidRPr="00EE578D">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Науково</w:t>
      </w:r>
      <w:proofErr w:type="spellEnd"/>
      <w:r w:rsidRPr="00EE578D">
        <w:rPr>
          <w:rFonts w:ascii="Times New Roman" w:eastAsiaTheme="minorHAnsi" w:hAnsi="Times New Roman" w:cs="Times New Roman"/>
          <w:sz w:val="28"/>
          <w:szCs w:val="28"/>
          <w:lang w:val="en-US" w:eastAsia="en-US"/>
        </w:rPr>
        <w:t>-</w:t>
      </w:r>
      <w:proofErr w:type="spellStart"/>
      <w:r w:rsidRPr="00C90087">
        <w:rPr>
          <w:rFonts w:ascii="Times New Roman" w:eastAsiaTheme="minorHAnsi" w:hAnsi="Times New Roman" w:cs="Times New Roman"/>
          <w:sz w:val="28"/>
          <w:szCs w:val="28"/>
          <w:lang w:eastAsia="en-US"/>
        </w:rPr>
        <w:t>освітній</w:t>
      </w:r>
      <w:proofErr w:type="spellEnd"/>
      <w:r w:rsidRPr="00EE578D">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простір</w:t>
      </w:r>
      <w:proofErr w:type="spellEnd"/>
      <w:r w:rsidRPr="00EE578D">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eastAsia="en-US"/>
        </w:rPr>
        <w:t>як</w:t>
      </w:r>
      <w:r w:rsidRPr="00EE578D">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ключовий</w:t>
      </w:r>
      <w:proofErr w:type="spellEnd"/>
      <w:r w:rsidRPr="00EE578D">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eastAsia="en-US"/>
        </w:rPr>
        <w:t>фактор</w:t>
      </w:r>
      <w:r w:rsidRPr="00EE578D">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розвитку</w:t>
      </w:r>
      <w:proofErr w:type="spellEnd"/>
      <w:r w:rsidRPr="00EE578D">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країн</w:t>
      </w:r>
      <w:proofErr w:type="spellEnd"/>
      <w:r w:rsidRPr="00EE578D">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eastAsia="en-US"/>
        </w:rPr>
        <w:t>в</w:t>
      </w:r>
      <w:r w:rsidRPr="00EE578D">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eastAsia="en-US"/>
        </w:rPr>
        <w:t>добу</w:t>
      </w:r>
      <w:r w:rsidRPr="00EE578D">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економіки</w:t>
      </w:r>
      <w:proofErr w:type="spellEnd"/>
      <w:r w:rsidRPr="00EE578D">
        <w:rPr>
          <w:rFonts w:ascii="Times New Roman" w:eastAsiaTheme="minorHAnsi" w:hAnsi="Times New Roman" w:cs="Times New Roman"/>
          <w:sz w:val="28"/>
          <w:szCs w:val="28"/>
          <w:lang w:val="en-US" w:eastAsia="en-US"/>
        </w:rPr>
        <w:t xml:space="preserve"> </w:t>
      </w:r>
      <w:proofErr w:type="spellStart"/>
      <w:proofErr w:type="gramStart"/>
      <w:r w:rsidRPr="00C90087">
        <w:rPr>
          <w:rFonts w:ascii="Times New Roman" w:eastAsiaTheme="minorHAnsi" w:hAnsi="Times New Roman" w:cs="Times New Roman"/>
          <w:sz w:val="28"/>
          <w:szCs w:val="28"/>
          <w:lang w:eastAsia="en-US"/>
        </w:rPr>
        <w:t>знань</w:t>
      </w:r>
      <w:proofErr w:type="spellEnd"/>
      <w:r w:rsidRPr="00EE578D">
        <w:rPr>
          <w:rFonts w:ascii="Times New Roman" w:eastAsiaTheme="minorHAnsi" w:hAnsi="Times New Roman" w:cs="Times New Roman"/>
          <w:sz w:val="28"/>
          <w:szCs w:val="28"/>
          <w:lang w:val="en-US" w:eastAsia="en-US"/>
        </w:rPr>
        <w:t xml:space="preserve"> :</w:t>
      </w:r>
      <w:proofErr w:type="gramEnd"/>
      <w:r w:rsidRPr="00EE578D">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монографія</w:t>
      </w:r>
      <w:proofErr w:type="spellEnd"/>
      <w:r w:rsidRPr="00EE578D">
        <w:rPr>
          <w:rFonts w:ascii="Times New Roman" w:eastAsiaTheme="minorHAnsi" w:hAnsi="Times New Roman" w:cs="Times New Roman"/>
          <w:sz w:val="28"/>
          <w:szCs w:val="28"/>
          <w:lang w:val="en-US" w:eastAsia="en-US"/>
        </w:rPr>
        <w:t xml:space="preserve">. </w:t>
      </w:r>
      <w:proofErr w:type="spellStart"/>
      <w:proofErr w:type="gramStart"/>
      <w:r w:rsidRPr="00C90087">
        <w:rPr>
          <w:rFonts w:ascii="Times New Roman" w:eastAsiaTheme="minorHAnsi" w:hAnsi="Times New Roman" w:cs="Times New Roman"/>
          <w:sz w:val="28"/>
          <w:szCs w:val="28"/>
          <w:lang w:val="en-US" w:eastAsia="en-US"/>
        </w:rPr>
        <w:t>Київ</w:t>
      </w:r>
      <w:proofErr w:type="spellEnd"/>
      <w:r w:rsidRPr="00C90087">
        <w:rPr>
          <w:rFonts w:ascii="Times New Roman" w:eastAsiaTheme="minorHAnsi" w:hAnsi="Times New Roman" w:cs="Times New Roman"/>
          <w:sz w:val="28"/>
          <w:szCs w:val="28"/>
          <w:lang w:val="en-US" w:eastAsia="en-US"/>
        </w:rPr>
        <w:t xml:space="preserve"> :</w:t>
      </w:r>
      <w:proofErr w:type="gramEnd"/>
      <w:r w:rsidRPr="00C90087">
        <w:rPr>
          <w:rFonts w:ascii="Times New Roman" w:eastAsiaTheme="minorHAnsi" w:hAnsi="Times New Roman" w:cs="Times New Roman"/>
          <w:sz w:val="28"/>
          <w:szCs w:val="28"/>
          <w:lang w:val="en-US" w:eastAsia="en-US"/>
        </w:rPr>
        <w:t xml:space="preserve"> НТУУ КПІ, 2014. 244 с.</w:t>
      </w:r>
    </w:p>
    <w:p w14:paraId="4D22314E"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en-US" w:eastAsia="en-US"/>
        </w:rPr>
        <w:t xml:space="preserve">35. </w:t>
      </w:r>
      <w:proofErr w:type="spellStart"/>
      <w:r w:rsidRPr="00C90087">
        <w:rPr>
          <w:rFonts w:ascii="Times New Roman" w:eastAsiaTheme="minorHAnsi" w:hAnsi="Times New Roman" w:cs="Times New Roman"/>
          <w:sz w:val="28"/>
          <w:szCs w:val="28"/>
          <w:lang w:val="en-US" w:eastAsia="en-US"/>
        </w:rPr>
        <w:t>Furlow</w:t>
      </w:r>
      <w:proofErr w:type="spellEnd"/>
      <w:r w:rsidRPr="00C90087">
        <w:rPr>
          <w:rFonts w:ascii="Times New Roman" w:eastAsiaTheme="minorHAnsi" w:hAnsi="Times New Roman" w:cs="Times New Roman"/>
          <w:sz w:val="28"/>
          <w:szCs w:val="28"/>
          <w:lang w:val="en-US" w:eastAsia="en-US"/>
        </w:rPr>
        <w:t xml:space="preserve"> C. A. Comparing indicators of knowledge within and between cultural domains. Field Methods</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2003</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15(1)</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val="uk-UA" w:eastAsia="en-US"/>
        </w:rPr>
        <w:t xml:space="preserve">Р. </w:t>
      </w:r>
      <w:r w:rsidRPr="00C90087">
        <w:rPr>
          <w:rFonts w:ascii="Times New Roman" w:eastAsiaTheme="minorHAnsi" w:hAnsi="Times New Roman" w:cs="Times New Roman"/>
          <w:sz w:val="28"/>
          <w:szCs w:val="28"/>
          <w:lang w:val="en-US" w:eastAsia="en-US"/>
        </w:rPr>
        <w:t>51–62.</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DOI: https://doi.org/10.1177/1525822X02239570</w:t>
      </w:r>
      <w:r w:rsidRPr="00C90087">
        <w:rPr>
          <w:rFonts w:ascii="Times New Roman" w:eastAsiaTheme="minorHAnsi" w:hAnsi="Times New Roman" w:cs="Times New Roman"/>
          <w:sz w:val="28"/>
          <w:szCs w:val="28"/>
          <w:lang w:val="uk-UA" w:eastAsia="en-US"/>
        </w:rPr>
        <w:t>.</w:t>
      </w:r>
    </w:p>
    <w:p w14:paraId="33CA6257"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36. Conway L. G. III, Schaller M., Tweed R. G., Hallett D. The complexity of thinking across cultures: Interactions</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between culture and situational context. Social Cognition</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2001</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19(3). Р. 228–250.</w:t>
      </w:r>
    </w:p>
    <w:p w14:paraId="762B77BF"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en-US" w:eastAsia="en-US"/>
        </w:rPr>
        <w:t xml:space="preserve">37. </w:t>
      </w:r>
      <w:proofErr w:type="spellStart"/>
      <w:r w:rsidRPr="00C90087">
        <w:rPr>
          <w:rFonts w:ascii="Times New Roman" w:eastAsiaTheme="minorHAnsi" w:hAnsi="Times New Roman" w:cs="Times New Roman"/>
          <w:sz w:val="28"/>
          <w:szCs w:val="28"/>
          <w:lang w:val="en-US" w:eastAsia="en-US"/>
        </w:rPr>
        <w:t>Fassin</w:t>
      </w:r>
      <w:proofErr w:type="spellEnd"/>
      <w:r w:rsidRPr="00C90087">
        <w:rPr>
          <w:rFonts w:ascii="Times New Roman" w:eastAsiaTheme="minorHAnsi" w:hAnsi="Times New Roman" w:cs="Times New Roman"/>
          <w:sz w:val="28"/>
          <w:szCs w:val="28"/>
          <w:lang w:val="en-US" w:eastAsia="en-US"/>
        </w:rPr>
        <w:t xml:space="preserve"> Y., Werner A., Van </w:t>
      </w:r>
      <w:proofErr w:type="spellStart"/>
      <w:r w:rsidRPr="00C90087">
        <w:rPr>
          <w:rFonts w:ascii="Times New Roman" w:eastAsiaTheme="minorHAnsi" w:hAnsi="Times New Roman" w:cs="Times New Roman"/>
          <w:sz w:val="28"/>
          <w:szCs w:val="28"/>
          <w:lang w:val="en-US" w:eastAsia="en-US"/>
        </w:rPr>
        <w:t>Rossem</w:t>
      </w:r>
      <w:proofErr w:type="spellEnd"/>
      <w:r w:rsidRPr="00C90087">
        <w:rPr>
          <w:rFonts w:ascii="Times New Roman" w:eastAsiaTheme="minorHAnsi" w:hAnsi="Times New Roman" w:cs="Times New Roman"/>
          <w:sz w:val="28"/>
          <w:szCs w:val="28"/>
          <w:lang w:val="en-US" w:eastAsia="en-US"/>
        </w:rPr>
        <w:t xml:space="preserve"> A., Signori S., </w:t>
      </w:r>
      <w:proofErr w:type="spellStart"/>
      <w:r w:rsidRPr="00C90087">
        <w:rPr>
          <w:rFonts w:ascii="Times New Roman" w:eastAsiaTheme="minorHAnsi" w:hAnsi="Times New Roman" w:cs="Times New Roman"/>
          <w:sz w:val="28"/>
          <w:szCs w:val="28"/>
          <w:lang w:val="en-US" w:eastAsia="en-US"/>
        </w:rPr>
        <w:t>Garriga</w:t>
      </w:r>
      <w:proofErr w:type="spellEnd"/>
      <w:r w:rsidRPr="00C90087">
        <w:rPr>
          <w:rFonts w:ascii="Times New Roman" w:eastAsiaTheme="minorHAnsi" w:hAnsi="Times New Roman" w:cs="Times New Roman"/>
          <w:sz w:val="28"/>
          <w:szCs w:val="28"/>
          <w:lang w:val="en-US" w:eastAsia="en-US"/>
        </w:rPr>
        <w:t xml:space="preserve"> E., </w:t>
      </w:r>
      <w:proofErr w:type="spellStart"/>
      <w:r w:rsidRPr="00C90087">
        <w:rPr>
          <w:rFonts w:ascii="Times New Roman" w:eastAsiaTheme="minorHAnsi" w:hAnsi="Times New Roman" w:cs="Times New Roman"/>
          <w:sz w:val="28"/>
          <w:szCs w:val="28"/>
          <w:lang w:val="en-US" w:eastAsia="en-US"/>
        </w:rPr>
        <w:t>Weltzien</w:t>
      </w:r>
      <w:proofErr w:type="spellEnd"/>
      <w:r w:rsidRPr="00C90087">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val="en-US" w:eastAsia="en-US"/>
        </w:rPr>
        <w:t>Hoivik</w:t>
      </w:r>
      <w:proofErr w:type="spellEnd"/>
      <w:r w:rsidRPr="00C90087">
        <w:rPr>
          <w:rFonts w:ascii="Times New Roman" w:eastAsiaTheme="minorHAnsi" w:hAnsi="Times New Roman" w:cs="Times New Roman"/>
          <w:sz w:val="28"/>
          <w:szCs w:val="28"/>
          <w:lang w:val="en-US" w:eastAsia="en-US"/>
        </w:rPr>
        <w:t xml:space="preserve"> H., </w:t>
      </w:r>
      <w:proofErr w:type="spellStart"/>
      <w:r w:rsidRPr="00C90087">
        <w:rPr>
          <w:rFonts w:ascii="Times New Roman" w:eastAsiaTheme="minorHAnsi" w:hAnsi="Times New Roman" w:cs="Times New Roman"/>
          <w:sz w:val="28"/>
          <w:szCs w:val="28"/>
          <w:lang w:val="en-US" w:eastAsia="en-US"/>
        </w:rPr>
        <w:t>Schlierer</w:t>
      </w:r>
      <w:proofErr w:type="spellEnd"/>
      <w:r w:rsidRPr="00C90087">
        <w:rPr>
          <w:rFonts w:ascii="Times New Roman" w:eastAsiaTheme="minorHAnsi" w:hAnsi="Times New Roman" w:cs="Times New Roman"/>
          <w:sz w:val="28"/>
          <w:szCs w:val="28"/>
          <w:lang w:val="en-US" w:eastAsia="en-US"/>
        </w:rPr>
        <w:t xml:space="preserve"> H. J. CSR and</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related terms in SME owner–managers' mental models in six European countries: National context matters. Journal of</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Business Ethics. 2015</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128. Р.</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433-456. DOI:</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https://doi.org/10.1007/s10551</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014</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2098</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7</w:t>
      </w:r>
      <w:r w:rsidRPr="00C90087">
        <w:rPr>
          <w:rFonts w:ascii="Times New Roman" w:eastAsiaTheme="minorHAnsi" w:hAnsi="Times New Roman" w:cs="Times New Roman"/>
          <w:sz w:val="28"/>
          <w:szCs w:val="28"/>
          <w:lang w:val="uk-UA" w:eastAsia="en-US"/>
        </w:rPr>
        <w:t>.</w:t>
      </w:r>
    </w:p>
    <w:p w14:paraId="7C9DD9E9"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38. Moussavi F., Evans D. A. Emergence of organizational attributions: The role of a shared cognitive schema. Journal</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of Management</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val="uk-UA" w:eastAsia="en-US"/>
        </w:rPr>
        <w:t>202</w:t>
      </w:r>
      <w:r w:rsidRPr="00C90087">
        <w:rPr>
          <w:rFonts w:ascii="Times New Roman" w:eastAsiaTheme="minorHAnsi" w:hAnsi="Times New Roman" w:cs="Times New Roman"/>
          <w:sz w:val="28"/>
          <w:szCs w:val="28"/>
          <w:lang w:val="en-US" w:eastAsia="en-US"/>
        </w:rPr>
        <w:t>3</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19(1). Р. 79–95. DOI:</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https://doi.org/10.1177/014920639301900106</w:t>
      </w:r>
      <w:r w:rsidRPr="00C90087">
        <w:rPr>
          <w:rFonts w:ascii="Times New Roman" w:eastAsiaTheme="minorHAnsi" w:hAnsi="Times New Roman" w:cs="Times New Roman"/>
          <w:sz w:val="28"/>
          <w:szCs w:val="28"/>
          <w:lang w:val="uk-UA" w:eastAsia="en-US"/>
        </w:rPr>
        <w:t>.</w:t>
      </w:r>
    </w:p>
    <w:p w14:paraId="4EBDC5D7"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uk-UA" w:eastAsia="en-US"/>
        </w:rPr>
        <w:t xml:space="preserve">39. </w:t>
      </w:r>
      <w:proofErr w:type="spellStart"/>
      <w:r w:rsidRPr="00C90087">
        <w:rPr>
          <w:rFonts w:ascii="Times New Roman" w:eastAsiaTheme="minorHAnsi" w:hAnsi="Times New Roman" w:cs="Times New Roman"/>
          <w:sz w:val="28"/>
          <w:szCs w:val="28"/>
          <w:lang w:val="uk-UA" w:eastAsia="en-US"/>
        </w:rPr>
        <w:t>Вахович</w:t>
      </w:r>
      <w:proofErr w:type="spellEnd"/>
      <w:r w:rsidRPr="00C90087">
        <w:rPr>
          <w:rFonts w:ascii="Times New Roman" w:eastAsiaTheme="minorHAnsi" w:hAnsi="Times New Roman" w:cs="Times New Roman"/>
          <w:sz w:val="28"/>
          <w:szCs w:val="28"/>
          <w:lang w:val="uk-UA" w:eastAsia="en-US"/>
        </w:rPr>
        <w:t xml:space="preserve"> І.М., </w:t>
      </w:r>
      <w:proofErr w:type="spellStart"/>
      <w:r w:rsidRPr="00C90087">
        <w:rPr>
          <w:rFonts w:ascii="Times New Roman" w:eastAsiaTheme="minorHAnsi" w:hAnsi="Times New Roman" w:cs="Times New Roman"/>
          <w:sz w:val="28"/>
          <w:szCs w:val="28"/>
          <w:lang w:val="uk-UA" w:eastAsia="en-US"/>
        </w:rPr>
        <w:t>Ропотан</w:t>
      </w:r>
      <w:proofErr w:type="spellEnd"/>
      <w:r w:rsidRPr="00C90087">
        <w:rPr>
          <w:rFonts w:ascii="Times New Roman" w:eastAsiaTheme="minorHAnsi" w:hAnsi="Times New Roman" w:cs="Times New Roman"/>
          <w:sz w:val="28"/>
          <w:szCs w:val="28"/>
          <w:lang w:val="uk-UA" w:eastAsia="en-US"/>
        </w:rPr>
        <w:t xml:space="preserve"> І.В. До питання обґрунтування сутності регіональної конвергенції сталого розвитку. Економічний форум. 2017. № 4. С. 50-54.</w:t>
      </w:r>
    </w:p>
    <w:p w14:paraId="615BAF3B"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uk-UA" w:eastAsia="en-US"/>
        </w:rPr>
        <w:t xml:space="preserve">40. Інституційні засади розвитку ринку праці в Україні : колективна монографія / за наук. ред. </w:t>
      </w:r>
      <w:proofErr w:type="spellStart"/>
      <w:r w:rsidRPr="00C90087">
        <w:rPr>
          <w:rFonts w:ascii="Times New Roman" w:eastAsiaTheme="minorHAnsi" w:hAnsi="Times New Roman" w:cs="Times New Roman"/>
          <w:sz w:val="28"/>
          <w:szCs w:val="28"/>
          <w:lang w:val="uk-UA" w:eastAsia="en-US"/>
        </w:rPr>
        <w:t>д.е.н</w:t>
      </w:r>
      <w:proofErr w:type="spellEnd"/>
      <w:r w:rsidRPr="00C90087">
        <w:rPr>
          <w:rFonts w:ascii="Times New Roman" w:eastAsiaTheme="minorHAnsi" w:hAnsi="Times New Roman" w:cs="Times New Roman"/>
          <w:sz w:val="28"/>
          <w:szCs w:val="28"/>
          <w:lang w:val="uk-UA" w:eastAsia="en-US"/>
        </w:rPr>
        <w:t xml:space="preserve">., проф. І.Л. Петрової, </w:t>
      </w:r>
      <w:proofErr w:type="spellStart"/>
      <w:r w:rsidRPr="00C90087">
        <w:rPr>
          <w:rFonts w:ascii="Times New Roman" w:eastAsiaTheme="minorHAnsi" w:hAnsi="Times New Roman" w:cs="Times New Roman"/>
          <w:sz w:val="28"/>
          <w:szCs w:val="28"/>
          <w:lang w:val="uk-UA" w:eastAsia="en-US"/>
        </w:rPr>
        <w:t>д.е.н</w:t>
      </w:r>
      <w:proofErr w:type="spellEnd"/>
      <w:r w:rsidRPr="00C90087">
        <w:rPr>
          <w:rFonts w:ascii="Times New Roman" w:eastAsiaTheme="minorHAnsi" w:hAnsi="Times New Roman" w:cs="Times New Roman"/>
          <w:sz w:val="28"/>
          <w:szCs w:val="28"/>
          <w:lang w:val="uk-UA" w:eastAsia="en-US"/>
        </w:rPr>
        <w:t xml:space="preserve">. В.В. Близнюк ; НАН України, ДУ «Ін-т </w:t>
      </w:r>
      <w:proofErr w:type="spellStart"/>
      <w:r w:rsidRPr="00C90087">
        <w:rPr>
          <w:rFonts w:ascii="Times New Roman" w:eastAsiaTheme="minorHAnsi" w:hAnsi="Times New Roman" w:cs="Times New Roman"/>
          <w:sz w:val="28"/>
          <w:szCs w:val="28"/>
          <w:lang w:val="uk-UA" w:eastAsia="en-US"/>
        </w:rPr>
        <w:t>екон</w:t>
      </w:r>
      <w:proofErr w:type="spellEnd"/>
      <w:r w:rsidRPr="00C90087">
        <w:rPr>
          <w:rFonts w:ascii="Times New Roman" w:eastAsiaTheme="minorHAnsi" w:hAnsi="Times New Roman" w:cs="Times New Roman"/>
          <w:sz w:val="28"/>
          <w:szCs w:val="28"/>
          <w:lang w:val="uk-UA" w:eastAsia="en-US"/>
        </w:rPr>
        <w:t xml:space="preserve">. та </w:t>
      </w:r>
      <w:proofErr w:type="spellStart"/>
      <w:r w:rsidRPr="00C90087">
        <w:rPr>
          <w:rFonts w:ascii="Times New Roman" w:eastAsiaTheme="minorHAnsi" w:hAnsi="Times New Roman" w:cs="Times New Roman"/>
          <w:sz w:val="28"/>
          <w:szCs w:val="28"/>
          <w:lang w:val="uk-UA" w:eastAsia="en-US"/>
        </w:rPr>
        <w:t>прогнозув</w:t>
      </w:r>
      <w:proofErr w:type="spellEnd"/>
      <w:r w:rsidRPr="00C90087">
        <w:rPr>
          <w:rFonts w:ascii="Times New Roman" w:eastAsiaTheme="minorHAnsi" w:hAnsi="Times New Roman" w:cs="Times New Roman"/>
          <w:sz w:val="28"/>
          <w:szCs w:val="28"/>
          <w:lang w:val="uk-UA" w:eastAsia="en-US"/>
        </w:rPr>
        <w:t xml:space="preserve">. НАН України». К., 2021. 472 с. </w:t>
      </w:r>
    </w:p>
    <w:p w14:paraId="155E5A61" w14:textId="3FA2A185"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uk-UA" w:eastAsia="en-US"/>
        </w:rPr>
        <w:t>41. Розвиток інституційного потенціалу університетів у контексті глобального лідерства: колективна монографія</w:t>
      </w:r>
      <w:r w:rsidR="00C90087"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uk-UA" w:eastAsia="en-US"/>
        </w:rPr>
        <w:t xml:space="preserve"> </w:t>
      </w:r>
      <w:r w:rsidR="00C90087" w:rsidRPr="00C90087">
        <w:rPr>
          <w:rFonts w:ascii="Times New Roman" w:eastAsiaTheme="minorHAnsi" w:hAnsi="Times New Roman" w:cs="Times New Roman"/>
          <w:sz w:val="28"/>
          <w:szCs w:val="28"/>
          <w:lang w:val="uk-UA" w:eastAsia="en-US"/>
        </w:rPr>
        <w:t>З</w:t>
      </w:r>
      <w:r w:rsidRPr="00C90087">
        <w:rPr>
          <w:rFonts w:ascii="Times New Roman" w:eastAsiaTheme="minorHAnsi" w:hAnsi="Times New Roman" w:cs="Times New Roman"/>
          <w:sz w:val="28"/>
          <w:szCs w:val="28"/>
          <w:lang w:val="uk-UA" w:eastAsia="en-US"/>
        </w:rPr>
        <w:t xml:space="preserve">а </w:t>
      </w:r>
      <w:proofErr w:type="spellStart"/>
      <w:r w:rsidRPr="00C90087">
        <w:rPr>
          <w:rFonts w:ascii="Times New Roman" w:eastAsiaTheme="minorHAnsi" w:hAnsi="Times New Roman" w:cs="Times New Roman"/>
          <w:sz w:val="28"/>
          <w:szCs w:val="28"/>
          <w:lang w:val="uk-UA" w:eastAsia="en-US"/>
        </w:rPr>
        <w:t>заг</w:t>
      </w:r>
      <w:proofErr w:type="spellEnd"/>
      <w:r w:rsidRPr="00C90087">
        <w:rPr>
          <w:rFonts w:ascii="Times New Roman" w:eastAsiaTheme="minorHAnsi" w:hAnsi="Times New Roman" w:cs="Times New Roman"/>
          <w:sz w:val="28"/>
          <w:szCs w:val="28"/>
          <w:lang w:val="uk-UA" w:eastAsia="en-US"/>
        </w:rPr>
        <w:t xml:space="preserve">. ред. С. </w:t>
      </w:r>
      <w:proofErr w:type="spellStart"/>
      <w:r w:rsidRPr="00C90087">
        <w:rPr>
          <w:rFonts w:ascii="Times New Roman" w:eastAsiaTheme="minorHAnsi" w:hAnsi="Times New Roman" w:cs="Times New Roman"/>
          <w:sz w:val="28"/>
          <w:szCs w:val="28"/>
          <w:lang w:val="uk-UA" w:eastAsia="en-US"/>
        </w:rPr>
        <w:t>Калашнікової</w:t>
      </w:r>
      <w:proofErr w:type="spellEnd"/>
      <w:r w:rsidRPr="00C90087">
        <w:rPr>
          <w:rFonts w:ascii="Times New Roman" w:eastAsiaTheme="minorHAnsi" w:hAnsi="Times New Roman" w:cs="Times New Roman"/>
          <w:sz w:val="28"/>
          <w:szCs w:val="28"/>
          <w:lang w:val="uk-UA" w:eastAsia="en-US"/>
        </w:rPr>
        <w:t>. Київ: Інститут вищої освіти НАПН України, 2017. 205 с.</w:t>
      </w:r>
    </w:p>
    <w:p w14:paraId="5FBDFCF3"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lastRenderedPageBreak/>
        <w:t xml:space="preserve">42. Lucas K., </w:t>
      </w:r>
      <w:proofErr w:type="spellStart"/>
      <w:r w:rsidRPr="00C90087">
        <w:rPr>
          <w:rFonts w:ascii="Times New Roman" w:eastAsiaTheme="minorHAnsi" w:hAnsi="Times New Roman" w:cs="Times New Roman"/>
          <w:sz w:val="28"/>
          <w:szCs w:val="28"/>
          <w:lang w:val="en-US" w:eastAsia="en-US"/>
        </w:rPr>
        <w:t>Buzzanell</w:t>
      </w:r>
      <w:proofErr w:type="spellEnd"/>
      <w:r w:rsidRPr="00C90087">
        <w:rPr>
          <w:rFonts w:ascii="Times New Roman" w:eastAsiaTheme="minorHAnsi" w:hAnsi="Times New Roman" w:cs="Times New Roman"/>
          <w:sz w:val="28"/>
          <w:szCs w:val="28"/>
          <w:lang w:val="en-US" w:eastAsia="en-US"/>
        </w:rPr>
        <w:t xml:space="preserve"> P. M. Blue</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 xml:space="preserve">collar work, career, and success: Occupational narratives of </w:t>
      </w:r>
      <w:proofErr w:type="spellStart"/>
      <w:r w:rsidRPr="00C90087">
        <w:rPr>
          <w:rFonts w:ascii="Times New Roman" w:eastAsiaTheme="minorHAnsi" w:hAnsi="Times New Roman" w:cs="Times New Roman"/>
          <w:sz w:val="28"/>
          <w:szCs w:val="28"/>
          <w:lang w:val="en-US" w:eastAsia="en-US"/>
        </w:rPr>
        <w:t>Sisu</w:t>
      </w:r>
      <w:proofErr w:type="spellEnd"/>
      <w:r w:rsidRPr="00C90087">
        <w:rPr>
          <w:rFonts w:ascii="Times New Roman" w:eastAsiaTheme="minorHAnsi" w:hAnsi="Times New Roman" w:cs="Times New Roman"/>
          <w:sz w:val="28"/>
          <w:szCs w:val="28"/>
          <w:lang w:val="en-US" w:eastAsia="en-US"/>
        </w:rPr>
        <w:t>. Journal of Applied Communication Research. 2014. № 32(4). P. 273–292. DOI: https://doi.org/10.1080/0090988042000240167.</w:t>
      </w:r>
    </w:p>
    <w:p w14:paraId="169DDB95"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43. Van De </w:t>
      </w:r>
      <w:proofErr w:type="spellStart"/>
      <w:r w:rsidRPr="00C90087">
        <w:rPr>
          <w:rFonts w:ascii="Times New Roman" w:eastAsiaTheme="minorHAnsi" w:hAnsi="Times New Roman" w:cs="Times New Roman"/>
          <w:sz w:val="28"/>
          <w:szCs w:val="28"/>
          <w:lang w:val="en-US" w:eastAsia="en-US"/>
        </w:rPr>
        <w:t>Vliert</w:t>
      </w:r>
      <w:proofErr w:type="spellEnd"/>
      <w:r w:rsidRPr="00C90087">
        <w:rPr>
          <w:rFonts w:ascii="Times New Roman" w:eastAsiaTheme="minorHAnsi" w:hAnsi="Times New Roman" w:cs="Times New Roman"/>
          <w:sz w:val="28"/>
          <w:szCs w:val="28"/>
          <w:lang w:val="en-US" w:eastAsia="en-US"/>
        </w:rPr>
        <w:t xml:space="preserve"> E., Janssen O. Better</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than performance motives as roots of satisfaction across more and less developed countries. Journal of Cross</w:t>
      </w:r>
      <w:r w:rsidRPr="00C90087">
        <w:rPr>
          <w:rFonts w:ascii="Cambria Math" w:eastAsiaTheme="minorHAnsi" w:hAnsi="Cambria Math" w:cs="Cambria Math"/>
          <w:sz w:val="28"/>
          <w:szCs w:val="28"/>
          <w:lang w:val="en-US" w:eastAsia="en-US"/>
        </w:rPr>
        <w:t>‐</w:t>
      </w:r>
      <w:r w:rsidRPr="00C90087">
        <w:rPr>
          <w:rFonts w:ascii="Times New Roman" w:eastAsiaTheme="minorHAnsi" w:hAnsi="Times New Roman" w:cs="Times New Roman"/>
          <w:sz w:val="28"/>
          <w:szCs w:val="28"/>
          <w:lang w:val="en-US" w:eastAsia="en-US"/>
        </w:rPr>
        <w:t>Cultural Psychology. 2012. № 33(4). Р. 380–397. DOI: https://doi.org/10.1177/00222102033004002.</w:t>
      </w:r>
    </w:p>
    <w:p w14:paraId="40FDACC9" w14:textId="581C94B4"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uk-UA" w:eastAsia="en-US"/>
        </w:rPr>
        <w:t>44. Соціокультурний розвиток регіонального соціуму в контексті національної безпеки : міждисциплінарний вимір : колективна монографія</w:t>
      </w:r>
      <w:r w:rsidR="00C90087" w:rsidRPr="00C90087">
        <w:rPr>
          <w:rFonts w:ascii="Times New Roman" w:eastAsiaTheme="minorHAnsi" w:hAnsi="Times New Roman" w:cs="Times New Roman"/>
          <w:sz w:val="28"/>
          <w:szCs w:val="28"/>
          <w:lang w:val="uk-UA" w:eastAsia="en-US"/>
        </w:rPr>
        <w:t>. З</w:t>
      </w:r>
      <w:r w:rsidRPr="00C90087">
        <w:rPr>
          <w:rFonts w:ascii="Times New Roman" w:eastAsiaTheme="minorHAnsi" w:hAnsi="Times New Roman" w:cs="Times New Roman"/>
          <w:sz w:val="28"/>
          <w:szCs w:val="28"/>
          <w:lang w:val="uk-UA" w:eastAsia="en-US"/>
        </w:rPr>
        <w:t xml:space="preserve">а </w:t>
      </w:r>
      <w:proofErr w:type="spellStart"/>
      <w:r w:rsidRPr="00C90087">
        <w:rPr>
          <w:rFonts w:ascii="Times New Roman" w:eastAsiaTheme="minorHAnsi" w:hAnsi="Times New Roman" w:cs="Times New Roman"/>
          <w:sz w:val="28"/>
          <w:szCs w:val="28"/>
          <w:lang w:val="uk-UA" w:eastAsia="en-US"/>
        </w:rPr>
        <w:t>заг</w:t>
      </w:r>
      <w:proofErr w:type="spellEnd"/>
      <w:r w:rsidRPr="00C90087">
        <w:rPr>
          <w:rFonts w:ascii="Times New Roman" w:eastAsiaTheme="minorHAnsi" w:hAnsi="Times New Roman" w:cs="Times New Roman"/>
          <w:sz w:val="28"/>
          <w:szCs w:val="28"/>
          <w:lang w:val="uk-UA" w:eastAsia="en-US"/>
        </w:rPr>
        <w:t xml:space="preserve">. ред. І. А. </w:t>
      </w:r>
      <w:proofErr w:type="spellStart"/>
      <w:r w:rsidRPr="00C90087">
        <w:rPr>
          <w:rFonts w:ascii="Times New Roman" w:eastAsiaTheme="minorHAnsi" w:hAnsi="Times New Roman" w:cs="Times New Roman"/>
          <w:sz w:val="28"/>
          <w:szCs w:val="28"/>
          <w:lang w:val="uk-UA" w:eastAsia="en-US"/>
        </w:rPr>
        <w:t>Мейжис</w:t>
      </w:r>
      <w:proofErr w:type="spellEnd"/>
      <w:r w:rsidRPr="00C90087">
        <w:rPr>
          <w:rFonts w:ascii="Times New Roman" w:eastAsiaTheme="minorHAnsi" w:hAnsi="Times New Roman" w:cs="Times New Roman"/>
          <w:sz w:val="28"/>
          <w:szCs w:val="28"/>
          <w:lang w:val="uk-UA" w:eastAsia="en-US"/>
        </w:rPr>
        <w:t>, Л. А. Ляпіна. Миколаїв : Вид-во ЧНУ ім. Петра Могили, 2018. 312 с.</w:t>
      </w:r>
    </w:p>
    <w:p w14:paraId="5EDA63B3"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45. Oswald A. J. Happiness and economic performance. The Economic Journal</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val="uk-UA" w:eastAsia="en-US"/>
        </w:rPr>
        <w:t>201</w:t>
      </w:r>
      <w:r w:rsidRPr="00C90087">
        <w:rPr>
          <w:rFonts w:ascii="Times New Roman" w:eastAsiaTheme="minorHAnsi" w:hAnsi="Times New Roman" w:cs="Times New Roman"/>
          <w:sz w:val="28"/>
          <w:szCs w:val="28"/>
          <w:lang w:val="en-US" w:eastAsia="en-US"/>
        </w:rPr>
        <w:t>7</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107(445). Р. 1815–1831. DOI: https://doi.org/10.1111/j.1468</w:t>
      </w:r>
      <w:r w:rsidRPr="00C90087">
        <w:rPr>
          <w:rFonts w:ascii="Cambria Math" w:eastAsiaTheme="minorHAnsi" w:hAnsi="Cambria Math" w:cs="Cambria Math"/>
          <w:sz w:val="28"/>
          <w:szCs w:val="28"/>
          <w:lang w:val="en-US" w:eastAsia="en-US"/>
        </w:rPr>
        <w:t>‐</w:t>
      </w:r>
      <w:proofErr w:type="gramStart"/>
      <w:r w:rsidRPr="00C90087">
        <w:rPr>
          <w:rFonts w:ascii="Times New Roman" w:eastAsiaTheme="minorHAnsi" w:hAnsi="Times New Roman" w:cs="Times New Roman"/>
          <w:sz w:val="28"/>
          <w:szCs w:val="28"/>
          <w:lang w:val="en-US" w:eastAsia="en-US"/>
        </w:rPr>
        <w:t>0297.1997.tb</w:t>
      </w:r>
      <w:proofErr w:type="gramEnd"/>
      <w:r w:rsidRPr="00C90087">
        <w:rPr>
          <w:rFonts w:ascii="Times New Roman" w:eastAsiaTheme="minorHAnsi" w:hAnsi="Times New Roman" w:cs="Times New Roman"/>
          <w:sz w:val="28"/>
          <w:szCs w:val="28"/>
          <w:lang w:val="en-US" w:eastAsia="en-US"/>
        </w:rPr>
        <w:t>00085.x</w:t>
      </w:r>
    </w:p>
    <w:p w14:paraId="7B2FAB35"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46. Nisbett R. E., Miyamoto Y. The influence of culture: Holistic versus analytic perception. Trends in Cognitive Sciences</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20</w:t>
      </w:r>
      <w:r w:rsidRPr="00C90087">
        <w:rPr>
          <w:rFonts w:ascii="Times New Roman" w:eastAsiaTheme="minorHAnsi" w:hAnsi="Times New Roman" w:cs="Times New Roman"/>
          <w:sz w:val="28"/>
          <w:szCs w:val="28"/>
          <w:lang w:val="uk-UA" w:eastAsia="en-US"/>
        </w:rPr>
        <w:t>1</w:t>
      </w:r>
      <w:r w:rsidRPr="00C90087">
        <w:rPr>
          <w:rFonts w:ascii="Times New Roman" w:eastAsiaTheme="minorHAnsi" w:hAnsi="Times New Roman" w:cs="Times New Roman"/>
          <w:sz w:val="28"/>
          <w:szCs w:val="28"/>
          <w:lang w:val="en-US" w:eastAsia="en-US"/>
        </w:rPr>
        <w:t>5</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9(10)</w:t>
      </w:r>
      <w:r w:rsidRP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Р. 467–473. DOI: https://doi.org/10.1016/j.tics.2005.08.004</w:t>
      </w:r>
    </w:p>
    <w:p w14:paraId="6EC800A5" w14:textId="5B81AFCE" w:rsidR="00571B42" w:rsidRPr="00553904"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uk-UA" w:eastAsia="en-US"/>
        </w:rPr>
        <w:t xml:space="preserve">47. </w:t>
      </w:r>
      <w:proofErr w:type="spellStart"/>
      <w:r w:rsidRPr="00C90087">
        <w:rPr>
          <w:rFonts w:ascii="Times New Roman" w:eastAsiaTheme="minorHAnsi" w:hAnsi="Times New Roman" w:cs="Times New Roman"/>
          <w:sz w:val="28"/>
          <w:szCs w:val="28"/>
          <w:lang w:val="uk-UA" w:eastAsia="en-US"/>
        </w:rPr>
        <w:t>Новаченко</w:t>
      </w:r>
      <w:proofErr w:type="spellEnd"/>
      <w:r w:rsidRPr="00553904">
        <w:rPr>
          <w:rFonts w:ascii="Times New Roman" w:eastAsiaTheme="minorHAnsi" w:hAnsi="Times New Roman" w:cs="Times New Roman"/>
          <w:sz w:val="28"/>
          <w:szCs w:val="28"/>
          <w:lang w:val="uk-UA" w:eastAsia="en-US"/>
        </w:rPr>
        <w:t xml:space="preserve"> Т. В. </w:t>
      </w:r>
      <w:proofErr w:type="spellStart"/>
      <w:r w:rsidRPr="00553904">
        <w:rPr>
          <w:rFonts w:ascii="Times New Roman" w:eastAsiaTheme="minorHAnsi" w:hAnsi="Times New Roman" w:cs="Times New Roman"/>
          <w:sz w:val="28"/>
          <w:szCs w:val="28"/>
          <w:lang w:val="uk-UA" w:eastAsia="en-US"/>
        </w:rPr>
        <w:t>Архетипова</w:t>
      </w:r>
      <w:proofErr w:type="spellEnd"/>
      <w:r w:rsidRPr="00553904">
        <w:rPr>
          <w:rFonts w:ascii="Times New Roman" w:eastAsiaTheme="minorHAnsi" w:hAnsi="Times New Roman" w:cs="Times New Roman"/>
          <w:sz w:val="28"/>
          <w:szCs w:val="28"/>
          <w:lang w:val="uk-UA" w:eastAsia="en-US"/>
        </w:rPr>
        <w:t xml:space="preserve"> парадигма керівника в державному управлінні : монографія</w:t>
      </w:r>
      <w:r>
        <w:rPr>
          <w:rFonts w:ascii="Times New Roman" w:eastAsiaTheme="minorHAnsi" w:hAnsi="Times New Roman" w:cs="Times New Roman"/>
          <w:sz w:val="28"/>
          <w:szCs w:val="28"/>
          <w:lang w:val="uk-UA" w:eastAsia="en-US"/>
        </w:rPr>
        <w:t>.</w:t>
      </w:r>
      <w:r w:rsidRPr="00553904">
        <w:rPr>
          <w:rFonts w:ascii="Times New Roman" w:eastAsiaTheme="minorHAnsi" w:hAnsi="Times New Roman" w:cs="Times New Roman"/>
          <w:sz w:val="28"/>
          <w:szCs w:val="28"/>
          <w:lang w:val="uk-UA" w:eastAsia="en-US"/>
        </w:rPr>
        <w:t xml:space="preserve"> Ніжин-Київ : Видавец</w:t>
      </w:r>
      <w:r>
        <w:rPr>
          <w:rFonts w:ascii="Times New Roman" w:eastAsiaTheme="minorHAnsi" w:hAnsi="Times New Roman" w:cs="Times New Roman"/>
          <w:sz w:val="28"/>
          <w:szCs w:val="28"/>
          <w:lang w:val="uk-UA" w:eastAsia="en-US"/>
        </w:rPr>
        <w:t>ь Лисенко М. М., 2013.</w:t>
      </w:r>
      <w:r w:rsidRPr="00553904">
        <w:rPr>
          <w:rFonts w:ascii="Times New Roman" w:eastAsiaTheme="minorHAnsi" w:hAnsi="Times New Roman" w:cs="Times New Roman"/>
          <w:sz w:val="28"/>
          <w:szCs w:val="28"/>
          <w:lang w:val="uk-UA" w:eastAsia="en-US"/>
        </w:rPr>
        <w:t xml:space="preserve"> 320 с.</w:t>
      </w:r>
    </w:p>
    <w:p w14:paraId="09CDA578" w14:textId="69C08D33" w:rsidR="00571B42" w:rsidRPr="00553904"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553904">
        <w:rPr>
          <w:rFonts w:ascii="Times New Roman" w:eastAsiaTheme="minorHAnsi" w:hAnsi="Times New Roman" w:cs="Times New Roman"/>
          <w:sz w:val="28"/>
          <w:szCs w:val="28"/>
          <w:lang w:val="uk-UA" w:eastAsia="en-US"/>
        </w:rPr>
        <w:t xml:space="preserve">48. </w:t>
      </w:r>
      <w:proofErr w:type="spellStart"/>
      <w:r w:rsidRPr="00553904">
        <w:rPr>
          <w:rFonts w:ascii="Times New Roman" w:eastAsiaTheme="minorHAnsi" w:hAnsi="Times New Roman" w:cs="Times New Roman"/>
          <w:sz w:val="28"/>
          <w:szCs w:val="28"/>
          <w:lang w:val="uk-UA" w:eastAsia="en-US"/>
        </w:rPr>
        <w:t>Тишкун</w:t>
      </w:r>
      <w:proofErr w:type="spellEnd"/>
      <w:r w:rsidRPr="00553904">
        <w:rPr>
          <w:rFonts w:ascii="Times New Roman" w:eastAsiaTheme="minorHAnsi" w:hAnsi="Times New Roman" w:cs="Times New Roman"/>
          <w:sz w:val="28"/>
          <w:szCs w:val="28"/>
          <w:lang w:val="uk-UA" w:eastAsia="en-US"/>
        </w:rPr>
        <w:t xml:space="preserve"> Ю. Я. Оцінка першої </w:t>
      </w:r>
      <w:r w:rsidR="00C90087">
        <w:rPr>
          <w:rFonts w:ascii="Times New Roman" w:eastAsiaTheme="minorHAnsi" w:hAnsi="Times New Roman" w:cs="Times New Roman"/>
          <w:sz w:val="28"/>
          <w:szCs w:val="28"/>
          <w:lang w:val="uk-UA" w:eastAsia="en-US"/>
        </w:rPr>
        <w:t>«</w:t>
      </w:r>
      <w:r w:rsidRPr="00553904">
        <w:rPr>
          <w:rFonts w:ascii="Times New Roman" w:eastAsiaTheme="minorHAnsi" w:hAnsi="Times New Roman" w:cs="Times New Roman"/>
          <w:sz w:val="28"/>
          <w:szCs w:val="28"/>
          <w:lang w:val="uk-UA" w:eastAsia="en-US"/>
        </w:rPr>
        <w:t>хвилі</w:t>
      </w:r>
      <w:r w:rsidR="00C90087">
        <w:rPr>
          <w:rFonts w:ascii="Times New Roman" w:eastAsiaTheme="minorHAnsi" w:hAnsi="Times New Roman" w:cs="Times New Roman"/>
          <w:sz w:val="28"/>
          <w:szCs w:val="28"/>
          <w:lang w:val="uk-UA" w:eastAsia="en-US"/>
        </w:rPr>
        <w:t>»</w:t>
      </w:r>
      <w:r w:rsidRPr="00553904">
        <w:rPr>
          <w:rFonts w:ascii="Times New Roman" w:eastAsiaTheme="minorHAnsi" w:hAnsi="Times New Roman" w:cs="Times New Roman"/>
          <w:sz w:val="28"/>
          <w:szCs w:val="28"/>
          <w:lang w:val="uk-UA" w:eastAsia="en-US"/>
        </w:rPr>
        <w:t xml:space="preserve"> демократизації в українській політичній думці міжвоєнного періоду. Дні науки ф</w:t>
      </w:r>
      <w:r>
        <w:rPr>
          <w:rFonts w:ascii="Times New Roman" w:eastAsiaTheme="minorHAnsi" w:hAnsi="Times New Roman" w:cs="Times New Roman"/>
          <w:sz w:val="28"/>
          <w:szCs w:val="28"/>
          <w:lang w:val="uk-UA" w:eastAsia="en-US"/>
        </w:rPr>
        <w:t>ілософського факультету – 2012:</w:t>
      </w:r>
      <w:r w:rsidRPr="00553904">
        <w:rPr>
          <w:rFonts w:ascii="Times New Roman" w:eastAsiaTheme="minorHAnsi" w:hAnsi="Times New Roman" w:cs="Times New Roman"/>
          <w:sz w:val="28"/>
          <w:szCs w:val="28"/>
          <w:lang w:val="uk-UA" w:eastAsia="en-US"/>
        </w:rPr>
        <w:t xml:space="preserve"> </w:t>
      </w:r>
      <w:proofErr w:type="spellStart"/>
      <w:r w:rsidRPr="00553904">
        <w:rPr>
          <w:rFonts w:ascii="Times New Roman" w:eastAsiaTheme="minorHAnsi" w:hAnsi="Times New Roman" w:cs="Times New Roman"/>
          <w:sz w:val="28"/>
          <w:szCs w:val="28"/>
          <w:lang w:val="uk-UA" w:eastAsia="en-US"/>
        </w:rPr>
        <w:t>Міжн</w:t>
      </w:r>
      <w:proofErr w:type="spellEnd"/>
      <w:r w:rsidRPr="00553904">
        <w:rPr>
          <w:rFonts w:ascii="Times New Roman" w:eastAsiaTheme="minorHAnsi" w:hAnsi="Times New Roman" w:cs="Times New Roman"/>
          <w:sz w:val="28"/>
          <w:szCs w:val="28"/>
          <w:lang w:val="uk-UA" w:eastAsia="en-US"/>
        </w:rPr>
        <w:t xml:space="preserve">. наук. </w:t>
      </w:r>
      <w:proofErr w:type="spellStart"/>
      <w:r w:rsidRPr="00553904">
        <w:rPr>
          <w:rFonts w:ascii="Times New Roman" w:eastAsiaTheme="minorHAnsi" w:hAnsi="Times New Roman" w:cs="Times New Roman"/>
          <w:sz w:val="28"/>
          <w:szCs w:val="28"/>
          <w:lang w:val="uk-UA" w:eastAsia="en-US"/>
        </w:rPr>
        <w:t>конф</w:t>
      </w:r>
      <w:proofErr w:type="spellEnd"/>
      <w:r w:rsidRPr="00553904">
        <w:rPr>
          <w:rFonts w:ascii="Times New Roman" w:eastAsiaTheme="minorHAnsi" w:hAnsi="Times New Roman" w:cs="Times New Roman"/>
          <w:sz w:val="28"/>
          <w:szCs w:val="28"/>
          <w:lang w:val="uk-UA" w:eastAsia="en-US"/>
        </w:rPr>
        <w:t xml:space="preserve">. </w:t>
      </w:r>
      <w:r>
        <w:rPr>
          <w:rFonts w:ascii="Times New Roman" w:eastAsiaTheme="minorHAnsi" w:hAnsi="Times New Roman" w:cs="Times New Roman"/>
          <w:sz w:val="28"/>
          <w:szCs w:val="28"/>
          <w:lang w:val="uk-UA" w:eastAsia="en-US"/>
        </w:rPr>
        <w:t>2012, 18–19 квіт. 2012 р. : матеріали доповідей та виступів.</w:t>
      </w:r>
      <w:r w:rsidRPr="00553904">
        <w:rPr>
          <w:rFonts w:ascii="Times New Roman" w:eastAsiaTheme="minorHAnsi" w:hAnsi="Times New Roman" w:cs="Times New Roman"/>
          <w:sz w:val="28"/>
          <w:szCs w:val="28"/>
          <w:lang w:val="uk-UA" w:eastAsia="en-US"/>
        </w:rPr>
        <w:t xml:space="preserve"> К. : </w:t>
      </w:r>
      <w:proofErr w:type="spellStart"/>
      <w:r w:rsidRPr="00553904">
        <w:rPr>
          <w:rFonts w:ascii="Times New Roman" w:eastAsiaTheme="minorHAnsi" w:hAnsi="Times New Roman" w:cs="Times New Roman"/>
          <w:sz w:val="28"/>
          <w:szCs w:val="28"/>
          <w:lang w:val="uk-UA" w:eastAsia="en-US"/>
        </w:rPr>
        <w:t>Видавничо</w:t>
      </w:r>
      <w:proofErr w:type="spellEnd"/>
      <w:r w:rsidRPr="00553904">
        <w:rPr>
          <w:rFonts w:ascii="Times New Roman" w:eastAsiaTheme="minorHAnsi" w:hAnsi="Times New Roman" w:cs="Times New Roman"/>
          <w:sz w:val="28"/>
          <w:szCs w:val="28"/>
          <w:lang w:val="uk-UA" w:eastAsia="en-US"/>
        </w:rPr>
        <w:t>-поліграфічний центр "Київський університет", 2012. С. 66-68.</w:t>
      </w:r>
    </w:p>
    <w:p w14:paraId="315192E2"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iCs/>
          <w:sz w:val="28"/>
          <w:szCs w:val="28"/>
          <w:lang w:val="en-US" w:eastAsia="en-US"/>
        </w:rPr>
      </w:pPr>
      <w:r w:rsidRPr="00303950">
        <w:rPr>
          <w:rFonts w:ascii="Times New Roman" w:eastAsiaTheme="minorHAnsi" w:hAnsi="Times New Roman" w:cs="Times New Roman"/>
          <w:sz w:val="28"/>
          <w:szCs w:val="28"/>
          <w:lang w:val="en-US" w:eastAsia="en-US"/>
        </w:rPr>
        <w:t xml:space="preserve">49. </w:t>
      </w:r>
      <w:proofErr w:type="spellStart"/>
      <w:r>
        <w:rPr>
          <w:rFonts w:ascii="Times New Roman" w:eastAsiaTheme="minorHAnsi" w:hAnsi="Times New Roman" w:cs="Times New Roman"/>
          <w:sz w:val="28"/>
          <w:szCs w:val="28"/>
          <w:lang w:val="en-US" w:eastAsia="en-US"/>
        </w:rPr>
        <w:t>Claes</w:t>
      </w:r>
      <w:proofErr w:type="spellEnd"/>
      <w:r>
        <w:rPr>
          <w:rFonts w:ascii="Times New Roman" w:eastAsiaTheme="minorHAnsi" w:hAnsi="Times New Roman" w:cs="Times New Roman"/>
          <w:sz w:val="28"/>
          <w:szCs w:val="28"/>
          <w:lang w:val="en-US" w:eastAsia="en-US"/>
        </w:rPr>
        <w:t xml:space="preserve"> R.,</w:t>
      </w:r>
      <w:r w:rsidRPr="00303950">
        <w:rPr>
          <w:rFonts w:ascii="Times New Roman" w:eastAsiaTheme="minorHAnsi" w:hAnsi="Times New Roman" w:cs="Times New Roman"/>
          <w:sz w:val="28"/>
          <w:szCs w:val="28"/>
          <w:lang w:val="en-US" w:eastAsia="en-US"/>
        </w:rPr>
        <w:t xml:space="preserve"> Ruiz</w:t>
      </w:r>
      <w:r w:rsidRPr="00303950">
        <w:rPr>
          <w:rFonts w:ascii="Cambria Math" w:eastAsiaTheme="minorHAnsi" w:hAnsi="Cambria Math" w:cs="Cambria Math"/>
          <w:sz w:val="28"/>
          <w:szCs w:val="28"/>
          <w:lang w:val="en-US" w:eastAsia="en-US"/>
        </w:rPr>
        <w:t>‐</w:t>
      </w:r>
      <w:r>
        <w:rPr>
          <w:rFonts w:ascii="Times New Roman" w:eastAsiaTheme="minorHAnsi" w:hAnsi="Times New Roman" w:cs="Times New Roman"/>
          <w:sz w:val="28"/>
          <w:szCs w:val="28"/>
          <w:lang w:val="en-US" w:eastAsia="en-US"/>
        </w:rPr>
        <w:t>Quintanilla S. A.</w:t>
      </w:r>
      <w:r w:rsidRPr="00303950">
        <w:rPr>
          <w:rFonts w:ascii="Times New Roman" w:eastAsiaTheme="minorHAnsi" w:hAnsi="Times New Roman" w:cs="Times New Roman"/>
          <w:sz w:val="28"/>
          <w:szCs w:val="28"/>
          <w:lang w:val="en-US" w:eastAsia="en-US"/>
        </w:rPr>
        <w:t xml:space="preserve"> Influences of early career experiences, occupational group, and national culture on</w:t>
      </w:r>
      <w:r>
        <w:rPr>
          <w:rFonts w:ascii="Times New Roman" w:eastAsiaTheme="minorHAnsi" w:hAnsi="Times New Roman" w:cs="Times New Roman"/>
          <w:sz w:val="28"/>
          <w:szCs w:val="28"/>
          <w:lang w:val="uk-UA" w:eastAsia="en-US"/>
        </w:rPr>
        <w:t xml:space="preserve"> </w:t>
      </w:r>
      <w:r w:rsidRPr="00303950">
        <w:rPr>
          <w:rFonts w:ascii="Times New Roman" w:eastAsiaTheme="minorHAnsi" w:hAnsi="Times New Roman" w:cs="Times New Roman"/>
          <w:sz w:val="28"/>
          <w:szCs w:val="28"/>
          <w:lang w:val="en-US" w:eastAsia="en-US"/>
        </w:rPr>
        <w:t xml:space="preserve">proactive career behavior. </w:t>
      </w:r>
      <w:r w:rsidRPr="00C90087">
        <w:rPr>
          <w:rFonts w:ascii="Times New Roman" w:eastAsiaTheme="minorHAnsi" w:hAnsi="Times New Roman" w:cs="Times New Roman"/>
          <w:iCs/>
          <w:sz w:val="28"/>
          <w:szCs w:val="28"/>
          <w:lang w:val="en-US" w:eastAsia="en-US"/>
        </w:rPr>
        <w:t>Journal of Vocational Behavior</w:t>
      </w:r>
      <w:r w:rsidRPr="00C90087">
        <w:rPr>
          <w:rFonts w:ascii="Times New Roman" w:eastAsiaTheme="minorHAnsi" w:hAnsi="Times New Roman" w:cs="Times New Roman"/>
          <w:iCs/>
          <w:sz w:val="28"/>
          <w:szCs w:val="28"/>
          <w:lang w:val="uk-UA" w:eastAsia="en-US"/>
        </w:rPr>
        <w:t>.</w:t>
      </w:r>
      <w:r w:rsidRPr="00C90087">
        <w:rPr>
          <w:rFonts w:ascii="Times New Roman" w:eastAsiaTheme="minorHAnsi" w:hAnsi="Times New Roman" w:cs="Times New Roman"/>
          <w:iCs/>
          <w:sz w:val="28"/>
          <w:szCs w:val="28"/>
          <w:lang w:val="en-US" w:eastAsia="en-US"/>
        </w:rPr>
        <w:t xml:space="preserve"> </w:t>
      </w:r>
      <w:r w:rsidRPr="00C90087">
        <w:rPr>
          <w:rFonts w:ascii="Times New Roman" w:eastAsiaTheme="minorHAnsi" w:hAnsi="Times New Roman" w:cs="Times New Roman"/>
          <w:iCs/>
          <w:sz w:val="28"/>
          <w:szCs w:val="28"/>
          <w:lang w:val="uk-UA" w:eastAsia="en-US"/>
        </w:rPr>
        <w:t>20</w:t>
      </w:r>
      <w:r w:rsidRPr="00C90087">
        <w:rPr>
          <w:rFonts w:ascii="Times New Roman" w:eastAsiaTheme="minorHAnsi" w:hAnsi="Times New Roman" w:cs="Times New Roman"/>
          <w:iCs/>
          <w:sz w:val="28"/>
          <w:szCs w:val="28"/>
          <w:lang w:val="en-US" w:eastAsia="en-US"/>
        </w:rPr>
        <w:t>18</w:t>
      </w:r>
      <w:r w:rsidRPr="00C90087">
        <w:rPr>
          <w:rFonts w:ascii="Times New Roman" w:eastAsiaTheme="minorHAnsi" w:hAnsi="Times New Roman" w:cs="Times New Roman"/>
          <w:iCs/>
          <w:sz w:val="28"/>
          <w:szCs w:val="28"/>
          <w:lang w:val="uk-UA" w:eastAsia="en-US"/>
        </w:rPr>
        <w:t xml:space="preserve">. № </w:t>
      </w:r>
      <w:r w:rsidRPr="00C90087">
        <w:rPr>
          <w:rFonts w:ascii="Times New Roman" w:eastAsiaTheme="minorHAnsi" w:hAnsi="Times New Roman" w:cs="Times New Roman"/>
          <w:iCs/>
          <w:sz w:val="28"/>
          <w:szCs w:val="28"/>
          <w:lang w:val="en-US" w:eastAsia="en-US"/>
        </w:rPr>
        <w:t>52(3). Р. 357–378. DOI: https://doi.org/10.1006/jvbe.1997.1626</w:t>
      </w:r>
    </w:p>
    <w:p w14:paraId="217CBAF9"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iCs/>
          <w:sz w:val="28"/>
          <w:szCs w:val="28"/>
          <w:lang w:val="en-US" w:eastAsia="en-US"/>
        </w:rPr>
      </w:pPr>
      <w:r w:rsidRPr="00C90087">
        <w:rPr>
          <w:rFonts w:ascii="Times New Roman" w:eastAsiaTheme="minorHAnsi" w:hAnsi="Times New Roman" w:cs="Times New Roman"/>
          <w:iCs/>
          <w:sz w:val="28"/>
          <w:szCs w:val="28"/>
          <w:lang w:val="en-US" w:eastAsia="en-US"/>
        </w:rPr>
        <w:lastRenderedPageBreak/>
        <w:t>50. Ogden H., Cheng S. Cultural dimensions and materialism: Comparing Canada and China. Asia Pacific Journal of Marketing and Logistics</w:t>
      </w:r>
      <w:r w:rsidRPr="00C90087">
        <w:rPr>
          <w:rFonts w:ascii="Times New Roman" w:eastAsiaTheme="minorHAnsi" w:hAnsi="Times New Roman" w:cs="Times New Roman"/>
          <w:iCs/>
          <w:sz w:val="28"/>
          <w:szCs w:val="28"/>
          <w:lang w:val="uk-UA" w:eastAsia="en-US"/>
        </w:rPr>
        <w:t>.</w:t>
      </w:r>
      <w:r w:rsidRPr="00C90087">
        <w:rPr>
          <w:rFonts w:ascii="Times New Roman" w:eastAsiaTheme="minorHAnsi" w:hAnsi="Times New Roman" w:cs="Times New Roman"/>
          <w:iCs/>
          <w:sz w:val="28"/>
          <w:szCs w:val="28"/>
          <w:lang w:val="en-US" w:eastAsia="en-US"/>
        </w:rPr>
        <w:t xml:space="preserve"> 2011</w:t>
      </w:r>
      <w:r w:rsidRPr="00C90087">
        <w:rPr>
          <w:rFonts w:ascii="Times New Roman" w:eastAsiaTheme="minorHAnsi" w:hAnsi="Times New Roman" w:cs="Times New Roman"/>
          <w:iCs/>
          <w:sz w:val="28"/>
          <w:szCs w:val="28"/>
          <w:lang w:val="uk-UA" w:eastAsia="en-US"/>
        </w:rPr>
        <w:t xml:space="preserve">. № </w:t>
      </w:r>
      <w:r w:rsidRPr="00C90087">
        <w:rPr>
          <w:rFonts w:ascii="Times New Roman" w:eastAsiaTheme="minorHAnsi" w:hAnsi="Times New Roman" w:cs="Times New Roman"/>
          <w:iCs/>
          <w:sz w:val="28"/>
          <w:szCs w:val="28"/>
          <w:lang w:val="en-US" w:eastAsia="en-US"/>
        </w:rPr>
        <w:t>23(4). Р. 431–447. DOI: https://doi.org/10.1108/13555851111165011.</w:t>
      </w:r>
    </w:p>
    <w:p w14:paraId="491DB840"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iCs/>
          <w:sz w:val="28"/>
          <w:szCs w:val="28"/>
          <w:lang w:val="uk-UA" w:eastAsia="en-US"/>
        </w:rPr>
      </w:pPr>
      <w:r w:rsidRPr="00C90087">
        <w:rPr>
          <w:rFonts w:ascii="Times New Roman" w:eastAsiaTheme="minorHAnsi" w:hAnsi="Times New Roman" w:cs="Times New Roman"/>
          <w:iCs/>
          <w:sz w:val="28"/>
          <w:szCs w:val="28"/>
          <w:lang w:val="uk-UA" w:eastAsia="en-US"/>
        </w:rPr>
        <w:t xml:space="preserve">51. </w:t>
      </w:r>
      <w:proofErr w:type="spellStart"/>
      <w:r w:rsidRPr="00C90087">
        <w:rPr>
          <w:rFonts w:ascii="Times New Roman" w:eastAsiaTheme="minorHAnsi" w:hAnsi="Times New Roman" w:cs="Times New Roman"/>
          <w:iCs/>
          <w:sz w:val="28"/>
          <w:szCs w:val="28"/>
          <w:lang w:val="uk-UA" w:eastAsia="en-US"/>
        </w:rPr>
        <w:t>Гарькавець</w:t>
      </w:r>
      <w:proofErr w:type="spellEnd"/>
      <w:r w:rsidRPr="00C90087">
        <w:rPr>
          <w:rFonts w:ascii="Times New Roman" w:eastAsiaTheme="minorHAnsi" w:hAnsi="Times New Roman" w:cs="Times New Roman"/>
          <w:iCs/>
          <w:sz w:val="28"/>
          <w:szCs w:val="28"/>
          <w:lang w:val="uk-UA" w:eastAsia="en-US"/>
        </w:rPr>
        <w:t xml:space="preserve"> С. О. Соціально-нормативна активність індивіда та її психологічні референти : монографія. Харків : Друкарня Мадрид. 2016. 156 с.</w:t>
      </w:r>
    </w:p>
    <w:p w14:paraId="14324845"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iCs/>
          <w:sz w:val="28"/>
          <w:szCs w:val="28"/>
          <w:lang w:val="en-US" w:eastAsia="en-US"/>
        </w:rPr>
      </w:pPr>
      <w:r w:rsidRPr="00C90087">
        <w:rPr>
          <w:rFonts w:ascii="Times New Roman" w:eastAsiaTheme="minorHAnsi" w:hAnsi="Times New Roman" w:cs="Times New Roman"/>
          <w:iCs/>
          <w:sz w:val="28"/>
          <w:szCs w:val="28"/>
          <w:lang w:val="en-US" w:eastAsia="en-US"/>
        </w:rPr>
        <w:t>52. Scherer S. Stepping</w:t>
      </w:r>
      <w:r w:rsidRPr="00C90087">
        <w:rPr>
          <w:rFonts w:ascii="Cambria Math" w:eastAsiaTheme="minorHAnsi" w:hAnsi="Cambria Math" w:cs="Cambria Math"/>
          <w:iCs/>
          <w:sz w:val="28"/>
          <w:szCs w:val="28"/>
          <w:lang w:val="en-US" w:eastAsia="en-US"/>
        </w:rPr>
        <w:t>‐</w:t>
      </w:r>
      <w:r w:rsidRPr="00C90087">
        <w:rPr>
          <w:rFonts w:ascii="Times New Roman" w:eastAsiaTheme="minorHAnsi" w:hAnsi="Times New Roman" w:cs="Times New Roman"/>
          <w:iCs/>
          <w:sz w:val="28"/>
          <w:szCs w:val="28"/>
          <w:lang w:val="en-US" w:eastAsia="en-US"/>
        </w:rPr>
        <w:t xml:space="preserve">stones or traps? The consequences of </w:t>
      </w:r>
      <w:proofErr w:type="spellStart"/>
      <w:r w:rsidRPr="00C90087">
        <w:rPr>
          <w:rFonts w:ascii="Times New Roman" w:eastAsiaTheme="minorHAnsi" w:hAnsi="Times New Roman" w:cs="Times New Roman"/>
          <w:iCs/>
          <w:sz w:val="28"/>
          <w:szCs w:val="28"/>
          <w:lang w:val="en-US" w:eastAsia="en-US"/>
        </w:rPr>
        <w:t>labour</w:t>
      </w:r>
      <w:proofErr w:type="spellEnd"/>
      <w:r w:rsidRPr="00C90087">
        <w:rPr>
          <w:rFonts w:ascii="Times New Roman" w:eastAsiaTheme="minorHAnsi" w:hAnsi="Times New Roman" w:cs="Times New Roman"/>
          <w:iCs/>
          <w:sz w:val="28"/>
          <w:szCs w:val="28"/>
          <w:lang w:val="en-US" w:eastAsia="en-US"/>
        </w:rPr>
        <w:t xml:space="preserve"> market entry positions on future careers in West Germany, Great Britain and Italy. Work, Employment and Society</w:t>
      </w:r>
      <w:r w:rsidRPr="00C90087">
        <w:rPr>
          <w:rFonts w:ascii="Times New Roman" w:eastAsiaTheme="minorHAnsi" w:hAnsi="Times New Roman" w:cs="Times New Roman"/>
          <w:iCs/>
          <w:sz w:val="28"/>
          <w:szCs w:val="28"/>
          <w:lang w:val="uk-UA" w:eastAsia="en-US"/>
        </w:rPr>
        <w:t>.</w:t>
      </w:r>
      <w:r w:rsidRPr="00C90087">
        <w:rPr>
          <w:rFonts w:ascii="Times New Roman" w:eastAsiaTheme="minorHAnsi" w:hAnsi="Times New Roman" w:cs="Times New Roman"/>
          <w:iCs/>
          <w:sz w:val="28"/>
          <w:szCs w:val="28"/>
          <w:lang w:val="en-US" w:eastAsia="en-US"/>
        </w:rPr>
        <w:t xml:space="preserve"> 20</w:t>
      </w:r>
      <w:r w:rsidRPr="00C90087">
        <w:rPr>
          <w:rFonts w:ascii="Times New Roman" w:eastAsiaTheme="minorHAnsi" w:hAnsi="Times New Roman" w:cs="Times New Roman"/>
          <w:iCs/>
          <w:sz w:val="28"/>
          <w:szCs w:val="28"/>
          <w:lang w:val="uk-UA" w:eastAsia="en-US"/>
        </w:rPr>
        <w:t>1</w:t>
      </w:r>
      <w:r w:rsidRPr="00C90087">
        <w:rPr>
          <w:rFonts w:ascii="Times New Roman" w:eastAsiaTheme="minorHAnsi" w:hAnsi="Times New Roman" w:cs="Times New Roman"/>
          <w:iCs/>
          <w:sz w:val="28"/>
          <w:szCs w:val="28"/>
          <w:lang w:val="en-US" w:eastAsia="en-US"/>
        </w:rPr>
        <w:t>4</w:t>
      </w:r>
      <w:r w:rsidRPr="00C90087">
        <w:rPr>
          <w:rFonts w:ascii="Times New Roman" w:eastAsiaTheme="minorHAnsi" w:hAnsi="Times New Roman" w:cs="Times New Roman"/>
          <w:iCs/>
          <w:sz w:val="28"/>
          <w:szCs w:val="28"/>
          <w:lang w:val="uk-UA" w:eastAsia="en-US"/>
        </w:rPr>
        <w:t xml:space="preserve">. № </w:t>
      </w:r>
      <w:r w:rsidRPr="00C90087">
        <w:rPr>
          <w:rFonts w:ascii="Times New Roman" w:eastAsiaTheme="minorHAnsi" w:hAnsi="Times New Roman" w:cs="Times New Roman"/>
          <w:iCs/>
          <w:sz w:val="28"/>
          <w:szCs w:val="28"/>
          <w:lang w:val="en-US" w:eastAsia="en-US"/>
        </w:rPr>
        <w:t>18(2)</w:t>
      </w:r>
      <w:r w:rsidRPr="00C90087">
        <w:rPr>
          <w:rFonts w:ascii="Times New Roman" w:eastAsiaTheme="minorHAnsi" w:hAnsi="Times New Roman" w:cs="Times New Roman"/>
          <w:iCs/>
          <w:sz w:val="28"/>
          <w:szCs w:val="28"/>
          <w:lang w:val="uk-UA" w:eastAsia="en-US"/>
        </w:rPr>
        <w:t>.</w:t>
      </w:r>
      <w:r w:rsidRPr="00C90087">
        <w:rPr>
          <w:rFonts w:ascii="Times New Roman" w:eastAsiaTheme="minorHAnsi" w:hAnsi="Times New Roman" w:cs="Times New Roman"/>
          <w:iCs/>
          <w:sz w:val="28"/>
          <w:szCs w:val="28"/>
          <w:lang w:val="en-US" w:eastAsia="en-US"/>
        </w:rPr>
        <w:t xml:space="preserve"> Р. 369–394.</w:t>
      </w:r>
    </w:p>
    <w:p w14:paraId="680B2A73"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iCs/>
          <w:sz w:val="28"/>
          <w:szCs w:val="28"/>
          <w:lang w:val="uk-UA" w:eastAsia="en-US"/>
        </w:rPr>
      </w:pPr>
      <w:r w:rsidRPr="00C90087">
        <w:rPr>
          <w:rFonts w:ascii="Times New Roman" w:eastAsiaTheme="minorHAnsi" w:hAnsi="Times New Roman" w:cs="Times New Roman"/>
          <w:iCs/>
          <w:sz w:val="28"/>
          <w:szCs w:val="28"/>
          <w:lang w:val="en-US" w:eastAsia="en-US"/>
        </w:rPr>
        <w:t xml:space="preserve">53. Higher education reforms in Ukraine: challenges, status, and </w:t>
      </w:r>
      <w:proofErr w:type="gramStart"/>
      <w:r w:rsidRPr="00C90087">
        <w:rPr>
          <w:rFonts w:ascii="Times New Roman" w:eastAsiaTheme="minorHAnsi" w:hAnsi="Times New Roman" w:cs="Times New Roman"/>
          <w:iCs/>
          <w:sz w:val="28"/>
          <w:szCs w:val="28"/>
          <w:lang w:val="en-US" w:eastAsia="en-US"/>
        </w:rPr>
        <w:t>prospects :</w:t>
      </w:r>
      <w:proofErr w:type="gramEnd"/>
      <w:r w:rsidRPr="00C90087">
        <w:rPr>
          <w:rFonts w:ascii="Times New Roman" w:eastAsiaTheme="minorHAnsi" w:hAnsi="Times New Roman" w:cs="Times New Roman"/>
          <w:iCs/>
          <w:sz w:val="28"/>
          <w:szCs w:val="28"/>
          <w:lang w:val="uk-UA" w:eastAsia="en-US"/>
        </w:rPr>
        <w:t xml:space="preserve"> </w:t>
      </w:r>
      <w:r w:rsidRPr="00C90087">
        <w:rPr>
          <w:rFonts w:ascii="Times New Roman" w:eastAsiaTheme="minorHAnsi" w:hAnsi="Times New Roman" w:cs="Times New Roman"/>
          <w:iCs/>
          <w:sz w:val="28"/>
          <w:szCs w:val="28"/>
          <w:lang w:val="en-US" w:eastAsia="en-US"/>
        </w:rPr>
        <w:t xml:space="preserve">Collective monograph. Riga, </w:t>
      </w:r>
      <w:proofErr w:type="gramStart"/>
      <w:r w:rsidRPr="00C90087">
        <w:rPr>
          <w:rFonts w:ascii="Times New Roman" w:eastAsiaTheme="minorHAnsi" w:hAnsi="Times New Roman" w:cs="Times New Roman"/>
          <w:iCs/>
          <w:sz w:val="28"/>
          <w:szCs w:val="28"/>
          <w:lang w:val="en-US" w:eastAsia="en-US"/>
        </w:rPr>
        <w:t>Latvia :</w:t>
      </w:r>
      <w:proofErr w:type="gramEnd"/>
      <w:r w:rsidRPr="00C90087">
        <w:rPr>
          <w:rFonts w:ascii="Times New Roman" w:eastAsiaTheme="minorHAnsi" w:hAnsi="Times New Roman" w:cs="Times New Roman"/>
          <w:iCs/>
          <w:sz w:val="28"/>
          <w:szCs w:val="28"/>
          <w:lang w:val="en-US" w:eastAsia="en-US"/>
        </w:rPr>
        <w:t xml:space="preserve"> </w:t>
      </w:r>
      <w:proofErr w:type="spellStart"/>
      <w:r w:rsidRPr="00C90087">
        <w:rPr>
          <w:rFonts w:ascii="Times New Roman" w:eastAsiaTheme="minorHAnsi" w:hAnsi="Times New Roman" w:cs="Times New Roman"/>
          <w:iCs/>
          <w:sz w:val="28"/>
          <w:szCs w:val="28"/>
          <w:lang w:val="en-US" w:eastAsia="en-US"/>
        </w:rPr>
        <w:t>Baltija</w:t>
      </w:r>
      <w:proofErr w:type="spellEnd"/>
      <w:r w:rsidRPr="00C90087">
        <w:rPr>
          <w:rFonts w:ascii="Times New Roman" w:eastAsiaTheme="minorHAnsi" w:hAnsi="Times New Roman" w:cs="Times New Roman"/>
          <w:iCs/>
          <w:sz w:val="28"/>
          <w:szCs w:val="28"/>
          <w:lang w:val="en-US" w:eastAsia="en-US"/>
        </w:rPr>
        <w:t xml:space="preserve"> Publishing, 2023. 416 p</w:t>
      </w:r>
      <w:r w:rsidRPr="00C90087">
        <w:rPr>
          <w:rFonts w:ascii="Times New Roman" w:eastAsiaTheme="minorHAnsi" w:hAnsi="Times New Roman" w:cs="Times New Roman"/>
          <w:iCs/>
          <w:sz w:val="28"/>
          <w:szCs w:val="28"/>
          <w:lang w:val="uk-UA" w:eastAsia="en-US"/>
        </w:rPr>
        <w:t>.</w:t>
      </w:r>
    </w:p>
    <w:p w14:paraId="0F685E23"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iCs/>
          <w:sz w:val="28"/>
          <w:szCs w:val="28"/>
          <w:lang w:val="en-US" w:eastAsia="en-US"/>
        </w:rPr>
      </w:pPr>
      <w:r w:rsidRPr="00C90087">
        <w:rPr>
          <w:rFonts w:ascii="Times New Roman" w:eastAsiaTheme="minorHAnsi" w:hAnsi="Times New Roman" w:cs="Times New Roman"/>
          <w:iCs/>
          <w:sz w:val="28"/>
          <w:szCs w:val="28"/>
          <w:lang w:val="en-US" w:eastAsia="en-US"/>
        </w:rPr>
        <w:t xml:space="preserve">54. </w:t>
      </w:r>
      <w:proofErr w:type="spellStart"/>
      <w:r w:rsidRPr="00C90087">
        <w:rPr>
          <w:rFonts w:ascii="Times New Roman" w:eastAsiaTheme="minorHAnsi" w:hAnsi="Times New Roman" w:cs="Times New Roman"/>
          <w:iCs/>
          <w:sz w:val="28"/>
          <w:szCs w:val="28"/>
          <w:lang w:val="en-US" w:eastAsia="en-US"/>
        </w:rPr>
        <w:t>Fiss</w:t>
      </w:r>
      <w:proofErr w:type="spellEnd"/>
      <w:r w:rsidRPr="00C90087">
        <w:rPr>
          <w:rFonts w:ascii="Times New Roman" w:eastAsiaTheme="minorHAnsi" w:hAnsi="Times New Roman" w:cs="Times New Roman"/>
          <w:iCs/>
          <w:sz w:val="28"/>
          <w:szCs w:val="28"/>
          <w:lang w:val="en-US" w:eastAsia="en-US"/>
        </w:rPr>
        <w:t xml:space="preserve"> P. C. A set</w:t>
      </w:r>
      <w:r w:rsidRPr="00C90087">
        <w:rPr>
          <w:rFonts w:ascii="Cambria Math" w:eastAsiaTheme="minorHAnsi" w:hAnsi="Cambria Math" w:cs="Cambria Math"/>
          <w:iCs/>
          <w:sz w:val="28"/>
          <w:szCs w:val="28"/>
          <w:lang w:val="en-US" w:eastAsia="en-US"/>
        </w:rPr>
        <w:t>‐</w:t>
      </w:r>
      <w:r w:rsidRPr="00C90087">
        <w:rPr>
          <w:rFonts w:ascii="Times New Roman" w:eastAsiaTheme="minorHAnsi" w:hAnsi="Times New Roman" w:cs="Times New Roman"/>
          <w:iCs/>
          <w:sz w:val="28"/>
          <w:szCs w:val="28"/>
          <w:lang w:val="en-US" w:eastAsia="en-US"/>
        </w:rPr>
        <w:t>theoretic approach to organizational configurations. Academy of Management Review. 20</w:t>
      </w:r>
      <w:r w:rsidRPr="00C90087">
        <w:rPr>
          <w:rFonts w:ascii="Times New Roman" w:eastAsiaTheme="minorHAnsi" w:hAnsi="Times New Roman" w:cs="Times New Roman"/>
          <w:iCs/>
          <w:sz w:val="28"/>
          <w:szCs w:val="28"/>
          <w:lang w:val="uk-UA" w:eastAsia="en-US"/>
        </w:rPr>
        <w:t>1</w:t>
      </w:r>
      <w:r w:rsidRPr="00C90087">
        <w:rPr>
          <w:rFonts w:ascii="Times New Roman" w:eastAsiaTheme="minorHAnsi" w:hAnsi="Times New Roman" w:cs="Times New Roman"/>
          <w:iCs/>
          <w:sz w:val="28"/>
          <w:szCs w:val="28"/>
          <w:lang w:val="en-US" w:eastAsia="en-US"/>
        </w:rPr>
        <w:t>7</w:t>
      </w:r>
      <w:r w:rsidRPr="00C90087">
        <w:rPr>
          <w:rFonts w:ascii="Times New Roman" w:eastAsiaTheme="minorHAnsi" w:hAnsi="Times New Roman" w:cs="Times New Roman"/>
          <w:iCs/>
          <w:sz w:val="28"/>
          <w:szCs w:val="28"/>
          <w:lang w:val="uk-UA" w:eastAsia="en-US"/>
        </w:rPr>
        <w:t xml:space="preserve">. № </w:t>
      </w:r>
      <w:r w:rsidRPr="00C90087">
        <w:rPr>
          <w:rFonts w:ascii="Times New Roman" w:eastAsiaTheme="minorHAnsi" w:hAnsi="Times New Roman" w:cs="Times New Roman"/>
          <w:iCs/>
          <w:sz w:val="28"/>
          <w:szCs w:val="28"/>
          <w:lang w:val="en-US" w:eastAsia="en-US"/>
        </w:rPr>
        <w:t>32(4)</w:t>
      </w:r>
      <w:r w:rsidRPr="00C90087">
        <w:rPr>
          <w:rFonts w:ascii="Times New Roman" w:eastAsiaTheme="minorHAnsi" w:hAnsi="Times New Roman" w:cs="Times New Roman"/>
          <w:iCs/>
          <w:sz w:val="28"/>
          <w:szCs w:val="28"/>
          <w:lang w:val="uk-UA" w:eastAsia="en-US"/>
        </w:rPr>
        <w:t>.</w:t>
      </w:r>
      <w:r w:rsidRPr="00C90087">
        <w:rPr>
          <w:rFonts w:ascii="Times New Roman" w:eastAsiaTheme="minorHAnsi" w:hAnsi="Times New Roman" w:cs="Times New Roman"/>
          <w:iCs/>
          <w:sz w:val="28"/>
          <w:szCs w:val="28"/>
          <w:lang w:val="en-US" w:eastAsia="en-US"/>
        </w:rPr>
        <w:t xml:space="preserve"> </w:t>
      </w:r>
      <w:r w:rsidRPr="00C90087">
        <w:rPr>
          <w:rFonts w:ascii="Times New Roman" w:eastAsiaTheme="minorHAnsi" w:hAnsi="Times New Roman" w:cs="Times New Roman"/>
          <w:iCs/>
          <w:sz w:val="28"/>
          <w:szCs w:val="28"/>
          <w:lang w:val="uk-UA" w:eastAsia="en-US"/>
        </w:rPr>
        <w:t xml:space="preserve">Р. </w:t>
      </w:r>
      <w:r w:rsidRPr="00C90087">
        <w:rPr>
          <w:rFonts w:ascii="Times New Roman" w:eastAsiaTheme="minorHAnsi" w:hAnsi="Times New Roman" w:cs="Times New Roman"/>
          <w:iCs/>
          <w:sz w:val="28"/>
          <w:szCs w:val="28"/>
          <w:lang w:val="en-US" w:eastAsia="en-US"/>
        </w:rPr>
        <w:t>1180–1198. DOI: https://doi.org/10.5465/amr.2007.26586092.</w:t>
      </w:r>
    </w:p>
    <w:p w14:paraId="31F02ED2"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iCs/>
          <w:sz w:val="28"/>
          <w:szCs w:val="28"/>
          <w:lang w:val="en-US" w:eastAsia="en-US"/>
        </w:rPr>
      </w:pPr>
      <w:r w:rsidRPr="00C90087">
        <w:rPr>
          <w:rFonts w:ascii="Times New Roman" w:eastAsiaTheme="minorHAnsi" w:hAnsi="Times New Roman" w:cs="Times New Roman"/>
          <w:iCs/>
          <w:sz w:val="28"/>
          <w:szCs w:val="28"/>
          <w:lang w:val="en-US" w:eastAsia="en-US"/>
        </w:rPr>
        <w:t xml:space="preserve">55. </w:t>
      </w:r>
      <w:proofErr w:type="spellStart"/>
      <w:r w:rsidRPr="00C90087">
        <w:rPr>
          <w:rFonts w:ascii="Times New Roman" w:eastAsiaTheme="minorHAnsi" w:hAnsi="Times New Roman" w:cs="Times New Roman"/>
          <w:iCs/>
          <w:sz w:val="28"/>
          <w:szCs w:val="28"/>
          <w:lang w:val="en-US" w:eastAsia="en-US"/>
        </w:rPr>
        <w:t>Greckhamer</w:t>
      </w:r>
      <w:proofErr w:type="spellEnd"/>
      <w:r w:rsidRPr="00C90087">
        <w:rPr>
          <w:rFonts w:ascii="Times New Roman" w:eastAsiaTheme="minorHAnsi" w:hAnsi="Times New Roman" w:cs="Times New Roman"/>
          <w:iCs/>
          <w:sz w:val="28"/>
          <w:szCs w:val="28"/>
          <w:lang w:val="en-US" w:eastAsia="en-US"/>
        </w:rPr>
        <w:t xml:space="preserve"> T. CEO compensation in relation to worker compensation across countries: The configurational impact of country</w:t>
      </w:r>
      <w:r w:rsidRPr="00C90087">
        <w:rPr>
          <w:rFonts w:ascii="Cambria Math" w:eastAsiaTheme="minorHAnsi" w:hAnsi="Cambria Math" w:cs="Cambria Math"/>
          <w:iCs/>
          <w:sz w:val="28"/>
          <w:szCs w:val="28"/>
          <w:lang w:val="en-US" w:eastAsia="en-US"/>
        </w:rPr>
        <w:t>‐</w:t>
      </w:r>
      <w:r w:rsidRPr="00C90087">
        <w:rPr>
          <w:rFonts w:ascii="Times New Roman" w:eastAsiaTheme="minorHAnsi" w:hAnsi="Times New Roman" w:cs="Times New Roman"/>
          <w:iCs/>
          <w:sz w:val="28"/>
          <w:szCs w:val="28"/>
          <w:lang w:val="en-US" w:eastAsia="en-US"/>
        </w:rPr>
        <w:t>level institutions. Strategic Management Journal. 2016</w:t>
      </w:r>
      <w:r w:rsidRPr="00C90087">
        <w:rPr>
          <w:rFonts w:ascii="Times New Roman" w:eastAsiaTheme="minorHAnsi" w:hAnsi="Times New Roman" w:cs="Times New Roman"/>
          <w:iCs/>
          <w:sz w:val="28"/>
          <w:szCs w:val="28"/>
          <w:lang w:val="uk-UA" w:eastAsia="en-US"/>
        </w:rPr>
        <w:t xml:space="preserve">. № </w:t>
      </w:r>
      <w:r w:rsidRPr="00C90087">
        <w:rPr>
          <w:rFonts w:ascii="Times New Roman" w:eastAsiaTheme="minorHAnsi" w:hAnsi="Times New Roman" w:cs="Times New Roman"/>
          <w:iCs/>
          <w:sz w:val="28"/>
          <w:szCs w:val="28"/>
          <w:lang w:val="en-US" w:eastAsia="en-US"/>
        </w:rPr>
        <w:t>37</w:t>
      </w:r>
      <w:r w:rsidRPr="00C90087">
        <w:rPr>
          <w:rFonts w:ascii="Times New Roman" w:eastAsiaTheme="minorHAnsi" w:hAnsi="Times New Roman" w:cs="Times New Roman"/>
          <w:iCs/>
          <w:sz w:val="28"/>
          <w:szCs w:val="28"/>
          <w:lang w:val="uk-UA" w:eastAsia="en-US"/>
        </w:rPr>
        <w:t>.</w:t>
      </w:r>
      <w:r w:rsidRPr="00C90087">
        <w:rPr>
          <w:rFonts w:ascii="Times New Roman" w:eastAsiaTheme="minorHAnsi" w:hAnsi="Times New Roman" w:cs="Times New Roman"/>
          <w:iCs/>
          <w:sz w:val="28"/>
          <w:szCs w:val="28"/>
          <w:lang w:val="en-US" w:eastAsia="en-US"/>
        </w:rPr>
        <w:t xml:space="preserve"> </w:t>
      </w:r>
      <w:r w:rsidRPr="00C90087">
        <w:rPr>
          <w:rFonts w:ascii="Times New Roman" w:eastAsiaTheme="minorHAnsi" w:hAnsi="Times New Roman" w:cs="Times New Roman"/>
          <w:iCs/>
          <w:sz w:val="28"/>
          <w:szCs w:val="28"/>
          <w:lang w:val="uk-UA" w:eastAsia="en-US"/>
        </w:rPr>
        <w:t xml:space="preserve">Р. </w:t>
      </w:r>
      <w:r w:rsidRPr="00C90087">
        <w:rPr>
          <w:rFonts w:ascii="Times New Roman" w:eastAsiaTheme="minorHAnsi" w:hAnsi="Times New Roman" w:cs="Times New Roman"/>
          <w:iCs/>
          <w:sz w:val="28"/>
          <w:szCs w:val="28"/>
          <w:lang w:val="en-US" w:eastAsia="en-US"/>
        </w:rPr>
        <w:t>793–815. DOI: https://doi.org/10.1002/smj.2370.</w:t>
      </w:r>
    </w:p>
    <w:p w14:paraId="6640FA6A"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iCs/>
          <w:sz w:val="28"/>
          <w:szCs w:val="28"/>
          <w:lang w:val="en-US" w:eastAsia="en-US"/>
        </w:rPr>
      </w:pPr>
      <w:r w:rsidRPr="00C90087">
        <w:rPr>
          <w:rFonts w:ascii="Times New Roman" w:eastAsiaTheme="minorHAnsi" w:hAnsi="Times New Roman" w:cs="Times New Roman"/>
          <w:iCs/>
          <w:sz w:val="28"/>
          <w:szCs w:val="28"/>
          <w:lang w:val="en-US" w:eastAsia="en-US"/>
        </w:rPr>
        <w:t>56. Schwartz S. H. A theory of cultural value orientations: Explication and applications. Comparative Sociology. 20</w:t>
      </w:r>
      <w:r w:rsidRPr="00C90087">
        <w:rPr>
          <w:rFonts w:ascii="Times New Roman" w:eastAsiaTheme="minorHAnsi" w:hAnsi="Times New Roman" w:cs="Times New Roman"/>
          <w:iCs/>
          <w:sz w:val="28"/>
          <w:szCs w:val="28"/>
          <w:lang w:val="uk-UA" w:eastAsia="en-US"/>
        </w:rPr>
        <w:t>1</w:t>
      </w:r>
      <w:r w:rsidRPr="00C90087">
        <w:rPr>
          <w:rFonts w:ascii="Times New Roman" w:eastAsiaTheme="minorHAnsi" w:hAnsi="Times New Roman" w:cs="Times New Roman"/>
          <w:iCs/>
          <w:sz w:val="28"/>
          <w:szCs w:val="28"/>
          <w:lang w:val="en-US" w:eastAsia="en-US"/>
        </w:rPr>
        <w:t>6</w:t>
      </w:r>
      <w:r w:rsidRPr="00C90087">
        <w:rPr>
          <w:rFonts w:ascii="Times New Roman" w:eastAsiaTheme="minorHAnsi" w:hAnsi="Times New Roman" w:cs="Times New Roman"/>
          <w:iCs/>
          <w:sz w:val="28"/>
          <w:szCs w:val="28"/>
          <w:lang w:val="uk-UA" w:eastAsia="en-US"/>
        </w:rPr>
        <w:t xml:space="preserve">. № </w:t>
      </w:r>
      <w:r w:rsidRPr="00C90087">
        <w:rPr>
          <w:rFonts w:ascii="Times New Roman" w:eastAsiaTheme="minorHAnsi" w:hAnsi="Times New Roman" w:cs="Times New Roman"/>
          <w:iCs/>
          <w:sz w:val="28"/>
          <w:szCs w:val="28"/>
          <w:lang w:val="en-US" w:eastAsia="en-US"/>
        </w:rPr>
        <w:t>5(2)</w:t>
      </w:r>
      <w:r w:rsidRPr="00C90087">
        <w:rPr>
          <w:rFonts w:ascii="Times New Roman" w:eastAsiaTheme="minorHAnsi" w:hAnsi="Times New Roman" w:cs="Times New Roman"/>
          <w:iCs/>
          <w:sz w:val="28"/>
          <w:szCs w:val="28"/>
          <w:lang w:val="uk-UA" w:eastAsia="en-US"/>
        </w:rPr>
        <w:t xml:space="preserve">. Р. </w:t>
      </w:r>
      <w:r w:rsidRPr="00C90087">
        <w:rPr>
          <w:rFonts w:ascii="Times New Roman" w:eastAsiaTheme="minorHAnsi" w:hAnsi="Times New Roman" w:cs="Times New Roman"/>
          <w:iCs/>
          <w:sz w:val="28"/>
          <w:szCs w:val="28"/>
          <w:lang w:val="en-US" w:eastAsia="en-US"/>
        </w:rPr>
        <w:t>137–182. DOI: https://doi.org/10.1163/156913306778667357</w:t>
      </w:r>
    </w:p>
    <w:p w14:paraId="65D3A353"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iCs/>
          <w:sz w:val="28"/>
          <w:szCs w:val="28"/>
          <w:lang w:val="uk-UA" w:eastAsia="en-US"/>
        </w:rPr>
      </w:pPr>
      <w:r w:rsidRPr="00C90087">
        <w:rPr>
          <w:rFonts w:ascii="Times New Roman" w:eastAsiaTheme="minorHAnsi" w:hAnsi="Times New Roman" w:cs="Times New Roman"/>
          <w:iCs/>
          <w:sz w:val="28"/>
          <w:szCs w:val="28"/>
          <w:lang w:val="en-US" w:eastAsia="en-US"/>
        </w:rPr>
        <w:t>57. Campbell D. P. The Campbell interest and skill survey (CISS): A product of ninety years of psychometric evolution.</w:t>
      </w:r>
      <w:r w:rsidRPr="00C90087">
        <w:rPr>
          <w:rFonts w:ascii="Times New Roman" w:eastAsiaTheme="minorHAnsi" w:hAnsi="Times New Roman" w:cs="Times New Roman"/>
          <w:iCs/>
          <w:sz w:val="28"/>
          <w:szCs w:val="28"/>
          <w:lang w:val="uk-UA" w:eastAsia="en-US"/>
        </w:rPr>
        <w:t xml:space="preserve"> </w:t>
      </w:r>
      <w:r w:rsidRPr="00C90087">
        <w:rPr>
          <w:rFonts w:ascii="Times New Roman" w:eastAsiaTheme="minorHAnsi" w:hAnsi="Times New Roman" w:cs="Times New Roman"/>
          <w:iCs/>
          <w:sz w:val="28"/>
          <w:szCs w:val="28"/>
          <w:lang w:val="en-US" w:eastAsia="en-US"/>
        </w:rPr>
        <w:t>Journal</w:t>
      </w:r>
      <w:r w:rsidRPr="00C90087">
        <w:rPr>
          <w:rFonts w:ascii="Times New Roman" w:eastAsiaTheme="minorHAnsi" w:hAnsi="Times New Roman" w:cs="Times New Roman"/>
          <w:iCs/>
          <w:sz w:val="28"/>
          <w:szCs w:val="28"/>
          <w:lang w:val="uk-UA" w:eastAsia="en-US"/>
        </w:rPr>
        <w:t xml:space="preserve"> </w:t>
      </w:r>
      <w:r w:rsidRPr="00C90087">
        <w:rPr>
          <w:rFonts w:ascii="Times New Roman" w:eastAsiaTheme="minorHAnsi" w:hAnsi="Times New Roman" w:cs="Times New Roman"/>
          <w:iCs/>
          <w:sz w:val="28"/>
          <w:szCs w:val="28"/>
          <w:lang w:val="en-US" w:eastAsia="en-US"/>
        </w:rPr>
        <w:t>of</w:t>
      </w:r>
      <w:r w:rsidRPr="00C90087">
        <w:rPr>
          <w:rFonts w:ascii="Times New Roman" w:eastAsiaTheme="minorHAnsi" w:hAnsi="Times New Roman" w:cs="Times New Roman"/>
          <w:iCs/>
          <w:sz w:val="28"/>
          <w:szCs w:val="28"/>
          <w:lang w:val="uk-UA" w:eastAsia="en-US"/>
        </w:rPr>
        <w:t xml:space="preserve"> </w:t>
      </w:r>
      <w:r w:rsidRPr="00C90087">
        <w:rPr>
          <w:rFonts w:ascii="Times New Roman" w:eastAsiaTheme="minorHAnsi" w:hAnsi="Times New Roman" w:cs="Times New Roman"/>
          <w:iCs/>
          <w:sz w:val="28"/>
          <w:szCs w:val="28"/>
          <w:lang w:val="en-US" w:eastAsia="en-US"/>
        </w:rPr>
        <w:t>Career</w:t>
      </w:r>
      <w:r w:rsidRPr="00C90087">
        <w:rPr>
          <w:rFonts w:ascii="Times New Roman" w:eastAsiaTheme="minorHAnsi" w:hAnsi="Times New Roman" w:cs="Times New Roman"/>
          <w:iCs/>
          <w:sz w:val="28"/>
          <w:szCs w:val="28"/>
          <w:lang w:val="uk-UA" w:eastAsia="en-US"/>
        </w:rPr>
        <w:t xml:space="preserve"> </w:t>
      </w:r>
      <w:r w:rsidRPr="00C90087">
        <w:rPr>
          <w:rFonts w:ascii="Times New Roman" w:eastAsiaTheme="minorHAnsi" w:hAnsi="Times New Roman" w:cs="Times New Roman"/>
          <w:iCs/>
          <w:sz w:val="28"/>
          <w:szCs w:val="28"/>
          <w:lang w:val="en-US" w:eastAsia="en-US"/>
        </w:rPr>
        <w:t>Assessment</w:t>
      </w:r>
      <w:r w:rsidRPr="00C90087">
        <w:rPr>
          <w:rFonts w:ascii="Times New Roman" w:eastAsiaTheme="minorHAnsi" w:hAnsi="Times New Roman" w:cs="Times New Roman"/>
          <w:iCs/>
          <w:sz w:val="28"/>
          <w:szCs w:val="28"/>
          <w:lang w:val="uk-UA" w:eastAsia="en-US"/>
        </w:rPr>
        <w:t xml:space="preserve">. 1995. № 3(4). Р. 391–410. </w:t>
      </w:r>
      <w:r w:rsidRPr="00C90087">
        <w:rPr>
          <w:rFonts w:ascii="Times New Roman" w:eastAsiaTheme="minorHAnsi" w:hAnsi="Times New Roman" w:cs="Times New Roman"/>
          <w:iCs/>
          <w:sz w:val="28"/>
          <w:szCs w:val="28"/>
          <w:lang w:val="en-US" w:eastAsia="en-US"/>
        </w:rPr>
        <w:t>DOI</w:t>
      </w:r>
      <w:r w:rsidRPr="00C90087">
        <w:rPr>
          <w:rFonts w:ascii="Times New Roman" w:eastAsiaTheme="minorHAnsi" w:hAnsi="Times New Roman" w:cs="Times New Roman"/>
          <w:iCs/>
          <w:sz w:val="28"/>
          <w:szCs w:val="28"/>
          <w:lang w:val="uk-UA" w:eastAsia="en-US"/>
        </w:rPr>
        <w:t xml:space="preserve">: </w:t>
      </w:r>
      <w:r w:rsidRPr="00C90087">
        <w:rPr>
          <w:rFonts w:ascii="Times New Roman" w:eastAsiaTheme="minorHAnsi" w:hAnsi="Times New Roman" w:cs="Times New Roman"/>
          <w:iCs/>
          <w:sz w:val="28"/>
          <w:szCs w:val="28"/>
          <w:lang w:val="en-US" w:eastAsia="en-US"/>
        </w:rPr>
        <w:t>https</w:t>
      </w:r>
      <w:r w:rsidRPr="00C90087">
        <w:rPr>
          <w:rFonts w:ascii="Times New Roman" w:eastAsiaTheme="minorHAnsi" w:hAnsi="Times New Roman" w:cs="Times New Roman"/>
          <w:iCs/>
          <w:sz w:val="28"/>
          <w:szCs w:val="28"/>
          <w:lang w:val="uk-UA" w:eastAsia="en-US"/>
        </w:rPr>
        <w:t>://</w:t>
      </w:r>
      <w:proofErr w:type="spellStart"/>
      <w:r w:rsidRPr="00C90087">
        <w:rPr>
          <w:rFonts w:ascii="Times New Roman" w:eastAsiaTheme="minorHAnsi" w:hAnsi="Times New Roman" w:cs="Times New Roman"/>
          <w:iCs/>
          <w:sz w:val="28"/>
          <w:szCs w:val="28"/>
          <w:lang w:val="en-US" w:eastAsia="en-US"/>
        </w:rPr>
        <w:t>doi</w:t>
      </w:r>
      <w:proofErr w:type="spellEnd"/>
      <w:r w:rsidRPr="00C90087">
        <w:rPr>
          <w:rFonts w:ascii="Times New Roman" w:eastAsiaTheme="minorHAnsi" w:hAnsi="Times New Roman" w:cs="Times New Roman"/>
          <w:iCs/>
          <w:sz w:val="28"/>
          <w:szCs w:val="28"/>
          <w:lang w:val="uk-UA" w:eastAsia="en-US"/>
        </w:rPr>
        <w:t>.</w:t>
      </w:r>
      <w:r w:rsidRPr="00C90087">
        <w:rPr>
          <w:rFonts w:ascii="Times New Roman" w:eastAsiaTheme="minorHAnsi" w:hAnsi="Times New Roman" w:cs="Times New Roman"/>
          <w:iCs/>
          <w:sz w:val="28"/>
          <w:szCs w:val="28"/>
          <w:lang w:val="en-US" w:eastAsia="en-US"/>
        </w:rPr>
        <w:t>org</w:t>
      </w:r>
      <w:r w:rsidRPr="00C90087">
        <w:rPr>
          <w:rFonts w:ascii="Times New Roman" w:eastAsiaTheme="minorHAnsi" w:hAnsi="Times New Roman" w:cs="Times New Roman"/>
          <w:iCs/>
          <w:sz w:val="28"/>
          <w:szCs w:val="28"/>
          <w:lang w:val="uk-UA" w:eastAsia="en-US"/>
        </w:rPr>
        <w:t>/10.1177/106907279500300410.</w:t>
      </w:r>
    </w:p>
    <w:p w14:paraId="032D99CC" w14:textId="57EB032A" w:rsidR="00571B42" w:rsidRPr="00602AAC"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iCs/>
          <w:sz w:val="28"/>
          <w:szCs w:val="28"/>
          <w:lang w:val="uk-UA" w:eastAsia="en-US"/>
        </w:rPr>
        <w:t>58. Розвиток інформаційних систем управління освітою як інструмент</w:t>
      </w:r>
      <w:r w:rsidRPr="00602AAC">
        <w:rPr>
          <w:rFonts w:ascii="Times New Roman" w:eastAsiaTheme="minorHAnsi" w:hAnsi="Times New Roman" w:cs="Times New Roman"/>
          <w:sz w:val="28"/>
          <w:szCs w:val="28"/>
          <w:lang w:val="uk-UA" w:eastAsia="en-US"/>
        </w:rPr>
        <w:t xml:space="preserve"> реалізації державної освітньої політики : монографія</w:t>
      </w:r>
      <w:r w:rsidR="00C90087">
        <w:rPr>
          <w:rFonts w:ascii="Times New Roman" w:eastAsiaTheme="minorHAnsi" w:hAnsi="Times New Roman" w:cs="Times New Roman"/>
          <w:sz w:val="28"/>
          <w:szCs w:val="28"/>
          <w:lang w:val="uk-UA" w:eastAsia="en-US"/>
        </w:rPr>
        <w:t>. З</w:t>
      </w:r>
      <w:r w:rsidRPr="00602AAC">
        <w:rPr>
          <w:rFonts w:ascii="Times New Roman" w:eastAsiaTheme="minorHAnsi" w:hAnsi="Times New Roman" w:cs="Times New Roman"/>
          <w:sz w:val="28"/>
          <w:szCs w:val="28"/>
          <w:lang w:val="uk-UA" w:eastAsia="en-US"/>
        </w:rPr>
        <w:t xml:space="preserve">а ред. С. Л. </w:t>
      </w:r>
      <w:proofErr w:type="spellStart"/>
      <w:r w:rsidRPr="00602AAC">
        <w:rPr>
          <w:rFonts w:ascii="Times New Roman" w:eastAsiaTheme="minorHAnsi" w:hAnsi="Times New Roman" w:cs="Times New Roman"/>
          <w:sz w:val="28"/>
          <w:szCs w:val="28"/>
          <w:lang w:val="uk-UA" w:eastAsia="en-US"/>
        </w:rPr>
        <w:t>Лондара</w:t>
      </w:r>
      <w:proofErr w:type="spellEnd"/>
      <w:r w:rsidR="00C90087">
        <w:rPr>
          <w:rFonts w:ascii="Times New Roman" w:eastAsiaTheme="minorHAnsi" w:hAnsi="Times New Roman" w:cs="Times New Roman"/>
          <w:sz w:val="28"/>
          <w:szCs w:val="28"/>
          <w:lang w:val="uk-UA" w:eastAsia="en-US"/>
        </w:rPr>
        <w:t>.</w:t>
      </w:r>
      <w:r w:rsidRPr="00602AAC">
        <w:rPr>
          <w:rFonts w:ascii="Times New Roman" w:eastAsiaTheme="minorHAnsi" w:hAnsi="Times New Roman" w:cs="Times New Roman"/>
          <w:sz w:val="28"/>
          <w:szCs w:val="28"/>
          <w:lang w:val="uk-UA" w:eastAsia="en-US"/>
        </w:rPr>
        <w:t xml:space="preserve"> ДНУ «Інститут освітньої аналітики». Київ, 2020. 258 с.</w:t>
      </w:r>
    </w:p>
    <w:p w14:paraId="0771D724"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C90087">
        <w:rPr>
          <w:rFonts w:ascii="Times New Roman" w:eastAsiaTheme="minorHAnsi" w:hAnsi="Times New Roman" w:cs="Times New Roman"/>
          <w:sz w:val="28"/>
          <w:szCs w:val="28"/>
          <w:lang w:val="uk-UA" w:eastAsia="en-US"/>
        </w:rPr>
        <w:t xml:space="preserve">59. Тищенко В. Ф. Вектор інтеграції України в контексті економіки знань. Науковий Вісник Чернівецького університету. 2013. </w:t>
      </w:r>
      <w:proofErr w:type="spellStart"/>
      <w:r w:rsidRPr="00C90087">
        <w:rPr>
          <w:rFonts w:ascii="Times New Roman" w:eastAsiaTheme="minorHAnsi" w:hAnsi="Times New Roman" w:cs="Times New Roman"/>
          <w:sz w:val="28"/>
          <w:szCs w:val="28"/>
          <w:lang w:val="uk-UA" w:eastAsia="en-US"/>
        </w:rPr>
        <w:t>Вип</w:t>
      </w:r>
      <w:proofErr w:type="spellEnd"/>
      <w:r w:rsidRPr="00C90087">
        <w:rPr>
          <w:rFonts w:ascii="Times New Roman" w:eastAsiaTheme="minorHAnsi" w:hAnsi="Times New Roman" w:cs="Times New Roman"/>
          <w:sz w:val="28"/>
          <w:szCs w:val="28"/>
          <w:lang w:val="uk-UA" w:eastAsia="en-US"/>
        </w:rPr>
        <w:t>. 669–671. С. 244–255.</w:t>
      </w:r>
    </w:p>
    <w:p w14:paraId="3557441E" w14:textId="77777777" w:rsidR="00571B42" w:rsidRPr="00065B5F"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60. Hofstede G. </w:t>
      </w:r>
      <w:proofErr w:type="spellStart"/>
      <w:r w:rsidRPr="00C90087">
        <w:rPr>
          <w:rFonts w:ascii="Times New Roman" w:eastAsiaTheme="minorHAnsi" w:hAnsi="Times New Roman" w:cs="Times New Roman"/>
          <w:sz w:val="28"/>
          <w:szCs w:val="28"/>
          <w:lang w:val="en-US" w:eastAsia="en-US"/>
        </w:rPr>
        <w:t>Dimensionalizing</w:t>
      </w:r>
      <w:proofErr w:type="spellEnd"/>
      <w:r w:rsidRPr="00C90087">
        <w:rPr>
          <w:rFonts w:ascii="Times New Roman" w:eastAsiaTheme="minorHAnsi" w:hAnsi="Times New Roman" w:cs="Times New Roman"/>
          <w:sz w:val="28"/>
          <w:szCs w:val="28"/>
          <w:lang w:val="en-US" w:eastAsia="en-US"/>
        </w:rPr>
        <w:t xml:space="preserve"> Cultures: The Hofstede Model in Context. Readings in Psychology</w:t>
      </w:r>
      <w:r w:rsidRPr="00065B5F">
        <w:rPr>
          <w:rFonts w:ascii="Times New Roman" w:eastAsiaTheme="minorHAnsi" w:hAnsi="Times New Roman" w:cs="Times New Roman"/>
          <w:sz w:val="28"/>
          <w:szCs w:val="28"/>
          <w:lang w:val="en-US" w:eastAsia="en-US"/>
        </w:rPr>
        <w:t xml:space="preserve"> and Culture. 2014. Vol. 2(1). DOI: https://doi.org/10.9707/2307-0919.1014.</w:t>
      </w:r>
    </w:p>
    <w:p w14:paraId="6FDCFAAB"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065B5F">
        <w:rPr>
          <w:rFonts w:ascii="Times New Roman" w:eastAsiaTheme="minorHAnsi" w:hAnsi="Times New Roman" w:cs="Times New Roman"/>
          <w:sz w:val="28"/>
          <w:szCs w:val="28"/>
          <w:lang w:val="en-US" w:eastAsia="en-US"/>
        </w:rPr>
        <w:lastRenderedPageBreak/>
        <w:t xml:space="preserve">61. </w:t>
      </w:r>
      <w:r w:rsidRPr="00C90087">
        <w:rPr>
          <w:rFonts w:ascii="Times New Roman" w:eastAsiaTheme="minorHAnsi" w:hAnsi="Times New Roman" w:cs="Times New Roman"/>
          <w:sz w:val="28"/>
          <w:szCs w:val="28"/>
          <w:lang w:val="en-US" w:eastAsia="en-US"/>
        </w:rPr>
        <w:t xml:space="preserve">Hollingsworth R., </w:t>
      </w:r>
      <w:proofErr w:type="spellStart"/>
      <w:r w:rsidRPr="00C90087">
        <w:rPr>
          <w:rFonts w:ascii="Times New Roman" w:eastAsiaTheme="minorHAnsi" w:hAnsi="Times New Roman" w:cs="Times New Roman"/>
          <w:sz w:val="28"/>
          <w:szCs w:val="28"/>
          <w:lang w:val="en-US" w:eastAsia="en-US"/>
        </w:rPr>
        <w:t>Hanneman</w:t>
      </w:r>
      <w:proofErr w:type="spellEnd"/>
      <w:r w:rsidRPr="00C90087">
        <w:rPr>
          <w:rFonts w:ascii="Times New Roman" w:eastAsiaTheme="minorHAnsi" w:hAnsi="Times New Roman" w:cs="Times New Roman"/>
          <w:sz w:val="28"/>
          <w:szCs w:val="28"/>
          <w:lang w:val="en-US" w:eastAsia="en-US"/>
        </w:rPr>
        <w:t xml:space="preserve"> R., </w:t>
      </w:r>
      <w:proofErr w:type="spellStart"/>
      <w:r w:rsidRPr="00C90087">
        <w:rPr>
          <w:rFonts w:ascii="Times New Roman" w:eastAsiaTheme="minorHAnsi" w:hAnsi="Times New Roman" w:cs="Times New Roman"/>
          <w:sz w:val="28"/>
          <w:szCs w:val="28"/>
          <w:lang w:val="en-US" w:eastAsia="en-US"/>
        </w:rPr>
        <w:t>Hage</w:t>
      </w:r>
      <w:proofErr w:type="spellEnd"/>
      <w:r w:rsidRPr="00C90087">
        <w:rPr>
          <w:rFonts w:ascii="Times New Roman" w:eastAsiaTheme="minorHAnsi" w:hAnsi="Times New Roman" w:cs="Times New Roman"/>
          <w:sz w:val="28"/>
          <w:szCs w:val="28"/>
          <w:lang w:val="en-US" w:eastAsia="en-US"/>
        </w:rPr>
        <w:t xml:space="preserve"> J., Ragin C. The effect of human capital and state intervention on the performance of medical systems. Social Forces</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val="uk-UA" w:eastAsia="en-US"/>
        </w:rPr>
        <w:t>20</w:t>
      </w:r>
      <w:r w:rsidRPr="00C90087">
        <w:rPr>
          <w:rFonts w:ascii="Times New Roman" w:eastAsiaTheme="minorHAnsi" w:hAnsi="Times New Roman" w:cs="Times New Roman"/>
          <w:sz w:val="28"/>
          <w:szCs w:val="28"/>
          <w:lang w:val="en-US" w:eastAsia="en-US"/>
        </w:rPr>
        <w:t>16</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75(2)</w:t>
      </w:r>
      <w:r w:rsidRPr="00C90087">
        <w:rPr>
          <w:rFonts w:ascii="Times New Roman" w:eastAsiaTheme="minorHAnsi" w:hAnsi="Times New Roman" w:cs="Times New Roman"/>
          <w:sz w:val="28"/>
          <w:szCs w:val="28"/>
          <w:lang w:val="uk-UA" w:eastAsia="en-US"/>
        </w:rPr>
        <w:t>.</w:t>
      </w:r>
      <w:r w:rsidRPr="00C90087">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val="uk-UA" w:eastAsia="en-US"/>
        </w:rPr>
        <w:t xml:space="preserve">Р. </w:t>
      </w:r>
      <w:r w:rsidRPr="00C90087">
        <w:rPr>
          <w:rFonts w:ascii="Times New Roman" w:eastAsiaTheme="minorHAnsi" w:hAnsi="Times New Roman" w:cs="Times New Roman"/>
          <w:sz w:val="28"/>
          <w:szCs w:val="28"/>
          <w:lang w:val="en-US" w:eastAsia="en-US"/>
        </w:rPr>
        <w:t>459–484. DOI: https://doi.org/10.1093/sf/75.2.459.</w:t>
      </w:r>
    </w:p>
    <w:p w14:paraId="0B896387"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62. Turner N. E. The effect of common variance and structure pattern on random data eigenvalues: Implications for the accuracy of parallel analysis. Educational and Psychological Measurement. </w:t>
      </w:r>
      <w:r w:rsidRPr="00C90087">
        <w:rPr>
          <w:rFonts w:ascii="Times New Roman" w:eastAsiaTheme="minorHAnsi" w:hAnsi="Times New Roman" w:cs="Times New Roman"/>
          <w:sz w:val="28"/>
          <w:szCs w:val="28"/>
          <w:lang w:val="uk-UA" w:eastAsia="en-US"/>
        </w:rPr>
        <w:t>20</w:t>
      </w:r>
      <w:r w:rsidRPr="00C90087">
        <w:rPr>
          <w:rFonts w:ascii="Times New Roman" w:eastAsiaTheme="minorHAnsi" w:hAnsi="Times New Roman" w:cs="Times New Roman"/>
          <w:sz w:val="28"/>
          <w:szCs w:val="28"/>
          <w:lang w:val="en-US" w:eastAsia="en-US"/>
        </w:rPr>
        <w:t>18</w:t>
      </w:r>
      <w:r w:rsidRPr="00C90087">
        <w:rPr>
          <w:rFonts w:ascii="Times New Roman" w:eastAsiaTheme="minorHAnsi" w:hAnsi="Times New Roman" w:cs="Times New Roman"/>
          <w:sz w:val="28"/>
          <w:szCs w:val="28"/>
          <w:lang w:val="uk-UA" w:eastAsia="en-US"/>
        </w:rPr>
        <w:t xml:space="preserve">. № </w:t>
      </w:r>
      <w:r w:rsidRPr="00C90087">
        <w:rPr>
          <w:rFonts w:ascii="Times New Roman" w:eastAsiaTheme="minorHAnsi" w:hAnsi="Times New Roman" w:cs="Times New Roman"/>
          <w:sz w:val="28"/>
          <w:szCs w:val="28"/>
          <w:lang w:val="en-US" w:eastAsia="en-US"/>
        </w:rPr>
        <w:t>58(4). Р. 541–568. DOI: https://doi.org/10.1177/0013164498058004001.</w:t>
      </w:r>
    </w:p>
    <w:p w14:paraId="30BBF568" w14:textId="70BDCE00"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47476">
        <w:rPr>
          <w:rFonts w:ascii="Times New Roman" w:eastAsiaTheme="minorHAnsi" w:hAnsi="Times New Roman" w:cs="Times New Roman"/>
          <w:sz w:val="28"/>
          <w:szCs w:val="28"/>
          <w:lang w:val="en-US" w:eastAsia="en-US"/>
        </w:rPr>
        <w:t xml:space="preserve">63. </w:t>
      </w:r>
      <w:proofErr w:type="spellStart"/>
      <w:r w:rsidRPr="00C90087">
        <w:rPr>
          <w:rFonts w:ascii="Times New Roman" w:eastAsiaTheme="minorHAnsi" w:hAnsi="Times New Roman" w:cs="Times New Roman"/>
          <w:sz w:val="28"/>
          <w:szCs w:val="28"/>
          <w:lang w:eastAsia="en-US"/>
        </w:rPr>
        <w:t>Інтеграція</w:t>
      </w:r>
      <w:proofErr w:type="spellEnd"/>
      <w:r w:rsidRPr="00C47476">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eastAsia="en-US"/>
        </w:rPr>
        <w:t>в</w:t>
      </w:r>
      <w:r w:rsidRPr="00C47476">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європейський</w:t>
      </w:r>
      <w:proofErr w:type="spellEnd"/>
      <w:r w:rsidRPr="00C47476">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освітній</w:t>
      </w:r>
      <w:proofErr w:type="spellEnd"/>
      <w:r w:rsidRPr="00C47476">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простір</w:t>
      </w:r>
      <w:proofErr w:type="spellEnd"/>
      <w:r w:rsidRPr="00C47476">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здобутки</w:t>
      </w:r>
      <w:proofErr w:type="spellEnd"/>
      <w:r w:rsidRPr="00C47476">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проблеми</w:t>
      </w:r>
      <w:proofErr w:type="spellEnd"/>
      <w:r w:rsidRPr="00C47476">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перспективи</w:t>
      </w:r>
      <w:proofErr w:type="spellEnd"/>
      <w:r w:rsidRPr="00C47476">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монографія</w:t>
      </w:r>
      <w:proofErr w:type="spellEnd"/>
      <w:r w:rsidR="00C90087">
        <w:rPr>
          <w:rFonts w:ascii="Times New Roman" w:eastAsiaTheme="minorHAnsi" w:hAnsi="Times New Roman" w:cs="Times New Roman"/>
          <w:sz w:val="28"/>
          <w:szCs w:val="28"/>
          <w:lang w:val="uk-UA" w:eastAsia="en-US"/>
        </w:rPr>
        <w:t>. З</w:t>
      </w:r>
      <w:r w:rsidRPr="00C90087">
        <w:rPr>
          <w:rFonts w:ascii="Times New Roman" w:eastAsiaTheme="minorHAnsi" w:hAnsi="Times New Roman" w:cs="Times New Roman"/>
          <w:sz w:val="28"/>
          <w:szCs w:val="28"/>
          <w:lang w:eastAsia="en-US"/>
        </w:rPr>
        <w:t>а</w:t>
      </w:r>
      <w:r w:rsidRPr="00C47476">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заг</w:t>
      </w:r>
      <w:proofErr w:type="spellEnd"/>
      <w:r w:rsidRPr="00C47476">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eastAsia="en-US"/>
        </w:rPr>
        <w:t>ред</w:t>
      </w:r>
      <w:proofErr w:type="spellEnd"/>
      <w:r w:rsidRPr="00C47476">
        <w:rPr>
          <w:rFonts w:ascii="Times New Roman" w:eastAsiaTheme="minorHAnsi" w:hAnsi="Times New Roman" w:cs="Times New Roman"/>
          <w:sz w:val="28"/>
          <w:szCs w:val="28"/>
          <w:lang w:val="en-US" w:eastAsia="en-US"/>
        </w:rPr>
        <w:t xml:space="preserve">. </w:t>
      </w:r>
      <w:r w:rsidRPr="00C90087">
        <w:rPr>
          <w:rFonts w:ascii="Times New Roman" w:eastAsiaTheme="minorHAnsi" w:hAnsi="Times New Roman" w:cs="Times New Roman"/>
          <w:sz w:val="28"/>
          <w:szCs w:val="28"/>
          <w:lang w:val="en-US" w:eastAsia="en-US"/>
        </w:rPr>
        <w:t xml:space="preserve">Ф.Г. </w:t>
      </w:r>
      <w:proofErr w:type="spellStart"/>
      <w:r w:rsidRPr="00C90087">
        <w:rPr>
          <w:rFonts w:ascii="Times New Roman" w:eastAsiaTheme="minorHAnsi" w:hAnsi="Times New Roman" w:cs="Times New Roman"/>
          <w:sz w:val="28"/>
          <w:szCs w:val="28"/>
          <w:lang w:val="en-US" w:eastAsia="en-US"/>
        </w:rPr>
        <w:t>Ващука</w:t>
      </w:r>
      <w:proofErr w:type="spellEnd"/>
      <w:r w:rsidRPr="00C90087">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val="en-US" w:eastAsia="en-US"/>
        </w:rPr>
        <w:t>Ужгород</w:t>
      </w:r>
      <w:proofErr w:type="spellEnd"/>
      <w:r w:rsidRPr="00C90087">
        <w:rPr>
          <w:rFonts w:ascii="Times New Roman" w:eastAsiaTheme="minorHAnsi" w:hAnsi="Times New Roman" w:cs="Times New Roman"/>
          <w:sz w:val="28"/>
          <w:szCs w:val="28"/>
          <w:lang w:val="en-US" w:eastAsia="en-US"/>
        </w:rPr>
        <w:t xml:space="preserve">: </w:t>
      </w:r>
      <w:proofErr w:type="spellStart"/>
      <w:r w:rsidRPr="00C90087">
        <w:rPr>
          <w:rFonts w:ascii="Times New Roman" w:eastAsiaTheme="minorHAnsi" w:hAnsi="Times New Roman" w:cs="Times New Roman"/>
          <w:sz w:val="28"/>
          <w:szCs w:val="28"/>
          <w:lang w:val="en-US" w:eastAsia="en-US"/>
        </w:rPr>
        <w:t>ЗакДУ</w:t>
      </w:r>
      <w:proofErr w:type="spellEnd"/>
      <w:r w:rsidRPr="00C90087">
        <w:rPr>
          <w:rFonts w:ascii="Times New Roman" w:eastAsiaTheme="minorHAnsi" w:hAnsi="Times New Roman" w:cs="Times New Roman"/>
          <w:sz w:val="28"/>
          <w:szCs w:val="28"/>
          <w:lang w:val="en-US" w:eastAsia="en-US"/>
        </w:rPr>
        <w:t>, 2011. 560</w:t>
      </w:r>
      <w:r w:rsidR="00C90087">
        <w:rPr>
          <w:rFonts w:ascii="Times New Roman" w:eastAsiaTheme="minorHAnsi" w:hAnsi="Times New Roman" w:cs="Times New Roman"/>
          <w:sz w:val="28"/>
          <w:szCs w:val="28"/>
          <w:lang w:val="uk-UA" w:eastAsia="en-US"/>
        </w:rPr>
        <w:t xml:space="preserve"> </w:t>
      </w:r>
      <w:r w:rsidRPr="00C90087">
        <w:rPr>
          <w:rFonts w:ascii="Times New Roman" w:eastAsiaTheme="minorHAnsi" w:hAnsi="Times New Roman" w:cs="Times New Roman"/>
          <w:sz w:val="28"/>
          <w:szCs w:val="28"/>
          <w:lang w:val="en-US" w:eastAsia="en-US"/>
        </w:rPr>
        <w:t>с.</w:t>
      </w:r>
    </w:p>
    <w:p w14:paraId="35C25592"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en-US" w:eastAsia="en-US"/>
        </w:rPr>
      </w:pPr>
      <w:r w:rsidRPr="00C90087">
        <w:rPr>
          <w:rFonts w:ascii="Times New Roman" w:eastAsiaTheme="minorHAnsi" w:hAnsi="Times New Roman" w:cs="Times New Roman"/>
          <w:sz w:val="28"/>
          <w:szCs w:val="28"/>
          <w:lang w:val="en-US" w:eastAsia="en-US"/>
        </w:rPr>
        <w:t xml:space="preserve">64. Cohen L., </w:t>
      </w:r>
      <w:proofErr w:type="spellStart"/>
      <w:r w:rsidRPr="00C90087">
        <w:rPr>
          <w:rFonts w:ascii="Times New Roman" w:eastAsiaTheme="minorHAnsi" w:hAnsi="Times New Roman" w:cs="Times New Roman"/>
          <w:sz w:val="28"/>
          <w:szCs w:val="28"/>
          <w:lang w:val="en-US" w:eastAsia="en-US"/>
        </w:rPr>
        <w:t>Duberley</w:t>
      </w:r>
      <w:proofErr w:type="spellEnd"/>
      <w:r w:rsidRPr="00C90087">
        <w:rPr>
          <w:rFonts w:ascii="Times New Roman" w:eastAsiaTheme="minorHAnsi" w:hAnsi="Times New Roman" w:cs="Times New Roman"/>
          <w:sz w:val="28"/>
          <w:szCs w:val="28"/>
          <w:lang w:val="en-US" w:eastAsia="en-US"/>
        </w:rPr>
        <w:t xml:space="preserve"> J., Mallon M. Social constructionism in the study of career: Accessing the parts that other approaches cannot reach. Journal of Vocational Behavior. 2014. № 64(3). Р. 407–422. DOI: https://doi.org/10.1016/j.jvb.2003.12.007.</w:t>
      </w:r>
    </w:p>
    <w:p w14:paraId="7B59A41E" w14:textId="77777777" w:rsidR="00571B42" w:rsidRPr="00C90087"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eastAsia="en-US"/>
        </w:rPr>
      </w:pPr>
      <w:r w:rsidRPr="00C90087">
        <w:rPr>
          <w:rFonts w:ascii="Times New Roman" w:eastAsiaTheme="minorHAnsi" w:hAnsi="Times New Roman" w:cs="Times New Roman"/>
          <w:sz w:val="28"/>
          <w:szCs w:val="28"/>
          <w:lang w:val="en-US" w:eastAsia="en-US"/>
        </w:rPr>
        <w:t xml:space="preserve">65. </w:t>
      </w:r>
      <w:proofErr w:type="spellStart"/>
      <w:r w:rsidRPr="00C90087">
        <w:rPr>
          <w:rFonts w:ascii="Times New Roman" w:hAnsi="Times New Roman" w:cs="Times New Roman"/>
          <w:sz w:val="28"/>
          <w:szCs w:val="28"/>
          <w:lang w:val="uk-UA"/>
        </w:rPr>
        <w:t>Каламан</w:t>
      </w:r>
      <w:proofErr w:type="spellEnd"/>
      <w:r w:rsidRPr="00C90087">
        <w:rPr>
          <w:rFonts w:ascii="Times New Roman" w:hAnsi="Times New Roman" w:cs="Times New Roman"/>
          <w:sz w:val="28"/>
          <w:szCs w:val="28"/>
          <w:lang w:val="uk-UA"/>
        </w:rPr>
        <w:t xml:space="preserve"> О. Б.</w:t>
      </w:r>
      <w:hyperlink r:id="rId49" w:history="1">
        <w:r w:rsidRPr="00C90087">
          <w:rPr>
            <w:rFonts w:ascii="Times New Roman" w:hAnsi="Times New Roman" w:cs="Times New Roman"/>
            <w:sz w:val="28"/>
            <w:szCs w:val="28"/>
            <w:lang w:val="uk-UA"/>
          </w:rPr>
          <w:t xml:space="preserve"> </w:t>
        </w:r>
        <w:proofErr w:type="spellStart"/>
        <w:r w:rsidRPr="00C90087">
          <w:rPr>
            <w:rFonts w:ascii="Times New Roman" w:hAnsi="Times New Roman" w:cs="Times New Roman"/>
            <w:sz w:val="28"/>
            <w:szCs w:val="28"/>
            <w:lang w:val="uk-UA"/>
          </w:rPr>
          <w:t>The</w:t>
        </w:r>
        <w:proofErr w:type="spellEnd"/>
        <w:r w:rsidRPr="00C90087">
          <w:rPr>
            <w:rFonts w:ascii="Times New Roman" w:hAnsi="Times New Roman" w:cs="Times New Roman"/>
            <w:sz w:val="28"/>
            <w:szCs w:val="28"/>
            <w:lang w:val="uk-UA"/>
          </w:rPr>
          <w:t xml:space="preserve"> </w:t>
        </w:r>
        <w:proofErr w:type="spellStart"/>
        <w:r w:rsidRPr="00C90087">
          <w:rPr>
            <w:rFonts w:ascii="Times New Roman" w:hAnsi="Times New Roman" w:cs="Times New Roman"/>
            <w:sz w:val="28"/>
            <w:szCs w:val="28"/>
            <w:lang w:val="uk-UA"/>
          </w:rPr>
          <w:t>genesis</w:t>
        </w:r>
        <w:proofErr w:type="spellEnd"/>
        <w:r w:rsidRPr="00C90087">
          <w:rPr>
            <w:rFonts w:ascii="Times New Roman" w:hAnsi="Times New Roman" w:cs="Times New Roman"/>
            <w:sz w:val="28"/>
            <w:szCs w:val="28"/>
            <w:lang w:val="uk-UA"/>
          </w:rPr>
          <w:t xml:space="preserve"> </w:t>
        </w:r>
        <w:proofErr w:type="spellStart"/>
        <w:r w:rsidRPr="00C90087">
          <w:rPr>
            <w:rFonts w:ascii="Times New Roman" w:hAnsi="Times New Roman" w:cs="Times New Roman"/>
            <w:sz w:val="28"/>
            <w:szCs w:val="28"/>
            <w:lang w:val="uk-UA"/>
          </w:rPr>
          <w:t>and</w:t>
        </w:r>
        <w:proofErr w:type="spellEnd"/>
        <w:r w:rsidRPr="00C90087">
          <w:rPr>
            <w:rFonts w:ascii="Times New Roman" w:hAnsi="Times New Roman" w:cs="Times New Roman"/>
            <w:sz w:val="28"/>
            <w:szCs w:val="28"/>
            <w:lang w:val="uk-UA"/>
          </w:rPr>
          <w:t xml:space="preserve"> </w:t>
        </w:r>
        <w:proofErr w:type="spellStart"/>
        <w:r w:rsidRPr="00C90087">
          <w:rPr>
            <w:rFonts w:ascii="Times New Roman" w:hAnsi="Times New Roman" w:cs="Times New Roman"/>
            <w:sz w:val="28"/>
            <w:szCs w:val="28"/>
            <w:lang w:val="uk-UA"/>
          </w:rPr>
          <w:t>the</w:t>
        </w:r>
        <w:proofErr w:type="spellEnd"/>
        <w:r w:rsidRPr="00C90087">
          <w:rPr>
            <w:rFonts w:ascii="Times New Roman" w:hAnsi="Times New Roman" w:cs="Times New Roman"/>
            <w:sz w:val="28"/>
            <w:szCs w:val="28"/>
            <w:lang w:val="uk-UA"/>
          </w:rPr>
          <w:t xml:space="preserve"> </w:t>
        </w:r>
        <w:proofErr w:type="spellStart"/>
        <w:r w:rsidRPr="00C90087">
          <w:rPr>
            <w:rFonts w:ascii="Times New Roman" w:hAnsi="Times New Roman" w:cs="Times New Roman"/>
            <w:sz w:val="28"/>
            <w:szCs w:val="28"/>
            <w:lang w:val="uk-UA"/>
          </w:rPr>
          <w:t>modern</w:t>
        </w:r>
        <w:proofErr w:type="spellEnd"/>
        <w:r w:rsidRPr="00C90087">
          <w:rPr>
            <w:rFonts w:ascii="Times New Roman" w:hAnsi="Times New Roman" w:cs="Times New Roman"/>
            <w:sz w:val="28"/>
            <w:szCs w:val="28"/>
            <w:lang w:val="uk-UA"/>
          </w:rPr>
          <w:t xml:space="preserve"> </w:t>
        </w:r>
        <w:proofErr w:type="spellStart"/>
        <w:r w:rsidRPr="00C90087">
          <w:rPr>
            <w:rFonts w:ascii="Times New Roman" w:hAnsi="Times New Roman" w:cs="Times New Roman"/>
            <w:sz w:val="28"/>
            <w:szCs w:val="28"/>
            <w:lang w:val="uk-UA"/>
          </w:rPr>
          <w:t>paradigm</w:t>
        </w:r>
        <w:proofErr w:type="spellEnd"/>
        <w:r w:rsidRPr="00C90087">
          <w:rPr>
            <w:rFonts w:ascii="Times New Roman" w:hAnsi="Times New Roman" w:cs="Times New Roman"/>
            <w:sz w:val="28"/>
            <w:szCs w:val="28"/>
            <w:lang w:val="uk-UA"/>
          </w:rPr>
          <w:t xml:space="preserve"> </w:t>
        </w:r>
        <w:proofErr w:type="spellStart"/>
        <w:r w:rsidRPr="00C90087">
          <w:rPr>
            <w:rFonts w:ascii="Times New Roman" w:hAnsi="Times New Roman" w:cs="Times New Roman"/>
            <w:sz w:val="28"/>
            <w:szCs w:val="28"/>
            <w:lang w:val="uk-UA"/>
          </w:rPr>
          <w:t>of</w:t>
        </w:r>
        <w:proofErr w:type="spellEnd"/>
        <w:r w:rsidRPr="00C90087">
          <w:rPr>
            <w:rFonts w:ascii="Times New Roman" w:hAnsi="Times New Roman" w:cs="Times New Roman"/>
            <w:sz w:val="28"/>
            <w:szCs w:val="28"/>
            <w:lang w:val="uk-UA"/>
          </w:rPr>
          <w:t xml:space="preserve"> </w:t>
        </w:r>
        <w:proofErr w:type="spellStart"/>
        <w:r w:rsidRPr="00C90087">
          <w:rPr>
            <w:rFonts w:ascii="Times New Roman" w:hAnsi="Times New Roman" w:cs="Times New Roman"/>
            <w:sz w:val="28"/>
            <w:szCs w:val="28"/>
            <w:lang w:val="uk-UA"/>
          </w:rPr>
          <w:t>strategic</w:t>
        </w:r>
        <w:proofErr w:type="spellEnd"/>
        <w:r w:rsidRPr="00C90087">
          <w:rPr>
            <w:rFonts w:ascii="Times New Roman" w:hAnsi="Times New Roman" w:cs="Times New Roman"/>
            <w:sz w:val="28"/>
            <w:szCs w:val="28"/>
            <w:lang w:val="uk-UA"/>
          </w:rPr>
          <w:t xml:space="preserve"> </w:t>
        </w:r>
        <w:proofErr w:type="spellStart"/>
        <w:r w:rsidRPr="00C90087">
          <w:rPr>
            <w:rFonts w:ascii="Times New Roman" w:hAnsi="Times New Roman" w:cs="Times New Roman"/>
            <w:sz w:val="28"/>
            <w:szCs w:val="28"/>
            <w:lang w:val="uk-UA"/>
          </w:rPr>
          <w:t>enterprise</w:t>
        </w:r>
        <w:proofErr w:type="spellEnd"/>
        <w:r w:rsidRPr="00C90087">
          <w:rPr>
            <w:rFonts w:ascii="Times New Roman" w:hAnsi="Times New Roman" w:cs="Times New Roman"/>
            <w:sz w:val="28"/>
            <w:szCs w:val="28"/>
            <w:lang w:val="uk-UA"/>
          </w:rPr>
          <w:t xml:space="preserve"> </w:t>
        </w:r>
        <w:proofErr w:type="spellStart"/>
        <w:r w:rsidRPr="00C90087">
          <w:rPr>
            <w:rFonts w:ascii="Times New Roman" w:hAnsi="Times New Roman" w:cs="Times New Roman"/>
            <w:sz w:val="28"/>
            <w:szCs w:val="28"/>
            <w:lang w:val="uk-UA"/>
          </w:rPr>
          <w:t>management</w:t>
        </w:r>
        <w:proofErr w:type="spellEnd"/>
        <w:r w:rsidRPr="00C90087">
          <w:rPr>
            <w:rFonts w:ascii="Times New Roman" w:hAnsi="Times New Roman" w:cs="Times New Roman"/>
            <w:sz w:val="28"/>
            <w:szCs w:val="28"/>
            <w:lang w:val="uk-UA"/>
          </w:rPr>
          <w:t xml:space="preserve">. </w:t>
        </w:r>
      </w:hyperlink>
      <w:r w:rsidRPr="00C90087">
        <w:rPr>
          <w:rFonts w:ascii="Times New Roman" w:hAnsi="Times New Roman" w:cs="Times New Roman"/>
          <w:sz w:val="28"/>
          <w:szCs w:val="28"/>
          <w:lang w:val="uk-UA"/>
        </w:rPr>
        <w:t>Збірник наукових праць Національного університету кораблебудування ім. Адмірала Макарова. 2019. № 50. С. 17 – 24</w:t>
      </w:r>
    </w:p>
    <w:p w14:paraId="38FA0A2F" w14:textId="77777777" w:rsidR="00571B42" w:rsidRPr="00956236"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val="uk-UA" w:eastAsia="en-US"/>
        </w:rPr>
      </w:pPr>
      <w:r w:rsidRPr="00B774F1">
        <w:rPr>
          <w:rFonts w:ascii="Times New Roman" w:eastAsiaTheme="minorHAnsi" w:hAnsi="Times New Roman" w:cs="Times New Roman"/>
          <w:sz w:val="28"/>
          <w:szCs w:val="28"/>
          <w:lang w:val="uk-UA" w:eastAsia="en-US"/>
        </w:rPr>
        <w:t xml:space="preserve">66. </w:t>
      </w:r>
      <w:proofErr w:type="spellStart"/>
      <w:r w:rsidRPr="00956236">
        <w:rPr>
          <w:rStyle w:val="a7"/>
          <w:rFonts w:ascii="Times New Roman" w:hAnsi="Times New Roman" w:cs="Times New Roman"/>
          <w:b w:val="0"/>
          <w:bCs w:val="0"/>
          <w:color w:val="000000" w:themeColor="text1"/>
          <w:sz w:val="28"/>
          <w:szCs w:val="28"/>
          <w:lang w:val="en-US"/>
        </w:rPr>
        <w:t>Kalaman</w:t>
      </w:r>
      <w:proofErr w:type="spellEnd"/>
      <w:r w:rsidRPr="00956236">
        <w:rPr>
          <w:rStyle w:val="a7"/>
          <w:rFonts w:ascii="Times New Roman" w:hAnsi="Times New Roman" w:cs="Times New Roman"/>
          <w:b w:val="0"/>
          <w:bCs w:val="0"/>
          <w:color w:val="000000" w:themeColor="text1"/>
          <w:sz w:val="28"/>
          <w:szCs w:val="28"/>
          <w:lang w:val="en-US"/>
        </w:rPr>
        <w:t xml:space="preserve"> O</w:t>
      </w:r>
      <w:r w:rsidRPr="00956236">
        <w:rPr>
          <w:rStyle w:val="a7"/>
          <w:rFonts w:ascii="Times New Roman" w:hAnsi="Times New Roman" w:cs="Times New Roman"/>
          <w:b w:val="0"/>
          <w:bCs w:val="0"/>
          <w:color w:val="000000" w:themeColor="text1"/>
          <w:sz w:val="28"/>
          <w:szCs w:val="28"/>
          <w:lang w:val="uk-UA"/>
        </w:rPr>
        <w:t xml:space="preserve">., </w:t>
      </w:r>
      <w:proofErr w:type="spellStart"/>
      <w:r w:rsidRPr="00956236">
        <w:rPr>
          <w:rStyle w:val="a7"/>
          <w:rFonts w:ascii="Times New Roman" w:hAnsi="Times New Roman" w:cs="Times New Roman"/>
          <w:b w:val="0"/>
          <w:bCs w:val="0"/>
          <w:color w:val="000000" w:themeColor="text1"/>
          <w:sz w:val="28"/>
          <w:szCs w:val="28"/>
          <w:lang w:val="en-US"/>
        </w:rPr>
        <w:t>Mandrykin</w:t>
      </w:r>
      <w:proofErr w:type="spellEnd"/>
      <w:r w:rsidRPr="00956236">
        <w:rPr>
          <w:rStyle w:val="a7"/>
          <w:rFonts w:ascii="Times New Roman" w:hAnsi="Times New Roman" w:cs="Times New Roman"/>
          <w:b w:val="0"/>
          <w:bCs w:val="0"/>
          <w:color w:val="000000" w:themeColor="text1"/>
          <w:sz w:val="28"/>
          <w:szCs w:val="28"/>
          <w:lang w:val="en-US"/>
        </w:rPr>
        <w:t xml:space="preserve"> D</w:t>
      </w:r>
      <w:r w:rsidRPr="00956236">
        <w:rPr>
          <w:rStyle w:val="a7"/>
          <w:rFonts w:ascii="Times New Roman" w:hAnsi="Times New Roman" w:cs="Times New Roman"/>
          <w:b w:val="0"/>
          <w:bCs w:val="0"/>
          <w:color w:val="000000" w:themeColor="text1"/>
          <w:sz w:val="28"/>
          <w:szCs w:val="28"/>
          <w:lang w:val="uk-UA"/>
        </w:rPr>
        <w:t>.</w:t>
      </w:r>
      <w:r w:rsidRPr="00035C15">
        <w:rPr>
          <w:rStyle w:val="a7"/>
          <w:rFonts w:ascii="Times New Roman" w:hAnsi="Times New Roman" w:cs="Times New Roman"/>
          <w:color w:val="000000" w:themeColor="text1"/>
          <w:sz w:val="28"/>
          <w:szCs w:val="28"/>
          <w:lang w:val="uk-UA"/>
        </w:rPr>
        <w:t xml:space="preserve"> </w:t>
      </w:r>
      <w:proofErr w:type="spellStart"/>
      <w:r w:rsidRPr="00035C15">
        <w:rPr>
          <w:rFonts w:ascii="Times New Roman" w:hAnsi="Times New Roman" w:cs="Times New Roman"/>
          <w:sz w:val="28"/>
          <w:szCs w:val="28"/>
          <w:lang w:val="uk-UA"/>
        </w:rPr>
        <w:t>Labor</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potential</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as</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an</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important</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factor</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in</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improving</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the</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efficiency</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of</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enterprises</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in</w:t>
      </w:r>
      <w:proofErr w:type="spellEnd"/>
      <w:r w:rsidRPr="00035C15">
        <w:rPr>
          <w:rFonts w:ascii="Times New Roman" w:hAnsi="Times New Roman" w:cs="Times New Roman"/>
          <w:sz w:val="28"/>
          <w:szCs w:val="28"/>
          <w:lang w:val="uk-UA"/>
        </w:rPr>
        <w:t xml:space="preserve"> </w:t>
      </w:r>
      <w:proofErr w:type="spellStart"/>
      <w:r w:rsidRPr="00035C15">
        <w:rPr>
          <w:rFonts w:ascii="Times New Roman" w:hAnsi="Times New Roman" w:cs="Times New Roman"/>
          <w:sz w:val="28"/>
          <w:szCs w:val="28"/>
          <w:lang w:val="uk-UA"/>
        </w:rPr>
        <w:t>the</w:t>
      </w:r>
      <w:proofErr w:type="spellEnd"/>
      <w:r w:rsidRPr="00035C15">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hospitality</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industry</w:t>
      </w:r>
      <w:proofErr w:type="spellEnd"/>
      <w:r w:rsidRPr="00956236">
        <w:rPr>
          <w:rFonts w:ascii="Times New Roman" w:hAnsi="Times New Roman" w:cs="Times New Roman"/>
          <w:sz w:val="28"/>
          <w:szCs w:val="28"/>
          <w:lang w:val="uk-UA"/>
        </w:rPr>
        <w:t>. Причорноморські економічні студії. 2023. № 79. С. 107-113.</w:t>
      </w:r>
    </w:p>
    <w:p w14:paraId="6B658D81" w14:textId="77777777" w:rsidR="00571B42" w:rsidRPr="00956236" w:rsidRDefault="00571B42" w:rsidP="00571B42">
      <w:pPr>
        <w:autoSpaceDE w:val="0"/>
        <w:autoSpaceDN w:val="0"/>
        <w:adjustRightInd w:val="0"/>
        <w:spacing w:after="0" w:line="360" w:lineRule="auto"/>
        <w:ind w:firstLine="720"/>
        <w:jc w:val="both"/>
        <w:rPr>
          <w:rFonts w:ascii="Times New Roman" w:eastAsiaTheme="minorHAnsi" w:hAnsi="Times New Roman" w:cs="Times New Roman"/>
          <w:sz w:val="28"/>
          <w:szCs w:val="28"/>
          <w:lang w:eastAsia="en-US"/>
        </w:rPr>
      </w:pPr>
      <w:r w:rsidRPr="00956236">
        <w:rPr>
          <w:rFonts w:ascii="Times New Roman" w:eastAsiaTheme="minorHAnsi" w:hAnsi="Times New Roman" w:cs="Times New Roman"/>
          <w:sz w:val="28"/>
          <w:szCs w:val="28"/>
          <w:lang w:eastAsia="en-US"/>
        </w:rPr>
        <w:t xml:space="preserve">67. </w:t>
      </w:r>
      <w:r w:rsidRPr="00956236">
        <w:rPr>
          <w:rFonts w:ascii="Times New Roman" w:eastAsiaTheme="minorHAnsi" w:hAnsi="Times New Roman" w:cs="Times New Roman"/>
          <w:sz w:val="28"/>
          <w:szCs w:val="28"/>
          <w:lang w:val="uk-UA" w:eastAsia="en-US"/>
        </w:rPr>
        <w:t>Лагода О. М., Стеценко К. М. До проблеми формування професійної компетентності дизайнера у процесі його навчання. Сучасний рух науки: V Міжнародна науково-практична інтернет-конференція. 2019. С. 382-386.</w:t>
      </w:r>
    </w:p>
    <w:p w14:paraId="31F2854D" w14:textId="77777777" w:rsidR="00571B42"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sidRPr="00956236">
        <w:rPr>
          <w:rFonts w:ascii="Times New Roman" w:eastAsiaTheme="minorHAnsi" w:hAnsi="Times New Roman" w:cs="Times New Roman"/>
          <w:sz w:val="28"/>
          <w:szCs w:val="28"/>
          <w:lang w:val="uk-UA" w:eastAsia="en-US"/>
        </w:rPr>
        <w:t>6</w:t>
      </w:r>
      <w:r w:rsidRPr="00956236">
        <w:rPr>
          <w:rFonts w:ascii="Times New Roman" w:eastAsiaTheme="minorHAnsi" w:hAnsi="Times New Roman" w:cs="Times New Roman"/>
          <w:sz w:val="28"/>
          <w:szCs w:val="28"/>
          <w:lang w:eastAsia="en-US"/>
        </w:rPr>
        <w:t>8</w:t>
      </w:r>
      <w:r w:rsidRPr="00956236">
        <w:rPr>
          <w:rFonts w:ascii="Times New Roman" w:eastAsiaTheme="minorHAnsi" w:hAnsi="Times New Roman" w:cs="Times New Roman"/>
          <w:sz w:val="28"/>
          <w:szCs w:val="28"/>
          <w:lang w:val="uk-UA" w:eastAsia="en-US"/>
        </w:rPr>
        <w:t xml:space="preserve">. </w:t>
      </w:r>
      <w:proofErr w:type="spellStart"/>
      <w:r w:rsidRPr="00956236">
        <w:rPr>
          <w:rFonts w:ascii="Times New Roman" w:hAnsi="Times New Roman" w:cs="Times New Roman"/>
          <w:sz w:val="28"/>
          <w:szCs w:val="28"/>
          <w:lang w:val="uk-UA"/>
        </w:rPr>
        <w:t>Каламан</w:t>
      </w:r>
      <w:proofErr w:type="spellEnd"/>
      <w:r w:rsidRPr="00956236">
        <w:rPr>
          <w:rFonts w:ascii="Times New Roman" w:hAnsi="Times New Roman" w:cs="Times New Roman"/>
          <w:sz w:val="28"/>
          <w:szCs w:val="28"/>
          <w:lang w:val="uk-UA"/>
        </w:rPr>
        <w:t xml:space="preserve"> О.Б., </w:t>
      </w:r>
      <w:proofErr w:type="spellStart"/>
      <w:r w:rsidRPr="00956236">
        <w:rPr>
          <w:rFonts w:ascii="Times New Roman" w:hAnsi="Times New Roman" w:cs="Times New Roman"/>
          <w:sz w:val="28"/>
          <w:szCs w:val="28"/>
          <w:lang w:val="uk-UA"/>
        </w:rPr>
        <w:t>Дишкантюк</w:t>
      </w:r>
      <w:proofErr w:type="spellEnd"/>
      <w:r w:rsidRPr="00956236">
        <w:rPr>
          <w:rFonts w:ascii="Times New Roman" w:hAnsi="Times New Roman" w:cs="Times New Roman"/>
          <w:sz w:val="28"/>
          <w:szCs w:val="28"/>
          <w:lang w:val="uk-UA"/>
        </w:rPr>
        <w:t xml:space="preserve"> О.В., Власюк К.В. Комунікативні процеси в системі управління персоналом індустрії гостинності</w:t>
      </w:r>
      <w:r w:rsidRPr="00035C15">
        <w:rPr>
          <w:rFonts w:ascii="Times New Roman" w:hAnsi="Times New Roman" w:cs="Times New Roman"/>
          <w:sz w:val="28"/>
          <w:szCs w:val="28"/>
          <w:lang w:val="uk-UA"/>
        </w:rPr>
        <w:t xml:space="preserve">. </w:t>
      </w:r>
      <w:r w:rsidRPr="00956236">
        <w:rPr>
          <w:rFonts w:ascii="Times New Roman" w:hAnsi="Times New Roman" w:cs="Times New Roman"/>
          <w:iCs/>
          <w:sz w:val="28"/>
          <w:szCs w:val="28"/>
          <w:lang w:val="uk-UA"/>
        </w:rPr>
        <w:t>Інфраструктура ринку.</w:t>
      </w:r>
      <w:r w:rsidRPr="00035C15">
        <w:rPr>
          <w:rFonts w:ascii="Times New Roman" w:hAnsi="Times New Roman" w:cs="Times New Roman"/>
          <w:sz w:val="28"/>
          <w:szCs w:val="28"/>
          <w:lang w:val="uk-UA"/>
        </w:rPr>
        <w:t xml:space="preserve"> 2023. № 71. С. 128-134.</w:t>
      </w:r>
    </w:p>
    <w:p w14:paraId="3FF0A321" w14:textId="7E9636D8" w:rsidR="00571B42"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sidRPr="00893312">
        <w:rPr>
          <w:rFonts w:ascii="Times New Roman" w:hAnsi="Times New Roman" w:cs="Times New Roman"/>
          <w:sz w:val="28"/>
          <w:szCs w:val="28"/>
          <w:lang w:val="uk-UA"/>
        </w:rPr>
        <w:t>69. Оптимізація циклу соціально-гуманітарних дисциплін у вищій освіті України в контексті євроінтеграції: монографія</w:t>
      </w:r>
      <w:r w:rsidR="00956236">
        <w:rPr>
          <w:rFonts w:ascii="Times New Roman" w:hAnsi="Times New Roman" w:cs="Times New Roman"/>
          <w:sz w:val="28"/>
          <w:szCs w:val="28"/>
          <w:lang w:val="uk-UA"/>
        </w:rPr>
        <w:t>. За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заг</w:t>
      </w:r>
      <w:proofErr w:type="spellEnd"/>
      <w:r>
        <w:rPr>
          <w:rFonts w:ascii="Times New Roman" w:hAnsi="Times New Roman" w:cs="Times New Roman"/>
          <w:sz w:val="28"/>
          <w:szCs w:val="28"/>
          <w:lang w:val="uk-UA"/>
        </w:rPr>
        <w:t xml:space="preserve">. ред. Г.В. </w:t>
      </w:r>
      <w:proofErr w:type="spellStart"/>
      <w:r>
        <w:rPr>
          <w:rFonts w:ascii="Times New Roman" w:hAnsi="Times New Roman" w:cs="Times New Roman"/>
          <w:sz w:val="28"/>
          <w:szCs w:val="28"/>
          <w:lang w:val="uk-UA"/>
        </w:rPr>
        <w:t>Онкович</w:t>
      </w:r>
      <w:proofErr w:type="spellEnd"/>
      <w:r>
        <w:rPr>
          <w:rFonts w:ascii="Times New Roman" w:hAnsi="Times New Roman" w:cs="Times New Roman"/>
          <w:sz w:val="28"/>
          <w:szCs w:val="28"/>
          <w:lang w:val="uk-UA"/>
        </w:rPr>
        <w:t>. К., 2014.</w:t>
      </w:r>
      <w:r w:rsidRPr="00893312">
        <w:rPr>
          <w:rFonts w:ascii="Times New Roman" w:hAnsi="Times New Roman" w:cs="Times New Roman"/>
          <w:sz w:val="28"/>
          <w:szCs w:val="28"/>
          <w:lang w:val="uk-UA"/>
        </w:rPr>
        <w:t xml:space="preserve"> 326 с.</w:t>
      </w:r>
    </w:p>
    <w:p w14:paraId="0DAEFFC2" w14:textId="77777777" w:rsidR="00571B42"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70. </w:t>
      </w:r>
      <w:r w:rsidRPr="004F5BA6">
        <w:rPr>
          <w:rFonts w:ascii="Times New Roman" w:hAnsi="Times New Roman" w:cs="Times New Roman"/>
          <w:sz w:val="28"/>
          <w:szCs w:val="28"/>
          <w:lang w:val="uk-UA"/>
        </w:rPr>
        <w:t>Капіца</w:t>
      </w:r>
      <w:r>
        <w:rPr>
          <w:rFonts w:ascii="Times New Roman" w:hAnsi="Times New Roman" w:cs="Times New Roman"/>
          <w:sz w:val="28"/>
          <w:szCs w:val="28"/>
          <w:lang w:val="uk-UA"/>
        </w:rPr>
        <w:t xml:space="preserve"> В.Ф., Орлова О.І. Шурупова К.В.</w:t>
      </w:r>
      <w:r w:rsidRPr="004F5BA6">
        <w:rPr>
          <w:rFonts w:ascii="Times New Roman" w:hAnsi="Times New Roman" w:cs="Times New Roman"/>
          <w:sz w:val="28"/>
          <w:szCs w:val="28"/>
          <w:lang w:val="uk-UA"/>
        </w:rPr>
        <w:t xml:space="preserve"> Професі</w:t>
      </w:r>
      <w:r>
        <w:rPr>
          <w:rFonts w:ascii="Times New Roman" w:hAnsi="Times New Roman" w:cs="Times New Roman"/>
          <w:sz w:val="28"/>
          <w:szCs w:val="28"/>
          <w:lang w:val="uk-UA"/>
        </w:rPr>
        <w:t>йна кар’єра успішного фахівця : монографія.</w:t>
      </w:r>
      <w:r w:rsidRPr="004F5BA6">
        <w:rPr>
          <w:rFonts w:ascii="Times New Roman" w:hAnsi="Times New Roman" w:cs="Times New Roman"/>
          <w:sz w:val="28"/>
          <w:szCs w:val="28"/>
          <w:lang w:val="uk-UA"/>
        </w:rPr>
        <w:t xml:space="preserve"> Кривий Ріг:</w:t>
      </w:r>
      <w:r>
        <w:rPr>
          <w:rFonts w:ascii="Times New Roman" w:hAnsi="Times New Roman" w:cs="Times New Roman"/>
          <w:sz w:val="28"/>
          <w:szCs w:val="28"/>
          <w:lang w:val="uk-UA"/>
        </w:rPr>
        <w:t xml:space="preserve"> Видав. центр ДВНЗ «КНУ». 2013.</w:t>
      </w:r>
      <w:r w:rsidRPr="004F5BA6">
        <w:rPr>
          <w:rFonts w:ascii="Times New Roman" w:hAnsi="Times New Roman" w:cs="Times New Roman"/>
          <w:sz w:val="28"/>
          <w:szCs w:val="28"/>
          <w:lang w:val="uk-UA"/>
        </w:rPr>
        <w:t xml:space="preserve"> 508с.</w:t>
      </w:r>
    </w:p>
    <w:p w14:paraId="0D9675FE"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71. </w:t>
      </w:r>
      <w:proofErr w:type="spellStart"/>
      <w:r w:rsidRPr="00956236">
        <w:rPr>
          <w:rStyle w:val="a7"/>
          <w:rFonts w:ascii="Times New Roman" w:hAnsi="Times New Roman" w:cs="Times New Roman"/>
          <w:b w:val="0"/>
          <w:bCs w:val="0"/>
          <w:color w:val="000000" w:themeColor="text1"/>
          <w:sz w:val="28"/>
          <w:szCs w:val="28"/>
          <w:lang w:val="en-US"/>
        </w:rPr>
        <w:t>Kalaman</w:t>
      </w:r>
      <w:proofErr w:type="spellEnd"/>
      <w:r w:rsidRPr="00956236">
        <w:rPr>
          <w:rStyle w:val="a7"/>
          <w:rFonts w:ascii="Times New Roman" w:hAnsi="Times New Roman" w:cs="Times New Roman"/>
          <w:b w:val="0"/>
          <w:bCs w:val="0"/>
          <w:color w:val="000000" w:themeColor="text1"/>
          <w:sz w:val="28"/>
          <w:szCs w:val="28"/>
          <w:lang w:val="en-US"/>
        </w:rPr>
        <w:t xml:space="preserve"> O</w:t>
      </w:r>
      <w:r w:rsidRPr="00956236">
        <w:rPr>
          <w:rStyle w:val="a7"/>
          <w:rFonts w:ascii="Times New Roman" w:hAnsi="Times New Roman" w:cs="Times New Roman"/>
          <w:b w:val="0"/>
          <w:bCs w:val="0"/>
          <w:color w:val="000000" w:themeColor="text1"/>
          <w:sz w:val="28"/>
          <w:szCs w:val="28"/>
          <w:lang w:val="uk-UA"/>
        </w:rPr>
        <w:t>.</w:t>
      </w:r>
      <w:r w:rsidRPr="00956236">
        <w:rPr>
          <w:rStyle w:val="a7"/>
          <w:rFonts w:ascii="Times New Roman" w:hAnsi="Times New Roman"/>
          <w:b w:val="0"/>
          <w:bCs w:val="0"/>
          <w:color w:val="000000" w:themeColor="text1"/>
          <w:sz w:val="28"/>
          <w:szCs w:val="28"/>
          <w:lang w:val="uk-UA"/>
        </w:rPr>
        <w:t xml:space="preserve">, </w:t>
      </w:r>
      <w:proofErr w:type="spellStart"/>
      <w:r w:rsidRPr="00956236">
        <w:rPr>
          <w:rStyle w:val="a7"/>
          <w:rFonts w:ascii="Times New Roman" w:hAnsi="Times New Roman" w:cs="Times New Roman"/>
          <w:b w:val="0"/>
          <w:bCs w:val="0"/>
          <w:color w:val="000000" w:themeColor="text1"/>
          <w:sz w:val="28"/>
          <w:szCs w:val="28"/>
          <w:lang w:val="en-US"/>
        </w:rPr>
        <w:t>Botek</w:t>
      </w:r>
      <w:proofErr w:type="spellEnd"/>
      <w:r w:rsidRPr="00956236">
        <w:rPr>
          <w:rStyle w:val="a7"/>
          <w:rFonts w:ascii="Times New Roman" w:hAnsi="Times New Roman" w:cs="Times New Roman"/>
          <w:b w:val="0"/>
          <w:bCs w:val="0"/>
          <w:color w:val="000000" w:themeColor="text1"/>
          <w:sz w:val="28"/>
          <w:szCs w:val="28"/>
          <w:lang w:val="en-US"/>
        </w:rPr>
        <w:t xml:space="preserve"> M</w:t>
      </w:r>
      <w:r w:rsidRPr="00956236">
        <w:rPr>
          <w:rStyle w:val="a7"/>
          <w:rFonts w:ascii="Times New Roman" w:hAnsi="Times New Roman" w:cs="Times New Roman"/>
          <w:b w:val="0"/>
          <w:bCs w:val="0"/>
          <w:color w:val="000000" w:themeColor="text1"/>
          <w:sz w:val="28"/>
          <w:szCs w:val="28"/>
          <w:lang w:val="uk-UA"/>
        </w:rPr>
        <w:t>.</w:t>
      </w:r>
      <w:r w:rsidRPr="00956236">
        <w:rPr>
          <w:rStyle w:val="a7"/>
          <w:rFonts w:ascii="Times New Roman" w:hAnsi="Times New Roman"/>
          <w:b w:val="0"/>
          <w:bCs w:val="0"/>
          <w:color w:val="000000" w:themeColor="text1"/>
          <w:sz w:val="28"/>
          <w:szCs w:val="28"/>
          <w:lang w:val="uk-UA"/>
        </w:rPr>
        <w:t xml:space="preserve">, </w:t>
      </w:r>
      <w:proofErr w:type="spellStart"/>
      <w:r w:rsidRPr="00956236">
        <w:rPr>
          <w:rStyle w:val="a7"/>
          <w:rFonts w:ascii="Times New Roman" w:hAnsi="Times New Roman" w:cs="Times New Roman"/>
          <w:b w:val="0"/>
          <w:bCs w:val="0"/>
          <w:color w:val="000000" w:themeColor="text1"/>
          <w:sz w:val="28"/>
          <w:szCs w:val="28"/>
          <w:lang w:val="en-US"/>
        </w:rPr>
        <w:t>Mandrykin</w:t>
      </w:r>
      <w:proofErr w:type="spellEnd"/>
      <w:r w:rsidRPr="00956236">
        <w:rPr>
          <w:rStyle w:val="a7"/>
          <w:rFonts w:ascii="Times New Roman" w:hAnsi="Times New Roman" w:cs="Times New Roman"/>
          <w:b w:val="0"/>
          <w:bCs w:val="0"/>
          <w:color w:val="000000" w:themeColor="text1"/>
          <w:sz w:val="28"/>
          <w:szCs w:val="28"/>
          <w:lang w:val="en-US"/>
        </w:rPr>
        <w:t xml:space="preserve"> D</w:t>
      </w:r>
      <w:r w:rsidRPr="00956236">
        <w:rPr>
          <w:rStyle w:val="a7"/>
          <w:rFonts w:ascii="Times New Roman" w:hAnsi="Times New Roman"/>
          <w:b w:val="0"/>
          <w:bCs w:val="0"/>
          <w:color w:val="000000" w:themeColor="text1"/>
          <w:sz w:val="28"/>
          <w:szCs w:val="28"/>
          <w:lang w:val="uk-UA"/>
        </w:rPr>
        <w:t>.</w:t>
      </w:r>
      <w:r w:rsidRPr="00956236">
        <w:rPr>
          <w:rStyle w:val="a7"/>
          <w:rFonts w:ascii="Times New Roman" w:hAnsi="Times New Roman"/>
          <w:color w:val="000000" w:themeColor="text1"/>
          <w:sz w:val="28"/>
          <w:szCs w:val="28"/>
          <w:lang w:val="uk-UA"/>
        </w:rPr>
        <w:t xml:space="preserve"> </w:t>
      </w:r>
      <w:r w:rsidRPr="00956236">
        <w:rPr>
          <w:rFonts w:ascii="Times New Roman" w:hAnsi="Times New Roman" w:cs="Times New Roman"/>
          <w:sz w:val="28"/>
          <w:szCs w:val="28"/>
          <w:lang w:val="en-US"/>
        </w:rPr>
        <w:t>Convergence and differentiation of scientific approaches to the management of enterprise human capital development</w:t>
      </w:r>
      <w:r w:rsidRPr="00956236">
        <w:rPr>
          <w:rFonts w:ascii="Times New Roman" w:hAnsi="Times New Roman" w:cs="Times New Roman"/>
          <w:sz w:val="28"/>
          <w:szCs w:val="28"/>
          <w:lang w:val="uk-UA"/>
        </w:rPr>
        <w:t>. Економічний простір. 2023. № 183. С.51-58.</w:t>
      </w:r>
    </w:p>
    <w:p w14:paraId="603953CF"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sidRPr="00956236">
        <w:rPr>
          <w:rFonts w:ascii="Times New Roman" w:hAnsi="Times New Roman" w:cs="Times New Roman"/>
          <w:sz w:val="28"/>
          <w:szCs w:val="28"/>
          <w:lang w:val="uk-UA"/>
        </w:rPr>
        <w:t xml:space="preserve">72. </w:t>
      </w:r>
      <w:proofErr w:type="spellStart"/>
      <w:r w:rsidRPr="00956236">
        <w:rPr>
          <w:rFonts w:ascii="Times New Roman" w:hAnsi="Times New Roman" w:cs="Times New Roman"/>
          <w:sz w:val="28"/>
          <w:szCs w:val="28"/>
          <w:lang w:val="uk-UA"/>
        </w:rPr>
        <w:t>Каламан</w:t>
      </w:r>
      <w:proofErr w:type="spellEnd"/>
      <w:r w:rsidRPr="00956236">
        <w:rPr>
          <w:rFonts w:ascii="Times New Roman" w:hAnsi="Times New Roman" w:cs="Times New Roman"/>
          <w:sz w:val="28"/>
          <w:szCs w:val="28"/>
          <w:lang w:val="uk-UA"/>
        </w:rPr>
        <w:t xml:space="preserve"> О. Б., </w:t>
      </w:r>
      <w:proofErr w:type="spellStart"/>
      <w:r w:rsidRPr="00956236">
        <w:rPr>
          <w:rFonts w:ascii="Times New Roman" w:hAnsi="Times New Roman" w:cs="Times New Roman"/>
          <w:sz w:val="28"/>
          <w:szCs w:val="28"/>
          <w:lang w:val="uk-UA"/>
        </w:rPr>
        <w:t>Скрібанс</w:t>
      </w:r>
      <w:proofErr w:type="spellEnd"/>
      <w:r w:rsidRPr="00956236">
        <w:rPr>
          <w:rFonts w:ascii="Times New Roman" w:hAnsi="Times New Roman" w:cs="Times New Roman"/>
          <w:sz w:val="28"/>
          <w:szCs w:val="28"/>
          <w:lang w:val="uk-UA"/>
        </w:rPr>
        <w:t xml:space="preserve"> В. </w:t>
      </w:r>
      <w:proofErr w:type="spellStart"/>
      <w:r w:rsidRPr="00956236">
        <w:rPr>
          <w:rFonts w:ascii="Times New Roman" w:hAnsi="Times New Roman" w:cs="Times New Roman"/>
          <w:sz w:val="28"/>
          <w:szCs w:val="28"/>
          <w:lang w:val="uk-UA"/>
        </w:rPr>
        <w:t>Мандрикін</w:t>
      </w:r>
      <w:proofErr w:type="spellEnd"/>
      <w:r w:rsidRPr="00956236">
        <w:rPr>
          <w:rFonts w:ascii="Times New Roman" w:hAnsi="Times New Roman" w:cs="Times New Roman"/>
          <w:sz w:val="28"/>
          <w:szCs w:val="28"/>
          <w:lang w:val="uk-UA"/>
        </w:rPr>
        <w:t xml:space="preserve"> Д. В. Методологія формування показників ефективності стратегічних управлінських рішень на промислових підприємствах. Економічні інновації. 2021. Т.23. Вип.2 (79). С. 87-96.</w:t>
      </w:r>
    </w:p>
    <w:p w14:paraId="1251116E"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sz w:val="28"/>
          <w:szCs w:val="28"/>
        </w:rPr>
      </w:pPr>
      <w:r w:rsidRPr="00956236">
        <w:rPr>
          <w:rFonts w:ascii="Times New Roman" w:hAnsi="Times New Roman" w:cs="Times New Roman"/>
          <w:sz w:val="28"/>
          <w:szCs w:val="28"/>
          <w:lang w:val="uk-UA"/>
        </w:rPr>
        <w:t xml:space="preserve">73. Панок В.Г., </w:t>
      </w:r>
      <w:proofErr w:type="spellStart"/>
      <w:r w:rsidRPr="00956236">
        <w:rPr>
          <w:rFonts w:ascii="Times New Roman" w:hAnsi="Times New Roman" w:cs="Times New Roman"/>
          <w:sz w:val="28"/>
          <w:szCs w:val="28"/>
          <w:lang w:val="uk-UA"/>
        </w:rPr>
        <w:t>Рудь</w:t>
      </w:r>
      <w:proofErr w:type="spellEnd"/>
      <w:r w:rsidRPr="00956236">
        <w:rPr>
          <w:rFonts w:ascii="Times New Roman" w:hAnsi="Times New Roman" w:cs="Times New Roman"/>
          <w:sz w:val="28"/>
          <w:szCs w:val="28"/>
          <w:lang w:val="uk-UA"/>
        </w:rPr>
        <w:t xml:space="preserve"> Г.В. Психологія життєвого шляху особистості. К.: Ніка-Центр, 2006. 280</w:t>
      </w:r>
      <w:r w:rsidRPr="00956236">
        <w:rPr>
          <w:rFonts w:ascii="Times New Roman" w:hAnsi="Times New Roman" w:cs="Times New Roman"/>
          <w:sz w:val="28"/>
          <w:szCs w:val="28"/>
        </w:rPr>
        <w:t xml:space="preserve"> </w:t>
      </w:r>
      <w:r w:rsidRPr="00956236">
        <w:rPr>
          <w:rFonts w:ascii="Times New Roman" w:hAnsi="Times New Roman" w:cs="Times New Roman"/>
          <w:sz w:val="28"/>
          <w:szCs w:val="28"/>
          <w:lang w:val="en-US"/>
        </w:rPr>
        <w:t>c</w:t>
      </w:r>
      <w:r w:rsidRPr="00956236">
        <w:rPr>
          <w:rFonts w:ascii="Times New Roman" w:hAnsi="Times New Roman" w:cs="Times New Roman"/>
          <w:sz w:val="28"/>
          <w:szCs w:val="28"/>
        </w:rPr>
        <w:t>.</w:t>
      </w:r>
    </w:p>
    <w:p w14:paraId="4B166BA6"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sidRPr="00956236">
        <w:rPr>
          <w:rFonts w:ascii="Times New Roman" w:hAnsi="Times New Roman" w:cs="Times New Roman"/>
          <w:sz w:val="28"/>
          <w:szCs w:val="28"/>
          <w:lang w:val="uk-UA"/>
        </w:rPr>
        <w:t>74. Грицай І. О. Механізм забезпечення принципу гендерної рівності: теорія та практика: монографія. К.: «Хай-Тек Прес». 2018. 560 с.</w:t>
      </w:r>
    </w:p>
    <w:p w14:paraId="362C8C1B"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sidRPr="00956236">
        <w:rPr>
          <w:rFonts w:ascii="Times New Roman" w:hAnsi="Times New Roman" w:cs="Times New Roman"/>
          <w:sz w:val="28"/>
          <w:szCs w:val="28"/>
          <w:lang w:val="uk-UA"/>
        </w:rPr>
        <w:t xml:space="preserve">75. </w:t>
      </w:r>
      <w:proofErr w:type="spellStart"/>
      <w:r w:rsidRPr="00956236">
        <w:rPr>
          <w:rFonts w:ascii="Times New Roman" w:hAnsi="Times New Roman" w:cs="Times New Roman"/>
          <w:sz w:val="28"/>
          <w:szCs w:val="28"/>
          <w:lang w:val="uk-UA"/>
        </w:rPr>
        <w:t>Kahneman</w:t>
      </w:r>
      <w:proofErr w:type="spellEnd"/>
      <w:r w:rsidRPr="00956236">
        <w:rPr>
          <w:rFonts w:ascii="Times New Roman" w:hAnsi="Times New Roman" w:cs="Times New Roman"/>
          <w:sz w:val="28"/>
          <w:szCs w:val="28"/>
          <w:lang w:val="uk-UA"/>
        </w:rPr>
        <w:t xml:space="preserve"> D., </w:t>
      </w:r>
      <w:proofErr w:type="spellStart"/>
      <w:r w:rsidRPr="00956236">
        <w:rPr>
          <w:rFonts w:ascii="Times New Roman" w:hAnsi="Times New Roman" w:cs="Times New Roman"/>
          <w:sz w:val="28"/>
          <w:szCs w:val="28"/>
          <w:lang w:val="uk-UA"/>
        </w:rPr>
        <w:t>Miller</w:t>
      </w:r>
      <w:proofErr w:type="spellEnd"/>
      <w:r w:rsidRPr="00956236">
        <w:rPr>
          <w:rFonts w:ascii="Times New Roman" w:hAnsi="Times New Roman" w:cs="Times New Roman"/>
          <w:sz w:val="28"/>
          <w:szCs w:val="28"/>
          <w:lang w:val="uk-UA"/>
        </w:rPr>
        <w:t xml:space="preserve"> D. T. </w:t>
      </w:r>
      <w:proofErr w:type="spellStart"/>
      <w:r w:rsidRPr="00956236">
        <w:rPr>
          <w:rFonts w:ascii="Times New Roman" w:hAnsi="Times New Roman" w:cs="Times New Roman"/>
          <w:sz w:val="28"/>
          <w:szCs w:val="28"/>
          <w:lang w:val="uk-UA"/>
        </w:rPr>
        <w:t>Norm</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theory</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Comparing</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reality</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to</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its</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alternatives</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Psychological</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Review</w:t>
      </w:r>
      <w:proofErr w:type="spellEnd"/>
      <w:r w:rsidRPr="00956236">
        <w:rPr>
          <w:rFonts w:ascii="Times New Roman" w:hAnsi="Times New Roman" w:cs="Times New Roman"/>
          <w:sz w:val="28"/>
          <w:szCs w:val="28"/>
          <w:lang w:val="uk-UA"/>
        </w:rPr>
        <w:t>. 1986</w:t>
      </w:r>
      <w:r w:rsidRPr="00956236">
        <w:rPr>
          <w:rFonts w:ascii="Times New Roman" w:hAnsi="Times New Roman" w:cs="Times New Roman"/>
          <w:sz w:val="28"/>
          <w:szCs w:val="28"/>
        </w:rPr>
        <w:t xml:space="preserve">. № </w:t>
      </w:r>
      <w:r w:rsidRPr="00956236">
        <w:rPr>
          <w:rFonts w:ascii="Times New Roman" w:hAnsi="Times New Roman" w:cs="Times New Roman"/>
          <w:sz w:val="28"/>
          <w:szCs w:val="28"/>
          <w:lang w:val="uk-UA"/>
        </w:rPr>
        <w:t>93(2). Р. 136–153.</w:t>
      </w:r>
    </w:p>
    <w:p w14:paraId="6607C89D"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sidRPr="00956236">
        <w:rPr>
          <w:rFonts w:ascii="Times New Roman" w:hAnsi="Times New Roman" w:cs="Times New Roman"/>
          <w:sz w:val="28"/>
          <w:szCs w:val="28"/>
          <w:lang w:val="uk-UA"/>
        </w:rPr>
        <w:t>76. Василенко І.</w:t>
      </w:r>
      <w:r w:rsidRPr="00956236">
        <w:rPr>
          <w:rFonts w:ascii="Times New Roman" w:hAnsi="Times New Roman" w:cs="Times New Roman"/>
          <w:sz w:val="28"/>
          <w:szCs w:val="28"/>
        </w:rPr>
        <w:t xml:space="preserve"> </w:t>
      </w:r>
      <w:r w:rsidRPr="00956236">
        <w:rPr>
          <w:rFonts w:ascii="Times New Roman" w:hAnsi="Times New Roman" w:cs="Times New Roman"/>
          <w:sz w:val="28"/>
          <w:szCs w:val="28"/>
          <w:lang w:val="uk-UA"/>
        </w:rPr>
        <w:t xml:space="preserve">О. Практичні кроки в об’єднанні культурних систем у процесі міжкультурної комунікації. Стратегії міжкультурної комунікації в </w:t>
      </w:r>
      <w:proofErr w:type="spellStart"/>
      <w:r w:rsidRPr="00956236">
        <w:rPr>
          <w:rFonts w:ascii="Times New Roman" w:hAnsi="Times New Roman" w:cs="Times New Roman"/>
          <w:sz w:val="28"/>
          <w:szCs w:val="28"/>
          <w:lang w:val="uk-UA"/>
        </w:rPr>
        <w:t>мовній</w:t>
      </w:r>
      <w:proofErr w:type="spellEnd"/>
      <w:r w:rsidRPr="00956236">
        <w:rPr>
          <w:rFonts w:ascii="Times New Roman" w:hAnsi="Times New Roman" w:cs="Times New Roman"/>
          <w:sz w:val="28"/>
          <w:szCs w:val="28"/>
          <w:lang w:val="uk-UA"/>
        </w:rPr>
        <w:t xml:space="preserve"> освіті сучасного ВНЗ: </w:t>
      </w:r>
      <w:proofErr w:type="spellStart"/>
      <w:r w:rsidRPr="00956236">
        <w:rPr>
          <w:rFonts w:ascii="Times New Roman" w:hAnsi="Times New Roman" w:cs="Times New Roman"/>
          <w:sz w:val="28"/>
          <w:szCs w:val="28"/>
          <w:lang w:val="uk-UA"/>
        </w:rPr>
        <w:t>зб</w:t>
      </w:r>
      <w:proofErr w:type="spellEnd"/>
      <w:r w:rsidRPr="00956236">
        <w:rPr>
          <w:rFonts w:ascii="Times New Roman" w:hAnsi="Times New Roman" w:cs="Times New Roman"/>
          <w:sz w:val="28"/>
          <w:szCs w:val="28"/>
          <w:lang w:val="uk-UA"/>
        </w:rPr>
        <w:t xml:space="preserve">. матеріалів </w:t>
      </w:r>
      <w:proofErr w:type="spellStart"/>
      <w:r w:rsidRPr="00956236">
        <w:rPr>
          <w:rFonts w:ascii="Times New Roman" w:hAnsi="Times New Roman" w:cs="Times New Roman"/>
          <w:sz w:val="28"/>
          <w:szCs w:val="28"/>
          <w:lang w:val="uk-UA"/>
        </w:rPr>
        <w:t>Міжнар</w:t>
      </w:r>
      <w:proofErr w:type="spellEnd"/>
      <w:r w:rsidRPr="00956236">
        <w:rPr>
          <w:rFonts w:ascii="Times New Roman" w:hAnsi="Times New Roman" w:cs="Times New Roman"/>
          <w:sz w:val="28"/>
          <w:szCs w:val="28"/>
          <w:lang w:val="uk-UA"/>
        </w:rPr>
        <w:t>. наук.-</w:t>
      </w:r>
      <w:proofErr w:type="spellStart"/>
      <w:r w:rsidRPr="00956236">
        <w:rPr>
          <w:rFonts w:ascii="Times New Roman" w:hAnsi="Times New Roman" w:cs="Times New Roman"/>
          <w:sz w:val="28"/>
          <w:szCs w:val="28"/>
          <w:lang w:val="uk-UA"/>
        </w:rPr>
        <w:t>практ</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конф</w:t>
      </w:r>
      <w:proofErr w:type="spellEnd"/>
      <w:r w:rsidRPr="00956236">
        <w:rPr>
          <w:rFonts w:ascii="Times New Roman" w:hAnsi="Times New Roman" w:cs="Times New Roman"/>
          <w:sz w:val="28"/>
          <w:szCs w:val="28"/>
          <w:lang w:val="uk-UA"/>
        </w:rPr>
        <w:t>., м. Київ (21 березня 2017 р.). К.: КНЕУ, 2017. C. 16-20.</w:t>
      </w:r>
    </w:p>
    <w:p w14:paraId="53A822F3"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sidRPr="00956236">
        <w:rPr>
          <w:rFonts w:ascii="Times New Roman" w:hAnsi="Times New Roman" w:cs="Times New Roman"/>
          <w:sz w:val="28"/>
          <w:szCs w:val="28"/>
          <w:lang w:val="uk-UA"/>
        </w:rPr>
        <w:t xml:space="preserve">77. </w:t>
      </w:r>
      <w:proofErr w:type="spellStart"/>
      <w:r w:rsidRPr="00956236">
        <w:rPr>
          <w:rFonts w:ascii="Times New Roman" w:hAnsi="Times New Roman" w:cs="Times New Roman"/>
          <w:sz w:val="28"/>
          <w:szCs w:val="28"/>
          <w:lang w:val="uk-UA"/>
        </w:rPr>
        <w:t>Ramaswami</w:t>
      </w:r>
      <w:proofErr w:type="spellEnd"/>
      <w:r w:rsidRPr="00956236">
        <w:rPr>
          <w:rFonts w:ascii="Times New Roman" w:hAnsi="Times New Roman" w:cs="Times New Roman"/>
          <w:sz w:val="28"/>
          <w:szCs w:val="28"/>
          <w:lang w:val="uk-UA"/>
        </w:rPr>
        <w:t xml:space="preserve"> A., </w:t>
      </w:r>
      <w:proofErr w:type="spellStart"/>
      <w:r w:rsidRPr="00956236">
        <w:rPr>
          <w:rFonts w:ascii="Times New Roman" w:hAnsi="Times New Roman" w:cs="Times New Roman"/>
          <w:sz w:val="28"/>
          <w:szCs w:val="28"/>
          <w:lang w:val="uk-UA"/>
        </w:rPr>
        <w:t>Huang</w:t>
      </w:r>
      <w:proofErr w:type="spellEnd"/>
      <w:r w:rsidRPr="00956236">
        <w:rPr>
          <w:rFonts w:ascii="Times New Roman" w:hAnsi="Times New Roman" w:cs="Times New Roman"/>
          <w:sz w:val="28"/>
          <w:szCs w:val="28"/>
          <w:lang w:val="uk-UA"/>
        </w:rPr>
        <w:t xml:space="preserve"> J.C., </w:t>
      </w:r>
      <w:proofErr w:type="spellStart"/>
      <w:r w:rsidRPr="00956236">
        <w:rPr>
          <w:rFonts w:ascii="Times New Roman" w:hAnsi="Times New Roman" w:cs="Times New Roman"/>
          <w:sz w:val="28"/>
          <w:szCs w:val="28"/>
          <w:lang w:val="uk-UA"/>
        </w:rPr>
        <w:t>Dreher</w:t>
      </w:r>
      <w:proofErr w:type="spellEnd"/>
      <w:r w:rsidRPr="00956236">
        <w:rPr>
          <w:rFonts w:ascii="Times New Roman" w:hAnsi="Times New Roman" w:cs="Times New Roman"/>
          <w:sz w:val="28"/>
          <w:szCs w:val="28"/>
          <w:lang w:val="uk-UA"/>
        </w:rPr>
        <w:t xml:space="preserve"> G. </w:t>
      </w:r>
      <w:proofErr w:type="spellStart"/>
      <w:r w:rsidRPr="00956236">
        <w:rPr>
          <w:rFonts w:ascii="Times New Roman" w:hAnsi="Times New Roman" w:cs="Times New Roman"/>
          <w:sz w:val="28"/>
          <w:szCs w:val="28"/>
          <w:lang w:val="uk-UA"/>
        </w:rPr>
        <w:t>Interaction</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of</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gender</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mentoring</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and</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power</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distance</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on</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career</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attainment</w:t>
      </w:r>
      <w:proofErr w:type="spellEnd"/>
      <w:r w:rsidRPr="00956236">
        <w:rPr>
          <w:rFonts w:ascii="Times New Roman" w:hAnsi="Times New Roman" w:cs="Times New Roman"/>
          <w:sz w:val="28"/>
          <w:szCs w:val="28"/>
          <w:lang w:val="uk-UA"/>
        </w:rPr>
        <w:t>:</w:t>
      </w:r>
      <w:r w:rsidRPr="00956236">
        <w:rPr>
          <w:rFonts w:ascii="Times New Roman" w:hAnsi="Times New Roman" w:cs="Times New Roman"/>
          <w:sz w:val="28"/>
          <w:szCs w:val="28"/>
          <w:lang w:val="en-US"/>
        </w:rPr>
        <w:t xml:space="preserve"> </w:t>
      </w:r>
      <w:r w:rsidRPr="00956236">
        <w:rPr>
          <w:rFonts w:ascii="Times New Roman" w:hAnsi="Times New Roman" w:cs="Times New Roman"/>
          <w:sz w:val="28"/>
          <w:szCs w:val="28"/>
          <w:lang w:val="uk-UA"/>
        </w:rPr>
        <w:t xml:space="preserve">A </w:t>
      </w:r>
      <w:proofErr w:type="spellStart"/>
      <w:r w:rsidRPr="00956236">
        <w:rPr>
          <w:rFonts w:ascii="Times New Roman" w:hAnsi="Times New Roman" w:cs="Times New Roman"/>
          <w:sz w:val="28"/>
          <w:szCs w:val="28"/>
          <w:lang w:val="uk-UA"/>
        </w:rPr>
        <w:t>cross</w:t>
      </w:r>
      <w:r w:rsidRPr="00956236">
        <w:rPr>
          <w:rFonts w:ascii="Cambria Math" w:hAnsi="Cambria Math" w:cs="Cambria Math"/>
          <w:sz w:val="28"/>
          <w:szCs w:val="28"/>
          <w:lang w:val="uk-UA"/>
        </w:rPr>
        <w:t>‐</w:t>
      </w:r>
      <w:r w:rsidRPr="00956236">
        <w:rPr>
          <w:rFonts w:ascii="Times New Roman" w:hAnsi="Times New Roman" w:cs="Times New Roman"/>
          <w:sz w:val="28"/>
          <w:szCs w:val="28"/>
          <w:lang w:val="uk-UA"/>
        </w:rPr>
        <w:t>cultural</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comparison</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Human</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Relations</w:t>
      </w:r>
      <w:proofErr w:type="spellEnd"/>
      <w:r w:rsidRPr="00956236">
        <w:rPr>
          <w:rFonts w:ascii="Times New Roman" w:hAnsi="Times New Roman" w:cs="Times New Roman"/>
          <w:sz w:val="28"/>
          <w:szCs w:val="28"/>
          <w:lang w:val="en-US"/>
        </w:rPr>
        <w:t>.</w:t>
      </w:r>
      <w:r w:rsidRPr="00956236">
        <w:rPr>
          <w:rFonts w:ascii="Times New Roman" w:hAnsi="Times New Roman" w:cs="Times New Roman"/>
          <w:sz w:val="28"/>
          <w:szCs w:val="28"/>
          <w:lang w:val="uk-UA"/>
        </w:rPr>
        <w:t xml:space="preserve"> 2014</w:t>
      </w:r>
      <w:r w:rsidRPr="00956236">
        <w:rPr>
          <w:rFonts w:ascii="Times New Roman" w:hAnsi="Times New Roman" w:cs="Times New Roman"/>
          <w:sz w:val="28"/>
          <w:szCs w:val="28"/>
          <w:lang w:val="en-US"/>
        </w:rPr>
        <w:t xml:space="preserve">. № </w:t>
      </w:r>
      <w:r w:rsidRPr="00956236">
        <w:rPr>
          <w:rFonts w:ascii="Times New Roman" w:hAnsi="Times New Roman" w:cs="Times New Roman"/>
          <w:sz w:val="28"/>
          <w:szCs w:val="28"/>
          <w:lang w:val="uk-UA"/>
        </w:rPr>
        <w:t xml:space="preserve">67 (2). Р. 153–173. </w:t>
      </w:r>
      <w:r w:rsidRPr="00956236">
        <w:rPr>
          <w:rFonts w:ascii="Times New Roman" w:eastAsiaTheme="minorHAnsi" w:hAnsi="Times New Roman" w:cs="Times New Roman"/>
          <w:sz w:val="28"/>
          <w:szCs w:val="28"/>
          <w:lang w:val="en-US" w:eastAsia="en-US"/>
        </w:rPr>
        <w:t xml:space="preserve">DOI: </w:t>
      </w:r>
      <w:r w:rsidRPr="00956236">
        <w:rPr>
          <w:rFonts w:ascii="Times New Roman" w:hAnsi="Times New Roman" w:cs="Times New Roman"/>
          <w:sz w:val="28"/>
          <w:szCs w:val="28"/>
          <w:lang w:val="uk-UA"/>
        </w:rPr>
        <w:t>https://doi.org/10.1177/0018726713490000.</w:t>
      </w:r>
    </w:p>
    <w:p w14:paraId="74519E0A"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sidRPr="00956236">
        <w:rPr>
          <w:rFonts w:ascii="Times New Roman" w:hAnsi="Times New Roman" w:cs="Times New Roman"/>
          <w:sz w:val="28"/>
          <w:szCs w:val="28"/>
          <w:lang w:val="uk-UA"/>
        </w:rPr>
        <w:t xml:space="preserve">78. </w:t>
      </w:r>
      <w:proofErr w:type="spellStart"/>
      <w:r w:rsidRPr="00956236">
        <w:rPr>
          <w:rFonts w:ascii="Times New Roman" w:hAnsi="Times New Roman" w:cs="Times New Roman"/>
          <w:sz w:val="28"/>
          <w:szCs w:val="28"/>
          <w:lang w:val="uk-UA"/>
        </w:rPr>
        <w:t>Taras</w:t>
      </w:r>
      <w:proofErr w:type="spellEnd"/>
      <w:r w:rsidRPr="00956236">
        <w:rPr>
          <w:rFonts w:ascii="Times New Roman" w:hAnsi="Times New Roman" w:cs="Times New Roman"/>
          <w:sz w:val="28"/>
          <w:szCs w:val="28"/>
          <w:lang w:val="uk-UA"/>
        </w:rPr>
        <w:t xml:space="preserve"> V., </w:t>
      </w:r>
      <w:proofErr w:type="spellStart"/>
      <w:r w:rsidRPr="00956236">
        <w:rPr>
          <w:rFonts w:ascii="Times New Roman" w:hAnsi="Times New Roman" w:cs="Times New Roman"/>
          <w:sz w:val="28"/>
          <w:szCs w:val="28"/>
          <w:lang w:val="uk-UA"/>
        </w:rPr>
        <w:t>Kirkman</w:t>
      </w:r>
      <w:proofErr w:type="spellEnd"/>
      <w:r w:rsidRPr="00956236">
        <w:rPr>
          <w:rFonts w:ascii="Times New Roman" w:hAnsi="Times New Roman" w:cs="Times New Roman"/>
          <w:sz w:val="28"/>
          <w:szCs w:val="28"/>
          <w:lang w:val="uk-UA"/>
        </w:rPr>
        <w:t xml:space="preserve"> B. L., </w:t>
      </w:r>
      <w:proofErr w:type="spellStart"/>
      <w:r w:rsidRPr="00956236">
        <w:rPr>
          <w:rFonts w:ascii="Times New Roman" w:hAnsi="Times New Roman" w:cs="Times New Roman"/>
          <w:sz w:val="28"/>
          <w:szCs w:val="28"/>
          <w:lang w:val="uk-UA"/>
        </w:rPr>
        <w:t>Steel</w:t>
      </w:r>
      <w:proofErr w:type="spellEnd"/>
      <w:r w:rsidRPr="00956236">
        <w:rPr>
          <w:rFonts w:ascii="Times New Roman" w:hAnsi="Times New Roman" w:cs="Times New Roman"/>
          <w:sz w:val="28"/>
          <w:szCs w:val="28"/>
          <w:lang w:val="uk-UA"/>
        </w:rPr>
        <w:t xml:space="preserve"> P. </w:t>
      </w:r>
      <w:proofErr w:type="spellStart"/>
      <w:r w:rsidRPr="00956236">
        <w:rPr>
          <w:rFonts w:ascii="Times New Roman" w:hAnsi="Times New Roman" w:cs="Times New Roman"/>
          <w:sz w:val="28"/>
          <w:szCs w:val="28"/>
          <w:lang w:val="uk-UA"/>
        </w:rPr>
        <w:t>Examining</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the</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impact</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of</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culture's</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consequences</w:t>
      </w:r>
      <w:proofErr w:type="spellEnd"/>
      <w:r w:rsidRPr="00956236">
        <w:rPr>
          <w:rFonts w:ascii="Times New Roman" w:hAnsi="Times New Roman" w:cs="Times New Roman"/>
          <w:sz w:val="28"/>
          <w:szCs w:val="28"/>
          <w:lang w:val="uk-UA"/>
        </w:rPr>
        <w:t xml:space="preserve">: A </w:t>
      </w:r>
      <w:proofErr w:type="spellStart"/>
      <w:r w:rsidRPr="00956236">
        <w:rPr>
          <w:rFonts w:ascii="Times New Roman" w:hAnsi="Times New Roman" w:cs="Times New Roman"/>
          <w:sz w:val="28"/>
          <w:szCs w:val="28"/>
          <w:lang w:val="uk-UA"/>
        </w:rPr>
        <w:t>three</w:t>
      </w:r>
      <w:r w:rsidRPr="00956236">
        <w:rPr>
          <w:rFonts w:ascii="Cambria Math" w:hAnsi="Cambria Math" w:cs="Cambria Math"/>
          <w:sz w:val="28"/>
          <w:szCs w:val="28"/>
          <w:lang w:val="uk-UA"/>
        </w:rPr>
        <w:t>‐</w:t>
      </w:r>
      <w:r w:rsidRPr="00956236">
        <w:rPr>
          <w:rFonts w:ascii="Times New Roman" w:hAnsi="Times New Roman" w:cs="Times New Roman"/>
          <w:sz w:val="28"/>
          <w:szCs w:val="28"/>
          <w:lang w:val="uk-UA"/>
        </w:rPr>
        <w:t>decade</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multilevel</w:t>
      </w:r>
      <w:proofErr w:type="spellEnd"/>
      <w:r w:rsidRPr="00956236">
        <w:rPr>
          <w:rFonts w:ascii="Times New Roman" w:hAnsi="Times New Roman" w:cs="Times New Roman"/>
          <w:sz w:val="28"/>
          <w:szCs w:val="28"/>
          <w:lang w:val="uk-UA"/>
        </w:rPr>
        <w:t>,</w:t>
      </w:r>
      <w:r w:rsidRPr="00956236">
        <w:rPr>
          <w:rFonts w:ascii="Times New Roman" w:hAnsi="Times New Roman" w:cs="Times New Roman"/>
          <w:sz w:val="28"/>
          <w:szCs w:val="28"/>
          <w:lang w:val="en-US"/>
        </w:rPr>
        <w:t xml:space="preserve"> </w:t>
      </w:r>
      <w:proofErr w:type="spellStart"/>
      <w:r w:rsidRPr="00956236">
        <w:rPr>
          <w:rFonts w:ascii="Times New Roman" w:hAnsi="Times New Roman" w:cs="Times New Roman"/>
          <w:sz w:val="28"/>
          <w:szCs w:val="28"/>
          <w:lang w:val="uk-UA"/>
        </w:rPr>
        <w:t>meta</w:t>
      </w:r>
      <w:r w:rsidRPr="00956236">
        <w:rPr>
          <w:rFonts w:ascii="Cambria Math" w:hAnsi="Cambria Math" w:cs="Cambria Math"/>
          <w:sz w:val="28"/>
          <w:szCs w:val="28"/>
          <w:lang w:val="uk-UA"/>
        </w:rPr>
        <w:t>‐</w:t>
      </w:r>
      <w:r w:rsidRPr="00956236">
        <w:rPr>
          <w:rFonts w:ascii="Times New Roman" w:hAnsi="Times New Roman" w:cs="Times New Roman"/>
          <w:sz w:val="28"/>
          <w:szCs w:val="28"/>
          <w:lang w:val="uk-UA"/>
        </w:rPr>
        <w:t>analytic</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review</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of</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Hofstede's</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cultural</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value</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dimensions</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Journal</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of</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Applied</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Psychology</w:t>
      </w:r>
      <w:proofErr w:type="spellEnd"/>
      <w:r w:rsidRPr="00956236">
        <w:rPr>
          <w:rFonts w:ascii="Times New Roman" w:hAnsi="Times New Roman" w:cs="Times New Roman"/>
          <w:sz w:val="28"/>
          <w:szCs w:val="28"/>
          <w:lang w:val="uk-UA"/>
        </w:rPr>
        <w:t>. 20</w:t>
      </w:r>
      <w:r w:rsidRPr="00956236">
        <w:rPr>
          <w:rFonts w:ascii="Times New Roman" w:hAnsi="Times New Roman" w:cs="Times New Roman"/>
          <w:sz w:val="28"/>
          <w:szCs w:val="28"/>
          <w:lang w:val="en-US"/>
        </w:rPr>
        <w:t>2</w:t>
      </w:r>
      <w:r w:rsidRPr="00956236">
        <w:rPr>
          <w:rFonts w:ascii="Times New Roman" w:hAnsi="Times New Roman" w:cs="Times New Roman"/>
          <w:sz w:val="28"/>
          <w:szCs w:val="28"/>
          <w:lang w:val="uk-UA"/>
        </w:rPr>
        <w:t>0</w:t>
      </w:r>
      <w:r w:rsidRPr="00956236">
        <w:rPr>
          <w:rFonts w:ascii="Times New Roman" w:hAnsi="Times New Roman" w:cs="Times New Roman"/>
          <w:sz w:val="28"/>
          <w:szCs w:val="28"/>
          <w:lang w:val="en-US"/>
        </w:rPr>
        <w:t xml:space="preserve">. № </w:t>
      </w:r>
      <w:r w:rsidRPr="00956236">
        <w:rPr>
          <w:rFonts w:ascii="Times New Roman" w:hAnsi="Times New Roman" w:cs="Times New Roman"/>
          <w:sz w:val="28"/>
          <w:szCs w:val="28"/>
          <w:lang w:val="uk-UA"/>
        </w:rPr>
        <w:t xml:space="preserve">95(3). Р. 405–439. </w:t>
      </w:r>
      <w:r w:rsidRPr="00956236">
        <w:rPr>
          <w:rFonts w:ascii="Times New Roman" w:eastAsiaTheme="minorHAnsi" w:hAnsi="Times New Roman" w:cs="Times New Roman"/>
          <w:sz w:val="28"/>
          <w:szCs w:val="28"/>
          <w:lang w:val="en-US" w:eastAsia="en-US"/>
        </w:rPr>
        <w:t xml:space="preserve">DOI: </w:t>
      </w:r>
      <w:r w:rsidRPr="00956236">
        <w:rPr>
          <w:rFonts w:ascii="Times New Roman" w:hAnsi="Times New Roman" w:cs="Times New Roman"/>
          <w:sz w:val="28"/>
          <w:szCs w:val="28"/>
          <w:lang w:val="uk-UA"/>
        </w:rPr>
        <w:t>https://doi.org/10.1037/a0018938.</w:t>
      </w:r>
    </w:p>
    <w:p w14:paraId="7A28D6B2" w14:textId="77777777" w:rsidR="00571B42" w:rsidRPr="00956236" w:rsidRDefault="00571B42" w:rsidP="00571B42">
      <w:pPr>
        <w:spacing w:after="0" w:line="360" w:lineRule="auto"/>
        <w:ind w:firstLine="720"/>
        <w:jc w:val="both"/>
        <w:rPr>
          <w:rFonts w:ascii="Times New Roman" w:hAnsi="Times New Roman" w:cs="Times New Roman"/>
          <w:sz w:val="28"/>
          <w:szCs w:val="28"/>
          <w:lang w:val="en-US"/>
        </w:rPr>
      </w:pPr>
      <w:r w:rsidRPr="00956236">
        <w:rPr>
          <w:rFonts w:ascii="Times New Roman" w:hAnsi="Times New Roman" w:cs="Times New Roman"/>
          <w:sz w:val="28"/>
          <w:szCs w:val="28"/>
          <w:lang w:val="uk-UA"/>
        </w:rPr>
        <w:t xml:space="preserve">79. </w:t>
      </w:r>
      <w:proofErr w:type="spellStart"/>
      <w:r w:rsidRPr="00956236">
        <w:rPr>
          <w:rFonts w:ascii="Times New Roman" w:hAnsi="Times New Roman" w:cs="Times New Roman"/>
          <w:sz w:val="28"/>
          <w:szCs w:val="28"/>
          <w:lang w:val="uk-UA"/>
        </w:rPr>
        <w:t>Miao</w:t>
      </w:r>
      <w:proofErr w:type="spellEnd"/>
      <w:r w:rsidRPr="00956236">
        <w:rPr>
          <w:rFonts w:ascii="Times New Roman" w:hAnsi="Times New Roman" w:cs="Times New Roman"/>
          <w:sz w:val="28"/>
          <w:szCs w:val="28"/>
          <w:lang w:val="en-US"/>
        </w:rPr>
        <w:t xml:space="preserve"> Ch., </w:t>
      </w:r>
      <w:proofErr w:type="spellStart"/>
      <w:r w:rsidRPr="00956236">
        <w:rPr>
          <w:rFonts w:ascii="Times New Roman" w:hAnsi="Times New Roman" w:cs="Times New Roman"/>
          <w:sz w:val="28"/>
          <w:szCs w:val="28"/>
          <w:lang w:val="uk-UA"/>
        </w:rPr>
        <w:t>Brewster</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Ch</w:t>
      </w:r>
      <w:proofErr w:type="spellEnd"/>
      <w:r w:rsidRPr="00956236">
        <w:rPr>
          <w:rFonts w:ascii="Times New Roman" w:hAnsi="Times New Roman" w:cs="Times New Roman"/>
          <w:sz w:val="28"/>
          <w:szCs w:val="28"/>
          <w:lang w:val="en-US"/>
        </w:rPr>
        <w:t xml:space="preserve">. </w:t>
      </w:r>
      <w:proofErr w:type="spellStart"/>
      <w:r w:rsidRPr="00956236">
        <w:rPr>
          <w:rFonts w:ascii="Times New Roman" w:hAnsi="Times New Roman" w:cs="Times New Roman"/>
          <w:sz w:val="28"/>
          <w:szCs w:val="28"/>
          <w:lang w:val="uk-UA"/>
        </w:rPr>
        <w:t>Comparative</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human</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resource</w:t>
      </w:r>
      <w:proofErr w:type="spellEnd"/>
      <w:r w:rsidRPr="00956236">
        <w:rPr>
          <w:rFonts w:ascii="Times New Roman" w:hAnsi="Times New Roman" w:cs="Times New Roman"/>
          <w:sz w:val="28"/>
          <w:szCs w:val="28"/>
          <w:lang w:val="uk-UA"/>
        </w:rPr>
        <w:t xml:space="preserve"> </w:t>
      </w:r>
      <w:proofErr w:type="spellStart"/>
      <w:r w:rsidRPr="00956236">
        <w:rPr>
          <w:rFonts w:ascii="Times New Roman" w:hAnsi="Times New Roman" w:cs="Times New Roman"/>
          <w:sz w:val="28"/>
          <w:szCs w:val="28"/>
          <w:lang w:val="uk-UA"/>
        </w:rPr>
        <w:t>management</w:t>
      </w:r>
      <w:proofErr w:type="spellEnd"/>
      <w:r w:rsidRPr="00956236">
        <w:rPr>
          <w:rFonts w:ascii="Times New Roman" w:hAnsi="Times New Roman" w:cs="Times New Roman"/>
          <w:sz w:val="28"/>
          <w:szCs w:val="28"/>
          <w:lang w:val="en-US"/>
        </w:rPr>
        <w:t xml:space="preserve">. </w:t>
      </w:r>
      <w:r w:rsidRPr="00956236">
        <w:rPr>
          <w:rFonts w:ascii="Times New Roman" w:hAnsi="Times New Roman" w:cs="Times New Roman"/>
          <w:sz w:val="28"/>
          <w:szCs w:val="28"/>
          <w:shd w:val="clear" w:color="auto" w:fill="FFFFFF"/>
          <w:lang w:val="en-US"/>
        </w:rPr>
        <w:t>Encyclopedia of International Strategic Management</w:t>
      </w:r>
      <w:r w:rsidRPr="00956236">
        <w:rPr>
          <w:rFonts w:ascii="Times New Roman" w:hAnsi="Times New Roman" w:cs="Times New Roman"/>
          <w:sz w:val="28"/>
          <w:szCs w:val="28"/>
          <w:lang w:val="en-US"/>
        </w:rPr>
        <w:t xml:space="preserve">. </w:t>
      </w:r>
      <w:r w:rsidRPr="00956236">
        <w:rPr>
          <w:rFonts w:ascii="Times New Roman" w:hAnsi="Times New Roman" w:cs="Times New Roman"/>
          <w:sz w:val="28"/>
          <w:szCs w:val="28"/>
          <w:lang w:val="uk-UA"/>
        </w:rPr>
        <w:t>2024</w:t>
      </w:r>
      <w:r w:rsidRPr="00956236">
        <w:rPr>
          <w:rFonts w:ascii="Times New Roman" w:hAnsi="Times New Roman" w:cs="Times New Roman"/>
          <w:sz w:val="28"/>
          <w:szCs w:val="28"/>
          <w:lang w:val="en-US"/>
        </w:rPr>
        <w:t xml:space="preserve">. P. </w:t>
      </w:r>
      <w:r w:rsidRPr="00956236">
        <w:rPr>
          <w:rFonts w:ascii="Times New Roman" w:hAnsi="Times New Roman" w:cs="Times New Roman"/>
          <w:sz w:val="28"/>
          <w:szCs w:val="28"/>
          <w:lang w:val="uk-UA"/>
        </w:rPr>
        <w:t>35–36</w:t>
      </w:r>
      <w:r w:rsidRPr="00956236">
        <w:rPr>
          <w:rFonts w:ascii="Times New Roman" w:hAnsi="Times New Roman" w:cs="Times New Roman"/>
          <w:sz w:val="28"/>
          <w:szCs w:val="28"/>
          <w:lang w:val="en-US"/>
        </w:rPr>
        <w:t xml:space="preserve">. </w:t>
      </w:r>
      <w:r w:rsidRPr="00956236">
        <w:rPr>
          <w:rFonts w:ascii="Times New Roman" w:hAnsi="Times New Roman" w:cs="Times New Roman"/>
          <w:sz w:val="28"/>
          <w:szCs w:val="28"/>
          <w:lang w:val="uk-UA"/>
        </w:rPr>
        <w:t xml:space="preserve">DOI: </w:t>
      </w:r>
      <w:hyperlink r:id="rId50" w:tgtFrame="_blank" w:history="1">
        <w:r w:rsidRPr="00956236">
          <w:rPr>
            <w:rFonts w:ascii="Times New Roman" w:hAnsi="Times New Roman" w:cs="Times New Roman"/>
            <w:sz w:val="28"/>
            <w:szCs w:val="28"/>
            <w:lang w:val="uk-UA"/>
          </w:rPr>
          <w:t>https://doi.org/10.4337/9781800884045.ch10</w:t>
        </w:r>
      </w:hyperlink>
      <w:r w:rsidRPr="00956236">
        <w:rPr>
          <w:rFonts w:ascii="Times New Roman" w:hAnsi="Times New Roman" w:cs="Times New Roman"/>
          <w:sz w:val="28"/>
          <w:szCs w:val="28"/>
          <w:lang w:val="en-US"/>
        </w:rPr>
        <w:t>.</w:t>
      </w:r>
    </w:p>
    <w:p w14:paraId="0BC16E9E" w14:textId="250A8AB9" w:rsidR="00571B42" w:rsidRPr="00956236" w:rsidRDefault="00571B42" w:rsidP="00571B42">
      <w:pPr>
        <w:spacing w:after="0" w:line="360" w:lineRule="auto"/>
        <w:ind w:firstLine="720"/>
        <w:jc w:val="both"/>
        <w:rPr>
          <w:rFonts w:ascii="Times New Roman" w:hAnsi="Times New Roman" w:cs="Times New Roman"/>
          <w:sz w:val="28"/>
          <w:szCs w:val="28"/>
          <w:lang w:val="en-US"/>
        </w:rPr>
      </w:pPr>
      <w:r w:rsidRPr="00956236">
        <w:rPr>
          <w:rFonts w:ascii="Times New Roman" w:hAnsi="Times New Roman" w:cs="Times New Roman"/>
          <w:sz w:val="28"/>
          <w:szCs w:val="28"/>
          <w:lang w:val="en-US"/>
        </w:rPr>
        <w:t xml:space="preserve">80. Gould-Williams J., Mohamed R. A Comparative Study of the Effects of </w:t>
      </w:r>
      <w:r w:rsidR="00956236">
        <w:rPr>
          <w:rFonts w:ascii="Times New Roman" w:hAnsi="Times New Roman" w:cs="Times New Roman"/>
          <w:sz w:val="28"/>
          <w:szCs w:val="28"/>
          <w:lang w:val="uk-UA"/>
        </w:rPr>
        <w:t>«</w:t>
      </w:r>
      <w:r w:rsidRPr="00956236">
        <w:rPr>
          <w:rFonts w:ascii="Times New Roman" w:hAnsi="Times New Roman" w:cs="Times New Roman"/>
          <w:sz w:val="28"/>
          <w:szCs w:val="28"/>
          <w:lang w:val="en-US"/>
        </w:rPr>
        <w:t>Best Practice</w:t>
      </w:r>
      <w:r w:rsidR="00956236">
        <w:rPr>
          <w:rFonts w:ascii="Times New Roman" w:hAnsi="Times New Roman" w:cs="Times New Roman"/>
          <w:sz w:val="28"/>
          <w:szCs w:val="28"/>
          <w:lang w:val="uk-UA"/>
        </w:rPr>
        <w:t>»</w:t>
      </w:r>
      <w:r w:rsidRPr="00956236">
        <w:rPr>
          <w:rFonts w:ascii="Times New Roman" w:hAnsi="Times New Roman" w:cs="Times New Roman"/>
          <w:sz w:val="28"/>
          <w:szCs w:val="28"/>
          <w:lang w:val="en-US"/>
        </w:rPr>
        <w:t xml:space="preserve"> HRM on Worker Outcomes in Malaysia and England Local Government. International Journal of Human Resource Management. 2010. </w:t>
      </w:r>
      <w:r w:rsidRPr="00956236">
        <w:rPr>
          <w:rFonts w:ascii="Times New Roman" w:hAnsi="Times New Roman" w:cs="Times New Roman"/>
          <w:sz w:val="28"/>
          <w:szCs w:val="28"/>
          <w:lang w:val="uk-UA"/>
        </w:rPr>
        <w:t xml:space="preserve">№ </w:t>
      </w:r>
      <w:r w:rsidRPr="00956236">
        <w:rPr>
          <w:rFonts w:ascii="Times New Roman" w:hAnsi="Times New Roman" w:cs="Times New Roman"/>
          <w:sz w:val="28"/>
          <w:szCs w:val="28"/>
          <w:lang w:val="en-US"/>
        </w:rPr>
        <w:t xml:space="preserve">21. </w:t>
      </w:r>
      <w:r w:rsidRPr="00956236">
        <w:rPr>
          <w:rFonts w:ascii="Times New Roman" w:hAnsi="Times New Roman" w:cs="Times New Roman"/>
          <w:sz w:val="28"/>
          <w:szCs w:val="28"/>
          <w:lang w:val="uk-UA"/>
        </w:rPr>
        <w:t xml:space="preserve">Р. </w:t>
      </w:r>
      <w:r w:rsidRPr="00956236">
        <w:rPr>
          <w:rFonts w:ascii="Times New Roman" w:hAnsi="Times New Roman" w:cs="Times New Roman"/>
          <w:sz w:val="28"/>
          <w:szCs w:val="28"/>
          <w:lang w:val="en-US"/>
        </w:rPr>
        <w:t xml:space="preserve">653-675. </w:t>
      </w:r>
      <w:r w:rsidRPr="00956236">
        <w:rPr>
          <w:rFonts w:ascii="Times New Roman" w:hAnsi="Times New Roman" w:cs="Times New Roman"/>
          <w:sz w:val="28"/>
          <w:szCs w:val="28"/>
          <w:lang w:val="uk-UA"/>
        </w:rPr>
        <w:t>DOI: https://doi.org/</w:t>
      </w:r>
      <w:r w:rsidRPr="00956236">
        <w:rPr>
          <w:rFonts w:ascii="Times New Roman" w:hAnsi="Times New Roman" w:cs="Times New Roman"/>
          <w:sz w:val="28"/>
          <w:szCs w:val="28"/>
          <w:lang w:val="en-US"/>
        </w:rPr>
        <w:t>10.1080/09585191003658821.</w:t>
      </w:r>
    </w:p>
    <w:p w14:paraId="16BD51EF" w14:textId="77777777" w:rsidR="00571B42"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81.</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Ferner</w:t>
      </w:r>
      <w:proofErr w:type="spellEnd"/>
      <w:r w:rsidRPr="00877A9E">
        <w:rPr>
          <w:rFonts w:ascii="Times New Roman" w:hAnsi="Times New Roman" w:cs="Times New Roman"/>
          <w:sz w:val="28"/>
          <w:szCs w:val="28"/>
          <w:lang w:val="en-US"/>
        </w:rPr>
        <w:t xml:space="preserve"> A</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Tregaskis</w:t>
      </w:r>
      <w:proofErr w:type="spellEnd"/>
      <w:r>
        <w:rPr>
          <w:rFonts w:ascii="Times New Roman" w:hAnsi="Times New Roman" w:cs="Times New Roman"/>
          <w:sz w:val="28"/>
          <w:szCs w:val="28"/>
          <w:lang w:val="en-US"/>
        </w:rPr>
        <w:t xml:space="preserve"> O., Edwards P., Edwards T., </w:t>
      </w:r>
      <w:proofErr w:type="spellStart"/>
      <w:r>
        <w:rPr>
          <w:rFonts w:ascii="Times New Roman" w:hAnsi="Times New Roman" w:cs="Times New Roman"/>
          <w:sz w:val="28"/>
          <w:szCs w:val="28"/>
          <w:lang w:val="en-US"/>
        </w:rPr>
        <w:t>Marginson</w:t>
      </w:r>
      <w:proofErr w:type="spellEnd"/>
      <w:r>
        <w:rPr>
          <w:rFonts w:ascii="Times New Roman" w:hAnsi="Times New Roman" w:cs="Times New Roman"/>
          <w:sz w:val="28"/>
          <w:szCs w:val="28"/>
          <w:lang w:val="en-US"/>
        </w:rPr>
        <w:t xml:space="preserve"> P., </w:t>
      </w:r>
      <w:r w:rsidRPr="005D1B01">
        <w:rPr>
          <w:rFonts w:ascii="Times New Roman" w:hAnsi="Times New Roman" w:cs="Times New Roman"/>
          <w:sz w:val="28"/>
          <w:szCs w:val="28"/>
          <w:lang w:val="en-US"/>
        </w:rPr>
        <w:t xml:space="preserve">Duncan </w:t>
      </w:r>
      <w:r>
        <w:rPr>
          <w:rFonts w:ascii="Times New Roman" w:hAnsi="Times New Roman" w:cs="Times New Roman"/>
          <w:sz w:val="28"/>
          <w:szCs w:val="28"/>
          <w:lang w:val="en-US"/>
        </w:rPr>
        <w:t xml:space="preserve">A., Meyer M. </w:t>
      </w:r>
      <w:r w:rsidRPr="00877A9E">
        <w:rPr>
          <w:rFonts w:ascii="Times New Roman" w:hAnsi="Times New Roman" w:cs="Times New Roman"/>
          <w:sz w:val="28"/>
          <w:szCs w:val="28"/>
          <w:lang w:val="en-US"/>
        </w:rPr>
        <w:t xml:space="preserve">HRM structures and subsidiary discretion in foreign multinationals in the UK. </w:t>
      </w:r>
      <w:r w:rsidRPr="00956236">
        <w:rPr>
          <w:rFonts w:ascii="Times New Roman" w:hAnsi="Times New Roman" w:cs="Times New Roman"/>
          <w:iCs/>
          <w:sz w:val="28"/>
          <w:szCs w:val="28"/>
          <w:lang w:val="en-US"/>
        </w:rPr>
        <w:t>The International Journal of Human Resource Management.</w:t>
      </w:r>
      <w:r w:rsidRPr="00877A9E">
        <w:rPr>
          <w:rFonts w:ascii="Times New Roman" w:hAnsi="Times New Roman" w:cs="Times New Roman"/>
          <w:sz w:val="28"/>
          <w:szCs w:val="28"/>
          <w:lang w:val="en-US"/>
        </w:rPr>
        <w:t xml:space="preserve"> 2011</w:t>
      </w:r>
      <w:r>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 xml:space="preserve">№ </w:t>
      </w:r>
      <w:r w:rsidRPr="00877A9E">
        <w:rPr>
          <w:rFonts w:ascii="Times New Roman" w:hAnsi="Times New Roman" w:cs="Times New Roman"/>
          <w:sz w:val="28"/>
          <w:szCs w:val="28"/>
          <w:lang w:val="en-US"/>
        </w:rPr>
        <w:t xml:space="preserve">22. </w:t>
      </w:r>
      <w:r>
        <w:rPr>
          <w:rFonts w:ascii="Times New Roman" w:hAnsi="Times New Roman" w:cs="Times New Roman"/>
          <w:sz w:val="28"/>
          <w:szCs w:val="28"/>
        </w:rPr>
        <w:t>Р</w:t>
      </w:r>
      <w:r w:rsidRPr="005D1B01">
        <w:rPr>
          <w:rFonts w:ascii="Times New Roman" w:hAnsi="Times New Roman" w:cs="Times New Roman"/>
          <w:sz w:val="28"/>
          <w:szCs w:val="28"/>
          <w:lang w:val="en-US"/>
        </w:rPr>
        <w:t xml:space="preserve">. </w:t>
      </w:r>
      <w:r w:rsidRPr="00877A9E">
        <w:rPr>
          <w:rFonts w:ascii="Times New Roman" w:hAnsi="Times New Roman" w:cs="Times New Roman"/>
          <w:sz w:val="28"/>
          <w:szCs w:val="28"/>
          <w:lang w:val="en-US"/>
        </w:rPr>
        <w:t xml:space="preserve">483-509. </w:t>
      </w:r>
      <w:r w:rsidRPr="00597DDA">
        <w:rPr>
          <w:rFonts w:ascii="Times New Roman" w:hAnsi="Times New Roman" w:cs="Times New Roman"/>
          <w:sz w:val="28"/>
          <w:szCs w:val="28"/>
          <w:lang w:val="uk-UA"/>
        </w:rPr>
        <w:t>DOI:</w:t>
      </w:r>
      <w:r>
        <w:rPr>
          <w:rFonts w:ascii="Times New Roman" w:hAnsi="Times New Roman" w:cs="Times New Roman"/>
          <w:sz w:val="28"/>
          <w:szCs w:val="28"/>
          <w:lang w:val="uk-UA"/>
        </w:rPr>
        <w:t xml:space="preserve"> </w:t>
      </w:r>
      <w:r w:rsidRPr="00877A9E">
        <w:rPr>
          <w:rFonts w:ascii="Times New Roman" w:hAnsi="Times New Roman" w:cs="Times New Roman"/>
          <w:sz w:val="28"/>
          <w:szCs w:val="28"/>
          <w:lang w:val="uk-UA"/>
        </w:rPr>
        <w:t>https://doi.org/</w:t>
      </w:r>
      <w:r w:rsidRPr="00877A9E">
        <w:rPr>
          <w:rFonts w:ascii="Times New Roman" w:hAnsi="Times New Roman" w:cs="Times New Roman"/>
          <w:sz w:val="28"/>
          <w:szCs w:val="28"/>
          <w:lang w:val="en-US"/>
        </w:rPr>
        <w:t>10.1080/09585192.2011.543628.</w:t>
      </w:r>
    </w:p>
    <w:p w14:paraId="77FCE994"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sz w:val="28"/>
          <w:szCs w:val="28"/>
          <w:lang w:val="en-US"/>
        </w:rPr>
      </w:pPr>
      <w:r w:rsidRPr="005D1B01">
        <w:rPr>
          <w:rFonts w:ascii="Times New Roman" w:hAnsi="Times New Roman" w:cs="Times New Roman"/>
          <w:sz w:val="28"/>
          <w:szCs w:val="28"/>
          <w:lang w:val="en-US"/>
        </w:rPr>
        <w:t xml:space="preserve">82. </w:t>
      </w:r>
      <w:proofErr w:type="spellStart"/>
      <w:r w:rsidRPr="00E45934">
        <w:rPr>
          <w:rFonts w:ascii="Times New Roman" w:hAnsi="Times New Roman" w:cs="Times New Roman"/>
          <w:sz w:val="28"/>
          <w:szCs w:val="28"/>
          <w:lang w:val="en-US"/>
        </w:rPr>
        <w:t>Elenkov</w:t>
      </w:r>
      <w:proofErr w:type="spellEnd"/>
      <w:r w:rsidRPr="00467975">
        <w:rPr>
          <w:rFonts w:ascii="Times New Roman" w:hAnsi="Times New Roman" w:cs="Times New Roman"/>
          <w:sz w:val="28"/>
          <w:szCs w:val="28"/>
          <w:lang w:val="en-US"/>
        </w:rPr>
        <w:t xml:space="preserve"> </w:t>
      </w:r>
      <w:r>
        <w:rPr>
          <w:rFonts w:ascii="Times New Roman" w:hAnsi="Times New Roman" w:cs="Times New Roman"/>
          <w:sz w:val="28"/>
          <w:szCs w:val="28"/>
          <w:lang w:val="en-US"/>
        </w:rPr>
        <w:t>D</w:t>
      </w:r>
      <w:r w:rsidRPr="00E45934">
        <w:rPr>
          <w:rFonts w:ascii="Times New Roman" w:hAnsi="Times New Roman" w:cs="Times New Roman"/>
          <w:sz w:val="28"/>
          <w:szCs w:val="28"/>
          <w:lang w:val="en-US"/>
        </w:rPr>
        <w:t>. Experiential Exercise with Multinational Student Teams: Researching Together a Multinational Corporation and Developing Jointly a Strategic Marketing Plan for IT Using Blackboard</w:t>
      </w:r>
      <w:r>
        <w:rPr>
          <w:rFonts w:ascii="Times New Roman" w:hAnsi="Times New Roman" w:cs="Times New Roman"/>
          <w:sz w:val="28"/>
          <w:szCs w:val="28"/>
          <w:lang w:val="en-US"/>
        </w:rPr>
        <w:t xml:space="preserve">. </w:t>
      </w:r>
      <w:r w:rsidRPr="00956236">
        <w:rPr>
          <w:rFonts w:ascii="Times New Roman" w:hAnsi="Times New Roman" w:cs="Times New Roman"/>
          <w:iCs/>
          <w:sz w:val="28"/>
          <w:szCs w:val="28"/>
          <w:lang w:val="en-US"/>
        </w:rPr>
        <w:t xml:space="preserve">Developments in Business Simulation and Experiential Learning. 2014. Vol. 41. P. 234-235. </w:t>
      </w:r>
    </w:p>
    <w:p w14:paraId="3C99D5F7"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sz w:val="28"/>
          <w:szCs w:val="28"/>
          <w:lang w:val="en-US"/>
        </w:rPr>
      </w:pPr>
      <w:r w:rsidRPr="00956236">
        <w:rPr>
          <w:rFonts w:ascii="Times New Roman" w:hAnsi="Times New Roman" w:cs="Times New Roman"/>
          <w:iCs/>
          <w:sz w:val="28"/>
          <w:szCs w:val="28"/>
          <w:lang w:val="en-US"/>
        </w:rPr>
        <w:t>83. Martinez M</w:t>
      </w:r>
      <w:r w:rsidRPr="00956236">
        <w:rPr>
          <w:rFonts w:ascii="Times New Roman" w:hAnsi="Times New Roman" w:cs="Times New Roman"/>
          <w:iCs/>
          <w:sz w:val="28"/>
          <w:szCs w:val="28"/>
          <w:lang w:val="uk-UA"/>
        </w:rPr>
        <w:t>.</w:t>
      </w:r>
      <w:r w:rsidRPr="00956236">
        <w:rPr>
          <w:rFonts w:ascii="Times New Roman" w:hAnsi="Times New Roman" w:cs="Times New Roman"/>
          <w:iCs/>
          <w:sz w:val="28"/>
          <w:szCs w:val="28"/>
          <w:lang w:val="en-US"/>
        </w:rPr>
        <w:t xml:space="preserve"> L. The Socialist Ideas of the British Left's Alternative Economic Strategy. </w:t>
      </w:r>
      <w:proofErr w:type="spellStart"/>
      <w:r w:rsidRPr="00956236">
        <w:rPr>
          <w:rFonts w:ascii="Times New Roman" w:hAnsi="Times New Roman" w:cs="Times New Roman"/>
          <w:iCs/>
          <w:sz w:val="28"/>
          <w:szCs w:val="28"/>
          <w:lang w:val="en-US"/>
        </w:rPr>
        <w:t>Labour</w:t>
      </w:r>
      <w:proofErr w:type="spellEnd"/>
      <w:r w:rsidRPr="00956236">
        <w:rPr>
          <w:rFonts w:ascii="Times New Roman" w:hAnsi="Times New Roman" w:cs="Times New Roman"/>
          <w:iCs/>
          <w:sz w:val="28"/>
          <w:szCs w:val="28"/>
          <w:lang w:val="en-US"/>
        </w:rPr>
        <w:t xml:space="preserve"> History Review. 2021. Vol. 86. Issue 1. P. 160-163.</w:t>
      </w:r>
    </w:p>
    <w:p w14:paraId="74B240AA"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sz w:val="28"/>
          <w:szCs w:val="28"/>
          <w:lang w:val="uk-UA"/>
        </w:rPr>
      </w:pPr>
      <w:r w:rsidRPr="00956236">
        <w:rPr>
          <w:rFonts w:ascii="Times New Roman" w:hAnsi="Times New Roman" w:cs="Times New Roman"/>
          <w:iCs/>
          <w:sz w:val="28"/>
          <w:szCs w:val="28"/>
          <w:lang w:val="en-US"/>
        </w:rPr>
        <w:t xml:space="preserve">84. Rowley C., Bae J. Globalization and Transformation of Human Resource Management in South Korea. International Journal of Human Resource Management. 2002. </w:t>
      </w:r>
      <w:r w:rsidRPr="00956236">
        <w:rPr>
          <w:rFonts w:ascii="Times New Roman" w:hAnsi="Times New Roman" w:cs="Times New Roman"/>
          <w:iCs/>
          <w:sz w:val="28"/>
          <w:szCs w:val="28"/>
          <w:lang w:val="uk-UA"/>
        </w:rPr>
        <w:t xml:space="preserve">№ </w:t>
      </w:r>
      <w:r w:rsidRPr="00956236">
        <w:rPr>
          <w:rFonts w:ascii="Times New Roman" w:hAnsi="Times New Roman" w:cs="Times New Roman"/>
          <w:iCs/>
          <w:sz w:val="28"/>
          <w:szCs w:val="28"/>
          <w:lang w:val="en-US"/>
        </w:rPr>
        <w:t xml:space="preserve">13. Р. 522-549. </w:t>
      </w:r>
      <w:r w:rsidRPr="00956236">
        <w:rPr>
          <w:rFonts w:ascii="Times New Roman" w:hAnsi="Times New Roman" w:cs="Times New Roman"/>
          <w:iCs/>
          <w:sz w:val="28"/>
          <w:szCs w:val="28"/>
          <w:lang w:val="uk-UA"/>
        </w:rPr>
        <w:t xml:space="preserve">DOI: </w:t>
      </w:r>
      <w:r w:rsidRPr="00956236">
        <w:rPr>
          <w:rFonts w:ascii="Times New Roman" w:hAnsi="Times New Roman" w:cs="Times New Roman"/>
          <w:iCs/>
          <w:sz w:val="28"/>
          <w:szCs w:val="28"/>
          <w:lang w:val="en-US"/>
        </w:rPr>
        <w:t>https://doi.org/10.1080/09585190110111512</w:t>
      </w:r>
      <w:r w:rsidRPr="00956236">
        <w:rPr>
          <w:rFonts w:ascii="Times New Roman" w:hAnsi="Times New Roman" w:cs="Times New Roman"/>
          <w:iCs/>
          <w:sz w:val="28"/>
          <w:szCs w:val="28"/>
          <w:lang w:val="uk-UA"/>
        </w:rPr>
        <w:t>.</w:t>
      </w:r>
    </w:p>
    <w:p w14:paraId="7567B516"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sz w:val="28"/>
          <w:szCs w:val="28"/>
          <w:lang w:val="uk-UA"/>
        </w:rPr>
      </w:pPr>
      <w:r w:rsidRPr="00956236">
        <w:rPr>
          <w:rFonts w:ascii="Times New Roman" w:hAnsi="Times New Roman" w:cs="Times New Roman"/>
          <w:iCs/>
          <w:sz w:val="28"/>
          <w:szCs w:val="28"/>
          <w:lang w:val="uk-UA"/>
        </w:rPr>
        <w:t xml:space="preserve">85. </w:t>
      </w:r>
      <w:proofErr w:type="spellStart"/>
      <w:r w:rsidRPr="00956236">
        <w:rPr>
          <w:rFonts w:ascii="Times New Roman" w:hAnsi="Times New Roman" w:cs="Times New Roman"/>
          <w:iCs/>
          <w:sz w:val="28"/>
          <w:szCs w:val="28"/>
          <w:lang w:val="uk-UA"/>
        </w:rPr>
        <w:t>Guirdham</w:t>
      </w:r>
      <w:proofErr w:type="spellEnd"/>
      <w:r w:rsidRPr="00956236">
        <w:rPr>
          <w:rFonts w:ascii="Times New Roman" w:hAnsi="Times New Roman" w:cs="Times New Roman"/>
          <w:iCs/>
          <w:sz w:val="28"/>
          <w:szCs w:val="28"/>
          <w:lang w:val="uk-UA"/>
        </w:rPr>
        <w:t xml:space="preserve"> M. </w:t>
      </w:r>
      <w:proofErr w:type="spellStart"/>
      <w:r w:rsidRPr="00956236">
        <w:rPr>
          <w:rFonts w:ascii="Times New Roman" w:hAnsi="Times New Roman" w:cs="Times New Roman"/>
          <w:iCs/>
          <w:sz w:val="28"/>
          <w:szCs w:val="28"/>
          <w:lang w:val="uk-UA"/>
        </w:rPr>
        <w:t>Communicating</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Across</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Cultures</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at</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Work</w:t>
      </w:r>
      <w:proofErr w:type="spellEnd"/>
      <w:r w:rsidRPr="00956236">
        <w:rPr>
          <w:rFonts w:ascii="Times New Roman" w:hAnsi="Times New Roman" w:cs="Times New Roman"/>
          <w:iCs/>
          <w:sz w:val="28"/>
          <w:szCs w:val="28"/>
          <w:lang w:val="uk-UA"/>
        </w:rPr>
        <w:t>. 2011</w:t>
      </w:r>
      <w:r w:rsidRPr="00956236">
        <w:rPr>
          <w:rFonts w:ascii="Times New Roman" w:hAnsi="Times New Roman" w:cs="Times New Roman"/>
          <w:iCs/>
          <w:sz w:val="28"/>
          <w:szCs w:val="28"/>
          <w:lang w:val="en-US"/>
        </w:rPr>
        <w:t xml:space="preserve">. 360 p. </w:t>
      </w:r>
      <w:r w:rsidRPr="00956236">
        <w:rPr>
          <w:rFonts w:ascii="Times New Roman" w:hAnsi="Times New Roman" w:cs="Times New Roman"/>
          <w:iCs/>
          <w:sz w:val="28"/>
          <w:szCs w:val="28"/>
          <w:lang w:val="uk-UA"/>
        </w:rPr>
        <w:t xml:space="preserve">DOI: </w:t>
      </w:r>
      <w:r w:rsidRPr="00956236">
        <w:rPr>
          <w:rFonts w:ascii="Times New Roman" w:hAnsi="Times New Roman" w:cs="Times New Roman"/>
          <w:iCs/>
          <w:sz w:val="28"/>
          <w:szCs w:val="28"/>
          <w:lang w:val="en-US"/>
        </w:rPr>
        <w:t>https://doi.org/</w:t>
      </w:r>
      <w:r w:rsidRPr="00956236">
        <w:rPr>
          <w:rFonts w:ascii="Times New Roman" w:hAnsi="Times New Roman" w:cs="Times New Roman"/>
          <w:iCs/>
          <w:sz w:val="28"/>
          <w:szCs w:val="28"/>
          <w:lang w:val="uk-UA"/>
        </w:rPr>
        <w:t>10.1057/978-1-137-52637-3.</w:t>
      </w:r>
    </w:p>
    <w:p w14:paraId="269B0C99"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sz w:val="28"/>
          <w:szCs w:val="28"/>
          <w:lang w:val="en-US"/>
        </w:rPr>
      </w:pPr>
      <w:r w:rsidRPr="00956236">
        <w:rPr>
          <w:rFonts w:ascii="Times New Roman" w:hAnsi="Times New Roman" w:cs="Times New Roman"/>
          <w:iCs/>
          <w:sz w:val="28"/>
          <w:szCs w:val="28"/>
          <w:lang w:val="en-US"/>
        </w:rPr>
        <w:t xml:space="preserve">86. Soskice D., Hall P. Varieties of Capitalism: The Institutional Foundations of Comparative Advantage. </w:t>
      </w:r>
      <w:proofErr w:type="spellStart"/>
      <w:r w:rsidRPr="00956236">
        <w:rPr>
          <w:rFonts w:ascii="Times New Roman" w:eastAsia="Times New Roman" w:hAnsi="Times New Roman" w:cs="Times New Roman"/>
          <w:iCs/>
          <w:sz w:val="28"/>
          <w:szCs w:val="28"/>
          <w:lang w:val="uk-UA" w:eastAsia="uk-UA"/>
        </w:rPr>
        <w:t>Academy</w:t>
      </w:r>
      <w:proofErr w:type="spellEnd"/>
      <w:r w:rsidRPr="00956236">
        <w:rPr>
          <w:rFonts w:ascii="Times New Roman" w:eastAsia="Times New Roman" w:hAnsi="Times New Roman" w:cs="Times New Roman"/>
          <w:iCs/>
          <w:sz w:val="28"/>
          <w:szCs w:val="28"/>
          <w:lang w:val="uk-UA" w:eastAsia="uk-UA"/>
        </w:rPr>
        <w:t xml:space="preserve"> </w:t>
      </w:r>
      <w:proofErr w:type="spellStart"/>
      <w:r w:rsidRPr="00956236">
        <w:rPr>
          <w:rFonts w:ascii="Times New Roman" w:eastAsia="Times New Roman" w:hAnsi="Times New Roman" w:cs="Times New Roman"/>
          <w:iCs/>
          <w:sz w:val="28"/>
          <w:szCs w:val="28"/>
          <w:lang w:val="uk-UA" w:eastAsia="uk-UA"/>
        </w:rPr>
        <w:t>of</w:t>
      </w:r>
      <w:proofErr w:type="spellEnd"/>
      <w:r w:rsidRPr="00956236">
        <w:rPr>
          <w:rFonts w:ascii="Times New Roman" w:eastAsia="Times New Roman" w:hAnsi="Times New Roman" w:cs="Times New Roman"/>
          <w:iCs/>
          <w:sz w:val="28"/>
          <w:szCs w:val="28"/>
          <w:lang w:val="uk-UA" w:eastAsia="uk-UA"/>
        </w:rPr>
        <w:t xml:space="preserve"> </w:t>
      </w:r>
      <w:proofErr w:type="spellStart"/>
      <w:r w:rsidRPr="00956236">
        <w:rPr>
          <w:rFonts w:ascii="Times New Roman" w:eastAsia="Times New Roman" w:hAnsi="Times New Roman" w:cs="Times New Roman"/>
          <w:iCs/>
          <w:sz w:val="28"/>
          <w:szCs w:val="28"/>
          <w:lang w:val="uk-UA" w:eastAsia="uk-UA"/>
        </w:rPr>
        <w:t>Management</w:t>
      </w:r>
      <w:proofErr w:type="spellEnd"/>
      <w:r w:rsidRPr="00956236">
        <w:rPr>
          <w:rFonts w:ascii="Times New Roman" w:eastAsia="Times New Roman" w:hAnsi="Times New Roman" w:cs="Times New Roman"/>
          <w:iCs/>
          <w:sz w:val="28"/>
          <w:szCs w:val="28"/>
          <w:lang w:val="uk-UA" w:eastAsia="uk-UA"/>
        </w:rPr>
        <w:t xml:space="preserve"> </w:t>
      </w:r>
      <w:proofErr w:type="spellStart"/>
      <w:r w:rsidRPr="00956236">
        <w:rPr>
          <w:rFonts w:ascii="Times New Roman" w:eastAsia="Times New Roman" w:hAnsi="Times New Roman" w:cs="Times New Roman"/>
          <w:iCs/>
          <w:sz w:val="28"/>
          <w:szCs w:val="28"/>
          <w:lang w:val="uk-UA" w:eastAsia="uk-UA"/>
        </w:rPr>
        <w:t>Review</w:t>
      </w:r>
      <w:proofErr w:type="spellEnd"/>
      <w:r w:rsidRPr="00956236">
        <w:rPr>
          <w:rFonts w:ascii="Times New Roman" w:hAnsi="Times New Roman" w:cs="Times New Roman"/>
          <w:iCs/>
          <w:sz w:val="28"/>
          <w:szCs w:val="28"/>
          <w:lang w:val="en-US"/>
        </w:rPr>
        <w:t xml:space="preserve">. Peter Hall and David Soskice (eds). 2001. Vol. 28. P. 891-894. </w:t>
      </w:r>
      <w:r w:rsidRPr="00956236">
        <w:rPr>
          <w:rFonts w:ascii="Times New Roman" w:hAnsi="Times New Roman" w:cs="Times New Roman"/>
          <w:iCs/>
          <w:sz w:val="28"/>
          <w:szCs w:val="28"/>
          <w:lang w:val="uk-UA"/>
        </w:rPr>
        <w:t xml:space="preserve">DOI: </w:t>
      </w:r>
      <w:r w:rsidRPr="00956236">
        <w:rPr>
          <w:rFonts w:ascii="Times New Roman" w:hAnsi="Times New Roman" w:cs="Times New Roman"/>
          <w:iCs/>
          <w:sz w:val="28"/>
          <w:szCs w:val="28"/>
          <w:lang w:val="en-US"/>
        </w:rPr>
        <w:t xml:space="preserve">https://doi.org/10.2307/30040740. </w:t>
      </w:r>
    </w:p>
    <w:p w14:paraId="253F09F3"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sz w:val="28"/>
          <w:szCs w:val="28"/>
          <w:lang w:val="en-US"/>
        </w:rPr>
      </w:pPr>
      <w:r w:rsidRPr="00956236">
        <w:rPr>
          <w:rFonts w:ascii="Times New Roman" w:hAnsi="Times New Roman" w:cs="Times New Roman"/>
          <w:iCs/>
          <w:sz w:val="28"/>
          <w:szCs w:val="28"/>
          <w:lang w:val="en-US"/>
        </w:rPr>
        <w:t xml:space="preserve">87. Bryson A., </w:t>
      </w:r>
      <w:proofErr w:type="spellStart"/>
      <w:r w:rsidRPr="00956236">
        <w:rPr>
          <w:rFonts w:ascii="Times New Roman" w:hAnsi="Times New Roman" w:cs="Times New Roman"/>
          <w:iCs/>
          <w:sz w:val="28"/>
          <w:szCs w:val="28"/>
          <w:lang w:val="en-US"/>
        </w:rPr>
        <w:t>Frege</w:t>
      </w:r>
      <w:proofErr w:type="spellEnd"/>
      <w:r w:rsidRPr="00956236">
        <w:rPr>
          <w:rFonts w:ascii="Times New Roman" w:hAnsi="Times New Roman" w:cs="Times New Roman"/>
          <w:iCs/>
          <w:sz w:val="28"/>
          <w:szCs w:val="28"/>
          <w:lang w:val="en-US"/>
        </w:rPr>
        <w:t xml:space="preserve"> C. The Importance of Comparative Workplace Employment Relations Studies. British Journal of Industrial Relations. 2010. Vol. 48. Issue 2. P. 231-234. </w:t>
      </w:r>
      <w:r w:rsidRPr="00956236">
        <w:rPr>
          <w:rFonts w:ascii="Times New Roman" w:hAnsi="Times New Roman" w:cs="Times New Roman"/>
          <w:iCs/>
          <w:sz w:val="28"/>
          <w:szCs w:val="28"/>
          <w:lang w:val="uk-UA"/>
        </w:rPr>
        <w:t xml:space="preserve">DOI: </w:t>
      </w:r>
      <w:r w:rsidRPr="00956236">
        <w:rPr>
          <w:rFonts w:ascii="Times New Roman" w:hAnsi="Times New Roman" w:cs="Times New Roman"/>
          <w:iCs/>
          <w:sz w:val="28"/>
          <w:szCs w:val="28"/>
          <w:lang w:val="en-US"/>
        </w:rPr>
        <w:t>https://doi.org/10.1111/j.1467-8543.2010.00790.x.</w:t>
      </w:r>
    </w:p>
    <w:p w14:paraId="7E6D63E0" w14:textId="207891C2"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sz w:val="28"/>
          <w:szCs w:val="28"/>
          <w:lang w:val="en-US"/>
        </w:rPr>
      </w:pPr>
      <w:r w:rsidRPr="00956236">
        <w:rPr>
          <w:rFonts w:ascii="Times New Roman" w:hAnsi="Times New Roman" w:cs="Times New Roman"/>
          <w:iCs/>
          <w:sz w:val="28"/>
          <w:szCs w:val="28"/>
          <w:lang w:val="en-US"/>
        </w:rPr>
        <w:t xml:space="preserve">88. </w:t>
      </w:r>
      <w:proofErr w:type="spellStart"/>
      <w:r w:rsidRPr="00956236">
        <w:rPr>
          <w:rFonts w:ascii="Times New Roman" w:hAnsi="Times New Roman" w:cs="Times New Roman"/>
          <w:iCs/>
          <w:sz w:val="28"/>
          <w:szCs w:val="28"/>
          <w:lang w:val="uk-UA"/>
        </w:rPr>
        <w:t>Clark</w:t>
      </w:r>
      <w:proofErr w:type="spellEnd"/>
      <w:r w:rsidRPr="00956236">
        <w:rPr>
          <w:rFonts w:ascii="Times New Roman" w:hAnsi="Times New Roman" w:cs="Times New Roman"/>
          <w:iCs/>
          <w:sz w:val="28"/>
          <w:szCs w:val="28"/>
          <w:lang w:val="en-US"/>
        </w:rPr>
        <w:t xml:space="preserve"> T., </w:t>
      </w:r>
      <w:proofErr w:type="spellStart"/>
      <w:r w:rsidRPr="00956236">
        <w:rPr>
          <w:rFonts w:ascii="Times New Roman" w:hAnsi="Times New Roman" w:cs="Times New Roman"/>
          <w:iCs/>
          <w:sz w:val="28"/>
          <w:szCs w:val="28"/>
          <w:lang w:val="uk-UA"/>
        </w:rPr>
        <w:t>Pugh</w:t>
      </w:r>
      <w:proofErr w:type="spellEnd"/>
      <w:r w:rsidRPr="00956236">
        <w:rPr>
          <w:rFonts w:ascii="Times New Roman" w:hAnsi="Times New Roman" w:cs="Times New Roman"/>
          <w:iCs/>
          <w:sz w:val="28"/>
          <w:szCs w:val="28"/>
          <w:lang w:val="en-US"/>
        </w:rPr>
        <w:t xml:space="preserve"> D. Similarities and Differences in European Conceptions of Human Resource Management. International Studies of Management and Organization. 2020. № 29. </w:t>
      </w:r>
      <w:r w:rsidRPr="00956236">
        <w:rPr>
          <w:rFonts w:ascii="Times New Roman" w:hAnsi="Times New Roman" w:cs="Times New Roman"/>
          <w:iCs/>
          <w:sz w:val="28"/>
          <w:szCs w:val="28"/>
        </w:rPr>
        <w:t>Р</w:t>
      </w:r>
      <w:r w:rsidRPr="00956236">
        <w:rPr>
          <w:rFonts w:ascii="Times New Roman" w:hAnsi="Times New Roman" w:cs="Times New Roman"/>
          <w:iCs/>
          <w:sz w:val="28"/>
          <w:szCs w:val="28"/>
          <w:lang w:val="en-US"/>
        </w:rPr>
        <w:t xml:space="preserve">. 84-100. </w:t>
      </w:r>
    </w:p>
    <w:p w14:paraId="459D75D8"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sz w:val="28"/>
          <w:szCs w:val="28"/>
          <w:lang w:val="uk-UA"/>
        </w:rPr>
      </w:pPr>
      <w:r w:rsidRPr="00956236">
        <w:rPr>
          <w:rFonts w:ascii="Times New Roman" w:hAnsi="Times New Roman" w:cs="Times New Roman"/>
          <w:iCs/>
          <w:sz w:val="28"/>
          <w:szCs w:val="28"/>
          <w:lang w:val="uk-UA"/>
        </w:rPr>
        <w:t xml:space="preserve">89. </w:t>
      </w:r>
      <w:proofErr w:type="spellStart"/>
      <w:r w:rsidRPr="00956236">
        <w:rPr>
          <w:rFonts w:ascii="Times New Roman" w:hAnsi="Times New Roman" w:cs="Times New Roman"/>
          <w:iCs/>
          <w:sz w:val="28"/>
          <w:szCs w:val="28"/>
          <w:lang w:val="uk-UA"/>
        </w:rPr>
        <w:t>Ngo</w:t>
      </w:r>
      <w:proofErr w:type="spellEnd"/>
      <w:r w:rsidRPr="00956236">
        <w:rPr>
          <w:rFonts w:ascii="Times New Roman" w:hAnsi="Times New Roman" w:cs="Times New Roman"/>
          <w:iCs/>
          <w:sz w:val="28"/>
          <w:szCs w:val="28"/>
          <w:lang w:val="uk-UA"/>
        </w:rPr>
        <w:t xml:space="preserve"> H.-Y., </w:t>
      </w:r>
      <w:proofErr w:type="spellStart"/>
      <w:r w:rsidRPr="00956236">
        <w:rPr>
          <w:rFonts w:ascii="Times New Roman" w:hAnsi="Times New Roman" w:cs="Times New Roman"/>
          <w:iCs/>
          <w:sz w:val="28"/>
          <w:szCs w:val="28"/>
          <w:lang w:val="uk-UA"/>
        </w:rPr>
        <w:t>Turban</w:t>
      </w:r>
      <w:proofErr w:type="spellEnd"/>
      <w:r w:rsidRPr="00956236">
        <w:rPr>
          <w:rFonts w:ascii="Times New Roman" w:hAnsi="Times New Roman" w:cs="Times New Roman"/>
          <w:iCs/>
          <w:sz w:val="28"/>
          <w:szCs w:val="28"/>
          <w:lang w:val="uk-UA"/>
        </w:rPr>
        <w:t xml:space="preserve"> D., </w:t>
      </w:r>
      <w:proofErr w:type="spellStart"/>
      <w:r w:rsidRPr="00956236">
        <w:rPr>
          <w:rFonts w:ascii="Times New Roman" w:hAnsi="Times New Roman" w:cs="Times New Roman"/>
          <w:iCs/>
          <w:sz w:val="28"/>
          <w:szCs w:val="28"/>
          <w:lang w:val="uk-UA"/>
        </w:rPr>
        <w:t>Lau</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Ch</w:t>
      </w:r>
      <w:proofErr w:type="spellEnd"/>
      <w:r w:rsidRPr="00956236">
        <w:rPr>
          <w:rFonts w:ascii="Times New Roman" w:hAnsi="Times New Roman" w:cs="Times New Roman"/>
          <w:iCs/>
          <w:sz w:val="28"/>
          <w:szCs w:val="28"/>
          <w:lang w:val="uk-UA"/>
        </w:rPr>
        <w:t xml:space="preserve">.-M., </w:t>
      </w:r>
      <w:proofErr w:type="spellStart"/>
      <w:r w:rsidRPr="00956236">
        <w:rPr>
          <w:rFonts w:ascii="Times New Roman" w:hAnsi="Times New Roman" w:cs="Times New Roman"/>
          <w:iCs/>
          <w:sz w:val="28"/>
          <w:szCs w:val="28"/>
          <w:lang w:val="uk-UA"/>
        </w:rPr>
        <w:t>Lui</w:t>
      </w:r>
      <w:proofErr w:type="spellEnd"/>
      <w:r w:rsidRPr="00956236">
        <w:rPr>
          <w:rFonts w:ascii="Times New Roman" w:hAnsi="Times New Roman" w:cs="Times New Roman"/>
          <w:iCs/>
          <w:sz w:val="28"/>
          <w:szCs w:val="28"/>
          <w:lang w:val="uk-UA"/>
        </w:rPr>
        <w:t xml:space="preserve"> S.-Y. </w:t>
      </w:r>
      <w:proofErr w:type="spellStart"/>
      <w:r w:rsidRPr="00956236">
        <w:rPr>
          <w:rFonts w:ascii="Times New Roman" w:hAnsi="Times New Roman" w:cs="Times New Roman"/>
          <w:iCs/>
          <w:sz w:val="28"/>
          <w:szCs w:val="28"/>
          <w:lang w:val="uk-UA"/>
        </w:rPr>
        <w:t>Human</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resource</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practices</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and</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firm</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performance</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of</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multinational</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corporations</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Influence</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of</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country</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origin</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International</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Journal</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of</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Human</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Resource</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Management</w:t>
      </w:r>
      <w:proofErr w:type="spellEnd"/>
      <w:r w:rsidRPr="00956236">
        <w:rPr>
          <w:rFonts w:ascii="Times New Roman" w:hAnsi="Times New Roman" w:cs="Times New Roman"/>
          <w:iCs/>
          <w:sz w:val="28"/>
          <w:szCs w:val="28"/>
          <w:lang w:val="uk-UA"/>
        </w:rPr>
        <w:t xml:space="preserve">. </w:t>
      </w:r>
      <w:r w:rsidRPr="00956236">
        <w:rPr>
          <w:rFonts w:ascii="Times New Roman" w:hAnsi="Times New Roman" w:cs="Times New Roman"/>
          <w:iCs/>
          <w:sz w:val="28"/>
          <w:szCs w:val="28"/>
          <w:lang w:val="en-US"/>
        </w:rPr>
        <w:t>20</w:t>
      </w:r>
      <w:r w:rsidRPr="00956236">
        <w:rPr>
          <w:rFonts w:ascii="Times New Roman" w:hAnsi="Times New Roman" w:cs="Times New Roman"/>
          <w:iCs/>
          <w:sz w:val="28"/>
          <w:szCs w:val="28"/>
          <w:lang w:val="uk-UA"/>
        </w:rPr>
        <w:t>18</w:t>
      </w:r>
      <w:r w:rsidRPr="00956236">
        <w:rPr>
          <w:rFonts w:ascii="Times New Roman" w:hAnsi="Times New Roman" w:cs="Times New Roman"/>
          <w:iCs/>
          <w:sz w:val="28"/>
          <w:szCs w:val="28"/>
          <w:lang w:val="en-US"/>
        </w:rPr>
        <w:t xml:space="preserve">. № </w:t>
      </w:r>
      <w:r w:rsidRPr="00956236">
        <w:rPr>
          <w:rFonts w:ascii="Times New Roman" w:hAnsi="Times New Roman" w:cs="Times New Roman"/>
          <w:iCs/>
          <w:sz w:val="28"/>
          <w:szCs w:val="28"/>
          <w:lang w:val="uk-UA"/>
        </w:rPr>
        <w:t xml:space="preserve">9. </w:t>
      </w:r>
      <w:r w:rsidRPr="00956236">
        <w:rPr>
          <w:rFonts w:ascii="Times New Roman" w:hAnsi="Times New Roman" w:cs="Times New Roman"/>
          <w:iCs/>
          <w:sz w:val="28"/>
          <w:szCs w:val="28"/>
          <w:lang w:val="en-US"/>
        </w:rPr>
        <w:t xml:space="preserve">P. </w:t>
      </w:r>
      <w:r w:rsidRPr="00956236">
        <w:rPr>
          <w:rFonts w:ascii="Times New Roman" w:hAnsi="Times New Roman" w:cs="Times New Roman"/>
          <w:iCs/>
          <w:sz w:val="28"/>
          <w:szCs w:val="28"/>
          <w:lang w:val="uk-UA"/>
        </w:rPr>
        <w:t xml:space="preserve">632-652. DOI: </w:t>
      </w:r>
      <w:hyperlink r:id="rId51" w:history="1">
        <w:r w:rsidRPr="00956236">
          <w:rPr>
            <w:rFonts w:ascii="Times New Roman" w:hAnsi="Times New Roman" w:cs="Times New Roman"/>
            <w:iCs/>
            <w:sz w:val="28"/>
            <w:szCs w:val="28"/>
            <w:lang w:val="uk-UA"/>
          </w:rPr>
          <w:t>https://doi.org/10.1080/095851998340937</w:t>
        </w:r>
      </w:hyperlink>
      <w:r w:rsidRPr="00956236">
        <w:rPr>
          <w:rFonts w:ascii="Times New Roman" w:hAnsi="Times New Roman" w:cs="Times New Roman"/>
          <w:iCs/>
          <w:sz w:val="28"/>
          <w:szCs w:val="28"/>
          <w:lang w:val="uk-UA"/>
        </w:rPr>
        <w:t>.</w:t>
      </w:r>
    </w:p>
    <w:p w14:paraId="44BEC7D8" w14:textId="77777777" w:rsidR="00571B42" w:rsidRPr="009636E5"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en-US"/>
        </w:rPr>
        <w:t>90.</w:t>
      </w:r>
      <w:r>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Paik</w:t>
      </w:r>
      <w:proofErr w:type="spellEnd"/>
      <w:r w:rsidRPr="009636E5">
        <w:rPr>
          <w:rFonts w:ascii="Times New Roman" w:hAnsi="Times New Roman" w:cs="Times New Roman"/>
          <w:sz w:val="28"/>
          <w:szCs w:val="28"/>
          <w:lang w:val="uk-UA"/>
        </w:rPr>
        <w:t xml:space="preserve"> Y</w:t>
      </w:r>
      <w:r>
        <w:rPr>
          <w:rFonts w:ascii="Times New Roman" w:hAnsi="Times New Roman" w:cs="Times New Roman"/>
          <w:sz w:val="28"/>
          <w:szCs w:val="28"/>
          <w:lang w:val="en-US"/>
        </w:rPr>
        <w:t>.</w:t>
      </w:r>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Vance</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Ch</w:t>
      </w:r>
      <w:proofErr w:type="spellEnd"/>
      <w:r>
        <w:rPr>
          <w:rFonts w:ascii="Times New Roman" w:hAnsi="Times New Roman" w:cs="Times New Roman"/>
          <w:sz w:val="28"/>
          <w:szCs w:val="28"/>
          <w:lang w:val="en-US"/>
        </w:rPr>
        <w:t>.</w:t>
      </w:r>
      <w:r w:rsidRPr="009636E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Stage</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D. </w:t>
      </w:r>
      <w:r>
        <w:rPr>
          <w:rFonts w:ascii="Times New Roman" w:hAnsi="Times New Roman" w:cs="Times New Roman"/>
          <w:sz w:val="28"/>
          <w:szCs w:val="28"/>
          <w:lang w:val="uk-UA"/>
        </w:rPr>
        <w:t>H.</w:t>
      </w:r>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The</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Extent</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of</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Divergence</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in</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Human</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Resource</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Practice</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Across</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Three</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Chinese</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National</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Cultures</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Hong</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Kong</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Taiwan</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t>and</w:t>
      </w:r>
      <w:proofErr w:type="spellEnd"/>
      <w:r w:rsidRPr="009636E5">
        <w:rPr>
          <w:rFonts w:ascii="Times New Roman" w:hAnsi="Times New Roman" w:cs="Times New Roman"/>
          <w:sz w:val="28"/>
          <w:szCs w:val="28"/>
          <w:lang w:val="uk-UA"/>
        </w:rPr>
        <w:t xml:space="preserve"> </w:t>
      </w:r>
      <w:proofErr w:type="spellStart"/>
      <w:r w:rsidRPr="009636E5">
        <w:rPr>
          <w:rFonts w:ascii="Times New Roman" w:hAnsi="Times New Roman" w:cs="Times New Roman"/>
          <w:sz w:val="28"/>
          <w:szCs w:val="28"/>
          <w:lang w:val="uk-UA"/>
        </w:rPr>
        <w:lastRenderedPageBreak/>
        <w:t>Singapore</w:t>
      </w:r>
      <w:proofErr w:type="spellEnd"/>
      <w:r w:rsidRPr="009636E5">
        <w:rPr>
          <w:rFonts w:ascii="Times New Roman" w:hAnsi="Times New Roman" w:cs="Times New Roman"/>
          <w:sz w:val="28"/>
          <w:szCs w:val="28"/>
          <w:lang w:val="uk-UA"/>
        </w:rPr>
        <w:t xml:space="preserve">. </w:t>
      </w:r>
      <w:proofErr w:type="spellStart"/>
      <w:r w:rsidRPr="00956236">
        <w:rPr>
          <w:rFonts w:ascii="Times New Roman" w:hAnsi="Times New Roman" w:cs="Times New Roman"/>
          <w:iCs/>
          <w:sz w:val="28"/>
          <w:szCs w:val="28"/>
          <w:lang w:val="uk-UA"/>
        </w:rPr>
        <w:t>Human</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Resource</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Management</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Journal</w:t>
      </w:r>
      <w:proofErr w:type="spellEnd"/>
      <w:r w:rsidRPr="00956236">
        <w:rPr>
          <w:rFonts w:ascii="Times New Roman" w:hAnsi="Times New Roman" w:cs="Times New Roman"/>
          <w:iCs/>
          <w:sz w:val="28"/>
          <w:szCs w:val="28"/>
          <w:lang w:val="uk-UA"/>
        </w:rPr>
        <w:t>.</w:t>
      </w:r>
      <w:r w:rsidRPr="009636E5">
        <w:rPr>
          <w:rFonts w:ascii="Times New Roman" w:hAnsi="Times New Roman" w:cs="Times New Roman"/>
          <w:sz w:val="28"/>
          <w:szCs w:val="28"/>
          <w:lang w:val="uk-UA"/>
        </w:rPr>
        <w:t xml:space="preserve"> 20</w:t>
      </w:r>
      <w:r>
        <w:rPr>
          <w:rFonts w:ascii="Times New Roman" w:hAnsi="Times New Roman" w:cs="Times New Roman"/>
          <w:sz w:val="28"/>
          <w:szCs w:val="28"/>
          <w:lang w:val="en-US"/>
        </w:rPr>
        <w:t>1</w:t>
      </w:r>
      <w:r w:rsidRPr="009636E5">
        <w:rPr>
          <w:rFonts w:ascii="Times New Roman" w:hAnsi="Times New Roman" w:cs="Times New Roman"/>
          <w:sz w:val="28"/>
          <w:szCs w:val="28"/>
          <w:lang w:val="uk-UA"/>
        </w:rPr>
        <w:t>7</w:t>
      </w:r>
      <w:r>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6. </w:t>
      </w:r>
      <w:r>
        <w:rPr>
          <w:rFonts w:ascii="Times New Roman" w:hAnsi="Times New Roman" w:cs="Times New Roman"/>
          <w:sz w:val="28"/>
          <w:szCs w:val="28"/>
          <w:lang w:val="en-US"/>
        </w:rPr>
        <w:t xml:space="preserve">P. </w:t>
      </w:r>
      <w:r>
        <w:rPr>
          <w:rFonts w:ascii="Times New Roman" w:hAnsi="Times New Roman" w:cs="Times New Roman"/>
          <w:sz w:val="28"/>
          <w:szCs w:val="28"/>
          <w:lang w:val="uk-UA"/>
        </w:rPr>
        <w:t>20-</w:t>
      </w:r>
      <w:r w:rsidRPr="009636E5">
        <w:rPr>
          <w:rFonts w:ascii="Times New Roman" w:hAnsi="Times New Roman" w:cs="Times New Roman"/>
          <w:sz w:val="28"/>
          <w:szCs w:val="28"/>
          <w:lang w:val="uk-UA"/>
        </w:rPr>
        <w:t xml:space="preserve">31. </w:t>
      </w:r>
      <w:r w:rsidRPr="00FB0A3E">
        <w:rPr>
          <w:rFonts w:ascii="Times New Roman" w:hAnsi="Times New Roman" w:cs="Times New Roman"/>
          <w:sz w:val="28"/>
          <w:szCs w:val="28"/>
          <w:lang w:val="uk-UA"/>
        </w:rPr>
        <w:t xml:space="preserve">DOI: </w:t>
      </w:r>
      <w:r w:rsidRPr="00FB0A3E">
        <w:rPr>
          <w:rFonts w:ascii="Times New Roman" w:hAnsi="Times New Roman" w:cs="Times New Roman"/>
          <w:sz w:val="28"/>
          <w:szCs w:val="28"/>
          <w:lang w:val="en-US"/>
        </w:rPr>
        <w:t>https://doi.org/</w:t>
      </w:r>
      <w:r w:rsidRPr="009636E5">
        <w:rPr>
          <w:rFonts w:ascii="Times New Roman" w:hAnsi="Times New Roman" w:cs="Times New Roman"/>
          <w:sz w:val="28"/>
          <w:szCs w:val="28"/>
          <w:lang w:val="uk-UA"/>
        </w:rPr>
        <w:t>10.1111/j.1748-8583.1996.tb00401.x.</w:t>
      </w:r>
    </w:p>
    <w:p w14:paraId="66058448" w14:textId="77777777" w:rsidR="00571B42"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91. Whitley</w:t>
      </w:r>
      <w:r w:rsidRPr="009636E5">
        <w:rPr>
          <w:rFonts w:ascii="Times New Roman" w:hAnsi="Times New Roman" w:cs="Times New Roman"/>
          <w:sz w:val="28"/>
          <w:szCs w:val="28"/>
          <w:lang w:val="en-US"/>
        </w:rPr>
        <w:t xml:space="preserve"> B</w:t>
      </w:r>
      <w:r>
        <w:rPr>
          <w:rFonts w:ascii="Times New Roman" w:hAnsi="Times New Roman" w:cs="Times New Roman"/>
          <w:sz w:val="28"/>
          <w:szCs w:val="28"/>
          <w:lang w:val="en-US"/>
        </w:rPr>
        <w:t xml:space="preserve">. </w:t>
      </w:r>
      <w:r w:rsidRPr="009636E5">
        <w:rPr>
          <w:rFonts w:ascii="Times New Roman" w:hAnsi="Times New Roman" w:cs="Times New Roman"/>
          <w:sz w:val="28"/>
          <w:szCs w:val="28"/>
          <w:lang w:val="en-US"/>
        </w:rPr>
        <w:t xml:space="preserve">Right-Wing Authoritarianism, Social Dominance Orientation, and Prejudice. </w:t>
      </w:r>
      <w:r w:rsidRPr="00956236">
        <w:rPr>
          <w:rFonts w:ascii="Times New Roman" w:hAnsi="Times New Roman" w:cs="Times New Roman"/>
          <w:iCs/>
          <w:sz w:val="28"/>
          <w:szCs w:val="28"/>
          <w:lang w:val="en-US"/>
        </w:rPr>
        <w:t>Journal of Personality and Social Psychology. 2019</w:t>
      </w:r>
      <w:r w:rsidRPr="005D1B01">
        <w:rPr>
          <w:rFonts w:ascii="Times New Roman" w:hAnsi="Times New Roman" w:cs="Times New Roman"/>
          <w:sz w:val="28"/>
          <w:szCs w:val="28"/>
          <w:lang w:val="en-US"/>
        </w:rPr>
        <w:t xml:space="preserve">. № </w:t>
      </w:r>
      <w:r w:rsidRPr="009636E5">
        <w:rPr>
          <w:rFonts w:ascii="Times New Roman" w:hAnsi="Times New Roman" w:cs="Times New Roman"/>
          <w:sz w:val="28"/>
          <w:szCs w:val="28"/>
          <w:lang w:val="en-US"/>
        </w:rPr>
        <w:t xml:space="preserve">77. </w:t>
      </w:r>
      <w:r>
        <w:rPr>
          <w:rFonts w:ascii="Times New Roman" w:hAnsi="Times New Roman" w:cs="Times New Roman"/>
          <w:sz w:val="28"/>
          <w:szCs w:val="28"/>
        </w:rPr>
        <w:t>Р</w:t>
      </w:r>
      <w:r w:rsidRPr="005D1B01">
        <w:rPr>
          <w:rFonts w:ascii="Times New Roman" w:hAnsi="Times New Roman" w:cs="Times New Roman"/>
          <w:sz w:val="28"/>
          <w:szCs w:val="28"/>
          <w:lang w:val="en-US"/>
        </w:rPr>
        <w:t xml:space="preserve">. </w:t>
      </w:r>
      <w:r w:rsidRPr="009636E5">
        <w:rPr>
          <w:rFonts w:ascii="Times New Roman" w:hAnsi="Times New Roman" w:cs="Times New Roman"/>
          <w:sz w:val="28"/>
          <w:szCs w:val="28"/>
          <w:lang w:val="en-US"/>
        </w:rPr>
        <w:t xml:space="preserve">126-134. </w:t>
      </w:r>
      <w:r w:rsidRPr="00FB0A3E">
        <w:rPr>
          <w:rFonts w:ascii="Times New Roman" w:hAnsi="Times New Roman" w:cs="Times New Roman"/>
          <w:sz w:val="28"/>
          <w:szCs w:val="28"/>
          <w:lang w:val="uk-UA"/>
        </w:rPr>
        <w:t xml:space="preserve">DOI: </w:t>
      </w:r>
      <w:r w:rsidRPr="00FB0A3E">
        <w:rPr>
          <w:rFonts w:ascii="Times New Roman" w:hAnsi="Times New Roman" w:cs="Times New Roman"/>
          <w:sz w:val="28"/>
          <w:szCs w:val="28"/>
          <w:lang w:val="en-US"/>
        </w:rPr>
        <w:t>https://doi.org/</w:t>
      </w:r>
      <w:r w:rsidRPr="009636E5">
        <w:rPr>
          <w:rFonts w:ascii="Times New Roman" w:hAnsi="Times New Roman" w:cs="Times New Roman"/>
          <w:sz w:val="28"/>
          <w:szCs w:val="28"/>
          <w:lang w:val="en-US"/>
        </w:rPr>
        <w:t>10.1037/0022-3514.77.1.126.</w:t>
      </w:r>
    </w:p>
    <w:p w14:paraId="7CB09DB0" w14:textId="77777777" w:rsidR="00571B42" w:rsidRPr="00467975" w:rsidRDefault="00571B42" w:rsidP="00571B42">
      <w:pPr>
        <w:tabs>
          <w:tab w:val="left" w:pos="2212"/>
        </w:tabs>
        <w:autoSpaceDE w:val="0"/>
        <w:autoSpaceDN w:val="0"/>
        <w:adjustRightInd w:val="0"/>
        <w:spacing w:after="0" w:line="360" w:lineRule="auto"/>
        <w:ind w:firstLine="720"/>
        <w:jc w:val="both"/>
        <w:rPr>
          <w:rFonts w:ascii="Times New Roman" w:hAnsi="Times New Roman" w:cs="Times New Roman"/>
          <w:color w:val="000000" w:themeColor="text1"/>
          <w:sz w:val="28"/>
          <w:szCs w:val="28"/>
          <w:lang w:val="en-US"/>
        </w:rPr>
      </w:pPr>
      <w:r>
        <w:rPr>
          <w:rFonts w:ascii="Times New Roman" w:hAnsi="Times New Roman" w:cs="Times New Roman"/>
          <w:sz w:val="28"/>
          <w:szCs w:val="28"/>
          <w:lang w:val="en-US"/>
        </w:rPr>
        <w:t xml:space="preserve">92. </w:t>
      </w:r>
      <w:proofErr w:type="spellStart"/>
      <w:r w:rsidRPr="008538DC">
        <w:rPr>
          <w:rFonts w:ascii="Times New Roman" w:hAnsi="Times New Roman" w:cs="Times New Roman"/>
          <w:iCs/>
          <w:sz w:val="28"/>
          <w:szCs w:val="28"/>
          <w:lang w:val="en-US"/>
        </w:rPr>
        <w:t>Kalaman</w:t>
      </w:r>
      <w:proofErr w:type="spellEnd"/>
      <w:r w:rsidRPr="008538DC">
        <w:rPr>
          <w:rFonts w:ascii="Times New Roman" w:hAnsi="Times New Roman" w:cs="Times New Roman"/>
          <w:iCs/>
          <w:sz w:val="28"/>
          <w:szCs w:val="28"/>
          <w:lang w:val="en-US"/>
        </w:rPr>
        <w:t xml:space="preserve"> O., </w:t>
      </w:r>
      <w:proofErr w:type="spellStart"/>
      <w:r w:rsidRPr="008538DC">
        <w:rPr>
          <w:rFonts w:ascii="Times New Roman" w:hAnsi="Times New Roman" w:cs="Times New Roman"/>
          <w:iCs/>
          <w:sz w:val="28"/>
          <w:szCs w:val="28"/>
          <w:lang w:val="en-US"/>
        </w:rPr>
        <w:t>Mandrykin</w:t>
      </w:r>
      <w:proofErr w:type="spellEnd"/>
      <w:r w:rsidRPr="008538DC">
        <w:rPr>
          <w:rFonts w:ascii="Times New Roman" w:hAnsi="Times New Roman" w:cs="Times New Roman"/>
          <w:iCs/>
          <w:sz w:val="28"/>
          <w:szCs w:val="28"/>
          <w:lang w:val="en-US"/>
        </w:rPr>
        <w:t xml:space="preserve"> D</w:t>
      </w:r>
      <w:r w:rsidRPr="008538DC">
        <w:rPr>
          <w:rFonts w:ascii="Times New Roman" w:hAnsi="Times New Roman" w:cs="Times New Roman"/>
          <w:color w:val="000000" w:themeColor="text1"/>
          <w:sz w:val="28"/>
          <w:szCs w:val="28"/>
          <w:lang w:val="en-US"/>
        </w:rPr>
        <w:t xml:space="preserve">. </w:t>
      </w:r>
      <w:r w:rsidRPr="008538DC">
        <w:rPr>
          <w:rFonts w:ascii="Times New Roman" w:hAnsi="Times New Roman" w:cs="Times New Roman"/>
          <w:sz w:val="28"/>
          <w:szCs w:val="28"/>
          <w:lang w:val="en-US"/>
        </w:rPr>
        <w:t>Application of modern theories to comprehend the concepts of the knowledge economy</w:t>
      </w:r>
      <w:r w:rsidRPr="008538DC">
        <w:rPr>
          <w:rFonts w:ascii="Times New Roman" w:hAnsi="Times New Roman" w:cs="Times New Roman"/>
          <w:color w:val="000000" w:themeColor="text1"/>
          <w:sz w:val="28"/>
          <w:szCs w:val="28"/>
          <w:lang w:val="en-US"/>
        </w:rPr>
        <w:t xml:space="preserve"> </w:t>
      </w:r>
      <w:r w:rsidRPr="008538DC">
        <w:rPr>
          <w:rFonts w:ascii="Times New Roman" w:hAnsi="Times New Roman" w:cs="Times New Roman"/>
          <w:sz w:val="28"/>
          <w:szCs w:val="28"/>
          <w:lang w:val="en-US"/>
        </w:rPr>
        <w:t xml:space="preserve">and National Innovation System. Knowledge management: seven effective examples of applying knowledge: Scientific monograph. </w:t>
      </w:r>
      <w:r w:rsidRPr="008538DC">
        <w:rPr>
          <w:rFonts w:ascii="Times New Roman" w:hAnsi="Times New Roman" w:cs="Times New Roman"/>
          <w:bCs/>
          <w:sz w:val="28"/>
          <w:szCs w:val="28"/>
          <w:lang w:val="en-US"/>
        </w:rPr>
        <w:t xml:space="preserve">Scientific Editor </w:t>
      </w:r>
      <w:proofErr w:type="spellStart"/>
      <w:r w:rsidRPr="008538DC">
        <w:rPr>
          <w:rFonts w:ascii="Times New Roman" w:hAnsi="Times New Roman" w:cs="Times New Roman"/>
          <w:bCs/>
          <w:sz w:val="28"/>
          <w:szCs w:val="28"/>
          <w:lang w:val="en-US"/>
        </w:rPr>
        <w:t>Walery</w:t>
      </w:r>
      <w:proofErr w:type="spellEnd"/>
      <w:r w:rsidRPr="008538DC">
        <w:rPr>
          <w:rFonts w:ascii="Times New Roman" w:hAnsi="Times New Roman" w:cs="Times New Roman"/>
          <w:bCs/>
          <w:sz w:val="28"/>
          <w:szCs w:val="28"/>
          <w:lang w:val="en-US"/>
        </w:rPr>
        <w:t xml:space="preserve"> </w:t>
      </w:r>
      <w:proofErr w:type="spellStart"/>
      <w:r w:rsidRPr="008538DC">
        <w:rPr>
          <w:rFonts w:ascii="Times New Roman" w:hAnsi="Times New Roman" w:cs="Times New Roman"/>
          <w:bCs/>
          <w:sz w:val="28"/>
          <w:szCs w:val="28"/>
          <w:lang w:val="en-US"/>
        </w:rPr>
        <w:t>Okulicz-Kozaryn</w:t>
      </w:r>
      <w:proofErr w:type="spellEnd"/>
      <w:r w:rsidRPr="008538DC">
        <w:rPr>
          <w:rFonts w:ascii="Times New Roman" w:hAnsi="Times New Roman" w:cs="Times New Roman"/>
          <w:sz w:val="28"/>
          <w:szCs w:val="28"/>
          <w:lang w:val="en-US"/>
        </w:rPr>
        <w:t xml:space="preserve">. Poznan: </w:t>
      </w:r>
      <w:proofErr w:type="spellStart"/>
      <w:r w:rsidRPr="008538DC">
        <w:rPr>
          <w:rFonts w:ascii="Times New Roman" w:hAnsi="Times New Roman" w:cs="Times New Roman"/>
          <w:sz w:val="28"/>
          <w:szCs w:val="28"/>
          <w:lang w:val="en-US"/>
        </w:rPr>
        <w:t>Wydawnictwo</w:t>
      </w:r>
      <w:proofErr w:type="spellEnd"/>
      <w:r w:rsidRPr="008538DC">
        <w:rPr>
          <w:rFonts w:ascii="Times New Roman" w:hAnsi="Times New Roman" w:cs="Times New Roman"/>
          <w:sz w:val="28"/>
          <w:szCs w:val="28"/>
          <w:lang w:val="en-US"/>
        </w:rPr>
        <w:t xml:space="preserve"> </w:t>
      </w:r>
      <w:proofErr w:type="spellStart"/>
      <w:r w:rsidRPr="008538DC">
        <w:rPr>
          <w:rFonts w:ascii="Times New Roman" w:hAnsi="Times New Roman" w:cs="Times New Roman"/>
          <w:sz w:val="28"/>
          <w:szCs w:val="28"/>
          <w:lang w:val="en-US"/>
        </w:rPr>
        <w:t>Naukowe</w:t>
      </w:r>
      <w:proofErr w:type="spellEnd"/>
      <w:r w:rsidRPr="008538DC">
        <w:rPr>
          <w:rFonts w:ascii="Times New Roman" w:hAnsi="Times New Roman" w:cs="Times New Roman"/>
          <w:sz w:val="28"/>
          <w:szCs w:val="28"/>
          <w:lang w:val="en-US"/>
        </w:rPr>
        <w:t xml:space="preserve"> </w:t>
      </w:r>
      <w:proofErr w:type="spellStart"/>
      <w:r w:rsidRPr="008538DC">
        <w:rPr>
          <w:rFonts w:ascii="Times New Roman" w:hAnsi="Times New Roman" w:cs="Times New Roman"/>
          <w:sz w:val="28"/>
          <w:szCs w:val="28"/>
          <w:lang w:val="en-US"/>
        </w:rPr>
        <w:t>Akademii</w:t>
      </w:r>
      <w:proofErr w:type="spellEnd"/>
      <w:r w:rsidRPr="008538DC">
        <w:rPr>
          <w:rFonts w:ascii="Times New Roman" w:hAnsi="Times New Roman" w:cs="Times New Roman"/>
          <w:sz w:val="28"/>
          <w:szCs w:val="28"/>
          <w:lang w:val="en-US"/>
        </w:rPr>
        <w:t xml:space="preserve"> </w:t>
      </w:r>
      <w:proofErr w:type="spellStart"/>
      <w:r w:rsidRPr="008538DC">
        <w:rPr>
          <w:rFonts w:ascii="Times New Roman" w:hAnsi="Times New Roman" w:cs="Times New Roman"/>
          <w:sz w:val="28"/>
          <w:szCs w:val="28"/>
          <w:lang w:val="en-US"/>
        </w:rPr>
        <w:t>Nauk</w:t>
      </w:r>
      <w:proofErr w:type="spellEnd"/>
      <w:r w:rsidRPr="008538DC">
        <w:rPr>
          <w:rFonts w:ascii="Times New Roman" w:hAnsi="Times New Roman" w:cs="Times New Roman"/>
          <w:sz w:val="28"/>
          <w:szCs w:val="28"/>
          <w:lang w:val="en-US"/>
        </w:rPr>
        <w:t xml:space="preserve"> </w:t>
      </w:r>
      <w:proofErr w:type="spellStart"/>
      <w:r w:rsidRPr="008538DC">
        <w:rPr>
          <w:rFonts w:ascii="Times New Roman" w:hAnsi="Times New Roman" w:cs="Times New Roman"/>
          <w:sz w:val="28"/>
          <w:szCs w:val="28"/>
          <w:lang w:val="en-US"/>
        </w:rPr>
        <w:t>Stosowanych</w:t>
      </w:r>
      <w:proofErr w:type="spellEnd"/>
      <w:r w:rsidRPr="008538DC">
        <w:rPr>
          <w:rFonts w:ascii="Times New Roman" w:hAnsi="Times New Roman" w:cs="Times New Roman"/>
          <w:sz w:val="28"/>
          <w:szCs w:val="28"/>
          <w:lang w:val="en-US"/>
        </w:rPr>
        <w:t xml:space="preserve"> </w:t>
      </w:r>
      <w:proofErr w:type="spellStart"/>
      <w:r w:rsidRPr="008538DC">
        <w:rPr>
          <w:rFonts w:ascii="Times New Roman" w:hAnsi="Times New Roman" w:cs="Times New Roman"/>
          <w:sz w:val="28"/>
          <w:szCs w:val="28"/>
          <w:lang w:val="en-US"/>
        </w:rPr>
        <w:t>im</w:t>
      </w:r>
      <w:proofErr w:type="spellEnd"/>
      <w:r w:rsidRPr="008538DC">
        <w:rPr>
          <w:rFonts w:ascii="Times New Roman" w:hAnsi="Times New Roman" w:cs="Times New Roman"/>
          <w:sz w:val="28"/>
          <w:szCs w:val="28"/>
          <w:lang w:val="en-US"/>
        </w:rPr>
        <w:t xml:space="preserve">. </w:t>
      </w:r>
      <w:proofErr w:type="spellStart"/>
      <w:r w:rsidRPr="008538DC">
        <w:rPr>
          <w:rFonts w:ascii="Times New Roman" w:hAnsi="Times New Roman" w:cs="Times New Roman"/>
          <w:sz w:val="28"/>
          <w:szCs w:val="28"/>
          <w:lang w:val="en-US"/>
        </w:rPr>
        <w:t>Ksieci</w:t>
      </w:r>
      <w:r>
        <w:rPr>
          <w:rFonts w:ascii="Times New Roman" w:hAnsi="Times New Roman" w:cs="Times New Roman"/>
          <w:sz w:val="28"/>
          <w:szCs w:val="28"/>
          <w:lang w:val="en-US"/>
        </w:rPr>
        <w:t>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Mieszka</w:t>
      </w:r>
      <w:proofErr w:type="spellEnd"/>
      <w:r>
        <w:rPr>
          <w:rFonts w:ascii="Times New Roman" w:hAnsi="Times New Roman" w:cs="Times New Roman"/>
          <w:sz w:val="28"/>
          <w:szCs w:val="28"/>
          <w:lang w:val="en-US"/>
        </w:rPr>
        <w:t xml:space="preserve"> I w </w:t>
      </w:r>
      <w:proofErr w:type="spellStart"/>
      <w:r>
        <w:rPr>
          <w:rFonts w:ascii="Times New Roman" w:hAnsi="Times New Roman" w:cs="Times New Roman"/>
          <w:sz w:val="28"/>
          <w:szCs w:val="28"/>
          <w:lang w:val="en-US"/>
        </w:rPr>
        <w:t>Poznaniu</w:t>
      </w:r>
      <w:proofErr w:type="spellEnd"/>
      <w:r>
        <w:rPr>
          <w:rFonts w:ascii="Times New Roman" w:hAnsi="Times New Roman" w:cs="Times New Roman"/>
          <w:sz w:val="28"/>
          <w:szCs w:val="28"/>
          <w:lang w:val="en-US"/>
        </w:rPr>
        <w:t>. 2022. P</w:t>
      </w:r>
      <w:r w:rsidRPr="008538DC">
        <w:rPr>
          <w:rFonts w:ascii="Times New Roman" w:hAnsi="Times New Roman" w:cs="Times New Roman"/>
          <w:sz w:val="28"/>
          <w:szCs w:val="28"/>
          <w:lang w:val="en-US"/>
        </w:rPr>
        <w:t xml:space="preserve">. 9-47. </w:t>
      </w:r>
    </w:p>
    <w:p w14:paraId="7D769554" w14:textId="77777777" w:rsidR="00956236"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93. Chung</w:t>
      </w:r>
      <w:r w:rsidRPr="00681C6C">
        <w:rPr>
          <w:rFonts w:ascii="Times New Roman" w:hAnsi="Times New Roman" w:cs="Times New Roman"/>
          <w:sz w:val="28"/>
          <w:szCs w:val="28"/>
          <w:lang w:val="en-US"/>
        </w:rPr>
        <w:t xml:space="preserve"> Ch</w:t>
      </w:r>
      <w:r>
        <w:rPr>
          <w:rFonts w:ascii="Times New Roman" w:hAnsi="Times New Roman" w:cs="Times New Roman"/>
          <w:sz w:val="28"/>
          <w:szCs w:val="28"/>
          <w:lang w:val="en-US"/>
        </w:rPr>
        <w:t>., Sparrow</w:t>
      </w:r>
      <w:r w:rsidRPr="00681C6C">
        <w:rPr>
          <w:rFonts w:ascii="Times New Roman" w:hAnsi="Times New Roman" w:cs="Times New Roman"/>
          <w:sz w:val="28"/>
          <w:szCs w:val="28"/>
          <w:lang w:val="en-US"/>
        </w:rPr>
        <w:t xml:space="preserve"> P</w:t>
      </w:r>
      <w:r>
        <w:rPr>
          <w:rFonts w:ascii="Times New Roman" w:hAnsi="Times New Roman" w:cs="Times New Roman"/>
          <w:sz w:val="28"/>
          <w:szCs w:val="28"/>
          <w:lang w:val="en-US"/>
        </w:rPr>
        <w:t>.,</w:t>
      </w:r>
      <w:r w:rsidRPr="00681C6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Bozkurt </w:t>
      </w:r>
      <w:proofErr w:type="spellStart"/>
      <w:r>
        <w:rPr>
          <w:rFonts w:ascii="Times New Roman" w:hAnsi="Times New Roman" w:cs="Times New Roman"/>
          <w:sz w:val="28"/>
          <w:szCs w:val="28"/>
          <w:lang w:val="en-US"/>
        </w:rPr>
        <w:t>Öd</w:t>
      </w:r>
      <w:proofErr w:type="spellEnd"/>
      <w:r w:rsidRPr="00681C6C">
        <w:rPr>
          <w:rFonts w:ascii="Times New Roman" w:hAnsi="Times New Roman" w:cs="Times New Roman"/>
          <w:sz w:val="28"/>
          <w:szCs w:val="28"/>
          <w:lang w:val="en-US"/>
        </w:rPr>
        <w:t xml:space="preserve">. South Korean MNEs’ international HRM approach: Hybridization of global standards and local practices. </w:t>
      </w:r>
      <w:r w:rsidRPr="00956236">
        <w:rPr>
          <w:rFonts w:ascii="Times New Roman" w:hAnsi="Times New Roman" w:cs="Times New Roman"/>
          <w:iCs/>
          <w:sz w:val="28"/>
          <w:szCs w:val="28"/>
          <w:lang w:val="en-US"/>
        </w:rPr>
        <w:t>Journal of World Business.</w:t>
      </w:r>
      <w:r w:rsidRPr="00681C6C">
        <w:rPr>
          <w:rFonts w:ascii="Times New Roman" w:hAnsi="Times New Roman" w:cs="Times New Roman"/>
          <w:sz w:val="28"/>
          <w:szCs w:val="28"/>
          <w:lang w:val="en-US"/>
        </w:rPr>
        <w:t xml:space="preserve"> 2014</w:t>
      </w:r>
      <w:r>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 xml:space="preserve">№ </w:t>
      </w:r>
      <w:r>
        <w:rPr>
          <w:rFonts w:ascii="Times New Roman" w:hAnsi="Times New Roman" w:cs="Times New Roman"/>
          <w:sz w:val="28"/>
          <w:szCs w:val="28"/>
          <w:lang w:val="en-US"/>
        </w:rPr>
        <w:t>49(4). Р.</w:t>
      </w:r>
      <w:r w:rsidR="00956236">
        <w:rPr>
          <w:rFonts w:ascii="Times New Roman" w:hAnsi="Times New Roman" w:cs="Times New Roman"/>
          <w:sz w:val="28"/>
          <w:szCs w:val="28"/>
          <w:lang w:val="uk-UA"/>
        </w:rPr>
        <w:t xml:space="preserve"> </w:t>
      </w:r>
      <w:r w:rsidRPr="00681C6C">
        <w:rPr>
          <w:rFonts w:ascii="Times New Roman" w:hAnsi="Times New Roman" w:cs="Times New Roman"/>
          <w:sz w:val="28"/>
          <w:szCs w:val="28"/>
          <w:lang w:val="en-US"/>
        </w:rPr>
        <w:t>549-559.</w:t>
      </w:r>
    </w:p>
    <w:p w14:paraId="3BDB96EE"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94. Столярчук О. А. Психологія становлення особистості фахівця в умовах </w:t>
      </w:r>
      <w:proofErr w:type="spellStart"/>
      <w:r w:rsidRPr="009722DE">
        <w:rPr>
          <w:rFonts w:ascii="Times New Roman" w:hAnsi="Times New Roman" w:cs="Times New Roman"/>
          <w:color w:val="000000" w:themeColor="text1"/>
          <w:sz w:val="28"/>
          <w:szCs w:val="28"/>
          <w:lang w:val="uk-UA"/>
        </w:rPr>
        <w:t>різновекторності</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універсуму</w:t>
      </w:r>
      <w:proofErr w:type="spellEnd"/>
      <w:r w:rsidRPr="009722DE">
        <w:rPr>
          <w:rFonts w:ascii="Times New Roman" w:hAnsi="Times New Roman" w:cs="Times New Roman"/>
          <w:color w:val="000000" w:themeColor="text1"/>
          <w:sz w:val="28"/>
          <w:szCs w:val="28"/>
          <w:lang w:val="uk-UA"/>
        </w:rPr>
        <w:t xml:space="preserve"> : монографія. Кременчук : ПП Щербатих О.В., 2018. 294 с.</w:t>
      </w:r>
    </w:p>
    <w:p w14:paraId="7239FABB"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95. </w:t>
      </w:r>
      <w:proofErr w:type="spellStart"/>
      <w:r w:rsidRPr="009722DE">
        <w:rPr>
          <w:rFonts w:ascii="Times New Roman" w:hAnsi="Times New Roman" w:cs="Times New Roman"/>
          <w:color w:val="000000" w:themeColor="text1"/>
          <w:sz w:val="28"/>
          <w:szCs w:val="28"/>
          <w:lang w:val="uk-UA"/>
        </w:rPr>
        <w:t>Шемберко</w:t>
      </w:r>
      <w:proofErr w:type="spellEnd"/>
      <w:r w:rsidRPr="00FB4D61">
        <w:rPr>
          <w:rFonts w:ascii="Times New Roman" w:hAnsi="Times New Roman" w:cs="Times New Roman"/>
          <w:color w:val="000000" w:themeColor="text1"/>
          <w:sz w:val="28"/>
          <w:szCs w:val="28"/>
          <w:lang w:val="uk-UA"/>
        </w:rPr>
        <w:t xml:space="preserve"> М.</w:t>
      </w:r>
      <w:r w:rsidRPr="009722DE">
        <w:rPr>
          <w:rFonts w:ascii="Times New Roman" w:hAnsi="Times New Roman" w:cs="Times New Roman"/>
          <w:color w:val="000000" w:themeColor="text1"/>
          <w:sz w:val="28"/>
          <w:szCs w:val="28"/>
          <w:lang w:val="uk-UA"/>
        </w:rPr>
        <w:t xml:space="preserve"> </w:t>
      </w:r>
      <w:r w:rsidRPr="00FB4D61">
        <w:rPr>
          <w:rFonts w:ascii="Times New Roman" w:hAnsi="Times New Roman" w:cs="Times New Roman"/>
          <w:color w:val="000000" w:themeColor="text1"/>
          <w:sz w:val="28"/>
          <w:szCs w:val="28"/>
          <w:lang w:val="uk-UA"/>
        </w:rPr>
        <w:t>Професійна кар'єра сучасної молоді: соціологічний аналіз</w:t>
      </w:r>
      <w:r w:rsidRPr="009722DE">
        <w:rPr>
          <w:rFonts w:ascii="Times New Roman" w:hAnsi="Times New Roman" w:cs="Times New Roman"/>
          <w:color w:val="000000" w:themeColor="text1"/>
          <w:sz w:val="28"/>
          <w:szCs w:val="28"/>
          <w:lang w:val="uk-UA"/>
        </w:rPr>
        <w:t xml:space="preserve">. </w:t>
      </w:r>
      <w:r w:rsidRPr="00956236">
        <w:rPr>
          <w:rFonts w:ascii="Times New Roman" w:hAnsi="Times New Roman" w:cs="Times New Roman"/>
          <w:iCs/>
          <w:color w:val="000000" w:themeColor="text1"/>
          <w:sz w:val="28"/>
          <w:szCs w:val="28"/>
          <w:lang w:val="uk-UA"/>
        </w:rPr>
        <w:t>Соціальна робота та соціальна педагогіка: виклики сьогодення</w:t>
      </w:r>
      <w:r w:rsidRPr="009722DE">
        <w:rPr>
          <w:rFonts w:ascii="Times New Roman" w:hAnsi="Times New Roman" w:cs="Times New Roman"/>
          <w:color w:val="000000" w:themeColor="text1"/>
          <w:sz w:val="28"/>
          <w:szCs w:val="28"/>
          <w:lang w:val="uk-UA"/>
        </w:rPr>
        <w:t>. 2015.</w:t>
      </w:r>
      <w:r w:rsidRPr="00FB4D61">
        <w:rPr>
          <w:rFonts w:ascii="Times New Roman" w:hAnsi="Times New Roman" w:cs="Times New Roman"/>
          <w:color w:val="000000" w:themeColor="text1"/>
          <w:sz w:val="28"/>
          <w:szCs w:val="28"/>
          <w:lang w:val="uk-UA"/>
        </w:rPr>
        <w:t xml:space="preserve"> С. 171–177.</w:t>
      </w:r>
    </w:p>
    <w:p w14:paraId="3554C2B5"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96. </w:t>
      </w:r>
      <w:proofErr w:type="spellStart"/>
      <w:r w:rsidRPr="009722DE">
        <w:rPr>
          <w:rFonts w:ascii="Times New Roman" w:hAnsi="Times New Roman" w:cs="Times New Roman"/>
          <w:color w:val="000000" w:themeColor="text1"/>
          <w:sz w:val="28"/>
          <w:szCs w:val="28"/>
          <w:lang w:val="uk-UA"/>
        </w:rPr>
        <w:t>Лозовецька</w:t>
      </w:r>
      <w:proofErr w:type="spellEnd"/>
      <w:r w:rsidRPr="009722DE">
        <w:rPr>
          <w:rFonts w:ascii="Times New Roman" w:hAnsi="Times New Roman" w:cs="Times New Roman"/>
          <w:color w:val="000000" w:themeColor="text1"/>
          <w:sz w:val="28"/>
          <w:szCs w:val="28"/>
          <w:lang w:val="uk-UA"/>
        </w:rPr>
        <w:t xml:space="preserve"> В. Т. Професійна кар’єра особистості в сучасних умовах : монографія. Київ : Інститут професійно-технічної освіти НАПН України, 2015. 279 с.</w:t>
      </w:r>
    </w:p>
    <w:p w14:paraId="0FBE6D74" w14:textId="1BDE94C3"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97. Біскуп В. С. Кар’єрна компетентність студентської молоді: соціологічний аспект : </w:t>
      </w:r>
      <w:proofErr w:type="spellStart"/>
      <w:r w:rsidRPr="009722DE">
        <w:rPr>
          <w:rFonts w:ascii="Times New Roman" w:hAnsi="Times New Roman" w:cs="Times New Roman"/>
          <w:color w:val="000000" w:themeColor="text1"/>
          <w:sz w:val="28"/>
          <w:szCs w:val="28"/>
          <w:lang w:val="uk-UA"/>
        </w:rPr>
        <w:t>дис</w:t>
      </w:r>
      <w:proofErr w:type="spellEnd"/>
      <w:r w:rsidRPr="009722DE">
        <w:rPr>
          <w:rFonts w:ascii="Times New Roman" w:hAnsi="Times New Roman" w:cs="Times New Roman"/>
          <w:color w:val="000000" w:themeColor="text1"/>
          <w:sz w:val="28"/>
          <w:szCs w:val="28"/>
          <w:lang w:val="uk-UA"/>
        </w:rPr>
        <w:t>. …</w:t>
      </w:r>
      <w:proofErr w:type="spellStart"/>
      <w:r w:rsidRPr="009722DE">
        <w:rPr>
          <w:rFonts w:ascii="Times New Roman" w:hAnsi="Times New Roman" w:cs="Times New Roman"/>
          <w:color w:val="000000" w:themeColor="text1"/>
          <w:sz w:val="28"/>
          <w:szCs w:val="28"/>
          <w:lang w:val="uk-UA"/>
        </w:rPr>
        <w:t>канд</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соц</w:t>
      </w:r>
      <w:proofErr w:type="spellEnd"/>
      <w:r w:rsidRPr="009722DE">
        <w:rPr>
          <w:rFonts w:ascii="Times New Roman" w:hAnsi="Times New Roman" w:cs="Times New Roman"/>
          <w:color w:val="000000" w:themeColor="text1"/>
          <w:sz w:val="28"/>
          <w:szCs w:val="28"/>
          <w:lang w:val="uk-UA"/>
        </w:rPr>
        <w:t>. наук : 22.00.04</w:t>
      </w:r>
      <w:r w:rsidR="00956236">
        <w:rPr>
          <w:rFonts w:ascii="Times New Roman" w:hAnsi="Times New Roman" w:cs="Times New Roman"/>
          <w:color w:val="000000" w:themeColor="text1"/>
          <w:sz w:val="28"/>
          <w:szCs w:val="28"/>
          <w:lang w:val="uk-UA"/>
        </w:rPr>
        <w:t>.</w:t>
      </w:r>
      <w:r w:rsidRPr="009722DE">
        <w:rPr>
          <w:rFonts w:ascii="Times New Roman" w:hAnsi="Times New Roman" w:cs="Times New Roman"/>
          <w:color w:val="000000" w:themeColor="text1"/>
          <w:sz w:val="28"/>
          <w:szCs w:val="28"/>
          <w:lang w:val="uk-UA"/>
        </w:rPr>
        <w:t xml:space="preserve"> Українська академія друкарства, Львівський національний університет імені Івана Франка. Львів, 2017. 257 с.</w:t>
      </w:r>
    </w:p>
    <w:p w14:paraId="1779AA80"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98. </w:t>
      </w:r>
      <w:proofErr w:type="spellStart"/>
      <w:r w:rsidRPr="009722DE">
        <w:rPr>
          <w:rFonts w:ascii="Times New Roman" w:hAnsi="Times New Roman" w:cs="Times New Roman"/>
          <w:color w:val="000000" w:themeColor="text1"/>
          <w:sz w:val="28"/>
          <w:szCs w:val="28"/>
          <w:lang w:val="uk-UA"/>
        </w:rPr>
        <w:t>Simonton</w:t>
      </w:r>
      <w:proofErr w:type="spellEnd"/>
      <w:r w:rsidRPr="009722DE">
        <w:rPr>
          <w:rFonts w:ascii="Times New Roman" w:hAnsi="Times New Roman" w:cs="Times New Roman"/>
          <w:color w:val="000000" w:themeColor="text1"/>
          <w:sz w:val="28"/>
          <w:szCs w:val="28"/>
          <w:lang w:val="uk-UA"/>
        </w:rPr>
        <w:t xml:space="preserve"> D. K. </w:t>
      </w:r>
      <w:proofErr w:type="spellStart"/>
      <w:r w:rsidRPr="009722DE">
        <w:rPr>
          <w:rFonts w:ascii="Times New Roman" w:hAnsi="Times New Roman" w:cs="Times New Roman"/>
          <w:color w:val="000000" w:themeColor="text1"/>
          <w:sz w:val="28"/>
          <w:szCs w:val="28"/>
          <w:lang w:val="uk-UA"/>
        </w:rPr>
        <w:t>Achieved</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eminence</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in</w:t>
      </w:r>
      <w:proofErr w:type="spellEnd"/>
      <w:r w:rsidRPr="009722DE">
        <w:rPr>
          <w:rFonts w:ascii="Times New Roman" w:hAnsi="Times New Roman" w:cs="Times New Roman"/>
          <w:color w:val="000000" w:themeColor="text1"/>
          <w:sz w:val="28"/>
          <w:szCs w:val="28"/>
          <w:lang w:val="uk-UA"/>
        </w:rPr>
        <w:t xml:space="preserve"> 80 </w:t>
      </w:r>
      <w:proofErr w:type="spellStart"/>
      <w:r w:rsidRPr="009722DE">
        <w:rPr>
          <w:rFonts w:ascii="Times New Roman" w:hAnsi="Times New Roman" w:cs="Times New Roman"/>
          <w:color w:val="000000" w:themeColor="text1"/>
          <w:sz w:val="28"/>
          <w:szCs w:val="28"/>
          <w:lang w:val="uk-UA"/>
        </w:rPr>
        <w:t>female</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psychologists</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Family</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marriage</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children</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education</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career</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and</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contributions</w:t>
      </w:r>
      <w:proofErr w:type="spellEnd"/>
      <w:r w:rsidRPr="009722DE">
        <w:rPr>
          <w:rFonts w:ascii="Times New Roman" w:hAnsi="Times New Roman" w:cs="Times New Roman"/>
          <w:color w:val="000000" w:themeColor="text1"/>
          <w:sz w:val="28"/>
          <w:szCs w:val="28"/>
          <w:lang w:val="uk-UA"/>
        </w:rPr>
        <w:t xml:space="preserve">. </w:t>
      </w:r>
      <w:proofErr w:type="spellStart"/>
      <w:r w:rsidRPr="00956236">
        <w:rPr>
          <w:rFonts w:ascii="Times New Roman" w:hAnsi="Times New Roman" w:cs="Times New Roman"/>
          <w:color w:val="000000" w:themeColor="text1"/>
          <w:sz w:val="28"/>
          <w:szCs w:val="28"/>
          <w:lang w:val="uk-UA"/>
        </w:rPr>
        <w:t>Journal</w:t>
      </w:r>
      <w:proofErr w:type="spellEnd"/>
      <w:r w:rsidRPr="00956236">
        <w:rPr>
          <w:rFonts w:ascii="Times New Roman" w:hAnsi="Times New Roman" w:cs="Times New Roman"/>
          <w:color w:val="000000" w:themeColor="text1"/>
          <w:sz w:val="28"/>
          <w:szCs w:val="28"/>
          <w:lang w:val="uk-UA"/>
        </w:rPr>
        <w:t xml:space="preserve"> </w:t>
      </w:r>
      <w:proofErr w:type="spellStart"/>
      <w:r w:rsidRPr="00956236">
        <w:rPr>
          <w:rFonts w:ascii="Times New Roman" w:hAnsi="Times New Roman" w:cs="Times New Roman"/>
          <w:color w:val="000000" w:themeColor="text1"/>
          <w:sz w:val="28"/>
          <w:szCs w:val="28"/>
          <w:lang w:val="uk-UA"/>
        </w:rPr>
        <w:t>of</w:t>
      </w:r>
      <w:proofErr w:type="spellEnd"/>
      <w:r w:rsidRPr="00956236">
        <w:rPr>
          <w:rFonts w:ascii="Times New Roman" w:hAnsi="Times New Roman" w:cs="Times New Roman"/>
          <w:color w:val="000000" w:themeColor="text1"/>
          <w:sz w:val="28"/>
          <w:szCs w:val="28"/>
          <w:lang w:val="uk-UA"/>
        </w:rPr>
        <w:t xml:space="preserve"> </w:t>
      </w:r>
      <w:proofErr w:type="spellStart"/>
      <w:r w:rsidRPr="00956236">
        <w:rPr>
          <w:rFonts w:ascii="Times New Roman" w:hAnsi="Times New Roman" w:cs="Times New Roman"/>
          <w:color w:val="000000" w:themeColor="text1"/>
          <w:sz w:val="28"/>
          <w:szCs w:val="28"/>
          <w:lang w:val="uk-UA"/>
        </w:rPr>
        <w:t>Genius</w:t>
      </w:r>
      <w:proofErr w:type="spellEnd"/>
      <w:r w:rsidRPr="00956236">
        <w:rPr>
          <w:rFonts w:ascii="Times New Roman" w:hAnsi="Times New Roman" w:cs="Times New Roman"/>
          <w:color w:val="000000" w:themeColor="text1"/>
          <w:sz w:val="28"/>
          <w:szCs w:val="28"/>
          <w:lang w:val="uk-UA"/>
        </w:rPr>
        <w:t xml:space="preserve"> </w:t>
      </w:r>
      <w:proofErr w:type="spellStart"/>
      <w:r w:rsidRPr="00956236">
        <w:rPr>
          <w:rFonts w:ascii="Times New Roman" w:hAnsi="Times New Roman" w:cs="Times New Roman"/>
          <w:color w:val="000000" w:themeColor="text1"/>
          <w:sz w:val="28"/>
          <w:szCs w:val="28"/>
          <w:lang w:val="uk-UA"/>
        </w:rPr>
        <w:t>and</w:t>
      </w:r>
      <w:proofErr w:type="spellEnd"/>
      <w:r w:rsidRPr="00956236">
        <w:rPr>
          <w:rFonts w:ascii="Times New Roman" w:hAnsi="Times New Roman" w:cs="Times New Roman"/>
          <w:color w:val="000000" w:themeColor="text1"/>
          <w:sz w:val="28"/>
          <w:szCs w:val="28"/>
          <w:lang w:val="uk-UA"/>
        </w:rPr>
        <w:t xml:space="preserve"> </w:t>
      </w:r>
      <w:proofErr w:type="spellStart"/>
      <w:r w:rsidRPr="00956236">
        <w:rPr>
          <w:rFonts w:ascii="Times New Roman" w:hAnsi="Times New Roman" w:cs="Times New Roman"/>
          <w:color w:val="000000" w:themeColor="text1"/>
          <w:sz w:val="28"/>
          <w:szCs w:val="28"/>
          <w:lang w:val="uk-UA"/>
        </w:rPr>
        <w:t>Eminence</w:t>
      </w:r>
      <w:proofErr w:type="spellEnd"/>
      <w:r w:rsidRPr="009722DE">
        <w:rPr>
          <w:rFonts w:ascii="Times New Roman" w:hAnsi="Times New Roman" w:cs="Times New Roman"/>
          <w:color w:val="000000" w:themeColor="text1"/>
          <w:sz w:val="28"/>
          <w:szCs w:val="28"/>
          <w:lang w:val="uk-UA"/>
        </w:rPr>
        <w:t xml:space="preserve">. 2018. № </w:t>
      </w:r>
      <w:r w:rsidRPr="009722DE">
        <w:rPr>
          <w:rFonts w:ascii="Times New Roman" w:hAnsi="Times New Roman" w:cs="Times New Roman"/>
          <w:iCs/>
          <w:color w:val="000000" w:themeColor="text1"/>
          <w:sz w:val="28"/>
          <w:szCs w:val="28"/>
          <w:lang w:val="uk-UA"/>
        </w:rPr>
        <w:t>3</w:t>
      </w:r>
      <w:r w:rsidRPr="009722DE">
        <w:rPr>
          <w:rFonts w:ascii="Times New Roman" w:hAnsi="Times New Roman" w:cs="Times New Roman"/>
          <w:color w:val="000000" w:themeColor="text1"/>
          <w:sz w:val="28"/>
          <w:szCs w:val="28"/>
          <w:lang w:val="uk-UA"/>
        </w:rPr>
        <w:t>. Р. 1-12.</w:t>
      </w:r>
    </w:p>
    <w:p w14:paraId="318E9C2F" w14:textId="27B74621"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lastRenderedPageBreak/>
        <w:t>99. Драч І. І. Управління формуванням професійної компетентності магістрантів педагогіки вищої школи: теоретико-методичні засади</w:t>
      </w:r>
      <w:r w:rsidR="00956236">
        <w:rPr>
          <w:rFonts w:ascii="Times New Roman" w:hAnsi="Times New Roman" w:cs="Times New Roman"/>
          <w:color w:val="000000" w:themeColor="text1"/>
          <w:sz w:val="28"/>
          <w:szCs w:val="28"/>
          <w:lang w:val="uk-UA"/>
        </w:rPr>
        <w:t>: м</w:t>
      </w:r>
      <w:r w:rsidRPr="009722DE">
        <w:rPr>
          <w:rFonts w:ascii="Times New Roman" w:hAnsi="Times New Roman" w:cs="Times New Roman"/>
          <w:color w:val="000000" w:themeColor="text1"/>
          <w:sz w:val="28"/>
          <w:szCs w:val="28"/>
          <w:lang w:val="uk-UA"/>
        </w:rPr>
        <w:t>онографія. К.: «</w:t>
      </w:r>
      <w:proofErr w:type="spellStart"/>
      <w:r w:rsidRPr="009722DE">
        <w:rPr>
          <w:rFonts w:ascii="Times New Roman" w:hAnsi="Times New Roman" w:cs="Times New Roman"/>
          <w:color w:val="000000" w:themeColor="text1"/>
          <w:sz w:val="28"/>
          <w:szCs w:val="28"/>
          <w:lang w:val="uk-UA"/>
        </w:rPr>
        <w:t>Дорадо</w:t>
      </w:r>
      <w:proofErr w:type="spellEnd"/>
      <w:r w:rsidRPr="009722DE">
        <w:rPr>
          <w:rFonts w:ascii="Times New Roman" w:hAnsi="Times New Roman" w:cs="Times New Roman"/>
          <w:color w:val="000000" w:themeColor="text1"/>
          <w:sz w:val="28"/>
          <w:szCs w:val="28"/>
          <w:lang w:val="uk-UA"/>
        </w:rPr>
        <w:t>-Друк», 2013. 456 с.</w:t>
      </w:r>
    </w:p>
    <w:p w14:paraId="470A8CF1" w14:textId="6D871264"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100. Волинець Л. Л.</w:t>
      </w:r>
      <w:r w:rsidR="00956236">
        <w:rPr>
          <w:rFonts w:ascii="Times New Roman" w:hAnsi="Times New Roman" w:cs="Times New Roman"/>
          <w:color w:val="000000" w:themeColor="text1"/>
          <w:sz w:val="28"/>
          <w:szCs w:val="28"/>
          <w:lang w:val="uk-UA"/>
        </w:rPr>
        <w:t xml:space="preserve">, </w:t>
      </w:r>
      <w:r w:rsidRPr="009722DE">
        <w:rPr>
          <w:rFonts w:ascii="Times New Roman" w:hAnsi="Times New Roman" w:cs="Times New Roman"/>
          <w:color w:val="000000" w:themeColor="text1"/>
          <w:sz w:val="28"/>
          <w:szCs w:val="28"/>
          <w:lang w:val="uk-UA"/>
        </w:rPr>
        <w:t xml:space="preserve"> </w:t>
      </w:r>
      <w:r w:rsidR="00956236" w:rsidRPr="009722DE">
        <w:rPr>
          <w:rFonts w:ascii="Times New Roman" w:hAnsi="Times New Roman" w:cs="Times New Roman"/>
          <w:color w:val="000000" w:themeColor="text1"/>
          <w:sz w:val="28"/>
          <w:szCs w:val="28"/>
          <w:lang w:val="uk-UA"/>
        </w:rPr>
        <w:t xml:space="preserve">Єгоров </w:t>
      </w:r>
      <w:r w:rsidR="00956236">
        <w:rPr>
          <w:rFonts w:ascii="Times New Roman" w:hAnsi="Times New Roman" w:cs="Times New Roman"/>
          <w:color w:val="000000" w:themeColor="text1"/>
          <w:sz w:val="28"/>
          <w:szCs w:val="28"/>
          <w:lang w:val="uk-UA"/>
        </w:rPr>
        <w:t xml:space="preserve">Г. С, </w:t>
      </w:r>
      <w:proofErr w:type="spellStart"/>
      <w:r w:rsidR="00956236">
        <w:rPr>
          <w:rFonts w:ascii="Times New Roman" w:hAnsi="Times New Roman" w:cs="Times New Roman"/>
          <w:color w:val="000000" w:themeColor="text1"/>
          <w:sz w:val="28"/>
          <w:szCs w:val="28"/>
          <w:lang w:val="uk-UA"/>
        </w:rPr>
        <w:t>Лавриченко</w:t>
      </w:r>
      <w:proofErr w:type="spellEnd"/>
      <w:r w:rsidR="00956236">
        <w:rPr>
          <w:rFonts w:ascii="Times New Roman" w:hAnsi="Times New Roman" w:cs="Times New Roman"/>
          <w:color w:val="000000" w:themeColor="text1"/>
          <w:sz w:val="28"/>
          <w:szCs w:val="28"/>
          <w:lang w:val="uk-UA"/>
        </w:rPr>
        <w:t xml:space="preserve"> Н. М. та ін. </w:t>
      </w:r>
      <w:r w:rsidRPr="009722DE">
        <w:rPr>
          <w:rFonts w:ascii="Times New Roman" w:hAnsi="Times New Roman" w:cs="Times New Roman"/>
          <w:color w:val="000000" w:themeColor="text1"/>
          <w:sz w:val="28"/>
          <w:szCs w:val="28"/>
          <w:lang w:val="uk-UA"/>
        </w:rPr>
        <w:t>Світоглядний потенціал шкільної гуманітарної освіти в країнах ЄС та США : монографія. Ін-т педагогіки НАПН України. К., 2011. 482 с.</w:t>
      </w:r>
    </w:p>
    <w:p w14:paraId="7ACDD988" w14:textId="3F0E181E"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101. Антонова О. Є. Обдарованість: досвід історичного та порівняльного аналізу: монографія. Житомир: Житомир. </w:t>
      </w:r>
      <w:proofErr w:type="spellStart"/>
      <w:r w:rsidRPr="009722DE">
        <w:rPr>
          <w:rFonts w:ascii="Times New Roman" w:hAnsi="Times New Roman" w:cs="Times New Roman"/>
          <w:color w:val="000000" w:themeColor="text1"/>
          <w:sz w:val="28"/>
          <w:szCs w:val="28"/>
          <w:lang w:val="uk-UA"/>
        </w:rPr>
        <w:t>держ</w:t>
      </w:r>
      <w:proofErr w:type="spellEnd"/>
      <w:r w:rsidRPr="009722DE">
        <w:rPr>
          <w:rFonts w:ascii="Times New Roman" w:hAnsi="Times New Roman" w:cs="Times New Roman"/>
          <w:color w:val="000000" w:themeColor="text1"/>
          <w:sz w:val="28"/>
          <w:szCs w:val="28"/>
          <w:lang w:val="uk-UA"/>
        </w:rPr>
        <w:t>. ун-т, 2005. 456 с.</w:t>
      </w:r>
    </w:p>
    <w:p w14:paraId="461F2A65"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102. Рибалка В.В. Словник із психології та педагогіки обдарованості і таланту особистості: термінологічний словник. Київ, Житомир : Вид-во ЖДУ ім. І. Франка, 2016. 424 с.</w:t>
      </w:r>
    </w:p>
    <w:p w14:paraId="34AA456D" w14:textId="079F379D"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103. Психологічна діагностика мотивації особистості до навчання в умовах інформаційного суспільства: монографія</w:t>
      </w:r>
      <w:r w:rsidR="00956236">
        <w:rPr>
          <w:rFonts w:ascii="Times New Roman" w:hAnsi="Times New Roman" w:cs="Times New Roman"/>
          <w:color w:val="000000" w:themeColor="text1"/>
          <w:sz w:val="28"/>
          <w:szCs w:val="28"/>
          <w:lang w:val="uk-UA"/>
        </w:rPr>
        <w:t>. З</w:t>
      </w:r>
      <w:r w:rsidRPr="009722DE">
        <w:rPr>
          <w:rFonts w:ascii="Times New Roman" w:hAnsi="Times New Roman" w:cs="Times New Roman"/>
          <w:color w:val="000000" w:themeColor="text1"/>
          <w:sz w:val="28"/>
          <w:szCs w:val="28"/>
          <w:lang w:val="uk-UA"/>
        </w:rPr>
        <w:t>а ред. Н. В. Пророк. Київ: Видавничий Дім «Слово», 2020. 131 с.</w:t>
      </w:r>
    </w:p>
    <w:p w14:paraId="03362D2F" w14:textId="401765D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104. Яремко Р. Я. Соціально-психологічні особливості розвитку професійної самореалізації майбутніх фахівців з пожежної безпеки : </w:t>
      </w:r>
      <w:proofErr w:type="spellStart"/>
      <w:r w:rsidRPr="009722DE">
        <w:rPr>
          <w:rFonts w:ascii="Times New Roman" w:hAnsi="Times New Roman" w:cs="Times New Roman"/>
          <w:color w:val="000000" w:themeColor="text1"/>
          <w:sz w:val="28"/>
          <w:szCs w:val="28"/>
          <w:lang w:val="uk-UA"/>
        </w:rPr>
        <w:t>дис</w:t>
      </w:r>
      <w:proofErr w:type="spellEnd"/>
      <w:r w:rsidRPr="009722DE">
        <w:rPr>
          <w:rFonts w:ascii="Times New Roman" w:hAnsi="Times New Roman" w:cs="Times New Roman"/>
          <w:color w:val="000000" w:themeColor="text1"/>
          <w:sz w:val="28"/>
          <w:szCs w:val="28"/>
          <w:lang w:val="uk-UA"/>
        </w:rPr>
        <w:t>. …</w:t>
      </w:r>
      <w:proofErr w:type="spellStart"/>
      <w:r w:rsidRPr="009722DE">
        <w:rPr>
          <w:rFonts w:ascii="Times New Roman" w:hAnsi="Times New Roman" w:cs="Times New Roman"/>
          <w:color w:val="000000" w:themeColor="text1"/>
          <w:sz w:val="28"/>
          <w:szCs w:val="28"/>
          <w:lang w:val="uk-UA"/>
        </w:rPr>
        <w:t>канд</w:t>
      </w:r>
      <w:proofErr w:type="spellEnd"/>
      <w:r w:rsidRPr="009722DE">
        <w:rPr>
          <w:rFonts w:ascii="Times New Roman" w:hAnsi="Times New Roman" w:cs="Times New Roman"/>
          <w:color w:val="000000" w:themeColor="text1"/>
          <w:sz w:val="28"/>
          <w:szCs w:val="28"/>
          <w:lang w:val="uk-UA"/>
        </w:rPr>
        <w:t>. псих. наук : 19.00.05</w:t>
      </w:r>
      <w:r w:rsidR="00956236">
        <w:rPr>
          <w:rFonts w:ascii="Times New Roman" w:hAnsi="Times New Roman" w:cs="Times New Roman"/>
          <w:color w:val="000000" w:themeColor="text1"/>
          <w:sz w:val="28"/>
          <w:szCs w:val="28"/>
          <w:lang w:val="uk-UA"/>
        </w:rPr>
        <w:t xml:space="preserve">. </w:t>
      </w:r>
      <w:r w:rsidRPr="009722DE">
        <w:rPr>
          <w:rFonts w:ascii="Times New Roman" w:hAnsi="Times New Roman" w:cs="Times New Roman"/>
          <w:color w:val="000000" w:themeColor="text1"/>
          <w:sz w:val="28"/>
          <w:szCs w:val="28"/>
          <w:lang w:val="uk-UA"/>
        </w:rPr>
        <w:t>Східноукраїнський національний університет імені Володимира Даля МОН України. Київ, 2022. 267 с.</w:t>
      </w:r>
    </w:p>
    <w:p w14:paraId="50701B98" w14:textId="5CAAC351"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105. Економічна ефективність </w:t>
      </w:r>
      <w:proofErr w:type="spellStart"/>
      <w:r w:rsidRPr="009722DE">
        <w:rPr>
          <w:rFonts w:ascii="Times New Roman" w:hAnsi="Times New Roman" w:cs="Times New Roman"/>
          <w:color w:val="000000" w:themeColor="text1"/>
          <w:sz w:val="28"/>
          <w:szCs w:val="28"/>
          <w:lang w:val="uk-UA"/>
        </w:rPr>
        <w:t>vs</w:t>
      </w:r>
      <w:proofErr w:type="spellEnd"/>
      <w:r w:rsidRPr="009722DE">
        <w:rPr>
          <w:rFonts w:ascii="Times New Roman" w:hAnsi="Times New Roman" w:cs="Times New Roman"/>
          <w:color w:val="000000" w:themeColor="text1"/>
          <w:sz w:val="28"/>
          <w:szCs w:val="28"/>
          <w:lang w:val="uk-UA"/>
        </w:rPr>
        <w:t xml:space="preserve"> соціальна справедливість: пріоритети розвитку України на етапі подолання кризи: колективна монографія. НАН України. Секція суспільних і гуманітарних наук. Київ, 2019. 350 с.</w:t>
      </w:r>
    </w:p>
    <w:p w14:paraId="77DF86E9" w14:textId="1FA53BBC"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106. Брюховецька Н. Ю., Чорна О. А. Управління розвитком людського капіталу підприємств: інституціональний аспект : монографія. НАН України, Ін</w:t>
      </w:r>
      <w:r w:rsidR="00956236">
        <w:rPr>
          <w:rFonts w:ascii="Times New Roman" w:hAnsi="Times New Roman" w:cs="Times New Roman"/>
          <w:color w:val="000000" w:themeColor="text1"/>
          <w:sz w:val="28"/>
          <w:szCs w:val="28"/>
          <w:lang w:val="uk-UA"/>
        </w:rPr>
        <w:t>ститут</w:t>
      </w:r>
      <w:r w:rsidRPr="009722DE">
        <w:rPr>
          <w:rFonts w:ascii="Times New Roman" w:hAnsi="Times New Roman" w:cs="Times New Roman"/>
          <w:color w:val="000000" w:themeColor="text1"/>
          <w:sz w:val="28"/>
          <w:szCs w:val="28"/>
          <w:lang w:val="uk-UA"/>
        </w:rPr>
        <w:t xml:space="preserve"> економіки пром</w:t>
      </w:r>
      <w:r w:rsidR="00956236">
        <w:rPr>
          <w:rFonts w:ascii="Times New Roman" w:hAnsi="Times New Roman" w:cs="Times New Roman"/>
          <w:color w:val="000000" w:themeColor="text1"/>
          <w:sz w:val="28"/>
          <w:szCs w:val="28"/>
          <w:lang w:val="uk-UA"/>
        </w:rPr>
        <w:t>ислово</w:t>
      </w:r>
      <w:r w:rsidRPr="009722DE">
        <w:rPr>
          <w:rFonts w:ascii="Times New Roman" w:hAnsi="Times New Roman" w:cs="Times New Roman"/>
          <w:color w:val="000000" w:themeColor="text1"/>
          <w:sz w:val="28"/>
          <w:szCs w:val="28"/>
          <w:lang w:val="uk-UA"/>
        </w:rPr>
        <w:t>сті. Київ, 2015. 268 с</w:t>
      </w:r>
    </w:p>
    <w:p w14:paraId="554790AE" w14:textId="10AFF8BD"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107. Управління ресурсами підприємства : монографія</w:t>
      </w:r>
      <w:r w:rsidR="00956236">
        <w:rPr>
          <w:rFonts w:ascii="Times New Roman" w:hAnsi="Times New Roman" w:cs="Times New Roman"/>
          <w:color w:val="000000" w:themeColor="text1"/>
          <w:sz w:val="28"/>
          <w:szCs w:val="28"/>
          <w:lang w:val="uk-UA"/>
        </w:rPr>
        <w:t>. З</w:t>
      </w:r>
      <w:r w:rsidRPr="009722DE">
        <w:rPr>
          <w:rFonts w:ascii="Times New Roman" w:hAnsi="Times New Roman" w:cs="Times New Roman"/>
          <w:color w:val="000000" w:themeColor="text1"/>
          <w:sz w:val="28"/>
          <w:szCs w:val="28"/>
          <w:lang w:val="uk-UA"/>
        </w:rPr>
        <w:t xml:space="preserve">а </w:t>
      </w:r>
      <w:proofErr w:type="spellStart"/>
      <w:r w:rsidRPr="009722DE">
        <w:rPr>
          <w:rFonts w:ascii="Times New Roman" w:hAnsi="Times New Roman" w:cs="Times New Roman"/>
          <w:color w:val="000000" w:themeColor="text1"/>
          <w:sz w:val="28"/>
          <w:szCs w:val="28"/>
          <w:lang w:val="uk-UA"/>
        </w:rPr>
        <w:t>заг</w:t>
      </w:r>
      <w:proofErr w:type="spellEnd"/>
      <w:r w:rsidRPr="009722DE">
        <w:rPr>
          <w:rFonts w:ascii="Times New Roman" w:hAnsi="Times New Roman" w:cs="Times New Roman"/>
          <w:color w:val="000000" w:themeColor="text1"/>
          <w:sz w:val="28"/>
          <w:szCs w:val="28"/>
          <w:lang w:val="uk-UA"/>
        </w:rPr>
        <w:t xml:space="preserve">. ред. </w:t>
      </w:r>
      <w:r w:rsidR="00956236">
        <w:rPr>
          <w:rFonts w:ascii="Times New Roman" w:hAnsi="Times New Roman" w:cs="Times New Roman"/>
          <w:color w:val="000000" w:themeColor="text1"/>
          <w:sz w:val="28"/>
          <w:szCs w:val="28"/>
          <w:lang w:val="uk-UA"/>
        </w:rPr>
        <w:t xml:space="preserve">          </w:t>
      </w:r>
      <w:r w:rsidRPr="009722DE">
        <w:rPr>
          <w:rFonts w:ascii="Times New Roman" w:hAnsi="Times New Roman" w:cs="Times New Roman"/>
          <w:color w:val="000000" w:themeColor="text1"/>
          <w:sz w:val="28"/>
          <w:szCs w:val="28"/>
          <w:lang w:val="uk-UA"/>
        </w:rPr>
        <w:t>Г.О.</w:t>
      </w:r>
      <w:r w:rsidR="00956236">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Швиданенко</w:t>
      </w:r>
      <w:proofErr w:type="spellEnd"/>
      <w:r w:rsidRPr="009722DE">
        <w:rPr>
          <w:rFonts w:ascii="Times New Roman" w:hAnsi="Times New Roman" w:cs="Times New Roman"/>
          <w:color w:val="000000" w:themeColor="text1"/>
          <w:sz w:val="28"/>
          <w:szCs w:val="28"/>
          <w:lang w:val="uk-UA"/>
        </w:rPr>
        <w:t>. К. : КНЕУ, 2014. 418 с.</w:t>
      </w:r>
    </w:p>
    <w:p w14:paraId="35863CC0"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108. </w:t>
      </w:r>
      <w:proofErr w:type="spellStart"/>
      <w:r w:rsidRPr="009722DE">
        <w:rPr>
          <w:rFonts w:ascii="Times New Roman" w:hAnsi="Times New Roman" w:cs="Times New Roman"/>
          <w:color w:val="000000" w:themeColor="text1"/>
          <w:sz w:val="28"/>
          <w:szCs w:val="28"/>
          <w:lang w:val="uk-UA"/>
        </w:rPr>
        <w:t>Каламан</w:t>
      </w:r>
      <w:proofErr w:type="spellEnd"/>
      <w:r w:rsidRPr="009722DE">
        <w:rPr>
          <w:rFonts w:ascii="Times New Roman" w:hAnsi="Times New Roman" w:cs="Times New Roman"/>
          <w:color w:val="000000" w:themeColor="text1"/>
          <w:sz w:val="28"/>
          <w:szCs w:val="28"/>
          <w:lang w:val="uk-UA"/>
        </w:rPr>
        <w:t xml:space="preserve"> О. Б., </w:t>
      </w:r>
      <w:proofErr w:type="spellStart"/>
      <w:r w:rsidRPr="009722DE">
        <w:rPr>
          <w:rFonts w:ascii="Times New Roman" w:hAnsi="Times New Roman" w:cs="Times New Roman"/>
          <w:color w:val="000000" w:themeColor="text1"/>
          <w:sz w:val="28"/>
          <w:szCs w:val="28"/>
          <w:lang w:val="uk-UA"/>
        </w:rPr>
        <w:t>Пурцхванідзе</w:t>
      </w:r>
      <w:proofErr w:type="spellEnd"/>
      <w:r w:rsidRPr="009722DE">
        <w:rPr>
          <w:rFonts w:ascii="Times New Roman" w:hAnsi="Times New Roman" w:cs="Times New Roman"/>
          <w:color w:val="000000" w:themeColor="text1"/>
          <w:sz w:val="28"/>
          <w:szCs w:val="28"/>
          <w:lang w:val="uk-UA"/>
        </w:rPr>
        <w:t xml:space="preserve"> О. В. Трансформаційне лідерство: оптимальний стиль роботи команди в публічній сфері. </w:t>
      </w:r>
      <w:r w:rsidRPr="00956236">
        <w:rPr>
          <w:rFonts w:ascii="Times New Roman" w:hAnsi="Times New Roman" w:cs="Times New Roman"/>
          <w:iCs/>
          <w:color w:val="000000" w:themeColor="text1"/>
          <w:sz w:val="28"/>
          <w:szCs w:val="28"/>
          <w:lang w:val="uk-UA"/>
        </w:rPr>
        <w:t>Інвестиції: практика та досвід.</w:t>
      </w:r>
      <w:r w:rsidRPr="009722DE">
        <w:rPr>
          <w:rFonts w:ascii="Times New Roman" w:hAnsi="Times New Roman" w:cs="Times New Roman"/>
          <w:i/>
          <w:color w:val="000000" w:themeColor="text1"/>
          <w:sz w:val="28"/>
          <w:szCs w:val="28"/>
          <w:lang w:val="uk-UA"/>
        </w:rPr>
        <w:t xml:space="preserve"> </w:t>
      </w:r>
      <w:r w:rsidRPr="009722DE">
        <w:rPr>
          <w:rFonts w:ascii="Times New Roman" w:hAnsi="Times New Roman" w:cs="Times New Roman"/>
          <w:color w:val="000000" w:themeColor="text1"/>
          <w:sz w:val="28"/>
          <w:szCs w:val="28"/>
          <w:lang w:val="uk-UA"/>
        </w:rPr>
        <w:t xml:space="preserve">2021. № 1. С. 109-114. </w:t>
      </w:r>
      <w:r w:rsidRPr="009722DE">
        <w:rPr>
          <w:rStyle w:val="a6"/>
          <w:rFonts w:ascii="Times New Roman" w:hAnsi="Times New Roman" w:cs="Times New Roman"/>
          <w:color w:val="000000" w:themeColor="text1"/>
          <w:sz w:val="28"/>
          <w:szCs w:val="28"/>
          <w:lang w:val="uk-UA"/>
        </w:rPr>
        <w:t xml:space="preserve">DOI: </w:t>
      </w:r>
      <w:r w:rsidRPr="009722DE">
        <w:rPr>
          <w:rFonts w:ascii="Times New Roman" w:hAnsi="Times New Roman" w:cs="Times New Roman"/>
          <w:color w:val="000000" w:themeColor="text1"/>
          <w:sz w:val="28"/>
          <w:szCs w:val="28"/>
          <w:lang w:val="uk-UA"/>
        </w:rPr>
        <w:t>https://doi.org/10.32702/2306-6814.2021.1.109</w:t>
      </w:r>
    </w:p>
    <w:p w14:paraId="79D56DE9" w14:textId="77777777" w:rsidR="00571B42" w:rsidRPr="00956236" w:rsidRDefault="00571B42" w:rsidP="00571B42">
      <w:pPr>
        <w:spacing w:after="0" w:line="360" w:lineRule="auto"/>
        <w:ind w:firstLine="720"/>
        <w:jc w:val="both"/>
        <w:rPr>
          <w:rFonts w:ascii="Times New Roman" w:hAnsi="Times New Roman" w:cs="Times New Roman"/>
          <w:iCs/>
          <w:color w:val="000000" w:themeColor="text1"/>
          <w:sz w:val="28"/>
          <w:szCs w:val="28"/>
          <w:lang w:val="uk-UA"/>
        </w:rPr>
      </w:pPr>
      <w:r w:rsidRPr="009722DE">
        <w:rPr>
          <w:rFonts w:ascii="Times New Roman" w:hAnsi="Times New Roman" w:cs="Times New Roman"/>
          <w:color w:val="000000" w:themeColor="text1"/>
          <w:sz w:val="28"/>
          <w:szCs w:val="28"/>
          <w:lang w:val="uk-UA"/>
        </w:rPr>
        <w:lastRenderedPageBreak/>
        <w:t xml:space="preserve">109. </w:t>
      </w:r>
      <w:proofErr w:type="spellStart"/>
      <w:r w:rsidRPr="009722DE">
        <w:rPr>
          <w:rFonts w:ascii="Times New Roman" w:hAnsi="Times New Roman" w:cs="Times New Roman"/>
          <w:color w:val="000000" w:themeColor="text1"/>
          <w:sz w:val="28"/>
          <w:szCs w:val="28"/>
          <w:lang w:val="uk-UA"/>
        </w:rPr>
        <w:t>Каламан</w:t>
      </w:r>
      <w:proofErr w:type="spellEnd"/>
      <w:r w:rsidRPr="009722DE">
        <w:rPr>
          <w:rFonts w:ascii="Times New Roman" w:hAnsi="Times New Roman" w:cs="Times New Roman"/>
          <w:color w:val="000000" w:themeColor="text1"/>
          <w:sz w:val="28"/>
          <w:szCs w:val="28"/>
          <w:lang w:val="uk-UA"/>
        </w:rPr>
        <w:t xml:space="preserve"> О. Б., </w:t>
      </w:r>
      <w:proofErr w:type="spellStart"/>
      <w:r w:rsidRPr="009722DE">
        <w:rPr>
          <w:rFonts w:ascii="Times New Roman" w:hAnsi="Times New Roman" w:cs="Times New Roman"/>
          <w:color w:val="000000" w:themeColor="text1"/>
          <w:sz w:val="28"/>
          <w:szCs w:val="28"/>
          <w:lang w:val="uk-UA"/>
        </w:rPr>
        <w:t>Пурцхванідзе</w:t>
      </w:r>
      <w:proofErr w:type="spellEnd"/>
      <w:r w:rsidRPr="009722DE">
        <w:rPr>
          <w:rFonts w:ascii="Times New Roman" w:hAnsi="Times New Roman" w:cs="Times New Roman"/>
          <w:color w:val="000000" w:themeColor="text1"/>
          <w:sz w:val="28"/>
          <w:szCs w:val="28"/>
          <w:lang w:val="uk-UA"/>
        </w:rPr>
        <w:t xml:space="preserve"> О. В. Лідерство у сфері державних послуг. </w:t>
      </w:r>
      <w:r w:rsidRPr="00956236">
        <w:rPr>
          <w:rFonts w:ascii="Times New Roman" w:hAnsi="Times New Roman" w:cs="Times New Roman"/>
          <w:iCs/>
          <w:color w:val="000000" w:themeColor="text1"/>
          <w:sz w:val="28"/>
          <w:szCs w:val="28"/>
          <w:lang w:val="uk-UA"/>
        </w:rPr>
        <w:t xml:space="preserve">Інвестиції: практика та досвід. 2021. № 2. С. 88-94. </w:t>
      </w:r>
      <w:r w:rsidRPr="00956236">
        <w:rPr>
          <w:rStyle w:val="a6"/>
          <w:rFonts w:ascii="Times New Roman" w:hAnsi="Times New Roman" w:cs="Times New Roman"/>
          <w:iCs/>
          <w:color w:val="000000" w:themeColor="text1"/>
          <w:sz w:val="28"/>
          <w:szCs w:val="28"/>
          <w:lang w:val="uk-UA"/>
        </w:rPr>
        <w:t xml:space="preserve">DOI: </w:t>
      </w:r>
      <w:r w:rsidRPr="00956236">
        <w:rPr>
          <w:rFonts w:ascii="Times New Roman" w:hAnsi="Times New Roman" w:cs="Times New Roman"/>
          <w:iCs/>
          <w:color w:val="000000" w:themeColor="text1"/>
          <w:sz w:val="28"/>
          <w:szCs w:val="28"/>
          <w:lang w:val="uk-UA"/>
        </w:rPr>
        <w:t>https://doi.org/10.32702/2306-6814.2021.2.88</w:t>
      </w:r>
    </w:p>
    <w:p w14:paraId="0BE66D86" w14:textId="77777777" w:rsidR="00571B42" w:rsidRPr="00956236" w:rsidRDefault="00571B42" w:rsidP="00571B42">
      <w:pPr>
        <w:spacing w:after="0" w:line="360" w:lineRule="auto"/>
        <w:ind w:firstLine="720"/>
        <w:jc w:val="both"/>
        <w:rPr>
          <w:rStyle w:val="a6"/>
          <w:rFonts w:ascii="Times New Roman" w:hAnsi="Times New Roman" w:cs="Times New Roman"/>
          <w:iCs/>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110. </w:t>
      </w:r>
      <w:proofErr w:type="spellStart"/>
      <w:r w:rsidRPr="00956236">
        <w:rPr>
          <w:rFonts w:ascii="Times New Roman" w:hAnsi="Times New Roman" w:cs="Times New Roman"/>
          <w:iCs/>
          <w:color w:val="000000" w:themeColor="text1"/>
          <w:sz w:val="28"/>
          <w:szCs w:val="28"/>
          <w:lang w:val="uk-UA"/>
        </w:rPr>
        <w:t>Каламан</w:t>
      </w:r>
      <w:proofErr w:type="spellEnd"/>
      <w:r w:rsidRPr="00956236">
        <w:rPr>
          <w:rFonts w:ascii="Times New Roman" w:hAnsi="Times New Roman" w:cs="Times New Roman"/>
          <w:iCs/>
          <w:color w:val="000000" w:themeColor="text1"/>
          <w:sz w:val="28"/>
          <w:szCs w:val="28"/>
          <w:lang w:val="uk-UA"/>
        </w:rPr>
        <w:t xml:space="preserve"> О. Б., </w:t>
      </w:r>
      <w:proofErr w:type="spellStart"/>
      <w:r w:rsidRPr="00956236">
        <w:rPr>
          <w:rFonts w:ascii="Times New Roman" w:hAnsi="Times New Roman" w:cs="Times New Roman"/>
          <w:iCs/>
          <w:color w:val="000000" w:themeColor="text1"/>
          <w:sz w:val="28"/>
          <w:szCs w:val="28"/>
          <w:lang w:val="uk-UA"/>
        </w:rPr>
        <w:t>Мандрикін</w:t>
      </w:r>
      <w:proofErr w:type="spellEnd"/>
      <w:r w:rsidRPr="00956236">
        <w:rPr>
          <w:rFonts w:ascii="Times New Roman" w:hAnsi="Times New Roman" w:cs="Times New Roman"/>
          <w:iCs/>
          <w:color w:val="000000" w:themeColor="text1"/>
          <w:sz w:val="28"/>
          <w:szCs w:val="28"/>
          <w:lang w:val="uk-UA"/>
        </w:rPr>
        <w:t xml:space="preserve"> Д. В. </w:t>
      </w:r>
      <w:r w:rsidRPr="00956236">
        <w:rPr>
          <w:rStyle w:val="a6"/>
          <w:rFonts w:ascii="Times New Roman" w:hAnsi="Times New Roman" w:cs="Times New Roman"/>
          <w:iCs/>
          <w:color w:val="000000" w:themeColor="text1"/>
          <w:sz w:val="28"/>
          <w:szCs w:val="28"/>
          <w:u w:val="none"/>
          <w:lang w:val="uk-UA"/>
        </w:rPr>
        <w:t>Феномен лідерства як механізм управління організаційною поведінкою</w:t>
      </w:r>
      <w:r w:rsidRPr="00956236">
        <w:rPr>
          <w:rFonts w:ascii="Times New Roman" w:hAnsi="Times New Roman" w:cs="Times New Roman"/>
          <w:iCs/>
          <w:color w:val="000000" w:themeColor="text1"/>
          <w:sz w:val="28"/>
          <w:szCs w:val="28"/>
          <w:lang w:val="uk-UA"/>
        </w:rPr>
        <w:t xml:space="preserve">. Економічний простір. 2021. № 175. С. </w:t>
      </w:r>
      <w:r w:rsidRPr="00956236">
        <w:rPr>
          <w:rStyle w:val="a6"/>
          <w:rFonts w:ascii="Times New Roman" w:hAnsi="Times New Roman" w:cs="Times New Roman"/>
          <w:iCs/>
          <w:color w:val="000000" w:themeColor="text1"/>
          <w:sz w:val="28"/>
          <w:szCs w:val="28"/>
          <w:lang w:val="uk-UA"/>
        </w:rPr>
        <w:t>65-68. DOI: https://doi.org/10.32782/2224-6282/175-12.</w:t>
      </w:r>
    </w:p>
    <w:p w14:paraId="2204541F" w14:textId="77777777" w:rsidR="00571B42" w:rsidRPr="00956236" w:rsidRDefault="00571B42" w:rsidP="00571B42">
      <w:pPr>
        <w:spacing w:after="0" w:line="360" w:lineRule="auto"/>
        <w:ind w:firstLine="720"/>
        <w:jc w:val="both"/>
        <w:rPr>
          <w:rFonts w:ascii="Times New Roman" w:hAnsi="Times New Roman" w:cs="Times New Roman"/>
          <w:iCs/>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111. </w:t>
      </w:r>
      <w:proofErr w:type="spellStart"/>
      <w:r w:rsidRPr="00956236">
        <w:rPr>
          <w:rFonts w:ascii="Times New Roman" w:hAnsi="Times New Roman" w:cs="Times New Roman"/>
          <w:iCs/>
          <w:color w:val="000000" w:themeColor="text1"/>
          <w:sz w:val="28"/>
          <w:szCs w:val="28"/>
          <w:lang w:val="uk-UA"/>
        </w:rPr>
        <w:t>Каламан</w:t>
      </w:r>
      <w:proofErr w:type="spellEnd"/>
      <w:r w:rsidRPr="00956236">
        <w:rPr>
          <w:rFonts w:ascii="Times New Roman" w:hAnsi="Times New Roman" w:cs="Times New Roman"/>
          <w:iCs/>
          <w:color w:val="000000" w:themeColor="text1"/>
          <w:sz w:val="28"/>
          <w:szCs w:val="28"/>
          <w:lang w:val="uk-UA"/>
        </w:rPr>
        <w:t xml:space="preserve"> О. Б., </w:t>
      </w:r>
      <w:proofErr w:type="spellStart"/>
      <w:r w:rsidRPr="00956236">
        <w:rPr>
          <w:rFonts w:ascii="Times New Roman" w:hAnsi="Times New Roman" w:cs="Times New Roman"/>
          <w:bCs/>
          <w:iCs/>
          <w:color w:val="000000" w:themeColor="text1"/>
          <w:sz w:val="28"/>
          <w:szCs w:val="28"/>
          <w:lang w:val="uk-UA"/>
        </w:rPr>
        <w:t>Пурцхванідзе</w:t>
      </w:r>
      <w:proofErr w:type="spellEnd"/>
      <w:r w:rsidRPr="00956236">
        <w:rPr>
          <w:rFonts w:ascii="Times New Roman" w:hAnsi="Times New Roman" w:cs="Times New Roman"/>
          <w:bCs/>
          <w:iCs/>
          <w:color w:val="000000" w:themeColor="text1"/>
          <w:sz w:val="28"/>
          <w:szCs w:val="28"/>
          <w:lang w:val="uk-UA"/>
        </w:rPr>
        <w:t xml:space="preserve"> О. В</w:t>
      </w:r>
      <w:r w:rsidRPr="00956236">
        <w:rPr>
          <w:rFonts w:ascii="Times New Roman" w:hAnsi="Times New Roman" w:cs="Times New Roman"/>
          <w:iCs/>
          <w:color w:val="000000" w:themeColor="text1"/>
          <w:sz w:val="28"/>
          <w:szCs w:val="28"/>
          <w:lang w:val="uk-UA"/>
        </w:rPr>
        <w:t>. Інформаційна культура як фактор формування позитивного іміджу державного службовця. Публічне управління і адміністрування в Україні. 2020. № 20. С. 83-88. DOI: https://doi.org/10.32843/2663-5240-2020.20.14</w:t>
      </w:r>
    </w:p>
    <w:p w14:paraId="1B1BE3B5" w14:textId="77777777" w:rsidR="00571B42" w:rsidRPr="00956236" w:rsidRDefault="00571B42" w:rsidP="00571B42">
      <w:pPr>
        <w:spacing w:after="0" w:line="360" w:lineRule="auto"/>
        <w:ind w:firstLine="720"/>
        <w:jc w:val="both"/>
        <w:rPr>
          <w:rFonts w:ascii="Times New Roman" w:hAnsi="Times New Roman" w:cs="Times New Roman"/>
          <w:iCs/>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112. </w:t>
      </w:r>
      <w:proofErr w:type="spellStart"/>
      <w:r w:rsidRPr="00956236">
        <w:rPr>
          <w:rFonts w:ascii="Times New Roman" w:hAnsi="Times New Roman" w:cs="Times New Roman"/>
          <w:iCs/>
          <w:color w:val="000000" w:themeColor="text1"/>
          <w:sz w:val="28"/>
          <w:szCs w:val="28"/>
          <w:lang w:val="uk-UA"/>
        </w:rPr>
        <w:t>Каламан</w:t>
      </w:r>
      <w:proofErr w:type="spellEnd"/>
      <w:r w:rsidRPr="00956236">
        <w:rPr>
          <w:rFonts w:ascii="Times New Roman" w:hAnsi="Times New Roman" w:cs="Times New Roman"/>
          <w:iCs/>
          <w:color w:val="000000" w:themeColor="text1"/>
          <w:sz w:val="28"/>
          <w:szCs w:val="28"/>
          <w:lang w:val="uk-UA"/>
        </w:rPr>
        <w:t xml:space="preserve"> О. Б., </w:t>
      </w:r>
      <w:proofErr w:type="spellStart"/>
      <w:r w:rsidRPr="00956236">
        <w:rPr>
          <w:rFonts w:ascii="Times New Roman" w:hAnsi="Times New Roman" w:cs="Times New Roman"/>
          <w:iCs/>
          <w:color w:val="000000" w:themeColor="text1"/>
          <w:sz w:val="28"/>
          <w:szCs w:val="28"/>
          <w:lang w:val="uk-UA"/>
        </w:rPr>
        <w:t>Братковська</w:t>
      </w:r>
      <w:proofErr w:type="spellEnd"/>
      <w:r w:rsidRPr="00956236">
        <w:rPr>
          <w:rFonts w:ascii="Times New Roman" w:hAnsi="Times New Roman" w:cs="Times New Roman"/>
          <w:iCs/>
          <w:color w:val="000000" w:themeColor="text1"/>
          <w:sz w:val="28"/>
          <w:szCs w:val="28"/>
          <w:lang w:val="uk-UA"/>
        </w:rPr>
        <w:t xml:space="preserve"> О. О. Інноваційний розвиток підприємств харчової промисловості. Економіка харчової промисловості. 2014. № 1(21). С. 87-90.</w:t>
      </w:r>
    </w:p>
    <w:p w14:paraId="17FB644F" w14:textId="49E61DD6"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113. </w:t>
      </w:r>
      <w:proofErr w:type="spellStart"/>
      <w:r w:rsidRPr="00956236">
        <w:rPr>
          <w:rFonts w:ascii="Times New Roman" w:hAnsi="Times New Roman" w:cs="Times New Roman"/>
          <w:iCs/>
          <w:color w:val="000000" w:themeColor="text1"/>
          <w:sz w:val="28"/>
          <w:szCs w:val="28"/>
          <w:lang w:val="uk-UA"/>
        </w:rPr>
        <w:t>Павліченко</w:t>
      </w:r>
      <w:proofErr w:type="spellEnd"/>
      <w:r w:rsidRPr="00956236">
        <w:rPr>
          <w:rFonts w:ascii="Times New Roman" w:hAnsi="Times New Roman" w:cs="Times New Roman"/>
          <w:iCs/>
          <w:color w:val="000000" w:themeColor="text1"/>
          <w:sz w:val="28"/>
          <w:szCs w:val="28"/>
          <w:lang w:val="uk-UA"/>
        </w:rPr>
        <w:t xml:space="preserve"> О. В. Сучасний стан правового</w:t>
      </w:r>
      <w:r w:rsidRPr="009722DE">
        <w:rPr>
          <w:rFonts w:ascii="Times New Roman" w:hAnsi="Times New Roman" w:cs="Times New Roman"/>
          <w:color w:val="000000" w:themeColor="text1"/>
          <w:sz w:val="28"/>
          <w:szCs w:val="28"/>
          <w:lang w:val="uk-UA"/>
        </w:rPr>
        <w:t xml:space="preserve"> регулювання соціального захисту жінок в Україні за Кодексом Законів про працю. Проблеми розвитку соціально-трудових прав та профспілкового руху в Україні : матеріали VІІІ Всеукраїнської науково-практичної конференції (м. Харків, 28 травня 2020 р.) / за </w:t>
      </w:r>
      <w:proofErr w:type="spellStart"/>
      <w:r w:rsidRPr="009722DE">
        <w:rPr>
          <w:rFonts w:ascii="Times New Roman" w:hAnsi="Times New Roman" w:cs="Times New Roman"/>
          <w:color w:val="000000" w:themeColor="text1"/>
          <w:sz w:val="28"/>
          <w:szCs w:val="28"/>
          <w:lang w:val="uk-UA"/>
        </w:rPr>
        <w:t>заг</w:t>
      </w:r>
      <w:proofErr w:type="spellEnd"/>
      <w:r w:rsidRPr="009722DE">
        <w:rPr>
          <w:rFonts w:ascii="Times New Roman" w:hAnsi="Times New Roman" w:cs="Times New Roman"/>
          <w:color w:val="000000" w:themeColor="text1"/>
          <w:sz w:val="28"/>
          <w:szCs w:val="28"/>
          <w:lang w:val="uk-UA"/>
        </w:rPr>
        <w:t>. ред. К. Ю. Мельника. X.: ХНУВС. 2020. С. 358-363.</w:t>
      </w:r>
    </w:p>
    <w:p w14:paraId="2243DE1A" w14:textId="2754DBD2"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114. Соціально-трудові права і виклики </w:t>
      </w:r>
      <w:proofErr w:type="spellStart"/>
      <w:r w:rsidRPr="009722DE">
        <w:rPr>
          <w:rFonts w:ascii="Times New Roman" w:hAnsi="Times New Roman" w:cs="Times New Roman"/>
          <w:color w:val="000000" w:themeColor="text1"/>
          <w:sz w:val="28"/>
          <w:szCs w:val="28"/>
          <w:lang w:val="uk-UA"/>
        </w:rPr>
        <w:t>цифровізації</w:t>
      </w:r>
      <w:proofErr w:type="spellEnd"/>
      <w:r w:rsidRPr="009722DE">
        <w:rPr>
          <w:rFonts w:ascii="Times New Roman" w:hAnsi="Times New Roman" w:cs="Times New Roman"/>
          <w:color w:val="000000" w:themeColor="text1"/>
          <w:sz w:val="28"/>
          <w:szCs w:val="28"/>
          <w:lang w:val="uk-UA"/>
        </w:rPr>
        <w:t>: монографія</w:t>
      </w:r>
      <w:r w:rsidR="00956236">
        <w:rPr>
          <w:rFonts w:ascii="Times New Roman" w:hAnsi="Times New Roman" w:cs="Times New Roman"/>
          <w:color w:val="000000" w:themeColor="text1"/>
          <w:sz w:val="28"/>
          <w:szCs w:val="28"/>
          <w:lang w:val="uk-UA"/>
        </w:rPr>
        <w:t>. За</w:t>
      </w:r>
      <w:r w:rsidRPr="009722DE">
        <w:rPr>
          <w:rFonts w:ascii="Times New Roman" w:hAnsi="Times New Roman" w:cs="Times New Roman"/>
          <w:color w:val="000000" w:themeColor="text1"/>
          <w:sz w:val="28"/>
          <w:szCs w:val="28"/>
          <w:lang w:val="uk-UA"/>
        </w:rPr>
        <w:t xml:space="preserve"> ред. Я. В. </w:t>
      </w:r>
      <w:proofErr w:type="spellStart"/>
      <w:r w:rsidRPr="009722DE">
        <w:rPr>
          <w:rFonts w:ascii="Times New Roman" w:hAnsi="Times New Roman" w:cs="Times New Roman"/>
          <w:color w:val="000000" w:themeColor="text1"/>
          <w:sz w:val="28"/>
          <w:szCs w:val="28"/>
          <w:lang w:val="uk-UA"/>
        </w:rPr>
        <w:t>Сімутіної</w:t>
      </w:r>
      <w:proofErr w:type="spellEnd"/>
      <w:r w:rsidRPr="009722DE">
        <w:rPr>
          <w:rFonts w:ascii="Times New Roman" w:hAnsi="Times New Roman" w:cs="Times New Roman"/>
          <w:color w:val="000000" w:themeColor="text1"/>
          <w:sz w:val="28"/>
          <w:szCs w:val="28"/>
          <w:lang w:val="uk-UA"/>
        </w:rPr>
        <w:t>, М. М. Шумила. Київ: Ніка-Центр, 2023. 348 с.</w:t>
      </w:r>
    </w:p>
    <w:p w14:paraId="20AC5627" w14:textId="0B73C8A2"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115. Підготовка учнів ПТНЗ до планування й реалізації професійної кар’єри: теорія і практика : монографія</w:t>
      </w:r>
      <w:r w:rsidR="00956236">
        <w:rPr>
          <w:rFonts w:ascii="Times New Roman" w:hAnsi="Times New Roman" w:cs="Times New Roman"/>
          <w:color w:val="000000" w:themeColor="text1"/>
          <w:sz w:val="28"/>
          <w:szCs w:val="28"/>
          <w:lang w:val="uk-UA"/>
        </w:rPr>
        <w:t>. З</w:t>
      </w:r>
      <w:r w:rsidRPr="009722DE">
        <w:rPr>
          <w:rFonts w:ascii="Times New Roman" w:hAnsi="Times New Roman" w:cs="Times New Roman"/>
          <w:color w:val="000000" w:themeColor="text1"/>
          <w:sz w:val="28"/>
          <w:szCs w:val="28"/>
          <w:lang w:val="uk-UA"/>
        </w:rPr>
        <w:t xml:space="preserve">а наук. ред. Д. О. </w:t>
      </w:r>
      <w:proofErr w:type="spellStart"/>
      <w:r w:rsidRPr="009722DE">
        <w:rPr>
          <w:rFonts w:ascii="Times New Roman" w:hAnsi="Times New Roman" w:cs="Times New Roman"/>
          <w:color w:val="000000" w:themeColor="text1"/>
          <w:sz w:val="28"/>
          <w:szCs w:val="28"/>
          <w:lang w:val="uk-UA"/>
        </w:rPr>
        <w:t>Закатнова</w:t>
      </w:r>
      <w:proofErr w:type="spellEnd"/>
      <w:r w:rsidRPr="009722DE">
        <w:rPr>
          <w:rFonts w:ascii="Times New Roman" w:hAnsi="Times New Roman" w:cs="Times New Roman"/>
          <w:color w:val="000000" w:themeColor="text1"/>
          <w:sz w:val="28"/>
          <w:szCs w:val="28"/>
          <w:lang w:val="uk-UA"/>
        </w:rPr>
        <w:t xml:space="preserve">. К.: ТОВ «НВП </w:t>
      </w:r>
      <w:proofErr w:type="spellStart"/>
      <w:r w:rsidRPr="009722DE">
        <w:rPr>
          <w:rFonts w:ascii="Times New Roman" w:hAnsi="Times New Roman" w:cs="Times New Roman"/>
          <w:color w:val="000000" w:themeColor="text1"/>
          <w:sz w:val="28"/>
          <w:szCs w:val="28"/>
          <w:lang w:val="uk-UA"/>
        </w:rPr>
        <w:t>Поліграфсервіс</w:t>
      </w:r>
      <w:proofErr w:type="spellEnd"/>
      <w:r w:rsidRPr="009722DE">
        <w:rPr>
          <w:rFonts w:ascii="Times New Roman" w:hAnsi="Times New Roman" w:cs="Times New Roman"/>
          <w:color w:val="000000" w:themeColor="text1"/>
          <w:sz w:val="28"/>
          <w:szCs w:val="28"/>
          <w:lang w:val="uk-UA"/>
        </w:rPr>
        <w:t>», 2014. 196 с.</w:t>
      </w:r>
    </w:p>
    <w:p w14:paraId="0E71CD52"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116. Грищенко С. В. Самовдосконалення особистості: монографія. Під науковою редакцією: </w:t>
      </w:r>
      <w:proofErr w:type="spellStart"/>
      <w:r w:rsidRPr="009722DE">
        <w:rPr>
          <w:rFonts w:ascii="Times New Roman" w:hAnsi="Times New Roman" w:cs="Times New Roman"/>
          <w:color w:val="000000" w:themeColor="text1"/>
          <w:sz w:val="28"/>
          <w:szCs w:val="28"/>
          <w:lang w:val="uk-UA"/>
        </w:rPr>
        <w:t>Курлянд</w:t>
      </w:r>
      <w:proofErr w:type="spellEnd"/>
      <w:r w:rsidRPr="009722DE">
        <w:rPr>
          <w:rFonts w:ascii="Times New Roman" w:hAnsi="Times New Roman" w:cs="Times New Roman"/>
          <w:color w:val="000000" w:themeColor="text1"/>
          <w:sz w:val="28"/>
          <w:szCs w:val="28"/>
          <w:lang w:val="uk-UA"/>
        </w:rPr>
        <w:t xml:space="preserve"> З. Н., </w:t>
      </w:r>
      <w:proofErr w:type="spellStart"/>
      <w:r w:rsidRPr="009722DE">
        <w:rPr>
          <w:rFonts w:ascii="Times New Roman" w:hAnsi="Times New Roman" w:cs="Times New Roman"/>
          <w:color w:val="000000" w:themeColor="text1"/>
          <w:sz w:val="28"/>
          <w:szCs w:val="28"/>
          <w:lang w:val="uk-UA"/>
        </w:rPr>
        <w:t>Бужиної</w:t>
      </w:r>
      <w:proofErr w:type="spellEnd"/>
      <w:r w:rsidRPr="009722DE">
        <w:rPr>
          <w:rFonts w:ascii="Times New Roman" w:hAnsi="Times New Roman" w:cs="Times New Roman"/>
          <w:color w:val="000000" w:themeColor="text1"/>
          <w:sz w:val="28"/>
          <w:szCs w:val="28"/>
          <w:lang w:val="uk-UA"/>
        </w:rPr>
        <w:t xml:space="preserve"> І. В. Чернігів: НУЧК імені Т.Г. Шевченка. 2019. 188 с.</w:t>
      </w:r>
    </w:p>
    <w:p w14:paraId="3EDE6A47" w14:textId="40F55E9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117. </w:t>
      </w:r>
      <w:proofErr w:type="spellStart"/>
      <w:r w:rsidR="00956236" w:rsidRPr="009722DE">
        <w:rPr>
          <w:rFonts w:ascii="Times New Roman" w:hAnsi="Times New Roman" w:cs="Times New Roman"/>
          <w:color w:val="000000" w:themeColor="text1"/>
          <w:sz w:val="28"/>
          <w:szCs w:val="28"/>
          <w:lang w:val="uk-UA"/>
        </w:rPr>
        <w:t>Семикіна</w:t>
      </w:r>
      <w:proofErr w:type="spellEnd"/>
      <w:r w:rsidR="00956236">
        <w:rPr>
          <w:rFonts w:ascii="Times New Roman" w:hAnsi="Times New Roman" w:cs="Times New Roman"/>
          <w:color w:val="000000" w:themeColor="text1"/>
          <w:sz w:val="28"/>
          <w:szCs w:val="28"/>
          <w:lang w:val="uk-UA"/>
        </w:rPr>
        <w:t xml:space="preserve"> </w:t>
      </w:r>
      <w:r w:rsidR="00956236" w:rsidRPr="009722DE">
        <w:rPr>
          <w:rFonts w:ascii="Times New Roman" w:hAnsi="Times New Roman" w:cs="Times New Roman"/>
          <w:color w:val="000000" w:themeColor="text1"/>
          <w:sz w:val="28"/>
          <w:szCs w:val="28"/>
          <w:lang w:val="uk-UA"/>
        </w:rPr>
        <w:t>М.</w:t>
      </w:r>
      <w:r w:rsidR="00956236">
        <w:rPr>
          <w:rFonts w:ascii="Times New Roman" w:hAnsi="Times New Roman" w:cs="Times New Roman"/>
          <w:color w:val="000000" w:themeColor="text1"/>
          <w:sz w:val="28"/>
          <w:szCs w:val="28"/>
          <w:lang w:val="uk-UA"/>
        </w:rPr>
        <w:t xml:space="preserve"> </w:t>
      </w:r>
      <w:r w:rsidR="00956236" w:rsidRPr="009722DE">
        <w:rPr>
          <w:rFonts w:ascii="Times New Roman" w:hAnsi="Times New Roman" w:cs="Times New Roman"/>
          <w:color w:val="000000" w:themeColor="text1"/>
          <w:sz w:val="28"/>
          <w:szCs w:val="28"/>
          <w:lang w:val="uk-UA"/>
        </w:rPr>
        <w:t>В., Дудко</w:t>
      </w:r>
      <w:r w:rsidR="00956236">
        <w:rPr>
          <w:rFonts w:ascii="Times New Roman" w:hAnsi="Times New Roman" w:cs="Times New Roman"/>
          <w:color w:val="000000" w:themeColor="text1"/>
          <w:sz w:val="28"/>
          <w:szCs w:val="28"/>
          <w:lang w:val="uk-UA"/>
        </w:rPr>
        <w:t xml:space="preserve"> С</w:t>
      </w:r>
      <w:r w:rsidR="00956236" w:rsidRPr="009722DE">
        <w:rPr>
          <w:rFonts w:ascii="Times New Roman" w:hAnsi="Times New Roman" w:cs="Times New Roman"/>
          <w:color w:val="000000" w:themeColor="text1"/>
          <w:sz w:val="28"/>
          <w:szCs w:val="28"/>
          <w:lang w:val="uk-UA"/>
        </w:rPr>
        <w:t>.</w:t>
      </w:r>
      <w:r w:rsidR="00956236">
        <w:rPr>
          <w:rFonts w:ascii="Times New Roman" w:hAnsi="Times New Roman" w:cs="Times New Roman"/>
          <w:color w:val="000000" w:themeColor="text1"/>
          <w:sz w:val="28"/>
          <w:szCs w:val="28"/>
          <w:lang w:val="uk-UA"/>
        </w:rPr>
        <w:t xml:space="preserve"> </w:t>
      </w:r>
      <w:r w:rsidR="00956236" w:rsidRPr="009722DE">
        <w:rPr>
          <w:rFonts w:ascii="Times New Roman" w:hAnsi="Times New Roman" w:cs="Times New Roman"/>
          <w:color w:val="000000" w:themeColor="text1"/>
          <w:sz w:val="28"/>
          <w:szCs w:val="28"/>
          <w:lang w:val="uk-UA"/>
        </w:rPr>
        <w:t>В., Орлова</w:t>
      </w:r>
      <w:r w:rsidR="00956236">
        <w:rPr>
          <w:rFonts w:ascii="Times New Roman" w:hAnsi="Times New Roman" w:cs="Times New Roman"/>
          <w:color w:val="000000" w:themeColor="text1"/>
          <w:sz w:val="28"/>
          <w:szCs w:val="28"/>
          <w:lang w:val="uk-UA"/>
        </w:rPr>
        <w:t xml:space="preserve"> А. А.</w:t>
      </w:r>
      <w:r w:rsidR="00956236" w:rsidRPr="009722DE">
        <w:rPr>
          <w:rFonts w:ascii="Times New Roman" w:hAnsi="Times New Roman" w:cs="Times New Roman"/>
          <w:color w:val="000000" w:themeColor="text1"/>
          <w:sz w:val="28"/>
          <w:szCs w:val="28"/>
          <w:lang w:val="uk-UA"/>
        </w:rPr>
        <w:t xml:space="preserve"> та ін. </w:t>
      </w:r>
      <w:r w:rsidRPr="009722DE">
        <w:rPr>
          <w:rFonts w:ascii="Times New Roman" w:hAnsi="Times New Roman" w:cs="Times New Roman"/>
          <w:color w:val="000000" w:themeColor="text1"/>
          <w:sz w:val="28"/>
          <w:szCs w:val="28"/>
          <w:lang w:val="uk-UA"/>
        </w:rPr>
        <w:t>Професійний розвиток персоналу підприємств в системі мотиваційного менеджменту: колективна монографія</w:t>
      </w:r>
      <w:r w:rsidR="00956236">
        <w:rPr>
          <w:rFonts w:ascii="Times New Roman" w:hAnsi="Times New Roman" w:cs="Times New Roman"/>
          <w:color w:val="000000" w:themeColor="text1"/>
          <w:sz w:val="28"/>
          <w:szCs w:val="28"/>
          <w:lang w:val="uk-UA"/>
        </w:rPr>
        <w:t xml:space="preserve">. </w:t>
      </w:r>
      <w:r w:rsidRPr="009722DE">
        <w:rPr>
          <w:rFonts w:ascii="Times New Roman" w:hAnsi="Times New Roman" w:cs="Times New Roman"/>
          <w:color w:val="000000" w:themeColor="text1"/>
          <w:sz w:val="28"/>
          <w:szCs w:val="28"/>
          <w:lang w:val="uk-UA"/>
        </w:rPr>
        <w:t>Кропивницький: КОД, 2021. 440 с.</w:t>
      </w:r>
    </w:p>
    <w:p w14:paraId="759FF510" w14:textId="156160E9"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lastRenderedPageBreak/>
        <w:t>118. Організаційно-економічні аспекти розвитку підприємницьких структур в Україні та світі : монографія</w:t>
      </w:r>
      <w:r w:rsidR="00956236">
        <w:rPr>
          <w:rFonts w:ascii="Times New Roman" w:hAnsi="Times New Roman" w:cs="Times New Roman"/>
          <w:color w:val="000000" w:themeColor="text1"/>
          <w:sz w:val="28"/>
          <w:szCs w:val="28"/>
          <w:lang w:val="uk-UA"/>
        </w:rPr>
        <w:t>. З</w:t>
      </w:r>
      <w:r w:rsidRPr="009722DE">
        <w:rPr>
          <w:rFonts w:ascii="Times New Roman" w:hAnsi="Times New Roman" w:cs="Times New Roman"/>
          <w:color w:val="000000" w:themeColor="text1"/>
          <w:sz w:val="28"/>
          <w:szCs w:val="28"/>
          <w:lang w:val="uk-UA"/>
        </w:rPr>
        <w:t xml:space="preserve">а </w:t>
      </w:r>
      <w:proofErr w:type="spellStart"/>
      <w:r w:rsidRPr="009722DE">
        <w:rPr>
          <w:rFonts w:ascii="Times New Roman" w:hAnsi="Times New Roman" w:cs="Times New Roman"/>
          <w:color w:val="000000" w:themeColor="text1"/>
          <w:sz w:val="28"/>
          <w:szCs w:val="28"/>
          <w:lang w:val="uk-UA"/>
        </w:rPr>
        <w:t>заг</w:t>
      </w:r>
      <w:proofErr w:type="spellEnd"/>
      <w:r w:rsidRPr="009722DE">
        <w:rPr>
          <w:rFonts w:ascii="Times New Roman" w:hAnsi="Times New Roman" w:cs="Times New Roman"/>
          <w:color w:val="000000" w:themeColor="text1"/>
          <w:sz w:val="28"/>
          <w:szCs w:val="28"/>
          <w:lang w:val="uk-UA"/>
        </w:rPr>
        <w:t>. ред. Т. Гринько. Дніпро: Видавець Біла К. О., 2022. 400 с.</w:t>
      </w:r>
    </w:p>
    <w:p w14:paraId="14896DC3"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119. </w:t>
      </w:r>
      <w:proofErr w:type="spellStart"/>
      <w:r w:rsidRPr="009722DE">
        <w:rPr>
          <w:rFonts w:ascii="Times New Roman" w:hAnsi="Times New Roman" w:cs="Times New Roman"/>
          <w:color w:val="000000" w:themeColor="text1"/>
          <w:sz w:val="28"/>
          <w:szCs w:val="28"/>
          <w:lang w:val="uk-UA"/>
        </w:rPr>
        <w:t>De</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Vos</w:t>
      </w:r>
      <w:proofErr w:type="spellEnd"/>
      <w:r w:rsidRPr="009722DE">
        <w:rPr>
          <w:rFonts w:ascii="Times New Roman" w:hAnsi="Times New Roman" w:cs="Times New Roman"/>
          <w:color w:val="000000" w:themeColor="text1"/>
          <w:sz w:val="28"/>
          <w:szCs w:val="28"/>
          <w:lang w:val="uk-UA"/>
        </w:rPr>
        <w:t xml:space="preserve"> A., </w:t>
      </w:r>
      <w:proofErr w:type="spellStart"/>
      <w:r w:rsidRPr="009722DE">
        <w:rPr>
          <w:rFonts w:ascii="Times New Roman" w:hAnsi="Times New Roman" w:cs="Times New Roman"/>
          <w:color w:val="000000" w:themeColor="text1"/>
          <w:sz w:val="28"/>
          <w:szCs w:val="28"/>
          <w:lang w:val="uk-UA"/>
        </w:rPr>
        <w:t>Dries</w:t>
      </w:r>
      <w:proofErr w:type="spellEnd"/>
      <w:r w:rsidRPr="009722DE">
        <w:rPr>
          <w:rFonts w:ascii="Times New Roman" w:hAnsi="Times New Roman" w:cs="Times New Roman"/>
          <w:color w:val="000000" w:themeColor="text1"/>
          <w:sz w:val="28"/>
          <w:szCs w:val="28"/>
          <w:lang w:val="uk-UA"/>
        </w:rPr>
        <w:t xml:space="preserve"> N. </w:t>
      </w:r>
      <w:proofErr w:type="spellStart"/>
      <w:r w:rsidRPr="009722DE">
        <w:rPr>
          <w:rFonts w:ascii="Times New Roman" w:hAnsi="Times New Roman" w:cs="Times New Roman"/>
          <w:color w:val="000000" w:themeColor="text1"/>
          <w:sz w:val="28"/>
          <w:szCs w:val="28"/>
          <w:lang w:val="uk-UA"/>
        </w:rPr>
        <w:t>Applying</w:t>
      </w:r>
      <w:proofErr w:type="spellEnd"/>
      <w:r w:rsidRPr="009722DE">
        <w:rPr>
          <w:rFonts w:ascii="Times New Roman" w:hAnsi="Times New Roman" w:cs="Times New Roman"/>
          <w:color w:val="000000" w:themeColor="text1"/>
          <w:sz w:val="28"/>
          <w:szCs w:val="28"/>
          <w:lang w:val="uk-UA"/>
        </w:rPr>
        <w:t xml:space="preserve"> a </w:t>
      </w:r>
      <w:proofErr w:type="spellStart"/>
      <w:r w:rsidRPr="009722DE">
        <w:rPr>
          <w:rFonts w:ascii="Times New Roman" w:hAnsi="Times New Roman" w:cs="Times New Roman"/>
          <w:color w:val="000000" w:themeColor="text1"/>
          <w:sz w:val="28"/>
          <w:szCs w:val="28"/>
          <w:lang w:val="uk-UA"/>
        </w:rPr>
        <w:t>talent</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management</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lens</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to</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career</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management</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The</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role</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of</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human</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capital</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composition</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and</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continuity</w:t>
      </w:r>
      <w:proofErr w:type="spellEnd"/>
      <w:r w:rsidRPr="009722DE">
        <w:rPr>
          <w:rFonts w:ascii="Times New Roman" w:hAnsi="Times New Roman" w:cs="Times New Roman"/>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International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Journal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of</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Human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Resource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Management</w:t>
      </w:r>
      <w:proofErr w:type="spellEnd"/>
      <w:r w:rsidRPr="00956236">
        <w:rPr>
          <w:rFonts w:ascii="Times New Roman" w:hAnsi="Times New Roman" w:cs="Times New Roman"/>
          <w:iCs/>
          <w:color w:val="000000" w:themeColor="text1"/>
          <w:sz w:val="28"/>
          <w:szCs w:val="28"/>
          <w:lang w:val="uk-UA"/>
        </w:rPr>
        <w:t xml:space="preserve">. </w:t>
      </w:r>
      <w:r w:rsidRPr="009722DE">
        <w:rPr>
          <w:rFonts w:ascii="Times New Roman" w:hAnsi="Times New Roman" w:cs="Times New Roman"/>
          <w:color w:val="000000" w:themeColor="text1"/>
          <w:sz w:val="28"/>
          <w:szCs w:val="28"/>
          <w:lang w:val="uk-UA"/>
        </w:rPr>
        <w:t>2013. № 24 (9). Р. 1816-1831.</w:t>
      </w:r>
    </w:p>
    <w:p w14:paraId="77448A8F"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120. Бойко О. В. Теорія і методика формування лідерської компетентності офіцерів Збройних сил України : монографія. Житомир : Вид. О. О. </w:t>
      </w:r>
      <w:proofErr w:type="spellStart"/>
      <w:r w:rsidRPr="009722DE">
        <w:rPr>
          <w:rFonts w:ascii="Times New Roman" w:hAnsi="Times New Roman" w:cs="Times New Roman"/>
          <w:color w:val="000000" w:themeColor="text1"/>
          <w:sz w:val="28"/>
          <w:szCs w:val="28"/>
          <w:lang w:val="uk-UA"/>
        </w:rPr>
        <w:t>Євенок</w:t>
      </w:r>
      <w:proofErr w:type="spellEnd"/>
      <w:r w:rsidRPr="009722DE">
        <w:rPr>
          <w:rFonts w:ascii="Times New Roman" w:hAnsi="Times New Roman" w:cs="Times New Roman"/>
          <w:color w:val="000000" w:themeColor="text1"/>
          <w:sz w:val="28"/>
          <w:szCs w:val="28"/>
          <w:lang w:val="uk-UA"/>
        </w:rPr>
        <w:t>, 2020. 667 с.</w:t>
      </w:r>
    </w:p>
    <w:p w14:paraId="1B847D0C" w14:textId="77777777" w:rsidR="00571B42" w:rsidRPr="009722DE" w:rsidRDefault="00571B42" w:rsidP="00571B42">
      <w:pPr>
        <w:spacing w:after="0" w:line="360" w:lineRule="auto"/>
        <w:ind w:firstLine="720"/>
        <w:jc w:val="both"/>
        <w:rPr>
          <w:rFonts w:ascii="Times New Roman" w:hAnsi="Times New Roman" w:cs="Times New Roman"/>
          <w:color w:val="000000" w:themeColor="text1"/>
          <w:sz w:val="28"/>
          <w:szCs w:val="28"/>
          <w:lang w:val="uk-UA"/>
        </w:rPr>
      </w:pPr>
      <w:r w:rsidRPr="009722DE">
        <w:rPr>
          <w:rFonts w:ascii="Times New Roman" w:hAnsi="Times New Roman" w:cs="Times New Roman"/>
          <w:color w:val="000000" w:themeColor="text1"/>
          <w:sz w:val="28"/>
          <w:szCs w:val="28"/>
          <w:lang w:val="uk-UA"/>
        </w:rPr>
        <w:t xml:space="preserve">121. </w:t>
      </w:r>
      <w:proofErr w:type="spellStart"/>
      <w:r w:rsidRPr="009722DE">
        <w:rPr>
          <w:rFonts w:ascii="Times New Roman" w:hAnsi="Times New Roman" w:cs="Times New Roman"/>
          <w:color w:val="000000" w:themeColor="text1"/>
          <w:sz w:val="28"/>
          <w:szCs w:val="28"/>
          <w:lang w:val="uk-UA"/>
        </w:rPr>
        <w:t>Mazurkiewicz</w:t>
      </w:r>
      <w:proofErr w:type="spellEnd"/>
      <w:r w:rsidRPr="009722DE">
        <w:rPr>
          <w:rFonts w:ascii="Times New Roman" w:hAnsi="Times New Roman" w:cs="Times New Roman"/>
          <w:color w:val="000000" w:themeColor="text1"/>
          <w:sz w:val="28"/>
          <w:szCs w:val="28"/>
          <w:lang w:val="uk-UA"/>
        </w:rPr>
        <w:t xml:space="preserve"> A., </w:t>
      </w:r>
      <w:proofErr w:type="spellStart"/>
      <w:r w:rsidRPr="009722DE">
        <w:rPr>
          <w:rFonts w:ascii="Times New Roman" w:hAnsi="Times New Roman" w:cs="Times New Roman"/>
          <w:color w:val="000000" w:themeColor="text1"/>
          <w:sz w:val="28"/>
          <w:szCs w:val="28"/>
          <w:lang w:val="uk-UA"/>
        </w:rPr>
        <w:t>Małgorzata</w:t>
      </w:r>
      <w:proofErr w:type="spellEnd"/>
      <w:r w:rsidRPr="009722DE">
        <w:rPr>
          <w:rFonts w:ascii="Times New Roman" w:hAnsi="Times New Roman" w:cs="Times New Roman"/>
          <w:color w:val="000000" w:themeColor="text1"/>
          <w:sz w:val="28"/>
          <w:szCs w:val="28"/>
          <w:lang w:val="uk-UA"/>
        </w:rPr>
        <w:t xml:space="preserve"> S. </w:t>
      </w:r>
      <w:proofErr w:type="spellStart"/>
      <w:r w:rsidRPr="009722DE">
        <w:rPr>
          <w:rFonts w:ascii="Times New Roman" w:hAnsi="Times New Roman" w:cs="Times New Roman"/>
          <w:color w:val="000000" w:themeColor="text1"/>
          <w:sz w:val="28"/>
          <w:szCs w:val="28"/>
          <w:lang w:val="uk-UA"/>
        </w:rPr>
        <w:t>Poczucie</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skuteczności</w:t>
      </w:r>
      <w:proofErr w:type="spellEnd"/>
      <w:r w:rsidRPr="009722DE">
        <w:rPr>
          <w:rFonts w:ascii="Times New Roman" w:hAnsi="Times New Roman" w:cs="Times New Roman"/>
          <w:color w:val="000000" w:themeColor="text1"/>
          <w:sz w:val="28"/>
          <w:szCs w:val="28"/>
          <w:lang w:val="uk-UA"/>
        </w:rPr>
        <w:t xml:space="preserve"> a </w:t>
      </w:r>
      <w:proofErr w:type="spellStart"/>
      <w:r w:rsidRPr="009722DE">
        <w:rPr>
          <w:rFonts w:ascii="Times New Roman" w:hAnsi="Times New Roman" w:cs="Times New Roman"/>
          <w:color w:val="000000" w:themeColor="text1"/>
          <w:sz w:val="28"/>
          <w:szCs w:val="28"/>
          <w:lang w:val="uk-UA"/>
        </w:rPr>
        <w:t>proaktywność</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młodych</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osób</w:t>
      </w:r>
      <w:proofErr w:type="spellEnd"/>
      <w:r w:rsidRPr="009722DE">
        <w:rPr>
          <w:rFonts w:ascii="Times New Roman" w:hAnsi="Times New Roman" w:cs="Times New Roman"/>
          <w:color w:val="000000" w:themeColor="text1"/>
          <w:sz w:val="28"/>
          <w:szCs w:val="28"/>
          <w:lang w:val="uk-UA"/>
        </w:rPr>
        <w:t xml:space="preserve"> w </w:t>
      </w:r>
      <w:proofErr w:type="spellStart"/>
      <w:r w:rsidRPr="009722DE">
        <w:rPr>
          <w:rFonts w:ascii="Times New Roman" w:hAnsi="Times New Roman" w:cs="Times New Roman"/>
          <w:color w:val="000000" w:themeColor="text1"/>
          <w:sz w:val="28"/>
          <w:szCs w:val="28"/>
          <w:lang w:val="uk-UA"/>
        </w:rPr>
        <w:t>kontekście</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planowania</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kariery</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Nowoczesne</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Systemy</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color w:val="000000" w:themeColor="text1"/>
          <w:sz w:val="28"/>
          <w:szCs w:val="28"/>
          <w:lang w:val="uk-UA"/>
        </w:rPr>
        <w:t>Zarządzania</w:t>
      </w:r>
      <w:proofErr w:type="spellEnd"/>
      <w:r w:rsidRPr="009722DE">
        <w:rPr>
          <w:rFonts w:ascii="Times New Roman" w:hAnsi="Times New Roman" w:cs="Times New Roman"/>
          <w:color w:val="000000" w:themeColor="text1"/>
          <w:sz w:val="28"/>
          <w:szCs w:val="28"/>
          <w:lang w:val="uk-UA"/>
        </w:rPr>
        <w:t xml:space="preserve">. </w:t>
      </w:r>
      <w:proofErr w:type="spellStart"/>
      <w:r w:rsidRPr="009722DE">
        <w:rPr>
          <w:rFonts w:ascii="Times New Roman" w:hAnsi="Times New Roman" w:cs="Times New Roman"/>
          <w:i/>
          <w:color w:val="000000" w:themeColor="text1"/>
          <w:sz w:val="28"/>
          <w:szCs w:val="28"/>
          <w:lang w:val="uk-UA"/>
        </w:rPr>
        <w:t>Modern</w:t>
      </w:r>
      <w:proofErr w:type="spellEnd"/>
      <w:r w:rsidRPr="009722DE">
        <w:rPr>
          <w:rFonts w:ascii="Times New Roman" w:hAnsi="Times New Roman" w:cs="Times New Roman"/>
          <w:i/>
          <w:color w:val="000000" w:themeColor="text1"/>
          <w:sz w:val="28"/>
          <w:szCs w:val="28"/>
          <w:lang w:val="uk-UA"/>
        </w:rPr>
        <w:t xml:space="preserve"> </w:t>
      </w:r>
      <w:proofErr w:type="spellStart"/>
      <w:r w:rsidRPr="009722DE">
        <w:rPr>
          <w:rFonts w:ascii="Times New Roman" w:hAnsi="Times New Roman" w:cs="Times New Roman"/>
          <w:i/>
          <w:color w:val="000000" w:themeColor="text1"/>
          <w:sz w:val="28"/>
          <w:szCs w:val="28"/>
          <w:lang w:val="uk-UA"/>
        </w:rPr>
        <w:t>Management</w:t>
      </w:r>
      <w:proofErr w:type="spellEnd"/>
      <w:r w:rsidRPr="009722DE">
        <w:rPr>
          <w:rFonts w:ascii="Times New Roman" w:hAnsi="Times New Roman" w:cs="Times New Roman"/>
          <w:i/>
          <w:color w:val="000000" w:themeColor="text1"/>
          <w:sz w:val="28"/>
          <w:szCs w:val="28"/>
          <w:lang w:val="uk-UA"/>
        </w:rPr>
        <w:t xml:space="preserve"> </w:t>
      </w:r>
      <w:proofErr w:type="spellStart"/>
      <w:r w:rsidRPr="009722DE">
        <w:rPr>
          <w:rFonts w:ascii="Times New Roman" w:hAnsi="Times New Roman" w:cs="Times New Roman"/>
          <w:i/>
          <w:color w:val="000000" w:themeColor="text1"/>
          <w:sz w:val="28"/>
          <w:szCs w:val="28"/>
          <w:lang w:val="uk-UA"/>
        </w:rPr>
        <w:t>Systems</w:t>
      </w:r>
      <w:proofErr w:type="spellEnd"/>
      <w:r w:rsidRPr="009722DE">
        <w:rPr>
          <w:rFonts w:ascii="Times New Roman" w:hAnsi="Times New Roman" w:cs="Times New Roman"/>
          <w:color w:val="000000" w:themeColor="text1"/>
          <w:sz w:val="28"/>
          <w:szCs w:val="28"/>
          <w:lang w:val="uk-UA"/>
        </w:rPr>
        <w:t>. 2016. №. 1. С. 161-174.</w:t>
      </w:r>
    </w:p>
    <w:p w14:paraId="44BDFAD1" w14:textId="77777777" w:rsidR="00571B42" w:rsidRPr="00956236" w:rsidRDefault="00571B42" w:rsidP="00571B42">
      <w:pPr>
        <w:spacing w:after="0" w:line="360" w:lineRule="auto"/>
        <w:ind w:firstLine="720"/>
        <w:jc w:val="both"/>
        <w:rPr>
          <w:rFonts w:ascii="Times New Roman" w:hAnsi="Times New Roman" w:cs="Times New Roman"/>
          <w:iCs/>
          <w:color w:val="000000" w:themeColor="text1"/>
          <w:sz w:val="28"/>
          <w:szCs w:val="28"/>
          <w:shd w:val="clear" w:color="auto" w:fill="FFFFFF"/>
          <w:lang w:val="uk-UA"/>
        </w:rPr>
      </w:pPr>
      <w:r w:rsidRPr="009722DE">
        <w:rPr>
          <w:rFonts w:ascii="Times New Roman" w:hAnsi="Times New Roman" w:cs="Times New Roman"/>
          <w:color w:val="000000" w:themeColor="text1"/>
          <w:sz w:val="28"/>
          <w:szCs w:val="28"/>
          <w:lang w:val="uk-UA"/>
        </w:rPr>
        <w:t xml:space="preserve">122. </w:t>
      </w:r>
      <w:proofErr w:type="spellStart"/>
      <w:r w:rsidRPr="009722DE">
        <w:rPr>
          <w:rFonts w:ascii="Times New Roman" w:hAnsi="Times New Roman" w:cs="Times New Roman"/>
          <w:color w:val="000000" w:themeColor="text1"/>
          <w:sz w:val="28"/>
          <w:szCs w:val="28"/>
          <w:shd w:val="clear" w:color="auto" w:fill="FFFFFF"/>
          <w:lang w:val="uk-UA"/>
        </w:rPr>
        <w:t>Lis</w:t>
      </w:r>
      <w:proofErr w:type="spellEnd"/>
      <w:r w:rsidRPr="009722DE">
        <w:rPr>
          <w:rFonts w:ascii="Times New Roman" w:hAnsi="Times New Roman" w:cs="Times New Roman"/>
          <w:color w:val="000000" w:themeColor="text1"/>
          <w:sz w:val="28"/>
          <w:szCs w:val="28"/>
          <w:shd w:val="clear" w:color="auto" w:fill="FFFFFF"/>
          <w:lang w:val="uk-UA"/>
        </w:rPr>
        <w:t xml:space="preserve"> A. </w:t>
      </w:r>
      <w:proofErr w:type="spellStart"/>
      <w:r w:rsidRPr="009722DE">
        <w:rPr>
          <w:rFonts w:ascii="Times New Roman" w:hAnsi="Times New Roman" w:cs="Times New Roman"/>
          <w:color w:val="000000" w:themeColor="text1"/>
          <w:sz w:val="28"/>
          <w:szCs w:val="28"/>
          <w:shd w:val="clear" w:color="auto" w:fill="FFFFFF"/>
          <w:lang w:val="uk-UA"/>
        </w:rPr>
        <w:t>How</w:t>
      </w:r>
      <w:proofErr w:type="spellEnd"/>
      <w:r w:rsidRPr="009722DE">
        <w:rPr>
          <w:rFonts w:ascii="Times New Roman" w:hAnsi="Times New Roman" w:cs="Times New Roman"/>
          <w:color w:val="000000" w:themeColor="text1"/>
          <w:sz w:val="28"/>
          <w:szCs w:val="28"/>
          <w:shd w:val="clear" w:color="auto" w:fill="FFFFFF"/>
          <w:lang w:val="uk-UA"/>
        </w:rPr>
        <w:t xml:space="preserve"> </w:t>
      </w:r>
      <w:proofErr w:type="spellStart"/>
      <w:r w:rsidRPr="009722DE">
        <w:rPr>
          <w:rFonts w:ascii="Times New Roman" w:hAnsi="Times New Roman" w:cs="Times New Roman"/>
          <w:color w:val="000000" w:themeColor="text1"/>
          <w:sz w:val="28"/>
          <w:szCs w:val="28"/>
          <w:shd w:val="clear" w:color="auto" w:fill="FFFFFF"/>
          <w:lang w:val="uk-UA"/>
        </w:rPr>
        <w:t>to</w:t>
      </w:r>
      <w:proofErr w:type="spellEnd"/>
      <w:r w:rsidRPr="009722DE">
        <w:rPr>
          <w:rFonts w:ascii="Times New Roman" w:hAnsi="Times New Roman" w:cs="Times New Roman"/>
          <w:color w:val="000000" w:themeColor="text1"/>
          <w:sz w:val="28"/>
          <w:szCs w:val="28"/>
          <w:shd w:val="clear" w:color="auto" w:fill="FFFFFF"/>
          <w:lang w:val="uk-UA"/>
        </w:rPr>
        <w:t xml:space="preserve"> </w:t>
      </w:r>
      <w:proofErr w:type="spellStart"/>
      <w:r w:rsidRPr="009722DE">
        <w:rPr>
          <w:rFonts w:ascii="Times New Roman" w:hAnsi="Times New Roman" w:cs="Times New Roman"/>
          <w:color w:val="000000" w:themeColor="text1"/>
          <w:sz w:val="28"/>
          <w:szCs w:val="28"/>
          <w:shd w:val="clear" w:color="auto" w:fill="FFFFFF"/>
          <w:lang w:val="uk-UA"/>
        </w:rPr>
        <w:t>strengthen</w:t>
      </w:r>
      <w:proofErr w:type="spellEnd"/>
      <w:r w:rsidRPr="009722DE">
        <w:rPr>
          <w:rFonts w:ascii="Times New Roman" w:hAnsi="Times New Roman" w:cs="Times New Roman"/>
          <w:color w:val="000000" w:themeColor="text1"/>
          <w:sz w:val="28"/>
          <w:szCs w:val="28"/>
          <w:shd w:val="clear" w:color="auto" w:fill="FFFFFF"/>
          <w:lang w:val="uk-UA"/>
        </w:rPr>
        <w:t xml:space="preserve"> </w:t>
      </w:r>
      <w:proofErr w:type="spellStart"/>
      <w:r w:rsidRPr="009722DE">
        <w:rPr>
          <w:rFonts w:ascii="Times New Roman" w:hAnsi="Times New Roman" w:cs="Times New Roman"/>
          <w:color w:val="000000" w:themeColor="text1"/>
          <w:sz w:val="28"/>
          <w:szCs w:val="28"/>
          <w:shd w:val="clear" w:color="auto" w:fill="FFFFFF"/>
          <w:lang w:val="uk-UA"/>
        </w:rPr>
        <w:t>positive</w:t>
      </w:r>
      <w:proofErr w:type="spellEnd"/>
      <w:r w:rsidRPr="009722DE">
        <w:rPr>
          <w:rFonts w:ascii="Times New Roman" w:hAnsi="Times New Roman" w:cs="Times New Roman"/>
          <w:color w:val="000000" w:themeColor="text1"/>
          <w:sz w:val="28"/>
          <w:szCs w:val="28"/>
          <w:shd w:val="clear" w:color="auto" w:fill="FFFFFF"/>
          <w:lang w:val="uk-UA"/>
        </w:rPr>
        <w:t xml:space="preserve"> </w:t>
      </w:r>
      <w:proofErr w:type="spellStart"/>
      <w:r w:rsidRPr="009722DE">
        <w:rPr>
          <w:rFonts w:ascii="Times New Roman" w:hAnsi="Times New Roman" w:cs="Times New Roman"/>
          <w:color w:val="000000" w:themeColor="text1"/>
          <w:sz w:val="28"/>
          <w:szCs w:val="28"/>
          <w:shd w:val="clear" w:color="auto" w:fill="FFFFFF"/>
          <w:lang w:val="uk-UA"/>
        </w:rPr>
        <w:t>organizational</w:t>
      </w:r>
      <w:proofErr w:type="spellEnd"/>
      <w:r w:rsidRPr="009722DE">
        <w:rPr>
          <w:rFonts w:ascii="Times New Roman" w:hAnsi="Times New Roman" w:cs="Times New Roman"/>
          <w:color w:val="000000" w:themeColor="text1"/>
          <w:sz w:val="28"/>
          <w:szCs w:val="28"/>
          <w:shd w:val="clear" w:color="auto" w:fill="FFFFFF"/>
          <w:lang w:val="uk-UA"/>
        </w:rPr>
        <w:t xml:space="preserve"> </w:t>
      </w:r>
      <w:proofErr w:type="spellStart"/>
      <w:r w:rsidRPr="009722DE">
        <w:rPr>
          <w:rFonts w:ascii="Times New Roman" w:hAnsi="Times New Roman" w:cs="Times New Roman"/>
          <w:color w:val="000000" w:themeColor="text1"/>
          <w:sz w:val="28"/>
          <w:szCs w:val="28"/>
          <w:shd w:val="clear" w:color="auto" w:fill="FFFFFF"/>
          <w:lang w:val="uk-UA"/>
        </w:rPr>
        <w:t>behaviors</w:t>
      </w:r>
      <w:proofErr w:type="spellEnd"/>
      <w:r w:rsidRPr="009722DE">
        <w:rPr>
          <w:rFonts w:ascii="Times New Roman" w:hAnsi="Times New Roman" w:cs="Times New Roman"/>
          <w:color w:val="000000" w:themeColor="text1"/>
          <w:sz w:val="28"/>
          <w:szCs w:val="28"/>
          <w:shd w:val="clear" w:color="auto" w:fill="FFFFFF"/>
          <w:lang w:val="uk-UA"/>
        </w:rPr>
        <w:t xml:space="preserve"> </w:t>
      </w:r>
      <w:proofErr w:type="spellStart"/>
      <w:r w:rsidRPr="009722DE">
        <w:rPr>
          <w:rFonts w:ascii="Times New Roman" w:hAnsi="Times New Roman" w:cs="Times New Roman"/>
          <w:color w:val="000000" w:themeColor="text1"/>
          <w:sz w:val="28"/>
          <w:szCs w:val="28"/>
          <w:shd w:val="clear" w:color="auto" w:fill="FFFFFF"/>
          <w:lang w:val="uk-UA"/>
        </w:rPr>
        <w:t>fostering</w:t>
      </w:r>
      <w:proofErr w:type="spellEnd"/>
      <w:r w:rsidRPr="009722DE">
        <w:rPr>
          <w:rFonts w:ascii="Times New Roman" w:hAnsi="Times New Roman" w:cs="Times New Roman"/>
          <w:color w:val="000000" w:themeColor="text1"/>
          <w:sz w:val="28"/>
          <w:szCs w:val="28"/>
          <w:shd w:val="clear" w:color="auto" w:fill="FFFFFF"/>
          <w:lang w:val="uk-UA"/>
        </w:rPr>
        <w:t xml:space="preserve"> </w:t>
      </w:r>
      <w:proofErr w:type="spellStart"/>
      <w:r w:rsidRPr="009722DE">
        <w:rPr>
          <w:rFonts w:ascii="Times New Roman" w:hAnsi="Times New Roman" w:cs="Times New Roman"/>
          <w:color w:val="000000" w:themeColor="text1"/>
          <w:sz w:val="28"/>
          <w:szCs w:val="28"/>
          <w:shd w:val="clear" w:color="auto" w:fill="FFFFFF"/>
          <w:lang w:val="uk-UA"/>
        </w:rPr>
        <w:t>experiential</w:t>
      </w:r>
      <w:proofErr w:type="spellEnd"/>
      <w:r w:rsidRPr="009722DE">
        <w:rPr>
          <w:rFonts w:ascii="Times New Roman" w:hAnsi="Times New Roman" w:cs="Times New Roman"/>
          <w:color w:val="000000" w:themeColor="text1"/>
          <w:sz w:val="28"/>
          <w:szCs w:val="28"/>
          <w:shd w:val="clear" w:color="auto" w:fill="FFFFFF"/>
          <w:lang w:val="uk-UA"/>
        </w:rPr>
        <w:t xml:space="preserve"> </w:t>
      </w:r>
      <w:proofErr w:type="spellStart"/>
      <w:r w:rsidRPr="009722DE">
        <w:rPr>
          <w:rFonts w:ascii="Times New Roman" w:hAnsi="Times New Roman" w:cs="Times New Roman"/>
          <w:color w:val="000000" w:themeColor="text1"/>
          <w:sz w:val="28"/>
          <w:szCs w:val="28"/>
          <w:shd w:val="clear" w:color="auto" w:fill="FFFFFF"/>
          <w:lang w:val="uk-UA"/>
        </w:rPr>
        <w:t>learning</w:t>
      </w:r>
      <w:proofErr w:type="spellEnd"/>
      <w:r w:rsidRPr="009722DE">
        <w:rPr>
          <w:rFonts w:ascii="Times New Roman" w:hAnsi="Times New Roman" w:cs="Times New Roman"/>
          <w:color w:val="000000" w:themeColor="text1"/>
          <w:sz w:val="28"/>
          <w:szCs w:val="28"/>
          <w:shd w:val="clear" w:color="auto" w:fill="FFFFFF"/>
          <w:lang w:val="uk-UA"/>
        </w:rPr>
        <w:t xml:space="preserve">? </w:t>
      </w:r>
      <w:proofErr w:type="spellStart"/>
      <w:r w:rsidRPr="009722DE">
        <w:rPr>
          <w:rFonts w:ascii="Times New Roman" w:hAnsi="Times New Roman" w:cs="Times New Roman"/>
          <w:color w:val="000000" w:themeColor="text1"/>
          <w:sz w:val="28"/>
          <w:szCs w:val="28"/>
          <w:shd w:val="clear" w:color="auto" w:fill="FFFFFF"/>
          <w:lang w:val="uk-UA"/>
        </w:rPr>
        <w:t>The</w:t>
      </w:r>
      <w:proofErr w:type="spellEnd"/>
      <w:r w:rsidRPr="009722DE">
        <w:rPr>
          <w:rFonts w:ascii="Times New Roman" w:hAnsi="Times New Roman" w:cs="Times New Roman"/>
          <w:color w:val="000000" w:themeColor="text1"/>
          <w:sz w:val="28"/>
          <w:szCs w:val="28"/>
          <w:shd w:val="clear" w:color="auto" w:fill="FFFFFF"/>
          <w:lang w:val="uk-UA"/>
        </w:rPr>
        <w:t xml:space="preserve"> </w:t>
      </w:r>
      <w:proofErr w:type="spellStart"/>
      <w:r w:rsidRPr="009722DE">
        <w:rPr>
          <w:rFonts w:ascii="Times New Roman" w:hAnsi="Times New Roman" w:cs="Times New Roman"/>
          <w:color w:val="000000" w:themeColor="text1"/>
          <w:sz w:val="28"/>
          <w:szCs w:val="28"/>
          <w:shd w:val="clear" w:color="auto" w:fill="FFFFFF"/>
          <w:lang w:val="uk-UA"/>
        </w:rPr>
        <w:t>c</w:t>
      </w:r>
      <w:r>
        <w:rPr>
          <w:rFonts w:ascii="Times New Roman" w:hAnsi="Times New Roman" w:cs="Times New Roman"/>
          <w:color w:val="000000" w:themeColor="text1"/>
          <w:sz w:val="28"/>
          <w:szCs w:val="28"/>
          <w:shd w:val="clear" w:color="auto" w:fill="FFFFFF"/>
          <w:lang w:val="uk-UA"/>
        </w:rPr>
        <w:t>ase</w:t>
      </w:r>
      <w:proofErr w:type="spellEnd"/>
      <w:r>
        <w:rPr>
          <w:rFonts w:ascii="Times New Roman" w:hAnsi="Times New Roman" w:cs="Times New Roman"/>
          <w:color w:val="000000" w:themeColor="text1"/>
          <w:sz w:val="28"/>
          <w:szCs w:val="28"/>
          <w:shd w:val="clear" w:color="auto" w:fill="FFFFFF"/>
          <w:lang w:val="uk-UA"/>
        </w:rPr>
        <w:t xml:space="preserve"> </w:t>
      </w:r>
      <w:proofErr w:type="spellStart"/>
      <w:r>
        <w:rPr>
          <w:rFonts w:ascii="Times New Roman" w:hAnsi="Times New Roman" w:cs="Times New Roman"/>
          <w:color w:val="000000" w:themeColor="text1"/>
          <w:sz w:val="28"/>
          <w:szCs w:val="28"/>
          <w:shd w:val="clear" w:color="auto" w:fill="FFFFFF"/>
          <w:lang w:val="uk-UA"/>
        </w:rPr>
        <w:t>of</w:t>
      </w:r>
      <w:proofErr w:type="spellEnd"/>
      <w:r>
        <w:rPr>
          <w:rFonts w:ascii="Times New Roman" w:hAnsi="Times New Roman" w:cs="Times New Roman"/>
          <w:color w:val="000000" w:themeColor="text1"/>
          <w:sz w:val="28"/>
          <w:szCs w:val="28"/>
          <w:shd w:val="clear" w:color="auto" w:fill="FFFFFF"/>
          <w:lang w:val="uk-UA"/>
        </w:rPr>
        <w:t xml:space="preserve"> </w:t>
      </w:r>
      <w:proofErr w:type="spellStart"/>
      <w:r>
        <w:rPr>
          <w:rFonts w:ascii="Times New Roman" w:hAnsi="Times New Roman" w:cs="Times New Roman"/>
          <w:color w:val="000000" w:themeColor="text1"/>
          <w:sz w:val="28"/>
          <w:szCs w:val="28"/>
          <w:shd w:val="clear" w:color="auto" w:fill="FFFFFF"/>
          <w:lang w:val="uk-UA"/>
        </w:rPr>
        <w:t>military</w:t>
      </w:r>
      <w:proofErr w:type="spellEnd"/>
      <w:r>
        <w:rPr>
          <w:rFonts w:ascii="Times New Roman" w:hAnsi="Times New Roman" w:cs="Times New Roman"/>
          <w:color w:val="000000" w:themeColor="text1"/>
          <w:sz w:val="28"/>
          <w:szCs w:val="28"/>
          <w:shd w:val="clear" w:color="auto" w:fill="FFFFFF"/>
          <w:lang w:val="uk-UA"/>
        </w:rPr>
        <w:t xml:space="preserve"> </w:t>
      </w:r>
      <w:proofErr w:type="spellStart"/>
      <w:r>
        <w:rPr>
          <w:rFonts w:ascii="Times New Roman" w:hAnsi="Times New Roman" w:cs="Times New Roman"/>
          <w:color w:val="000000" w:themeColor="text1"/>
          <w:sz w:val="28"/>
          <w:szCs w:val="28"/>
          <w:shd w:val="clear" w:color="auto" w:fill="FFFFFF"/>
          <w:lang w:val="uk-UA"/>
        </w:rPr>
        <w:t>organizations</w:t>
      </w:r>
      <w:proofErr w:type="spellEnd"/>
      <w:r>
        <w:rPr>
          <w:rFonts w:ascii="Times New Roman" w:hAnsi="Times New Roman" w:cs="Times New Roman"/>
          <w:color w:val="000000" w:themeColor="text1"/>
          <w:sz w:val="28"/>
          <w:szCs w:val="28"/>
          <w:shd w:val="clear" w:color="auto" w:fill="FFFFFF"/>
          <w:lang w:val="en-US"/>
        </w:rPr>
        <w:t>.</w:t>
      </w:r>
      <w:r>
        <w:rPr>
          <w:rFonts w:ascii="Times New Roman" w:hAnsi="Times New Roman" w:cs="Times New Roman"/>
          <w:color w:val="000000" w:themeColor="text1"/>
          <w:sz w:val="28"/>
          <w:szCs w:val="28"/>
          <w:shd w:val="clear" w:color="auto" w:fill="FFFFFF"/>
          <w:lang w:val="uk-UA"/>
        </w:rPr>
        <w:t xml:space="preserve"> </w:t>
      </w:r>
      <w:proofErr w:type="spellStart"/>
      <w:r w:rsidRPr="00956236">
        <w:rPr>
          <w:rFonts w:ascii="Times New Roman" w:hAnsi="Times New Roman" w:cs="Times New Roman"/>
          <w:iCs/>
          <w:color w:val="000000" w:themeColor="text1"/>
          <w:sz w:val="28"/>
          <w:szCs w:val="28"/>
          <w:shd w:val="clear" w:color="auto" w:fill="FFFFFF"/>
          <w:lang w:val="uk-UA"/>
        </w:rPr>
        <w:t>Journal</w:t>
      </w:r>
      <w:proofErr w:type="spellEnd"/>
      <w:r w:rsidRPr="00956236">
        <w:rPr>
          <w:rFonts w:ascii="Times New Roman" w:hAnsi="Times New Roman" w:cs="Times New Roman"/>
          <w:iCs/>
          <w:color w:val="000000" w:themeColor="text1"/>
          <w:sz w:val="28"/>
          <w:szCs w:val="28"/>
          <w:shd w:val="clear" w:color="auto" w:fill="FFFFFF"/>
          <w:lang w:val="uk-UA"/>
        </w:rPr>
        <w:t xml:space="preserve"> </w:t>
      </w:r>
      <w:proofErr w:type="spellStart"/>
      <w:r w:rsidRPr="00956236">
        <w:rPr>
          <w:rFonts w:ascii="Times New Roman" w:hAnsi="Times New Roman" w:cs="Times New Roman"/>
          <w:iCs/>
          <w:color w:val="000000" w:themeColor="text1"/>
          <w:sz w:val="28"/>
          <w:szCs w:val="28"/>
          <w:shd w:val="clear" w:color="auto" w:fill="FFFFFF"/>
          <w:lang w:val="uk-UA"/>
        </w:rPr>
        <w:t>of</w:t>
      </w:r>
      <w:proofErr w:type="spellEnd"/>
      <w:r w:rsidRPr="00956236">
        <w:rPr>
          <w:rFonts w:ascii="Times New Roman" w:hAnsi="Times New Roman" w:cs="Times New Roman"/>
          <w:iCs/>
          <w:color w:val="000000" w:themeColor="text1"/>
          <w:sz w:val="28"/>
          <w:szCs w:val="28"/>
          <w:shd w:val="clear" w:color="auto" w:fill="FFFFFF"/>
          <w:lang w:val="uk-UA"/>
        </w:rPr>
        <w:t xml:space="preserve"> </w:t>
      </w:r>
      <w:proofErr w:type="spellStart"/>
      <w:r w:rsidRPr="00956236">
        <w:rPr>
          <w:rFonts w:ascii="Times New Roman" w:hAnsi="Times New Roman" w:cs="Times New Roman"/>
          <w:iCs/>
          <w:color w:val="000000" w:themeColor="text1"/>
          <w:sz w:val="28"/>
          <w:szCs w:val="28"/>
          <w:shd w:val="clear" w:color="auto" w:fill="FFFFFF"/>
          <w:lang w:val="uk-UA"/>
        </w:rPr>
        <w:t>entrepreneurship</w:t>
      </w:r>
      <w:proofErr w:type="spellEnd"/>
      <w:r w:rsidRPr="00956236">
        <w:rPr>
          <w:rFonts w:ascii="Times New Roman" w:hAnsi="Times New Roman" w:cs="Times New Roman"/>
          <w:iCs/>
          <w:color w:val="000000" w:themeColor="text1"/>
          <w:sz w:val="28"/>
          <w:szCs w:val="28"/>
          <w:shd w:val="clear" w:color="auto" w:fill="FFFFFF"/>
          <w:lang w:val="uk-UA"/>
        </w:rPr>
        <w:t xml:space="preserve">, </w:t>
      </w:r>
      <w:proofErr w:type="spellStart"/>
      <w:r w:rsidRPr="00956236">
        <w:rPr>
          <w:rFonts w:ascii="Times New Roman" w:hAnsi="Times New Roman" w:cs="Times New Roman"/>
          <w:iCs/>
          <w:color w:val="000000" w:themeColor="text1"/>
          <w:sz w:val="28"/>
          <w:szCs w:val="28"/>
          <w:shd w:val="clear" w:color="auto" w:fill="FFFFFF"/>
          <w:lang w:val="uk-UA"/>
        </w:rPr>
        <w:t>management</w:t>
      </w:r>
      <w:proofErr w:type="spellEnd"/>
      <w:r w:rsidRPr="00956236">
        <w:rPr>
          <w:rFonts w:ascii="Times New Roman" w:hAnsi="Times New Roman" w:cs="Times New Roman"/>
          <w:iCs/>
          <w:color w:val="000000" w:themeColor="text1"/>
          <w:sz w:val="28"/>
          <w:szCs w:val="28"/>
          <w:shd w:val="clear" w:color="auto" w:fill="FFFFFF"/>
          <w:lang w:val="uk-UA"/>
        </w:rPr>
        <w:t xml:space="preserve"> </w:t>
      </w:r>
      <w:proofErr w:type="spellStart"/>
      <w:r w:rsidRPr="00956236">
        <w:rPr>
          <w:rFonts w:ascii="Times New Roman" w:hAnsi="Times New Roman" w:cs="Times New Roman"/>
          <w:iCs/>
          <w:color w:val="000000" w:themeColor="text1"/>
          <w:sz w:val="28"/>
          <w:szCs w:val="28"/>
          <w:shd w:val="clear" w:color="auto" w:fill="FFFFFF"/>
          <w:lang w:val="uk-UA"/>
        </w:rPr>
        <w:t>and</w:t>
      </w:r>
      <w:proofErr w:type="spellEnd"/>
      <w:r w:rsidRPr="00956236">
        <w:rPr>
          <w:rFonts w:ascii="Times New Roman" w:hAnsi="Times New Roman" w:cs="Times New Roman"/>
          <w:iCs/>
          <w:color w:val="000000" w:themeColor="text1"/>
          <w:sz w:val="28"/>
          <w:szCs w:val="28"/>
          <w:shd w:val="clear" w:color="auto" w:fill="FFFFFF"/>
          <w:lang w:val="uk-UA"/>
        </w:rPr>
        <w:t xml:space="preserve"> </w:t>
      </w:r>
      <w:proofErr w:type="spellStart"/>
      <w:r w:rsidRPr="00956236">
        <w:rPr>
          <w:rFonts w:ascii="Times New Roman" w:hAnsi="Times New Roman" w:cs="Times New Roman"/>
          <w:iCs/>
          <w:color w:val="000000" w:themeColor="text1"/>
          <w:sz w:val="28"/>
          <w:szCs w:val="28"/>
          <w:shd w:val="clear" w:color="auto" w:fill="FFFFFF"/>
          <w:lang w:val="uk-UA"/>
        </w:rPr>
        <w:t>innovation</w:t>
      </w:r>
      <w:proofErr w:type="spellEnd"/>
      <w:r w:rsidRPr="00956236">
        <w:rPr>
          <w:rFonts w:ascii="Times New Roman" w:hAnsi="Times New Roman" w:cs="Times New Roman"/>
          <w:iCs/>
          <w:color w:val="000000" w:themeColor="text1"/>
          <w:sz w:val="28"/>
          <w:szCs w:val="28"/>
          <w:shd w:val="clear" w:color="auto" w:fill="FFFFFF"/>
          <w:lang w:val="uk-UA"/>
        </w:rPr>
        <w:t>. 2012. Т. 8. №. 4. С. 21-34.</w:t>
      </w:r>
    </w:p>
    <w:p w14:paraId="32EC1595" w14:textId="77777777" w:rsidR="00956236" w:rsidRDefault="00571B42" w:rsidP="00956236">
      <w:pPr>
        <w:spacing w:after="0" w:line="360" w:lineRule="auto"/>
        <w:ind w:firstLine="720"/>
        <w:jc w:val="both"/>
        <w:rPr>
          <w:rFonts w:ascii="Times New Roman" w:hAnsi="Times New Roman" w:cs="Times New Roman"/>
          <w:iCs/>
          <w:sz w:val="28"/>
          <w:szCs w:val="28"/>
          <w:lang w:val="uk-UA"/>
        </w:rPr>
      </w:pPr>
      <w:r w:rsidRPr="00956236">
        <w:rPr>
          <w:rFonts w:ascii="Times New Roman" w:hAnsi="Times New Roman" w:cs="Times New Roman"/>
          <w:iCs/>
          <w:sz w:val="28"/>
          <w:szCs w:val="28"/>
          <w:shd w:val="clear" w:color="auto" w:fill="FFFFFF"/>
          <w:lang w:val="uk-UA"/>
        </w:rPr>
        <w:t xml:space="preserve">123. </w:t>
      </w:r>
      <w:proofErr w:type="spellStart"/>
      <w:r w:rsidRPr="00956236">
        <w:rPr>
          <w:rFonts w:ascii="Times New Roman" w:hAnsi="Times New Roman" w:cs="Times New Roman"/>
          <w:iCs/>
          <w:sz w:val="28"/>
          <w:szCs w:val="28"/>
          <w:lang w:val="uk-UA"/>
        </w:rPr>
        <w:t>Michaels</w:t>
      </w:r>
      <w:proofErr w:type="spellEnd"/>
      <w:r w:rsidRPr="00956236">
        <w:rPr>
          <w:rFonts w:ascii="Times New Roman" w:hAnsi="Times New Roman" w:cs="Times New Roman"/>
          <w:iCs/>
          <w:sz w:val="28"/>
          <w:szCs w:val="28"/>
          <w:lang w:val="uk-UA"/>
        </w:rPr>
        <w:t xml:space="preserve"> E., </w:t>
      </w:r>
      <w:proofErr w:type="spellStart"/>
      <w:r w:rsidRPr="00956236">
        <w:rPr>
          <w:rFonts w:ascii="Times New Roman" w:hAnsi="Times New Roman" w:cs="Times New Roman"/>
          <w:iCs/>
          <w:sz w:val="28"/>
          <w:szCs w:val="28"/>
          <w:lang w:val="uk-UA"/>
        </w:rPr>
        <w:t>Handfield-Jones</w:t>
      </w:r>
      <w:proofErr w:type="spellEnd"/>
      <w:r w:rsidRPr="00956236">
        <w:rPr>
          <w:rFonts w:ascii="Times New Roman" w:hAnsi="Times New Roman" w:cs="Times New Roman"/>
          <w:iCs/>
          <w:sz w:val="28"/>
          <w:szCs w:val="28"/>
          <w:lang w:val="uk-UA"/>
        </w:rPr>
        <w:t xml:space="preserve"> H., </w:t>
      </w:r>
      <w:proofErr w:type="spellStart"/>
      <w:r w:rsidRPr="00956236">
        <w:rPr>
          <w:rFonts w:ascii="Times New Roman" w:hAnsi="Times New Roman" w:cs="Times New Roman"/>
          <w:iCs/>
          <w:sz w:val="28"/>
          <w:szCs w:val="28"/>
          <w:lang w:val="uk-UA"/>
        </w:rPr>
        <w:t>Axelrod</w:t>
      </w:r>
      <w:proofErr w:type="spellEnd"/>
      <w:r w:rsidRPr="00956236">
        <w:rPr>
          <w:rFonts w:ascii="Times New Roman" w:hAnsi="Times New Roman" w:cs="Times New Roman"/>
          <w:iCs/>
          <w:sz w:val="28"/>
          <w:szCs w:val="28"/>
          <w:lang w:val="uk-UA"/>
        </w:rPr>
        <w:t xml:space="preserve"> B. </w:t>
      </w:r>
      <w:proofErr w:type="spellStart"/>
      <w:r w:rsidRPr="00956236">
        <w:rPr>
          <w:rFonts w:ascii="Times New Roman" w:hAnsi="Times New Roman" w:cs="Times New Roman"/>
          <w:iCs/>
          <w:sz w:val="28"/>
          <w:szCs w:val="28"/>
          <w:lang w:val="uk-UA"/>
        </w:rPr>
        <w:t>The</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War</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for</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Talent</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Brighton</w:t>
      </w:r>
      <w:proofErr w:type="spellEnd"/>
      <w:r w:rsidRPr="00956236">
        <w:rPr>
          <w:rFonts w:ascii="Times New Roman" w:hAnsi="Times New Roman" w:cs="Times New Roman"/>
          <w:iCs/>
          <w:sz w:val="28"/>
          <w:szCs w:val="28"/>
          <w:lang w:val="uk-UA"/>
        </w:rPr>
        <w:t xml:space="preserve">, MA: </w:t>
      </w:r>
      <w:proofErr w:type="spellStart"/>
      <w:r w:rsidRPr="00956236">
        <w:rPr>
          <w:rFonts w:ascii="Times New Roman" w:hAnsi="Times New Roman" w:cs="Times New Roman"/>
          <w:iCs/>
          <w:sz w:val="28"/>
          <w:szCs w:val="28"/>
          <w:lang w:val="uk-UA"/>
        </w:rPr>
        <w:t>Harvard</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Business</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Press</w:t>
      </w:r>
      <w:proofErr w:type="spellEnd"/>
      <w:r w:rsidRPr="00956236">
        <w:rPr>
          <w:rFonts w:ascii="Times New Roman" w:hAnsi="Times New Roman" w:cs="Times New Roman"/>
          <w:iCs/>
          <w:sz w:val="28"/>
          <w:szCs w:val="28"/>
          <w:lang w:val="uk-UA"/>
        </w:rPr>
        <w:t>. 2001. 240 р.</w:t>
      </w:r>
    </w:p>
    <w:p w14:paraId="77D49556" w14:textId="77777777" w:rsidR="00956236" w:rsidRPr="00956236" w:rsidRDefault="00571B42" w:rsidP="00956236">
      <w:pPr>
        <w:spacing w:after="0" w:line="360" w:lineRule="auto"/>
        <w:ind w:firstLine="720"/>
        <w:jc w:val="both"/>
        <w:rPr>
          <w:rFonts w:ascii="Times New Roman" w:eastAsia="Arial Unicode MS" w:hAnsi="Times New Roman" w:cs="Times New Roman"/>
          <w:iCs/>
          <w:color w:val="000000"/>
          <w:sz w:val="28"/>
          <w:szCs w:val="28"/>
          <w:lang w:val="en-US" w:eastAsia="en-US" w:bidi="en-US"/>
        </w:rPr>
      </w:pPr>
      <w:r w:rsidRPr="00956236">
        <w:rPr>
          <w:rFonts w:ascii="Times New Roman" w:eastAsia="Arial Unicode MS" w:hAnsi="Times New Roman" w:cs="Times New Roman"/>
          <w:iCs/>
          <w:color w:val="000000"/>
          <w:sz w:val="28"/>
          <w:szCs w:val="28"/>
          <w:lang w:val="en-US" w:eastAsia="en-US" w:bidi="en-US"/>
        </w:rPr>
        <w:t>124. Boudreau J. W., Ramstad P. M. Beyond HR: The New Science of Human Capital. Boston: Harvard Business School Press. 2007. 258 p.</w:t>
      </w:r>
    </w:p>
    <w:p w14:paraId="02D80E13" w14:textId="77777777" w:rsidR="00956236" w:rsidRPr="00956236" w:rsidRDefault="00571B42" w:rsidP="00956236">
      <w:pPr>
        <w:spacing w:after="0" w:line="360" w:lineRule="auto"/>
        <w:ind w:firstLine="720"/>
        <w:jc w:val="both"/>
        <w:rPr>
          <w:rFonts w:ascii="Times New Roman" w:eastAsia="Arial Unicode MS" w:hAnsi="Times New Roman" w:cs="Times New Roman"/>
          <w:iCs/>
          <w:color w:val="000000"/>
          <w:sz w:val="28"/>
          <w:szCs w:val="28"/>
          <w:lang w:val="en-US" w:eastAsia="en-US" w:bidi="en-US"/>
        </w:rPr>
      </w:pPr>
      <w:r w:rsidRPr="00956236">
        <w:rPr>
          <w:rFonts w:ascii="Times New Roman" w:eastAsia="Arial Unicode MS" w:hAnsi="Times New Roman" w:cs="Times New Roman"/>
          <w:iCs/>
          <w:color w:val="000000"/>
          <w:sz w:val="28"/>
          <w:szCs w:val="28"/>
          <w:lang w:val="en-US" w:eastAsia="en-US" w:bidi="en-US"/>
        </w:rPr>
        <w:t xml:space="preserve">125. Collings D. G., </w:t>
      </w:r>
      <w:proofErr w:type="spellStart"/>
      <w:r w:rsidRPr="00956236">
        <w:rPr>
          <w:rFonts w:ascii="Times New Roman" w:eastAsia="Arial Unicode MS" w:hAnsi="Times New Roman" w:cs="Times New Roman"/>
          <w:iCs/>
          <w:color w:val="000000"/>
          <w:sz w:val="28"/>
          <w:szCs w:val="28"/>
          <w:lang w:val="en-US" w:eastAsia="en-US" w:bidi="en-US"/>
        </w:rPr>
        <w:t>Mellahi</w:t>
      </w:r>
      <w:proofErr w:type="spellEnd"/>
      <w:r w:rsidRPr="00956236">
        <w:rPr>
          <w:rFonts w:ascii="Times New Roman" w:eastAsia="Arial Unicode MS" w:hAnsi="Times New Roman" w:cs="Times New Roman"/>
          <w:iCs/>
          <w:color w:val="000000"/>
          <w:sz w:val="28"/>
          <w:szCs w:val="28"/>
          <w:lang w:val="en-US" w:eastAsia="en-US" w:bidi="en-US"/>
        </w:rPr>
        <w:t xml:space="preserve"> K. Strategic Talent Management: A Review and Research Agenda. Human Resource Management Review. 2019. № 19. </w:t>
      </w:r>
      <w:r w:rsidRPr="00956236">
        <w:rPr>
          <w:rFonts w:ascii="Times New Roman" w:eastAsia="Arial Unicode MS" w:hAnsi="Times New Roman" w:cs="Times New Roman"/>
          <w:iCs/>
          <w:color w:val="000000"/>
          <w:sz w:val="28"/>
          <w:szCs w:val="28"/>
          <w:lang w:eastAsia="en-US" w:bidi="en-US"/>
        </w:rPr>
        <w:t>Р</w:t>
      </w:r>
      <w:r w:rsidRPr="00956236">
        <w:rPr>
          <w:rFonts w:ascii="Times New Roman" w:eastAsia="Arial Unicode MS" w:hAnsi="Times New Roman" w:cs="Times New Roman"/>
          <w:iCs/>
          <w:color w:val="000000"/>
          <w:sz w:val="28"/>
          <w:szCs w:val="28"/>
          <w:lang w:val="en-US" w:eastAsia="en-US" w:bidi="en-US"/>
        </w:rPr>
        <w:t xml:space="preserve">. 304-313. </w:t>
      </w:r>
      <w:r w:rsidRPr="00956236">
        <w:rPr>
          <w:rFonts w:ascii="Times New Roman" w:hAnsi="Times New Roman" w:cs="Times New Roman"/>
          <w:iCs/>
          <w:color w:val="000000" w:themeColor="text1"/>
          <w:sz w:val="28"/>
          <w:szCs w:val="28"/>
          <w:lang w:val="en-US"/>
        </w:rPr>
        <w:t xml:space="preserve">DOI: </w:t>
      </w:r>
      <w:r w:rsidRPr="00956236">
        <w:rPr>
          <w:rFonts w:ascii="Times New Roman" w:eastAsia="Arial Unicode MS" w:hAnsi="Times New Roman" w:cs="Times New Roman"/>
          <w:iCs/>
          <w:color w:val="000000"/>
          <w:sz w:val="28"/>
          <w:szCs w:val="28"/>
          <w:lang w:val="en-US" w:eastAsia="en-US" w:bidi="en-US"/>
        </w:rPr>
        <w:t>https://doi.org/10.1016/j.hrmr.2009.04.001</w:t>
      </w:r>
    </w:p>
    <w:p w14:paraId="47881C34" w14:textId="77777777" w:rsidR="00956236" w:rsidRPr="00956236" w:rsidRDefault="00571B42" w:rsidP="00956236">
      <w:pPr>
        <w:spacing w:after="0" w:line="360" w:lineRule="auto"/>
        <w:ind w:firstLine="720"/>
        <w:jc w:val="both"/>
        <w:rPr>
          <w:rFonts w:ascii="Times New Roman" w:eastAsia="Arial Unicode MS" w:hAnsi="Times New Roman" w:cs="Times New Roman"/>
          <w:iCs/>
          <w:color w:val="000000"/>
          <w:sz w:val="28"/>
          <w:szCs w:val="28"/>
          <w:lang w:val="en-US" w:eastAsia="en-US" w:bidi="en-US"/>
        </w:rPr>
      </w:pPr>
      <w:r w:rsidRPr="00956236">
        <w:rPr>
          <w:rFonts w:ascii="Times New Roman" w:eastAsia="Arial Unicode MS" w:hAnsi="Times New Roman" w:cs="Times New Roman"/>
          <w:iCs/>
          <w:color w:val="000000"/>
          <w:sz w:val="28"/>
          <w:szCs w:val="28"/>
          <w:lang w:val="en-US" w:eastAsia="en-US" w:bidi="en-US"/>
        </w:rPr>
        <w:t xml:space="preserve">126. Cappelli P. Talent Management for the Twenty-First Century. Harvard Business Review. 2018. № 86. </w:t>
      </w:r>
      <w:r w:rsidRPr="00956236">
        <w:rPr>
          <w:rFonts w:ascii="Times New Roman" w:eastAsia="Arial Unicode MS" w:hAnsi="Times New Roman" w:cs="Times New Roman"/>
          <w:iCs/>
          <w:color w:val="000000"/>
          <w:sz w:val="28"/>
          <w:szCs w:val="28"/>
          <w:lang w:eastAsia="en-US" w:bidi="en-US"/>
        </w:rPr>
        <w:t>Р</w:t>
      </w:r>
      <w:r w:rsidRPr="00956236">
        <w:rPr>
          <w:rFonts w:ascii="Times New Roman" w:eastAsia="Arial Unicode MS" w:hAnsi="Times New Roman" w:cs="Times New Roman"/>
          <w:iCs/>
          <w:color w:val="000000"/>
          <w:sz w:val="28"/>
          <w:szCs w:val="28"/>
          <w:lang w:val="en-US" w:eastAsia="en-US" w:bidi="en-US"/>
        </w:rPr>
        <w:t>. 74-81.</w:t>
      </w:r>
    </w:p>
    <w:p w14:paraId="6F7C64AA" w14:textId="2BADD9C5" w:rsidR="00571B42" w:rsidRPr="00956236" w:rsidRDefault="00571B42" w:rsidP="00956236">
      <w:pPr>
        <w:spacing w:after="0" w:line="360" w:lineRule="auto"/>
        <w:ind w:firstLine="720"/>
        <w:jc w:val="both"/>
        <w:rPr>
          <w:rFonts w:ascii="Times New Roman" w:eastAsia="Arial Unicode MS" w:hAnsi="Times New Roman" w:cs="Times New Roman"/>
          <w:iCs/>
          <w:color w:val="000000"/>
          <w:sz w:val="28"/>
          <w:szCs w:val="28"/>
          <w:lang w:val="en-US" w:eastAsia="en-US" w:bidi="en-US"/>
        </w:rPr>
      </w:pPr>
      <w:r w:rsidRPr="00956236">
        <w:rPr>
          <w:rFonts w:ascii="Times New Roman" w:eastAsia="Arial Unicode MS" w:hAnsi="Times New Roman" w:cs="Times New Roman"/>
          <w:iCs/>
          <w:color w:val="000000"/>
          <w:sz w:val="28"/>
          <w:szCs w:val="28"/>
          <w:lang w:val="en-US" w:eastAsia="en-US" w:bidi="en-US"/>
        </w:rPr>
        <w:t xml:space="preserve">127. </w:t>
      </w:r>
      <w:proofErr w:type="spellStart"/>
      <w:r w:rsidRPr="00956236">
        <w:rPr>
          <w:rFonts w:ascii="Times New Roman" w:eastAsia="Arial Unicode MS" w:hAnsi="Times New Roman" w:cs="Times New Roman"/>
          <w:iCs/>
          <w:color w:val="000000"/>
          <w:sz w:val="28"/>
          <w:szCs w:val="28"/>
          <w:lang w:val="en-US" w:eastAsia="en-US" w:bidi="en-US"/>
        </w:rPr>
        <w:t>Vinkenburg</w:t>
      </w:r>
      <w:proofErr w:type="spellEnd"/>
      <w:r w:rsidRPr="00956236">
        <w:rPr>
          <w:rFonts w:ascii="Times New Roman" w:eastAsia="Arial Unicode MS" w:hAnsi="Times New Roman" w:cs="Times New Roman"/>
          <w:iCs/>
          <w:color w:val="000000"/>
          <w:sz w:val="28"/>
          <w:szCs w:val="28"/>
          <w:lang w:val="en-US" w:eastAsia="en-US" w:bidi="en-US"/>
        </w:rPr>
        <w:t xml:space="preserve"> C. J., </w:t>
      </w:r>
      <w:proofErr w:type="spellStart"/>
      <w:r w:rsidRPr="00956236">
        <w:rPr>
          <w:rFonts w:ascii="Times New Roman" w:eastAsia="Arial Unicode MS" w:hAnsi="Times New Roman" w:cs="Times New Roman"/>
          <w:iCs/>
          <w:color w:val="000000"/>
          <w:sz w:val="28"/>
          <w:szCs w:val="28"/>
          <w:lang w:val="en-US" w:eastAsia="en-US" w:bidi="en-US"/>
        </w:rPr>
        <w:t>Ossenkop</w:t>
      </w:r>
      <w:proofErr w:type="spellEnd"/>
      <w:r w:rsidRPr="00956236">
        <w:rPr>
          <w:rFonts w:ascii="Times New Roman" w:eastAsia="Arial Unicode MS" w:hAnsi="Times New Roman" w:cs="Times New Roman"/>
          <w:iCs/>
          <w:color w:val="000000"/>
          <w:sz w:val="28"/>
          <w:szCs w:val="28"/>
          <w:lang w:val="en-US" w:eastAsia="en-US" w:bidi="en-US"/>
        </w:rPr>
        <w:t xml:space="preserve"> C., </w:t>
      </w:r>
      <w:proofErr w:type="spellStart"/>
      <w:r w:rsidRPr="00956236">
        <w:rPr>
          <w:rFonts w:ascii="Times New Roman" w:eastAsia="Arial Unicode MS" w:hAnsi="Times New Roman" w:cs="Times New Roman"/>
          <w:iCs/>
          <w:color w:val="000000"/>
          <w:sz w:val="28"/>
          <w:szCs w:val="28"/>
          <w:lang w:val="en-US" w:eastAsia="en-US" w:bidi="en-US"/>
        </w:rPr>
        <w:t>Schiffbaenker</w:t>
      </w:r>
      <w:proofErr w:type="spellEnd"/>
      <w:r w:rsidRPr="00956236">
        <w:rPr>
          <w:rFonts w:ascii="Times New Roman" w:eastAsia="Arial Unicode MS" w:hAnsi="Times New Roman" w:cs="Times New Roman"/>
          <w:iCs/>
          <w:color w:val="000000"/>
          <w:sz w:val="28"/>
          <w:szCs w:val="28"/>
          <w:lang w:val="en-US" w:eastAsia="en-US" w:bidi="en-US"/>
        </w:rPr>
        <w:t xml:space="preserve"> H. Selling science: optimizing the research funding evaluation and decision process. Equality, Diversity and Inclusion: An International Journal. 2021. № 41(9). </w:t>
      </w:r>
      <w:r w:rsidRPr="00956236">
        <w:rPr>
          <w:rFonts w:ascii="Times New Roman" w:eastAsia="Arial Unicode MS" w:hAnsi="Times New Roman" w:cs="Times New Roman"/>
          <w:iCs/>
          <w:color w:val="000000"/>
          <w:sz w:val="28"/>
          <w:szCs w:val="28"/>
          <w:lang w:eastAsia="en-US" w:bidi="en-US"/>
        </w:rPr>
        <w:t>Р</w:t>
      </w:r>
      <w:r w:rsidRPr="00956236">
        <w:rPr>
          <w:rFonts w:ascii="Times New Roman" w:eastAsia="Arial Unicode MS" w:hAnsi="Times New Roman" w:cs="Times New Roman"/>
          <w:iCs/>
          <w:color w:val="000000"/>
          <w:sz w:val="28"/>
          <w:szCs w:val="28"/>
          <w:lang w:val="en-US" w:eastAsia="en-US" w:bidi="en-US"/>
        </w:rPr>
        <w:t>. 1-14.</w:t>
      </w:r>
    </w:p>
    <w:p w14:paraId="122ECA5E" w14:textId="77777777" w:rsidR="00571B42" w:rsidRPr="00E2067D" w:rsidRDefault="00571B42" w:rsidP="00571B42">
      <w:pPr>
        <w:spacing w:after="0" w:line="360" w:lineRule="auto"/>
        <w:ind w:firstLine="720"/>
        <w:jc w:val="both"/>
        <w:rPr>
          <w:rFonts w:ascii="Times New Roman" w:hAnsi="Times New Roman" w:cs="Times New Roman"/>
          <w:sz w:val="28"/>
          <w:szCs w:val="28"/>
          <w:lang w:val="uk-UA"/>
        </w:rPr>
      </w:pPr>
      <w:r w:rsidRPr="00E2067D">
        <w:rPr>
          <w:rFonts w:ascii="Times New Roman" w:hAnsi="Times New Roman" w:cs="Times New Roman"/>
          <w:sz w:val="28"/>
          <w:szCs w:val="28"/>
          <w:lang w:val="uk-UA"/>
        </w:rPr>
        <w:t xml:space="preserve">128. </w:t>
      </w:r>
      <w:proofErr w:type="spellStart"/>
      <w:r w:rsidRPr="00E2067D">
        <w:rPr>
          <w:rFonts w:ascii="Times New Roman" w:hAnsi="Times New Roman" w:cs="Times New Roman"/>
          <w:sz w:val="28"/>
          <w:szCs w:val="28"/>
          <w:lang w:val="uk-UA"/>
        </w:rPr>
        <w:t>Collings</w:t>
      </w:r>
      <w:proofErr w:type="spellEnd"/>
      <w:r w:rsidRPr="00E2067D">
        <w:rPr>
          <w:rFonts w:ascii="Times New Roman" w:hAnsi="Times New Roman" w:cs="Times New Roman"/>
          <w:sz w:val="28"/>
          <w:szCs w:val="28"/>
          <w:lang w:val="uk-UA"/>
        </w:rPr>
        <w:t xml:space="preserve"> D. G., </w:t>
      </w:r>
      <w:proofErr w:type="spellStart"/>
      <w:r w:rsidRPr="00E2067D">
        <w:rPr>
          <w:rFonts w:ascii="Times New Roman" w:hAnsi="Times New Roman" w:cs="Times New Roman"/>
          <w:sz w:val="28"/>
          <w:szCs w:val="28"/>
          <w:lang w:val="uk-UA"/>
        </w:rPr>
        <w:t>Vaiman</w:t>
      </w:r>
      <w:proofErr w:type="spellEnd"/>
      <w:r w:rsidRPr="00E2067D">
        <w:rPr>
          <w:rFonts w:ascii="Times New Roman" w:hAnsi="Times New Roman" w:cs="Times New Roman"/>
          <w:sz w:val="28"/>
          <w:szCs w:val="28"/>
          <w:lang w:val="uk-UA"/>
        </w:rPr>
        <w:t xml:space="preserve"> V., </w:t>
      </w:r>
      <w:proofErr w:type="spellStart"/>
      <w:r w:rsidRPr="00E2067D">
        <w:rPr>
          <w:rFonts w:ascii="Times New Roman" w:hAnsi="Times New Roman" w:cs="Times New Roman"/>
          <w:sz w:val="28"/>
          <w:szCs w:val="28"/>
          <w:lang w:val="uk-UA"/>
        </w:rPr>
        <w:t>Scullion</w:t>
      </w:r>
      <w:proofErr w:type="spellEnd"/>
      <w:r w:rsidRPr="00E2067D">
        <w:rPr>
          <w:rFonts w:ascii="Times New Roman" w:hAnsi="Times New Roman" w:cs="Times New Roman"/>
          <w:sz w:val="28"/>
          <w:szCs w:val="28"/>
          <w:lang w:val="uk-UA"/>
        </w:rPr>
        <w:t xml:space="preserve"> H. </w:t>
      </w:r>
      <w:proofErr w:type="spellStart"/>
      <w:r w:rsidRPr="00E2067D">
        <w:rPr>
          <w:rFonts w:ascii="Times New Roman" w:hAnsi="Times New Roman" w:cs="Times New Roman"/>
          <w:sz w:val="28"/>
          <w:szCs w:val="28"/>
          <w:lang w:val="uk-UA"/>
        </w:rPr>
        <w:t>Talent</w:t>
      </w:r>
      <w:proofErr w:type="spellEnd"/>
      <w:r w:rsidRPr="00E2067D">
        <w:rPr>
          <w:rFonts w:ascii="Times New Roman" w:hAnsi="Times New Roman" w:cs="Times New Roman"/>
          <w:sz w:val="28"/>
          <w:szCs w:val="28"/>
          <w:lang w:val="uk-UA"/>
        </w:rPr>
        <w:t xml:space="preserve"> </w:t>
      </w:r>
      <w:proofErr w:type="spellStart"/>
      <w:r w:rsidRPr="00E2067D">
        <w:rPr>
          <w:rFonts w:ascii="Times New Roman" w:hAnsi="Times New Roman" w:cs="Times New Roman"/>
          <w:sz w:val="28"/>
          <w:szCs w:val="28"/>
          <w:lang w:val="uk-UA"/>
        </w:rPr>
        <w:t>Management</w:t>
      </w:r>
      <w:proofErr w:type="spellEnd"/>
      <w:r w:rsidRPr="00E2067D">
        <w:rPr>
          <w:rFonts w:ascii="Times New Roman" w:hAnsi="Times New Roman" w:cs="Times New Roman"/>
          <w:sz w:val="28"/>
          <w:szCs w:val="28"/>
          <w:lang w:val="uk-UA"/>
        </w:rPr>
        <w:t xml:space="preserve">: A </w:t>
      </w:r>
      <w:proofErr w:type="spellStart"/>
      <w:r w:rsidRPr="00E2067D">
        <w:rPr>
          <w:rFonts w:ascii="Times New Roman" w:hAnsi="Times New Roman" w:cs="Times New Roman"/>
          <w:sz w:val="28"/>
          <w:szCs w:val="28"/>
          <w:lang w:val="uk-UA"/>
        </w:rPr>
        <w:t>Decade</w:t>
      </w:r>
      <w:proofErr w:type="spellEnd"/>
      <w:r w:rsidRPr="00E2067D">
        <w:rPr>
          <w:rFonts w:ascii="Times New Roman" w:hAnsi="Times New Roman" w:cs="Times New Roman"/>
          <w:sz w:val="28"/>
          <w:szCs w:val="28"/>
          <w:lang w:val="uk-UA"/>
        </w:rPr>
        <w:t xml:space="preserve"> </w:t>
      </w:r>
      <w:proofErr w:type="spellStart"/>
      <w:r w:rsidRPr="00E2067D">
        <w:rPr>
          <w:rFonts w:ascii="Times New Roman" w:hAnsi="Times New Roman" w:cs="Times New Roman"/>
          <w:sz w:val="28"/>
          <w:szCs w:val="28"/>
          <w:lang w:val="uk-UA"/>
        </w:rPr>
        <w:t>of</w:t>
      </w:r>
      <w:proofErr w:type="spellEnd"/>
      <w:r w:rsidRPr="00E2067D">
        <w:rPr>
          <w:rFonts w:ascii="Times New Roman" w:hAnsi="Times New Roman" w:cs="Times New Roman"/>
          <w:sz w:val="28"/>
          <w:szCs w:val="28"/>
          <w:lang w:val="uk-UA"/>
        </w:rPr>
        <w:t xml:space="preserve"> </w:t>
      </w:r>
      <w:proofErr w:type="spellStart"/>
      <w:r w:rsidRPr="00E2067D">
        <w:rPr>
          <w:rFonts w:ascii="Times New Roman" w:hAnsi="Times New Roman" w:cs="Times New Roman"/>
          <w:sz w:val="28"/>
          <w:szCs w:val="28"/>
          <w:lang w:val="uk-UA"/>
        </w:rPr>
        <w:t>Developments</w:t>
      </w:r>
      <w:proofErr w:type="spellEnd"/>
      <w:r w:rsidRPr="00E2067D">
        <w:rPr>
          <w:rFonts w:ascii="Times New Roman" w:hAnsi="Times New Roman" w:cs="Times New Roman"/>
          <w:sz w:val="28"/>
          <w:szCs w:val="28"/>
          <w:lang w:val="uk-UA"/>
        </w:rPr>
        <w:t xml:space="preserve">. </w:t>
      </w:r>
      <w:proofErr w:type="spellStart"/>
      <w:r w:rsidRPr="00956236">
        <w:rPr>
          <w:rFonts w:ascii="Times New Roman" w:hAnsi="Times New Roman" w:cs="Times New Roman"/>
          <w:iCs/>
          <w:sz w:val="28"/>
          <w:szCs w:val="28"/>
          <w:lang w:val="uk-UA"/>
        </w:rPr>
        <w:t>Emerald</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Publishing</w:t>
      </w:r>
      <w:proofErr w:type="spellEnd"/>
      <w:r w:rsidRPr="00956236">
        <w:rPr>
          <w:rFonts w:ascii="Times New Roman" w:hAnsi="Times New Roman" w:cs="Times New Roman"/>
          <w:iCs/>
          <w:sz w:val="28"/>
          <w:szCs w:val="28"/>
          <w:lang w:val="uk-UA"/>
        </w:rPr>
        <w:t xml:space="preserve"> </w:t>
      </w:r>
      <w:proofErr w:type="spellStart"/>
      <w:r w:rsidRPr="00956236">
        <w:rPr>
          <w:rFonts w:ascii="Times New Roman" w:hAnsi="Times New Roman" w:cs="Times New Roman"/>
          <w:iCs/>
          <w:sz w:val="28"/>
          <w:szCs w:val="28"/>
          <w:lang w:val="uk-UA"/>
        </w:rPr>
        <w:t>Limited</w:t>
      </w:r>
      <w:proofErr w:type="spellEnd"/>
      <w:r w:rsidRPr="00956236">
        <w:rPr>
          <w:rFonts w:ascii="Times New Roman" w:hAnsi="Times New Roman" w:cs="Times New Roman"/>
          <w:iCs/>
          <w:sz w:val="28"/>
          <w:szCs w:val="28"/>
          <w:lang w:val="uk-UA"/>
        </w:rPr>
        <w:t>.</w:t>
      </w:r>
      <w:r w:rsidRPr="00E2067D">
        <w:rPr>
          <w:rFonts w:ascii="Times New Roman" w:hAnsi="Times New Roman" w:cs="Times New Roman"/>
          <w:sz w:val="28"/>
          <w:szCs w:val="28"/>
          <w:lang w:val="uk-UA"/>
        </w:rPr>
        <w:t xml:space="preserve"> 2022. P. 1-18.</w:t>
      </w:r>
      <w:r w:rsidRPr="00E2067D">
        <w:rPr>
          <w:rFonts w:ascii="Times New Roman" w:hAnsi="Times New Roman" w:cs="Times New Roman"/>
          <w:color w:val="000000" w:themeColor="text1"/>
          <w:sz w:val="28"/>
          <w:szCs w:val="28"/>
          <w:lang w:val="uk-UA"/>
        </w:rPr>
        <w:t xml:space="preserve"> DOI: </w:t>
      </w:r>
      <w:hyperlink r:id="rId52" w:tooltip="DOI: https://doi.org/10.1108/978-1-80117-834-120221001" w:history="1">
        <w:r w:rsidRPr="00E2067D">
          <w:rPr>
            <w:rFonts w:ascii="Times New Roman" w:hAnsi="Times New Roman" w:cs="Times New Roman"/>
            <w:sz w:val="28"/>
            <w:szCs w:val="28"/>
            <w:lang w:val="uk-UA"/>
          </w:rPr>
          <w:t>https://doi.org/10.1108/978-1-80117-834-120221001</w:t>
        </w:r>
      </w:hyperlink>
      <w:r w:rsidRPr="00E2067D">
        <w:rPr>
          <w:rFonts w:ascii="Times New Roman" w:hAnsi="Times New Roman" w:cs="Times New Roman"/>
          <w:sz w:val="28"/>
          <w:szCs w:val="28"/>
          <w:lang w:val="uk-UA"/>
        </w:rPr>
        <w:t>.</w:t>
      </w:r>
    </w:p>
    <w:p w14:paraId="28162E53" w14:textId="77777777" w:rsidR="00571B42" w:rsidRPr="00E2067D" w:rsidRDefault="00571B42" w:rsidP="00571B42">
      <w:pPr>
        <w:shd w:val="clear" w:color="auto" w:fill="FFFFFF"/>
        <w:spacing w:after="0" w:line="360" w:lineRule="auto"/>
        <w:ind w:firstLine="720"/>
        <w:jc w:val="both"/>
        <w:rPr>
          <w:rFonts w:ascii="Times New Roman" w:hAnsi="Times New Roman" w:cs="Times New Roman"/>
          <w:color w:val="000000" w:themeColor="text1"/>
          <w:sz w:val="28"/>
          <w:szCs w:val="28"/>
          <w:lang w:val="uk-UA"/>
        </w:rPr>
      </w:pPr>
      <w:r w:rsidRPr="00E2067D">
        <w:rPr>
          <w:rFonts w:ascii="Times New Roman" w:hAnsi="Times New Roman" w:cs="Times New Roman"/>
          <w:color w:val="000000" w:themeColor="text1"/>
          <w:sz w:val="28"/>
          <w:szCs w:val="28"/>
          <w:lang w:val="uk-UA"/>
        </w:rPr>
        <w:lastRenderedPageBreak/>
        <w:t xml:space="preserve">129. </w:t>
      </w:r>
      <w:proofErr w:type="spellStart"/>
      <w:r w:rsidRPr="00E2067D">
        <w:rPr>
          <w:rFonts w:ascii="Times New Roman" w:hAnsi="Times New Roman" w:cs="Times New Roman"/>
          <w:color w:val="000000" w:themeColor="text1"/>
          <w:sz w:val="28"/>
          <w:szCs w:val="28"/>
          <w:lang w:val="uk-UA"/>
        </w:rPr>
        <w:t>Farndale</w:t>
      </w:r>
      <w:proofErr w:type="spellEnd"/>
      <w:r w:rsidRPr="00E2067D">
        <w:rPr>
          <w:rFonts w:ascii="Times New Roman" w:hAnsi="Times New Roman" w:cs="Times New Roman"/>
          <w:color w:val="000000" w:themeColor="text1"/>
          <w:sz w:val="28"/>
          <w:szCs w:val="28"/>
          <w:lang w:val="uk-UA"/>
        </w:rPr>
        <w:t xml:space="preserve"> E., </w:t>
      </w:r>
      <w:proofErr w:type="spellStart"/>
      <w:r w:rsidRPr="00E2067D">
        <w:rPr>
          <w:rFonts w:ascii="Times New Roman" w:hAnsi="Times New Roman" w:cs="Times New Roman"/>
          <w:color w:val="000000" w:themeColor="text1"/>
          <w:sz w:val="28"/>
          <w:szCs w:val="28"/>
          <w:lang w:val="uk-UA"/>
        </w:rPr>
        <w:t>Scullion</w:t>
      </w:r>
      <w:proofErr w:type="spellEnd"/>
      <w:r w:rsidRPr="00E2067D">
        <w:rPr>
          <w:rFonts w:ascii="Times New Roman" w:hAnsi="Times New Roman" w:cs="Times New Roman"/>
          <w:color w:val="000000" w:themeColor="text1"/>
          <w:sz w:val="28"/>
          <w:szCs w:val="28"/>
          <w:lang w:val="uk-UA"/>
        </w:rPr>
        <w:t xml:space="preserve"> H., </w:t>
      </w:r>
      <w:proofErr w:type="spellStart"/>
      <w:r w:rsidRPr="00E2067D">
        <w:rPr>
          <w:rFonts w:ascii="Times New Roman" w:hAnsi="Times New Roman" w:cs="Times New Roman"/>
          <w:color w:val="000000" w:themeColor="text1"/>
          <w:sz w:val="28"/>
          <w:szCs w:val="28"/>
          <w:lang w:val="uk-UA"/>
        </w:rPr>
        <w:t>Sparrow</w:t>
      </w:r>
      <w:proofErr w:type="spellEnd"/>
      <w:r w:rsidRPr="00E2067D">
        <w:rPr>
          <w:rFonts w:ascii="Times New Roman" w:hAnsi="Times New Roman" w:cs="Times New Roman"/>
          <w:color w:val="000000" w:themeColor="text1"/>
          <w:sz w:val="28"/>
          <w:szCs w:val="28"/>
          <w:lang w:val="uk-UA"/>
        </w:rPr>
        <w:t xml:space="preserve"> P. </w:t>
      </w:r>
      <w:proofErr w:type="spellStart"/>
      <w:r w:rsidRPr="00E2067D">
        <w:rPr>
          <w:rFonts w:ascii="Times New Roman" w:hAnsi="Times New Roman" w:cs="Times New Roman"/>
          <w:color w:val="000000" w:themeColor="text1"/>
          <w:sz w:val="28"/>
          <w:szCs w:val="28"/>
          <w:lang w:val="uk-UA"/>
        </w:rPr>
        <w:t>The</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role</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of</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the</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corporate</w:t>
      </w:r>
      <w:proofErr w:type="spellEnd"/>
      <w:r w:rsidRPr="00E2067D">
        <w:rPr>
          <w:rFonts w:ascii="Times New Roman" w:hAnsi="Times New Roman" w:cs="Times New Roman"/>
          <w:color w:val="000000" w:themeColor="text1"/>
          <w:sz w:val="28"/>
          <w:szCs w:val="28"/>
          <w:lang w:val="uk-UA"/>
        </w:rPr>
        <w:t xml:space="preserve"> HR </w:t>
      </w:r>
      <w:proofErr w:type="spellStart"/>
      <w:r w:rsidRPr="00E2067D">
        <w:rPr>
          <w:rFonts w:ascii="Times New Roman" w:hAnsi="Times New Roman" w:cs="Times New Roman"/>
          <w:color w:val="000000" w:themeColor="text1"/>
          <w:sz w:val="28"/>
          <w:szCs w:val="28"/>
          <w:lang w:val="uk-UA"/>
        </w:rPr>
        <w:t>function</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in</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global</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talent</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management</w:t>
      </w:r>
      <w:proofErr w:type="spellEnd"/>
      <w:r w:rsidRPr="00E2067D">
        <w:rPr>
          <w:rFonts w:ascii="Times New Roman" w:hAnsi="Times New Roman" w:cs="Times New Roman"/>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Journal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of</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World</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Business</w:t>
      </w:r>
      <w:proofErr w:type="spellEnd"/>
      <w:r w:rsidRPr="00956236">
        <w:rPr>
          <w:rFonts w:ascii="Times New Roman" w:hAnsi="Times New Roman" w:cs="Times New Roman"/>
          <w:iCs/>
          <w:color w:val="000000" w:themeColor="text1"/>
          <w:sz w:val="28"/>
          <w:szCs w:val="28"/>
          <w:lang w:val="uk-UA"/>
        </w:rPr>
        <w:t>.</w:t>
      </w:r>
      <w:r w:rsidRPr="00E2067D">
        <w:rPr>
          <w:rFonts w:ascii="Times New Roman" w:hAnsi="Times New Roman" w:cs="Times New Roman"/>
          <w:color w:val="000000" w:themeColor="text1"/>
          <w:sz w:val="28"/>
          <w:szCs w:val="28"/>
          <w:lang w:val="uk-UA"/>
        </w:rPr>
        <w:t xml:space="preserve"> 2010. № 45 (2). Р. 161–168.</w:t>
      </w:r>
    </w:p>
    <w:p w14:paraId="789C7579" w14:textId="77777777" w:rsidR="00571B42" w:rsidRPr="00956236" w:rsidRDefault="00571B42" w:rsidP="00571B42">
      <w:pPr>
        <w:spacing w:after="0" w:line="360" w:lineRule="auto"/>
        <w:ind w:firstLine="720"/>
        <w:jc w:val="both"/>
        <w:rPr>
          <w:rFonts w:ascii="Times New Roman" w:hAnsi="Times New Roman" w:cs="Times New Roman"/>
          <w:iCs/>
          <w:color w:val="000000" w:themeColor="text1"/>
          <w:sz w:val="28"/>
          <w:szCs w:val="28"/>
          <w:lang w:val="uk-UA"/>
        </w:rPr>
      </w:pPr>
      <w:r w:rsidRPr="00E2067D">
        <w:rPr>
          <w:rFonts w:ascii="Times New Roman" w:hAnsi="Times New Roman" w:cs="Times New Roman"/>
          <w:color w:val="000000" w:themeColor="text1"/>
          <w:sz w:val="28"/>
          <w:szCs w:val="28"/>
          <w:lang w:val="uk-UA"/>
        </w:rPr>
        <w:t xml:space="preserve">130. </w:t>
      </w:r>
      <w:proofErr w:type="spellStart"/>
      <w:r w:rsidRPr="00E2067D">
        <w:rPr>
          <w:rFonts w:ascii="Times New Roman" w:hAnsi="Times New Roman" w:cs="Times New Roman"/>
          <w:color w:val="000000" w:themeColor="text1"/>
          <w:sz w:val="28"/>
          <w:szCs w:val="28"/>
          <w:lang w:val="uk-UA"/>
        </w:rPr>
        <w:t>Schuler</w:t>
      </w:r>
      <w:proofErr w:type="spellEnd"/>
      <w:r w:rsidRPr="00E2067D">
        <w:rPr>
          <w:rFonts w:ascii="Times New Roman" w:hAnsi="Times New Roman" w:cs="Times New Roman"/>
          <w:color w:val="000000" w:themeColor="text1"/>
          <w:sz w:val="28"/>
          <w:szCs w:val="28"/>
          <w:lang w:val="uk-UA"/>
        </w:rPr>
        <w:t xml:space="preserve"> R. S., </w:t>
      </w:r>
      <w:proofErr w:type="spellStart"/>
      <w:r w:rsidRPr="00E2067D">
        <w:rPr>
          <w:rFonts w:ascii="Times New Roman" w:hAnsi="Times New Roman" w:cs="Times New Roman"/>
          <w:color w:val="000000" w:themeColor="text1"/>
          <w:sz w:val="28"/>
          <w:szCs w:val="28"/>
          <w:lang w:val="uk-UA"/>
        </w:rPr>
        <w:t>Jackson</w:t>
      </w:r>
      <w:proofErr w:type="spellEnd"/>
      <w:r w:rsidRPr="00E2067D">
        <w:rPr>
          <w:rFonts w:ascii="Times New Roman" w:hAnsi="Times New Roman" w:cs="Times New Roman"/>
          <w:color w:val="000000" w:themeColor="text1"/>
          <w:sz w:val="28"/>
          <w:szCs w:val="28"/>
          <w:lang w:val="uk-UA"/>
        </w:rPr>
        <w:t xml:space="preserve"> S. E.,  </w:t>
      </w:r>
      <w:proofErr w:type="spellStart"/>
      <w:r w:rsidRPr="00E2067D">
        <w:rPr>
          <w:rFonts w:ascii="Times New Roman" w:hAnsi="Times New Roman" w:cs="Times New Roman"/>
          <w:color w:val="000000" w:themeColor="text1"/>
          <w:sz w:val="28"/>
          <w:szCs w:val="28"/>
          <w:lang w:val="uk-UA"/>
        </w:rPr>
        <w:t>Tarique</w:t>
      </w:r>
      <w:proofErr w:type="spellEnd"/>
      <w:r w:rsidRPr="00E2067D">
        <w:rPr>
          <w:rFonts w:ascii="Times New Roman" w:hAnsi="Times New Roman" w:cs="Times New Roman"/>
          <w:color w:val="000000" w:themeColor="text1"/>
          <w:sz w:val="28"/>
          <w:szCs w:val="28"/>
          <w:lang w:val="uk-UA"/>
        </w:rPr>
        <w:t xml:space="preserve"> I. </w:t>
      </w:r>
      <w:proofErr w:type="spellStart"/>
      <w:r w:rsidRPr="00E2067D">
        <w:rPr>
          <w:rFonts w:ascii="Times New Roman" w:hAnsi="Times New Roman" w:cs="Times New Roman"/>
          <w:color w:val="000000" w:themeColor="text1"/>
          <w:sz w:val="28"/>
          <w:szCs w:val="28"/>
          <w:lang w:val="uk-UA"/>
        </w:rPr>
        <w:t>Global</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Talent</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Management</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and</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Global</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Talent</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Challenges</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Strategic</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Opportunities</w:t>
      </w:r>
      <w:proofErr w:type="spellEnd"/>
      <w:r w:rsidRPr="00E2067D">
        <w:rPr>
          <w:rFonts w:ascii="Times New Roman" w:hAnsi="Times New Roman" w:cs="Times New Roman"/>
          <w:color w:val="000000" w:themeColor="text1"/>
          <w:sz w:val="28"/>
          <w:szCs w:val="28"/>
          <w:lang w:val="uk-UA"/>
        </w:rPr>
        <w:t xml:space="preserve"> </w:t>
      </w:r>
      <w:proofErr w:type="spellStart"/>
      <w:r w:rsidRPr="00E2067D">
        <w:rPr>
          <w:rFonts w:ascii="Times New Roman" w:hAnsi="Times New Roman" w:cs="Times New Roman"/>
          <w:color w:val="000000" w:themeColor="text1"/>
          <w:sz w:val="28"/>
          <w:szCs w:val="28"/>
          <w:lang w:val="uk-UA"/>
        </w:rPr>
        <w:t>for</w:t>
      </w:r>
      <w:proofErr w:type="spellEnd"/>
      <w:r w:rsidRPr="00E2067D">
        <w:rPr>
          <w:rFonts w:ascii="Times New Roman" w:hAnsi="Times New Roman" w:cs="Times New Roman"/>
          <w:color w:val="000000" w:themeColor="text1"/>
          <w:sz w:val="28"/>
          <w:szCs w:val="28"/>
          <w:lang w:val="uk-UA"/>
        </w:rPr>
        <w:t xml:space="preserve"> IHRM. </w:t>
      </w:r>
      <w:proofErr w:type="spellStart"/>
      <w:r w:rsidRPr="00956236">
        <w:rPr>
          <w:rFonts w:ascii="Times New Roman" w:hAnsi="Times New Roman" w:cs="Times New Roman"/>
          <w:iCs/>
          <w:color w:val="000000" w:themeColor="text1"/>
          <w:sz w:val="28"/>
          <w:szCs w:val="28"/>
          <w:lang w:val="uk-UA"/>
        </w:rPr>
        <w:t>Journal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of</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World</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Business</w:t>
      </w:r>
      <w:proofErr w:type="spellEnd"/>
      <w:r w:rsidRPr="00956236">
        <w:rPr>
          <w:rFonts w:ascii="Times New Roman" w:hAnsi="Times New Roman" w:cs="Times New Roman"/>
          <w:iCs/>
          <w:color w:val="000000" w:themeColor="text1"/>
          <w:sz w:val="28"/>
          <w:szCs w:val="28"/>
          <w:lang w:val="uk-UA"/>
        </w:rPr>
        <w:t>. 2011. № 46. Р. 506-516. DOI: https://doi.org/10.1016/j.jwb.2010.10.011</w:t>
      </w:r>
    </w:p>
    <w:p w14:paraId="2553AAA7" w14:textId="77777777" w:rsidR="00571B42" w:rsidRPr="00956236" w:rsidRDefault="00571B42" w:rsidP="00571B42">
      <w:pPr>
        <w:autoSpaceDE w:val="0"/>
        <w:autoSpaceDN w:val="0"/>
        <w:adjustRightInd w:val="0"/>
        <w:spacing w:after="0" w:line="360" w:lineRule="auto"/>
        <w:ind w:firstLine="720"/>
        <w:contextualSpacing/>
        <w:jc w:val="both"/>
        <w:rPr>
          <w:rFonts w:ascii="Times New Roman" w:hAnsi="Times New Roman" w:cs="Times New Roman"/>
          <w:iCs/>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131. </w:t>
      </w:r>
      <w:proofErr w:type="spellStart"/>
      <w:r w:rsidRPr="00956236">
        <w:rPr>
          <w:rFonts w:ascii="Times New Roman" w:hAnsi="Times New Roman" w:cs="Times New Roman"/>
          <w:iCs/>
          <w:color w:val="000000" w:themeColor="text1"/>
          <w:sz w:val="28"/>
          <w:szCs w:val="28"/>
          <w:lang w:val="uk-UA"/>
        </w:rPr>
        <w:t>Lewis</w:t>
      </w:r>
      <w:proofErr w:type="spellEnd"/>
      <w:r w:rsidRPr="00956236">
        <w:rPr>
          <w:rFonts w:ascii="Times New Roman" w:hAnsi="Times New Roman" w:cs="Times New Roman"/>
          <w:iCs/>
          <w:color w:val="000000" w:themeColor="text1"/>
          <w:sz w:val="28"/>
          <w:szCs w:val="28"/>
          <w:lang w:val="uk-UA"/>
        </w:rPr>
        <w:t xml:space="preserve"> R. E., </w:t>
      </w:r>
      <w:proofErr w:type="spellStart"/>
      <w:r w:rsidRPr="00956236">
        <w:rPr>
          <w:rFonts w:ascii="Times New Roman" w:hAnsi="Times New Roman" w:cs="Times New Roman"/>
          <w:iCs/>
          <w:color w:val="000000" w:themeColor="text1"/>
          <w:sz w:val="28"/>
          <w:szCs w:val="28"/>
          <w:lang w:val="uk-UA"/>
        </w:rPr>
        <w:t>Heckman</w:t>
      </w:r>
      <w:proofErr w:type="spellEnd"/>
      <w:r w:rsidRPr="00956236">
        <w:rPr>
          <w:rFonts w:ascii="Times New Roman" w:hAnsi="Times New Roman" w:cs="Times New Roman"/>
          <w:iCs/>
          <w:color w:val="000000" w:themeColor="text1"/>
          <w:sz w:val="28"/>
          <w:szCs w:val="28"/>
          <w:lang w:val="uk-UA"/>
        </w:rPr>
        <w:t xml:space="preserve"> R. J. </w:t>
      </w:r>
      <w:proofErr w:type="spellStart"/>
      <w:r w:rsidRPr="00956236">
        <w:rPr>
          <w:rFonts w:ascii="Times New Roman" w:hAnsi="Times New Roman" w:cs="Times New Roman"/>
          <w:iCs/>
          <w:color w:val="000000" w:themeColor="text1"/>
          <w:sz w:val="28"/>
          <w:szCs w:val="28"/>
          <w:lang w:val="uk-UA"/>
        </w:rPr>
        <w:t>Talent</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Management</w:t>
      </w:r>
      <w:proofErr w:type="spellEnd"/>
      <w:r w:rsidRPr="00956236">
        <w:rPr>
          <w:rFonts w:ascii="Times New Roman" w:hAnsi="Times New Roman" w:cs="Times New Roman"/>
          <w:iCs/>
          <w:color w:val="000000" w:themeColor="text1"/>
          <w:sz w:val="28"/>
          <w:szCs w:val="28"/>
          <w:lang w:val="uk-UA"/>
        </w:rPr>
        <w:t xml:space="preserve">: A </w:t>
      </w:r>
      <w:proofErr w:type="spellStart"/>
      <w:r w:rsidRPr="00956236">
        <w:rPr>
          <w:rFonts w:ascii="Times New Roman" w:hAnsi="Times New Roman" w:cs="Times New Roman"/>
          <w:iCs/>
          <w:color w:val="000000" w:themeColor="text1"/>
          <w:sz w:val="28"/>
          <w:szCs w:val="28"/>
          <w:lang w:val="uk-UA"/>
        </w:rPr>
        <w:t>Critical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Review</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Human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Resources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Management</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Review</w:t>
      </w:r>
      <w:proofErr w:type="spellEnd"/>
      <w:r w:rsidRPr="00956236">
        <w:rPr>
          <w:rFonts w:ascii="Times New Roman" w:hAnsi="Times New Roman" w:cs="Times New Roman"/>
          <w:iCs/>
          <w:color w:val="000000" w:themeColor="text1"/>
          <w:sz w:val="28"/>
          <w:szCs w:val="28"/>
          <w:lang w:val="uk-UA"/>
        </w:rPr>
        <w:t>. 2016. № 16(2). Р. 139-154.</w:t>
      </w:r>
    </w:p>
    <w:p w14:paraId="15C6A0B6" w14:textId="77777777" w:rsidR="00571B42" w:rsidRPr="00956236" w:rsidRDefault="00571B42" w:rsidP="00571B42">
      <w:pPr>
        <w:autoSpaceDE w:val="0"/>
        <w:autoSpaceDN w:val="0"/>
        <w:adjustRightInd w:val="0"/>
        <w:spacing w:after="0" w:line="360" w:lineRule="auto"/>
        <w:ind w:firstLine="720"/>
        <w:contextualSpacing/>
        <w:jc w:val="both"/>
        <w:rPr>
          <w:rFonts w:ascii="Times New Roman" w:hAnsi="Times New Roman" w:cs="Times New Roman"/>
          <w:iCs/>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132. </w:t>
      </w:r>
      <w:proofErr w:type="spellStart"/>
      <w:r w:rsidRPr="00956236">
        <w:rPr>
          <w:rFonts w:ascii="Times New Roman" w:hAnsi="Times New Roman" w:cs="Times New Roman"/>
          <w:iCs/>
          <w:color w:val="000000" w:themeColor="text1"/>
          <w:sz w:val="28"/>
          <w:szCs w:val="28"/>
          <w:lang w:val="uk-UA"/>
        </w:rPr>
        <w:t>Baruch</w:t>
      </w:r>
      <w:proofErr w:type="spellEnd"/>
      <w:r w:rsidRPr="00956236">
        <w:rPr>
          <w:rFonts w:ascii="Times New Roman" w:hAnsi="Times New Roman" w:cs="Times New Roman"/>
          <w:iCs/>
          <w:color w:val="000000" w:themeColor="text1"/>
          <w:sz w:val="28"/>
          <w:szCs w:val="28"/>
          <w:lang w:val="uk-UA"/>
        </w:rPr>
        <w:t xml:space="preserve"> Y., </w:t>
      </w:r>
      <w:proofErr w:type="spellStart"/>
      <w:r w:rsidRPr="00956236">
        <w:rPr>
          <w:rFonts w:ascii="Times New Roman" w:hAnsi="Times New Roman" w:cs="Times New Roman"/>
          <w:iCs/>
          <w:color w:val="000000" w:themeColor="text1"/>
          <w:sz w:val="28"/>
          <w:szCs w:val="28"/>
          <w:lang w:val="uk-UA"/>
        </w:rPr>
        <w:t>Peiperl</w:t>
      </w:r>
      <w:proofErr w:type="spellEnd"/>
      <w:r w:rsidRPr="00956236">
        <w:rPr>
          <w:rFonts w:ascii="Times New Roman" w:hAnsi="Times New Roman" w:cs="Times New Roman"/>
          <w:iCs/>
          <w:color w:val="000000" w:themeColor="text1"/>
          <w:sz w:val="28"/>
          <w:szCs w:val="28"/>
          <w:lang w:val="uk-UA"/>
        </w:rPr>
        <w:t xml:space="preserve"> M. </w:t>
      </w:r>
      <w:proofErr w:type="spellStart"/>
      <w:r w:rsidRPr="00956236">
        <w:rPr>
          <w:rFonts w:ascii="Times New Roman" w:hAnsi="Times New Roman" w:cs="Times New Roman"/>
          <w:iCs/>
          <w:color w:val="000000" w:themeColor="text1"/>
          <w:sz w:val="28"/>
          <w:szCs w:val="28"/>
          <w:lang w:val="uk-UA"/>
        </w:rPr>
        <w:t>Career</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Management</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Practices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An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Empirical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Survey</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and</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Implications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Human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Resource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Management</w:t>
      </w:r>
      <w:proofErr w:type="spellEnd"/>
      <w:r w:rsidRPr="00956236">
        <w:rPr>
          <w:rFonts w:ascii="Times New Roman" w:hAnsi="Times New Roman" w:cs="Times New Roman"/>
          <w:iCs/>
          <w:color w:val="000000" w:themeColor="text1"/>
          <w:sz w:val="28"/>
          <w:szCs w:val="28"/>
          <w:lang w:val="uk-UA"/>
        </w:rPr>
        <w:t>. 2020. № 39(4). Р. 347-366.</w:t>
      </w:r>
    </w:p>
    <w:p w14:paraId="00102A02"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133. </w:t>
      </w:r>
      <w:proofErr w:type="spellStart"/>
      <w:r w:rsidRPr="00956236">
        <w:rPr>
          <w:rFonts w:ascii="Times New Roman" w:hAnsi="Times New Roman" w:cs="Times New Roman"/>
          <w:iCs/>
          <w:color w:val="000000" w:themeColor="text1"/>
          <w:sz w:val="28"/>
          <w:szCs w:val="28"/>
          <w:lang w:val="uk-UA"/>
        </w:rPr>
        <w:t>Buckingham</w:t>
      </w:r>
      <w:proofErr w:type="spellEnd"/>
      <w:r w:rsidRPr="00956236">
        <w:rPr>
          <w:rFonts w:ascii="Times New Roman" w:hAnsi="Times New Roman" w:cs="Times New Roman"/>
          <w:iCs/>
          <w:color w:val="000000" w:themeColor="text1"/>
          <w:sz w:val="28"/>
          <w:szCs w:val="28"/>
          <w:lang w:val="uk-UA"/>
        </w:rPr>
        <w:t xml:space="preserve"> M., </w:t>
      </w:r>
      <w:proofErr w:type="spellStart"/>
      <w:r w:rsidRPr="00956236">
        <w:rPr>
          <w:rFonts w:ascii="Times New Roman" w:hAnsi="Times New Roman" w:cs="Times New Roman"/>
          <w:iCs/>
          <w:color w:val="000000" w:themeColor="text1"/>
          <w:sz w:val="28"/>
          <w:szCs w:val="28"/>
          <w:lang w:val="uk-UA"/>
        </w:rPr>
        <w:t>Vosburgh</w:t>
      </w:r>
      <w:proofErr w:type="spellEnd"/>
      <w:r w:rsidRPr="00956236">
        <w:rPr>
          <w:rFonts w:ascii="Times New Roman" w:hAnsi="Times New Roman" w:cs="Times New Roman"/>
          <w:iCs/>
          <w:color w:val="000000" w:themeColor="text1"/>
          <w:sz w:val="28"/>
          <w:szCs w:val="28"/>
          <w:lang w:val="uk-UA"/>
        </w:rPr>
        <w:t xml:space="preserve"> R. M. </w:t>
      </w:r>
      <w:proofErr w:type="spellStart"/>
      <w:r w:rsidRPr="00956236">
        <w:rPr>
          <w:rFonts w:ascii="Times New Roman" w:hAnsi="Times New Roman" w:cs="Times New Roman"/>
          <w:iCs/>
          <w:color w:val="000000" w:themeColor="text1"/>
          <w:sz w:val="28"/>
          <w:szCs w:val="28"/>
          <w:lang w:val="uk-UA"/>
        </w:rPr>
        <w:t>The</w:t>
      </w:r>
      <w:proofErr w:type="spellEnd"/>
      <w:r w:rsidRPr="00956236">
        <w:rPr>
          <w:rFonts w:ascii="Times New Roman" w:hAnsi="Times New Roman" w:cs="Times New Roman"/>
          <w:iCs/>
          <w:color w:val="000000" w:themeColor="text1"/>
          <w:sz w:val="28"/>
          <w:szCs w:val="28"/>
          <w:lang w:val="uk-UA"/>
        </w:rPr>
        <w:t xml:space="preserve"> 21st </w:t>
      </w:r>
      <w:proofErr w:type="spellStart"/>
      <w:r w:rsidRPr="00956236">
        <w:rPr>
          <w:rFonts w:ascii="Times New Roman" w:hAnsi="Times New Roman" w:cs="Times New Roman"/>
          <w:iCs/>
          <w:color w:val="000000" w:themeColor="text1"/>
          <w:sz w:val="28"/>
          <w:szCs w:val="28"/>
          <w:lang w:val="uk-UA"/>
        </w:rPr>
        <w:t>Century</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Human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Resources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Function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It's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the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Talent</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Stupid</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Human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Resource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Planning</w:t>
      </w:r>
      <w:proofErr w:type="spellEnd"/>
      <w:r w:rsidRPr="00956236">
        <w:rPr>
          <w:rFonts w:ascii="Times New Roman" w:hAnsi="Times New Roman" w:cs="Times New Roman"/>
          <w:iCs/>
          <w:color w:val="000000" w:themeColor="text1"/>
          <w:sz w:val="28"/>
          <w:szCs w:val="28"/>
          <w:lang w:val="uk-UA"/>
        </w:rPr>
        <w:t>. 2021. № 24(4). Р. 17-23.</w:t>
      </w:r>
    </w:p>
    <w:p w14:paraId="07283192"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134. </w:t>
      </w:r>
      <w:proofErr w:type="spellStart"/>
      <w:r w:rsidRPr="00956236">
        <w:rPr>
          <w:rFonts w:ascii="Times New Roman" w:hAnsi="Times New Roman" w:cs="Times New Roman"/>
          <w:iCs/>
          <w:color w:val="000000" w:themeColor="text1"/>
          <w:sz w:val="28"/>
          <w:szCs w:val="28"/>
          <w:lang w:val="uk-UA"/>
        </w:rPr>
        <w:t>Van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Buren</w:t>
      </w:r>
      <w:proofErr w:type="spellEnd"/>
      <w:r w:rsidRPr="00956236">
        <w:rPr>
          <w:rFonts w:ascii="Times New Roman" w:hAnsi="Times New Roman" w:cs="Times New Roman"/>
          <w:iCs/>
          <w:color w:val="000000" w:themeColor="text1"/>
          <w:sz w:val="28"/>
          <w:szCs w:val="28"/>
          <w:lang w:val="uk-UA"/>
        </w:rPr>
        <w:t xml:space="preserve"> H. J. </w:t>
      </w:r>
      <w:proofErr w:type="spellStart"/>
      <w:r w:rsidRPr="00956236">
        <w:rPr>
          <w:rFonts w:ascii="Times New Roman" w:hAnsi="Times New Roman" w:cs="Times New Roman"/>
          <w:iCs/>
          <w:color w:val="000000" w:themeColor="text1"/>
          <w:sz w:val="28"/>
          <w:szCs w:val="28"/>
          <w:lang w:val="uk-UA"/>
        </w:rPr>
        <w:t>Boundaryless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Careers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and</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Employability</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Obligations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Business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Ethics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Quarterly</w:t>
      </w:r>
      <w:proofErr w:type="spellEnd"/>
      <w:r w:rsidRPr="00956236">
        <w:rPr>
          <w:rFonts w:ascii="Times New Roman" w:hAnsi="Times New Roman" w:cs="Times New Roman"/>
          <w:iCs/>
          <w:color w:val="000000" w:themeColor="text1"/>
          <w:sz w:val="28"/>
          <w:szCs w:val="28"/>
          <w:lang w:val="uk-UA"/>
        </w:rPr>
        <w:t>. 2023. № 13(2). Р. 131-149.</w:t>
      </w:r>
    </w:p>
    <w:p w14:paraId="2C027347" w14:textId="5F3CDE70"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135. </w:t>
      </w:r>
      <w:proofErr w:type="spellStart"/>
      <w:r w:rsidRPr="00956236">
        <w:rPr>
          <w:rFonts w:ascii="Times New Roman" w:hAnsi="Times New Roman" w:cs="Times New Roman"/>
          <w:iCs/>
          <w:color w:val="000000" w:themeColor="text1"/>
          <w:sz w:val="28"/>
          <w:szCs w:val="28"/>
          <w:lang w:val="uk-UA"/>
        </w:rPr>
        <w:t>Tansley</w:t>
      </w:r>
      <w:proofErr w:type="spellEnd"/>
      <w:r w:rsidRPr="00956236">
        <w:rPr>
          <w:rFonts w:ascii="Times New Roman" w:hAnsi="Times New Roman" w:cs="Times New Roman"/>
          <w:iCs/>
          <w:color w:val="000000" w:themeColor="text1"/>
          <w:sz w:val="28"/>
          <w:szCs w:val="28"/>
          <w:lang w:val="uk-UA"/>
        </w:rPr>
        <w:t xml:space="preserve"> C. </w:t>
      </w:r>
      <w:proofErr w:type="spellStart"/>
      <w:r w:rsidRPr="00956236">
        <w:rPr>
          <w:rFonts w:ascii="Times New Roman" w:hAnsi="Times New Roman" w:cs="Times New Roman"/>
          <w:iCs/>
          <w:color w:val="000000" w:themeColor="text1"/>
          <w:sz w:val="28"/>
          <w:szCs w:val="28"/>
          <w:lang w:val="uk-UA"/>
        </w:rPr>
        <w:t>What</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Do</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we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Mean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by</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the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Term</w:t>
      </w:r>
      <w:proofErr w:type="spellEnd"/>
      <w:r w:rsidRPr="00956236">
        <w:rPr>
          <w:rFonts w:ascii="Times New Roman" w:hAnsi="Times New Roman" w:cs="Times New Roman"/>
          <w:iCs/>
          <w:color w:val="000000" w:themeColor="text1"/>
          <w:sz w:val="28"/>
          <w:szCs w:val="28"/>
          <w:lang w:val="uk-UA"/>
        </w:rPr>
        <w:t xml:space="preserve"> </w:t>
      </w:r>
      <w:r w:rsidR="00956236">
        <w:rPr>
          <w:rFonts w:ascii="Times New Roman" w:hAnsi="Times New Roman" w:cs="Times New Roman"/>
          <w:iCs/>
          <w:color w:val="000000" w:themeColor="text1"/>
          <w:sz w:val="28"/>
          <w:szCs w:val="28"/>
          <w:lang w:val="uk-UA"/>
        </w:rPr>
        <w:t>«</w:t>
      </w:r>
      <w:proofErr w:type="spellStart"/>
      <w:r w:rsidRPr="00956236">
        <w:rPr>
          <w:rFonts w:ascii="Times New Roman" w:hAnsi="Times New Roman" w:cs="Times New Roman"/>
          <w:iCs/>
          <w:color w:val="000000" w:themeColor="text1"/>
          <w:sz w:val="28"/>
          <w:szCs w:val="28"/>
          <w:lang w:val="uk-UA"/>
        </w:rPr>
        <w:t>Talent</w:t>
      </w:r>
      <w:proofErr w:type="spellEnd"/>
      <w:r w:rsidR="00956236">
        <w:rPr>
          <w:rFonts w:ascii="Times New Roman" w:hAnsi="Times New Roman" w:cs="Times New Roman"/>
          <w:iCs/>
          <w:color w:val="000000" w:themeColor="text1"/>
          <w:sz w:val="28"/>
          <w:szCs w:val="28"/>
          <w:lang w:val="uk-UA"/>
        </w:rPr>
        <w:t>»</w:t>
      </w:r>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in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Talent</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Management</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Industrial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and</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Commercial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Training</w:t>
      </w:r>
      <w:proofErr w:type="spellEnd"/>
      <w:r w:rsidRPr="00956236">
        <w:rPr>
          <w:rFonts w:ascii="Times New Roman" w:hAnsi="Times New Roman" w:cs="Times New Roman"/>
          <w:iCs/>
          <w:color w:val="000000" w:themeColor="text1"/>
          <w:sz w:val="28"/>
          <w:szCs w:val="28"/>
          <w:lang w:val="uk-UA"/>
        </w:rPr>
        <w:t>. 2011. № 43(5). Р. 266-274.</w:t>
      </w:r>
    </w:p>
    <w:p w14:paraId="750D25A1"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136. </w:t>
      </w:r>
      <w:proofErr w:type="spellStart"/>
      <w:r w:rsidRPr="00956236">
        <w:rPr>
          <w:rFonts w:ascii="Times New Roman" w:hAnsi="Times New Roman" w:cs="Times New Roman"/>
          <w:iCs/>
          <w:color w:val="000000" w:themeColor="text1"/>
          <w:sz w:val="28"/>
          <w:szCs w:val="28"/>
          <w:lang w:val="uk-UA"/>
        </w:rPr>
        <w:t>Gagné</w:t>
      </w:r>
      <w:proofErr w:type="spellEnd"/>
      <w:r w:rsidRPr="00956236">
        <w:rPr>
          <w:rFonts w:ascii="Times New Roman" w:hAnsi="Times New Roman" w:cs="Times New Roman"/>
          <w:iCs/>
          <w:color w:val="000000" w:themeColor="text1"/>
          <w:sz w:val="28"/>
          <w:szCs w:val="28"/>
          <w:lang w:val="uk-UA"/>
        </w:rPr>
        <w:t xml:space="preserve"> F. </w:t>
      </w:r>
      <w:proofErr w:type="spellStart"/>
      <w:r w:rsidRPr="00956236">
        <w:rPr>
          <w:rFonts w:ascii="Times New Roman" w:hAnsi="Times New Roman" w:cs="Times New Roman"/>
          <w:iCs/>
          <w:color w:val="000000" w:themeColor="text1"/>
          <w:sz w:val="28"/>
          <w:szCs w:val="28"/>
          <w:lang w:val="uk-UA"/>
        </w:rPr>
        <w:t>Transforming</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Gifts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into</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Talents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The</w:t>
      </w:r>
      <w:proofErr w:type="spellEnd"/>
      <w:r w:rsidRPr="00956236">
        <w:rPr>
          <w:rFonts w:ascii="Times New Roman" w:hAnsi="Times New Roman" w:cs="Times New Roman"/>
          <w:iCs/>
          <w:color w:val="000000" w:themeColor="text1"/>
          <w:sz w:val="28"/>
          <w:szCs w:val="28"/>
          <w:lang w:val="uk-UA"/>
        </w:rPr>
        <w:t xml:space="preserve"> DMGT </w:t>
      </w:r>
      <w:proofErr w:type="spellStart"/>
      <w:r w:rsidRPr="00956236">
        <w:rPr>
          <w:rFonts w:ascii="Times New Roman" w:hAnsi="Times New Roman" w:cs="Times New Roman"/>
          <w:iCs/>
          <w:color w:val="000000" w:themeColor="text1"/>
          <w:sz w:val="28"/>
          <w:szCs w:val="28"/>
          <w:lang w:val="uk-UA"/>
        </w:rPr>
        <w:t>as</w:t>
      </w:r>
      <w:proofErr w:type="spellEnd"/>
      <w:r w:rsidRPr="00956236">
        <w:rPr>
          <w:rFonts w:ascii="Times New Roman" w:hAnsi="Times New Roman" w:cs="Times New Roman"/>
          <w:iCs/>
          <w:color w:val="000000" w:themeColor="text1"/>
          <w:sz w:val="28"/>
          <w:szCs w:val="28"/>
          <w:lang w:val="uk-UA"/>
        </w:rPr>
        <w:t xml:space="preserve"> a </w:t>
      </w:r>
      <w:proofErr w:type="spellStart"/>
      <w:r w:rsidRPr="00956236">
        <w:rPr>
          <w:rFonts w:ascii="Times New Roman" w:hAnsi="Times New Roman" w:cs="Times New Roman"/>
          <w:iCs/>
          <w:color w:val="000000" w:themeColor="text1"/>
          <w:sz w:val="28"/>
          <w:szCs w:val="28"/>
          <w:lang w:val="uk-UA"/>
        </w:rPr>
        <w:t>Developmental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Theory</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High</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Ability</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Studies</w:t>
      </w:r>
      <w:proofErr w:type="spellEnd"/>
      <w:r w:rsidRPr="00956236">
        <w:rPr>
          <w:rFonts w:ascii="Times New Roman" w:hAnsi="Times New Roman" w:cs="Times New Roman"/>
          <w:iCs/>
          <w:color w:val="000000" w:themeColor="text1"/>
          <w:sz w:val="28"/>
          <w:szCs w:val="28"/>
          <w:lang w:val="uk-UA"/>
        </w:rPr>
        <w:t>. 2014. № 15. Р. 119 - 147.</w:t>
      </w:r>
    </w:p>
    <w:p w14:paraId="14697A04"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137. </w:t>
      </w:r>
      <w:proofErr w:type="spellStart"/>
      <w:r w:rsidRPr="00956236">
        <w:rPr>
          <w:rFonts w:ascii="Times New Roman" w:hAnsi="Times New Roman" w:cs="Times New Roman"/>
          <w:iCs/>
          <w:color w:val="000000" w:themeColor="text1"/>
          <w:sz w:val="28"/>
          <w:szCs w:val="28"/>
          <w:lang w:val="uk-UA"/>
        </w:rPr>
        <w:t>Biswas-Diener</w:t>
      </w:r>
      <w:proofErr w:type="spellEnd"/>
      <w:r w:rsidRPr="00956236">
        <w:rPr>
          <w:rFonts w:ascii="Times New Roman" w:hAnsi="Times New Roman" w:cs="Times New Roman"/>
          <w:iCs/>
          <w:color w:val="000000" w:themeColor="text1"/>
          <w:sz w:val="28"/>
          <w:szCs w:val="28"/>
          <w:lang w:val="uk-UA"/>
        </w:rPr>
        <w:t xml:space="preserve"> R., </w:t>
      </w:r>
      <w:proofErr w:type="spellStart"/>
      <w:r w:rsidRPr="00956236">
        <w:rPr>
          <w:rFonts w:ascii="Times New Roman" w:hAnsi="Times New Roman" w:cs="Times New Roman"/>
          <w:iCs/>
          <w:color w:val="000000" w:themeColor="text1"/>
          <w:sz w:val="28"/>
          <w:szCs w:val="28"/>
          <w:lang w:val="uk-UA"/>
        </w:rPr>
        <w:t>Kashdan</w:t>
      </w:r>
      <w:proofErr w:type="spellEnd"/>
      <w:r w:rsidRPr="00956236">
        <w:rPr>
          <w:rFonts w:ascii="Times New Roman" w:hAnsi="Times New Roman" w:cs="Times New Roman"/>
          <w:iCs/>
          <w:color w:val="000000" w:themeColor="text1"/>
          <w:sz w:val="28"/>
          <w:szCs w:val="28"/>
          <w:lang w:val="uk-UA"/>
        </w:rPr>
        <w:t xml:space="preserve"> T. B., </w:t>
      </w:r>
      <w:proofErr w:type="spellStart"/>
      <w:r w:rsidRPr="00956236">
        <w:rPr>
          <w:rFonts w:ascii="Times New Roman" w:hAnsi="Times New Roman" w:cs="Times New Roman"/>
          <w:iCs/>
          <w:color w:val="000000" w:themeColor="text1"/>
          <w:sz w:val="28"/>
          <w:szCs w:val="28"/>
          <w:lang w:val="uk-UA"/>
        </w:rPr>
        <w:t>Minhas</w:t>
      </w:r>
      <w:proofErr w:type="spellEnd"/>
      <w:r w:rsidRPr="00956236">
        <w:rPr>
          <w:rFonts w:ascii="Times New Roman" w:hAnsi="Times New Roman" w:cs="Times New Roman"/>
          <w:iCs/>
          <w:color w:val="000000" w:themeColor="text1"/>
          <w:sz w:val="28"/>
          <w:szCs w:val="28"/>
          <w:lang w:val="uk-UA"/>
        </w:rPr>
        <w:t xml:space="preserve"> G. A </w:t>
      </w:r>
      <w:proofErr w:type="spellStart"/>
      <w:r w:rsidRPr="00956236">
        <w:rPr>
          <w:rFonts w:ascii="Times New Roman" w:hAnsi="Times New Roman" w:cs="Times New Roman"/>
          <w:iCs/>
          <w:color w:val="000000" w:themeColor="text1"/>
          <w:sz w:val="28"/>
          <w:szCs w:val="28"/>
          <w:lang w:val="uk-UA"/>
        </w:rPr>
        <w:t>Dynamic</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Approach</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to</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Psychological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Strength</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Development</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and</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Intervention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The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Journal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of</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Positive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Psychology</w:t>
      </w:r>
      <w:proofErr w:type="spellEnd"/>
      <w:r w:rsidRPr="00956236">
        <w:rPr>
          <w:rFonts w:ascii="Times New Roman" w:hAnsi="Times New Roman" w:cs="Times New Roman"/>
          <w:iCs/>
          <w:color w:val="000000" w:themeColor="text1"/>
          <w:sz w:val="28"/>
          <w:szCs w:val="28"/>
          <w:lang w:val="uk-UA"/>
        </w:rPr>
        <w:t>. 2021. № 6. Р. 106 - 118.</w:t>
      </w:r>
    </w:p>
    <w:p w14:paraId="2D7AADEA" w14:textId="77777777" w:rsidR="00571B42" w:rsidRPr="00956236" w:rsidRDefault="00571B42" w:rsidP="00571B42">
      <w:pPr>
        <w:autoSpaceDE w:val="0"/>
        <w:autoSpaceDN w:val="0"/>
        <w:adjustRightInd w:val="0"/>
        <w:spacing w:after="0" w:line="360" w:lineRule="auto"/>
        <w:ind w:firstLine="720"/>
        <w:jc w:val="both"/>
        <w:rPr>
          <w:rFonts w:ascii="Times New Roman" w:hAnsi="Times New Roman" w:cs="Times New Roman"/>
          <w:iCs/>
          <w:color w:val="000000" w:themeColor="text1"/>
          <w:sz w:val="28"/>
          <w:szCs w:val="28"/>
          <w:lang w:val="uk-UA"/>
        </w:rPr>
      </w:pPr>
      <w:r w:rsidRPr="00956236">
        <w:rPr>
          <w:rFonts w:ascii="Times New Roman" w:hAnsi="Times New Roman" w:cs="Times New Roman"/>
          <w:iCs/>
          <w:color w:val="000000" w:themeColor="text1"/>
          <w:sz w:val="28"/>
          <w:szCs w:val="28"/>
          <w:lang w:val="uk-UA"/>
        </w:rPr>
        <w:t xml:space="preserve">138. </w:t>
      </w:r>
      <w:proofErr w:type="spellStart"/>
      <w:r w:rsidRPr="00956236">
        <w:rPr>
          <w:rFonts w:ascii="Times New Roman" w:hAnsi="Times New Roman" w:cs="Times New Roman"/>
          <w:iCs/>
          <w:color w:val="000000" w:themeColor="text1"/>
          <w:sz w:val="28"/>
          <w:szCs w:val="28"/>
          <w:lang w:val="uk-UA"/>
        </w:rPr>
        <w:t>Lepak</w:t>
      </w:r>
      <w:proofErr w:type="spellEnd"/>
      <w:r w:rsidRPr="00956236">
        <w:rPr>
          <w:rFonts w:ascii="Times New Roman" w:hAnsi="Times New Roman" w:cs="Times New Roman"/>
          <w:iCs/>
          <w:color w:val="000000" w:themeColor="text1"/>
          <w:sz w:val="28"/>
          <w:szCs w:val="28"/>
          <w:lang w:val="uk-UA"/>
        </w:rPr>
        <w:t xml:space="preserve"> D. P., </w:t>
      </w:r>
      <w:proofErr w:type="spellStart"/>
      <w:r w:rsidRPr="00956236">
        <w:rPr>
          <w:rFonts w:ascii="Times New Roman" w:hAnsi="Times New Roman" w:cs="Times New Roman"/>
          <w:iCs/>
          <w:color w:val="000000" w:themeColor="text1"/>
          <w:sz w:val="28"/>
          <w:szCs w:val="28"/>
          <w:lang w:val="uk-UA"/>
        </w:rPr>
        <w:t>Snell</w:t>
      </w:r>
      <w:proofErr w:type="spellEnd"/>
      <w:r w:rsidRPr="00956236">
        <w:rPr>
          <w:rFonts w:ascii="Times New Roman" w:hAnsi="Times New Roman" w:cs="Times New Roman"/>
          <w:iCs/>
          <w:color w:val="000000" w:themeColor="text1"/>
          <w:sz w:val="28"/>
          <w:szCs w:val="28"/>
          <w:lang w:val="uk-UA"/>
        </w:rPr>
        <w:t xml:space="preserve"> S. A. </w:t>
      </w:r>
      <w:proofErr w:type="spellStart"/>
      <w:r w:rsidRPr="00956236">
        <w:rPr>
          <w:rFonts w:ascii="Times New Roman" w:hAnsi="Times New Roman" w:cs="Times New Roman"/>
          <w:iCs/>
          <w:color w:val="000000" w:themeColor="text1"/>
          <w:sz w:val="28"/>
          <w:szCs w:val="28"/>
          <w:lang w:val="uk-UA"/>
        </w:rPr>
        <w:t>Examining</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the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Human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Resource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Architecture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The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Relationships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among</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Human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Capital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Employment</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and</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Human</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Resource</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Configurations</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Journal</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of</w:t>
      </w:r>
      <w:proofErr w:type="spellEnd"/>
      <w:r w:rsidRPr="00956236">
        <w:rPr>
          <w:rFonts w:ascii="Times New Roman" w:hAnsi="Times New Roman" w:cs="Times New Roman"/>
          <w:iCs/>
          <w:color w:val="000000" w:themeColor="text1"/>
          <w:sz w:val="28"/>
          <w:szCs w:val="28"/>
          <w:lang w:val="uk-UA"/>
        </w:rPr>
        <w:t xml:space="preserve"> </w:t>
      </w:r>
      <w:proofErr w:type="spellStart"/>
      <w:r w:rsidRPr="00956236">
        <w:rPr>
          <w:rFonts w:ascii="Times New Roman" w:hAnsi="Times New Roman" w:cs="Times New Roman"/>
          <w:iCs/>
          <w:color w:val="000000" w:themeColor="text1"/>
          <w:sz w:val="28"/>
          <w:szCs w:val="28"/>
          <w:lang w:val="uk-UA"/>
        </w:rPr>
        <w:t>Management</w:t>
      </w:r>
      <w:proofErr w:type="spellEnd"/>
      <w:r w:rsidRPr="00956236">
        <w:rPr>
          <w:rFonts w:ascii="Times New Roman" w:hAnsi="Times New Roman" w:cs="Times New Roman"/>
          <w:iCs/>
          <w:color w:val="000000" w:themeColor="text1"/>
          <w:sz w:val="28"/>
          <w:szCs w:val="28"/>
          <w:lang w:val="uk-UA"/>
        </w:rPr>
        <w:t>. 2002. № 28(4). Р. 517-543.</w:t>
      </w:r>
    </w:p>
    <w:p w14:paraId="566EC844"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iCs/>
          <w:sz w:val="28"/>
          <w:szCs w:val="28"/>
          <w:lang w:val="uk-UA"/>
        </w:rPr>
      </w:pPr>
      <w:r w:rsidRPr="00956236">
        <w:rPr>
          <w:rFonts w:ascii="Times New Roman" w:hAnsi="Times New Roman" w:cs="Times New Roman"/>
          <w:iCs/>
          <w:color w:val="000000" w:themeColor="text1"/>
          <w:sz w:val="28"/>
          <w:szCs w:val="28"/>
          <w:lang w:val="uk-UA"/>
        </w:rPr>
        <w:t xml:space="preserve">139. </w:t>
      </w:r>
      <w:proofErr w:type="spellStart"/>
      <w:r w:rsidRPr="00956236">
        <w:rPr>
          <w:rFonts w:ascii="Times New Roman" w:eastAsia="CIDFont+F1" w:hAnsi="Times New Roman" w:cs="Times New Roman"/>
          <w:iCs/>
          <w:sz w:val="28"/>
          <w:szCs w:val="28"/>
          <w:lang w:val="uk-UA"/>
        </w:rPr>
        <w:t>Virany</w:t>
      </w:r>
      <w:proofErr w:type="spellEnd"/>
      <w:r w:rsidRPr="00956236">
        <w:rPr>
          <w:rFonts w:ascii="Times New Roman" w:eastAsia="CIDFont+F1" w:hAnsi="Times New Roman" w:cs="Times New Roman"/>
          <w:iCs/>
          <w:sz w:val="28"/>
          <w:szCs w:val="28"/>
          <w:lang w:val="uk-UA"/>
        </w:rPr>
        <w:t xml:space="preserve"> B., </w:t>
      </w:r>
      <w:proofErr w:type="spellStart"/>
      <w:r w:rsidRPr="00956236">
        <w:rPr>
          <w:rFonts w:ascii="Times New Roman" w:eastAsia="CIDFont+F1" w:hAnsi="Times New Roman" w:cs="Times New Roman"/>
          <w:iCs/>
          <w:sz w:val="28"/>
          <w:szCs w:val="28"/>
          <w:lang w:val="uk-UA"/>
        </w:rPr>
        <w:t>Tushman</w:t>
      </w:r>
      <w:proofErr w:type="spellEnd"/>
      <w:r w:rsidRPr="00956236">
        <w:rPr>
          <w:rFonts w:ascii="Times New Roman" w:eastAsia="CIDFont+F1" w:hAnsi="Times New Roman" w:cs="Times New Roman"/>
          <w:iCs/>
          <w:sz w:val="28"/>
          <w:szCs w:val="28"/>
          <w:lang w:val="uk-UA"/>
        </w:rPr>
        <w:t xml:space="preserve"> M. L., </w:t>
      </w:r>
      <w:proofErr w:type="spellStart"/>
      <w:r w:rsidRPr="00956236">
        <w:rPr>
          <w:rFonts w:ascii="Times New Roman" w:eastAsia="CIDFont+F1" w:hAnsi="Times New Roman" w:cs="Times New Roman"/>
          <w:iCs/>
          <w:sz w:val="28"/>
          <w:szCs w:val="28"/>
          <w:lang w:val="uk-UA"/>
        </w:rPr>
        <w:t>Romanelli</w:t>
      </w:r>
      <w:proofErr w:type="spellEnd"/>
      <w:r w:rsidRPr="00956236">
        <w:rPr>
          <w:rFonts w:ascii="Times New Roman" w:eastAsia="CIDFont+F1" w:hAnsi="Times New Roman" w:cs="Times New Roman"/>
          <w:iCs/>
          <w:sz w:val="28"/>
          <w:szCs w:val="28"/>
          <w:lang w:val="uk-UA"/>
        </w:rPr>
        <w:t xml:space="preserve"> E. </w:t>
      </w:r>
      <w:proofErr w:type="spellStart"/>
      <w:r w:rsidRPr="00956236">
        <w:rPr>
          <w:rFonts w:ascii="Times New Roman" w:eastAsia="CIDFont+F1" w:hAnsi="Times New Roman" w:cs="Times New Roman"/>
          <w:iCs/>
          <w:sz w:val="28"/>
          <w:szCs w:val="28"/>
          <w:lang w:val="uk-UA"/>
        </w:rPr>
        <w:t>Executive</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Succession</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and</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Organization</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Outcomes</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in</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Turbulent</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Environments</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An</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Organization</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Learning</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Approach</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Organization</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Science</w:t>
      </w:r>
      <w:proofErr w:type="spellEnd"/>
      <w:r w:rsidRPr="00956236">
        <w:rPr>
          <w:rFonts w:ascii="Times New Roman" w:eastAsia="CIDFont+F1" w:hAnsi="Times New Roman" w:cs="Times New Roman"/>
          <w:iCs/>
          <w:sz w:val="28"/>
          <w:szCs w:val="28"/>
          <w:lang w:val="uk-UA"/>
        </w:rPr>
        <w:t>. 2022. № 2. Р. 72-91.</w:t>
      </w:r>
    </w:p>
    <w:p w14:paraId="7305C5DF" w14:textId="77777777" w:rsidR="00571B42" w:rsidRPr="00E2067D"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hAnsi="Times New Roman" w:cs="Times New Roman"/>
          <w:iCs/>
          <w:color w:val="000000" w:themeColor="text1"/>
          <w:sz w:val="28"/>
          <w:szCs w:val="28"/>
          <w:lang w:val="uk-UA"/>
        </w:rPr>
        <w:t xml:space="preserve">140. </w:t>
      </w:r>
      <w:proofErr w:type="spellStart"/>
      <w:r w:rsidRPr="00956236">
        <w:rPr>
          <w:rFonts w:ascii="Times New Roman" w:eastAsia="CIDFont+F1" w:hAnsi="Times New Roman" w:cs="Times New Roman"/>
          <w:iCs/>
          <w:sz w:val="28"/>
          <w:szCs w:val="28"/>
          <w:lang w:val="uk-UA"/>
        </w:rPr>
        <w:t>Tulgan</w:t>
      </w:r>
      <w:proofErr w:type="spellEnd"/>
      <w:r w:rsidRPr="00956236">
        <w:rPr>
          <w:rFonts w:ascii="Times New Roman" w:eastAsia="CIDFont+F1" w:hAnsi="Times New Roman" w:cs="Times New Roman"/>
          <w:iCs/>
          <w:sz w:val="28"/>
          <w:szCs w:val="28"/>
          <w:lang w:val="uk-UA"/>
        </w:rPr>
        <w:t xml:space="preserve"> B. </w:t>
      </w:r>
      <w:proofErr w:type="spellStart"/>
      <w:r w:rsidRPr="00956236">
        <w:rPr>
          <w:rFonts w:ascii="Times New Roman" w:eastAsia="CIDFont+F1" w:hAnsi="Times New Roman" w:cs="Times New Roman"/>
          <w:iCs/>
          <w:sz w:val="28"/>
          <w:szCs w:val="28"/>
          <w:lang w:val="uk-UA"/>
        </w:rPr>
        <w:t>Winning</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the</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Talent</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Wars</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Employment</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Relations</w:t>
      </w:r>
      <w:proofErr w:type="spellEnd"/>
      <w:r w:rsidRPr="00956236">
        <w:rPr>
          <w:rFonts w:ascii="Times New Roman" w:eastAsia="CIDFont+F1" w:hAnsi="Times New Roman" w:cs="Times New Roman"/>
          <w:iCs/>
          <w:sz w:val="28"/>
          <w:szCs w:val="28"/>
          <w:lang w:val="uk-UA"/>
        </w:rPr>
        <w:t xml:space="preserve"> </w:t>
      </w:r>
      <w:proofErr w:type="spellStart"/>
      <w:r w:rsidRPr="00956236">
        <w:rPr>
          <w:rFonts w:ascii="Times New Roman" w:eastAsia="CIDFont+F1" w:hAnsi="Times New Roman" w:cs="Times New Roman"/>
          <w:iCs/>
          <w:sz w:val="28"/>
          <w:szCs w:val="28"/>
          <w:lang w:val="uk-UA"/>
        </w:rPr>
        <w:t>Today</w:t>
      </w:r>
      <w:proofErr w:type="spellEnd"/>
      <w:r w:rsidRPr="00956236">
        <w:rPr>
          <w:rFonts w:ascii="Times New Roman" w:eastAsia="CIDFont+F1" w:hAnsi="Times New Roman" w:cs="Times New Roman"/>
          <w:iCs/>
          <w:sz w:val="28"/>
          <w:szCs w:val="28"/>
          <w:lang w:val="uk-UA"/>
        </w:rPr>
        <w:t>.</w:t>
      </w:r>
      <w:r w:rsidRPr="00E2067D">
        <w:rPr>
          <w:rFonts w:ascii="Times New Roman" w:eastAsia="CIDFont+F1" w:hAnsi="Times New Roman" w:cs="Times New Roman"/>
          <w:sz w:val="28"/>
          <w:szCs w:val="28"/>
          <w:lang w:val="uk-UA"/>
        </w:rPr>
        <w:t xml:space="preserve"> 2021. № 23(1-2). Р. 37-51.</w:t>
      </w:r>
    </w:p>
    <w:p w14:paraId="3F84EECD"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E2067D">
        <w:rPr>
          <w:rFonts w:ascii="Times New Roman" w:eastAsia="CIDFont+F1" w:hAnsi="Times New Roman" w:cs="Times New Roman"/>
          <w:sz w:val="28"/>
          <w:szCs w:val="28"/>
          <w:lang w:val="uk-UA"/>
        </w:rPr>
        <w:lastRenderedPageBreak/>
        <w:t xml:space="preserve">141. </w:t>
      </w:r>
      <w:proofErr w:type="spellStart"/>
      <w:r w:rsidRPr="00956236">
        <w:rPr>
          <w:rFonts w:ascii="Times New Roman" w:eastAsia="CIDFont+F1" w:hAnsi="Times New Roman" w:cs="Times New Roman"/>
          <w:sz w:val="28"/>
          <w:szCs w:val="28"/>
          <w:lang w:val="uk-UA"/>
        </w:rPr>
        <w:t>Simon</w:t>
      </w:r>
      <w:proofErr w:type="spellEnd"/>
      <w:r w:rsidRPr="00956236">
        <w:rPr>
          <w:rFonts w:ascii="Times New Roman" w:eastAsia="CIDFont+F1" w:hAnsi="Times New Roman" w:cs="Times New Roman"/>
          <w:sz w:val="28"/>
          <w:szCs w:val="28"/>
          <w:lang w:val="uk-UA"/>
        </w:rPr>
        <w:t xml:space="preserve"> J., </w:t>
      </w:r>
      <w:proofErr w:type="spellStart"/>
      <w:r w:rsidRPr="00956236">
        <w:rPr>
          <w:rFonts w:ascii="Times New Roman" w:eastAsia="CIDFont+F1" w:hAnsi="Times New Roman" w:cs="Times New Roman"/>
          <w:sz w:val="28"/>
          <w:szCs w:val="28"/>
          <w:lang w:val="uk-UA"/>
        </w:rPr>
        <w:t>Osipow</w:t>
      </w:r>
      <w:proofErr w:type="spellEnd"/>
      <w:r w:rsidRPr="00956236">
        <w:rPr>
          <w:rFonts w:ascii="Times New Roman" w:eastAsia="CIDFont+F1" w:hAnsi="Times New Roman" w:cs="Times New Roman"/>
          <w:sz w:val="28"/>
          <w:szCs w:val="28"/>
          <w:lang w:val="uk-UA"/>
        </w:rPr>
        <w:t xml:space="preserve"> S. H. </w:t>
      </w:r>
      <w:proofErr w:type="spellStart"/>
      <w:r w:rsidRPr="00956236">
        <w:rPr>
          <w:rFonts w:ascii="Times New Roman" w:eastAsia="CIDFont+F1" w:hAnsi="Times New Roman" w:cs="Times New Roman"/>
          <w:sz w:val="28"/>
          <w:szCs w:val="28"/>
          <w:lang w:val="uk-UA"/>
        </w:rPr>
        <w:t>Continuity</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Vocational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Script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Counseling</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Older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Workers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Development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Quarterly</w:t>
      </w:r>
      <w:proofErr w:type="spellEnd"/>
      <w:r w:rsidRPr="00956236">
        <w:rPr>
          <w:rFonts w:ascii="Times New Roman" w:eastAsia="CIDFont+F1" w:hAnsi="Times New Roman" w:cs="Times New Roman"/>
          <w:sz w:val="28"/>
          <w:szCs w:val="28"/>
          <w:lang w:val="uk-UA"/>
        </w:rPr>
        <w:t>. 2016. № 45(2). Р.152-162.</w:t>
      </w:r>
    </w:p>
    <w:p w14:paraId="69CA12CD"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142. </w:t>
      </w:r>
      <w:proofErr w:type="spellStart"/>
      <w:r w:rsidRPr="00956236">
        <w:rPr>
          <w:rFonts w:ascii="Times New Roman" w:eastAsia="CIDFont+F1" w:hAnsi="Times New Roman" w:cs="Times New Roman"/>
          <w:sz w:val="28"/>
          <w:szCs w:val="28"/>
          <w:lang w:val="uk-UA"/>
        </w:rPr>
        <w:t>Sullivan</w:t>
      </w:r>
      <w:proofErr w:type="spellEnd"/>
      <w:r w:rsidRPr="00956236">
        <w:rPr>
          <w:rFonts w:ascii="Times New Roman" w:eastAsia="CIDFont+F1" w:hAnsi="Times New Roman" w:cs="Times New Roman"/>
          <w:sz w:val="28"/>
          <w:szCs w:val="28"/>
          <w:lang w:val="uk-UA"/>
        </w:rPr>
        <w:t xml:space="preserve"> S. E., </w:t>
      </w:r>
      <w:proofErr w:type="spellStart"/>
      <w:r w:rsidRPr="00956236">
        <w:rPr>
          <w:rFonts w:ascii="Times New Roman" w:eastAsia="CIDFont+F1" w:hAnsi="Times New Roman" w:cs="Times New Roman"/>
          <w:sz w:val="28"/>
          <w:szCs w:val="28"/>
          <w:lang w:val="uk-UA"/>
        </w:rPr>
        <w:t>Baruch</w:t>
      </w:r>
      <w:proofErr w:type="spellEnd"/>
      <w:r w:rsidRPr="00956236">
        <w:rPr>
          <w:rFonts w:ascii="Times New Roman" w:eastAsia="CIDFont+F1" w:hAnsi="Times New Roman" w:cs="Times New Roman"/>
          <w:sz w:val="28"/>
          <w:szCs w:val="28"/>
          <w:lang w:val="uk-UA"/>
        </w:rPr>
        <w:t xml:space="preserve"> Y. </w:t>
      </w:r>
      <w:proofErr w:type="spellStart"/>
      <w:r w:rsidRPr="00956236">
        <w:rPr>
          <w:rFonts w:ascii="Times New Roman" w:eastAsia="CIDFont+F1" w:hAnsi="Times New Roman" w:cs="Times New Roman"/>
          <w:sz w:val="28"/>
          <w:szCs w:val="28"/>
          <w:lang w:val="uk-UA"/>
        </w:rPr>
        <w:t>Advances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Theory</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Research</w:t>
      </w:r>
      <w:proofErr w:type="spellEnd"/>
      <w:r w:rsidRPr="00956236">
        <w:rPr>
          <w:rFonts w:ascii="Times New Roman" w:eastAsia="CIDFont+F1" w:hAnsi="Times New Roman" w:cs="Times New Roman"/>
          <w:sz w:val="28"/>
          <w:szCs w:val="28"/>
          <w:lang w:val="uk-UA"/>
        </w:rPr>
        <w:t xml:space="preserve">: A </w:t>
      </w:r>
      <w:proofErr w:type="spellStart"/>
      <w:r w:rsidRPr="00956236">
        <w:rPr>
          <w:rFonts w:ascii="Times New Roman" w:eastAsia="CIDFont+F1" w:hAnsi="Times New Roman" w:cs="Times New Roman"/>
          <w:sz w:val="28"/>
          <w:szCs w:val="28"/>
          <w:lang w:val="uk-UA"/>
        </w:rPr>
        <w:t>Critical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Review</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Agenda</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for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Future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Exploration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Journal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2019. № 35(6). Р. 1542-1571.</w:t>
      </w:r>
    </w:p>
    <w:p w14:paraId="084024A2"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143. </w:t>
      </w:r>
      <w:proofErr w:type="spellStart"/>
      <w:r w:rsidRPr="00956236">
        <w:rPr>
          <w:rFonts w:ascii="Times New Roman" w:hAnsi="Times New Roman" w:cs="Times New Roman"/>
          <w:sz w:val="28"/>
          <w:szCs w:val="28"/>
          <w:lang w:val="uk-UA"/>
        </w:rPr>
        <w:t>Каламан</w:t>
      </w:r>
      <w:proofErr w:type="spellEnd"/>
      <w:r w:rsidRPr="00956236">
        <w:rPr>
          <w:rFonts w:ascii="Times New Roman" w:hAnsi="Times New Roman" w:cs="Times New Roman"/>
          <w:sz w:val="28"/>
          <w:szCs w:val="28"/>
          <w:lang w:val="uk-UA"/>
        </w:rPr>
        <w:t xml:space="preserve"> О. Б., Власюк К. В. </w:t>
      </w:r>
      <w:r w:rsidRPr="00956236">
        <w:rPr>
          <w:rFonts w:ascii="Times New Roman" w:hAnsi="Times New Roman" w:cs="Times New Roman"/>
          <w:bCs/>
          <w:sz w:val="28"/>
          <w:szCs w:val="28"/>
          <w:lang w:val="uk-UA"/>
        </w:rPr>
        <w:t xml:space="preserve">Мотивація праці як ефективний інструмент HR-менеджменту на підприємствах індустрії гостинності. Перспективи ефективних управлінських рішень у бізнесі та </w:t>
      </w:r>
      <w:proofErr w:type="spellStart"/>
      <w:r w:rsidRPr="00956236">
        <w:rPr>
          <w:rFonts w:ascii="Times New Roman" w:hAnsi="Times New Roman" w:cs="Times New Roman"/>
          <w:bCs/>
          <w:sz w:val="28"/>
          <w:szCs w:val="28"/>
          <w:lang w:val="uk-UA"/>
        </w:rPr>
        <w:t>проєктах</w:t>
      </w:r>
      <w:proofErr w:type="spellEnd"/>
      <w:r w:rsidRPr="00956236">
        <w:rPr>
          <w:rFonts w:ascii="Times New Roman" w:hAnsi="Times New Roman" w:cs="Times New Roman"/>
          <w:bCs/>
          <w:sz w:val="28"/>
          <w:szCs w:val="28"/>
          <w:lang w:val="uk-UA"/>
        </w:rPr>
        <w:t xml:space="preserve"> : матеріали VIII Міжнародної науково-практичної конференції (17 листопада 2023 р., м. Одеса). Одеса: МГУ, 2023. С. 178-182.</w:t>
      </w:r>
    </w:p>
    <w:p w14:paraId="1FCA0C62"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144. </w:t>
      </w:r>
      <w:proofErr w:type="spellStart"/>
      <w:r w:rsidRPr="00956236">
        <w:rPr>
          <w:rFonts w:ascii="Times New Roman" w:eastAsia="CIDFont+F1" w:hAnsi="Times New Roman" w:cs="Times New Roman"/>
          <w:sz w:val="28"/>
          <w:szCs w:val="28"/>
          <w:lang w:val="uk-UA"/>
        </w:rPr>
        <w:t>Verbruggen</w:t>
      </w:r>
      <w:proofErr w:type="spellEnd"/>
      <w:r w:rsidRPr="00956236">
        <w:rPr>
          <w:rFonts w:ascii="Times New Roman" w:eastAsia="CIDFont+F1" w:hAnsi="Times New Roman" w:cs="Times New Roman"/>
          <w:sz w:val="28"/>
          <w:szCs w:val="28"/>
          <w:lang w:val="uk-UA"/>
        </w:rPr>
        <w:t xml:space="preserve"> M., </w:t>
      </w:r>
      <w:proofErr w:type="spellStart"/>
      <w:r w:rsidRPr="00956236">
        <w:rPr>
          <w:rFonts w:ascii="Times New Roman" w:eastAsia="CIDFont+F1" w:hAnsi="Times New Roman" w:cs="Times New Roman"/>
          <w:sz w:val="28"/>
          <w:szCs w:val="28"/>
          <w:lang w:val="uk-UA"/>
        </w:rPr>
        <w:t>Sels</w:t>
      </w:r>
      <w:proofErr w:type="spellEnd"/>
      <w:r w:rsidRPr="00956236">
        <w:rPr>
          <w:rFonts w:ascii="Times New Roman" w:eastAsia="CIDFont+F1" w:hAnsi="Times New Roman" w:cs="Times New Roman"/>
          <w:sz w:val="28"/>
          <w:szCs w:val="28"/>
          <w:lang w:val="uk-UA"/>
        </w:rPr>
        <w:t xml:space="preserve"> L., </w:t>
      </w:r>
      <w:proofErr w:type="spellStart"/>
      <w:r w:rsidRPr="00956236">
        <w:rPr>
          <w:rFonts w:ascii="Times New Roman" w:eastAsia="CIDFont+F1" w:hAnsi="Times New Roman" w:cs="Times New Roman"/>
          <w:sz w:val="28"/>
          <w:szCs w:val="28"/>
          <w:lang w:val="uk-UA"/>
        </w:rPr>
        <w:t>Forrier</w:t>
      </w:r>
      <w:proofErr w:type="spellEnd"/>
      <w:r w:rsidRPr="00956236">
        <w:rPr>
          <w:rFonts w:ascii="Times New Roman" w:eastAsia="CIDFont+F1" w:hAnsi="Times New Roman" w:cs="Times New Roman"/>
          <w:sz w:val="28"/>
          <w:szCs w:val="28"/>
          <w:lang w:val="uk-UA"/>
        </w:rPr>
        <w:t xml:space="preserve"> A. </w:t>
      </w:r>
      <w:proofErr w:type="spellStart"/>
      <w:r w:rsidRPr="00956236">
        <w:rPr>
          <w:rFonts w:ascii="Times New Roman" w:eastAsia="CIDFont+F1" w:hAnsi="Times New Roman" w:cs="Times New Roman"/>
          <w:sz w:val="28"/>
          <w:szCs w:val="28"/>
          <w:lang w:val="uk-UA"/>
        </w:rPr>
        <w:t>Unraveling</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Relationship</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between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Organizational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Need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for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External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Counselling</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Journal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Vocational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Behavior</w:t>
      </w:r>
      <w:proofErr w:type="spellEnd"/>
      <w:r w:rsidRPr="00956236">
        <w:rPr>
          <w:rFonts w:ascii="Times New Roman" w:eastAsia="CIDFont+F1" w:hAnsi="Times New Roman" w:cs="Times New Roman"/>
          <w:sz w:val="28"/>
          <w:szCs w:val="28"/>
          <w:lang w:val="uk-UA"/>
        </w:rPr>
        <w:t>. 2017. № 71 (1). Р. 69-83.</w:t>
      </w:r>
    </w:p>
    <w:p w14:paraId="2549C18D"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145. </w:t>
      </w:r>
      <w:proofErr w:type="spellStart"/>
      <w:r w:rsidRPr="00956236">
        <w:rPr>
          <w:rFonts w:ascii="Times New Roman" w:eastAsia="CIDFont+F1" w:hAnsi="Times New Roman" w:cs="Times New Roman"/>
          <w:sz w:val="28"/>
          <w:szCs w:val="28"/>
          <w:lang w:val="uk-UA"/>
        </w:rPr>
        <w:t>De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Vos</w:t>
      </w:r>
      <w:proofErr w:type="spellEnd"/>
      <w:r w:rsidRPr="00956236">
        <w:rPr>
          <w:rFonts w:ascii="Times New Roman" w:eastAsia="CIDFont+F1" w:hAnsi="Times New Roman" w:cs="Times New Roman"/>
          <w:sz w:val="28"/>
          <w:szCs w:val="28"/>
          <w:lang w:val="uk-UA"/>
        </w:rPr>
        <w:t xml:space="preserve"> A., </w:t>
      </w:r>
      <w:proofErr w:type="spellStart"/>
      <w:r w:rsidRPr="00956236">
        <w:rPr>
          <w:rFonts w:ascii="Times New Roman" w:eastAsia="CIDFont+F1" w:hAnsi="Times New Roman" w:cs="Times New Roman"/>
          <w:sz w:val="28"/>
          <w:szCs w:val="28"/>
          <w:lang w:val="uk-UA"/>
        </w:rPr>
        <w:t>Dewettinck</w:t>
      </w:r>
      <w:proofErr w:type="spellEnd"/>
      <w:r w:rsidRPr="00956236">
        <w:rPr>
          <w:rFonts w:ascii="Times New Roman" w:eastAsia="CIDFont+F1" w:hAnsi="Times New Roman" w:cs="Times New Roman"/>
          <w:sz w:val="28"/>
          <w:szCs w:val="28"/>
          <w:lang w:val="uk-UA"/>
        </w:rPr>
        <w:t xml:space="preserve"> K., </w:t>
      </w:r>
      <w:proofErr w:type="spellStart"/>
      <w:r w:rsidRPr="00956236">
        <w:rPr>
          <w:rFonts w:ascii="Times New Roman" w:eastAsia="CIDFont+F1" w:hAnsi="Times New Roman" w:cs="Times New Roman"/>
          <w:sz w:val="28"/>
          <w:szCs w:val="28"/>
          <w:lang w:val="uk-UA"/>
        </w:rPr>
        <w:t>Buyens</w:t>
      </w:r>
      <w:proofErr w:type="spellEnd"/>
      <w:r w:rsidRPr="00956236">
        <w:rPr>
          <w:rFonts w:ascii="Times New Roman" w:eastAsia="CIDFont+F1" w:hAnsi="Times New Roman" w:cs="Times New Roman"/>
          <w:sz w:val="28"/>
          <w:szCs w:val="28"/>
          <w:lang w:val="uk-UA"/>
        </w:rPr>
        <w:t xml:space="preserve"> D. </w:t>
      </w:r>
      <w:proofErr w:type="spellStart"/>
      <w:r w:rsidRPr="00956236">
        <w:rPr>
          <w:rFonts w:ascii="Times New Roman" w:eastAsia="CIDFont+F1" w:hAnsi="Times New Roman" w:cs="Times New Roman"/>
          <w:sz w:val="28"/>
          <w:szCs w:val="28"/>
          <w:lang w:val="uk-UA"/>
        </w:rPr>
        <w:t>To</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Move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Not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to</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Move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Relationship</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between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Preferred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Moves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Employee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Relations</w:t>
      </w:r>
      <w:proofErr w:type="spellEnd"/>
      <w:r w:rsidRPr="00956236">
        <w:rPr>
          <w:rFonts w:ascii="Times New Roman" w:eastAsia="CIDFont+F1" w:hAnsi="Times New Roman" w:cs="Times New Roman"/>
          <w:sz w:val="28"/>
          <w:szCs w:val="28"/>
          <w:lang w:val="uk-UA"/>
        </w:rPr>
        <w:t>. 2018. № 30(2). Р. 156-175.</w:t>
      </w:r>
    </w:p>
    <w:p w14:paraId="19930FAC"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146. </w:t>
      </w:r>
      <w:proofErr w:type="spellStart"/>
      <w:r w:rsidRPr="00956236">
        <w:rPr>
          <w:rFonts w:ascii="Times New Roman" w:eastAsia="CIDFont+F1" w:hAnsi="Times New Roman" w:cs="Times New Roman"/>
          <w:sz w:val="28"/>
          <w:szCs w:val="28"/>
          <w:lang w:val="uk-UA"/>
        </w:rPr>
        <w:t>Dries</w:t>
      </w:r>
      <w:proofErr w:type="spellEnd"/>
      <w:r w:rsidRPr="00956236">
        <w:rPr>
          <w:rFonts w:ascii="Times New Roman" w:eastAsia="CIDFont+F1" w:hAnsi="Times New Roman" w:cs="Times New Roman"/>
          <w:sz w:val="28"/>
          <w:szCs w:val="28"/>
          <w:lang w:val="uk-UA"/>
        </w:rPr>
        <w:t xml:space="preserve"> N.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Meaning</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Success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Avoiding</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Reification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through</w:t>
      </w:r>
      <w:proofErr w:type="spellEnd"/>
      <w:r w:rsidRPr="00956236">
        <w:rPr>
          <w:rFonts w:ascii="Times New Roman" w:eastAsia="CIDFont+F1" w:hAnsi="Times New Roman" w:cs="Times New Roman"/>
          <w:sz w:val="28"/>
          <w:szCs w:val="28"/>
          <w:lang w:val="uk-UA"/>
        </w:rPr>
        <w:t xml:space="preserve"> a </w:t>
      </w:r>
      <w:proofErr w:type="spellStart"/>
      <w:r w:rsidRPr="00956236">
        <w:rPr>
          <w:rFonts w:ascii="Times New Roman" w:eastAsia="CIDFont+F1" w:hAnsi="Times New Roman" w:cs="Times New Roman"/>
          <w:sz w:val="28"/>
          <w:szCs w:val="28"/>
          <w:lang w:val="uk-UA"/>
        </w:rPr>
        <w:t>Closer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Inspection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Historical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Cultural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Ideological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Contexts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Development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International</w:t>
      </w:r>
      <w:proofErr w:type="spellEnd"/>
      <w:r w:rsidRPr="00956236">
        <w:rPr>
          <w:rFonts w:ascii="Times New Roman" w:eastAsia="CIDFont+F1" w:hAnsi="Times New Roman" w:cs="Times New Roman"/>
          <w:sz w:val="28"/>
          <w:szCs w:val="28"/>
          <w:lang w:val="uk-UA"/>
        </w:rPr>
        <w:t>. 2021. № 16(4). Р. 364-384.</w:t>
      </w:r>
    </w:p>
    <w:p w14:paraId="39CCFDF8"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147. </w:t>
      </w:r>
      <w:proofErr w:type="spellStart"/>
      <w:r w:rsidRPr="00956236">
        <w:rPr>
          <w:rFonts w:ascii="Times New Roman" w:eastAsia="CIDFont+F1" w:hAnsi="Times New Roman" w:cs="Times New Roman"/>
          <w:sz w:val="28"/>
          <w:szCs w:val="28"/>
          <w:lang w:val="uk-UA"/>
        </w:rPr>
        <w:t>Guest</w:t>
      </w:r>
      <w:proofErr w:type="spellEnd"/>
      <w:r w:rsidRPr="00956236">
        <w:rPr>
          <w:rFonts w:ascii="Times New Roman" w:eastAsia="CIDFont+F1" w:hAnsi="Times New Roman" w:cs="Times New Roman"/>
          <w:sz w:val="28"/>
          <w:szCs w:val="28"/>
          <w:lang w:val="uk-UA"/>
        </w:rPr>
        <w:t xml:space="preserve"> D., </w:t>
      </w:r>
      <w:proofErr w:type="spellStart"/>
      <w:r w:rsidRPr="00956236">
        <w:rPr>
          <w:rFonts w:ascii="Times New Roman" w:eastAsia="CIDFont+F1" w:hAnsi="Times New Roman" w:cs="Times New Roman"/>
          <w:sz w:val="28"/>
          <w:szCs w:val="28"/>
          <w:lang w:val="uk-UA"/>
        </w:rPr>
        <w:t>Mackenzie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Davey</w:t>
      </w:r>
      <w:proofErr w:type="spellEnd"/>
      <w:r w:rsidRPr="00956236">
        <w:rPr>
          <w:rFonts w:ascii="Times New Roman" w:eastAsia="CIDFont+F1" w:hAnsi="Times New Roman" w:cs="Times New Roman"/>
          <w:sz w:val="28"/>
          <w:szCs w:val="28"/>
          <w:lang w:val="uk-UA"/>
        </w:rPr>
        <w:t xml:space="preserve"> K. </w:t>
      </w:r>
      <w:proofErr w:type="spellStart"/>
      <w:r w:rsidRPr="00956236">
        <w:rPr>
          <w:rFonts w:ascii="Times New Roman" w:eastAsia="CIDFont+F1" w:hAnsi="Times New Roman" w:cs="Times New Roman"/>
          <w:sz w:val="28"/>
          <w:szCs w:val="28"/>
          <w:lang w:val="uk-UA"/>
        </w:rPr>
        <w:t>Don’t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Write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Traditional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People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xml:space="preserve">. 2016. </w:t>
      </w:r>
      <w:proofErr w:type="spellStart"/>
      <w:r w:rsidRPr="00956236">
        <w:rPr>
          <w:rFonts w:ascii="Times New Roman" w:eastAsia="CIDFont+F1" w:hAnsi="Times New Roman" w:cs="Times New Roman"/>
          <w:sz w:val="28"/>
          <w:szCs w:val="28"/>
          <w:lang w:val="uk-UA"/>
        </w:rPr>
        <w:t>February</w:t>
      </w:r>
      <w:proofErr w:type="spellEnd"/>
      <w:r w:rsidRPr="00956236">
        <w:rPr>
          <w:rFonts w:ascii="Times New Roman" w:eastAsia="CIDFont+F1" w:hAnsi="Times New Roman" w:cs="Times New Roman"/>
          <w:sz w:val="28"/>
          <w:szCs w:val="28"/>
          <w:lang w:val="uk-UA"/>
        </w:rPr>
        <w:t>. P. 22-25.</w:t>
      </w:r>
    </w:p>
    <w:p w14:paraId="0837EDB0"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148. </w:t>
      </w:r>
      <w:proofErr w:type="spellStart"/>
      <w:r w:rsidRPr="00956236">
        <w:rPr>
          <w:rFonts w:ascii="Times New Roman" w:eastAsia="CIDFont+F1" w:hAnsi="Times New Roman" w:cs="Times New Roman"/>
          <w:sz w:val="28"/>
          <w:szCs w:val="28"/>
          <w:lang w:val="uk-UA"/>
        </w:rPr>
        <w:t>Dries</w:t>
      </w:r>
      <w:proofErr w:type="spellEnd"/>
      <w:r w:rsidRPr="00956236">
        <w:rPr>
          <w:rFonts w:ascii="Times New Roman" w:eastAsia="CIDFont+F1" w:hAnsi="Times New Roman" w:cs="Times New Roman"/>
          <w:sz w:val="28"/>
          <w:szCs w:val="28"/>
          <w:lang w:val="uk-UA"/>
        </w:rPr>
        <w:t xml:space="preserve"> N., </w:t>
      </w:r>
      <w:proofErr w:type="spellStart"/>
      <w:r w:rsidRPr="00956236">
        <w:rPr>
          <w:rFonts w:ascii="Times New Roman" w:eastAsia="CIDFont+F1" w:hAnsi="Times New Roman" w:cs="Times New Roman"/>
          <w:sz w:val="28"/>
          <w:szCs w:val="28"/>
          <w:lang w:val="uk-UA"/>
        </w:rPr>
        <w:t>Esbroeck</w:t>
      </w:r>
      <w:proofErr w:type="spellEnd"/>
      <w:r w:rsidRPr="00956236">
        <w:rPr>
          <w:rFonts w:ascii="Times New Roman" w:eastAsia="CIDFont+F1" w:hAnsi="Times New Roman" w:cs="Times New Roman"/>
          <w:sz w:val="28"/>
          <w:szCs w:val="28"/>
          <w:lang w:val="uk-UA"/>
        </w:rPr>
        <w:t xml:space="preserve"> R., </w:t>
      </w:r>
      <w:proofErr w:type="spellStart"/>
      <w:r w:rsidRPr="00956236">
        <w:rPr>
          <w:rFonts w:ascii="Times New Roman" w:eastAsia="CIDFont+F1" w:hAnsi="Times New Roman" w:cs="Times New Roman"/>
          <w:sz w:val="28"/>
          <w:szCs w:val="28"/>
          <w:lang w:val="uk-UA"/>
        </w:rPr>
        <w:t>Vianen</w:t>
      </w:r>
      <w:proofErr w:type="spellEnd"/>
      <w:r w:rsidRPr="00956236">
        <w:rPr>
          <w:rFonts w:ascii="Times New Roman" w:eastAsia="CIDFont+F1" w:hAnsi="Times New Roman" w:cs="Times New Roman"/>
          <w:sz w:val="28"/>
          <w:szCs w:val="28"/>
          <w:lang w:val="uk-UA"/>
        </w:rPr>
        <w:t xml:space="preserve"> A.E.M., </w:t>
      </w:r>
      <w:proofErr w:type="spellStart"/>
      <w:r w:rsidRPr="00956236">
        <w:rPr>
          <w:rFonts w:ascii="Times New Roman" w:eastAsia="CIDFont+F1" w:hAnsi="Times New Roman" w:cs="Times New Roman"/>
          <w:sz w:val="28"/>
          <w:szCs w:val="28"/>
          <w:lang w:val="uk-UA"/>
        </w:rPr>
        <w:t>De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Cooman</w:t>
      </w:r>
      <w:proofErr w:type="spellEnd"/>
      <w:r w:rsidRPr="00956236">
        <w:rPr>
          <w:rFonts w:ascii="Times New Roman" w:eastAsia="CIDFont+F1" w:hAnsi="Times New Roman" w:cs="Times New Roman"/>
          <w:sz w:val="28"/>
          <w:szCs w:val="28"/>
          <w:lang w:val="uk-UA"/>
        </w:rPr>
        <w:t xml:space="preserve"> R., </w:t>
      </w:r>
      <w:proofErr w:type="spellStart"/>
      <w:r w:rsidRPr="00956236">
        <w:rPr>
          <w:rFonts w:ascii="Times New Roman" w:eastAsia="CIDFont+F1" w:hAnsi="Times New Roman" w:cs="Times New Roman"/>
          <w:sz w:val="28"/>
          <w:szCs w:val="28"/>
          <w:lang w:val="uk-UA"/>
        </w:rPr>
        <w:t>Pepermans</w:t>
      </w:r>
      <w:proofErr w:type="spellEnd"/>
      <w:r w:rsidRPr="00956236">
        <w:rPr>
          <w:rFonts w:ascii="Times New Roman" w:eastAsia="CIDFont+F1" w:hAnsi="Times New Roman" w:cs="Times New Roman"/>
          <w:sz w:val="28"/>
          <w:szCs w:val="28"/>
          <w:lang w:val="uk-UA"/>
        </w:rPr>
        <w:t xml:space="preserve"> R.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Adapt-Abilities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Scale-Belgium</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Form</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Psychometric</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Characteristics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Construct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Validity</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Journal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Vocational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Behavior</w:t>
      </w:r>
      <w:proofErr w:type="spellEnd"/>
      <w:r w:rsidRPr="00956236">
        <w:rPr>
          <w:rFonts w:ascii="Times New Roman" w:eastAsia="CIDFont+F1" w:hAnsi="Times New Roman" w:cs="Times New Roman"/>
          <w:sz w:val="28"/>
          <w:szCs w:val="28"/>
          <w:lang w:val="uk-UA"/>
        </w:rPr>
        <w:t>. 2012. № 80(3). Р. 674-679.</w:t>
      </w:r>
    </w:p>
    <w:p w14:paraId="64A61D33"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149. </w:t>
      </w:r>
      <w:proofErr w:type="spellStart"/>
      <w:r w:rsidRPr="00956236">
        <w:rPr>
          <w:rFonts w:ascii="Times New Roman" w:eastAsia="CIDFont+F1" w:hAnsi="Times New Roman" w:cs="Times New Roman"/>
          <w:sz w:val="28"/>
          <w:szCs w:val="28"/>
          <w:lang w:val="uk-UA"/>
        </w:rPr>
        <w:t>De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Vos</w:t>
      </w:r>
      <w:proofErr w:type="spellEnd"/>
      <w:r w:rsidRPr="00956236">
        <w:rPr>
          <w:rFonts w:ascii="Times New Roman" w:eastAsia="CIDFont+F1" w:hAnsi="Times New Roman" w:cs="Times New Roman"/>
          <w:sz w:val="28"/>
          <w:szCs w:val="28"/>
          <w:lang w:val="uk-UA"/>
        </w:rPr>
        <w:t xml:space="preserve"> A., </w:t>
      </w:r>
      <w:proofErr w:type="spellStart"/>
      <w:r w:rsidRPr="00956236">
        <w:rPr>
          <w:rFonts w:ascii="Times New Roman" w:eastAsia="CIDFont+F1" w:hAnsi="Times New Roman" w:cs="Times New Roman"/>
          <w:sz w:val="28"/>
          <w:szCs w:val="28"/>
          <w:lang w:val="uk-UA"/>
        </w:rPr>
        <w:t>Dries</w:t>
      </w:r>
      <w:proofErr w:type="spellEnd"/>
      <w:r w:rsidRPr="00956236">
        <w:rPr>
          <w:rFonts w:ascii="Times New Roman" w:eastAsia="CIDFont+F1" w:hAnsi="Times New Roman" w:cs="Times New Roman"/>
          <w:sz w:val="28"/>
          <w:szCs w:val="28"/>
          <w:lang w:val="uk-UA"/>
        </w:rPr>
        <w:t xml:space="preserve"> N. </w:t>
      </w:r>
      <w:proofErr w:type="spellStart"/>
      <w:r w:rsidRPr="00956236">
        <w:rPr>
          <w:rFonts w:ascii="Times New Roman" w:eastAsia="CIDFont+F1" w:hAnsi="Times New Roman" w:cs="Times New Roman"/>
          <w:sz w:val="28"/>
          <w:szCs w:val="28"/>
          <w:lang w:val="uk-UA"/>
        </w:rPr>
        <w:t>Applying</w:t>
      </w:r>
      <w:proofErr w:type="spellEnd"/>
      <w:r w:rsidRPr="00956236">
        <w:rPr>
          <w:rFonts w:ascii="Times New Roman" w:eastAsia="CIDFont+F1" w:hAnsi="Times New Roman" w:cs="Times New Roman"/>
          <w:sz w:val="28"/>
          <w:szCs w:val="28"/>
          <w:lang w:val="uk-UA"/>
        </w:rPr>
        <w:t xml:space="preserve"> a </w:t>
      </w:r>
      <w:proofErr w:type="spellStart"/>
      <w:r w:rsidRPr="00956236">
        <w:rPr>
          <w:rFonts w:ascii="Times New Roman" w:eastAsia="CIDFont+F1" w:hAnsi="Times New Roman" w:cs="Times New Roman"/>
          <w:sz w:val="28"/>
          <w:szCs w:val="28"/>
          <w:lang w:val="uk-UA"/>
        </w:rPr>
        <w:t>talent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lens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to</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role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human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capital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composition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continuity</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International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Journal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Human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Resource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2023. № 24 (9). Р. 1816-1831.</w:t>
      </w:r>
    </w:p>
    <w:p w14:paraId="53BB2A6F"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150. </w:t>
      </w:r>
      <w:proofErr w:type="spellStart"/>
      <w:r w:rsidRPr="00956236">
        <w:rPr>
          <w:rFonts w:ascii="Times New Roman" w:eastAsia="CIDFont+F1" w:hAnsi="Times New Roman" w:cs="Times New Roman"/>
          <w:sz w:val="28"/>
          <w:szCs w:val="28"/>
          <w:lang w:val="uk-UA"/>
        </w:rPr>
        <w:t>Ramsden</w:t>
      </w:r>
      <w:proofErr w:type="spellEnd"/>
      <w:r w:rsidRPr="00956236">
        <w:rPr>
          <w:rFonts w:ascii="Times New Roman" w:eastAsia="CIDFont+F1" w:hAnsi="Times New Roman" w:cs="Times New Roman"/>
          <w:sz w:val="28"/>
          <w:szCs w:val="28"/>
          <w:lang w:val="uk-UA"/>
        </w:rPr>
        <w:t xml:space="preserve"> J. J., </w:t>
      </w:r>
      <w:proofErr w:type="spellStart"/>
      <w:r w:rsidRPr="00956236">
        <w:rPr>
          <w:rFonts w:ascii="Times New Roman" w:eastAsia="CIDFont+F1" w:hAnsi="Times New Roman" w:cs="Times New Roman"/>
          <w:sz w:val="28"/>
          <w:szCs w:val="28"/>
          <w:lang w:val="uk-UA"/>
        </w:rPr>
        <w:t>Kiss-Haypál</w:t>
      </w:r>
      <w:proofErr w:type="spellEnd"/>
      <w:r w:rsidRPr="00956236">
        <w:rPr>
          <w:rFonts w:ascii="Times New Roman" w:eastAsia="CIDFont+F1" w:hAnsi="Times New Roman" w:cs="Times New Roman"/>
          <w:sz w:val="28"/>
          <w:szCs w:val="28"/>
          <w:lang w:val="uk-UA"/>
        </w:rPr>
        <w:t xml:space="preserve"> G. </w:t>
      </w:r>
      <w:proofErr w:type="spellStart"/>
      <w:r w:rsidRPr="00956236">
        <w:rPr>
          <w:rFonts w:ascii="Times New Roman" w:eastAsia="CIDFont+F1" w:hAnsi="Times New Roman" w:cs="Times New Roman"/>
          <w:sz w:val="28"/>
          <w:szCs w:val="28"/>
          <w:lang w:val="uk-UA"/>
        </w:rPr>
        <w:t>Company</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Size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Distribution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Different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Countries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Physica</w:t>
      </w:r>
      <w:proofErr w:type="spellEnd"/>
      <w:r w:rsidRPr="00956236">
        <w:rPr>
          <w:rFonts w:ascii="Times New Roman" w:eastAsia="CIDFont+F1" w:hAnsi="Times New Roman" w:cs="Times New Roman"/>
          <w:sz w:val="28"/>
          <w:szCs w:val="28"/>
          <w:lang w:val="uk-UA"/>
        </w:rPr>
        <w:t xml:space="preserve"> A. 2020. № 277. Р. 220–227.</w:t>
      </w:r>
    </w:p>
    <w:p w14:paraId="4E57B64C"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lastRenderedPageBreak/>
        <w:t xml:space="preserve">151. </w:t>
      </w:r>
      <w:r w:rsidRPr="00956236">
        <w:rPr>
          <w:rFonts w:ascii="Times New Roman" w:hAnsi="Times New Roman" w:cs="Times New Roman"/>
          <w:sz w:val="28"/>
          <w:szCs w:val="28"/>
          <w:lang w:val="uk-UA"/>
        </w:rPr>
        <w:t xml:space="preserve">Багатомовна Європа: тенденції у політиці і практиці </w:t>
      </w:r>
      <w:proofErr w:type="spellStart"/>
      <w:r w:rsidRPr="00956236">
        <w:rPr>
          <w:rFonts w:ascii="Times New Roman" w:hAnsi="Times New Roman" w:cs="Times New Roman"/>
          <w:sz w:val="28"/>
          <w:szCs w:val="28"/>
          <w:lang w:val="uk-UA"/>
        </w:rPr>
        <w:t>мультилінгвізму</w:t>
      </w:r>
      <w:proofErr w:type="spellEnd"/>
      <w:r w:rsidRPr="00956236">
        <w:rPr>
          <w:rFonts w:ascii="Times New Roman" w:hAnsi="Times New Roman" w:cs="Times New Roman"/>
          <w:sz w:val="28"/>
          <w:szCs w:val="28"/>
          <w:lang w:val="uk-UA"/>
        </w:rPr>
        <w:t xml:space="preserve"> в Європі. К. : </w:t>
      </w:r>
      <w:proofErr w:type="spellStart"/>
      <w:r w:rsidRPr="00956236">
        <w:rPr>
          <w:rFonts w:ascii="Times New Roman" w:hAnsi="Times New Roman" w:cs="Times New Roman"/>
          <w:sz w:val="28"/>
          <w:szCs w:val="28"/>
          <w:lang w:val="uk-UA"/>
        </w:rPr>
        <w:t>Ленвіт</w:t>
      </w:r>
      <w:proofErr w:type="spellEnd"/>
      <w:r w:rsidRPr="00956236">
        <w:rPr>
          <w:rFonts w:ascii="Times New Roman" w:hAnsi="Times New Roman" w:cs="Times New Roman"/>
          <w:sz w:val="28"/>
          <w:szCs w:val="28"/>
          <w:lang w:val="uk-UA"/>
        </w:rPr>
        <w:t>, 2022. 168 с.</w:t>
      </w:r>
    </w:p>
    <w:p w14:paraId="15F95083"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152. </w:t>
      </w:r>
      <w:proofErr w:type="spellStart"/>
      <w:r w:rsidRPr="00956236">
        <w:rPr>
          <w:rFonts w:ascii="Times New Roman" w:eastAsia="CIDFont+F1" w:hAnsi="Times New Roman" w:cs="Times New Roman"/>
          <w:sz w:val="28"/>
          <w:szCs w:val="28"/>
          <w:lang w:val="uk-UA"/>
        </w:rPr>
        <w:t>Ronen</w:t>
      </w:r>
      <w:proofErr w:type="spellEnd"/>
      <w:r w:rsidRPr="00956236">
        <w:rPr>
          <w:rFonts w:ascii="Times New Roman" w:eastAsia="CIDFont+F1" w:hAnsi="Times New Roman" w:cs="Times New Roman"/>
          <w:sz w:val="28"/>
          <w:szCs w:val="28"/>
          <w:lang w:val="uk-UA"/>
        </w:rPr>
        <w:t xml:space="preserve"> S., </w:t>
      </w:r>
      <w:proofErr w:type="spellStart"/>
      <w:r w:rsidRPr="00956236">
        <w:rPr>
          <w:rFonts w:ascii="Times New Roman" w:eastAsia="CIDFont+F1" w:hAnsi="Times New Roman" w:cs="Times New Roman"/>
          <w:sz w:val="28"/>
          <w:szCs w:val="28"/>
          <w:lang w:val="uk-UA"/>
        </w:rPr>
        <w:t>Shenkar</w:t>
      </w:r>
      <w:proofErr w:type="spellEnd"/>
      <w:r w:rsidRPr="00956236">
        <w:rPr>
          <w:rFonts w:ascii="Times New Roman" w:eastAsia="CIDFont+F1" w:hAnsi="Times New Roman" w:cs="Times New Roman"/>
          <w:sz w:val="28"/>
          <w:szCs w:val="28"/>
          <w:lang w:val="uk-UA"/>
        </w:rPr>
        <w:t xml:space="preserve"> O. </w:t>
      </w:r>
      <w:proofErr w:type="spellStart"/>
      <w:r w:rsidRPr="00956236">
        <w:rPr>
          <w:rFonts w:ascii="Times New Roman" w:eastAsia="CIDFont+F1" w:hAnsi="Times New Roman" w:cs="Times New Roman"/>
          <w:sz w:val="28"/>
          <w:szCs w:val="28"/>
          <w:lang w:val="uk-UA"/>
        </w:rPr>
        <w:t>Clustering</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Countries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Attitudinal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Dimensions</w:t>
      </w:r>
      <w:proofErr w:type="spellEnd"/>
      <w:r w:rsidRPr="00956236">
        <w:rPr>
          <w:rFonts w:ascii="Times New Roman" w:eastAsia="CIDFont+F1" w:hAnsi="Times New Roman" w:cs="Times New Roman"/>
          <w:sz w:val="28"/>
          <w:szCs w:val="28"/>
          <w:lang w:val="uk-UA"/>
        </w:rPr>
        <w:t xml:space="preserve">: A </w:t>
      </w:r>
      <w:proofErr w:type="spellStart"/>
      <w:r w:rsidRPr="00956236">
        <w:rPr>
          <w:rFonts w:ascii="Times New Roman" w:eastAsia="CIDFont+F1" w:hAnsi="Times New Roman" w:cs="Times New Roman"/>
          <w:sz w:val="28"/>
          <w:szCs w:val="28"/>
          <w:lang w:val="uk-UA"/>
        </w:rPr>
        <w:t>Review</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Synthesis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Academy</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Review</w:t>
      </w:r>
      <w:proofErr w:type="spellEnd"/>
      <w:r w:rsidRPr="00956236">
        <w:rPr>
          <w:rFonts w:ascii="Times New Roman" w:eastAsia="CIDFont+F1" w:hAnsi="Times New Roman" w:cs="Times New Roman"/>
          <w:sz w:val="28"/>
          <w:szCs w:val="28"/>
          <w:lang w:val="uk-UA"/>
        </w:rPr>
        <w:t>. 2019. № 10. P. 435-454.</w:t>
      </w:r>
    </w:p>
    <w:p w14:paraId="18926F55"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153. </w:t>
      </w:r>
      <w:proofErr w:type="spellStart"/>
      <w:r w:rsidRPr="00956236">
        <w:rPr>
          <w:rFonts w:ascii="Times New Roman" w:eastAsia="CIDFont+F1" w:hAnsi="Times New Roman" w:cs="Times New Roman"/>
          <w:sz w:val="28"/>
          <w:szCs w:val="28"/>
          <w:lang w:val="uk-UA"/>
        </w:rPr>
        <w:t>Sels</w:t>
      </w:r>
      <w:proofErr w:type="spellEnd"/>
      <w:r w:rsidRPr="00956236">
        <w:rPr>
          <w:rFonts w:ascii="Times New Roman" w:eastAsia="CIDFont+F1" w:hAnsi="Times New Roman" w:cs="Times New Roman"/>
          <w:sz w:val="28"/>
          <w:szCs w:val="28"/>
          <w:lang w:val="uk-UA"/>
        </w:rPr>
        <w:t xml:space="preserve"> L., </w:t>
      </w:r>
      <w:proofErr w:type="spellStart"/>
      <w:r w:rsidRPr="00956236">
        <w:rPr>
          <w:rFonts w:ascii="Times New Roman" w:eastAsia="CIDFont+F1" w:hAnsi="Times New Roman" w:cs="Times New Roman"/>
          <w:sz w:val="28"/>
          <w:szCs w:val="28"/>
          <w:lang w:val="uk-UA"/>
        </w:rPr>
        <w:t>Woensel</w:t>
      </w:r>
      <w:proofErr w:type="spellEnd"/>
      <w:r w:rsidRPr="00956236">
        <w:rPr>
          <w:rFonts w:ascii="Times New Roman" w:eastAsia="CIDFont+F1" w:hAnsi="Times New Roman" w:cs="Times New Roman"/>
          <w:sz w:val="28"/>
          <w:szCs w:val="28"/>
          <w:lang w:val="uk-UA"/>
        </w:rPr>
        <w:t xml:space="preserve"> A., </w:t>
      </w:r>
      <w:proofErr w:type="spellStart"/>
      <w:r w:rsidRPr="00956236">
        <w:rPr>
          <w:rFonts w:ascii="Times New Roman" w:eastAsia="CIDFont+F1" w:hAnsi="Times New Roman" w:cs="Times New Roman"/>
          <w:sz w:val="28"/>
          <w:szCs w:val="28"/>
          <w:lang w:val="uk-UA"/>
        </w:rPr>
        <w:t>Herremans</w:t>
      </w:r>
      <w:proofErr w:type="spellEnd"/>
      <w:r w:rsidRPr="00956236">
        <w:rPr>
          <w:rFonts w:ascii="Times New Roman" w:eastAsia="CIDFont+F1" w:hAnsi="Times New Roman" w:cs="Times New Roman"/>
          <w:sz w:val="28"/>
          <w:szCs w:val="28"/>
          <w:lang w:val="uk-UA"/>
        </w:rPr>
        <w:t xml:space="preserve"> W. </w:t>
      </w:r>
      <w:proofErr w:type="spellStart"/>
      <w:r w:rsidRPr="00956236">
        <w:rPr>
          <w:rFonts w:ascii="Times New Roman" w:eastAsia="CIDFont+F1" w:hAnsi="Times New Roman" w:cs="Times New Roman"/>
          <w:sz w:val="28"/>
          <w:szCs w:val="28"/>
          <w:lang w:val="uk-UA"/>
        </w:rPr>
        <w:t>Over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Rode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Oranje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en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Groene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Lichten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het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Eindeloopbaanbeleid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Tijdschrift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van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het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Steunpunt</w:t>
      </w:r>
      <w:proofErr w:type="spellEnd"/>
      <w:r w:rsidRPr="00956236">
        <w:rPr>
          <w:rFonts w:ascii="Times New Roman" w:eastAsia="CIDFont+F1" w:hAnsi="Times New Roman" w:cs="Times New Roman"/>
          <w:sz w:val="28"/>
          <w:szCs w:val="28"/>
          <w:lang w:val="uk-UA"/>
        </w:rPr>
        <w:t xml:space="preserve"> WSE. 2018. № 1. Р. 8-33.</w:t>
      </w:r>
    </w:p>
    <w:p w14:paraId="44C5DD21"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154. </w:t>
      </w:r>
      <w:proofErr w:type="spellStart"/>
      <w:r w:rsidRPr="00956236">
        <w:rPr>
          <w:rFonts w:ascii="Times New Roman" w:eastAsia="CIDFont+F1" w:hAnsi="Times New Roman" w:cs="Times New Roman"/>
          <w:sz w:val="28"/>
          <w:szCs w:val="28"/>
          <w:lang w:val="uk-UA"/>
        </w:rPr>
        <w:t>Tucker</w:t>
      </w:r>
      <w:proofErr w:type="spellEnd"/>
      <w:r w:rsidRPr="00956236">
        <w:rPr>
          <w:rFonts w:ascii="Times New Roman" w:eastAsia="CIDFont+F1" w:hAnsi="Times New Roman" w:cs="Times New Roman"/>
          <w:sz w:val="28"/>
          <w:szCs w:val="28"/>
          <w:lang w:val="uk-UA"/>
        </w:rPr>
        <w:t xml:space="preserve"> E., </w:t>
      </w:r>
      <w:proofErr w:type="spellStart"/>
      <w:r w:rsidRPr="00956236">
        <w:rPr>
          <w:rFonts w:ascii="Times New Roman" w:eastAsia="CIDFont+F1" w:hAnsi="Times New Roman" w:cs="Times New Roman"/>
          <w:sz w:val="28"/>
          <w:szCs w:val="28"/>
          <w:lang w:val="uk-UA"/>
        </w:rPr>
        <w:t>Kao</w:t>
      </w:r>
      <w:proofErr w:type="spellEnd"/>
      <w:r w:rsidRPr="00956236">
        <w:rPr>
          <w:rFonts w:ascii="Times New Roman" w:eastAsia="CIDFont+F1" w:hAnsi="Times New Roman" w:cs="Times New Roman"/>
          <w:sz w:val="28"/>
          <w:szCs w:val="28"/>
          <w:lang w:val="uk-UA"/>
        </w:rPr>
        <w:t xml:space="preserve"> T., </w:t>
      </w:r>
      <w:proofErr w:type="spellStart"/>
      <w:r w:rsidRPr="00956236">
        <w:rPr>
          <w:rFonts w:ascii="Times New Roman" w:eastAsia="CIDFont+F1" w:hAnsi="Times New Roman" w:cs="Times New Roman"/>
          <w:sz w:val="28"/>
          <w:szCs w:val="28"/>
          <w:lang w:val="uk-UA"/>
        </w:rPr>
        <w:t>Verma</w:t>
      </w:r>
      <w:proofErr w:type="spellEnd"/>
      <w:r w:rsidRPr="00956236">
        <w:rPr>
          <w:rFonts w:ascii="Times New Roman" w:eastAsia="CIDFont+F1" w:hAnsi="Times New Roman" w:cs="Times New Roman"/>
          <w:sz w:val="28"/>
          <w:szCs w:val="28"/>
          <w:lang w:val="uk-UA"/>
        </w:rPr>
        <w:t xml:space="preserve"> N. </w:t>
      </w:r>
      <w:proofErr w:type="spellStart"/>
      <w:r w:rsidRPr="00956236">
        <w:rPr>
          <w:rFonts w:ascii="Times New Roman" w:eastAsia="CIDFont+F1" w:hAnsi="Times New Roman" w:cs="Times New Roman"/>
          <w:sz w:val="28"/>
          <w:szCs w:val="28"/>
          <w:lang w:val="uk-UA"/>
        </w:rPr>
        <w:t>Next-Generation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Talent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Insights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How</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Workforce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Trends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are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Changing</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Face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Talent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Business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Credit</w:t>
      </w:r>
      <w:proofErr w:type="spellEnd"/>
      <w:r w:rsidRPr="00956236">
        <w:rPr>
          <w:rFonts w:ascii="Times New Roman" w:eastAsia="CIDFont+F1" w:hAnsi="Times New Roman" w:cs="Times New Roman"/>
          <w:sz w:val="28"/>
          <w:szCs w:val="28"/>
          <w:lang w:val="uk-UA"/>
        </w:rPr>
        <w:t>. 2015. № 107. P. 20-27.</w:t>
      </w:r>
    </w:p>
    <w:p w14:paraId="75C11F3D"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155. </w:t>
      </w:r>
      <w:proofErr w:type="spellStart"/>
      <w:r w:rsidRPr="00956236">
        <w:rPr>
          <w:rFonts w:ascii="Times New Roman" w:hAnsi="Times New Roman" w:cs="Times New Roman"/>
          <w:color w:val="000000" w:themeColor="text1"/>
          <w:sz w:val="28"/>
          <w:szCs w:val="28"/>
          <w:lang w:val="uk-UA"/>
        </w:rPr>
        <w:t>Каламан</w:t>
      </w:r>
      <w:proofErr w:type="spellEnd"/>
      <w:r w:rsidRPr="00956236">
        <w:rPr>
          <w:rFonts w:ascii="Times New Roman" w:hAnsi="Times New Roman" w:cs="Times New Roman"/>
          <w:color w:val="000000" w:themeColor="text1"/>
          <w:sz w:val="28"/>
          <w:szCs w:val="28"/>
          <w:lang w:val="uk-UA"/>
        </w:rPr>
        <w:t xml:space="preserve"> О. Б., </w:t>
      </w:r>
      <w:proofErr w:type="spellStart"/>
      <w:r w:rsidRPr="00956236">
        <w:rPr>
          <w:rFonts w:ascii="Times New Roman" w:hAnsi="Times New Roman" w:cs="Times New Roman"/>
          <w:color w:val="000000" w:themeColor="text1"/>
          <w:sz w:val="28"/>
          <w:szCs w:val="28"/>
          <w:lang w:val="uk-UA"/>
        </w:rPr>
        <w:t>Дишкантюк</w:t>
      </w:r>
      <w:proofErr w:type="spellEnd"/>
      <w:r w:rsidRPr="00956236">
        <w:rPr>
          <w:rFonts w:ascii="Times New Roman" w:hAnsi="Times New Roman" w:cs="Times New Roman"/>
          <w:color w:val="000000" w:themeColor="text1"/>
          <w:sz w:val="28"/>
          <w:szCs w:val="28"/>
          <w:lang w:val="uk-UA"/>
        </w:rPr>
        <w:t xml:space="preserve"> О. В., Власюк К. В. Підприємницький потенціал малого та середнього бізнесу індустрії гостинності. Актуальні проблеми та перспективи соціально-економічного розвитку регіону в умовах сучасних глобальних викликів: матеріали І Міжнародної науково-практичної інтернет-конференції (Кременчук, Придніпровський інститут МАУП, 23 березня 2023 р.) / за </w:t>
      </w:r>
      <w:proofErr w:type="spellStart"/>
      <w:r w:rsidRPr="00956236">
        <w:rPr>
          <w:rFonts w:ascii="Times New Roman" w:hAnsi="Times New Roman" w:cs="Times New Roman"/>
          <w:color w:val="000000" w:themeColor="text1"/>
          <w:sz w:val="28"/>
          <w:szCs w:val="28"/>
          <w:lang w:val="uk-UA"/>
        </w:rPr>
        <w:t>заг</w:t>
      </w:r>
      <w:proofErr w:type="spellEnd"/>
      <w:r w:rsidRPr="00956236">
        <w:rPr>
          <w:rFonts w:ascii="Times New Roman" w:hAnsi="Times New Roman" w:cs="Times New Roman"/>
          <w:color w:val="000000" w:themeColor="text1"/>
          <w:sz w:val="28"/>
          <w:szCs w:val="28"/>
          <w:lang w:val="uk-UA"/>
        </w:rPr>
        <w:t xml:space="preserve">. ред. В. В. </w:t>
      </w:r>
      <w:proofErr w:type="spellStart"/>
      <w:r w:rsidRPr="00956236">
        <w:rPr>
          <w:rFonts w:ascii="Times New Roman" w:hAnsi="Times New Roman" w:cs="Times New Roman"/>
          <w:color w:val="000000" w:themeColor="text1"/>
          <w:sz w:val="28"/>
          <w:szCs w:val="28"/>
          <w:lang w:val="uk-UA"/>
        </w:rPr>
        <w:t>Татарінова</w:t>
      </w:r>
      <w:proofErr w:type="spellEnd"/>
      <w:r w:rsidRPr="00956236">
        <w:rPr>
          <w:rFonts w:ascii="Times New Roman" w:hAnsi="Times New Roman" w:cs="Times New Roman"/>
          <w:color w:val="000000" w:themeColor="text1"/>
          <w:sz w:val="28"/>
          <w:szCs w:val="28"/>
          <w:lang w:val="uk-UA"/>
        </w:rPr>
        <w:t>. 2023. С. 147-148.</w:t>
      </w:r>
    </w:p>
    <w:p w14:paraId="0CD868B7"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156. </w:t>
      </w:r>
      <w:proofErr w:type="spellStart"/>
      <w:r w:rsidRPr="00956236">
        <w:rPr>
          <w:rFonts w:ascii="Times New Roman" w:eastAsia="CIDFont+F1" w:hAnsi="Times New Roman" w:cs="Times New Roman"/>
          <w:sz w:val="28"/>
          <w:szCs w:val="28"/>
          <w:lang w:val="uk-UA"/>
        </w:rPr>
        <w:t>Spector</w:t>
      </w:r>
      <w:proofErr w:type="spellEnd"/>
      <w:r w:rsidRPr="00956236">
        <w:rPr>
          <w:rFonts w:ascii="Times New Roman" w:eastAsia="CIDFont+F1" w:hAnsi="Times New Roman" w:cs="Times New Roman"/>
          <w:sz w:val="28"/>
          <w:szCs w:val="28"/>
          <w:lang w:val="uk-UA"/>
        </w:rPr>
        <w:t xml:space="preserve"> P. E., </w:t>
      </w:r>
      <w:proofErr w:type="spellStart"/>
      <w:r w:rsidRPr="00956236">
        <w:rPr>
          <w:rFonts w:ascii="Times New Roman" w:eastAsia="CIDFont+F1" w:hAnsi="Times New Roman" w:cs="Times New Roman"/>
          <w:sz w:val="28"/>
          <w:szCs w:val="28"/>
          <w:lang w:val="uk-UA"/>
        </w:rPr>
        <w:t>Cooper</w:t>
      </w:r>
      <w:proofErr w:type="spellEnd"/>
      <w:r w:rsidRPr="00956236">
        <w:rPr>
          <w:rFonts w:ascii="Times New Roman" w:eastAsia="CIDFont+F1" w:hAnsi="Times New Roman" w:cs="Times New Roman"/>
          <w:sz w:val="28"/>
          <w:szCs w:val="28"/>
          <w:lang w:val="uk-UA"/>
        </w:rPr>
        <w:t xml:space="preserve"> C. L., </w:t>
      </w:r>
      <w:proofErr w:type="spellStart"/>
      <w:r w:rsidRPr="00956236">
        <w:rPr>
          <w:rFonts w:ascii="Times New Roman" w:eastAsia="CIDFont+F1" w:hAnsi="Times New Roman" w:cs="Times New Roman"/>
          <w:sz w:val="28"/>
          <w:szCs w:val="28"/>
          <w:lang w:val="uk-UA"/>
        </w:rPr>
        <w:t>Sparks</w:t>
      </w:r>
      <w:proofErr w:type="spellEnd"/>
      <w:r w:rsidRPr="00956236">
        <w:rPr>
          <w:rFonts w:ascii="Times New Roman" w:eastAsia="CIDFont+F1" w:hAnsi="Times New Roman" w:cs="Times New Roman"/>
          <w:sz w:val="28"/>
          <w:szCs w:val="28"/>
          <w:lang w:val="uk-UA"/>
        </w:rPr>
        <w:t xml:space="preserve">, K. </w:t>
      </w:r>
      <w:proofErr w:type="spellStart"/>
      <w:r w:rsidRPr="00956236">
        <w:rPr>
          <w:rFonts w:ascii="Times New Roman" w:eastAsia="CIDFont+F1" w:hAnsi="Times New Roman" w:cs="Times New Roman"/>
          <w:sz w:val="28"/>
          <w:szCs w:val="28"/>
          <w:lang w:val="uk-UA"/>
        </w:rPr>
        <w:t>An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International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Study</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Psychometric</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Properties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Hofstede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Values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Survey</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Module</w:t>
      </w:r>
      <w:proofErr w:type="spellEnd"/>
      <w:r w:rsidRPr="00956236">
        <w:rPr>
          <w:rFonts w:ascii="Times New Roman" w:eastAsia="CIDFont+F1" w:hAnsi="Times New Roman" w:cs="Times New Roman"/>
          <w:sz w:val="28"/>
          <w:szCs w:val="28"/>
          <w:lang w:val="uk-UA"/>
        </w:rPr>
        <w:t xml:space="preserve"> 1994: A </w:t>
      </w:r>
      <w:proofErr w:type="spellStart"/>
      <w:r w:rsidRPr="00956236">
        <w:rPr>
          <w:rFonts w:ascii="Times New Roman" w:eastAsia="CIDFont+F1" w:hAnsi="Times New Roman" w:cs="Times New Roman"/>
          <w:sz w:val="28"/>
          <w:szCs w:val="28"/>
          <w:lang w:val="uk-UA"/>
        </w:rPr>
        <w:t>Comparison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Individual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Country</w:t>
      </w:r>
      <w:proofErr w:type="spellEnd"/>
      <w:r w:rsidRPr="00956236">
        <w:rPr>
          <w:rFonts w:ascii="Times New Roman" w:eastAsia="CIDFont+F1" w:hAnsi="Times New Roman" w:cs="Times New Roman"/>
          <w:sz w:val="28"/>
          <w:szCs w:val="28"/>
          <w:lang w:val="uk-UA"/>
        </w:rPr>
        <w:t>/</w:t>
      </w:r>
      <w:proofErr w:type="spellStart"/>
      <w:r w:rsidRPr="00956236">
        <w:rPr>
          <w:rFonts w:ascii="Times New Roman" w:eastAsia="CIDFont+F1" w:hAnsi="Times New Roman" w:cs="Times New Roman"/>
          <w:sz w:val="28"/>
          <w:szCs w:val="28"/>
          <w:lang w:val="uk-UA"/>
        </w:rPr>
        <w:t>Province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Level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Results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Applied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Psychology</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International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Review</w:t>
      </w:r>
      <w:proofErr w:type="spellEnd"/>
      <w:r w:rsidRPr="00956236">
        <w:rPr>
          <w:rFonts w:ascii="Times New Roman" w:eastAsia="CIDFont+F1" w:hAnsi="Times New Roman" w:cs="Times New Roman"/>
          <w:sz w:val="28"/>
          <w:szCs w:val="28"/>
          <w:lang w:val="uk-UA"/>
        </w:rPr>
        <w:t>. 2021. № 50 (2). Р. 269-281.</w:t>
      </w:r>
    </w:p>
    <w:p w14:paraId="6535EA34"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157. </w:t>
      </w:r>
      <w:proofErr w:type="spellStart"/>
      <w:r w:rsidRPr="00956236">
        <w:rPr>
          <w:rFonts w:ascii="Times New Roman" w:eastAsia="CIDFont+F1" w:hAnsi="Times New Roman" w:cs="Times New Roman"/>
          <w:sz w:val="28"/>
          <w:szCs w:val="28"/>
          <w:lang w:val="uk-UA"/>
        </w:rPr>
        <w:t>Orpen</w:t>
      </w:r>
      <w:proofErr w:type="spellEnd"/>
      <w:r w:rsidRPr="00956236">
        <w:rPr>
          <w:rFonts w:ascii="Times New Roman" w:eastAsia="CIDFont+F1" w:hAnsi="Times New Roman" w:cs="Times New Roman"/>
          <w:sz w:val="28"/>
          <w:szCs w:val="28"/>
          <w:lang w:val="uk-UA"/>
        </w:rPr>
        <w:t xml:space="preserve"> C.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Effects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Organizational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Individual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Success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International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Journal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Manpower</w:t>
      </w:r>
      <w:proofErr w:type="spellEnd"/>
      <w:r w:rsidRPr="00956236">
        <w:rPr>
          <w:rFonts w:ascii="Times New Roman" w:eastAsia="CIDFont+F1" w:hAnsi="Times New Roman" w:cs="Times New Roman"/>
          <w:sz w:val="28"/>
          <w:szCs w:val="28"/>
          <w:lang w:val="uk-UA"/>
        </w:rPr>
        <w:t>. 2019. № 15(1). Р. 27-37.</w:t>
      </w:r>
    </w:p>
    <w:p w14:paraId="6066AFCB"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158. </w:t>
      </w:r>
      <w:proofErr w:type="spellStart"/>
      <w:r w:rsidRPr="00956236">
        <w:rPr>
          <w:rFonts w:ascii="Times New Roman" w:eastAsia="CIDFont+F1" w:hAnsi="Times New Roman" w:cs="Times New Roman"/>
          <w:sz w:val="28"/>
          <w:szCs w:val="28"/>
          <w:lang w:val="uk-UA"/>
        </w:rPr>
        <w:t>Nishii</w:t>
      </w:r>
      <w:proofErr w:type="spellEnd"/>
      <w:r w:rsidRPr="00956236">
        <w:rPr>
          <w:rFonts w:ascii="Times New Roman" w:eastAsia="CIDFont+F1" w:hAnsi="Times New Roman" w:cs="Times New Roman"/>
          <w:sz w:val="28"/>
          <w:szCs w:val="28"/>
          <w:lang w:val="uk-UA"/>
        </w:rPr>
        <w:t xml:space="preserve"> L. H., </w:t>
      </w:r>
      <w:proofErr w:type="spellStart"/>
      <w:r w:rsidRPr="00956236">
        <w:rPr>
          <w:rFonts w:ascii="Times New Roman" w:eastAsia="CIDFont+F1" w:hAnsi="Times New Roman" w:cs="Times New Roman"/>
          <w:sz w:val="28"/>
          <w:szCs w:val="28"/>
          <w:lang w:val="uk-UA"/>
        </w:rPr>
        <w:t>Lepak</w:t>
      </w:r>
      <w:proofErr w:type="spellEnd"/>
      <w:r w:rsidRPr="00956236">
        <w:rPr>
          <w:rFonts w:ascii="Times New Roman" w:eastAsia="CIDFont+F1" w:hAnsi="Times New Roman" w:cs="Times New Roman"/>
          <w:sz w:val="28"/>
          <w:szCs w:val="28"/>
          <w:lang w:val="uk-UA"/>
        </w:rPr>
        <w:t xml:space="preserve"> D. P., </w:t>
      </w:r>
      <w:proofErr w:type="spellStart"/>
      <w:r w:rsidRPr="00956236">
        <w:rPr>
          <w:rFonts w:ascii="Times New Roman" w:eastAsia="CIDFont+F1" w:hAnsi="Times New Roman" w:cs="Times New Roman"/>
          <w:sz w:val="28"/>
          <w:szCs w:val="28"/>
          <w:lang w:val="uk-UA"/>
        </w:rPr>
        <w:t>Schneider</w:t>
      </w:r>
      <w:proofErr w:type="spellEnd"/>
      <w:r w:rsidRPr="00956236">
        <w:rPr>
          <w:rFonts w:ascii="Times New Roman" w:eastAsia="CIDFont+F1" w:hAnsi="Times New Roman" w:cs="Times New Roman"/>
          <w:sz w:val="28"/>
          <w:szCs w:val="28"/>
          <w:lang w:val="uk-UA"/>
        </w:rPr>
        <w:t xml:space="preserve"> B. </w:t>
      </w:r>
      <w:proofErr w:type="spellStart"/>
      <w:r w:rsidRPr="00956236">
        <w:rPr>
          <w:rFonts w:ascii="Times New Roman" w:eastAsia="CIDFont+F1" w:hAnsi="Times New Roman" w:cs="Times New Roman"/>
          <w:sz w:val="28"/>
          <w:szCs w:val="28"/>
          <w:lang w:val="uk-UA"/>
        </w:rPr>
        <w:t>Employee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Attributions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Why</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HR </w:t>
      </w:r>
      <w:proofErr w:type="spellStart"/>
      <w:r w:rsidRPr="00956236">
        <w:rPr>
          <w:rFonts w:ascii="Times New Roman" w:eastAsia="CIDFont+F1" w:hAnsi="Times New Roman" w:cs="Times New Roman"/>
          <w:sz w:val="28"/>
          <w:szCs w:val="28"/>
          <w:lang w:val="uk-UA"/>
        </w:rPr>
        <w:t>Practices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Their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Effects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Employee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Attitudes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Behaviors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Customer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Satisfaction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Personnel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Psychology</w:t>
      </w:r>
      <w:proofErr w:type="spellEnd"/>
      <w:r w:rsidRPr="00956236">
        <w:rPr>
          <w:rFonts w:ascii="Times New Roman" w:eastAsia="CIDFont+F1" w:hAnsi="Times New Roman" w:cs="Times New Roman"/>
          <w:sz w:val="28"/>
          <w:szCs w:val="28"/>
          <w:lang w:val="uk-UA"/>
        </w:rPr>
        <w:t>. 2008. № 61(3). Р. 503-545.</w:t>
      </w:r>
    </w:p>
    <w:p w14:paraId="5E72F5F5"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159. </w:t>
      </w:r>
      <w:proofErr w:type="spellStart"/>
      <w:r w:rsidRPr="00956236">
        <w:rPr>
          <w:rFonts w:ascii="Times New Roman" w:eastAsia="CIDFont+F1" w:hAnsi="Times New Roman" w:cs="Times New Roman"/>
          <w:sz w:val="28"/>
          <w:szCs w:val="28"/>
          <w:lang w:val="uk-UA"/>
        </w:rPr>
        <w:t>Briscoe</w:t>
      </w:r>
      <w:proofErr w:type="spellEnd"/>
      <w:r w:rsidRPr="00956236">
        <w:rPr>
          <w:rFonts w:ascii="Times New Roman" w:eastAsia="CIDFont+F1" w:hAnsi="Times New Roman" w:cs="Times New Roman"/>
          <w:sz w:val="28"/>
          <w:szCs w:val="28"/>
          <w:lang w:val="uk-UA"/>
        </w:rPr>
        <w:t xml:space="preserve"> J. P., </w:t>
      </w:r>
      <w:proofErr w:type="spellStart"/>
      <w:r w:rsidRPr="00956236">
        <w:rPr>
          <w:rFonts w:ascii="Times New Roman" w:eastAsia="CIDFont+F1" w:hAnsi="Times New Roman" w:cs="Times New Roman"/>
          <w:sz w:val="28"/>
          <w:szCs w:val="28"/>
          <w:lang w:val="uk-UA"/>
        </w:rPr>
        <w:t>Hall</w:t>
      </w:r>
      <w:proofErr w:type="spellEnd"/>
      <w:r w:rsidRPr="00956236">
        <w:rPr>
          <w:rFonts w:ascii="Times New Roman" w:eastAsia="CIDFont+F1" w:hAnsi="Times New Roman" w:cs="Times New Roman"/>
          <w:sz w:val="28"/>
          <w:szCs w:val="28"/>
          <w:lang w:val="uk-UA"/>
        </w:rPr>
        <w:t xml:space="preserve"> D. T., </w:t>
      </w:r>
      <w:proofErr w:type="spellStart"/>
      <w:r w:rsidRPr="00956236">
        <w:rPr>
          <w:rFonts w:ascii="Times New Roman" w:eastAsia="CIDFont+F1" w:hAnsi="Times New Roman" w:cs="Times New Roman"/>
          <w:sz w:val="28"/>
          <w:szCs w:val="28"/>
          <w:lang w:val="uk-UA"/>
        </w:rPr>
        <w:t>DeMuth</w:t>
      </w:r>
      <w:proofErr w:type="spellEnd"/>
      <w:r w:rsidRPr="00956236">
        <w:rPr>
          <w:rFonts w:ascii="Times New Roman" w:eastAsia="CIDFont+F1" w:hAnsi="Times New Roman" w:cs="Times New Roman"/>
          <w:sz w:val="28"/>
          <w:szCs w:val="28"/>
          <w:lang w:val="uk-UA"/>
        </w:rPr>
        <w:t xml:space="preserve"> R.L.F. </w:t>
      </w:r>
      <w:proofErr w:type="spellStart"/>
      <w:r w:rsidRPr="00956236">
        <w:rPr>
          <w:rFonts w:ascii="Times New Roman" w:eastAsia="CIDFont+F1" w:hAnsi="Times New Roman" w:cs="Times New Roman"/>
          <w:sz w:val="28"/>
          <w:szCs w:val="28"/>
          <w:lang w:val="uk-UA"/>
        </w:rPr>
        <w:t>Protean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Boundaryless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Empirical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Exploration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Journal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Vocational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Behavior</w:t>
      </w:r>
      <w:proofErr w:type="spellEnd"/>
      <w:r w:rsidRPr="00956236">
        <w:rPr>
          <w:rFonts w:ascii="Times New Roman" w:eastAsia="CIDFont+F1" w:hAnsi="Times New Roman" w:cs="Times New Roman"/>
          <w:sz w:val="28"/>
          <w:szCs w:val="28"/>
          <w:lang w:val="uk-UA"/>
        </w:rPr>
        <w:t>. 2016. № 69(1). Р. 30-47.</w:t>
      </w:r>
    </w:p>
    <w:p w14:paraId="7B529177" w14:textId="77777777" w:rsidR="00571B42" w:rsidRPr="0095623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t xml:space="preserve">160. </w:t>
      </w:r>
      <w:proofErr w:type="spellStart"/>
      <w:r w:rsidRPr="00956236">
        <w:rPr>
          <w:rFonts w:ascii="Times New Roman" w:eastAsia="CIDFont+F1" w:hAnsi="Times New Roman" w:cs="Times New Roman"/>
          <w:sz w:val="28"/>
          <w:szCs w:val="28"/>
          <w:lang w:val="uk-UA"/>
        </w:rPr>
        <w:t>Eby</w:t>
      </w:r>
      <w:proofErr w:type="spellEnd"/>
      <w:r w:rsidRPr="00956236">
        <w:rPr>
          <w:rFonts w:ascii="Times New Roman" w:eastAsia="CIDFont+F1" w:hAnsi="Times New Roman" w:cs="Times New Roman"/>
          <w:sz w:val="28"/>
          <w:szCs w:val="28"/>
          <w:lang w:val="uk-UA"/>
        </w:rPr>
        <w:t xml:space="preserve"> L. T., </w:t>
      </w:r>
      <w:proofErr w:type="spellStart"/>
      <w:r w:rsidRPr="00956236">
        <w:rPr>
          <w:rFonts w:ascii="Times New Roman" w:eastAsia="CIDFont+F1" w:hAnsi="Times New Roman" w:cs="Times New Roman"/>
          <w:sz w:val="28"/>
          <w:szCs w:val="28"/>
          <w:lang w:val="uk-UA"/>
        </w:rPr>
        <w:t>Allen</w:t>
      </w:r>
      <w:proofErr w:type="spellEnd"/>
      <w:r w:rsidRPr="00956236">
        <w:rPr>
          <w:rFonts w:ascii="Times New Roman" w:eastAsia="CIDFont+F1" w:hAnsi="Times New Roman" w:cs="Times New Roman"/>
          <w:sz w:val="28"/>
          <w:szCs w:val="28"/>
          <w:lang w:val="uk-UA"/>
        </w:rPr>
        <w:t xml:space="preserve"> T. D., </w:t>
      </w:r>
      <w:proofErr w:type="spellStart"/>
      <w:r w:rsidRPr="00956236">
        <w:rPr>
          <w:rFonts w:ascii="Times New Roman" w:eastAsia="CIDFont+F1" w:hAnsi="Times New Roman" w:cs="Times New Roman"/>
          <w:sz w:val="28"/>
          <w:szCs w:val="28"/>
          <w:lang w:val="uk-UA"/>
        </w:rPr>
        <w:t>Brinley</w:t>
      </w:r>
      <w:proofErr w:type="spellEnd"/>
      <w:r w:rsidRPr="00956236">
        <w:rPr>
          <w:rFonts w:ascii="Times New Roman" w:eastAsia="CIDFont+F1" w:hAnsi="Times New Roman" w:cs="Times New Roman"/>
          <w:sz w:val="28"/>
          <w:szCs w:val="28"/>
          <w:lang w:val="uk-UA"/>
        </w:rPr>
        <w:t xml:space="preserve"> A. A </w:t>
      </w:r>
      <w:proofErr w:type="spellStart"/>
      <w:r w:rsidRPr="00956236">
        <w:rPr>
          <w:rFonts w:ascii="Times New Roman" w:eastAsia="CIDFont+F1" w:hAnsi="Times New Roman" w:cs="Times New Roman"/>
          <w:sz w:val="28"/>
          <w:szCs w:val="28"/>
          <w:lang w:val="uk-UA"/>
        </w:rPr>
        <w:t>Cross-Level</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Investigation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of</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the</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Relationship</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between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Practices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and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Career-Related</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Attitudes</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Group</w:t>
      </w:r>
      <w:proofErr w:type="spellEnd"/>
      <w:r w:rsidRPr="00956236">
        <w:rPr>
          <w:rFonts w:ascii="Times New Roman" w:eastAsia="CIDFont+F1" w:hAnsi="Times New Roman" w:cs="Times New Roman"/>
          <w:sz w:val="28"/>
          <w:szCs w:val="28"/>
          <w:lang w:val="uk-UA"/>
        </w:rPr>
        <w:t xml:space="preserve"> &amp; </w:t>
      </w:r>
      <w:proofErr w:type="spellStart"/>
      <w:r w:rsidRPr="00956236">
        <w:rPr>
          <w:rFonts w:ascii="Times New Roman" w:eastAsia="CIDFont+F1" w:hAnsi="Times New Roman" w:cs="Times New Roman"/>
          <w:sz w:val="28"/>
          <w:szCs w:val="28"/>
          <w:lang w:val="uk-UA"/>
        </w:rPr>
        <w:t>Organization</w:t>
      </w:r>
      <w:proofErr w:type="spellEnd"/>
      <w:r w:rsidRPr="00956236">
        <w:rPr>
          <w:rFonts w:ascii="Times New Roman" w:eastAsia="CIDFont+F1" w:hAnsi="Times New Roman" w:cs="Times New Roman"/>
          <w:sz w:val="28"/>
          <w:szCs w:val="28"/>
          <w:lang w:val="uk-UA"/>
        </w:rPr>
        <w:t xml:space="preserve"> </w:t>
      </w:r>
      <w:proofErr w:type="spellStart"/>
      <w:r w:rsidRPr="00956236">
        <w:rPr>
          <w:rFonts w:ascii="Times New Roman" w:eastAsia="CIDFont+F1" w:hAnsi="Times New Roman" w:cs="Times New Roman"/>
          <w:sz w:val="28"/>
          <w:szCs w:val="28"/>
          <w:lang w:val="uk-UA"/>
        </w:rPr>
        <w:t>Management</w:t>
      </w:r>
      <w:proofErr w:type="spellEnd"/>
      <w:r w:rsidRPr="00956236">
        <w:rPr>
          <w:rFonts w:ascii="Times New Roman" w:eastAsia="CIDFont+F1" w:hAnsi="Times New Roman" w:cs="Times New Roman"/>
          <w:sz w:val="28"/>
          <w:szCs w:val="28"/>
          <w:lang w:val="uk-UA"/>
        </w:rPr>
        <w:t>. 2015. № 30(6). Р. 565-596.</w:t>
      </w:r>
    </w:p>
    <w:p w14:paraId="29A37DCA" w14:textId="0FD27FA5" w:rsidR="00571B42" w:rsidRPr="00E2067D"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956236">
        <w:rPr>
          <w:rFonts w:ascii="Times New Roman" w:eastAsia="CIDFont+F1" w:hAnsi="Times New Roman" w:cs="Times New Roman"/>
          <w:sz w:val="28"/>
          <w:szCs w:val="28"/>
          <w:lang w:val="uk-UA"/>
        </w:rPr>
        <w:lastRenderedPageBreak/>
        <w:t xml:space="preserve">161. </w:t>
      </w:r>
      <w:proofErr w:type="spellStart"/>
      <w:r w:rsidRPr="00956236">
        <w:rPr>
          <w:rFonts w:ascii="Times New Roman" w:hAnsi="Times New Roman" w:cs="Times New Roman"/>
          <w:sz w:val="28"/>
          <w:szCs w:val="28"/>
          <w:lang w:val="uk-UA"/>
        </w:rPr>
        <w:t>Данілов</w:t>
      </w:r>
      <w:proofErr w:type="spellEnd"/>
      <w:r w:rsidRPr="00E2067D">
        <w:rPr>
          <w:rFonts w:ascii="Times New Roman" w:hAnsi="Times New Roman" w:cs="Times New Roman"/>
          <w:sz w:val="28"/>
          <w:szCs w:val="28"/>
          <w:lang w:val="uk-UA"/>
        </w:rPr>
        <w:t xml:space="preserve"> В. Я. Статистична обробка даних: навчальний посібник. Київ</w:t>
      </w:r>
      <w:r w:rsidR="00956236">
        <w:rPr>
          <w:rFonts w:ascii="Times New Roman" w:hAnsi="Times New Roman" w:cs="Times New Roman"/>
          <w:sz w:val="28"/>
          <w:szCs w:val="28"/>
          <w:lang w:val="uk-UA"/>
        </w:rPr>
        <w:t>, 2019</w:t>
      </w:r>
      <w:r w:rsidRPr="00E2067D">
        <w:rPr>
          <w:rFonts w:ascii="Times New Roman" w:hAnsi="Times New Roman" w:cs="Times New Roman"/>
          <w:sz w:val="28"/>
          <w:szCs w:val="28"/>
          <w:lang w:val="uk-UA"/>
        </w:rPr>
        <w:t xml:space="preserve">. 156 с. </w:t>
      </w:r>
    </w:p>
    <w:p w14:paraId="001D7618" w14:textId="77777777" w:rsidR="00571B42" w:rsidRPr="006B59F1" w:rsidRDefault="00571B42" w:rsidP="00571B42">
      <w:pPr>
        <w:autoSpaceDE w:val="0"/>
        <w:autoSpaceDN w:val="0"/>
        <w:adjustRightInd w:val="0"/>
        <w:spacing w:after="0" w:line="360" w:lineRule="auto"/>
        <w:ind w:firstLine="720"/>
        <w:jc w:val="both"/>
        <w:rPr>
          <w:rFonts w:ascii="Times New Roman" w:eastAsia="CIDFont+F1" w:hAnsi="Times New Roman" w:cs="Times New Roman"/>
          <w:iCs/>
          <w:sz w:val="28"/>
          <w:szCs w:val="28"/>
          <w:lang w:val="uk-UA"/>
        </w:rPr>
      </w:pPr>
      <w:r w:rsidRPr="00E2067D">
        <w:rPr>
          <w:rFonts w:ascii="Times New Roman" w:eastAsia="CIDFont+F1" w:hAnsi="Times New Roman" w:cs="Times New Roman"/>
          <w:sz w:val="28"/>
          <w:szCs w:val="28"/>
          <w:lang w:val="uk-UA"/>
        </w:rPr>
        <w:t xml:space="preserve">162. </w:t>
      </w:r>
      <w:proofErr w:type="spellStart"/>
      <w:r>
        <w:rPr>
          <w:rFonts w:ascii="Times New Roman" w:eastAsia="CIDFont+F1" w:hAnsi="Times New Roman" w:cs="Times New Roman"/>
          <w:sz w:val="28"/>
          <w:szCs w:val="28"/>
          <w:lang w:val="uk-UA"/>
        </w:rPr>
        <w:t>Baron</w:t>
      </w:r>
      <w:proofErr w:type="spellEnd"/>
      <w:r>
        <w:rPr>
          <w:rFonts w:ascii="Times New Roman" w:eastAsia="CIDFont+F1" w:hAnsi="Times New Roman" w:cs="Times New Roman"/>
          <w:sz w:val="28"/>
          <w:szCs w:val="28"/>
          <w:lang w:val="uk-UA"/>
        </w:rPr>
        <w:t xml:space="preserve"> R.M., </w:t>
      </w:r>
      <w:proofErr w:type="spellStart"/>
      <w:r>
        <w:rPr>
          <w:rFonts w:ascii="Times New Roman" w:eastAsia="CIDFont+F1" w:hAnsi="Times New Roman" w:cs="Times New Roman"/>
          <w:sz w:val="28"/>
          <w:szCs w:val="28"/>
          <w:lang w:val="uk-UA"/>
        </w:rPr>
        <w:t>Kenny</w:t>
      </w:r>
      <w:proofErr w:type="spellEnd"/>
      <w:r>
        <w:rPr>
          <w:rFonts w:ascii="Times New Roman" w:eastAsia="CIDFont+F1" w:hAnsi="Times New Roman" w:cs="Times New Roman"/>
          <w:sz w:val="28"/>
          <w:szCs w:val="28"/>
          <w:lang w:val="uk-UA"/>
        </w:rPr>
        <w:t xml:space="preserve"> D.</w:t>
      </w:r>
      <w:r w:rsidRPr="00E2067D">
        <w:rPr>
          <w:rFonts w:ascii="Times New Roman" w:eastAsia="CIDFont+F1" w:hAnsi="Times New Roman" w:cs="Times New Roman"/>
          <w:sz w:val="28"/>
          <w:szCs w:val="28"/>
          <w:lang w:val="uk-UA"/>
        </w:rPr>
        <w:t xml:space="preserve">A. </w:t>
      </w:r>
      <w:proofErr w:type="spellStart"/>
      <w:r w:rsidRPr="00E2067D">
        <w:rPr>
          <w:rFonts w:ascii="Times New Roman" w:eastAsia="CIDFont+F1" w:hAnsi="Times New Roman" w:cs="Times New Roman"/>
          <w:sz w:val="28"/>
          <w:szCs w:val="28"/>
          <w:lang w:val="uk-UA"/>
        </w:rPr>
        <w:t>The</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Moderator-Mediator</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Variable</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Distinction</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in</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Social</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Psychological</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Research</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Conceptual</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Strategic</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and</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Statistical</w:t>
      </w:r>
      <w:proofErr w:type="spellEnd"/>
      <w:r w:rsidRPr="00E2067D">
        <w:rPr>
          <w:rFonts w:ascii="Times New Roman" w:eastAsia="CIDFont+F1" w:hAnsi="Times New Roman" w:cs="Times New Roman"/>
          <w:sz w:val="28"/>
          <w:szCs w:val="28"/>
          <w:lang w:val="uk-UA"/>
        </w:rPr>
        <w:t xml:space="preserve"> </w:t>
      </w:r>
      <w:proofErr w:type="spellStart"/>
      <w:r w:rsidRPr="00E2067D">
        <w:rPr>
          <w:rFonts w:ascii="Times New Roman" w:eastAsia="CIDFont+F1" w:hAnsi="Times New Roman" w:cs="Times New Roman"/>
          <w:sz w:val="28"/>
          <w:szCs w:val="28"/>
          <w:lang w:val="uk-UA"/>
        </w:rPr>
        <w:t>Considerations</w:t>
      </w:r>
      <w:proofErr w:type="spellEnd"/>
      <w:r w:rsidRPr="00E2067D">
        <w:rPr>
          <w:rFonts w:ascii="Times New Roman" w:eastAsia="CIDFont+F1" w:hAnsi="Times New Roman" w:cs="Times New Roman"/>
          <w:sz w:val="28"/>
          <w:szCs w:val="28"/>
          <w:lang w:val="uk-UA"/>
        </w:rPr>
        <w:t xml:space="preserve">. </w:t>
      </w:r>
      <w:proofErr w:type="spellStart"/>
      <w:r w:rsidRPr="006B59F1">
        <w:rPr>
          <w:rFonts w:ascii="Times New Roman" w:eastAsia="CIDFont+F1" w:hAnsi="Times New Roman" w:cs="Times New Roman"/>
          <w:iCs/>
          <w:sz w:val="28"/>
          <w:szCs w:val="28"/>
          <w:lang w:val="uk-UA"/>
        </w:rPr>
        <w:t>Journal</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of</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Personality</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and</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Social</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Psychology</w:t>
      </w:r>
      <w:proofErr w:type="spellEnd"/>
      <w:r w:rsidRPr="006B59F1">
        <w:rPr>
          <w:rFonts w:ascii="Times New Roman" w:eastAsia="CIDFont+F1" w:hAnsi="Times New Roman" w:cs="Times New Roman"/>
          <w:iCs/>
          <w:sz w:val="28"/>
          <w:szCs w:val="28"/>
          <w:lang w:val="uk-UA"/>
        </w:rPr>
        <w:t>. 1986. № 51(6). Р. 1173-1182.</w:t>
      </w:r>
    </w:p>
    <w:p w14:paraId="054823AE" w14:textId="77777777" w:rsidR="00571B42" w:rsidRPr="005D1B01"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6B59F1">
        <w:rPr>
          <w:rFonts w:ascii="Times New Roman" w:eastAsia="CIDFont+F1" w:hAnsi="Times New Roman" w:cs="Times New Roman"/>
          <w:iCs/>
          <w:sz w:val="28"/>
          <w:szCs w:val="28"/>
          <w:lang w:val="uk-UA"/>
        </w:rPr>
        <w:t xml:space="preserve">163. </w:t>
      </w:r>
      <w:proofErr w:type="spellStart"/>
      <w:r w:rsidRPr="006B59F1">
        <w:rPr>
          <w:rFonts w:ascii="Times New Roman" w:eastAsia="CIDFont+F1" w:hAnsi="Times New Roman" w:cs="Times New Roman"/>
          <w:iCs/>
          <w:sz w:val="28"/>
          <w:szCs w:val="28"/>
          <w:lang w:val="uk-UA"/>
        </w:rPr>
        <w:t>Arnold</w:t>
      </w:r>
      <w:proofErr w:type="spellEnd"/>
      <w:r w:rsidRPr="006B59F1">
        <w:rPr>
          <w:rFonts w:ascii="Times New Roman" w:eastAsia="CIDFont+F1" w:hAnsi="Times New Roman" w:cs="Times New Roman"/>
          <w:iCs/>
          <w:sz w:val="28"/>
          <w:szCs w:val="28"/>
          <w:lang w:val="uk-UA"/>
        </w:rPr>
        <w:t xml:space="preserve"> J., </w:t>
      </w:r>
      <w:proofErr w:type="spellStart"/>
      <w:r w:rsidRPr="006B59F1">
        <w:rPr>
          <w:rFonts w:ascii="Times New Roman" w:eastAsia="CIDFont+F1" w:hAnsi="Times New Roman" w:cs="Times New Roman"/>
          <w:iCs/>
          <w:sz w:val="28"/>
          <w:szCs w:val="28"/>
          <w:lang w:val="uk-UA"/>
        </w:rPr>
        <w:t>Cohen</w:t>
      </w:r>
      <w:proofErr w:type="spellEnd"/>
      <w:r w:rsidRPr="006B59F1">
        <w:rPr>
          <w:rFonts w:ascii="Times New Roman" w:eastAsia="CIDFont+F1" w:hAnsi="Times New Roman" w:cs="Times New Roman"/>
          <w:iCs/>
          <w:sz w:val="28"/>
          <w:szCs w:val="28"/>
          <w:lang w:val="uk-UA"/>
        </w:rPr>
        <w:t xml:space="preserve"> L. </w:t>
      </w:r>
      <w:proofErr w:type="spellStart"/>
      <w:r w:rsidRPr="006B59F1">
        <w:rPr>
          <w:rFonts w:ascii="Times New Roman" w:eastAsia="CIDFont+F1" w:hAnsi="Times New Roman" w:cs="Times New Roman"/>
          <w:iCs/>
          <w:sz w:val="28"/>
          <w:szCs w:val="28"/>
          <w:lang w:val="uk-UA"/>
        </w:rPr>
        <w:t>The</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Psychology</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of</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Careers</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in</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Industrial</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and</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Organizational</w:t>
      </w:r>
      <w:proofErr w:type="spellEnd"/>
      <w:r w:rsidRPr="006B59F1">
        <w:rPr>
          <w:rFonts w:ascii="Times New Roman" w:eastAsia="CIDFont+F1" w:hAnsi="Times New Roman" w:cs="Times New Roman"/>
          <w:iCs/>
          <w:sz w:val="28"/>
          <w:szCs w:val="28"/>
          <w:lang w:val="en-US"/>
        </w:rPr>
        <w:t xml:space="preserve"> </w:t>
      </w:r>
      <w:proofErr w:type="spellStart"/>
      <w:r w:rsidRPr="006B59F1">
        <w:rPr>
          <w:rFonts w:ascii="Times New Roman" w:eastAsia="CIDFont+F1" w:hAnsi="Times New Roman" w:cs="Times New Roman"/>
          <w:iCs/>
          <w:sz w:val="28"/>
          <w:szCs w:val="28"/>
          <w:lang w:val="uk-UA"/>
        </w:rPr>
        <w:t>Settings</w:t>
      </w:r>
      <w:proofErr w:type="spellEnd"/>
      <w:r w:rsidRPr="006B59F1">
        <w:rPr>
          <w:rFonts w:ascii="Times New Roman" w:eastAsia="CIDFont+F1" w:hAnsi="Times New Roman" w:cs="Times New Roman"/>
          <w:iCs/>
          <w:sz w:val="28"/>
          <w:szCs w:val="28"/>
          <w:lang w:val="uk-UA"/>
        </w:rPr>
        <w:t xml:space="preserve">: A </w:t>
      </w:r>
      <w:proofErr w:type="spellStart"/>
      <w:r w:rsidRPr="006B59F1">
        <w:rPr>
          <w:rFonts w:ascii="Times New Roman" w:eastAsia="CIDFont+F1" w:hAnsi="Times New Roman" w:cs="Times New Roman"/>
          <w:iCs/>
          <w:sz w:val="28"/>
          <w:szCs w:val="28"/>
          <w:lang w:val="uk-UA"/>
        </w:rPr>
        <w:t>Critical</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but</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Appreciative</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Analysis</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International</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review</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of</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industrial</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and</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organizational</w:t>
      </w:r>
      <w:proofErr w:type="spellEnd"/>
      <w:r w:rsidRPr="006B59F1">
        <w:rPr>
          <w:rFonts w:ascii="Times New Roman" w:eastAsia="CIDFont+F1" w:hAnsi="Times New Roman" w:cs="Times New Roman"/>
          <w:iCs/>
          <w:sz w:val="28"/>
          <w:szCs w:val="28"/>
          <w:lang w:val="uk-UA"/>
        </w:rPr>
        <w:t xml:space="preserve"> </w:t>
      </w:r>
      <w:proofErr w:type="spellStart"/>
      <w:r w:rsidRPr="006B59F1">
        <w:rPr>
          <w:rFonts w:ascii="Times New Roman" w:eastAsia="CIDFont+F1" w:hAnsi="Times New Roman" w:cs="Times New Roman"/>
          <w:iCs/>
          <w:sz w:val="28"/>
          <w:szCs w:val="28"/>
          <w:lang w:val="uk-UA"/>
        </w:rPr>
        <w:t>psychology</w:t>
      </w:r>
      <w:proofErr w:type="spellEnd"/>
      <w:r w:rsidRPr="006B59F1">
        <w:rPr>
          <w:rFonts w:ascii="Times New Roman" w:eastAsia="CIDFont+F1" w:hAnsi="Times New Roman" w:cs="Times New Roman"/>
          <w:iCs/>
          <w:sz w:val="28"/>
          <w:szCs w:val="28"/>
          <w:lang w:val="uk-UA"/>
        </w:rPr>
        <w:t>.</w:t>
      </w:r>
      <w:r w:rsidRPr="00BF7746">
        <w:rPr>
          <w:rFonts w:ascii="Times New Roman" w:eastAsia="CIDFont+F1" w:hAnsi="Times New Roman" w:cs="Times New Roman"/>
          <w:sz w:val="28"/>
          <w:szCs w:val="28"/>
          <w:lang w:val="uk-UA"/>
        </w:rPr>
        <w:t xml:space="preserve"> 2008</w:t>
      </w:r>
      <w:r w:rsidRPr="005D1B01">
        <w:rPr>
          <w:rFonts w:ascii="Times New Roman" w:eastAsia="CIDFont+F1" w:hAnsi="Times New Roman" w:cs="Times New Roman"/>
          <w:sz w:val="28"/>
          <w:szCs w:val="28"/>
          <w:lang w:val="uk-UA"/>
        </w:rPr>
        <w:t>.</w:t>
      </w:r>
      <w:r w:rsidRPr="00BF7746">
        <w:rPr>
          <w:rFonts w:ascii="Times New Roman" w:eastAsia="CIDFont+F1" w:hAnsi="Times New Roman" w:cs="Times New Roman"/>
          <w:sz w:val="28"/>
          <w:szCs w:val="28"/>
          <w:lang w:val="uk-UA"/>
        </w:rPr>
        <w:t xml:space="preserve"> P. 1-44.</w:t>
      </w:r>
    </w:p>
    <w:p w14:paraId="3B8D7D17" w14:textId="24929F60" w:rsidR="00571B42" w:rsidRPr="00BF774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uk-UA"/>
        </w:rPr>
      </w:pPr>
      <w:r w:rsidRPr="005D1B01">
        <w:rPr>
          <w:rFonts w:ascii="Times New Roman" w:eastAsia="CIDFont+F1" w:hAnsi="Times New Roman" w:cs="Times New Roman"/>
          <w:sz w:val="28"/>
          <w:szCs w:val="28"/>
          <w:lang w:val="uk-UA"/>
        </w:rPr>
        <w:t xml:space="preserve">164. </w:t>
      </w:r>
      <w:r w:rsidRPr="00BF7746">
        <w:rPr>
          <w:rFonts w:ascii="Times New Roman" w:eastAsia="CIDFont+F1" w:hAnsi="Times New Roman" w:cs="Times New Roman"/>
          <w:sz w:val="28"/>
          <w:szCs w:val="28"/>
          <w:lang w:val="uk-UA"/>
        </w:rPr>
        <w:t>Економічні і соціально-трудові аспекти управління персоналом: теорія та практика: колективна монографія</w:t>
      </w:r>
      <w:r w:rsidR="006B59F1">
        <w:rPr>
          <w:rFonts w:ascii="Times New Roman" w:eastAsia="CIDFont+F1" w:hAnsi="Times New Roman" w:cs="Times New Roman"/>
          <w:sz w:val="28"/>
          <w:szCs w:val="28"/>
          <w:lang w:val="uk-UA"/>
        </w:rPr>
        <w:t>. З</w:t>
      </w:r>
      <w:r w:rsidRPr="00BF7746">
        <w:rPr>
          <w:rFonts w:ascii="Times New Roman" w:eastAsia="CIDFont+F1" w:hAnsi="Times New Roman" w:cs="Times New Roman"/>
          <w:sz w:val="28"/>
          <w:szCs w:val="28"/>
          <w:lang w:val="uk-UA"/>
        </w:rPr>
        <w:t xml:space="preserve">а </w:t>
      </w:r>
      <w:proofErr w:type="spellStart"/>
      <w:r w:rsidRPr="00BF7746">
        <w:rPr>
          <w:rFonts w:ascii="Times New Roman" w:eastAsia="CIDFont+F1" w:hAnsi="Times New Roman" w:cs="Times New Roman"/>
          <w:sz w:val="28"/>
          <w:szCs w:val="28"/>
          <w:lang w:val="uk-UA"/>
        </w:rPr>
        <w:t>заг</w:t>
      </w:r>
      <w:proofErr w:type="spellEnd"/>
      <w:r w:rsidRPr="00BF7746">
        <w:rPr>
          <w:rFonts w:ascii="Times New Roman" w:eastAsia="CIDFont+F1" w:hAnsi="Times New Roman" w:cs="Times New Roman"/>
          <w:sz w:val="28"/>
          <w:szCs w:val="28"/>
          <w:lang w:val="uk-UA"/>
        </w:rPr>
        <w:t xml:space="preserve">. ред. </w:t>
      </w:r>
      <w:r w:rsidR="006B59F1">
        <w:rPr>
          <w:rFonts w:ascii="Times New Roman" w:eastAsia="CIDFont+F1" w:hAnsi="Times New Roman" w:cs="Times New Roman"/>
          <w:sz w:val="28"/>
          <w:szCs w:val="28"/>
          <w:lang w:val="uk-UA"/>
        </w:rPr>
        <w:t>О. І</w:t>
      </w:r>
      <w:r w:rsidRPr="00BF7746">
        <w:rPr>
          <w:rFonts w:ascii="Times New Roman" w:eastAsia="CIDFont+F1" w:hAnsi="Times New Roman" w:cs="Times New Roman"/>
          <w:sz w:val="28"/>
          <w:szCs w:val="28"/>
          <w:lang w:val="uk-UA"/>
        </w:rPr>
        <w:t>. Драган. К.: Кафедра, 2017. 272 с.</w:t>
      </w:r>
    </w:p>
    <w:p w14:paraId="3E04AA04" w14:textId="77777777" w:rsidR="00571B42" w:rsidRPr="00BF7746" w:rsidRDefault="00571B42" w:rsidP="00571B42">
      <w:pPr>
        <w:autoSpaceDE w:val="0"/>
        <w:autoSpaceDN w:val="0"/>
        <w:adjustRightInd w:val="0"/>
        <w:spacing w:after="0" w:line="360" w:lineRule="auto"/>
        <w:ind w:firstLine="720"/>
        <w:jc w:val="both"/>
        <w:rPr>
          <w:rFonts w:ascii="Times New Roman" w:eastAsia="CIDFont+F1" w:hAnsi="Times New Roman" w:cs="Times New Roman"/>
          <w:sz w:val="28"/>
          <w:szCs w:val="28"/>
          <w:lang w:val="cs-CZ"/>
        </w:rPr>
      </w:pPr>
      <w:r w:rsidRPr="005D1B01">
        <w:rPr>
          <w:rFonts w:ascii="Times New Roman" w:eastAsia="CIDFont+F1" w:hAnsi="Times New Roman" w:cs="Times New Roman"/>
          <w:sz w:val="28"/>
          <w:szCs w:val="28"/>
          <w:lang w:val="en-US"/>
        </w:rPr>
        <w:t xml:space="preserve">165. </w:t>
      </w:r>
      <w:proofErr w:type="spellStart"/>
      <w:r>
        <w:rPr>
          <w:rFonts w:ascii="Times New Roman" w:eastAsia="CIDFont+F1" w:hAnsi="Times New Roman" w:cs="Times New Roman"/>
          <w:sz w:val="28"/>
          <w:szCs w:val="28"/>
          <w:lang w:val="uk-UA"/>
        </w:rPr>
        <w:t>Gerber</w:t>
      </w:r>
      <w:proofErr w:type="spellEnd"/>
      <w:r>
        <w:rPr>
          <w:rFonts w:ascii="Times New Roman" w:eastAsia="CIDFont+F1" w:hAnsi="Times New Roman" w:cs="Times New Roman"/>
          <w:sz w:val="28"/>
          <w:szCs w:val="28"/>
          <w:lang w:val="uk-UA"/>
        </w:rPr>
        <w:t xml:space="preserve"> M., </w:t>
      </w:r>
      <w:proofErr w:type="spellStart"/>
      <w:r>
        <w:rPr>
          <w:rFonts w:ascii="Times New Roman" w:eastAsia="CIDFont+F1" w:hAnsi="Times New Roman" w:cs="Times New Roman"/>
          <w:sz w:val="28"/>
          <w:szCs w:val="28"/>
          <w:lang w:val="uk-UA"/>
        </w:rPr>
        <w:t>Wittekind</w:t>
      </w:r>
      <w:proofErr w:type="spellEnd"/>
      <w:r>
        <w:rPr>
          <w:rFonts w:ascii="Times New Roman" w:eastAsia="CIDFont+F1" w:hAnsi="Times New Roman" w:cs="Times New Roman"/>
          <w:sz w:val="28"/>
          <w:szCs w:val="28"/>
          <w:lang w:val="uk-UA"/>
        </w:rPr>
        <w:t xml:space="preserve"> A., </w:t>
      </w:r>
      <w:proofErr w:type="spellStart"/>
      <w:r>
        <w:rPr>
          <w:rFonts w:ascii="Times New Roman" w:eastAsia="CIDFont+F1" w:hAnsi="Times New Roman" w:cs="Times New Roman"/>
          <w:sz w:val="28"/>
          <w:szCs w:val="28"/>
          <w:lang w:val="uk-UA"/>
        </w:rPr>
        <w:t>Grote</w:t>
      </w:r>
      <w:proofErr w:type="spellEnd"/>
      <w:r>
        <w:rPr>
          <w:rFonts w:ascii="Times New Roman" w:eastAsia="CIDFont+F1" w:hAnsi="Times New Roman" w:cs="Times New Roman"/>
          <w:sz w:val="28"/>
          <w:szCs w:val="28"/>
          <w:lang w:val="uk-UA"/>
        </w:rPr>
        <w:t xml:space="preserve"> G., </w:t>
      </w:r>
      <w:proofErr w:type="spellStart"/>
      <w:r>
        <w:rPr>
          <w:rFonts w:ascii="Times New Roman" w:eastAsia="CIDFont+F1" w:hAnsi="Times New Roman" w:cs="Times New Roman"/>
          <w:sz w:val="28"/>
          <w:szCs w:val="28"/>
          <w:lang w:val="uk-UA"/>
        </w:rPr>
        <w:t>Staffelbach</w:t>
      </w:r>
      <w:proofErr w:type="spellEnd"/>
      <w:r>
        <w:rPr>
          <w:rFonts w:ascii="Times New Roman" w:eastAsia="CIDFont+F1" w:hAnsi="Times New Roman" w:cs="Times New Roman"/>
          <w:sz w:val="28"/>
          <w:szCs w:val="28"/>
          <w:lang w:val="uk-UA"/>
        </w:rPr>
        <w:t xml:space="preserve"> B. </w:t>
      </w:r>
      <w:proofErr w:type="spellStart"/>
      <w:r>
        <w:rPr>
          <w:rFonts w:ascii="Times New Roman" w:eastAsia="CIDFont+F1" w:hAnsi="Times New Roman" w:cs="Times New Roman"/>
          <w:sz w:val="28"/>
          <w:szCs w:val="28"/>
          <w:lang w:val="uk-UA"/>
        </w:rPr>
        <w:t>Exploring</w:t>
      </w:r>
      <w:proofErr w:type="spellEnd"/>
      <w:r>
        <w:rPr>
          <w:rFonts w:ascii="Times New Roman" w:eastAsia="CIDFont+F1" w:hAnsi="Times New Roman" w:cs="Times New Roman"/>
          <w:sz w:val="28"/>
          <w:szCs w:val="28"/>
          <w:lang w:val="uk-UA"/>
        </w:rPr>
        <w:t xml:space="preserve"> </w:t>
      </w:r>
      <w:proofErr w:type="spellStart"/>
      <w:r>
        <w:rPr>
          <w:rFonts w:ascii="Times New Roman" w:eastAsia="CIDFont+F1" w:hAnsi="Times New Roman" w:cs="Times New Roman"/>
          <w:sz w:val="28"/>
          <w:szCs w:val="28"/>
          <w:lang w:val="uk-UA"/>
        </w:rPr>
        <w:t>Types</w:t>
      </w:r>
      <w:proofErr w:type="spellEnd"/>
      <w:r>
        <w:rPr>
          <w:rFonts w:ascii="Times New Roman" w:eastAsia="CIDFont+F1" w:hAnsi="Times New Roman" w:cs="Times New Roman"/>
          <w:sz w:val="28"/>
          <w:szCs w:val="28"/>
          <w:lang w:val="uk-UA"/>
        </w:rPr>
        <w:t xml:space="preserve"> </w:t>
      </w:r>
      <w:proofErr w:type="spellStart"/>
      <w:r>
        <w:rPr>
          <w:rFonts w:ascii="Times New Roman" w:eastAsia="CIDFont+F1" w:hAnsi="Times New Roman" w:cs="Times New Roman"/>
          <w:sz w:val="28"/>
          <w:szCs w:val="28"/>
          <w:lang w:val="uk-UA"/>
        </w:rPr>
        <w:t>of</w:t>
      </w:r>
      <w:proofErr w:type="spellEnd"/>
      <w:r>
        <w:rPr>
          <w:rFonts w:ascii="Times New Roman" w:eastAsia="CIDFont+F1" w:hAnsi="Times New Roman" w:cs="Times New Roman"/>
          <w:sz w:val="28"/>
          <w:szCs w:val="28"/>
          <w:lang w:val="uk-UA"/>
        </w:rPr>
        <w:t xml:space="preserve"> </w:t>
      </w:r>
      <w:proofErr w:type="spellStart"/>
      <w:r>
        <w:rPr>
          <w:rFonts w:ascii="Times New Roman" w:eastAsia="CIDFont+F1" w:hAnsi="Times New Roman" w:cs="Times New Roman"/>
          <w:sz w:val="28"/>
          <w:szCs w:val="28"/>
          <w:lang w:val="uk-UA"/>
        </w:rPr>
        <w:t>Career</w:t>
      </w:r>
      <w:proofErr w:type="spellEnd"/>
      <w:r w:rsidRPr="005D1B01">
        <w:rPr>
          <w:rFonts w:ascii="Times New Roman" w:eastAsia="CIDFont+F1" w:hAnsi="Times New Roman" w:cs="Times New Roman"/>
          <w:sz w:val="28"/>
          <w:szCs w:val="28"/>
          <w:lang w:val="en-US"/>
        </w:rPr>
        <w:t xml:space="preserve"> </w:t>
      </w:r>
      <w:proofErr w:type="spellStart"/>
      <w:r w:rsidRPr="00BF7746">
        <w:rPr>
          <w:rFonts w:ascii="Times New Roman" w:eastAsia="CIDFont+F1" w:hAnsi="Times New Roman" w:cs="Times New Roman"/>
          <w:sz w:val="28"/>
          <w:szCs w:val="28"/>
          <w:lang w:val="uk-UA"/>
        </w:rPr>
        <w:t>Orientation</w:t>
      </w:r>
      <w:proofErr w:type="spellEnd"/>
      <w:r w:rsidRPr="00BF7746">
        <w:rPr>
          <w:rFonts w:ascii="Times New Roman" w:eastAsia="CIDFont+F1" w:hAnsi="Times New Roman" w:cs="Times New Roman"/>
          <w:sz w:val="28"/>
          <w:szCs w:val="28"/>
          <w:lang w:val="uk-UA"/>
        </w:rPr>
        <w:t xml:space="preserve">: A </w:t>
      </w:r>
      <w:proofErr w:type="spellStart"/>
      <w:r w:rsidRPr="00BF7746">
        <w:rPr>
          <w:rFonts w:ascii="Times New Roman" w:eastAsia="CIDFont+F1" w:hAnsi="Times New Roman" w:cs="Times New Roman"/>
          <w:sz w:val="28"/>
          <w:szCs w:val="28"/>
          <w:lang w:val="uk-UA"/>
        </w:rPr>
        <w:t>Latent</w:t>
      </w:r>
      <w:proofErr w:type="spellEnd"/>
      <w:r w:rsidRPr="00BF7746">
        <w:rPr>
          <w:rFonts w:ascii="Times New Roman" w:eastAsia="CIDFont+F1" w:hAnsi="Times New Roman" w:cs="Times New Roman"/>
          <w:sz w:val="28"/>
          <w:szCs w:val="28"/>
          <w:lang w:val="uk-UA"/>
        </w:rPr>
        <w:t xml:space="preserve"> </w:t>
      </w:r>
      <w:proofErr w:type="spellStart"/>
      <w:r w:rsidRPr="00BF7746">
        <w:rPr>
          <w:rFonts w:ascii="Times New Roman" w:eastAsia="CIDFont+F1" w:hAnsi="Times New Roman" w:cs="Times New Roman"/>
          <w:sz w:val="28"/>
          <w:szCs w:val="28"/>
          <w:lang w:val="uk-UA"/>
        </w:rPr>
        <w:t>Class</w:t>
      </w:r>
      <w:proofErr w:type="spellEnd"/>
      <w:r w:rsidRPr="00BF7746">
        <w:rPr>
          <w:rFonts w:ascii="Times New Roman" w:eastAsia="CIDFont+F1" w:hAnsi="Times New Roman" w:cs="Times New Roman"/>
          <w:sz w:val="28"/>
          <w:szCs w:val="28"/>
          <w:lang w:val="uk-UA"/>
        </w:rPr>
        <w:t xml:space="preserve"> </w:t>
      </w:r>
      <w:proofErr w:type="spellStart"/>
      <w:r w:rsidRPr="00BF7746">
        <w:rPr>
          <w:rFonts w:ascii="Times New Roman" w:eastAsia="CIDFont+F1" w:hAnsi="Times New Roman" w:cs="Times New Roman"/>
          <w:sz w:val="28"/>
          <w:szCs w:val="28"/>
          <w:lang w:val="uk-UA"/>
        </w:rPr>
        <w:t>Analysis</w:t>
      </w:r>
      <w:proofErr w:type="spellEnd"/>
      <w:r w:rsidRPr="00BF7746">
        <w:rPr>
          <w:rFonts w:ascii="Times New Roman" w:eastAsia="CIDFont+F1" w:hAnsi="Times New Roman" w:cs="Times New Roman"/>
          <w:sz w:val="28"/>
          <w:szCs w:val="28"/>
          <w:lang w:val="uk-UA"/>
        </w:rPr>
        <w:t xml:space="preserve"> </w:t>
      </w:r>
      <w:proofErr w:type="spellStart"/>
      <w:r w:rsidRPr="00BF7746">
        <w:rPr>
          <w:rFonts w:ascii="Times New Roman" w:eastAsia="CIDFont+F1" w:hAnsi="Times New Roman" w:cs="Times New Roman"/>
          <w:sz w:val="28"/>
          <w:szCs w:val="28"/>
          <w:lang w:val="uk-UA"/>
        </w:rPr>
        <w:t>Approach</w:t>
      </w:r>
      <w:proofErr w:type="spellEnd"/>
      <w:r>
        <w:rPr>
          <w:rFonts w:ascii="Times New Roman" w:eastAsia="CIDFont+F1" w:hAnsi="Times New Roman" w:cs="Times New Roman"/>
          <w:sz w:val="28"/>
          <w:szCs w:val="28"/>
          <w:lang w:val="uk-UA"/>
        </w:rPr>
        <w:t>.</w:t>
      </w:r>
      <w:r w:rsidRPr="00BF7746">
        <w:rPr>
          <w:rFonts w:ascii="Times New Roman" w:eastAsia="CIDFont+F1" w:hAnsi="Times New Roman" w:cs="Times New Roman"/>
          <w:sz w:val="28"/>
          <w:szCs w:val="28"/>
          <w:lang w:val="uk-UA"/>
        </w:rPr>
        <w:t xml:space="preserve"> </w:t>
      </w:r>
      <w:proofErr w:type="spellStart"/>
      <w:r w:rsidRPr="00BF7746">
        <w:rPr>
          <w:rFonts w:ascii="Times New Roman" w:eastAsia="CIDFont+F1" w:hAnsi="Times New Roman" w:cs="Times New Roman"/>
          <w:sz w:val="28"/>
          <w:szCs w:val="28"/>
          <w:lang w:val="uk-UA"/>
        </w:rPr>
        <w:t>Journal</w:t>
      </w:r>
      <w:proofErr w:type="spellEnd"/>
      <w:r w:rsidRPr="00BF7746">
        <w:rPr>
          <w:rFonts w:ascii="Times New Roman" w:eastAsia="CIDFont+F1" w:hAnsi="Times New Roman" w:cs="Times New Roman"/>
          <w:sz w:val="28"/>
          <w:szCs w:val="28"/>
          <w:lang w:val="uk-UA"/>
        </w:rPr>
        <w:t xml:space="preserve"> </w:t>
      </w:r>
      <w:proofErr w:type="spellStart"/>
      <w:r w:rsidRPr="00BF7746">
        <w:rPr>
          <w:rFonts w:ascii="Times New Roman" w:eastAsia="CIDFont+F1" w:hAnsi="Times New Roman" w:cs="Times New Roman"/>
          <w:sz w:val="28"/>
          <w:szCs w:val="28"/>
          <w:lang w:val="uk-UA"/>
        </w:rPr>
        <w:t>of</w:t>
      </w:r>
      <w:proofErr w:type="spellEnd"/>
      <w:r w:rsidRPr="00BF7746">
        <w:rPr>
          <w:rFonts w:ascii="Times New Roman" w:eastAsia="CIDFont+F1" w:hAnsi="Times New Roman" w:cs="Times New Roman"/>
          <w:sz w:val="28"/>
          <w:szCs w:val="28"/>
          <w:lang w:val="uk-UA"/>
        </w:rPr>
        <w:t xml:space="preserve"> </w:t>
      </w:r>
      <w:proofErr w:type="spellStart"/>
      <w:r w:rsidRPr="00BF7746">
        <w:rPr>
          <w:rFonts w:ascii="Times New Roman" w:eastAsia="CIDFont+F1" w:hAnsi="Times New Roman" w:cs="Times New Roman"/>
          <w:sz w:val="28"/>
          <w:szCs w:val="28"/>
          <w:lang w:val="uk-UA"/>
        </w:rPr>
        <w:t>Vocational</w:t>
      </w:r>
      <w:proofErr w:type="spellEnd"/>
      <w:r w:rsidRPr="00BF7746">
        <w:rPr>
          <w:rFonts w:ascii="Times New Roman" w:eastAsia="CIDFont+F1" w:hAnsi="Times New Roman" w:cs="Times New Roman"/>
          <w:sz w:val="28"/>
          <w:szCs w:val="28"/>
          <w:lang w:val="uk-UA"/>
        </w:rPr>
        <w:t xml:space="preserve"> </w:t>
      </w:r>
      <w:proofErr w:type="spellStart"/>
      <w:r w:rsidRPr="00BF7746">
        <w:rPr>
          <w:rFonts w:ascii="Times New Roman" w:eastAsia="CIDFont+F1" w:hAnsi="Times New Roman" w:cs="Times New Roman"/>
          <w:sz w:val="28"/>
          <w:szCs w:val="28"/>
          <w:lang w:val="uk-UA"/>
        </w:rPr>
        <w:t>Behavior</w:t>
      </w:r>
      <w:proofErr w:type="spellEnd"/>
      <w:r>
        <w:rPr>
          <w:rFonts w:ascii="Times New Roman" w:eastAsia="CIDFont+F1" w:hAnsi="Times New Roman" w:cs="Times New Roman"/>
          <w:sz w:val="28"/>
          <w:szCs w:val="28"/>
          <w:lang w:val="uk-UA"/>
        </w:rPr>
        <w:t>.</w:t>
      </w:r>
      <w:r w:rsidRPr="00BF7746">
        <w:rPr>
          <w:rFonts w:ascii="Times New Roman" w:eastAsia="CIDFont+F1" w:hAnsi="Times New Roman" w:cs="Times New Roman"/>
          <w:sz w:val="28"/>
          <w:szCs w:val="28"/>
          <w:lang w:val="uk-UA"/>
        </w:rPr>
        <w:t xml:space="preserve"> 20</w:t>
      </w:r>
      <w:r w:rsidRPr="005D1B01">
        <w:rPr>
          <w:rFonts w:ascii="Times New Roman" w:eastAsia="CIDFont+F1" w:hAnsi="Times New Roman" w:cs="Times New Roman"/>
          <w:sz w:val="28"/>
          <w:szCs w:val="28"/>
          <w:lang w:val="en-US"/>
        </w:rPr>
        <w:t>1</w:t>
      </w:r>
      <w:r w:rsidRPr="00BF7746">
        <w:rPr>
          <w:rFonts w:ascii="Times New Roman" w:eastAsia="CIDFont+F1" w:hAnsi="Times New Roman" w:cs="Times New Roman"/>
          <w:sz w:val="28"/>
          <w:szCs w:val="28"/>
          <w:lang w:val="uk-UA"/>
        </w:rPr>
        <w:t>9</w:t>
      </w:r>
      <w:r w:rsidRPr="005D1B01">
        <w:rPr>
          <w:rFonts w:ascii="Times New Roman" w:eastAsia="CIDFont+F1" w:hAnsi="Times New Roman" w:cs="Times New Roman"/>
          <w:sz w:val="28"/>
          <w:szCs w:val="28"/>
          <w:lang w:val="en-US"/>
        </w:rPr>
        <w:t xml:space="preserve">. № </w:t>
      </w:r>
      <w:r>
        <w:rPr>
          <w:rFonts w:ascii="Times New Roman" w:eastAsia="CIDFont+F1" w:hAnsi="Times New Roman" w:cs="Times New Roman"/>
          <w:sz w:val="28"/>
          <w:szCs w:val="28"/>
          <w:lang w:val="uk-UA"/>
        </w:rPr>
        <w:t xml:space="preserve">75(3). P. </w:t>
      </w:r>
      <w:r w:rsidRPr="00BF7746">
        <w:rPr>
          <w:rFonts w:ascii="Times New Roman" w:eastAsia="CIDFont+F1" w:hAnsi="Times New Roman" w:cs="Times New Roman"/>
          <w:sz w:val="28"/>
          <w:szCs w:val="28"/>
          <w:lang w:val="uk-UA"/>
        </w:rPr>
        <w:t>303-318.</w:t>
      </w:r>
      <w:r w:rsidRPr="005D1B01">
        <w:rPr>
          <w:rFonts w:ascii="Times New Roman" w:eastAsia="CIDFont+F1" w:hAnsi="Times New Roman" w:cs="Times New Roman"/>
          <w:sz w:val="28"/>
          <w:szCs w:val="28"/>
          <w:lang w:val="en-US"/>
        </w:rPr>
        <w:t xml:space="preserve"> </w:t>
      </w:r>
    </w:p>
    <w:p w14:paraId="53FB3A29" w14:textId="77777777" w:rsidR="00571B42" w:rsidRPr="005D1B0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5D1B01">
        <w:rPr>
          <w:rFonts w:ascii="Times New Roman" w:hAnsi="Times New Roman" w:cs="Times New Roman"/>
          <w:sz w:val="28"/>
          <w:szCs w:val="28"/>
          <w:lang w:val="en-US"/>
        </w:rPr>
        <w:t xml:space="preserve">166. Brown P., </w:t>
      </w:r>
      <w:proofErr w:type="spellStart"/>
      <w:r w:rsidRPr="005D1B01">
        <w:rPr>
          <w:rFonts w:ascii="Times New Roman" w:hAnsi="Times New Roman" w:cs="Times New Roman"/>
          <w:sz w:val="28"/>
          <w:szCs w:val="28"/>
          <w:lang w:val="en-US"/>
        </w:rPr>
        <w:t>Heskolh</w:t>
      </w:r>
      <w:proofErr w:type="spellEnd"/>
      <w:r w:rsidRPr="005D1B01">
        <w:rPr>
          <w:rFonts w:ascii="Times New Roman" w:hAnsi="Times New Roman" w:cs="Times New Roman"/>
          <w:sz w:val="28"/>
          <w:szCs w:val="28"/>
          <w:lang w:val="en-US"/>
        </w:rPr>
        <w:t xml:space="preserve"> A., William S. The Mismanagement of talent. Employability </w:t>
      </w:r>
      <w:proofErr w:type="gramStart"/>
      <w:r w:rsidRPr="005D1B01">
        <w:rPr>
          <w:rFonts w:ascii="Times New Roman" w:hAnsi="Times New Roman" w:cs="Times New Roman"/>
          <w:sz w:val="28"/>
          <w:szCs w:val="28"/>
          <w:lang w:val="en-US"/>
        </w:rPr>
        <w:t>And</w:t>
      </w:r>
      <w:proofErr w:type="gramEnd"/>
      <w:r w:rsidRPr="005D1B01">
        <w:rPr>
          <w:rFonts w:ascii="Times New Roman" w:hAnsi="Times New Roman" w:cs="Times New Roman"/>
          <w:sz w:val="28"/>
          <w:szCs w:val="28"/>
          <w:lang w:val="en-US"/>
        </w:rPr>
        <w:t xml:space="preserve"> Jobs in The Knowledge Economy. </w:t>
      </w:r>
      <w:r w:rsidRPr="006B59F1">
        <w:rPr>
          <w:rFonts w:ascii="Times New Roman" w:hAnsi="Times New Roman" w:cs="Times New Roman"/>
          <w:iCs/>
          <w:sz w:val="28"/>
          <w:szCs w:val="28"/>
          <w:lang w:val="en-US"/>
        </w:rPr>
        <w:t>Oxford University Press.</w:t>
      </w:r>
      <w:r w:rsidRPr="005D1B01">
        <w:rPr>
          <w:rFonts w:ascii="Times New Roman" w:hAnsi="Times New Roman" w:cs="Times New Roman"/>
          <w:sz w:val="28"/>
          <w:szCs w:val="28"/>
          <w:lang w:val="en-US"/>
        </w:rPr>
        <w:t xml:space="preserve"> Oxford. 2014. P. 65-90.</w:t>
      </w:r>
    </w:p>
    <w:p w14:paraId="67F32782" w14:textId="77777777" w:rsidR="00571B42" w:rsidRPr="006B59F1" w:rsidRDefault="00571B42" w:rsidP="00571B42">
      <w:pPr>
        <w:spacing w:after="0" w:line="360" w:lineRule="auto"/>
        <w:ind w:firstLine="720"/>
        <w:jc w:val="both"/>
        <w:rPr>
          <w:rFonts w:ascii="Times New Roman" w:hAnsi="Times New Roman" w:cs="Times New Roman"/>
          <w:iCs/>
          <w:sz w:val="28"/>
          <w:szCs w:val="28"/>
          <w:lang w:val="en-US"/>
        </w:rPr>
      </w:pPr>
      <w:r w:rsidRPr="005D1B01">
        <w:rPr>
          <w:rFonts w:ascii="Times New Roman" w:hAnsi="Times New Roman" w:cs="Times New Roman"/>
          <w:sz w:val="28"/>
          <w:szCs w:val="28"/>
          <w:lang w:val="en-US"/>
        </w:rPr>
        <w:t xml:space="preserve">167. Talent and Talent Management Insights. Defining Talent and Talent Management. </w:t>
      </w:r>
      <w:r w:rsidRPr="006B59F1">
        <w:rPr>
          <w:rFonts w:ascii="Times New Roman" w:hAnsi="Times New Roman" w:cs="Times New Roman"/>
          <w:iCs/>
          <w:sz w:val="28"/>
          <w:szCs w:val="28"/>
          <w:lang w:val="en-US"/>
        </w:rPr>
        <w:t xml:space="preserve">NHS Leadership Academy. 2014. 22 p. </w:t>
      </w:r>
    </w:p>
    <w:p w14:paraId="763FA6A7"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iCs/>
          <w:sz w:val="28"/>
          <w:szCs w:val="28"/>
          <w:lang w:val="en-US"/>
        </w:rPr>
      </w:pPr>
      <w:r w:rsidRPr="006B59F1">
        <w:rPr>
          <w:rFonts w:ascii="Times New Roman" w:hAnsi="Times New Roman" w:cs="Times New Roman"/>
          <w:iCs/>
          <w:sz w:val="28"/>
          <w:szCs w:val="28"/>
          <w:lang w:val="en-US"/>
        </w:rPr>
        <w:t xml:space="preserve">168. Jablonski M. </w:t>
      </w:r>
      <w:proofErr w:type="spellStart"/>
      <w:r w:rsidRPr="006B59F1">
        <w:rPr>
          <w:rFonts w:ascii="Times New Roman" w:hAnsi="Times New Roman" w:cs="Times New Roman"/>
          <w:iCs/>
          <w:sz w:val="28"/>
          <w:szCs w:val="28"/>
          <w:lang w:val="en-US"/>
        </w:rPr>
        <w:t>Istota</w:t>
      </w:r>
      <w:proofErr w:type="spellEnd"/>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lang w:val="en-US"/>
        </w:rPr>
        <w:t>funkcje</w:t>
      </w:r>
      <w:proofErr w:type="spellEnd"/>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lang w:val="en-US"/>
        </w:rPr>
        <w:t>i</w:t>
      </w:r>
      <w:proofErr w:type="spellEnd"/>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lang w:val="en-US"/>
        </w:rPr>
        <w:t>praktyki</w:t>
      </w:r>
      <w:proofErr w:type="spellEnd"/>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lang w:val="en-US"/>
        </w:rPr>
        <w:t>zarządzania</w:t>
      </w:r>
      <w:proofErr w:type="spellEnd"/>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lang w:val="en-US"/>
        </w:rPr>
        <w:t>talentami</w:t>
      </w:r>
      <w:proofErr w:type="spellEnd"/>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lang w:val="en-US"/>
        </w:rPr>
        <w:t>pracowniczymi</w:t>
      </w:r>
      <w:proofErr w:type="spellEnd"/>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lang w:val="en-US"/>
        </w:rPr>
        <w:t>Zeszyty</w:t>
      </w:r>
      <w:proofErr w:type="spellEnd"/>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lang w:val="en-US"/>
        </w:rPr>
        <w:t>Naukowe</w:t>
      </w:r>
      <w:proofErr w:type="spellEnd"/>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lang w:val="en-US"/>
        </w:rPr>
        <w:t>Wyższej</w:t>
      </w:r>
      <w:proofErr w:type="spellEnd"/>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lang w:val="en-US"/>
        </w:rPr>
        <w:t>Szkoły</w:t>
      </w:r>
      <w:proofErr w:type="spellEnd"/>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lang w:val="en-US"/>
        </w:rPr>
        <w:t>Bankowej</w:t>
      </w:r>
      <w:proofErr w:type="spellEnd"/>
      <w:r w:rsidRPr="006B59F1">
        <w:rPr>
          <w:rFonts w:ascii="Times New Roman" w:hAnsi="Times New Roman" w:cs="Times New Roman"/>
          <w:iCs/>
          <w:sz w:val="28"/>
          <w:szCs w:val="28"/>
          <w:lang w:val="en-US"/>
        </w:rPr>
        <w:t xml:space="preserve"> w </w:t>
      </w:r>
      <w:proofErr w:type="spellStart"/>
      <w:r w:rsidRPr="006B59F1">
        <w:rPr>
          <w:rFonts w:ascii="Times New Roman" w:hAnsi="Times New Roman" w:cs="Times New Roman"/>
          <w:iCs/>
          <w:sz w:val="28"/>
          <w:szCs w:val="28"/>
          <w:lang w:val="en-US"/>
        </w:rPr>
        <w:t>Poznaniu</w:t>
      </w:r>
      <w:proofErr w:type="spellEnd"/>
      <w:r w:rsidRPr="006B59F1">
        <w:rPr>
          <w:rFonts w:ascii="Times New Roman" w:hAnsi="Times New Roman" w:cs="Times New Roman"/>
          <w:iCs/>
          <w:sz w:val="28"/>
          <w:szCs w:val="28"/>
          <w:lang w:val="en-US"/>
        </w:rPr>
        <w:t>. 2015. № 60 (3). P. 31-48.</w:t>
      </w:r>
    </w:p>
    <w:p w14:paraId="02E93B40"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iCs/>
          <w:sz w:val="28"/>
          <w:szCs w:val="28"/>
          <w:lang w:val="en-US"/>
        </w:rPr>
      </w:pPr>
      <w:r w:rsidRPr="006B59F1">
        <w:rPr>
          <w:rFonts w:ascii="Times New Roman" w:hAnsi="Times New Roman" w:cs="Times New Roman"/>
          <w:bCs/>
          <w:iCs/>
          <w:sz w:val="28"/>
          <w:szCs w:val="28"/>
          <w:lang w:val="en-US"/>
        </w:rPr>
        <w:t xml:space="preserve">169. </w:t>
      </w:r>
      <w:r w:rsidRPr="006B59F1">
        <w:rPr>
          <w:rFonts w:ascii="Times New Roman" w:hAnsi="Times New Roman"/>
          <w:bCs/>
          <w:iCs/>
          <w:sz w:val="28"/>
          <w:szCs w:val="28"/>
          <w:lang w:val="en-US"/>
        </w:rPr>
        <w:t xml:space="preserve">The Top 10 Richest People </w:t>
      </w:r>
      <w:proofErr w:type="gramStart"/>
      <w:r w:rsidRPr="006B59F1">
        <w:rPr>
          <w:rFonts w:ascii="Times New Roman" w:hAnsi="Times New Roman"/>
          <w:bCs/>
          <w:iCs/>
          <w:sz w:val="28"/>
          <w:szCs w:val="28"/>
          <w:lang w:val="en-US"/>
        </w:rPr>
        <w:t>In</w:t>
      </w:r>
      <w:proofErr w:type="gramEnd"/>
      <w:r w:rsidRPr="006B59F1">
        <w:rPr>
          <w:rFonts w:ascii="Times New Roman" w:hAnsi="Times New Roman"/>
          <w:bCs/>
          <w:iCs/>
          <w:sz w:val="28"/>
          <w:szCs w:val="28"/>
          <w:lang w:val="en-US"/>
        </w:rPr>
        <w:t xml:space="preserve"> The World (March 2024)</w:t>
      </w:r>
      <w:r w:rsidRPr="006B59F1">
        <w:rPr>
          <w:rFonts w:ascii="Times New Roman" w:hAnsi="Times New Roman" w:cs="Times New Roman"/>
          <w:iCs/>
          <w:sz w:val="28"/>
          <w:szCs w:val="28"/>
          <w:lang w:val="en-US"/>
        </w:rPr>
        <w:t>. Forbes. URL: https://www.forbes.com/sites/forbeswealthteam/article/the-top-ten-richest-people-in-the-world/ (</w:t>
      </w:r>
      <w:r w:rsidRPr="006B59F1">
        <w:rPr>
          <w:rFonts w:ascii="Times New Roman" w:hAnsi="Times New Roman" w:cs="Times New Roman"/>
          <w:iCs/>
          <w:sz w:val="28"/>
          <w:szCs w:val="28"/>
        </w:rPr>
        <w:t>дата</w:t>
      </w:r>
      <w:r w:rsidRPr="006B59F1">
        <w:rPr>
          <w:rFonts w:ascii="Times New Roman" w:hAnsi="Times New Roman" w:cs="Times New Roman"/>
          <w:iCs/>
          <w:sz w:val="28"/>
          <w:szCs w:val="28"/>
          <w:lang w:val="en-US"/>
        </w:rPr>
        <w:t xml:space="preserve"> </w:t>
      </w:r>
      <w:proofErr w:type="spellStart"/>
      <w:r w:rsidRPr="006B59F1">
        <w:rPr>
          <w:rFonts w:ascii="Times New Roman" w:hAnsi="Times New Roman" w:cs="Times New Roman"/>
          <w:iCs/>
          <w:sz w:val="28"/>
          <w:szCs w:val="28"/>
        </w:rPr>
        <w:t>звернення</w:t>
      </w:r>
      <w:proofErr w:type="spellEnd"/>
      <w:r w:rsidRPr="006B59F1">
        <w:rPr>
          <w:rFonts w:ascii="Times New Roman" w:hAnsi="Times New Roman" w:cs="Times New Roman"/>
          <w:iCs/>
          <w:sz w:val="28"/>
          <w:szCs w:val="28"/>
          <w:lang w:val="en-US"/>
        </w:rPr>
        <w:t>: 12.02.2024).</w:t>
      </w:r>
    </w:p>
    <w:p w14:paraId="6083518F" w14:textId="77777777" w:rsidR="006B59F1" w:rsidRDefault="00571B42" w:rsidP="006B59F1">
      <w:pPr>
        <w:spacing w:after="0" w:line="360" w:lineRule="auto"/>
        <w:ind w:firstLine="720"/>
        <w:jc w:val="both"/>
        <w:rPr>
          <w:rFonts w:ascii="Times New Roman" w:hAnsi="Times New Roman" w:cs="Times New Roman"/>
          <w:iCs/>
          <w:sz w:val="28"/>
          <w:szCs w:val="28"/>
          <w:lang w:val="en-US"/>
        </w:rPr>
      </w:pPr>
      <w:r w:rsidRPr="006B59F1">
        <w:rPr>
          <w:rFonts w:ascii="Times New Roman" w:hAnsi="Times New Roman" w:cs="Times New Roman"/>
          <w:iCs/>
          <w:sz w:val="28"/>
          <w:szCs w:val="28"/>
          <w:lang w:val="en-US"/>
        </w:rPr>
        <w:t xml:space="preserve">170. </w:t>
      </w:r>
      <w:proofErr w:type="spellStart"/>
      <w:r w:rsidRPr="006B59F1">
        <w:rPr>
          <w:rFonts w:ascii="Times New Roman" w:hAnsi="Times New Roman" w:cs="Times New Roman"/>
          <w:iCs/>
          <w:sz w:val="28"/>
          <w:szCs w:val="28"/>
          <w:lang w:val="en-US"/>
        </w:rPr>
        <w:t>Balcerzyk</w:t>
      </w:r>
      <w:proofErr w:type="spellEnd"/>
      <w:r w:rsidRPr="006B59F1">
        <w:rPr>
          <w:rFonts w:ascii="Times New Roman" w:hAnsi="Times New Roman" w:cs="Times New Roman"/>
          <w:iCs/>
          <w:sz w:val="28"/>
          <w:szCs w:val="28"/>
          <w:lang w:val="en-US"/>
        </w:rPr>
        <w:t xml:space="preserve"> R., </w:t>
      </w:r>
      <w:proofErr w:type="spellStart"/>
      <w:r w:rsidRPr="006B59F1">
        <w:rPr>
          <w:rFonts w:ascii="Times New Roman" w:hAnsi="Times New Roman" w:cs="Times New Roman"/>
          <w:iCs/>
          <w:sz w:val="28"/>
          <w:szCs w:val="28"/>
          <w:lang w:val="en-US"/>
        </w:rPr>
        <w:t>Materac</w:t>
      </w:r>
      <w:proofErr w:type="spellEnd"/>
      <w:r w:rsidRPr="006B59F1">
        <w:rPr>
          <w:rFonts w:ascii="Times New Roman" w:hAnsi="Times New Roman" w:cs="Times New Roman"/>
          <w:iCs/>
          <w:sz w:val="28"/>
          <w:szCs w:val="28"/>
          <w:lang w:val="en-US"/>
        </w:rPr>
        <w:t xml:space="preserve"> J. Talent management as a concept of human capital management. Scientific Papers of Silesian University of Technology. Organization and Management Series. 2019. </w:t>
      </w:r>
      <w:r w:rsidRPr="006B59F1">
        <w:rPr>
          <w:rFonts w:ascii="Times New Roman" w:hAnsi="Times New Roman" w:cs="Times New Roman"/>
          <w:iCs/>
          <w:sz w:val="28"/>
          <w:szCs w:val="28"/>
        </w:rPr>
        <w:t>Р</w:t>
      </w:r>
      <w:r w:rsidRPr="006B59F1">
        <w:rPr>
          <w:rFonts w:ascii="Times New Roman" w:hAnsi="Times New Roman" w:cs="Times New Roman"/>
          <w:iCs/>
          <w:sz w:val="28"/>
          <w:szCs w:val="28"/>
          <w:lang w:val="en-US"/>
        </w:rPr>
        <w:t xml:space="preserve">. 7-18. </w:t>
      </w:r>
      <w:r w:rsidRPr="006B59F1">
        <w:rPr>
          <w:rFonts w:ascii="Times New Roman" w:hAnsi="Times New Roman" w:cs="Times New Roman"/>
          <w:iCs/>
          <w:color w:val="000000" w:themeColor="text1"/>
          <w:sz w:val="28"/>
          <w:szCs w:val="28"/>
          <w:lang w:val="en-US"/>
        </w:rPr>
        <w:t>DOI: https://doi.org/</w:t>
      </w:r>
      <w:r w:rsidRPr="006B59F1">
        <w:rPr>
          <w:rFonts w:ascii="Times New Roman" w:hAnsi="Times New Roman" w:cs="Times New Roman"/>
          <w:iCs/>
          <w:sz w:val="28"/>
          <w:szCs w:val="28"/>
          <w:lang w:val="en-US"/>
        </w:rPr>
        <w:t>10.29119/1641-3466.2019.133.1.</w:t>
      </w:r>
    </w:p>
    <w:p w14:paraId="3E033C3B" w14:textId="1240F1A7" w:rsidR="00571B42" w:rsidRPr="006B59F1" w:rsidRDefault="00571B42" w:rsidP="006B59F1">
      <w:pPr>
        <w:spacing w:after="0" w:line="360" w:lineRule="auto"/>
        <w:ind w:firstLine="720"/>
        <w:jc w:val="both"/>
        <w:rPr>
          <w:rFonts w:ascii="Times New Roman" w:hAnsi="Times New Roman" w:cs="Times New Roman"/>
          <w:sz w:val="28"/>
          <w:szCs w:val="28"/>
          <w:lang w:val="en-US"/>
        </w:rPr>
      </w:pPr>
      <w:r w:rsidRPr="006B59F1">
        <w:rPr>
          <w:rFonts w:eastAsia="Arial Unicode MS"/>
          <w:b/>
          <w:bCs/>
          <w:color w:val="000000"/>
          <w:sz w:val="28"/>
          <w:szCs w:val="28"/>
          <w:lang w:val="en-US" w:eastAsia="en-US" w:bidi="en-US"/>
        </w:rPr>
        <w:lastRenderedPageBreak/>
        <w:t xml:space="preserve">171. </w:t>
      </w:r>
      <w:r w:rsidRPr="006B59F1">
        <w:rPr>
          <w:rFonts w:eastAsia="Arial Unicode MS"/>
          <w:b/>
          <w:color w:val="000000"/>
          <w:sz w:val="28"/>
          <w:szCs w:val="28"/>
          <w:lang w:val="en-US" w:eastAsia="en-US" w:bidi="en-US"/>
        </w:rPr>
        <w:t xml:space="preserve">Chambers E. G., </w:t>
      </w:r>
      <w:proofErr w:type="spellStart"/>
      <w:r w:rsidRPr="006B59F1">
        <w:rPr>
          <w:rFonts w:eastAsia="Arial Unicode MS"/>
          <w:b/>
          <w:color w:val="000000"/>
          <w:sz w:val="28"/>
          <w:szCs w:val="28"/>
          <w:lang w:val="en-US" w:eastAsia="en-US" w:bidi="en-US"/>
        </w:rPr>
        <w:t>Foulon</w:t>
      </w:r>
      <w:proofErr w:type="spellEnd"/>
      <w:r w:rsidRPr="006B59F1">
        <w:rPr>
          <w:rFonts w:eastAsia="Arial Unicode MS"/>
          <w:b/>
          <w:color w:val="000000"/>
          <w:sz w:val="28"/>
          <w:szCs w:val="28"/>
          <w:lang w:val="en-US" w:eastAsia="en-US" w:bidi="en-US"/>
        </w:rPr>
        <w:t xml:space="preserve"> M., Handfield-Jones H., </w:t>
      </w:r>
      <w:proofErr w:type="spellStart"/>
      <w:r w:rsidRPr="006B59F1">
        <w:rPr>
          <w:rFonts w:eastAsia="Arial Unicode MS"/>
          <w:b/>
          <w:color w:val="000000"/>
          <w:sz w:val="28"/>
          <w:szCs w:val="28"/>
          <w:lang w:val="en-US" w:eastAsia="en-US" w:bidi="en-US"/>
        </w:rPr>
        <w:t>Hankin</w:t>
      </w:r>
      <w:proofErr w:type="spellEnd"/>
      <w:r w:rsidRPr="006B59F1">
        <w:rPr>
          <w:rFonts w:eastAsia="Arial Unicode MS"/>
          <w:b/>
          <w:color w:val="000000"/>
          <w:sz w:val="28"/>
          <w:szCs w:val="28"/>
          <w:lang w:val="en-US" w:eastAsia="en-US" w:bidi="en-US"/>
        </w:rPr>
        <w:t xml:space="preserve"> S. M., Michaels E. G. </w:t>
      </w:r>
      <w:r w:rsidRPr="006B59F1">
        <w:rPr>
          <w:rFonts w:eastAsia="Arial Unicode MS"/>
          <w:b/>
          <w:bCs/>
          <w:color w:val="000000"/>
          <w:sz w:val="28"/>
          <w:szCs w:val="28"/>
          <w:lang w:val="en-US" w:eastAsia="en-US" w:bidi="en-US"/>
        </w:rPr>
        <w:t xml:space="preserve">The war for talent. </w:t>
      </w:r>
      <w:r w:rsidRPr="006B59F1">
        <w:rPr>
          <w:rFonts w:eastAsia="Arial Unicode MS"/>
          <w:b/>
          <w:color w:val="000000"/>
          <w:sz w:val="28"/>
          <w:szCs w:val="28"/>
          <w:lang w:val="en-US" w:eastAsia="en-US" w:bidi="en-US"/>
        </w:rPr>
        <w:t>The McKinsey Quarterly. New York. 1998. P. 44-57.</w:t>
      </w:r>
    </w:p>
    <w:p w14:paraId="1D2A7781"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bCs/>
          <w:kern w:val="36"/>
          <w:sz w:val="28"/>
          <w:szCs w:val="28"/>
          <w:lang w:val="en-US"/>
        </w:rPr>
      </w:pPr>
      <w:r w:rsidRPr="006B59F1">
        <w:rPr>
          <w:rFonts w:ascii="Times New Roman" w:hAnsi="Times New Roman" w:cs="Times New Roman"/>
          <w:sz w:val="28"/>
          <w:szCs w:val="28"/>
          <w:lang w:val="en-US"/>
        </w:rPr>
        <w:t xml:space="preserve">172. </w:t>
      </w:r>
      <w:proofErr w:type="spellStart"/>
      <w:r w:rsidRPr="006B59F1">
        <w:rPr>
          <w:rFonts w:ascii="Times New Roman" w:hAnsi="Times New Roman" w:cs="Times New Roman"/>
          <w:bCs/>
          <w:kern w:val="36"/>
          <w:sz w:val="28"/>
          <w:szCs w:val="28"/>
          <w:lang w:val="en-US"/>
        </w:rPr>
        <w:t>Zgrzywa-ziemak</w:t>
      </w:r>
      <w:proofErr w:type="spellEnd"/>
      <w:r w:rsidRPr="006B59F1">
        <w:rPr>
          <w:rFonts w:ascii="Times New Roman" w:hAnsi="Times New Roman" w:cs="Times New Roman"/>
          <w:bCs/>
          <w:kern w:val="36"/>
          <w:sz w:val="28"/>
          <w:szCs w:val="28"/>
          <w:lang w:val="en-US"/>
        </w:rPr>
        <w:t xml:space="preserve"> A., </w:t>
      </w:r>
      <w:proofErr w:type="spellStart"/>
      <w:r w:rsidRPr="006B59F1">
        <w:rPr>
          <w:rFonts w:ascii="Times New Roman" w:hAnsi="Times New Roman" w:cs="Times New Roman"/>
          <w:bCs/>
          <w:kern w:val="36"/>
          <w:sz w:val="28"/>
          <w:szCs w:val="28"/>
          <w:lang w:val="en-US"/>
        </w:rPr>
        <w:t>Hopej</w:t>
      </w:r>
      <w:proofErr w:type="spellEnd"/>
      <w:r w:rsidRPr="006B59F1">
        <w:rPr>
          <w:rFonts w:ascii="Times New Roman" w:hAnsi="Times New Roman" w:cs="Times New Roman"/>
          <w:bCs/>
          <w:kern w:val="36"/>
          <w:sz w:val="28"/>
          <w:szCs w:val="28"/>
          <w:lang w:val="en-US"/>
        </w:rPr>
        <w:t xml:space="preserve"> M., Zimmer J. The cohesive management: the football lesson for high-tech organizations. Journal of Information and Telecommunication. 2024. № 1-18. </w:t>
      </w:r>
      <w:r w:rsidRPr="006B59F1">
        <w:rPr>
          <w:rFonts w:ascii="Times New Roman" w:hAnsi="Times New Roman" w:cs="Times New Roman"/>
          <w:color w:val="000000" w:themeColor="text1"/>
          <w:sz w:val="28"/>
          <w:szCs w:val="28"/>
          <w:lang w:val="en-US"/>
        </w:rPr>
        <w:t>DOI: https://doi.org/</w:t>
      </w:r>
      <w:r w:rsidRPr="006B59F1">
        <w:rPr>
          <w:rFonts w:ascii="Times New Roman" w:hAnsi="Times New Roman" w:cs="Times New Roman"/>
          <w:bCs/>
          <w:kern w:val="36"/>
          <w:sz w:val="28"/>
          <w:szCs w:val="28"/>
          <w:lang w:val="en-US"/>
        </w:rPr>
        <w:t>10.1080/24751839.2024.2321667.</w:t>
      </w:r>
    </w:p>
    <w:p w14:paraId="01376210"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bCs/>
          <w:kern w:val="36"/>
          <w:sz w:val="28"/>
          <w:szCs w:val="28"/>
          <w:lang w:val="en-US"/>
        </w:rPr>
      </w:pPr>
      <w:r w:rsidRPr="006B59F1">
        <w:rPr>
          <w:rFonts w:ascii="Times New Roman" w:hAnsi="Times New Roman" w:cs="Times New Roman"/>
          <w:bCs/>
          <w:kern w:val="36"/>
          <w:sz w:val="28"/>
          <w:szCs w:val="28"/>
          <w:lang w:val="en-US"/>
        </w:rPr>
        <w:t xml:space="preserve">173. </w:t>
      </w:r>
      <w:proofErr w:type="spellStart"/>
      <w:r w:rsidRPr="006B59F1">
        <w:rPr>
          <w:rFonts w:ascii="Times New Roman" w:hAnsi="Times New Roman" w:cs="Times New Roman"/>
          <w:bCs/>
          <w:kern w:val="36"/>
          <w:sz w:val="28"/>
          <w:szCs w:val="28"/>
          <w:lang w:val="en-US"/>
        </w:rPr>
        <w:t>Chelpa</w:t>
      </w:r>
      <w:proofErr w:type="spellEnd"/>
      <w:r w:rsidRPr="006B59F1">
        <w:rPr>
          <w:rFonts w:ascii="Times New Roman" w:hAnsi="Times New Roman" w:cs="Times New Roman"/>
          <w:bCs/>
          <w:kern w:val="36"/>
          <w:sz w:val="28"/>
          <w:szCs w:val="28"/>
          <w:lang w:val="en-US"/>
        </w:rPr>
        <w:t xml:space="preserve"> S. </w:t>
      </w:r>
      <w:proofErr w:type="spellStart"/>
      <w:r w:rsidRPr="006B59F1">
        <w:rPr>
          <w:rFonts w:ascii="Times New Roman" w:hAnsi="Times New Roman" w:cs="Times New Roman"/>
          <w:bCs/>
          <w:kern w:val="36"/>
          <w:sz w:val="28"/>
          <w:szCs w:val="28"/>
          <w:lang w:val="en-US"/>
        </w:rPr>
        <w:t>Samorealizacja</w:t>
      </w:r>
      <w:proofErr w:type="spellEnd"/>
      <w:r w:rsidRPr="006B59F1">
        <w:rPr>
          <w:rFonts w:ascii="Times New Roman" w:hAnsi="Times New Roman" w:cs="Times New Roman"/>
          <w:bCs/>
          <w:kern w:val="36"/>
          <w:sz w:val="28"/>
          <w:szCs w:val="28"/>
          <w:lang w:val="en-US"/>
        </w:rPr>
        <w:t xml:space="preserve"> </w:t>
      </w:r>
      <w:proofErr w:type="spellStart"/>
      <w:r w:rsidRPr="006B59F1">
        <w:rPr>
          <w:rFonts w:ascii="Times New Roman" w:hAnsi="Times New Roman" w:cs="Times New Roman"/>
          <w:bCs/>
          <w:kern w:val="36"/>
          <w:sz w:val="28"/>
          <w:szCs w:val="28"/>
          <w:lang w:val="en-US"/>
        </w:rPr>
        <w:t>talentów</w:t>
      </w:r>
      <w:proofErr w:type="spellEnd"/>
      <w:r w:rsidRPr="006B59F1">
        <w:rPr>
          <w:rFonts w:ascii="Times New Roman" w:hAnsi="Times New Roman" w:cs="Times New Roman"/>
          <w:bCs/>
          <w:kern w:val="36"/>
          <w:sz w:val="28"/>
          <w:szCs w:val="28"/>
          <w:lang w:val="en-US"/>
        </w:rPr>
        <w:t xml:space="preserve"> - </w:t>
      </w:r>
      <w:proofErr w:type="spellStart"/>
      <w:r w:rsidRPr="006B59F1">
        <w:rPr>
          <w:rFonts w:ascii="Times New Roman" w:hAnsi="Times New Roman" w:cs="Times New Roman"/>
          <w:bCs/>
          <w:kern w:val="36"/>
          <w:sz w:val="28"/>
          <w:szCs w:val="28"/>
          <w:lang w:val="en-US"/>
        </w:rPr>
        <w:t>możliwości</w:t>
      </w:r>
      <w:proofErr w:type="spellEnd"/>
      <w:r w:rsidRPr="006B59F1">
        <w:rPr>
          <w:rFonts w:ascii="Times New Roman" w:hAnsi="Times New Roman" w:cs="Times New Roman"/>
          <w:bCs/>
          <w:kern w:val="36"/>
          <w:sz w:val="28"/>
          <w:szCs w:val="28"/>
          <w:lang w:val="en-US"/>
        </w:rPr>
        <w:t xml:space="preserve"> </w:t>
      </w:r>
      <w:proofErr w:type="spellStart"/>
      <w:r w:rsidRPr="006B59F1">
        <w:rPr>
          <w:rFonts w:ascii="Times New Roman" w:hAnsi="Times New Roman" w:cs="Times New Roman"/>
          <w:bCs/>
          <w:kern w:val="36"/>
          <w:sz w:val="28"/>
          <w:szCs w:val="28"/>
          <w:lang w:val="en-US"/>
        </w:rPr>
        <w:t>i</w:t>
      </w:r>
      <w:proofErr w:type="spellEnd"/>
      <w:r w:rsidRPr="006B59F1">
        <w:rPr>
          <w:rFonts w:ascii="Times New Roman" w:hAnsi="Times New Roman" w:cs="Times New Roman"/>
          <w:bCs/>
          <w:kern w:val="36"/>
          <w:sz w:val="28"/>
          <w:szCs w:val="28"/>
          <w:lang w:val="en-US"/>
        </w:rPr>
        <w:t xml:space="preserve"> </w:t>
      </w:r>
      <w:proofErr w:type="spellStart"/>
      <w:r w:rsidRPr="006B59F1">
        <w:rPr>
          <w:rFonts w:ascii="Times New Roman" w:hAnsi="Times New Roman" w:cs="Times New Roman"/>
          <w:bCs/>
          <w:kern w:val="36"/>
          <w:sz w:val="28"/>
          <w:szCs w:val="28"/>
          <w:lang w:val="en-US"/>
        </w:rPr>
        <w:t>ograniczenia</w:t>
      </w:r>
      <w:proofErr w:type="spellEnd"/>
      <w:r w:rsidRPr="006B59F1">
        <w:rPr>
          <w:rFonts w:ascii="Times New Roman" w:hAnsi="Times New Roman" w:cs="Times New Roman"/>
          <w:bCs/>
          <w:kern w:val="36"/>
          <w:sz w:val="28"/>
          <w:szCs w:val="28"/>
          <w:lang w:val="en-US"/>
        </w:rPr>
        <w:t xml:space="preserve"> </w:t>
      </w:r>
      <w:proofErr w:type="spellStart"/>
      <w:r w:rsidRPr="006B59F1">
        <w:rPr>
          <w:rFonts w:ascii="Times New Roman" w:hAnsi="Times New Roman" w:cs="Times New Roman"/>
          <w:bCs/>
          <w:kern w:val="36"/>
          <w:sz w:val="28"/>
          <w:szCs w:val="28"/>
          <w:lang w:val="en-US"/>
        </w:rPr>
        <w:t>interpersonalne</w:t>
      </w:r>
      <w:proofErr w:type="spellEnd"/>
      <w:r w:rsidRPr="006B59F1">
        <w:rPr>
          <w:rFonts w:ascii="Times New Roman" w:hAnsi="Times New Roman" w:cs="Times New Roman"/>
          <w:bCs/>
          <w:kern w:val="36"/>
          <w:sz w:val="28"/>
          <w:szCs w:val="28"/>
          <w:lang w:val="en-US"/>
        </w:rPr>
        <w:t xml:space="preserve"> w: </w:t>
      </w:r>
      <w:proofErr w:type="spellStart"/>
      <w:r w:rsidRPr="006B59F1">
        <w:rPr>
          <w:rFonts w:ascii="Times New Roman" w:hAnsi="Times New Roman" w:cs="Times New Roman"/>
          <w:bCs/>
          <w:kern w:val="36"/>
          <w:sz w:val="28"/>
          <w:szCs w:val="28"/>
          <w:lang w:val="en-US"/>
        </w:rPr>
        <w:t>Zarządzanie</w:t>
      </w:r>
      <w:proofErr w:type="spellEnd"/>
      <w:r w:rsidRPr="006B59F1">
        <w:rPr>
          <w:rFonts w:ascii="Times New Roman" w:hAnsi="Times New Roman" w:cs="Times New Roman"/>
          <w:bCs/>
          <w:kern w:val="36"/>
          <w:sz w:val="28"/>
          <w:szCs w:val="28"/>
          <w:lang w:val="en-US"/>
        </w:rPr>
        <w:t xml:space="preserve"> </w:t>
      </w:r>
      <w:proofErr w:type="spellStart"/>
      <w:r w:rsidRPr="006B59F1">
        <w:rPr>
          <w:rFonts w:ascii="Times New Roman" w:hAnsi="Times New Roman" w:cs="Times New Roman"/>
          <w:bCs/>
          <w:kern w:val="36"/>
          <w:sz w:val="28"/>
          <w:szCs w:val="28"/>
          <w:lang w:val="en-US"/>
        </w:rPr>
        <w:t>talentami</w:t>
      </w:r>
      <w:proofErr w:type="spellEnd"/>
      <w:r w:rsidRPr="006B59F1">
        <w:rPr>
          <w:rFonts w:ascii="Times New Roman" w:hAnsi="Times New Roman" w:cs="Times New Roman"/>
          <w:bCs/>
          <w:kern w:val="36"/>
          <w:sz w:val="28"/>
          <w:szCs w:val="28"/>
          <w:lang w:val="en-US"/>
        </w:rPr>
        <w:t xml:space="preserve">, red. S. </w:t>
      </w:r>
      <w:proofErr w:type="spellStart"/>
      <w:r w:rsidRPr="006B59F1">
        <w:rPr>
          <w:rFonts w:ascii="Times New Roman" w:hAnsi="Times New Roman" w:cs="Times New Roman"/>
          <w:bCs/>
          <w:kern w:val="36"/>
          <w:sz w:val="28"/>
          <w:szCs w:val="28"/>
          <w:lang w:val="en-US"/>
        </w:rPr>
        <w:t>Borkowska</w:t>
      </w:r>
      <w:proofErr w:type="spellEnd"/>
      <w:r w:rsidRPr="006B59F1">
        <w:rPr>
          <w:rFonts w:ascii="Times New Roman" w:hAnsi="Times New Roman" w:cs="Times New Roman"/>
          <w:bCs/>
          <w:kern w:val="36"/>
          <w:sz w:val="28"/>
          <w:szCs w:val="28"/>
          <w:lang w:val="en-US"/>
        </w:rPr>
        <w:t xml:space="preserve">. </w:t>
      </w:r>
      <w:proofErr w:type="spellStart"/>
      <w:r w:rsidRPr="006B59F1">
        <w:rPr>
          <w:rFonts w:ascii="Times New Roman" w:hAnsi="Times New Roman" w:cs="Times New Roman"/>
          <w:bCs/>
          <w:kern w:val="36"/>
          <w:sz w:val="28"/>
          <w:szCs w:val="28"/>
          <w:lang w:val="en-US"/>
        </w:rPr>
        <w:t>Instytut</w:t>
      </w:r>
      <w:proofErr w:type="spellEnd"/>
      <w:r w:rsidRPr="006B59F1">
        <w:rPr>
          <w:rFonts w:ascii="Times New Roman" w:hAnsi="Times New Roman" w:cs="Times New Roman"/>
          <w:bCs/>
          <w:kern w:val="36"/>
          <w:sz w:val="28"/>
          <w:szCs w:val="28"/>
          <w:lang w:val="en-US"/>
        </w:rPr>
        <w:t xml:space="preserve"> </w:t>
      </w:r>
      <w:proofErr w:type="spellStart"/>
      <w:r w:rsidRPr="006B59F1">
        <w:rPr>
          <w:rFonts w:ascii="Times New Roman" w:hAnsi="Times New Roman" w:cs="Times New Roman"/>
          <w:bCs/>
          <w:kern w:val="36"/>
          <w:sz w:val="28"/>
          <w:szCs w:val="28"/>
          <w:lang w:val="en-US"/>
        </w:rPr>
        <w:t>Pracy</w:t>
      </w:r>
      <w:proofErr w:type="spellEnd"/>
      <w:r w:rsidRPr="006B59F1">
        <w:rPr>
          <w:rFonts w:ascii="Times New Roman" w:hAnsi="Times New Roman" w:cs="Times New Roman"/>
          <w:bCs/>
          <w:kern w:val="36"/>
          <w:sz w:val="28"/>
          <w:szCs w:val="28"/>
          <w:lang w:val="en-US"/>
        </w:rPr>
        <w:t xml:space="preserve"> </w:t>
      </w:r>
      <w:proofErr w:type="spellStart"/>
      <w:r w:rsidRPr="006B59F1">
        <w:rPr>
          <w:rFonts w:ascii="Times New Roman" w:hAnsi="Times New Roman" w:cs="Times New Roman"/>
          <w:bCs/>
          <w:kern w:val="36"/>
          <w:sz w:val="28"/>
          <w:szCs w:val="28"/>
          <w:lang w:val="en-US"/>
        </w:rPr>
        <w:t>i</w:t>
      </w:r>
      <w:proofErr w:type="spellEnd"/>
      <w:r w:rsidRPr="006B59F1">
        <w:rPr>
          <w:rFonts w:ascii="Times New Roman" w:hAnsi="Times New Roman" w:cs="Times New Roman"/>
          <w:bCs/>
          <w:kern w:val="36"/>
          <w:sz w:val="28"/>
          <w:szCs w:val="28"/>
          <w:lang w:val="en-US"/>
        </w:rPr>
        <w:t xml:space="preserve"> </w:t>
      </w:r>
      <w:proofErr w:type="spellStart"/>
      <w:r w:rsidRPr="006B59F1">
        <w:rPr>
          <w:rFonts w:ascii="Times New Roman" w:hAnsi="Times New Roman" w:cs="Times New Roman"/>
          <w:bCs/>
          <w:kern w:val="36"/>
          <w:sz w:val="28"/>
          <w:szCs w:val="28"/>
          <w:lang w:val="en-US"/>
        </w:rPr>
        <w:t>Spraw</w:t>
      </w:r>
      <w:proofErr w:type="spellEnd"/>
      <w:r w:rsidRPr="006B59F1">
        <w:rPr>
          <w:rFonts w:ascii="Times New Roman" w:hAnsi="Times New Roman" w:cs="Times New Roman"/>
          <w:bCs/>
          <w:kern w:val="36"/>
          <w:sz w:val="28"/>
          <w:szCs w:val="28"/>
          <w:lang w:val="en-US"/>
        </w:rPr>
        <w:t xml:space="preserve"> </w:t>
      </w:r>
      <w:proofErr w:type="spellStart"/>
      <w:r w:rsidRPr="006B59F1">
        <w:rPr>
          <w:rFonts w:ascii="Times New Roman" w:hAnsi="Times New Roman" w:cs="Times New Roman"/>
          <w:bCs/>
          <w:kern w:val="36"/>
          <w:sz w:val="28"/>
          <w:szCs w:val="28"/>
          <w:lang w:val="en-US"/>
        </w:rPr>
        <w:t>Socjalnych</w:t>
      </w:r>
      <w:proofErr w:type="spellEnd"/>
      <w:r w:rsidRPr="006B59F1">
        <w:rPr>
          <w:rFonts w:ascii="Times New Roman" w:hAnsi="Times New Roman" w:cs="Times New Roman"/>
          <w:bCs/>
          <w:kern w:val="36"/>
          <w:sz w:val="28"/>
          <w:szCs w:val="28"/>
          <w:lang w:val="en-US"/>
        </w:rPr>
        <w:t xml:space="preserve">. Warszawa. 2005. P. 28-36. </w:t>
      </w:r>
    </w:p>
    <w:p w14:paraId="44B9BD41"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kern w:val="36"/>
          <w:sz w:val="28"/>
          <w:szCs w:val="28"/>
          <w:lang w:val="en-US"/>
        </w:rPr>
      </w:pPr>
      <w:r w:rsidRPr="006B59F1">
        <w:rPr>
          <w:rFonts w:ascii="Times New Roman" w:hAnsi="Times New Roman" w:cs="Times New Roman"/>
          <w:bCs/>
          <w:kern w:val="36"/>
          <w:sz w:val="28"/>
          <w:szCs w:val="28"/>
          <w:lang w:val="en-US"/>
        </w:rPr>
        <w:t xml:space="preserve">174. </w:t>
      </w:r>
      <w:hyperlink r:id="rId53" w:history="1">
        <w:proofErr w:type="spellStart"/>
        <w:r w:rsidRPr="006B59F1">
          <w:rPr>
            <w:rFonts w:ascii="Times New Roman" w:hAnsi="Times New Roman" w:cs="Times New Roman"/>
            <w:bCs/>
            <w:kern w:val="36"/>
            <w:sz w:val="28"/>
            <w:szCs w:val="28"/>
            <w:lang w:val="en-US"/>
          </w:rPr>
          <w:t>Tansley</w:t>
        </w:r>
        <w:proofErr w:type="spellEnd"/>
      </w:hyperlink>
      <w:r w:rsidRPr="006B59F1">
        <w:rPr>
          <w:lang w:val="en-US"/>
        </w:rPr>
        <w:t xml:space="preserve"> </w:t>
      </w:r>
      <w:r w:rsidRPr="006B59F1">
        <w:rPr>
          <w:rFonts w:ascii="Times New Roman" w:hAnsi="Times New Roman" w:cs="Times New Roman"/>
          <w:bCs/>
          <w:kern w:val="36"/>
          <w:sz w:val="28"/>
          <w:szCs w:val="28"/>
          <w:lang w:val="en-US"/>
        </w:rPr>
        <w:t xml:space="preserve">C., Harris L., </w:t>
      </w:r>
      <w:hyperlink r:id="rId54" w:history="1">
        <w:r w:rsidRPr="006B59F1">
          <w:rPr>
            <w:rFonts w:ascii="Times New Roman" w:hAnsi="Times New Roman" w:cs="Times New Roman"/>
            <w:bCs/>
            <w:kern w:val="36"/>
            <w:sz w:val="28"/>
            <w:szCs w:val="28"/>
            <w:lang w:val="en-US"/>
          </w:rPr>
          <w:t>Stewart</w:t>
        </w:r>
      </w:hyperlink>
      <w:r w:rsidRPr="006B59F1">
        <w:rPr>
          <w:lang w:val="en-US"/>
        </w:rPr>
        <w:t xml:space="preserve"> </w:t>
      </w:r>
      <w:r w:rsidRPr="006B59F1">
        <w:rPr>
          <w:rFonts w:ascii="Times New Roman" w:hAnsi="Times New Roman" w:cs="Times New Roman"/>
          <w:bCs/>
          <w:kern w:val="36"/>
          <w:sz w:val="28"/>
          <w:szCs w:val="28"/>
          <w:lang w:val="en-US"/>
        </w:rPr>
        <w:t xml:space="preserve">J., Turner P., </w:t>
      </w:r>
      <w:hyperlink r:id="rId55" w:history="1">
        <w:r w:rsidRPr="006B59F1">
          <w:rPr>
            <w:rFonts w:ascii="Times New Roman" w:hAnsi="Times New Roman" w:cs="Times New Roman"/>
            <w:bCs/>
            <w:kern w:val="36"/>
            <w:sz w:val="28"/>
            <w:szCs w:val="28"/>
            <w:lang w:val="en-US"/>
          </w:rPr>
          <w:t>Foster</w:t>
        </w:r>
      </w:hyperlink>
      <w:r w:rsidRPr="006B59F1">
        <w:rPr>
          <w:lang w:val="en-US"/>
        </w:rPr>
        <w:t xml:space="preserve"> </w:t>
      </w:r>
      <w:r w:rsidRPr="006B59F1">
        <w:rPr>
          <w:rFonts w:ascii="Times New Roman" w:hAnsi="Times New Roman" w:cs="Times New Roman"/>
          <w:bCs/>
          <w:kern w:val="36"/>
          <w:sz w:val="28"/>
          <w:szCs w:val="28"/>
          <w:lang w:val="en-US"/>
        </w:rPr>
        <w:t xml:space="preserve">C., Williams H. </w:t>
      </w:r>
      <w:hyperlink r:id="rId56" w:history="1">
        <w:r w:rsidRPr="006B59F1">
          <w:rPr>
            <w:rFonts w:ascii="Times New Roman" w:hAnsi="Times New Roman" w:cs="Times New Roman"/>
            <w:kern w:val="36"/>
            <w:sz w:val="28"/>
            <w:szCs w:val="28"/>
            <w:lang w:val="en-US"/>
          </w:rPr>
          <w:t>Talent management: understanding the dimensions change agenda</w:t>
        </w:r>
      </w:hyperlink>
      <w:r w:rsidRPr="006B59F1">
        <w:rPr>
          <w:rFonts w:ascii="Times New Roman" w:hAnsi="Times New Roman" w:cs="Times New Roman"/>
          <w:kern w:val="36"/>
          <w:sz w:val="28"/>
          <w:szCs w:val="28"/>
          <w:lang w:val="en-US"/>
        </w:rPr>
        <w:t xml:space="preserve">. Nottingham Trent University. London: CIPD. 2006. 72 p. </w:t>
      </w:r>
    </w:p>
    <w:p w14:paraId="249E3E5C"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kern w:val="36"/>
          <w:sz w:val="28"/>
          <w:szCs w:val="28"/>
          <w:lang w:val="en-US"/>
        </w:rPr>
      </w:pPr>
      <w:r w:rsidRPr="006B59F1">
        <w:rPr>
          <w:rFonts w:ascii="Times New Roman" w:hAnsi="Times New Roman" w:cs="Times New Roman"/>
          <w:bCs/>
          <w:kern w:val="36"/>
          <w:sz w:val="28"/>
          <w:szCs w:val="28"/>
          <w:lang w:val="en-US"/>
        </w:rPr>
        <w:t xml:space="preserve">175. </w:t>
      </w:r>
      <w:proofErr w:type="spellStart"/>
      <w:r w:rsidRPr="006B59F1">
        <w:rPr>
          <w:rFonts w:ascii="Times New Roman" w:hAnsi="Times New Roman" w:cs="Times New Roman"/>
          <w:sz w:val="28"/>
          <w:szCs w:val="28"/>
          <w:lang w:val="en-US"/>
        </w:rPr>
        <w:t>Juchnowicz</w:t>
      </w:r>
      <w:proofErr w:type="spellEnd"/>
      <w:r w:rsidRPr="006B59F1">
        <w:rPr>
          <w:rFonts w:ascii="Times New Roman" w:hAnsi="Times New Roman" w:cs="Times New Roman"/>
          <w:sz w:val="28"/>
          <w:szCs w:val="28"/>
          <w:lang w:val="en-US"/>
        </w:rPr>
        <w:t xml:space="preserve"> M</w:t>
      </w:r>
      <w:r w:rsidRPr="006B59F1">
        <w:rPr>
          <w:rFonts w:ascii="Times New Roman" w:hAnsi="Times New Roman" w:cs="Times New Roman"/>
          <w:bCs/>
          <w:kern w:val="36"/>
          <w:sz w:val="28"/>
          <w:szCs w:val="28"/>
          <w:lang w:val="en-US"/>
        </w:rPr>
        <w:t xml:space="preserve">. </w:t>
      </w:r>
      <w:proofErr w:type="spellStart"/>
      <w:r w:rsidRPr="006B59F1">
        <w:rPr>
          <w:rFonts w:ascii="Times New Roman" w:hAnsi="Times New Roman" w:cs="Times New Roman"/>
          <w:bCs/>
          <w:sz w:val="28"/>
          <w:szCs w:val="28"/>
          <w:lang w:val="en-US"/>
        </w:rPr>
        <w:t>Elastyczne</w:t>
      </w:r>
      <w:proofErr w:type="spellEnd"/>
      <w:r w:rsidRPr="006B59F1">
        <w:rPr>
          <w:rFonts w:ascii="Times New Roman" w:hAnsi="Times New Roman" w:cs="Times New Roman"/>
          <w:bCs/>
          <w:sz w:val="28"/>
          <w:szCs w:val="28"/>
          <w:lang w:val="en-US"/>
        </w:rPr>
        <w:t xml:space="preserve"> </w:t>
      </w:r>
      <w:proofErr w:type="spellStart"/>
      <w:r w:rsidRPr="006B59F1">
        <w:rPr>
          <w:rFonts w:ascii="Times New Roman" w:hAnsi="Times New Roman" w:cs="Times New Roman"/>
          <w:bCs/>
          <w:sz w:val="28"/>
          <w:szCs w:val="28"/>
          <w:lang w:val="en-US"/>
        </w:rPr>
        <w:t>zarządzanie</w:t>
      </w:r>
      <w:proofErr w:type="spellEnd"/>
      <w:r w:rsidRPr="006B59F1">
        <w:rPr>
          <w:rFonts w:ascii="Times New Roman" w:hAnsi="Times New Roman" w:cs="Times New Roman"/>
          <w:bCs/>
          <w:sz w:val="28"/>
          <w:szCs w:val="28"/>
          <w:lang w:val="en-US"/>
        </w:rPr>
        <w:t xml:space="preserve"> </w:t>
      </w:r>
      <w:proofErr w:type="spellStart"/>
      <w:r w:rsidRPr="006B59F1">
        <w:rPr>
          <w:rFonts w:ascii="Times New Roman" w:hAnsi="Times New Roman" w:cs="Times New Roman"/>
          <w:bCs/>
          <w:sz w:val="28"/>
          <w:szCs w:val="28"/>
          <w:lang w:val="en-US"/>
        </w:rPr>
        <w:t>kapitałem</w:t>
      </w:r>
      <w:proofErr w:type="spellEnd"/>
      <w:r w:rsidRPr="006B59F1">
        <w:rPr>
          <w:rFonts w:ascii="Times New Roman" w:hAnsi="Times New Roman" w:cs="Times New Roman"/>
          <w:bCs/>
          <w:sz w:val="28"/>
          <w:szCs w:val="28"/>
          <w:lang w:val="en-US"/>
        </w:rPr>
        <w:t xml:space="preserve"> </w:t>
      </w:r>
      <w:proofErr w:type="spellStart"/>
      <w:r w:rsidRPr="006B59F1">
        <w:rPr>
          <w:rFonts w:ascii="Times New Roman" w:hAnsi="Times New Roman" w:cs="Times New Roman"/>
          <w:bCs/>
          <w:sz w:val="28"/>
          <w:szCs w:val="28"/>
          <w:lang w:val="en-US"/>
        </w:rPr>
        <w:t>ludzkim</w:t>
      </w:r>
      <w:proofErr w:type="spellEnd"/>
      <w:r w:rsidRPr="006B59F1">
        <w:rPr>
          <w:rFonts w:ascii="Times New Roman" w:hAnsi="Times New Roman" w:cs="Times New Roman"/>
          <w:bCs/>
          <w:sz w:val="28"/>
          <w:szCs w:val="28"/>
          <w:lang w:val="en-US"/>
        </w:rPr>
        <w:t xml:space="preserve"> w </w:t>
      </w:r>
      <w:proofErr w:type="spellStart"/>
      <w:r w:rsidRPr="006B59F1">
        <w:rPr>
          <w:rFonts w:ascii="Times New Roman" w:hAnsi="Times New Roman" w:cs="Times New Roman"/>
          <w:bCs/>
          <w:sz w:val="28"/>
          <w:szCs w:val="28"/>
          <w:lang w:val="en-US"/>
        </w:rPr>
        <w:t>organizacji</w:t>
      </w:r>
      <w:proofErr w:type="spellEnd"/>
      <w:r w:rsidRPr="006B59F1">
        <w:rPr>
          <w:rFonts w:ascii="Times New Roman" w:hAnsi="Times New Roman" w:cs="Times New Roman"/>
          <w:bCs/>
          <w:sz w:val="28"/>
          <w:szCs w:val="28"/>
          <w:lang w:val="en-US"/>
        </w:rPr>
        <w:t xml:space="preserve"> </w:t>
      </w:r>
      <w:proofErr w:type="spellStart"/>
      <w:r w:rsidRPr="006B59F1">
        <w:rPr>
          <w:rFonts w:ascii="Times New Roman" w:hAnsi="Times New Roman" w:cs="Times New Roman"/>
          <w:bCs/>
          <w:sz w:val="28"/>
          <w:szCs w:val="28"/>
          <w:lang w:val="en-US"/>
        </w:rPr>
        <w:t>wiedzy</w:t>
      </w:r>
      <w:proofErr w:type="spellEnd"/>
      <w:r w:rsidRPr="006B59F1">
        <w:rPr>
          <w:rFonts w:ascii="Times New Roman" w:hAnsi="Times New Roman" w:cs="Times New Roman"/>
          <w:bCs/>
          <w:kern w:val="36"/>
          <w:sz w:val="28"/>
          <w:szCs w:val="28"/>
          <w:lang w:val="en-US"/>
        </w:rPr>
        <w:t xml:space="preserve">. Warszawa: </w:t>
      </w:r>
      <w:proofErr w:type="spellStart"/>
      <w:r w:rsidRPr="006B59F1">
        <w:rPr>
          <w:rFonts w:ascii="Times New Roman" w:hAnsi="Times New Roman" w:cs="Times New Roman"/>
          <w:bCs/>
          <w:sz w:val="28"/>
          <w:szCs w:val="28"/>
          <w:lang w:val="en-US"/>
        </w:rPr>
        <w:t>Difin</w:t>
      </w:r>
      <w:proofErr w:type="spellEnd"/>
      <w:r w:rsidRPr="006B59F1">
        <w:rPr>
          <w:rFonts w:ascii="Times New Roman" w:hAnsi="Times New Roman" w:cs="Times New Roman"/>
          <w:bCs/>
          <w:kern w:val="36"/>
          <w:sz w:val="28"/>
          <w:szCs w:val="28"/>
          <w:lang w:val="en-US"/>
        </w:rPr>
        <w:t>. 2007. 320 p.</w:t>
      </w:r>
    </w:p>
    <w:p w14:paraId="65CB02E5"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bCs/>
          <w:kern w:val="36"/>
          <w:sz w:val="28"/>
          <w:szCs w:val="28"/>
          <w:lang w:val="en-US"/>
        </w:rPr>
        <w:t xml:space="preserve">176. </w:t>
      </w:r>
      <w:r w:rsidRPr="006B59F1">
        <w:rPr>
          <w:rFonts w:ascii="Times New Roman" w:hAnsi="Times New Roman" w:cs="Times New Roman"/>
          <w:sz w:val="28"/>
          <w:szCs w:val="28"/>
          <w:lang w:val="en-US"/>
        </w:rPr>
        <w:t xml:space="preserve">Springer A., </w:t>
      </w:r>
      <w:proofErr w:type="spellStart"/>
      <w:r w:rsidRPr="006B59F1">
        <w:rPr>
          <w:rFonts w:ascii="Times New Roman" w:hAnsi="Times New Roman" w:cs="Times New Roman"/>
          <w:sz w:val="28"/>
          <w:szCs w:val="28"/>
          <w:lang w:val="en-US"/>
        </w:rPr>
        <w:t>Rytelewska</w:t>
      </w:r>
      <w:proofErr w:type="spellEnd"/>
      <w:r w:rsidRPr="006B59F1">
        <w:rPr>
          <w:rFonts w:ascii="Times New Roman" w:hAnsi="Times New Roman" w:cs="Times New Roman"/>
          <w:sz w:val="28"/>
          <w:szCs w:val="28"/>
          <w:lang w:val="en-US"/>
        </w:rPr>
        <w:t xml:space="preserve"> A. </w:t>
      </w:r>
      <w:proofErr w:type="spellStart"/>
      <w:r w:rsidRPr="006B59F1">
        <w:rPr>
          <w:rFonts w:ascii="Times New Roman" w:hAnsi="Times New Roman" w:cs="Times New Roman"/>
          <w:sz w:val="28"/>
          <w:szCs w:val="28"/>
          <w:lang w:val="en-US"/>
        </w:rPr>
        <w:t>Działania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przedsiębiorstw</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na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rzecz</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rozwoju</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pracowników</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jako</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podstawa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motywowania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osób</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utalentowanych</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Zeszyty</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Naukowe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Wyższej</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Szkoły</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Bankowej</w:t>
      </w:r>
      <w:proofErr w:type="spellEnd"/>
      <w:r w:rsidRPr="006B59F1">
        <w:rPr>
          <w:rFonts w:ascii="Times New Roman" w:hAnsi="Times New Roman" w:cs="Times New Roman"/>
          <w:sz w:val="28"/>
          <w:szCs w:val="28"/>
          <w:lang w:val="en-US"/>
        </w:rPr>
        <w:t xml:space="preserve"> we </w:t>
      </w:r>
      <w:proofErr w:type="spellStart"/>
      <w:r w:rsidRPr="006B59F1">
        <w:rPr>
          <w:rFonts w:ascii="Times New Roman" w:hAnsi="Times New Roman" w:cs="Times New Roman"/>
          <w:sz w:val="28"/>
          <w:szCs w:val="28"/>
          <w:lang w:val="en-US"/>
        </w:rPr>
        <w:t>Wrocławiu</w:t>
      </w:r>
      <w:proofErr w:type="spellEnd"/>
      <w:r w:rsidRPr="006B59F1">
        <w:rPr>
          <w:rFonts w:ascii="Times New Roman" w:hAnsi="Times New Roman" w:cs="Times New Roman"/>
          <w:sz w:val="28"/>
          <w:szCs w:val="28"/>
          <w:lang w:val="en-US"/>
        </w:rPr>
        <w:t>. 2014. № 8(46). P. 145-157.</w:t>
      </w:r>
    </w:p>
    <w:p w14:paraId="383B033A"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177. Gallardo- Gallardo E., </w:t>
      </w:r>
      <w:proofErr w:type="spellStart"/>
      <w:r w:rsidRPr="006B59F1">
        <w:rPr>
          <w:rFonts w:ascii="Times New Roman" w:hAnsi="Times New Roman" w:cs="Times New Roman"/>
          <w:sz w:val="28"/>
          <w:szCs w:val="28"/>
          <w:lang w:val="en-US"/>
        </w:rPr>
        <w:t>Nijs</w:t>
      </w:r>
      <w:proofErr w:type="spellEnd"/>
      <w:r w:rsidRPr="006B59F1">
        <w:rPr>
          <w:rFonts w:ascii="Times New Roman" w:hAnsi="Times New Roman" w:cs="Times New Roman"/>
          <w:sz w:val="28"/>
          <w:szCs w:val="28"/>
          <w:lang w:val="en-US"/>
        </w:rPr>
        <w:t xml:space="preserve"> S., Dries N., Gallo P. Towards an understanding of talent management as a phenomenon-driven field using bibliometric and content analysis. Human Resource Management Review. 2015. № 25(3). P. 264-279. </w:t>
      </w:r>
      <w:r w:rsidRPr="006B59F1">
        <w:rPr>
          <w:rFonts w:ascii="Times New Roman" w:hAnsi="Times New Roman" w:cs="Times New Roman"/>
          <w:color w:val="000000" w:themeColor="text1"/>
          <w:sz w:val="28"/>
          <w:szCs w:val="28"/>
          <w:lang w:val="en-US"/>
        </w:rPr>
        <w:t>DOI: https://doi.org/</w:t>
      </w:r>
      <w:r w:rsidRPr="006B59F1">
        <w:rPr>
          <w:rFonts w:ascii="Times New Roman" w:hAnsi="Times New Roman" w:cs="Times New Roman"/>
          <w:sz w:val="28"/>
          <w:szCs w:val="28"/>
          <w:lang w:val="en-US"/>
        </w:rPr>
        <w:t>10.1016/j.hrmr.2015.04.003</w:t>
      </w:r>
    </w:p>
    <w:p w14:paraId="4AF7A176"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178. Yarnall J. </w:t>
      </w:r>
      <w:proofErr w:type="spellStart"/>
      <w:r w:rsidRPr="006B59F1">
        <w:rPr>
          <w:rFonts w:ascii="Times New Roman" w:hAnsi="Times New Roman" w:cs="Times New Roman"/>
          <w:sz w:val="28"/>
          <w:szCs w:val="28"/>
          <w:lang w:val="en-US"/>
        </w:rPr>
        <w:t>Maximising</w:t>
      </w:r>
      <w:proofErr w:type="spellEnd"/>
      <w:r w:rsidRPr="006B59F1">
        <w:rPr>
          <w:rFonts w:ascii="Times New Roman" w:hAnsi="Times New Roman" w:cs="Times New Roman"/>
          <w:sz w:val="28"/>
          <w:szCs w:val="28"/>
          <w:lang w:val="en-US"/>
        </w:rPr>
        <w:t xml:space="preserve"> the effectiveness of talent pools: a review of case study literature. Leadership &amp; Organization Development Journal. 2021. Vol. 32 Issue: 5. P. 510-526.</w:t>
      </w:r>
    </w:p>
    <w:p w14:paraId="18F9FA18" w14:textId="1C0222F1"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179. </w:t>
      </w:r>
      <w:proofErr w:type="spellStart"/>
      <w:r w:rsidRPr="006B59F1">
        <w:rPr>
          <w:rFonts w:ascii="Times New Roman" w:hAnsi="Times New Roman" w:cs="Times New Roman"/>
          <w:sz w:val="28"/>
          <w:szCs w:val="28"/>
          <w:lang w:val="en-US"/>
        </w:rPr>
        <w:t>Listman</w:t>
      </w:r>
      <w:proofErr w:type="spellEnd"/>
      <w:r w:rsidRPr="006B59F1">
        <w:rPr>
          <w:rFonts w:ascii="Times New Roman" w:hAnsi="Times New Roman" w:cs="Times New Roman"/>
          <w:sz w:val="28"/>
          <w:szCs w:val="28"/>
          <w:lang w:val="en-US"/>
        </w:rPr>
        <w:t xml:space="preserve"> T. </w:t>
      </w:r>
      <w:proofErr w:type="spellStart"/>
      <w:r w:rsidRPr="006B59F1">
        <w:rPr>
          <w:rFonts w:ascii="Times New Roman" w:hAnsi="Times New Roman" w:cs="Times New Roman"/>
          <w:sz w:val="28"/>
          <w:szCs w:val="28"/>
          <w:lang w:val="en-US"/>
        </w:rPr>
        <w:t>Zarządzanie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talentami</w:t>
      </w:r>
      <w:proofErr w:type="spellEnd"/>
      <w:r w:rsidRPr="006B59F1">
        <w:rPr>
          <w:rFonts w:ascii="Times New Roman" w:hAnsi="Times New Roman" w:cs="Times New Roman"/>
          <w:sz w:val="28"/>
          <w:szCs w:val="28"/>
          <w:lang w:val="en-US"/>
        </w:rPr>
        <w:t xml:space="preserve"> </w:t>
      </w:r>
      <w:r w:rsidR="006B59F1">
        <w:rPr>
          <w:rFonts w:ascii="Times New Roman" w:hAnsi="Times New Roman" w:cs="Times New Roman"/>
          <w:sz w:val="28"/>
          <w:szCs w:val="28"/>
          <w:lang w:val="en-US"/>
        </w:rPr>
        <w:t>–</w:t>
      </w:r>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wyzwanie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współczesnych</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organizacji</w:t>
      </w:r>
      <w:proofErr w:type="spellEnd"/>
      <w:r w:rsidRPr="006B59F1">
        <w:rPr>
          <w:rFonts w:ascii="Times New Roman" w:hAnsi="Times New Roman" w:cs="Times New Roman"/>
          <w:sz w:val="28"/>
          <w:szCs w:val="28"/>
          <w:lang w:val="en-US"/>
        </w:rPr>
        <w:t xml:space="preserve">, w: </w:t>
      </w:r>
      <w:proofErr w:type="spellStart"/>
      <w:r w:rsidRPr="006B59F1">
        <w:rPr>
          <w:rFonts w:ascii="Times New Roman" w:hAnsi="Times New Roman" w:cs="Times New Roman"/>
          <w:sz w:val="28"/>
          <w:szCs w:val="28"/>
          <w:lang w:val="en-US"/>
        </w:rPr>
        <w:t>Zarządzanie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talentami</w:t>
      </w:r>
      <w:proofErr w:type="spellEnd"/>
      <w:r w:rsidRPr="006B59F1">
        <w:rPr>
          <w:rFonts w:ascii="Times New Roman" w:hAnsi="Times New Roman" w:cs="Times New Roman"/>
          <w:sz w:val="28"/>
          <w:szCs w:val="28"/>
          <w:lang w:val="en-US"/>
        </w:rPr>
        <w:t xml:space="preserve">, red. S. </w:t>
      </w:r>
      <w:proofErr w:type="spellStart"/>
      <w:r w:rsidRPr="006B59F1">
        <w:rPr>
          <w:rFonts w:ascii="Times New Roman" w:hAnsi="Times New Roman" w:cs="Times New Roman"/>
          <w:sz w:val="28"/>
          <w:szCs w:val="28"/>
          <w:lang w:val="en-US"/>
        </w:rPr>
        <w:t>Borkowska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IPiSS</w:t>
      </w:r>
      <w:proofErr w:type="spellEnd"/>
      <w:r w:rsidRPr="006B59F1">
        <w:rPr>
          <w:rFonts w:ascii="Times New Roman" w:hAnsi="Times New Roman" w:cs="Times New Roman"/>
          <w:sz w:val="28"/>
          <w:szCs w:val="28"/>
          <w:lang w:val="en-US"/>
        </w:rPr>
        <w:t xml:space="preserve">. Warszawa. 2015. </w:t>
      </w:r>
      <w:r w:rsidR="006B59F1">
        <w:rPr>
          <w:rFonts w:ascii="Times New Roman" w:hAnsi="Times New Roman" w:cs="Times New Roman"/>
          <w:sz w:val="28"/>
          <w:szCs w:val="28"/>
          <w:lang w:val="uk-UA"/>
        </w:rPr>
        <w:t>Р</w:t>
      </w:r>
      <w:r w:rsidRPr="006B59F1">
        <w:rPr>
          <w:rFonts w:ascii="Times New Roman" w:hAnsi="Times New Roman" w:cs="Times New Roman"/>
          <w:sz w:val="28"/>
          <w:szCs w:val="28"/>
          <w:lang w:val="en-US"/>
        </w:rPr>
        <w:t>. 21-26.</w:t>
      </w:r>
    </w:p>
    <w:p w14:paraId="48FC3679"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180. Barlow L. Talent development: the new imperative? Development and Learning in Organizations: An International Journal. 2006. Vol. 20 Issue: 3. P. 6-9. </w:t>
      </w:r>
    </w:p>
    <w:p w14:paraId="0EC28BF0" w14:textId="77777777" w:rsidR="00571B42" w:rsidRPr="005D1B0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181. Hansen F. What is talent. Workforce Management. 2017. № 86(1). P</w:t>
      </w:r>
      <w:r w:rsidRPr="005D1B01">
        <w:rPr>
          <w:rFonts w:ascii="Times New Roman" w:hAnsi="Times New Roman" w:cs="Times New Roman"/>
          <w:sz w:val="28"/>
          <w:szCs w:val="28"/>
          <w:lang w:val="en-US"/>
        </w:rPr>
        <w:t>.12-13.</w:t>
      </w:r>
    </w:p>
    <w:p w14:paraId="587F30B5"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5D1B01">
        <w:rPr>
          <w:rFonts w:ascii="Times New Roman" w:hAnsi="Times New Roman" w:cs="Times New Roman"/>
          <w:sz w:val="28"/>
          <w:szCs w:val="28"/>
          <w:lang w:val="en-US"/>
        </w:rPr>
        <w:lastRenderedPageBreak/>
        <w:t xml:space="preserve">182. </w:t>
      </w:r>
      <w:r w:rsidRPr="006B59F1">
        <w:rPr>
          <w:rFonts w:ascii="Times New Roman" w:hAnsi="Times New Roman" w:cs="Times New Roman"/>
          <w:sz w:val="28"/>
          <w:szCs w:val="28"/>
          <w:lang w:val="en-US"/>
        </w:rPr>
        <w:t>Stuart-</w:t>
      </w:r>
      <w:proofErr w:type="spellStart"/>
      <w:r w:rsidRPr="006B59F1">
        <w:rPr>
          <w:rFonts w:ascii="Times New Roman" w:hAnsi="Times New Roman" w:cs="Times New Roman"/>
          <w:sz w:val="28"/>
          <w:szCs w:val="28"/>
          <w:lang w:val="en-US"/>
        </w:rPr>
        <w:t>Koetze</w:t>
      </w:r>
      <w:proofErr w:type="spellEnd"/>
      <w:r w:rsidRPr="006B59F1">
        <w:rPr>
          <w:rFonts w:ascii="Times New Roman" w:hAnsi="Times New Roman" w:cs="Times New Roman"/>
          <w:sz w:val="28"/>
          <w:szCs w:val="28"/>
          <w:lang w:val="en-US"/>
        </w:rPr>
        <w:t xml:space="preserve"> R., Dunn C. </w:t>
      </w:r>
      <w:proofErr w:type="spellStart"/>
      <w:r w:rsidRPr="006B59F1">
        <w:rPr>
          <w:rFonts w:ascii="Times New Roman" w:hAnsi="Times New Roman" w:cs="Times New Roman"/>
          <w:sz w:val="28"/>
          <w:szCs w:val="28"/>
          <w:lang w:val="en-US"/>
        </w:rPr>
        <w:t>Skuteczne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zarzadzanie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talentami</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Odkryj</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potencjał</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swoich</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pracowników</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Oficyna</w:t>
      </w:r>
      <w:proofErr w:type="spellEnd"/>
      <w:r w:rsidRPr="006B59F1">
        <w:rPr>
          <w:rFonts w:ascii="Times New Roman" w:hAnsi="Times New Roman" w:cs="Times New Roman"/>
          <w:sz w:val="28"/>
          <w:szCs w:val="28"/>
          <w:lang w:val="en-US"/>
        </w:rPr>
        <w:t xml:space="preserve"> Wolters Kluwer Business Warszawa. 2013. P. 24-25.</w:t>
      </w:r>
    </w:p>
    <w:p w14:paraId="227C6446"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183. Ulrich D. Call for talent: What </w:t>
      </w:r>
      <w:proofErr w:type="gramStart"/>
      <w:r w:rsidRPr="006B59F1">
        <w:rPr>
          <w:rFonts w:ascii="Times New Roman" w:hAnsi="Times New Roman" w:cs="Times New Roman"/>
          <w:sz w:val="28"/>
          <w:szCs w:val="28"/>
          <w:lang w:val="en-US"/>
        </w:rPr>
        <w:t>is</w:t>
      </w:r>
      <w:proofErr w:type="gramEnd"/>
      <w:r w:rsidRPr="006B59F1">
        <w:rPr>
          <w:rFonts w:ascii="Times New Roman" w:hAnsi="Times New Roman" w:cs="Times New Roman"/>
          <w:sz w:val="28"/>
          <w:szCs w:val="28"/>
          <w:lang w:val="en-US"/>
        </w:rPr>
        <w:t xml:space="preserve"> the best solutions? Leadership Excellence. 2018. № 25(5). P. 17. URL: https://www.researchgate.net/publication/291178268_ </w:t>
      </w:r>
      <w:proofErr w:type="spellStart"/>
      <w:r w:rsidRPr="006B59F1">
        <w:rPr>
          <w:rFonts w:ascii="Times New Roman" w:hAnsi="Times New Roman" w:cs="Times New Roman"/>
          <w:sz w:val="28"/>
          <w:szCs w:val="28"/>
          <w:lang w:val="en-US"/>
        </w:rPr>
        <w:t>Call_for_talent</w:t>
      </w:r>
      <w:proofErr w:type="spellEnd"/>
      <w:r w:rsidRPr="006B59F1">
        <w:rPr>
          <w:rFonts w:ascii="Times New Roman" w:hAnsi="Times New Roman" w:cs="Times New Roman"/>
          <w:sz w:val="28"/>
          <w:szCs w:val="28"/>
          <w:lang w:val="en-US"/>
        </w:rPr>
        <w:t xml:space="preserve"> _</w:t>
      </w:r>
      <w:proofErr w:type="spellStart"/>
      <w:r w:rsidRPr="006B59F1">
        <w:rPr>
          <w:rFonts w:ascii="Times New Roman" w:hAnsi="Times New Roman" w:cs="Times New Roman"/>
          <w:sz w:val="28"/>
          <w:szCs w:val="28"/>
          <w:lang w:val="en-US"/>
        </w:rPr>
        <w:t>What_is_the_best_solutions</w:t>
      </w:r>
      <w:proofErr w:type="spellEnd"/>
      <w:r w:rsidRPr="006B59F1">
        <w:rPr>
          <w:rFonts w:ascii="Times New Roman" w:hAnsi="Times New Roman" w:cs="Times New Roman"/>
          <w:sz w:val="28"/>
          <w:szCs w:val="28"/>
          <w:lang w:val="en-US"/>
        </w:rPr>
        <w:t xml:space="preserve"> (</w:t>
      </w:r>
      <w:r w:rsidRPr="006B59F1">
        <w:rPr>
          <w:rFonts w:ascii="Times New Roman" w:hAnsi="Times New Roman" w:cs="Times New Roman"/>
          <w:sz w:val="28"/>
          <w:szCs w:val="28"/>
        </w:rPr>
        <w:t>дата</w:t>
      </w:r>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rPr>
        <w:t>звернення</w:t>
      </w:r>
      <w:proofErr w:type="spellEnd"/>
      <w:r w:rsidRPr="006B59F1">
        <w:rPr>
          <w:rFonts w:ascii="Times New Roman" w:hAnsi="Times New Roman" w:cs="Times New Roman"/>
          <w:sz w:val="28"/>
          <w:szCs w:val="28"/>
          <w:lang w:val="en-US"/>
        </w:rPr>
        <w:t>: 12.02.2024).</w:t>
      </w:r>
    </w:p>
    <w:p w14:paraId="191FA713"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184. Cheese P. Talent: A critical issue facing. The British Journal of Administrative Management. 2018. №. 2. P. 18-19.</w:t>
      </w:r>
    </w:p>
    <w:p w14:paraId="6E594EFA"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185. Davies B. Talent management in academies. International Journal of Educational Management. 2020. № 24 (5). P. 418-426. </w:t>
      </w:r>
      <w:r w:rsidRPr="006B59F1">
        <w:rPr>
          <w:rFonts w:ascii="Times New Roman" w:hAnsi="Times New Roman" w:cs="Times New Roman"/>
          <w:color w:val="000000" w:themeColor="text1"/>
          <w:sz w:val="28"/>
          <w:szCs w:val="28"/>
          <w:lang w:val="en-US"/>
        </w:rPr>
        <w:t xml:space="preserve">DOI: </w:t>
      </w:r>
      <w:r w:rsidRPr="006B59F1">
        <w:rPr>
          <w:rFonts w:ascii="Times New Roman" w:hAnsi="Times New Roman" w:cs="Times New Roman"/>
          <w:sz w:val="28"/>
          <w:szCs w:val="28"/>
          <w:lang w:val="en-US"/>
        </w:rPr>
        <w:t>https://doi.org/10.1108/09513541011055983.</w:t>
      </w:r>
    </w:p>
    <w:p w14:paraId="7337CD2B"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186. Downs Y., </w:t>
      </w:r>
      <w:proofErr w:type="spellStart"/>
      <w:r w:rsidRPr="006B59F1">
        <w:rPr>
          <w:rFonts w:ascii="Times New Roman" w:hAnsi="Times New Roman" w:cs="Times New Roman"/>
          <w:sz w:val="28"/>
          <w:szCs w:val="28"/>
          <w:lang w:val="en-US"/>
        </w:rPr>
        <w:t>Swailes</w:t>
      </w:r>
      <w:proofErr w:type="spellEnd"/>
      <w:r w:rsidRPr="006B59F1">
        <w:rPr>
          <w:rFonts w:ascii="Times New Roman" w:hAnsi="Times New Roman" w:cs="Times New Roman"/>
          <w:sz w:val="28"/>
          <w:szCs w:val="28"/>
          <w:lang w:val="en-US"/>
        </w:rPr>
        <w:t xml:space="preserve"> S. A capability approach to organizational talent management. Human Resource Development International. 2023. №16 (3). P.267-281.</w:t>
      </w:r>
    </w:p>
    <w:p w14:paraId="3EC6F0AB"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187. Meyers M. C., van </w:t>
      </w:r>
      <w:proofErr w:type="spellStart"/>
      <w:r w:rsidRPr="006B59F1">
        <w:rPr>
          <w:rFonts w:ascii="Times New Roman" w:hAnsi="Times New Roman" w:cs="Times New Roman"/>
          <w:sz w:val="28"/>
          <w:szCs w:val="28"/>
          <w:lang w:val="en-US"/>
        </w:rPr>
        <w:t>Woerkom</w:t>
      </w:r>
      <w:proofErr w:type="spellEnd"/>
      <w:r w:rsidRPr="006B59F1">
        <w:rPr>
          <w:rFonts w:ascii="Times New Roman" w:hAnsi="Times New Roman" w:cs="Times New Roman"/>
          <w:sz w:val="28"/>
          <w:szCs w:val="28"/>
          <w:lang w:val="en-US"/>
        </w:rPr>
        <w:t xml:space="preserve"> M., Dries N. Talent: Innate or acquired? Theoretical considerations and their implications for talent management. Human Resource Management Review. 2013. № 23(4). P. 305-321. </w:t>
      </w:r>
      <w:r w:rsidRPr="006B59F1">
        <w:rPr>
          <w:rFonts w:ascii="Times New Roman" w:hAnsi="Times New Roman" w:cs="Times New Roman"/>
          <w:color w:val="000000" w:themeColor="text1"/>
          <w:sz w:val="28"/>
          <w:szCs w:val="28"/>
          <w:lang w:val="en-US"/>
        </w:rPr>
        <w:t xml:space="preserve">DOI: </w:t>
      </w:r>
      <w:r w:rsidRPr="006B59F1">
        <w:rPr>
          <w:rFonts w:ascii="Times New Roman" w:hAnsi="Times New Roman" w:cs="Times New Roman"/>
          <w:sz w:val="28"/>
          <w:szCs w:val="28"/>
          <w:lang w:val="en-US"/>
        </w:rPr>
        <w:t>https://doi.org/10.1016/j.hrmr.2013.05.003</w:t>
      </w:r>
    </w:p>
    <w:p w14:paraId="710BA84F"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188. Catlin K., Matthews J. Building the awesome organization. Six essential components that drive entrepreneurial growth. New York: Hungry Minds. 2022. P. 14-31. </w:t>
      </w:r>
    </w:p>
    <w:p w14:paraId="6744D6E2"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189. Berger L. A., Berger D. R. Talent Management Handbook: Creating Organizational Excellence </w:t>
      </w:r>
      <w:proofErr w:type="gramStart"/>
      <w:r w:rsidRPr="006B59F1">
        <w:rPr>
          <w:rFonts w:ascii="Times New Roman" w:hAnsi="Times New Roman" w:cs="Times New Roman"/>
          <w:sz w:val="28"/>
          <w:szCs w:val="28"/>
          <w:lang w:val="en-US"/>
        </w:rPr>
        <w:t>By</w:t>
      </w:r>
      <w:proofErr w:type="gramEnd"/>
      <w:r w:rsidRPr="006B59F1">
        <w:rPr>
          <w:rFonts w:ascii="Times New Roman" w:hAnsi="Times New Roman" w:cs="Times New Roman"/>
          <w:sz w:val="28"/>
          <w:szCs w:val="28"/>
          <w:lang w:val="en-US"/>
        </w:rPr>
        <w:t xml:space="preserve"> Identifying. Developing &amp; Promoting Your Best People. New York: McGraw-Hill. 2023. 450 p.</w:t>
      </w:r>
    </w:p>
    <w:p w14:paraId="56F4836D"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190. </w:t>
      </w:r>
      <w:proofErr w:type="spellStart"/>
      <w:r w:rsidRPr="006B59F1">
        <w:rPr>
          <w:rFonts w:ascii="Times New Roman" w:hAnsi="Times New Roman" w:cs="Times New Roman"/>
          <w:sz w:val="28"/>
          <w:szCs w:val="28"/>
          <w:lang w:val="en-US"/>
        </w:rPr>
        <w:t>Borkowska</w:t>
      </w:r>
      <w:proofErr w:type="spellEnd"/>
      <w:r w:rsidRPr="006B59F1">
        <w:rPr>
          <w:rFonts w:ascii="Times New Roman" w:hAnsi="Times New Roman" w:cs="Times New Roman"/>
          <w:sz w:val="28"/>
          <w:szCs w:val="28"/>
          <w:lang w:val="en-US"/>
        </w:rPr>
        <w:t xml:space="preserve"> S. </w:t>
      </w:r>
      <w:proofErr w:type="spellStart"/>
      <w:r w:rsidRPr="006B59F1">
        <w:rPr>
          <w:rFonts w:ascii="Times New Roman" w:hAnsi="Times New Roman" w:cs="Times New Roman"/>
          <w:sz w:val="28"/>
          <w:szCs w:val="28"/>
          <w:lang w:val="en-US"/>
        </w:rPr>
        <w:t>Zarz</w:t>
      </w:r>
      <w:r w:rsidRPr="006B59F1">
        <w:rPr>
          <w:rFonts w:ascii="Times New Roman" w:hAnsi="Times New Roman" w:cs="Times New Roman" w:hint="eastAsia"/>
          <w:sz w:val="28"/>
          <w:szCs w:val="28"/>
          <w:lang w:val="en-US"/>
        </w:rPr>
        <w:t>ą</w:t>
      </w:r>
      <w:r w:rsidRPr="006B59F1">
        <w:rPr>
          <w:rFonts w:ascii="Times New Roman" w:hAnsi="Times New Roman" w:cs="Times New Roman"/>
          <w:sz w:val="28"/>
          <w:szCs w:val="28"/>
          <w:lang w:val="en-US"/>
        </w:rPr>
        <w:t>dzanie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talentami</w:t>
      </w:r>
      <w:proofErr w:type="spellEnd"/>
      <w:r w:rsidRPr="006B59F1">
        <w:rPr>
          <w:rFonts w:ascii="Times New Roman" w:hAnsi="Times New Roman" w:cs="Times New Roman"/>
          <w:sz w:val="28"/>
          <w:szCs w:val="28"/>
          <w:lang w:val="en-US"/>
        </w:rPr>
        <w:t xml:space="preserve">. Warszawa: </w:t>
      </w:r>
      <w:proofErr w:type="spellStart"/>
      <w:r w:rsidRPr="006B59F1">
        <w:rPr>
          <w:rFonts w:ascii="Times New Roman" w:hAnsi="Times New Roman" w:cs="Times New Roman"/>
          <w:sz w:val="28"/>
          <w:szCs w:val="28"/>
          <w:lang w:val="en-US"/>
        </w:rPr>
        <w:t>IPiSS</w:t>
      </w:r>
      <w:proofErr w:type="spellEnd"/>
      <w:r w:rsidRPr="006B59F1">
        <w:rPr>
          <w:rFonts w:ascii="Times New Roman" w:hAnsi="Times New Roman" w:cs="Times New Roman"/>
          <w:sz w:val="28"/>
          <w:szCs w:val="28"/>
          <w:lang w:val="en-US"/>
        </w:rPr>
        <w:t>. 2015. 146 p.</w:t>
      </w:r>
    </w:p>
    <w:p w14:paraId="7D62D8F1" w14:textId="5A7901C5"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191. </w:t>
      </w:r>
      <w:proofErr w:type="spellStart"/>
      <w:r w:rsidRPr="006B59F1">
        <w:rPr>
          <w:rFonts w:ascii="Times New Roman" w:hAnsi="Times New Roman" w:cs="Times New Roman"/>
          <w:sz w:val="28"/>
          <w:szCs w:val="28"/>
          <w:lang w:val="en-US"/>
        </w:rPr>
        <w:t>Tansley</w:t>
      </w:r>
      <w:proofErr w:type="spellEnd"/>
      <w:r w:rsidRPr="006B59F1">
        <w:rPr>
          <w:rFonts w:ascii="Times New Roman" w:hAnsi="Times New Roman" w:cs="Times New Roman"/>
          <w:sz w:val="28"/>
          <w:szCs w:val="28"/>
          <w:lang w:val="en-US"/>
        </w:rPr>
        <w:t xml:space="preserve"> C. What do we mean by the term </w:t>
      </w:r>
      <w:r w:rsidR="006B59F1">
        <w:rPr>
          <w:rFonts w:ascii="Times New Roman" w:hAnsi="Times New Roman" w:cs="Times New Roman"/>
          <w:sz w:val="28"/>
          <w:szCs w:val="28"/>
          <w:lang w:val="uk-UA"/>
        </w:rPr>
        <w:t>«</w:t>
      </w:r>
      <w:r w:rsidRPr="006B59F1">
        <w:rPr>
          <w:rFonts w:ascii="Times New Roman" w:hAnsi="Times New Roman" w:cs="Times New Roman"/>
          <w:sz w:val="28"/>
          <w:szCs w:val="28"/>
          <w:lang w:val="en-US"/>
        </w:rPr>
        <w:t>talent</w:t>
      </w:r>
      <w:r w:rsidR="006B59F1">
        <w:rPr>
          <w:rFonts w:ascii="Times New Roman" w:hAnsi="Times New Roman" w:cs="Times New Roman"/>
          <w:sz w:val="28"/>
          <w:szCs w:val="28"/>
          <w:lang w:val="uk-UA"/>
        </w:rPr>
        <w:t>»</w:t>
      </w:r>
      <w:r w:rsidRPr="006B59F1">
        <w:rPr>
          <w:rFonts w:ascii="Times New Roman" w:hAnsi="Times New Roman" w:cs="Times New Roman"/>
          <w:sz w:val="28"/>
          <w:szCs w:val="28"/>
          <w:lang w:val="en-US"/>
        </w:rPr>
        <w:t xml:space="preserve"> in talent management? Industrial and Commercial Training</w:t>
      </w:r>
      <w:r w:rsidRPr="006B59F1">
        <w:rPr>
          <w:rFonts w:ascii="Times New Roman" w:hAnsi="Times New Roman" w:cs="Times New Roman"/>
          <w:sz w:val="28"/>
          <w:szCs w:val="28"/>
          <w:lang w:val="uk-UA"/>
        </w:rPr>
        <w:t>.</w:t>
      </w:r>
      <w:r w:rsidRPr="006B59F1">
        <w:rPr>
          <w:rFonts w:ascii="Times New Roman" w:hAnsi="Times New Roman" w:cs="Times New Roman"/>
          <w:sz w:val="28"/>
          <w:szCs w:val="28"/>
          <w:lang w:val="en-US"/>
        </w:rPr>
        <w:t xml:space="preserve"> 2011. </w:t>
      </w:r>
      <w:r w:rsidRPr="006B59F1">
        <w:rPr>
          <w:rFonts w:ascii="Times New Roman" w:hAnsi="Times New Roman" w:cs="Times New Roman"/>
          <w:sz w:val="28"/>
          <w:szCs w:val="28"/>
          <w:lang w:val="uk-UA"/>
        </w:rPr>
        <w:t xml:space="preserve">№ </w:t>
      </w:r>
      <w:r w:rsidRPr="006B59F1">
        <w:rPr>
          <w:rFonts w:ascii="Times New Roman" w:hAnsi="Times New Roman" w:cs="Times New Roman"/>
          <w:sz w:val="28"/>
          <w:szCs w:val="28"/>
          <w:lang w:val="en-US"/>
        </w:rPr>
        <w:t xml:space="preserve">43 (5). </w:t>
      </w:r>
      <w:r w:rsidRPr="006B59F1">
        <w:rPr>
          <w:rFonts w:ascii="Times New Roman" w:hAnsi="Times New Roman" w:cs="Times New Roman"/>
          <w:sz w:val="28"/>
          <w:szCs w:val="28"/>
        </w:rPr>
        <w:t>Р</w:t>
      </w:r>
      <w:r w:rsidRPr="006B59F1">
        <w:rPr>
          <w:rFonts w:ascii="Times New Roman" w:hAnsi="Times New Roman" w:cs="Times New Roman"/>
          <w:sz w:val="28"/>
          <w:szCs w:val="28"/>
          <w:lang w:val="en-US"/>
        </w:rPr>
        <w:t>. 266–274.</w:t>
      </w:r>
    </w:p>
    <w:p w14:paraId="5429886A"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192. Mis A., </w:t>
      </w:r>
      <w:proofErr w:type="spellStart"/>
      <w:r w:rsidRPr="006B59F1">
        <w:rPr>
          <w:rFonts w:ascii="Times New Roman" w:hAnsi="Times New Roman" w:cs="Times New Roman"/>
          <w:sz w:val="28"/>
          <w:szCs w:val="28"/>
          <w:lang w:val="en-US"/>
        </w:rPr>
        <w:t>Pocztowski</w:t>
      </w:r>
      <w:proofErr w:type="spellEnd"/>
      <w:r w:rsidRPr="006B59F1">
        <w:rPr>
          <w:rFonts w:ascii="Times New Roman" w:hAnsi="Times New Roman" w:cs="Times New Roman"/>
          <w:sz w:val="28"/>
          <w:szCs w:val="28"/>
          <w:lang w:val="en-US"/>
        </w:rPr>
        <w:t xml:space="preserve"> A. </w:t>
      </w:r>
      <w:proofErr w:type="spellStart"/>
      <w:r w:rsidRPr="006B59F1">
        <w:rPr>
          <w:rFonts w:ascii="Times New Roman" w:hAnsi="Times New Roman" w:cs="Times New Roman"/>
          <w:sz w:val="28"/>
          <w:szCs w:val="28"/>
          <w:lang w:val="en-US"/>
        </w:rPr>
        <w:t>Istota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talentu</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i</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zarządzania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talentami</w:t>
      </w:r>
      <w:proofErr w:type="spellEnd"/>
      <w:r w:rsidRPr="006B59F1">
        <w:rPr>
          <w:rFonts w:ascii="Times New Roman" w:hAnsi="Times New Roman" w:cs="Times New Roman"/>
          <w:sz w:val="28"/>
          <w:szCs w:val="28"/>
          <w:lang w:val="en-US"/>
        </w:rPr>
        <w:t xml:space="preserve">, w: </w:t>
      </w:r>
      <w:proofErr w:type="spellStart"/>
      <w:r w:rsidRPr="006B59F1">
        <w:rPr>
          <w:rFonts w:ascii="Times New Roman" w:hAnsi="Times New Roman" w:cs="Times New Roman"/>
          <w:sz w:val="28"/>
          <w:szCs w:val="28"/>
          <w:lang w:val="en-US"/>
        </w:rPr>
        <w:t>Zarządzanie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talentami</w:t>
      </w:r>
      <w:proofErr w:type="spellEnd"/>
      <w:r w:rsidRPr="006B59F1">
        <w:rPr>
          <w:rFonts w:ascii="Times New Roman" w:hAnsi="Times New Roman" w:cs="Times New Roman"/>
          <w:sz w:val="28"/>
          <w:szCs w:val="28"/>
          <w:lang w:val="en-US"/>
        </w:rPr>
        <w:t xml:space="preserve"> w </w:t>
      </w:r>
      <w:proofErr w:type="spellStart"/>
      <w:r w:rsidRPr="006B59F1">
        <w:rPr>
          <w:rFonts w:ascii="Times New Roman" w:hAnsi="Times New Roman" w:cs="Times New Roman"/>
          <w:sz w:val="28"/>
          <w:szCs w:val="28"/>
          <w:lang w:val="en-US"/>
        </w:rPr>
        <w:t>organizacji</w:t>
      </w:r>
      <w:proofErr w:type="spellEnd"/>
      <w:r w:rsidRPr="006B59F1">
        <w:rPr>
          <w:rFonts w:ascii="Times New Roman" w:hAnsi="Times New Roman" w:cs="Times New Roman"/>
          <w:sz w:val="28"/>
          <w:szCs w:val="28"/>
          <w:lang w:val="en-US"/>
        </w:rPr>
        <w:t xml:space="preserve">, red. A. </w:t>
      </w:r>
      <w:proofErr w:type="spellStart"/>
      <w:r w:rsidRPr="006B59F1">
        <w:rPr>
          <w:rFonts w:ascii="Times New Roman" w:hAnsi="Times New Roman" w:cs="Times New Roman"/>
          <w:sz w:val="28"/>
          <w:szCs w:val="28"/>
          <w:lang w:val="en-US"/>
        </w:rPr>
        <w:t>Pocztowski</w:t>
      </w:r>
      <w:proofErr w:type="spellEnd"/>
      <w:r w:rsidRPr="006B59F1">
        <w:rPr>
          <w:rFonts w:ascii="Times New Roman" w:hAnsi="Times New Roman" w:cs="Times New Roman"/>
          <w:sz w:val="28"/>
          <w:szCs w:val="28"/>
          <w:lang w:val="en-US"/>
        </w:rPr>
        <w:t xml:space="preserve">. Kraków: </w:t>
      </w:r>
      <w:proofErr w:type="spellStart"/>
      <w:r w:rsidRPr="006B59F1">
        <w:rPr>
          <w:rFonts w:ascii="Times New Roman" w:hAnsi="Times New Roman" w:cs="Times New Roman"/>
          <w:sz w:val="28"/>
          <w:szCs w:val="28"/>
          <w:lang w:val="en-US"/>
        </w:rPr>
        <w:t>Oficyna</w:t>
      </w:r>
      <w:proofErr w:type="spellEnd"/>
      <w:r w:rsidRPr="006B59F1">
        <w:rPr>
          <w:rFonts w:ascii="Times New Roman" w:hAnsi="Times New Roman" w:cs="Times New Roman"/>
          <w:sz w:val="28"/>
          <w:szCs w:val="28"/>
          <w:lang w:val="en-US"/>
        </w:rPr>
        <w:t xml:space="preserve"> Wolters Kluwer Business. 2008. P. 36-62.</w:t>
      </w:r>
    </w:p>
    <w:p w14:paraId="586335E1" w14:textId="77777777" w:rsidR="00571B42" w:rsidRPr="005D1B0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5D1B01">
        <w:rPr>
          <w:rFonts w:ascii="Times New Roman" w:hAnsi="Times New Roman" w:cs="Times New Roman"/>
          <w:sz w:val="28"/>
          <w:szCs w:val="28"/>
          <w:lang w:val="en-US"/>
        </w:rPr>
        <w:lastRenderedPageBreak/>
        <w:t xml:space="preserve">193. Zheng C., Hyland P., </w:t>
      </w:r>
      <w:proofErr w:type="spellStart"/>
      <w:r w:rsidRPr="005D1B01">
        <w:rPr>
          <w:rFonts w:ascii="Times New Roman" w:hAnsi="Times New Roman" w:cs="Times New Roman"/>
          <w:sz w:val="28"/>
          <w:szCs w:val="28"/>
          <w:lang w:val="en-US"/>
        </w:rPr>
        <w:t>Soosay</w:t>
      </w:r>
      <w:proofErr w:type="spellEnd"/>
      <w:r w:rsidRPr="005D1B01">
        <w:rPr>
          <w:rFonts w:ascii="Times New Roman" w:hAnsi="Times New Roman" w:cs="Times New Roman"/>
          <w:sz w:val="28"/>
          <w:szCs w:val="28"/>
          <w:lang w:val="en-US"/>
        </w:rPr>
        <w:t xml:space="preserve"> C. Exploring training issues of multinational companies in Asia. Las Vegas: IAMB 2017 conference. 2017. P. 1-13. URL: https://www.researchgate.net/publication/279510599_Exploring_training_issues_of_multinational_companies_in_Asia (</w:t>
      </w:r>
      <w:r w:rsidRPr="009D4AD3">
        <w:rPr>
          <w:rFonts w:ascii="Times New Roman" w:hAnsi="Times New Roman" w:cs="Times New Roman"/>
          <w:sz w:val="28"/>
          <w:szCs w:val="28"/>
        </w:rPr>
        <w:t>дата</w:t>
      </w:r>
      <w:r w:rsidRPr="005D1B01">
        <w:rPr>
          <w:rFonts w:ascii="Times New Roman" w:hAnsi="Times New Roman" w:cs="Times New Roman"/>
          <w:sz w:val="28"/>
          <w:szCs w:val="28"/>
          <w:lang w:val="en-US"/>
        </w:rPr>
        <w:t xml:space="preserve"> </w:t>
      </w:r>
      <w:proofErr w:type="spellStart"/>
      <w:r w:rsidRPr="009D4AD3">
        <w:rPr>
          <w:rFonts w:ascii="Times New Roman" w:hAnsi="Times New Roman" w:cs="Times New Roman"/>
          <w:sz w:val="28"/>
          <w:szCs w:val="28"/>
        </w:rPr>
        <w:t>звернення</w:t>
      </w:r>
      <w:proofErr w:type="spellEnd"/>
      <w:r w:rsidRPr="005D1B01">
        <w:rPr>
          <w:rFonts w:ascii="Times New Roman" w:hAnsi="Times New Roman" w:cs="Times New Roman"/>
          <w:sz w:val="28"/>
          <w:szCs w:val="28"/>
          <w:lang w:val="en-US"/>
        </w:rPr>
        <w:t>: 12.02.2024).</w:t>
      </w:r>
    </w:p>
    <w:p w14:paraId="7116DDBD"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5D1B01">
        <w:rPr>
          <w:rFonts w:ascii="Times New Roman" w:hAnsi="Times New Roman" w:cs="Times New Roman"/>
          <w:sz w:val="28"/>
          <w:szCs w:val="28"/>
          <w:lang w:val="en-US"/>
        </w:rPr>
        <w:t xml:space="preserve">194. </w:t>
      </w:r>
      <w:proofErr w:type="spellStart"/>
      <w:r w:rsidRPr="006B59F1">
        <w:rPr>
          <w:rFonts w:ascii="Times New Roman" w:hAnsi="Times New Roman" w:cs="Times New Roman"/>
          <w:sz w:val="28"/>
          <w:szCs w:val="28"/>
          <w:lang w:val="en-US"/>
        </w:rPr>
        <w:t>Morawski</w:t>
      </w:r>
      <w:proofErr w:type="spellEnd"/>
      <w:r w:rsidRPr="006B59F1">
        <w:rPr>
          <w:rFonts w:ascii="Times New Roman" w:hAnsi="Times New Roman" w:cs="Times New Roman"/>
          <w:sz w:val="28"/>
          <w:szCs w:val="28"/>
          <w:lang w:val="en-US"/>
        </w:rPr>
        <w:t xml:space="preserve"> M., </w:t>
      </w:r>
      <w:proofErr w:type="spellStart"/>
      <w:r w:rsidRPr="006B59F1">
        <w:rPr>
          <w:rFonts w:ascii="Times New Roman" w:hAnsi="Times New Roman" w:cs="Times New Roman"/>
          <w:sz w:val="28"/>
          <w:szCs w:val="28"/>
          <w:lang w:val="en-US"/>
        </w:rPr>
        <w:t>Mikula</w:t>
      </w:r>
      <w:proofErr w:type="spellEnd"/>
      <w:r w:rsidRPr="006B59F1">
        <w:rPr>
          <w:rFonts w:ascii="Times New Roman" w:hAnsi="Times New Roman" w:cs="Times New Roman"/>
          <w:sz w:val="28"/>
          <w:szCs w:val="28"/>
          <w:lang w:val="en-US"/>
        </w:rPr>
        <w:t xml:space="preserve"> B. </w:t>
      </w:r>
      <w:proofErr w:type="spellStart"/>
      <w:r w:rsidRPr="006B59F1">
        <w:rPr>
          <w:rFonts w:ascii="Times New Roman" w:hAnsi="Times New Roman" w:cs="Times New Roman"/>
          <w:sz w:val="28"/>
          <w:szCs w:val="28"/>
          <w:lang w:val="en-US"/>
        </w:rPr>
        <w:t>Zarządzanie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talentami</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Podstawowe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procesy</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i</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wytyczne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tworzenia</w:t>
      </w:r>
      <w:proofErr w:type="spellEnd"/>
      <w:r w:rsidRPr="006B59F1">
        <w:rPr>
          <w:rFonts w:ascii="Times New Roman" w:hAnsi="Times New Roman" w:cs="Times New Roman"/>
          <w:sz w:val="28"/>
          <w:szCs w:val="28"/>
          <w:lang w:val="en-US"/>
        </w:rPr>
        <w:t xml:space="preserve"> system. </w:t>
      </w:r>
      <w:proofErr w:type="spellStart"/>
      <w:r w:rsidRPr="006B59F1">
        <w:rPr>
          <w:rFonts w:ascii="Times New Roman" w:hAnsi="Times New Roman" w:cs="Times New Roman"/>
          <w:sz w:val="28"/>
          <w:szCs w:val="28"/>
          <w:lang w:val="en-US"/>
        </w:rPr>
        <w:t>Zarządzanie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Zasobami</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Ludzkimi</w:t>
      </w:r>
      <w:proofErr w:type="spellEnd"/>
      <w:r w:rsidRPr="006B59F1">
        <w:rPr>
          <w:rFonts w:ascii="Times New Roman" w:hAnsi="Times New Roman" w:cs="Times New Roman"/>
          <w:sz w:val="28"/>
          <w:szCs w:val="28"/>
          <w:lang w:val="en-US"/>
        </w:rPr>
        <w:t>. 2019. № 3-4. P. 47-59.</w:t>
      </w:r>
    </w:p>
    <w:p w14:paraId="1545962C"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195. Wojcik P. Shortage of Talents – a Challenge for Modern Organizations. International Journal of Synergy and Research. 2017. Vol. 6. P.123-135. </w:t>
      </w:r>
      <w:r w:rsidRPr="006B59F1">
        <w:rPr>
          <w:rFonts w:ascii="Times New Roman" w:hAnsi="Times New Roman" w:cs="Times New Roman"/>
          <w:color w:val="000000" w:themeColor="text1"/>
          <w:sz w:val="28"/>
          <w:szCs w:val="28"/>
          <w:lang w:val="en-US"/>
        </w:rPr>
        <w:t xml:space="preserve">DOI: </w:t>
      </w:r>
      <w:r w:rsidRPr="006B59F1">
        <w:rPr>
          <w:rFonts w:ascii="Times New Roman" w:hAnsi="Times New Roman" w:cs="Times New Roman"/>
          <w:sz w:val="28"/>
          <w:szCs w:val="28"/>
          <w:lang w:val="en-US"/>
        </w:rPr>
        <w:t>https://doi.org/</w:t>
      </w:r>
      <w:r w:rsidRPr="006B59F1">
        <w:rPr>
          <w:rFonts w:ascii="Times New Roman" w:hAnsi="Times New Roman" w:cs="Times New Roman"/>
          <w:sz w:val="28"/>
          <w:szCs w:val="28"/>
          <w:lang w:val="uk-UA"/>
        </w:rPr>
        <w:t>10.17951/ijsr.2017.6.123</w:t>
      </w:r>
      <w:r w:rsidRPr="006B59F1">
        <w:rPr>
          <w:rFonts w:ascii="Times New Roman" w:hAnsi="Times New Roman" w:cs="Times New Roman"/>
          <w:sz w:val="28"/>
          <w:szCs w:val="28"/>
          <w:lang w:val="en-US"/>
        </w:rPr>
        <w:t>.</w:t>
      </w:r>
    </w:p>
    <w:p w14:paraId="299EC8DD"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uk-UA"/>
        </w:rPr>
      </w:pPr>
      <w:r w:rsidRPr="006B59F1">
        <w:rPr>
          <w:rFonts w:ascii="Times New Roman" w:hAnsi="Times New Roman" w:cs="Times New Roman"/>
          <w:sz w:val="28"/>
          <w:szCs w:val="28"/>
          <w:lang w:val="en-US"/>
        </w:rPr>
        <w:t xml:space="preserve">196. </w:t>
      </w:r>
      <w:r w:rsidRPr="006B59F1">
        <w:rPr>
          <w:rFonts w:ascii="Times New Roman" w:hAnsi="Times New Roman" w:cs="Times New Roman"/>
          <w:sz w:val="28"/>
          <w:szCs w:val="28"/>
          <w:lang w:val="uk-UA"/>
        </w:rPr>
        <w:t>A</w:t>
      </w:r>
      <w:proofErr w:type="spellStart"/>
      <w:r w:rsidRPr="006B59F1">
        <w:rPr>
          <w:rFonts w:ascii="Times New Roman" w:hAnsi="Times New Roman" w:cs="Times New Roman"/>
          <w:sz w:val="28"/>
          <w:szCs w:val="28"/>
          <w:lang w:val="en-US"/>
        </w:rPr>
        <w:t>damiecki</w:t>
      </w:r>
      <w:proofErr w:type="spellEnd"/>
      <w:r w:rsidRPr="006B59F1">
        <w:rPr>
          <w:rFonts w:ascii="Times New Roman" w:hAnsi="Times New Roman" w:cs="Times New Roman"/>
          <w:sz w:val="28"/>
          <w:szCs w:val="28"/>
          <w:lang w:val="en-US"/>
        </w:rPr>
        <w:t xml:space="preserve"> </w:t>
      </w:r>
      <w:r w:rsidRPr="006B59F1">
        <w:rPr>
          <w:rFonts w:ascii="Times New Roman" w:hAnsi="Times New Roman" w:cs="Times New Roman"/>
          <w:sz w:val="28"/>
          <w:szCs w:val="28"/>
          <w:lang w:val="uk-UA"/>
        </w:rPr>
        <w:t xml:space="preserve">K. </w:t>
      </w:r>
      <w:proofErr w:type="spellStart"/>
      <w:r w:rsidRPr="006B59F1">
        <w:rPr>
          <w:rFonts w:ascii="Times New Roman" w:hAnsi="Times New Roman" w:cs="Times New Roman"/>
          <w:sz w:val="28"/>
          <w:szCs w:val="28"/>
          <w:lang w:val="uk-UA"/>
        </w:rPr>
        <w:t>Zastosowanie</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nauki</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kierownictwa</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organizacji</w:t>
      </w:r>
      <w:proofErr w:type="spellEnd"/>
      <w:r w:rsidRPr="006B59F1">
        <w:rPr>
          <w:rFonts w:ascii="Times New Roman" w:hAnsi="Times New Roman" w:cs="Times New Roman"/>
          <w:sz w:val="28"/>
          <w:szCs w:val="28"/>
          <w:lang w:val="uk-UA"/>
        </w:rPr>
        <w:t xml:space="preserve">) w </w:t>
      </w:r>
      <w:proofErr w:type="spellStart"/>
      <w:r w:rsidRPr="006B59F1">
        <w:rPr>
          <w:rFonts w:ascii="Times New Roman" w:hAnsi="Times New Roman" w:cs="Times New Roman"/>
          <w:sz w:val="28"/>
          <w:szCs w:val="28"/>
          <w:lang w:val="uk-UA"/>
        </w:rPr>
        <w:t>życiu</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gospodarczym</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Przegląd</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uk-UA"/>
        </w:rPr>
        <w:t>Organizacji</w:t>
      </w:r>
      <w:proofErr w:type="spellEnd"/>
      <w:r w:rsidRPr="006B59F1">
        <w:rPr>
          <w:rFonts w:ascii="Times New Roman" w:hAnsi="Times New Roman" w:cs="Times New Roman"/>
          <w:sz w:val="28"/>
          <w:szCs w:val="28"/>
          <w:lang w:val="uk-UA"/>
        </w:rPr>
        <w:t xml:space="preserve">. 1932. </w:t>
      </w:r>
      <w:r w:rsidRPr="006B59F1">
        <w:rPr>
          <w:rFonts w:ascii="Times New Roman" w:hAnsi="Times New Roman" w:cs="Times New Roman"/>
          <w:sz w:val="28"/>
          <w:szCs w:val="28"/>
          <w:lang w:val="en-US"/>
        </w:rPr>
        <w:t>№</w:t>
      </w:r>
      <w:r w:rsidRPr="006B59F1">
        <w:rPr>
          <w:rFonts w:ascii="Times New Roman" w:hAnsi="Times New Roman" w:cs="Times New Roman"/>
          <w:sz w:val="28"/>
          <w:szCs w:val="28"/>
          <w:lang w:val="uk-UA"/>
        </w:rPr>
        <w:t xml:space="preserve"> 1. P. 4-12.</w:t>
      </w:r>
    </w:p>
    <w:p w14:paraId="4B8C8693"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197. </w:t>
      </w:r>
      <w:r w:rsidRPr="006B59F1">
        <w:rPr>
          <w:rFonts w:ascii="Times New Roman" w:hAnsi="Times New Roman" w:cs="Times New Roman"/>
          <w:sz w:val="28"/>
          <w:szCs w:val="28"/>
          <w:lang w:val="uk-UA"/>
        </w:rPr>
        <w:t>C</w:t>
      </w:r>
      <w:proofErr w:type="spellStart"/>
      <w:r w:rsidRPr="006B59F1">
        <w:rPr>
          <w:rFonts w:ascii="Times New Roman" w:hAnsi="Times New Roman" w:cs="Times New Roman"/>
          <w:sz w:val="28"/>
          <w:szCs w:val="28"/>
          <w:lang w:val="en-US"/>
        </w:rPr>
        <w:t>astells</w:t>
      </w:r>
      <w:proofErr w:type="spellEnd"/>
      <w:r w:rsidRPr="006B59F1">
        <w:rPr>
          <w:rFonts w:ascii="Times New Roman" w:hAnsi="Times New Roman" w:cs="Times New Roman"/>
          <w:sz w:val="28"/>
          <w:szCs w:val="28"/>
          <w:lang w:val="en-US"/>
        </w:rPr>
        <w:t xml:space="preserve"> </w:t>
      </w:r>
      <w:r w:rsidRPr="006B59F1">
        <w:rPr>
          <w:rFonts w:ascii="Times New Roman" w:hAnsi="Times New Roman" w:cs="Times New Roman"/>
          <w:sz w:val="28"/>
          <w:szCs w:val="28"/>
          <w:lang w:val="uk-UA"/>
        </w:rPr>
        <w:t xml:space="preserve">M. </w:t>
      </w:r>
      <w:proofErr w:type="spellStart"/>
      <w:r w:rsidRPr="006B59F1">
        <w:rPr>
          <w:rFonts w:ascii="Times New Roman" w:hAnsi="Times New Roman" w:cs="Times New Roman"/>
          <w:sz w:val="28"/>
          <w:szCs w:val="28"/>
          <w:lang w:val="uk-UA"/>
        </w:rPr>
        <w:t>The</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Information</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Age</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Economy</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Society</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and</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Culture</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End</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of</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Millennium</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Oxford</w:t>
      </w:r>
      <w:proofErr w:type="spellEnd"/>
      <w:r w:rsidRPr="006B59F1">
        <w:rPr>
          <w:rFonts w:ascii="Times New Roman" w:hAnsi="Times New Roman" w:cs="Times New Roman"/>
          <w:sz w:val="28"/>
          <w:szCs w:val="28"/>
          <w:lang w:val="uk-UA"/>
        </w:rPr>
        <w:t xml:space="preserve">: </w:t>
      </w:r>
      <w:proofErr w:type="spellStart"/>
      <w:r w:rsidRPr="006B59F1">
        <w:rPr>
          <w:rFonts w:ascii="Times New Roman" w:hAnsi="Times New Roman" w:cs="Times New Roman"/>
          <w:sz w:val="28"/>
          <w:szCs w:val="28"/>
          <w:lang w:val="uk-UA"/>
        </w:rPr>
        <w:t>Blackwell</w:t>
      </w:r>
      <w:proofErr w:type="spellEnd"/>
      <w:r w:rsidRPr="006B59F1">
        <w:rPr>
          <w:rFonts w:ascii="Times New Roman" w:hAnsi="Times New Roman" w:cs="Times New Roman"/>
          <w:sz w:val="28"/>
          <w:szCs w:val="28"/>
          <w:lang w:val="uk-UA"/>
        </w:rPr>
        <w:t>.</w:t>
      </w:r>
      <w:r w:rsidRPr="006B59F1">
        <w:rPr>
          <w:rFonts w:ascii="Times New Roman" w:hAnsi="Times New Roman" w:cs="Times New Roman"/>
          <w:sz w:val="28"/>
          <w:szCs w:val="28"/>
          <w:lang w:val="en-US"/>
        </w:rPr>
        <w:t xml:space="preserve"> </w:t>
      </w:r>
      <w:r w:rsidRPr="006B59F1">
        <w:rPr>
          <w:rFonts w:ascii="Times New Roman" w:hAnsi="Times New Roman" w:cs="Times New Roman"/>
          <w:sz w:val="28"/>
          <w:szCs w:val="28"/>
          <w:lang w:val="uk-UA"/>
        </w:rPr>
        <w:t>20</w:t>
      </w:r>
      <w:r w:rsidRPr="006B59F1">
        <w:rPr>
          <w:rFonts w:ascii="Times New Roman" w:hAnsi="Times New Roman" w:cs="Times New Roman"/>
          <w:sz w:val="28"/>
          <w:szCs w:val="28"/>
          <w:lang w:val="en-US"/>
        </w:rPr>
        <w:t>2</w:t>
      </w:r>
      <w:r w:rsidRPr="006B59F1">
        <w:rPr>
          <w:rFonts w:ascii="Times New Roman" w:hAnsi="Times New Roman" w:cs="Times New Roman"/>
          <w:sz w:val="28"/>
          <w:szCs w:val="28"/>
          <w:lang w:val="uk-UA"/>
        </w:rPr>
        <w:t>0.</w:t>
      </w:r>
      <w:r w:rsidRPr="006B59F1">
        <w:rPr>
          <w:rFonts w:ascii="Times New Roman" w:hAnsi="Times New Roman" w:cs="Times New Roman"/>
          <w:sz w:val="28"/>
          <w:szCs w:val="28"/>
          <w:lang w:val="en-US"/>
        </w:rPr>
        <w:t xml:space="preserve"> </w:t>
      </w:r>
      <w:r w:rsidRPr="006B59F1">
        <w:rPr>
          <w:rFonts w:ascii="Times New Roman" w:hAnsi="Times New Roman" w:cs="Times New Roman"/>
          <w:sz w:val="28"/>
          <w:szCs w:val="28"/>
          <w:lang w:val="uk-UA"/>
        </w:rPr>
        <w:t>448</w:t>
      </w:r>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uk-UA"/>
        </w:rPr>
        <w:t>pp</w:t>
      </w:r>
      <w:proofErr w:type="spellEnd"/>
      <w:r w:rsidRPr="006B59F1">
        <w:rPr>
          <w:rFonts w:ascii="Times New Roman" w:hAnsi="Times New Roman" w:cs="Times New Roman"/>
          <w:sz w:val="28"/>
          <w:szCs w:val="28"/>
          <w:lang w:val="uk-UA"/>
        </w:rPr>
        <w:t xml:space="preserve">. </w:t>
      </w:r>
    </w:p>
    <w:p w14:paraId="69138965"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198. </w:t>
      </w:r>
      <w:proofErr w:type="spellStart"/>
      <w:r w:rsidRPr="006B59F1">
        <w:rPr>
          <w:rFonts w:ascii="Times New Roman" w:hAnsi="Times New Roman" w:cs="Times New Roman"/>
          <w:sz w:val="28"/>
          <w:szCs w:val="28"/>
          <w:lang w:val="en-US"/>
        </w:rPr>
        <w:t>Wieczorek-Szymańska</w:t>
      </w:r>
      <w:proofErr w:type="spellEnd"/>
      <w:r w:rsidRPr="006B59F1">
        <w:rPr>
          <w:rFonts w:ascii="Times New Roman" w:hAnsi="Times New Roman" w:cs="Times New Roman"/>
          <w:sz w:val="28"/>
          <w:szCs w:val="28"/>
          <w:lang w:val="en-US"/>
        </w:rPr>
        <w:t xml:space="preserve"> A. </w:t>
      </w:r>
      <w:proofErr w:type="spellStart"/>
      <w:r w:rsidRPr="006B59F1">
        <w:rPr>
          <w:rFonts w:ascii="Times New Roman" w:hAnsi="Times New Roman" w:cs="Times New Roman"/>
          <w:sz w:val="28"/>
          <w:szCs w:val="28"/>
          <w:lang w:val="en-US"/>
        </w:rPr>
        <w:t>Zarządzanie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talentami</w:t>
      </w:r>
      <w:proofErr w:type="spellEnd"/>
      <w:r w:rsidRPr="006B59F1">
        <w:rPr>
          <w:rFonts w:ascii="Times New Roman" w:hAnsi="Times New Roman" w:cs="Times New Roman"/>
          <w:sz w:val="28"/>
          <w:szCs w:val="28"/>
          <w:lang w:val="en-US"/>
        </w:rPr>
        <w:t xml:space="preserve"> we </w:t>
      </w:r>
      <w:proofErr w:type="spellStart"/>
      <w:r w:rsidRPr="006B59F1">
        <w:rPr>
          <w:rFonts w:ascii="Times New Roman" w:hAnsi="Times New Roman" w:cs="Times New Roman"/>
          <w:sz w:val="28"/>
          <w:szCs w:val="28"/>
          <w:lang w:val="en-US"/>
        </w:rPr>
        <w:t>współczesnych</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organizacjach</w:t>
      </w:r>
      <w:proofErr w:type="spellEnd"/>
      <w:r w:rsidRPr="006B59F1">
        <w:rPr>
          <w:rFonts w:ascii="Times New Roman" w:hAnsi="Times New Roman" w:cs="Times New Roman"/>
          <w:sz w:val="28"/>
          <w:szCs w:val="28"/>
          <w:lang w:val="en-US"/>
        </w:rPr>
        <w:t xml:space="preserve"> – </w:t>
      </w:r>
      <w:proofErr w:type="spellStart"/>
      <w:r w:rsidRPr="006B59F1">
        <w:rPr>
          <w:rFonts w:ascii="Times New Roman" w:hAnsi="Times New Roman" w:cs="Times New Roman"/>
          <w:sz w:val="28"/>
          <w:szCs w:val="28"/>
          <w:lang w:val="en-US"/>
        </w:rPr>
        <w:t>studium</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przypadku</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Studia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i</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Prace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WNEiZ</w:t>
      </w:r>
      <w:proofErr w:type="spellEnd"/>
      <w:r w:rsidRPr="006B59F1">
        <w:rPr>
          <w:rFonts w:ascii="Times New Roman" w:hAnsi="Times New Roman" w:cs="Times New Roman"/>
          <w:sz w:val="28"/>
          <w:szCs w:val="28"/>
          <w:lang w:val="en-US"/>
        </w:rPr>
        <w:t xml:space="preserve"> US. 2019. № 56. </w:t>
      </w:r>
      <w:r w:rsidRPr="006B59F1">
        <w:rPr>
          <w:rFonts w:ascii="Times New Roman" w:hAnsi="Times New Roman" w:cs="Times New Roman"/>
          <w:sz w:val="28"/>
          <w:szCs w:val="28"/>
        </w:rPr>
        <w:t>Р</w:t>
      </w:r>
      <w:r w:rsidRPr="006B59F1">
        <w:rPr>
          <w:rFonts w:ascii="Times New Roman" w:hAnsi="Times New Roman" w:cs="Times New Roman"/>
          <w:sz w:val="28"/>
          <w:szCs w:val="28"/>
          <w:lang w:val="en-US"/>
        </w:rPr>
        <w:t xml:space="preserve">. 143-157. </w:t>
      </w:r>
      <w:r w:rsidRPr="006B59F1">
        <w:rPr>
          <w:rFonts w:ascii="Times New Roman" w:hAnsi="Times New Roman" w:cs="Times New Roman"/>
          <w:color w:val="000000" w:themeColor="text1"/>
          <w:sz w:val="28"/>
          <w:szCs w:val="28"/>
          <w:lang w:val="en-US"/>
        </w:rPr>
        <w:t xml:space="preserve">DOI: </w:t>
      </w:r>
      <w:r w:rsidRPr="006B59F1">
        <w:rPr>
          <w:rFonts w:ascii="Times New Roman" w:hAnsi="Times New Roman" w:cs="Times New Roman"/>
          <w:sz w:val="28"/>
          <w:szCs w:val="28"/>
          <w:lang w:val="en-US"/>
        </w:rPr>
        <w:t>https://doi.org/10.18276/ sip.2019.56-12.</w:t>
      </w:r>
    </w:p>
    <w:p w14:paraId="2D8AD949"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199. Springer A., </w:t>
      </w:r>
      <w:proofErr w:type="spellStart"/>
      <w:r w:rsidRPr="006B59F1">
        <w:rPr>
          <w:rFonts w:ascii="Times New Roman" w:hAnsi="Times New Roman" w:cs="Times New Roman"/>
          <w:sz w:val="28"/>
          <w:szCs w:val="28"/>
          <w:lang w:val="en-US"/>
        </w:rPr>
        <w:t>Rytelewska</w:t>
      </w:r>
      <w:proofErr w:type="spellEnd"/>
      <w:r w:rsidRPr="006B59F1">
        <w:rPr>
          <w:rFonts w:ascii="Times New Roman" w:hAnsi="Times New Roman" w:cs="Times New Roman"/>
          <w:sz w:val="28"/>
          <w:szCs w:val="28"/>
          <w:lang w:val="en-US"/>
        </w:rPr>
        <w:t xml:space="preserve"> A. </w:t>
      </w:r>
      <w:proofErr w:type="spellStart"/>
      <w:r w:rsidRPr="006B59F1">
        <w:rPr>
          <w:rFonts w:ascii="Times New Roman" w:hAnsi="Times New Roman" w:cs="Times New Roman"/>
          <w:sz w:val="28"/>
          <w:szCs w:val="28"/>
          <w:lang w:val="en-US"/>
        </w:rPr>
        <w:t>Działania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przedsiębiorstw</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na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rzecz</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rozwoju</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pracowników</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jako</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podstawa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motywowania</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osób</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utalentowanych</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Zeszyty</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Naukowe</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Wyższej</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Szkoły</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lang w:val="en-US"/>
        </w:rPr>
        <w:t>Bankowej</w:t>
      </w:r>
      <w:proofErr w:type="spellEnd"/>
      <w:r w:rsidRPr="006B59F1">
        <w:rPr>
          <w:rFonts w:ascii="Times New Roman" w:hAnsi="Times New Roman" w:cs="Times New Roman"/>
          <w:sz w:val="28"/>
          <w:szCs w:val="28"/>
          <w:lang w:val="en-US"/>
        </w:rPr>
        <w:t xml:space="preserve"> we </w:t>
      </w:r>
      <w:proofErr w:type="spellStart"/>
      <w:r w:rsidRPr="006B59F1">
        <w:rPr>
          <w:rFonts w:ascii="Times New Roman" w:hAnsi="Times New Roman" w:cs="Times New Roman"/>
          <w:sz w:val="28"/>
          <w:szCs w:val="28"/>
          <w:lang w:val="en-US"/>
        </w:rPr>
        <w:t>Wrocławiu</w:t>
      </w:r>
      <w:proofErr w:type="spellEnd"/>
      <w:r w:rsidRPr="006B59F1">
        <w:rPr>
          <w:rFonts w:ascii="Times New Roman" w:hAnsi="Times New Roman" w:cs="Times New Roman"/>
          <w:sz w:val="28"/>
          <w:szCs w:val="28"/>
          <w:lang w:val="en-US"/>
        </w:rPr>
        <w:t xml:space="preserve">. 2014. № 8. </w:t>
      </w:r>
      <w:r w:rsidRPr="006B59F1">
        <w:rPr>
          <w:rFonts w:ascii="Times New Roman" w:hAnsi="Times New Roman" w:cs="Times New Roman"/>
          <w:sz w:val="28"/>
          <w:szCs w:val="28"/>
        </w:rPr>
        <w:t>Р</w:t>
      </w:r>
      <w:r w:rsidRPr="006B59F1">
        <w:rPr>
          <w:rFonts w:ascii="Times New Roman" w:hAnsi="Times New Roman" w:cs="Times New Roman"/>
          <w:sz w:val="28"/>
          <w:szCs w:val="28"/>
          <w:lang w:val="en-US"/>
        </w:rPr>
        <w:t>. 145-157.</w:t>
      </w:r>
    </w:p>
    <w:p w14:paraId="42BE8715"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200. </w:t>
      </w:r>
      <w:proofErr w:type="spellStart"/>
      <w:r w:rsidRPr="006B59F1">
        <w:rPr>
          <w:rFonts w:ascii="Times New Roman" w:hAnsi="Times New Roman" w:cs="Times New Roman"/>
          <w:sz w:val="28"/>
          <w:szCs w:val="28"/>
          <w:lang w:val="en-US"/>
        </w:rPr>
        <w:t>Ulricha</w:t>
      </w:r>
      <w:proofErr w:type="spellEnd"/>
      <w:r w:rsidRPr="006B59F1">
        <w:rPr>
          <w:rFonts w:ascii="Times New Roman" w:hAnsi="Times New Roman" w:cs="Times New Roman"/>
          <w:sz w:val="28"/>
          <w:szCs w:val="28"/>
          <w:lang w:val="en-US"/>
        </w:rPr>
        <w:t xml:space="preserve"> D., </w:t>
      </w:r>
      <w:proofErr w:type="spellStart"/>
      <w:r w:rsidRPr="006B59F1">
        <w:rPr>
          <w:rFonts w:ascii="Times New Roman" w:hAnsi="Times New Roman" w:cs="Times New Roman"/>
          <w:sz w:val="28"/>
          <w:szCs w:val="28"/>
          <w:lang w:val="en-US"/>
        </w:rPr>
        <w:t>Smallwooda</w:t>
      </w:r>
      <w:proofErr w:type="spellEnd"/>
      <w:r w:rsidRPr="006B59F1">
        <w:rPr>
          <w:rFonts w:ascii="Times New Roman" w:hAnsi="Times New Roman" w:cs="Times New Roman"/>
          <w:sz w:val="28"/>
          <w:szCs w:val="28"/>
          <w:lang w:val="en-US"/>
        </w:rPr>
        <w:t xml:space="preserve"> N. What is talent? Leader to Leader. 2022. № 63. P. 55-61.</w:t>
      </w:r>
    </w:p>
    <w:p w14:paraId="225107FF" w14:textId="27547C05"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EE578D">
        <w:rPr>
          <w:rFonts w:ascii="Times New Roman" w:hAnsi="Times New Roman" w:cs="Times New Roman"/>
          <w:sz w:val="28"/>
          <w:szCs w:val="28"/>
          <w:lang w:val="en-US"/>
        </w:rPr>
        <w:t xml:space="preserve">201. </w:t>
      </w:r>
      <w:proofErr w:type="spellStart"/>
      <w:r w:rsidRPr="006B59F1">
        <w:rPr>
          <w:rFonts w:ascii="Times New Roman" w:hAnsi="Times New Roman" w:cs="Times New Roman"/>
          <w:sz w:val="28"/>
          <w:szCs w:val="28"/>
        </w:rPr>
        <w:t>Підприємництво</w:t>
      </w:r>
      <w:proofErr w:type="spellEnd"/>
      <w:r w:rsidRPr="00EE578D">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rPr>
        <w:t>сучасні</w:t>
      </w:r>
      <w:proofErr w:type="spellEnd"/>
      <w:r w:rsidRPr="00EE578D">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rPr>
        <w:t>виклики</w:t>
      </w:r>
      <w:proofErr w:type="spellEnd"/>
      <w:r w:rsidRPr="00EE578D">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rPr>
        <w:t>тренди</w:t>
      </w:r>
      <w:proofErr w:type="spellEnd"/>
      <w:r w:rsidRPr="00EE578D">
        <w:rPr>
          <w:rFonts w:ascii="Times New Roman" w:hAnsi="Times New Roman" w:cs="Times New Roman"/>
          <w:sz w:val="28"/>
          <w:szCs w:val="28"/>
          <w:lang w:val="en-US"/>
        </w:rPr>
        <w:t xml:space="preserve"> </w:t>
      </w:r>
      <w:r w:rsidRPr="006B59F1">
        <w:rPr>
          <w:rFonts w:ascii="Times New Roman" w:hAnsi="Times New Roman" w:cs="Times New Roman"/>
          <w:sz w:val="28"/>
          <w:szCs w:val="28"/>
        </w:rPr>
        <w:t>та</w:t>
      </w:r>
      <w:r w:rsidRPr="00EE578D">
        <w:rPr>
          <w:rFonts w:ascii="Times New Roman" w:hAnsi="Times New Roman" w:cs="Times New Roman"/>
          <w:sz w:val="28"/>
          <w:szCs w:val="28"/>
          <w:lang w:val="en-US"/>
        </w:rPr>
        <w:t xml:space="preserve"> </w:t>
      </w:r>
      <w:proofErr w:type="spellStart"/>
      <w:proofErr w:type="gramStart"/>
      <w:r w:rsidRPr="006B59F1">
        <w:rPr>
          <w:rFonts w:ascii="Times New Roman" w:hAnsi="Times New Roman" w:cs="Times New Roman"/>
          <w:sz w:val="28"/>
          <w:szCs w:val="28"/>
        </w:rPr>
        <w:t>трансформації</w:t>
      </w:r>
      <w:proofErr w:type="spellEnd"/>
      <w:r w:rsidRPr="00EE578D">
        <w:rPr>
          <w:rFonts w:ascii="Times New Roman" w:hAnsi="Times New Roman" w:cs="Times New Roman"/>
          <w:sz w:val="28"/>
          <w:szCs w:val="28"/>
          <w:lang w:val="en-US"/>
        </w:rPr>
        <w:t xml:space="preserve"> :</w:t>
      </w:r>
      <w:proofErr w:type="gramEnd"/>
      <w:r w:rsidRPr="00EE578D">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rPr>
        <w:t>моногр</w:t>
      </w:r>
      <w:r w:rsidR="006B59F1">
        <w:rPr>
          <w:rFonts w:ascii="Times New Roman" w:hAnsi="Times New Roman" w:cs="Times New Roman"/>
          <w:sz w:val="28"/>
          <w:szCs w:val="28"/>
          <w:lang w:val="uk-UA"/>
        </w:rPr>
        <w:t>афія</w:t>
      </w:r>
      <w:proofErr w:type="spellEnd"/>
      <w:r w:rsidRPr="00EE578D">
        <w:rPr>
          <w:rFonts w:ascii="Times New Roman" w:hAnsi="Times New Roman" w:cs="Times New Roman"/>
          <w:sz w:val="28"/>
          <w:szCs w:val="28"/>
          <w:lang w:val="en-US"/>
        </w:rPr>
        <w:t xml:space="preserve">. </w:t>
      </w:r>
      <w:r w:rsidR="006B59F1">
        <w:rPr>
          <w:rFonts w:ascii="Times New Roman" w:hAnsi="Times New Roman" w:cs="Times New Roman"/>
          <w:sz w:val="28"/>
          <w:szCs w:val="28"/>
          <w:lang w:val="uk-UA"/>
        </w:rPr>
        <w:t>З</w:t>
      </w:r>
      <w:r w:rsidRPr="006B59F1">
        <w:rPr>
          <w:rFonts w:ascii="Times New Roman" w:hAnsi="Times New Roman" w:cs="Times New Roman"/>
          <w:sz w:val="28"/>
          <w:szCs w:val="28"/>
        </w:rPr>
        <w:t xml:space="preserve">а </w:t>
      </w:r>
      <w:proofErr w:type="spellStart"/>
      <w:r w:rsidRPr="006B59F1">
        <w:rPr>
          <w:rFonts w:ascii="Times New Roman" w:hAnsi="Times New Roman" w:cs="Times New Roman"/>
          <w:sz w:val="28"/>
          <w:szCs w:val="28"/>
        </w:rPr>
        <w:t>заг</w:t>
      </w:r>
      <w:proofErr w:type="spellEnd"/>
      <w:r w:rsidRPr="006B59F1">
        <w:rPr>
          <w:rFonts w:ascii="Times New Roman" w:hAnsi="Times New Roman" w:cs="Times New Roman"/>
          <w:sz w:val="28"/>
          <w:szCs w:val="28"/>
        </w:rPr>
        <w:t>. ред. Т</w:t>
      </w:r>
      <w:r w:rsidRPr="00C47476">
        <w:rPr>
          <w:rFonts w:ascii="Times New Roman" w:hAnsi="Times New Roman" w:cs="Times New Roman"/>
          <w:sz w:val="28"/>
          <w:szCs w:val="28"/>
        </w:rPr>
        <w:t xml:space="preserve">. </w:t>
      </w:r>
      <w:r w:rsidRPr="006B59F1">
        <w:rPr>
          <w:rFonts w:ascii="Times New Roman" w:hAnsi="Times New Roman" w:cs="Times New Roman"/>
          <w:sz w:val="28"/>
          <w:szCs w:val="28"/>
        </w:rPr>
        <w:t>Гринько</w:t>
      </w:r>
      <w:r w:rsidRPr="00C47476">
        <w:rPr>
          <w:rFonts w:ascii="Times New Roman" w:hAnsi="Times New Roman" w:cs="Times New Roman"/>
          <w:sz w:val="28"/>
          <w:szCs w:val="28"/>
        </w:rPr>
        <w:t xml:space="preserve">. </w:t>
      </w:r>
      <w:proofErr w:type="spellStart"/>
      <w:proofErr w:type="gramStart"/>
      <w:r w:rsidRPr="006B59F1">
        <w:rPr>
          <w:rFonts w:ascii="Times New Roman" w:hAnsi="Times New Roman" w:cs="Times New Roman"/>
          <w:sz w:val="28"/>
          <w:szCs w:val="28"/>
        </w:rPr>
        <w:t>Дніпро</w:t>
      </w:r>
      <w:proofErr w:type="spellEnd"/>
      <w:r w:rsidRPr="00C47476">
        <w:rPr>
          <w:rFonts w:ascii="Times New Roman" w:hAnsi="Times New Roman" w:cs="Times New Roman"/>
          <w:sz w:val="28"/>
          <w:szCs w:val="28"/>
        </w:rPr>
        <w:t xml:space="preserve"> :</w:t>
      </w:r>
      <w:proofErr w:type="gramEnd"/>
      <w:r w:rsidRPr="00C47476">
        <w:rPr>
          <w:rFonts w:ascii="Times New Roman" w:hAnsi="Times New Roman" w:cs="Times New Roman"/>
          <w:sz w:val="28"/>
          <w:szCs w:val="28"/>
        </w:rPr>
        <w:t xml:space="preserve"> </w:t>
      </w:r>
      <w:proofErr w:type="spellStart"/>
      <w:r w:rsidRPr="006B59F1">
        <w:rPr>
          <w:rFonts w:ascii="Times New Roman" w:hAnsi="Times New Roman" w:cs="Times New Roman"/>
          <w:sz w:val="28"/>
          <w:szCs w:val="28"/>
        </w:rPr>
        <w:t>Видавець</w:t>
      </w:r>
      <w:proofErr w:type="spellEnd"/>
      <w:r w:rsidRPr="00C47476">
        <w:rPr>
          <w:rFonts w:ascii="Times New Roman" w:hAnsi="Times New Roman" w:cs="Times New Roman"/>
          <w:sz w:val="28"/>
          <w:szCs w:val="28"/>
        </w:rPr>
        <w:t xml:space="preserve"> </w:t>
      </w:r>
      <w:proofErr w:type="spellStart"/>
      <w:r w:rsidRPr="006B59F1">
        <w:rPr>
          <w:rFonts w:ascii="Times New Roman" w:hAnsi="Times New Roman" w:cs="Times New Roman"/>
          <w:sz w:val="28"/>
          <w:szCs w:val="28"/>
        </w:rPr>
        <w:t>Біла</w:t>
      </w:r>
      <w:proofErr w:type="spellEnd"/>
      <w:r w:rsidRPr="00C47476">
        <w:rPr>
          <w:rFonts w:ascii="Times New Roman" w:hAnsi="Times New Roman" w:cs="Times New Roman"/>
          <w:sz w:val="28"/>
          <w:szCs w:val="28"/>
        </w:rPr>
        <w:t xml:space="preserve"> </w:t>
      </w:r>
      <w:r w:rsidRPr="006B59F1">
        <w:rPr>
          <w:rFonts w:ascii="Times New Roman" w:hAnsi="Times New Roman" w:cs="Times New Roman"/>
          <w:sz w:val="28"/>
          <w:szCs w:val="28"/>
        </w:rPr>
        <w:t>К</w:t>
      </w:r>
      <w:r w:rsidRPr="00C47476">
        <w:rPr>
          <w:rFonts w:ascii="Times New Roman" w:hAnsi="Times New Roman" w:cs="Times New Roman"/>
          <w:sz w:val="28"/>
          <w:szCs w:val="28"/>
        </w:rPr>
        <w:t xml:space="preserve">. </w:t>
      </w:r>
      <w:r w:rsidRPr="006B59F1">
        <w:rPr>
          <w:rFonts w:ascii="Times New Roman" w:hAnsi="Times New Roman" w:cs="Times New Roman"/>
          <w:sz w:val="28"/>
          <w:szCs w:val="28"/>
        </w:rPr>
        <w:t>О</w:t>
      </w:r>
      <w:r w:rsidRPr="00C47476">
        <w:rPr>
          <w:rFonts w:ascii="Times New Roman" w:hAnsi="Times New Roman" w:cs="Times New Roman"/>
          <w:sz w:val="28"/>
          <w:szCs w:val="28"/>
        </w:rPr>
        <w:t xml:space="preserve">., 2023. </w:t>
      </w:r>
      <w:r w:rsidRPr="006B59F1">
        <w:rPr>
          <w:rFonts w:ascii="Times New Roman" w:hAnsi="Times New Roman" w:cs="Times New Roman"/>
          <w:sz w:val="28"/>
          <w:szCs w:val="28"/>
          <w:lang w:val="en-US"/>
        </w:rPr>
        <w:t xml:space="preserve">568 </w:t>
      </w:r>
      <w:r w:rsidRPr="006B59F1">
        <w:rPr>
          <w:rFonts w:ascii="Times New Roman" w:hAnsi="Times New Roman" w:cs="Times New Roman"/>
          <w:sz w:val="28"/>
          <w:szCs w:val="28"/>
        </w:rPr>
        <w:t>с</w:t>
      </w:r>
      <w:r w:rsidRPr="006B59F1">
        <w:rPr>
          <w:rFonts w:ascii="Times New Roman" w:hAnsi="Times New Roman" w:cs="Times New Roman"/>
          <w:sz w:val="28"/>
          <w:szCs w:val="28"/>
          <w:lang w:val="en-US"/>
        </w:rPr>
        <w:t>.</w:t>
      </w:r>
    </w:p>
    <w:p w14:paraId="19AC9389"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202.</w:t>
      </w:r>
      <w:r w:rsidRPr="006B59F1">
        <w:rPr>
          <w:lang w:val="en-US"/>
        </w:rPr>
        <w:t xml:space="preserve"> </w:t>
      </w:r>
      <w:proofErr w:type="spellStart"/>
      <w:r w:rsidRPr="006B59F1">
        <w:rPr>
          <w:rFonts w:ascii="Times New Roman" w:hAnsi="Times New Roman" w:cs="Times New Roman"/>
          <w:sz w:val="28"/>
          <w:szCs w:val="28"/>
          <w:lang w:val="en-US"/>
        </w:rPr>
        <w:t>Stuss</w:t>
      </w:r>
      <w:proofErr w:type="spellEnd"/>
      <w:r w:rsidRPr="006B59F1">
        <w:rPr>
          <w:rFonts w:ascii="Times New Roman" w:hAnsi="Times New Roman" w:cs="Times New Roman"/>
          <w:sz w:val="28"/>
          <w:szCs w:val="28"/>
          <w:lang w:val="en-US"/>
        </w:rPr>
        <w:t xml:space="preserve"> M. M. Talent Management? War for Talents. Proceedings of Business and Management Conferences. International Institute of Social and Economic Sciences, 2020. P. 198-212. DOI: https://doi.org/10.20472/BMC.2020.011.013.</w:t>
      </w:r>
    </w:p>
    <w:p w14:paraId="0CA4B6B4"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203. Hinchliffe E. Even a Recession Can’t Stop The </w:t>
      </w:r>
      <w:proofErr w:type="gramStart"/>
      <w:r w:rsidRPr="006B59F1">
        <w:rPr>
          <w:rFonts w:ascii="Times New Roman" w:hAnsi="Times New Roman" w:cs="Times New Roman"/>
          <w:sz w:val="28"/>
          <w:szCs w:val="28"/>
          <w:lang w:val="en-US"/>
        </w:rPr>
        <w:t>talent</w:t>
      </w:r>
      <w:proofErr w:type="gramEnd"/>
      <w:r w:rsidRPr="006B59F1">
        <w:rPr>
          <w:rFonts w:ascii="Times New Roman" w:hAnsi="Times New Roman" w:cs="Times New Roman"/>
          <w:sz w:val="28"/>
          <w:szCs w:val="28"/>
          <w:lang w:val="en-US"/>
        </w:rPr>
        <w:t xml:space="preserve"> Wars. Fortune. 2018. </w:t>
      </w:r>
      <w:r w:rsidRPr="006B59F1">
        <w:rPr>
          <w:rFonts w:ascii="Times New Roman" w:hAnsi="Times New Roman" w:cs="Times New Roman"/>
          <w:sz w:val="28"/>
          <w:szCs w:val="28"/>
        </w:rPr>
        <w:t>Т</w:t>
      </w:r>
      <w:r w:rsidRPr="006B59F1">
        <w:rPr>
          <w:rFonts w:ascii="Times New Roman" w:hAnsi="Times New Roman" w:cs="Times New Roman"/>
          <w:sz w:val="28"/>
          <w:szCs w:val="28"/>
          <w:lang w:val="en-US"/>
        </w:rPr>
        <w:t>. 12. URL: https://fortune.com/2018/12/12/even-a-recession-cant-stop-the-talent-wars/ (</w:t>
      </w:r>
      <w:r w:rsidRPr="006B59F1">
        <w:rPr>
          <w:rFonts w:ascii="Times New Roman" w:hAnsi="Times New Roman" w:cs="Times New Roman"/>
          <w:sz w:val="28"/>
          <w:szCs w:val="28"/>
        </w:rPr>
        <w:t>дата</w:t>
      </w:r>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rPr>
        <w:t>звернення</w:t>
      </w:r>
      <w:proofErr w:type="spellEnd"/>
      <w:r w:rsidRPr="006B59F1">
        <w:rPr>
          <w:rFonts w:ascii="Times New Roman" w:hAnsi="Times New Roman" w:cs="Times New Roman"/>
          <w:sz w:val="28"/>
          <w:szCs w:val="28"/>
          <w:lang w:val="en-US"/>
        </w:rPr>
        <w:t>: 12.02.2024).</w:t>
      </w:r>
    </w:p>
    <w:p w14:paraId="2601D941"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lastRenderedPageBreak/>
        <w:t xml:space="preserve">204. </w:t>
      </w:r>
      <w:proofErr w:type="spellStart"/>
      <w:r w:rsidRPr="006B59F1">
        <w:rPr>
          <w:rFonts w:ascii="Times New Roman" w:hAnsi="Times New Roman" w:cs="Times New Roman"/>
          <w:sz w:val="28"/>
          <w:szCs w:val="28"/>
          <w:lang w:val="en-US"/>
        </w:rPr>
        <w:t>Klett</w:t>
      </w:r>
      <w:proofErr w:type="spellEnd"/>
      <w:r w:rsidRPr="006B59F1">
        <w:rPr>
          <w:rFonts w:ascii="Times New Roman" w:hAnsi="Times New Roman" w:cs="Times New Roman"/>
          <w:sz w:val="28"/>
          <w:szCs w:val="28"/>
          <w:lang w:val="en-US"/>
        </w:rPr>
        <w:t xml:space="preserve"> F. The Design of a Sustainable Competency-Based Human Resources </w:t>
      </w:r>
      <w:proofErr w:type="gramStart"/>
      <w:r w:rsidRPr="006B59F1">
        <w:rPr>
          <w:rFonts w:ascii="Times New Roman" w:hAnsi="Times New Roman" w:cs="Times New Roman"/>
          <w:sz w:val="28"/>
          <w:szCs w:val="28"/>
          <w:lang w:val="en-US"/>
        </w:rPr>
        <w:t>Management :</w:t>
      </w:r>
      <w:proofErr w:type="gramEnd"/>
      <w:r w:rsidRPr="006B59F1">
        <w:rPr>
          <w:rFonts w:ascii="Times New Roman" w:hAnsi="Times New Roman" w:cs="Times New Roman"/>
          <w:sz w:val="28"/>
          <w:szCs w:val="28"/>
          <w:lang w:val="en-US"/>
        </w:rPr>
        <w:t xml:space="preserve"> A Holistic Approach. Knowledge Management &amp; E-Learning. 2020. № 2(3). P. 278-291. </w:t>
      </w:r>
    </w:p>
    <w:p w14:paraId="2FF85F7E"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205. </w:t>
      </w:r>
      <w:proofErr w:type="spellStart"/>
      <w:r w:rsidRPr="006B59F1">
        <w:rPr>
          <w:rFonts w:ascii="Times New Roman" w:hAnsi="Times New Roman" w:cs="Times New Roman"/>
          <w:sz w:val="28"/>
          <w:szCs w:val="28"/>
          <w:lang w:val="en-US"/>
        </w:rPr>
        <w:t>Mäkelä</w:t>
      </w:r>
      <w:proofErr w:type="spellEnd"/>
      <w:r w:rsidRPr="006B59F1">
        <w:rPr>
          <w:rFonts w:ascii="Times New Roman" w:hAnsi="Times New Roman" w:cs="Times New Roman"/>
          <w:sz w:val="28"/>
          <w:szCs w:val="28"/>
          <w:lang w:val="en-US"/>
        </w:rPr>
        <w:t xml:space="preserve"> K., </w:t>
      </w:r>
      <w:proofErr w:type="spellStart"/>
      <w:r w:rsidRPr="006B59F1">
        <w:rPr>
          <w:rFonts w:ascii="Times New Roman" w:hAnsi="Times New Roman" w:cs="Times New Roman"/>
          <w:sz w:val="28"/>
          <w:szCs w:val="28"/>
          <w:lang w:val="en-US"/>
        </w:rPr>
        <w:t>Björkman</w:t>
      </w:r>
      <w:proofErr w:type="spellEnd"/>
      <w:r w:rsidRPr="006B59F1">
        <w:rPr>
          <w:rFonts w:ascii="Times New Roman" w:hAnsi="Times New Roman" w:cs="Times New Roman"/>
          <w:sz w:val="28"/>
          <w:szCs w:val="28"/>
          <w:lang w:val="en-US"/>
        </w:rPr>
        <w:t xml:space="preserve"> I., </w:t>
      </w:r>
      <w:proofErr w:type="spellStart"/>
      <w:r w:rsidRPr="006B59F1">
        <w:rPr>
          <w:rFonts w:ascii="Times New Roman" w:hAnsi="Times New Roman" w:cs="Times New Roman"/>
          <w:sz w:val="28"/>
          <w:szCs w:val="28"/>
          <w:lang w:val="en-US"/>
        </w:rPr>
        <w:t>Ehrnrooth</w:t>
      </w:r>
      <w:proofErr w:type="spellEnd"/>
      <w:r w:rsidRPr="006B59F1">
        <w:rPr>
          <w:rFonts w:ascii="Times New Roman" w:hAnsi="Times New Roman" w:cs="Times New Roman"/>
          <w:sz w:val="28"/>
          <w:szCs w:val="28"/>
          <w:lang w:val="en-US"/>
        </w:rPr>
        <w:t xml:space="preserve"> M. How do MNCs establish their talent pools? Influences on individuals’ likelihood of being labeled as talent. Journal of World Business. 2020. № 45(2). P. 134-142. 134-142. </w:t>
      </w:r>
      <w:r w:rsidRPr="006B59F1">
        <w:rPr>
          <w:rFonts w:ascii="Times New Roman" w:hAnsi="Times New Roman" w:cs="Times New Roman"/>
          <w:color w:val="000000" w:themeColor="text1"/>
          <w:sz w:val="28"/>
          <w:szCs w:val="28"/>
          <w:lang w:val="en-US"/>
        </w:rPr>
        <w:t xml:space="preserve">DOI: </w:t>
      </w:r>
      <w:r w:rsidRPr="006B59F1">
        <w:rPr>
          <w:rFonts w:ascii="Times New Roman" w:hAnsi="Times New Roman" w:cs="Times New Roman"/>
          <w:sz w:val="28"/>
          <w:szCs w:val="28"/>
          <w:lang w:val="en-US"/>
        </w:rPr>
        <w:t>https://doi.org/10.1016/j.jwb.2009.09.020.</w:t>
      </w:r>
    </w:p>
    <w:p w14:paraId="6674262F"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206. L</w:t>
      </w:r>
      <w:r w:rsidRPr="006B59F1">
        <w:rPr>
          <w:rFonts w:ascii="Times New Roman" w:hAnsi="Times New Roman" w:cs="Times New Roman"/>
          <w:sz w:val="28"/>
          <w:szCs w:val="28"/>
          <w:lang w:val="cs-CZ"/>
        </w:rPr>
        <w:t xml:space="preserve">ewis </w:t>
      </w:r>
      <w:r w:rsidRPr="006B59F1">
        <w:rPr>
          <w:rFonts w:ascii="Times New Roman" w:hAnsi="Times New Roman" w:cs="Times New Roman"/>
          <w:sz w:val="28"/>
          <w:szCs w:val="28"/>
          <w:lang w:val="en-US"/>
        </w:rPr>
        <w:t xml:space="preserve">R. E., Heckman R. J. Talent management: a critical review. Human Resource Management Review. 2016. № 16 (2). P. 139-154. </w:t>
      </w:r>
      <w:r w:rsidRPr="006B59F1">
        <w:rPr>
          <w:rFonts w:ascii="Times New Roman" w:hAnsi="Times New Roman" w:cs="Times New Roman"/>
          <w:color w:val="000000" w:themeColor="text1"/>
          <w:sz w:val="28"/>
          <w:szCs w:val="28"/>
          <w:lang w:val="en-US"/>
        </w:rPr>
        <w:t xml:space="preserve">DOI: </w:t>
      </w:r>
      <w:r w:rsidRPr="006B59F1">
        <w:rPr>
          <w:rFonts w:ascii="Times New Roman" w:hAnsi="Times New Roman" w:cs="Times New Roman"/>
          <w:sz w:val="28"/>
          <w:szCs w:val="28"/>
          <w:lang w:val="en-US"/>
        </w:rPr>
        <w:t>https://doi.org/10.1016/j.hrmr.2006.03.001.</w:t>
      </w:r>
    </w:p>
    <w:p w14:paraId="10E9C8DF"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207. Collings D. G., </w:t>
      </w:r>
      <w:proofErr w:type="spellStart"/>
      <w:r w:rsidRPr="006B59F1">
        <w:rPr>
          <w:rFonts w:ascii="Times New Roman" w:hAnsi="Times New Roman" w:cs="Times New Roman"/>
          <w:sz w:val="28"/>
          <w:szCs w:val="28"/>
          <w:lang w:val="en-US"/>
        </w:rPr>
        <w:t>Mellahi</w:t>
      </w:r>
      <w:proofErr w:type="spellEnd"/>
      <w:r w:rsidRPr="006B59F1">
        <w:rPr>
          <w:rFonts w:ascii="Times New Roman" w:hAnsi="Times New Roman" w:cs="Times New Roman"/>
          <w:sz w:val="28"/>
          <w:szCs w:val="28"/>
          <w:lang w:val="en-US"/>
        </w:rPr>
        <w:t xml:space="preserve"> K. Strategic talent management: a review and research agenda, Human Resource Management Review. 2019. № 19(4). P. 304-313. </w:t>
      </w:r>
      <w:r w:rsidRPr="006B59F1">
        <w:rPr>
          <w:rFonts w:ascii="Times New Roman" w:hAnsi="Times New Roman" w:cs="Times New Roman"/>
          <w:color w:val="000000" w:themeColor="text1"/>
          <w:sz w:val="28"/>
          <w:szCs w:val="28"/>
          <w:lang w:val="en-US"/>
        </w:rPr>
        <w:t xml:space="preserve">DOI: </w:t>
      </w:r>
      <w:r w:rsidRPr="006B59F1">
        <w:rPr>
          <w:rFonts w:ascii="Times New Roman" w:hAnsi="Times New Roman" w:cs="Times New Roman"/>
          <w:sz w:val="28"/>
          <w:szCs w:val="28"/>
          <w:lang w:val="en-US"/>
        </w:rPr>
        <w:t>https://doi.org/10.1016/j.hrmr.2009.04.001.</w:t>
      </w:r>
    </w:p>
    <w:p w14:paraId="73CBC6C9"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208. Collings D., Scullion H., </w:t>
      </w:r>
      <w:proofErr w:type="spellStart"/>
      <w:r w:rsidRPr="006B59F1">
        <w:rPr>
          <w:rFonts w:ascii="Times New Roman" w:hAnsi="Times New Roman" w:cs="Times New Roman"/>
          <w:sz w:val="28"/>
          <w:szCs w:val="28"/>
          <w:lang w:val="en-US"/>
        </w:rPr>
        <w:t>Vaiman</w:t>
      </w:r>
      <w:proofErr w:type="spellEnd"/>
      <w:r w:rsidRPr="006B59F1">
        <w:rPr>
          <w:rFonts w:ascii="Times New Roman" w:hAnsi="Times New Roman" w:cs="Times New Roman"/>
          <w:sz w:val="28"/>
          <w:szCs w:val="28"/>
          <w:lang w:val="en-US"/>
        </w:rPr>
        <w:t xml:space="preserve"> V. European perspectives on talent management. European Journal of International Management. 2021. № 5(5). P. 453-462. DOI: https://doi.org/</w:t>
      </w:r>
      <w:hyperlink r:id="rId57" w:tgtFrame="_blank" w:history="1">
        <w:r w:rsidRPr="006B59F1">
          <w:rPr>
            <w:rFonts w:ascii="Times New Roman" w:hAnsi="Times New Roman" w:cs="Times New Roman"/>
            <w:sz w:val="28"/>
            <w:szCs w:val="28"/>
            <w:lang w:val="en-US"/>
          </w:rPr>
          <w:t>10.1504/EJIM.2011.042173</w:t>
        </w:r>
      </w:hyperlink>
      <w:r w:rsidRPr="006B59F1">
        <w:rPr>
          <w:rFonts w:ascii="Times New Roman" w:hAnsi="Times New Roman" w:cs="Times New Roman"/>
          <w:sz w:val="28"/>
          <w:szCs w:val="28"/>
          <w:lang w:val="en-US"/>
        </w:rPr>
        <w:t>.</w:t>
      </w:r>
    </w:p>
    <w:p w14:paraId="6B95FA90"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209. Powell M., </w:t>
      </w:r>
      <w:proofErr w:type="spellStart"/>
      <w:r w:rsidRPr="006B59F1">
        <w:rPr>
          <w:rFonts w:ascii="Times New Roman" w:hAnsi="Times New Roman" w:cs="Times New Roman"/>
          <w:sz w:val="28"/>
          <w:szCs w:val="28"/>
          <w:lang w:val="en-US"/>
        </w:rPr>
        <w:t>Lubitsh</w:t>
      </w:r>
      <w:proofErr w:type="spellEnd"/>
      <w:r w:rsidRPr="006B59F1">
        <w:rPr>
          <w:rFonts w:ascii="Times New Roman" w:hAnsi="Times New Roman" w:cs="Times New Roman"/>
          <w:sz w:val="28"/>
          <w:szCs w:val="28"/>
          <w:lang w:val="en-US"/>
        </w:rPr>
        <w:t xml:space="preserve"> G. Courage in the face of extraordinary talent: why talent management has become a leadership issue. Strategic Human Resource Review. 2012. № 6(5). P. 24-27. DOI: https://doi.org/</w:t>
      </w:r>
      <w:hyperlink r:id="rId58" w:tgtFrame="_blank" w:history="1">
        <w:r w:rsidRPr="006B59F1">
          <w:rPr>
            <w:rFonts w:ascii="Times New Roman" w:hAnsi="Times New Roman" w:cs="Times New Roman"/>
            <w:sz w:val="28"/>
            <w:szCs w:val="28"/>
            <w:lang w:val="en-US"/>
          </w:rPr>
          <w:t>10.1108/14754390980000998</w:t>
        </w:r>
      </w:hyperlink>
      <w:r w:rsidRPr="006B59F1">
        <w:rPr>
          <w:rFonts w:ascii="Times New Roman" w:hAnsi="Times New Roman" w:cs="Times New Roman"/>
          <w:sz w:val="28"/>
          <w:szCs w:val="28"/>
          <w:lang w:val="en-US"/>
        </w:rPr>
        <w:t xml:space="preserve">. </w:t>
      </w:r>
    </w:p>
    <w:p w14:paraId="73BA55BA"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210. </w:t>
      </w:r>
      <w:proofErr w:type="spellStart"/>
      <w:r w:rsidRPr="006B59F1">
        <w:rPr>
          <w:rFonts w:ascii="Times New Roman" w:hAnsi="Times New Roman" w:cs="Times New Roman"/>
          <w:sz w:val="28"/>
          <w:szCs w:val="28"/>
          <w:lang w:val="en-US"/>
        </w:rPr>
        <w:t>Bethke</w:t>
      </w:r>
      <w:proofErr w:type="spellEnd"/>
      <w:r w:rsidRPr="006B59F1">
        <w:rPr>
          <w:rFonts w:ascii="Times New Roman" w:hAnsi="Times New Roman" w:cs="Times New Roman"/>
          <w:sz w:val="28"/>
          <w:szCs w:val="28"/>
          <w:lang w:val="en-US"/>
        </w:rPr>
        <w:t xml:space="preserve"> P., Mahler P., </w:t>
      </w:r>
      <w:proofErr w:type="spellStart"/>
      <w:r w:rsidRPr="006B59F1">
        <w:rPr>
          <w:rFonts w:ascii="Times New Roman" w:hAnsi="Times New Roman" w:cs="Times New Roman"/>
          <w:sz w:val="28"/>
          <w:szCs w:val="28"/>
          <w:lang w:val="en-US"/>
        </w:rPr>
        <w:t>Staffelbach</w:t>
      </w:r>
      <w:proofErr w:type="spellEnd"/>
      <w:r w:rsidRPr="006B59F1">
        <w:rPr>
          <w:rFonts w:ascii="Times New Roman" w:hAnsi="Times New Roman" w:cs="Times New Roman"/>
          <w:sz w:val="28"/>
          <w:szCs w:val="28"/>
          <w:lang w:val="en-US"/>
        </w:rPr>
        <w:t xml:space="preserve"> B. Effectiveness of talent management strategies. European Journal of International Management. 2011. № 5(5). P. 524-539. DOI: https://doi.org/10.1504/EJIM.2011.042177.</w:t>
      </w:r>
    </w:p>
    <w:p w14:paraId="4E77C4AB"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211. Cappelli P. Talent management for the twenty-first century. Harvard business review. 2018. № 86. 74-81.</w:t>
      </w:r>
    </w:p>
    <w:p w14:paraId="63C0B6F3"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212. Blass E. Defining Talent. Talent Management. London: Palgrave Macmillan. 2019. P. 24-36. DOI: https://doi.org/10.1057/9780230233522_3.</w:t>
      </w:r>
    </w:p>
    <w:p w14:paraId="73377884"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213. McCauley C., Wakefield M. Talent management in the 21st century: Help your company find, develop, and keep its strongest workers. The Journal for Quality and Participation. 2006. № 29(4). P. 4-7. </w:t>
      </w:r>
    </w:p>
    <w:p w14:paraId="321763E7"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lastRenderedPageBreak/>
        <w:t>214. Ready D., Conger J. Make your company a talent factory. Harvard business review. 2017. № 85. P. 68-77.</w:t>
      </w:r>
    </w:p>
    <w:p w14:paraId="466069D0"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215. Christensen H.J., Rog E. Talent Management: A Strategy for Improving Employee Recruitment, Retention and Engagement within Hospitality Organizations. International Journal of Contemporary Hospitality Management. 2018. № 20(7). P. 743-757. DOI: https://doi.org/10.1108/09596110810899086.</w:t>
      </w:r>
    </w:p>
    <w:p w14:paraId="7BC822AE"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216.</w:t>
      </w:r>
      <w:r w:rsidRPr="006B59F1">
        <w:rPr>
          <w:lang w:val="en-US"/>
        </w:rPr>
        <w:t xml:space="preserve"> </w:t>
      </w:r>
      <w:proofErr w:type="spellStart"/>
      <w:r w:rsidRPr="006B59F1">
        <w:rPr>
          <w:rFonts w:ascii="Times New Roman" w:hAnsi="Times New Roman" w:cs="Times New Roman"/>
          <w:sz w:val="28"/>
          <w:szCs w:val="28"/>
          <w:lang w:val="en-US"/>
        </w:rPr>
        <w:t>Beechler</w:t>
      </w:r>
      <w:proofErr w:type="spellEnd"/>
      <w:r w:rsidRPr="006B59F1">
        <w:rPr>
          <w:rFonts w:ascii="Times New Roman" w:hAnsi="Times New Roman" w:cs="Times New Roman"/>
          <w:sz w:val="28"/>
          <w:szCs w:val="28"/>
          <w:lang w:val="en-US"/>
        </w:rPr>
        <w:t xml:space="preserve"> S., Woodward I. The global “war for talent”. Journal of International Management. 2019. № 15. P. 273-285. DOI: https://doi.org/10.1016/j.intman.2009.01.002.</w:t>
      </w:r>
    </w:p>
    <w:p w14:paraId="47E77069"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217.</w:t>
      </w:r>
      <w:r w:rsidRPr="006B59F1">
        <w:rPr>
          <w:rFonts w:ascii="inherit" w:hAnsi="inherit" w:cs="Arial"/>
          <w:color w:val="222222"/>
          <w:sz w:val="21"/>
          <w:szCs w:val="21"/>
          <w:lang w:val="en-US"/>
        </w:rPr>
        <w:t xml:space="preserve"> </w:t>
      </w:r>
      <w:r w:rsidRPr="006B59F1">
        <w:rPr>
          <w:rFonts w:ascii="Times New Roman" w:hAnsi="Times New Roman" w:cs="Times New Roman"/>
          <w:sz w:val="28"/>
          <w:szCs w:val="28"/>
          <w:lang w:val="en-US"/>
        </w:rPr>
        <w:t>Frank</w:t>
      </w:r>
      <w:r w:rsidRPr="006B59F1">
        <w:rPr>
          <w:rFonts w:ascii="Times New Roman" w:hAnsi="Times New Roman" w:cs="Times New Roman"/>
          <w:sz w:val="28"/>
          <w:szCs w:val="28"/>
          <w:lang w:val="en-US" w:eastAsia="en-US"/>
        </w:rPr>
        <w:t xml:space="preserve"> F.</w:t>
      </w:r>
      <w:r w:rsidRPr="006B59F1">
        <w:rPr>
          <w:rFonts w:ascii="Times New Roman" w:hAnsi="Times New Roman" w:cs="Times New Roman"/>
          <w:sz w:val="28"/>
          <w:szCs w:val="28"/>
          <w:lang w:val="en-US"/>
        </w:rPr>
        <w:t xml:space="preserve"> D., Taylor</w:t>
      </w:r>
      <w:r w:rsidRPr="006B59F1">
        <w:rPr>
          <w:rFonts w:ascii="Times New Roman" w:hAnsi="Times New Roman" w:cs="Times New Roman"/>
          <w:sz w:val="28"/>
          <w:szCs w:val="28"/>
          <w:lang w:val="en-US" w:eastAsia="en-US"/>
        </w:rPr>
        <w:t xml:space="preserve"> C.</w:t>
      </w:r>
      <w:r w:rsidRPr="006B59F1">
        <w:rPr>
          <w:rFonts w:ascii="Times New Roman" w:hAnsi="Times New Roman" w:cs="Times New Roman"/>
          <w:sz w:val="28"/>
          <w:szCs w:val="28"/>
          <w:lang w:val="en-US"/>
        </w:rPr>
        <w:t xml:space="preserve"> R.</w:t>
      </w:r>
      <w:r w:rsidRPr="006B59F1">
        <w:rPr>
          <w:rFonts w:ascii="Times New Roman" w:hAnsi="Times New Roman" w:cs="Times New Roman"/>
          <w:sz w:val="28"/>
          <w:szCs w:val="28"/>
          <w:lang w:val="en-US" w:eastAsia="en-US"/>
        </w:rPr>
        <w:t xml:space="preserve"> Talent Management: Trends that will shape the future. Human Resource Planning</w:t>
      </w:r>
      <w:r w:rsidRPr="006B59F1">
        <w:rPr>
          <w:rFonts w:ascii="Times New Roman" w:hAnsi="Times New Roman" w:cs="Times New Roman"/>
          <w:sz w:val="28"/>
          <w:szCs w:val="28"/>
          <w:lang w:val="en-US"/>
        </w:rPr>
        <w:t>.</w:t>
      </w:r>
      <w:r w:rsidRPr="006B59F1">
        <w:rPr>
          <w:rFonts w:ascii="Times New Roman" w:hAnsi="Times New Roman" w:cs="Times New Roman"/>
          <w:sz w:val="28"/>
          <w:szCs w:val="28"/>
          <w:lang w:val="en-US" w:eastAsia="en-US"/>
        </w:rPr>
        <w:t xml:space="preserve"> 20</w:t>
      </w:r>
      <w:r w:rsidRPr="006B59F1">
        <w:rPr>
          <w:rFonts w:ascii="Times New Roman" w:hAnsi="Times New Roman" w:cs="Times New Roman"/>
          <w:sz w:val="28"/>
          <w:szCs w:val="28"/>
          <w:lang w:val="en-US"/>
        </w:rPr>
        <w:t>1</w:t>
      </w:r>
      <w:r w:rsidRPr="006B59F1">
        <w:rPr>
          <w:rFonts w:ascii="Times New Roman" w:hAnsi="Times New Roman" w:cs="Times New Roman"/>
          <w:sz w:val="28"/>
          <w:szCs w:val="28"/>
          <w:lang w:val="en-US" w:eastAsia="en-US"/>
        </w:rPr>
        <w:t>4</w:t>
      </w:r>
      <w:r w:rsidRPr="006B59F1">
        <w:rPr>
          <w:rFonts w:ascii="Times New Roman" w:hAnsi="Times New Roman" w:cs="Times New Roman"/>
          <w:sz w:val="28"/>
          <w:szCs w:val="28"/>
          <w:lang w:val="en-US"/>
        </w:rPr>
        <w:t>. № 27(1). P.</w:t>
      </w:r>
      <w:r w:rsidRPr="006B59F1">
        <w:rPr>
          <w:rFonts w:ascii="Times New Roman" w:hAnsi="Times New Roman" w:cs="Times New Roman"/>
          <w:sz w:val="28"/>
          <w:szCs w:val="28"/>
          <w:lang w:val="en-US" w:eastAsia="en-US"/>
        </w:rPr>
        <w:t xml:space="preserve"> 33-41.</w:t>
      </w:r>
    </w:p>
    <w:p w14:paraId="14D04816" w14:textId="77777777" w:rsidR="00571B42" w:rsidRPr="006B59F1" w:rsidRDefault="00571B42" w:rsidP="00571B42">
      <w:pPr>
        <w:autoSpaceDE w:val="0"/>
        <w:autoSpaceDN w:val="0"/>
        <w:adjustRightInd w:val="0"/>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218. Stahl G. K., </w:t>
      </w:r>
      <w:proofErr w:type="spellStart"/>
      <w:r w:rsidRPr="006B59F1">
        <w:rPr>
          <w:rFonts w:ascii="Times New Roman" w:hAnsi="Times New Roman" w:cs="Times New Roman"/>
          <w:sz w:val="28"/>
          <w:szCs w:val="28"/>
          <w:lang w:val="en-US"/>
        </w:rPr>
        <w:t>Björkman</w:t>
      </w:r>
      <w:proofErr w:type="spellEnd"/>
      <w:r w:rsidRPr="006B59F1">
        <w:rPr>
          <w:rFonts w:ascii="Times New Roman" w:hAnsi="Times New Roman" w:cs="Times New Roman"/>
          <w:sz w:val="28"/>
          <w:szCs w:val="28"/>
          <w:lang w:val="en-US"/>
        </w:rPr>
        <w:t xml:space="preserve"> I., </w:t>
      </w:r>
      <w:proofErr w:type="spellStart"/>
      <w:r w:rsidRPr="006B59F1">
        <w:rPr>
          <w:rFonts w:ascii="Times New Roman" w:hAnsi="Times New Roman" w:cs="Times New Roman"/>
          <w:sz w:val="28"/>
          <w:szCs w:val="28"/>
          <w:lang w:val="en-US"/>
        </w:rPr>
        <w:t>Farndale</w:t>
      </w:r>
      <w:proofErr w:type="spellEnd"/>
      <w:r w:rsidRPr="006B59F1">
        <w:rPr>
          <w:rFonts w:ascii="Times New Roman" w:hAnsi="Times New Roman" w:cs="Times New Roman"/>
          <w:sz w:val="28"/>
          <w:szCs w:val="28"/>
          <w:lang w:val="en-US"/>
        </w:rPr>
        <w:t xml:space="preserve"> E., Morris S., Paauwe J., Stiles P., Wright P.M. Six principles of effective global talent management. Sloan Management Review. 2022. № 53. P. 25-42.</w:t>
      </w:r>
    </w:p>
    <w:p w14:paraId="156A229A"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219. </w:t>
      </w:r>
      <w:proofErr w:type="spellStart"/>
      <w:r w:rsidRPr="006B59F1">
        <w:rPr>
          <w:rFonts w:ascii="Times New Roman" w:hAnsi="Times New Roman" w:cs="Times New Roman"/>
          <w:sz w:val="28"/>
          <w:szCs w:val="28"/>
          <w:lang w:val="en-US"/>
        </w:rPr>
        <w:t>Tarique</w:t>
      </w:r>
      <w:proofErr w:type="spellEnd"/>
      <w:r w:rsidRPr="006B59F1">
        <w:rPr>
          <w:rFonts w:ascii="Times New Roman" w:hAnsi="Times New Roman" w:cs="Times New Roman"/>
          <w:sz w:val="28"/>
          <w:szCs w:val="28"/>
          <w:lang w:val="en-US"/>
        </w:rPr>
        <w:t xml:space="preserve"> I., Schuler R. S. Global Talent Management: Literature review, integrative framework, and suggestions for future research. Journal of World Business. 2020. №45. Р. 122-133. </w:t>
      </w:r>
      <w:r w:rsidRPr="006B59F1">
        <w:rPr>
          <w:rFonts w:ascii="Times New Roman" w:hAnsi="Times New Roman" w:cs="Times New Roman"/>
          <w:color w:val="000000" w:themeColor="text1"/>
          <w:sz w:val="28"/>
          <w:szCs w:val="28"/>
          <w:lang w:val="en-US"/>
        </w:rPr>
        <w:t>DOI: https://doi.org/</w:t>
      </w:r>
      <w:r w:rsidRPr="006B59F1">
        <w:rPr>
          <w:rFonts w:ascii="Times New Roman" w:hAnsi="Times New Roman" w:cs="Times New Roman"/>
          <w:sz w:val="28"/>
          <w:szCs w:val="28"/>
          <w:lang w:val="en-US"/>
        </w:rPr>
        <w:t>10.1016/j.jwb.2009.09.019.</w:t>
      </w:r>
    </w:p>
    <w:p w14:paraId="23BE20AC"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220. Ernst and Young. Managing Today’s Global Workforce: Evaluating Talent Management to Improve Business. Ernst and Young, London. 2010. 24 p.</w:t>
      </w:r>
    </w:p>
    <w:p w14:paraId="4FF83F33"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221. Mankins M., Bird A., Root J. Making star teams out of star players. Harvard Business Review. January-February. 2013. № 91. Р. 74-144.</w:t>
      </w:r>
    </w:p>
    <w:p w14:paraId="019D63C5"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222. Collings D. G., </w:t>
      </w:r>
      <w:proofErr w:type="spellStart"/>
      <w:r w:rsidRPr="006B59F1">
        <w:rPr>
          <w:rFonts w:ascii="Times New Roman" w:hAnsi="Times New Roman" w:cs="Times New Roman"/>
          <w:sz w:val="28"/>
          <w:szCs w:val="28"/>
          <w:lang w:val="en-US"/>
        </w:rPr>
        <w:t>Mellahi</w:t>
      </w:r>
      <w:proofErr w:type="spellEnd"/>
      <w:r w:rsidRPr="006B59F1">
        <w:rPr>
          <w:rFonts w:ascii="Times New Roman" w:hAnsi="Times New Roman" w:cs="Times New Roman"/>
          <w:sz w:val="28"/>
          <w:szCs w:val="28"/>
          <w:lang w:val="en-US"/>
        </w:rPr>
        <w:t xml:space="preserve"> K. Strategic Talent Management: A review and research agenda. Human Resource Management Review. 2019. № 19(4). Р.304-313.</w:t>
      </w:r>
    </w:p>
    <w:p w14:paraId="0E0920AF"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223. Lewis R. E., Heckman R. J. Talent management: A critical review. Human Resource Management Review. 2016. № 16. P. 139-154.</w:t>
      </w:r>
    </w:p>
    <w:p w14:paraId="0F37A22F"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224. Scullion H., Collings D. G., Caligiuri P. Global Talent Management. Journal of World Business. 2020. № 45(2). Р.105-108.</w:t>
      </w:r>
    </w:p>
    <w:p w14:paraId="6455A46D" w14:textId="77777777" w:rsidR="00571B42" w:rsidRPr="006E0082" w:rsidRDefault="00571B42" w:rsidP="00571B42">
      <w:pPr>
        <w:spacing w:after="0" w:line="360" w:lineRule="auto"/>
        <w:ind w:firstLine="720"/>
        <w:jc w:val="both"/>
        <w:rPr>
          <w:rFonts w:ascii="Times New Roman" w:hAnsi="Times New Roman" w:cs="Times New Roman"/>
          <w:sz w:val="28"/>
          <w:szCs w:val="28"/>
          <w:lang w:val="en-US"/>
        </w:rPr>
      </w:pPr>
      <w:r w:rsidRPr="006E0082">
        <w:rPr>
          <w:rFonts w:ascii="Times New Roman" w:hAnsi="Times New Roman" w:cs="Times New Roman"/>
          <w:sz w:val="28"/>
          <w:szCs w:val="28"/>
          <w:lang w:val="en-US"/>
        </w:rPr>
        <w:t xml:space="preserve">225. </w:t>
      </w:r>
      <w:proofErr w:type="spellStart"/>
      <w:r w:rsidRPr="006E0082">
        <w:rPr>
          <w:rFonts w:ascii="Times New Roman" w:hAnsi="Times New Roman" w:cs="Times New Roman"/>
          <w:sz w:val="28"/>
          <w:szCs w:val="28"/>
          <w:lang w:val="en-US"/>
        </w:rPr>
        <w:t>Кутуєв</w:t>
      </w:r>
      <w:proofErr w:type="spellEnd"/>
      <w:r w:rsidRPr="006E0082">
        <w:rPr>
          <w:rFonts w:ascii="Times New Roman" w:hAnsi="Times New Roman" w:cs="Times New Roman"/>
          <w:sz w:val="28"/>
          <w:szCs w:val="28"/>
          <w:lang w:val="en-US"/>
        </w:rPr>
        <w:t xml:space="preserve"> П.В. </w:t>
      </w:r>
      <w:proofErr w:type="spellStart"/>
      <w:r w:rsidRPr="006E0082">
        <w:rPr>
          <w:rFonts w:ascii="Times New Roman" w:hAnsi="Times New Roman" w:cs="Times New Roman"/>
          <w:sz w:val="28"/>
          <w:szCs w:val="28"/>
          <w:lang w:val="en-US"/>
        </w:rPr>
        <w:t>Трансформації</w:t>
      </w:r>
      <w:proofErr w:type="spellEnd"/>
      <w:r w:rsidRPr="006E0082">
        <w:rPr>
          <w:rFonts w:ascii="Times New Roman" w:hAnsi="Times New Roman" w:cs="Times New Roman"/>
          <w:sz w:val="28"/>
          <w:szCs w:val="28"/>
          <w:lang w:val="en-US"/>
        </w:rPr>
        <w:t xml:space="preserve"> </w:t>
      </w:r>
      <w:proofErr w:type="spellStart"/>
      <w:r w:rsidRPr="006E0082">
        <w:rPr>
          <w:rFonts w:ascii="Times New Roman" w:hAnsi="Times New Roman" w:cs="Times New Roman"/>
          <w:sz w:val="28"/>
          <w:szCs w:val="28"/>
          <w:lang w:val="en-US"/>
        </w:rPr>
        <w:t>модерну</w:t>
      </w:r>
      <w:proofErr w:type="spellEnd"/>
      <w:r w:rsidRPr="006E0082">
        <w:rPr>
          <w:rFonts w:ascii="Times New Roman" w:hAnsi="Times New Roman" w:cs="Times New Roman"/>
          <w:sz w:val="28"/>
          <w:szCs w:val="28"/>
          <w:lang w:val="en-US"/>
        </w:rPr>
        <w:t xml:space="preserve">: </w:t>
      </w:r>
      <w:proofErr w:type="spellStart"/>
      <w:r w:rsidRPr="006E0082">
        <w:rPr>
          <w:rFonts w:ascii="Times New Roman" w:hAnsi="Times New Roman" w:cs="Times New Roman"/>
          <w:sz w:val="28"/>
          <w:szCs w:val="28"/>
          <w:lang w:val="en-US"/>
        </w:rPr>
        <w:t>інституції</w:t>
      </w:r>
      <w:proofErr w:type="spellEnd"/>
      <w:r w:rsidRPr="006E0082">
        <w:rPr>
          <w:rFonts w:ascii="Times New Roman" w:hAnsi="Times New Roman" w:cs="Times New Roman"/>
          <w:sz w:val="28"/>
          <w:szCs w:val="28"/>
          <w:lang w:val="en-US"/>
        </w:rPr>
        <w:t xml:space="preserve">, </w:t>
      </w:r>
      <w:proofErr w:type="spellStart"/>
      <w:r w:rsidRPr="006E0082">
        <w:rPr>
          <w:rFonts w:ascii="Times New Roman" w:hAnsi="Times New Roman" w:cs="Times New Roman"/>
          <w:sz w:val="28"/>
          <w:szCs w:val="28"/>
          <w:lang w:val="en-US"/>
        </w:rPr>
        <w:t>ідеї</w:t>
      </w:r>
      <w:proofErr w:type="spellEnd"/>
      <w:r w:rsidRPr="006E0082">
        <w:rPr>
          <w:rFonts w:ascii="Times New Roman" w:hAnsi="Times New Roman" w:cs="Times New Roman"/>
          <w:sz w:val="28"/>
          <w:szCs w:val="28"/>
          <w:lang w:val="en-US"/>
        </w:rPr>
        <w:t xml:space="preserve">, </w:t>
      </w:r>
      <w:proofErr w:type="spellStart"/>
      <w:proofErr w:type="gramStart"/>
      <w:r w:rsidRPr="006E0082">
        <w:rPr>
          <w:rFonts w:ascii="Times New Roman" w:hAnsi="Times New Roman" w:cs="Times New Roman"/>
          <w:sz w:val="28"/>
          <w:szCs w:val="28"/>
          <w:lang w:val="en-US"/>
        </w:rPr>
        <w:t>ідеології</w:t>
      </w:r>
      <w:proofErr w:type="spellEnd"/>
      <w:r w:rsidRPr="006E0082">
        <w:rPr>
          <w:rFonts w:ascii="Times New Roman" w:hAnsi="Times New Roman" w:cs="Times New Roman"/>
          <w:sz w:val="28"/>
          <w:szCs w:val="28"/>
          <w:lang w:val="en-US"/>
        </w:rPr>
        <w:t xml:space="preserve"> :</w:t>
      </w:r>
      <w:proofErr w:type="gramEnd"/>
      <w:r w:rsidRPr="006E0082">
        <w:rPr>
          <w:rFonts w:ascii="Times New Roman" w:hAnsi="Times New Roman" w:cs="Times New Roman"/>
          <w:sz w:val="28"/>
          <w:szCs w:val="28"/>
          <w:lang w:val="en-US"/>
        </w:rPr>
        <w:t xml:space="preserve"> </w:t>
      </w:r>
      <w:proofErr w:type="spellStart"/>
      <w:r w:rsidRPr="006E0082">
        <w:rPr>
          <w:rFonts w:ascii="Times New Roman" w:hAnsi="Times New Roman" w:cs="Times New Roman"/>
          <w:sz w:val="28"/>
          <w:szCs w:val="28"/>
          <w:lang w:val="en-US"/>
        </w:rPr>
        <w:t>монографія</w:t>
      </w:r>
      <w:proofErr w:type="spellEnd"/>
      <w:r w:rsidRPr="006E0082">
        <w:rPr>
          <w:rFonts w:ascii="Times New Roman" w:hAnsi="Times New Roman" w:cs="Times New Roman"/>
          <w:sz w:val="28"/>
          <w:szCs w:val="28"/>
          <w:lang w:val="en-US"/>
        </w:rPr>
        <w:t xml:space="preserve">. </w:t>
      </w:r>
      <w:proofErr w:type="spellStart"/>
      <w:r w:rsidRPr="006E0082">
        <w:rPr>
          <w:rFonts w:ascii="Times New Roman" w:hAnsi="Times New Roman" w:cs="Times New Roman"/>
          <w:sz w:val="28"/>
          <w:szCs w:val="28"/>
          <w:lang w:val="en-US"/>
        </w:rPr>
        <w:t>Херсон</w:t>
      </w:r>
      <w:proofErr w:type="spellEnd"/>
      <w:r w:rsidRPr="006E0082">
        <w:rPr>
          <w:rFonts w:ascii="Times New Roman" w:hAnsi="Times New Roman" w:cs="Times New Roman"/>
          <w:sz w:val="28"/>
          <w:szCs w:val="28"/>
          <w:lang w:val="en-US"/>
        </w:rPr>
        <w:t xml:space="preserve">: </w:t>
      </w:r>
      <w:proofErr w:type="spellStart"/>
      <w:r w:rsidRPr="006E0082">
        <w:rPr>
          <w:rFonts w:ascii="Times New Roman" w:hAnsi="Times New Roman" w:cs="Times New Roman"/>
          <w:sz w:val="28"/>
          <w:szCs w:val="28"/>
          <w:lang w:val="en-US"/>
        </w:rPr>
        <w:t>Видавничий</w:t>
      </w:r>
      <w:proofErr w:type="spellEnd"/>
      <w:r w:rsidRPr="006E0082">
        <w:rPr>
          <w:rFonts w:ascii="Times New Roman" w:hAnsi="Times New Roman" w:cs="Times New Roman"/>
          <w:sz w:val="28"/>
          <w:szCs w:val="28"/>
          <w:lang w:val="en-US"/>
        </w:rPr>
        <w:t xml:space="preserve"> </w:t>
      </w:r>
      <w:proofErr w:type="spellStart"/>
      <w:r w:rsidRPr="006E0082">
        <w:rPr>
          <w:rFonts w:ascii="Times New Roman" w:hAnsi="Times New Roman" w:cs="Times New Roman"/>
          <w:sz w:val="28"/>
          <w:szCs w:val="28"/>
          <w:lang w:val="en-US"/>
        </w:rPr>
        <w:t>дім</w:t>
      </w:r>
      <w:proofErr w:type="spellEnd"/>
      <w:r w:rsidRPr="006E0082">
        <w:rPr>
          <w:rFonts w:ascii="Times New Roman" w:hAnsi="Times New Roman" w:cs="Times New Roman"/>
          <w:sz w:val="28"/>
          <w:szCs w:val="28"/>
          <w:lang w:val="en-US"/>
        </w:rPr>
        <w:t xml:space="preserve"> «</w:t>
      </w:r>
      <w:proofErr w:type="spellStart"/>
      <w:r w:rsidRPr="006E0082">
        <w:rPr>
          <w:rFonts w:ascii="Times New Roman" w:hAnsi="Times New Roman" w:cs="Times New Roman"/>
          <w:sz w:val="28"/>
          <w:szCs w:val="28"/>
          <w:lang w:val="en-US"/>
        </w:rPr>
        <w:t>Гельветика</w:t>
      </w:r>
      <w:proofErr w:type="spellEnd"/>
      <w:r w:rsidRPr="006E0082">
        <w:rPr>
          <w:rFonts w:ascii="Times New Roman" w:hAnsi="Times New Roman" w:cs="Times New Roman"/>
          <w:sz w:val="28"/>
          <w:szCs w:val="28"/>
          <w:lang w:val="en-US"/>
        </w:rPr>
        <w:t>», 2016. 516 с.</w:t>
      </w:r>
    </w:p>
    <w:p w14:paraId="4491C665"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E0082">
        <w:rPr>
          <w:rFonts w:ascii="Times New Roman" w:hAnsi="Times New Roman" w:cs="Times New Roman"/>
          <w:sz w:val="28"/>
          <w:szCs w:val="28"/>
          <w:lang w:val="en-US"/>
        </w:rPr>
        <w:lastRenderedPageBreak/>
        <w:t xml:space="preserve">226. </w:t>
      </w:r>
      <w:r w:rsidRPr="006B59F1">
        <w:rPr>
          <w:rFonts w:ascii="Times New Roman" w:hAnsi="Times New Roman" w:cs="Times New Roman"/>
          <w:sz w:val="28"/>
          <w:szCs w:val="28"/>
          <w:lang w:val="en-US"/>
        </w:rPr>
        <w:t xml:space="preserve">Schuler R., Jackson S., </w:t>
      </w:r>
      <w:proofErr w:type="spellStart"/>
      <w:r w:rsidRPr="006B59F1">
        <w:rPr>
          <w:rFonts w:ascii="Times New Roman" w:hAnsi="Times New Roman" w:cs="Times New Roman"/>
          <w:sz w:val="28"/>
          <w:szCs w:val="28"/>
          <w:lang w:val="en-US"/>
        </w:rPr>
        <w:t>Tarique</w:t>
      </w:r>
      <w:proofErr w:type="spellEnd"/>
      <w:r w:rsidRPr="006B59F1">
        <w:rPr>
          <w:rFonts w:ascii="Times New Roman" w:hAnsi="Times New Roman" w:cs="Times New Roman"/>
          <w:sz w:val="28"/>
          <w:szCs w:val="28"/>
          <w:lang w:val="en-US"/>
        </w:rPr>
        <w:t xml:space="preserve"> I. Framework for global talent management: HR actions for dealing with global talent challenges, in Scullion H., and Collings D. Global Talent Management, Routledge. London. 2021. P. 17-36.</w:t>
      </w:r>
    </w:p>
    <w:p w14:paraId="2774FC4A"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227. Collings D., Scullion H., </w:t>
      </w:r>
      <w:proofErr w:type="spellStart"/>
      <w:r w:rsidRPr="006B59F1">
        <w:rPr>
          <w:rFonts w:ascii="Times New Roman" w:hAnsi="Times New Roman" w:cs="Times New Roman"/>
          <w:sz w:val="28"/>
          <w:szCs w:val="28"/>
          <w:lang w:val="en-US"/>
        </w:rPr>
        <w:t>Vaiman</w:t>
      </w:r>
      <w:proofErr w:type="spellEnd"/>
      <w:r w:rsidRPr="006B59F1">
        <w:rPr>
          <w:rFonts w:ascii="Times New Roman" w:hAnsi="Times New Roman" w:cs="Times New Roman"/>
          <w:sz w:val="28"/>
          <w:szCs w:val="28"/>
          <w:lang w:val="en-US"/>
        </w:rPr>
        <w:t xml:space="preserve"> V. European Perspectives on Talent Management. European Journal of International Management. 2021. № 5(5). P. 453-462. </w:t>
      </w:r>
    </w:p>
    <w:p w14:paraId="4DFF766D"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228. </w:t>
      </w:r>
      <w:proofErr w:type="spellStart"/>
      <w:r w:rsidRPr="006B59F1">
        <w:rPr>
          <w:rFonts w:ascii="Times New Roman" w:hAnsi="Times New Roman" w:cs="Times New Roman"/>
          <w:sz w:val="28"/>
          <w:szCs w:val="28"/>
          <w:lang w:val="en-US"/>
        </w:rPr>
        <w:t>Beechler</w:t>
      </w:r>
      <w:proofErr w:type="spellEnd"/>
      <w:r w:rsidRPr="006B59F1">
        <w:rPr>
          <w:rFonts w:ascii="Times New Roman" w:hAnsi="Times New Roman" w:cs="Times New Roman"/>
          <w:sz w:val="28"/>
          <w:szCs w:val="28"/>
          <w:lang w:val="en-US"/>
        </w:rPr>
        <w:t xml:space="preserve"> S., Woodward I. C. The global ‘war for talent’. Journal of International Management. 2019. № 15 (3). P. 273-185.</w:t>
      </w:r>
    </w:p>
    <w:p w14:paraId="5C6F21BE"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229. </w:t>
      </w:r>
      <w:proofErr w:type="spellStart"/>
      <w:r w:rsidRPr="006B59F1">
        <w:rPr>
          <w:rFonts w:ascii="Times New Roman" w:hAnsi="Times New Roman" w:cs="Times New Roman"/>
          <w:sz w:val="28"/>
          <w:szCs w:val="28"/>
          <w:lang w:val="en-US"/>
        </w:rPr>
        <w:t>Farndale</w:t>
      </w:r>
      <w:proofErr w:type="spellEnd"/>
      <w:r w:rsidRPr="006B59F1">
        <w:rPr>
          <w:rFonts w:ascii="Times New Roman" w:hAnsi="Times New Roman" w:cs="Times New Roman"/>
          <w:sz w:val="28"/>
          <w:szCs w:val="28"/>
          <w:lang w:val="en-US"/>
        </w:rPr>
        <w:t xml:space="preserve"> E., Scullion H., Sparrow P. The Role of the Corporate Human Resource Function in Global Talent Management. Journal of World Business. 2020. № 45(2). P. 161-168.</w:t>
      </w:r>
    </w:p>
    <w:p w14:paraId="2E6E5050"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230. McDonnell A., Lamare R., </w:t>
      </w:r>
      <w:proofErr w:type="spellStart"/>
      <w:r w:rsidRPr="006B59F1">
        <w:rPr>
          <w:rFonts w:ascii="Times New Roman" w:hAnsi="Times New Roman" w:cs="Times New Roman"/>
          <w:sz w:val="28"/>
          <w:szCs w:val="28"/>
          <w:lang w:val="en-US"/>
        </w:rPr>
        <w:t>Gunnigle</w:t>
      </w:r>
      <w:proofErr w:type="spellEnd"/>
      <w:r w:rsidRPr="006B59F1">
        <w:rPr>
          <w:rFonts w:ascii="Times New Roman" w:hAnsi="Times New Roman" w:cs="Times New Roman"/>
          <w:sz w:val="28"/>
          <w:szCs w:val="28"/>
          <w:lang w:val="en-US"/>
        </w:rPr>
        <w:t xml:space="preserve"> P., Lavelle J. Developing tomorrow’s leaders – evidence of global talent management in multinational enterprises. Journal of World Business. 2020. № 45(2). P. 150-160.</w:t>
      </w:r>
    </w:p>
    <w:p w14:paraId="590BE22E"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231. Scullion H., Sparrow P., </w:t>
      </w:r>
      <w:proofErr w:type="spellStart"/>
      <w:r w:rsidRPr="006B59F1">
        <w:rPr>
          <w:rFonts w:ascii="Times New Roman" w:hAnsi="Times New Roman" w:cs="Times New Roman"/>
          <w:sz w:val="28"/>
          <w:szCs w:val="28"/>
          <w:lang w:val="en-US"/>
        </w:rPr>
        <w:t>Farndale</w:t>
      </w:r>
      <w:proofErr w:type="spellEnd"/>
      <w:r w:rsidRPr="006B59F1">
        <w:rPr>
          <w:rFonts w:ascii="Times New Roman" w:hAnsi="Times New Roman" w:cs="Times New Roman"/>
          <w:sz w:val="28"/>
          <w:szCs w:val="28"/>
          <w:lang w:val="en-US"/>
        </w:rPr>
        <w:t xml:space="preserve"> E. Global talent management: new challenges for the corporate HR function in the global recession. Human Resource Management (Poland). 2021. № 1(78). P. 97-114.</w:t>
      </w:r>
    </w:p>
    <w:p w14:paraId="37F0E5BD"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232. Dries N. Talent management, from phenomenon to theory: Introduction to the Special Issue. Human Resource Management Review. 2013. </w:t>
      </w:r>
      <w:r w:rsidRPr="006B59F1">
        <w:rPr>
          <w:rFonts w:ascii="Times New Roman" w:hAnsi="Times New Roman" w:cs="Times New Roman"/>
          <w:color w:val="000000" w:themeColor="text1"/>
          <w:sz w:val="28"/>
          <w:szCs w:val="28"/>
          <w:lang w:val="en-US"/>
        </w:rPr>
        <w:t xml:space="preserve">DOI: </w:t>
      </w:r>
      <w:r w:rsidRPr="006B59F1">
        <w:rPr>
          <w:rFonts w:ascii="Times New Roman" w:hAnsi="Times New Roman" w:cs="Times New Roman"/>
          <w:sz w:val="28"/>
          <w:szCs w:val="28"/>
          <w:lang w:val="en-US"/>
        </w:rPr>
        <w:t>http://dx.doi.org/10.1016/j.hrmr.2013.08.006</w:t>
      </w:r>
    </w:p>
    <w:p w14:paraId="2FAA5422"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233. </w:t>
      </w:r>
      <w:proofErr w:type="spellStart"/>
      <w:r w:rsidRPr="006B59F1">
        <w:rPr>
          <w:rFonts w:ascii="Times New Roman" w:hAnsi="Times New Roman" w:cs="Times New Roman"/>
          <w:sz w:val="28"/>
          <w:szCs w:val="28"/>
          <w:lang w:val="en-US"/>
        </w:rPr>
        <w:t>Vaiman</w:t>
      </w:r>
      <w:proofErr w:type="spellEnd"/>
      <w:r w:rsidRPr="006B59F1">
        <w:rPr>
          <w:rFonts w:ascii="Times New Roman" w:hAnsi="Times New Roman" w:cs="Times New Roman"/>
          <w:sz w:val="28"/>
          <w:szCs w:val="28"/>
          <w:lang w:val="en-US"/>
        </w:rPr>
        <w:t xml:space="preserve"> V., Collings D., Scullion H. Global Talent Management: Trends, Challenges, and Opportunities, Management Decision. 2022. № 50(5). P. 1-27.</w:t>
      </w:r>
    </w:p>
    <w:p w14:paraId="346A7957"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234. Vance C. M., </w:t>
      </w:r>
      <w:proofErr w:type="spellStart"/>
      <w:r w:rsidRPr="006B59F1">
        <w:rPr>
          <w:rFonts w:ascii="Times New Roman" w:hAnsi="Times New Roman" w:cs="Times New Roman"/>
          <w:sz w:val="28"/>
          <w:szCs w:val="28"/>
          <w:lang w:val="en-US"/>
        </w:rPr>
        <w:t>Vaiman</w:t>
      </w:r>
      <w:proofErr w:type="spellEnd"/>
      <w:r w:rsidRPr="006B59F1">
        <w:rPr>
          <w:rFonts w:ascii="Times New Roman" w:hAnsi="Times New Roman" w:cs="Times New Roman"/>
          <w:sz w:val="28"/>
          <w:szCs w:val="28"/>
          <w:lang w:val="en-US"/>
        </w:rPr>
        <w:t xml:space="preserve"> V. Smart talent management: on the powerful amalgamation of talent management and knowledge management. Smart Talent Management: Building Knowledge Assets for Competitive Advantage. Edward Elgar, Northampton. MA. 2018. P. 1-15.</w:t>
      </w:r>
    </w:p>
    <w:p w14:paraId="73BDC20A"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235. Guthridge M., McPherson J. R., Wolf J. R. Upgrading Talent. McKinsey Quarterly. 2018 (December). P. 1-8.</w:t>
      </w:r>
    </w:p>
    <w:p w14:paraId="51C9E5C1"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236. Hewlett S. S., Rashid R. Winning the War for talent in Emerging Markets, Harvard Business Review. 2011. 288 p.</w:t>
      </w:r>
    </w:p>
    <w:p w14:paraId="497FFB26"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lastRenderedPageBreak/>
        <w:t>237. Luthans F., Zhu W., Avolio B. J. The impact of efficacy on work attitudes across cultures, Journal of World Business. 2016. № 41. P. 121-132.</w:t>
      </w:r>
    </w:p>
    <w:p w14:paraId="4DD2B912"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238. Scullion H., Collings D. G., </w:t>
      </w:r>
      <w:proofErr w:type="spellStart"/>
      <w:r w:rsidRPr="006B59F1">
        <w:rPr>
          <w:rFonts w:ascii="Times New Roman" w:hAnsi="Times New Roman" w:cs="Times New Roman"/>
          <w:sz w:val="28"/>
          <w:szCs w:val="28"/>
          <w:lang w:val="en-US"/>
        </w:rPr>
        <w:t>Gunnigle</w:t>
      </w:r>
      <w:proofErr w:type="spellEnd"/>
      <w:r w:rsidRPr="006B59F1">
        <w:rPr>
          <w:rFonts w:ascii="Times New Roman" w:hAnsi="Times New Roman" w:cs="Times New Roman"/>
          <w:sz w:val="28"/>
          <w:szCs w:val="28"/>
          <w:lang w:val="en-US"/>
        </w:rPr>
        <w:t xml:space="preserve"> P. International HRM in the 21st century: emerging themes and contemporary debates. Human Resource Management Journal. 2017. № 17. P. 309-319.</w:t>
      </w:r>
    </w:p>
    <w:p w14:paraId="2812C055"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239. </w:t>
      </w:r>
      <w:proofErr w:type="spellStart"/>
      <w:r w:rsidRPr="006B59F1">
        <w:rPr>
          <w:rFonts w:ascii="Times New Roman" w:hAnsi="Times New Roman" w:cs="Times New Roman"/>
          <w:sz w:val="28"/>
          <w:szCs w:val="28"/>
          <w:lang w:val="en-US"/>
        </w:rPr>
        <w:t>Mellahi</w:t>
      </w:r>
      <w:proofErr w:type="spellEnd"/>
      <w:r w:rsidRPr="006B59F1">
        <w:rPr>
          <w:rFonts w:ascii="Times New Roman" w:hAnsi="Times New Roman" w:cs="Times New Roman"/>
          <w:sz w:val="28"/>
          <w:szCs w:val="28"/>
          <w:lang w:val="en-US"/>
        </w:rPr>
        <w:t xml:space="preserve"> K., Collings D. G. The barriers to effective global talent management: The example of corporate élites in MNEs. Journal of World Business. 2020. № 45(2). P. 143-149.</w:t>
      </w:r>
    </w:p>
    <w:p w14:paraId="726939B8"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240. Stahl G., </w:t>
      </w:r>
      <w:proofErr w:type="spellStart"/>
      <w:r w:rsidRPr="006B59F1">
        <w:rPr>
          <w:rFonts w:ascii="Times New Roman" w:hAnsi="Times New Roman" w:cs="Times New Roman"/>
          <w:sz w:val="28"/>
          <w:szCs w:val="28"/>
          <w:lang w:val="en-US"/>
        </w:rPr>
        <w:t>Björkman</w:t>
      </w:r>
      <w:proofErr w:type="spellEnd"/>
      <w:r w:rsidRPr="006B59F1">
        <w:rPr>
          <w:rFonts w:ascii="Times New Roman" w:hAnsi="Times New Roman" w:cs="Times New Roman"/>
          <w:sz w:val="28"/>
          <w:szCs w:val="28"/>
          <w:lang w:val="en-US"/>
        </w:rPr>
        <w:t xml:space="preserve"> I., </w:t>
      </w:r>
      <w:proofErr w:type="spellStart"/>
      <w:r w:rsidRPr="006B59F1">
        <w:rPr>
          <w:rFonts w:ascii="Times New Roman" w:hAnsi="Times New Roman" w:cs="Times New Roman"/>
          <w:sz w:val="28"/>
          <w:szCs w:val="28"/>
          <w:lang w:val="en-US"/>
        </w:rPr>
        <w:t>Farndale</w:t>
      </w:r>
      <w:proofErr w:type="spellEnd"/>
      <w:r w:rsidRPr="006B59F1">
        <w:rPr>
          <w:rFonts w:ascii="Times New Roman" w:hAnsi="Times New Roman" w:cs="Times New Roman"/>
          <w:sz w:val="28"/>
          <w:szCs w:val="28"/>
          <w:lang w:val="en-US"/>
        </w:rPr>
        <w:t xml:space="preserve"> E., Morris S., Paauwe J., Stiles P. Six Principles of Effective Global Talent Management, MIT Sloan Management Review. 2022. № 53(2). P. 25-32.</w:t>
      </w:r>
    </w:p>
    <w:p w14:paraId="49D83490"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241. </w:t>
      </w:r>
      <w:proofErr w:type="spellStart"/>
      <w:r w:rsidRPr="006B59F1">
        <w:rPr>
          <w:rFonts w:ascii="Times New Roman" w:hAnsi="Times New Roman" w:cs="Times New Roman"/>
          <w:sz w:val="28"/>
          <w:szCs w:val="28"/>
          <w:lang w:val="en-US"/>
        </w:rPr>
        <w:t>Goergen</w:t>
      </w:r>
      <w:proofErr w:type="spellEnd"/>
      <w:r w:rsidRPr="006B59F1">
        <w:rPr>
          <w:rFonts w:ascii="Times New Roman" w:hAnsi="Times New Roman" w:cs="Times New Roman"/>
          <w:sz w:val="28"/>
          <w:szCs w:val="28"/>
          <w:lang w:val="en-US"/>
        </w:rPr>
        <w:t xml:space="preserve"> M., Brewster C., Wood G. T. Wilkinson A. Varieties of capitalism and investments in human capital. Industrial Relations. 2022. № 51(2). P. 501-527.</w:t>
      </w:r>
    </w:p>
    <w:p w14:paraId="066567BC"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242. </w:t>
      </w:r>
      <w:proofErr w:type="spellStart"/>
      <w:r w:rsidRPr="006B59F1">
        <w:rPr>
          <w:rFonts w:ascii="Times New Roman" w:hAnsi="Times New Roman" w:cs="Times New Roman"/>
          <w:sz w:val="28"/>
          <w:szCs w:val="28"/>
          <w:lang w:val="en-US"/>
        </w:rPr>
        <w:t>Richbell</w:t>
      </w:r>
      <w:proofErr w:type="spellEnd"/>
      <w:r w:rsidRPr="006B59F1">
        <w:rPr>
          <w:rFonts w:ascii="Times New Roman" w:hAnsi="Times New Roman" w:cs="Times New Roman"/>
          <w:sz w:val="28"/>
          <w:szCs w:val="28"/>
          <w:lang w:val="en-US"/>
        </w:rPr>
        <w:t xml:space="preserve"> S. Brookes M, Brewster C., Wood G. Non-standard working time: an international and comparative analysis. International Journal of Human Resource Management. 2021. № 22 (4). P. 945-962.</w:t>
      </w:r>
    </w:p>
    <w:p w14:paraId="7B494E97"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243. Croucher R., Wood G., Brewster C., Brookes M. Employee turnover, HRM and institutional contexts. Economic and Industrial Democracy. 2012. № 33 (4). P. 605-620.</w:t>
      </w:r>
    </w:p>
    <w:p w14:paraId="4658F901"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244. </w:t>
      </w:r>
      <w:proofErr w:type="spellStart"/>
      <w:r w:rsidRPr="006B59F1">
        <w:rPr>
          <w:rFonts w:ascii="Times New Roman" w:hAnsi="Times New Roman" w:cs="Times New Roman"/>
          <w:sz w:val="28"/>
          <w:szCs w:val="28"/>
          <w:lang w:val="en-US"/>
        </w:rPr>
        <w:t>Goergen</w:t>
      </w:r>
      <w:proofErr w:type="spellEnd"/>
      <w:r w:rsidRPr="006B59F1">
        <w:rPr>
          <w:rFonts w:ascii="Times New Roman" w:hAnsi="Times New Roman" w:cs="Times New Roman"/>
          <w:sz w:val="28"/>
          <w:szCs w:val="28"/>
          <w:lang w:val="en-US"/>
        </w:rPr>
        <w:t xml:space="preserve"> M., Brewster C., Wood G. The Effects of the National Setting on Employment Practice: The Case of Downsizing. International Business Review. 2013. № 22. 42 p. </w:t>
      </w:r>
      <w:r w:rsidRPr="006B59F1">
        <w:rPr>
          <w:rFonts w:ascii="Times New Roman" w:hAnsi="Times New Roman" w:cs="Times New Roman"/>
          <w:color w:val="000000" w:themeColor="text1"/>
          <w:sz w:val="28"/>
          <w:szCs w:val="28"/>
          <w:lang w:val="en-US"/>
        </w:rPr>
        <w:t xml:space="preserve">DOI: </w:t>
      </w:r>
      <w:r w:rsidRPr="006B59F1">
        <w:rPr>
          <w:rFonts w:ascii="Times New Roman" w:hAnsi="Times New Roman" w:cs="Times New Roman"/>
          <w:sz w:val="28"/>
          <w:szCs w:val="28"/>
          <w:lang w:val="en-US"/>
        </w:rPr>
        <w:t xml:space="preserve">http://dx.doi.org/10.2139/ssrn.942232. </w:t>
      </w:r>
    </w:p>
    <w:p w14:paraId="5E5588D5"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245. Mayrhofer W., Brewster C., Morley M., </w:t>
      </w:r>
      <w:proofErr w:type="spellStart"/>
      <w:r w:rsidRPr="006B59F1">
        <w:rPr>
          <w:rFonts w:ascii="Times New Roman" w:hAnsi="Times New Roman" w:cs="Times New Roman"/>
          <w:sz w:val="28"/>
          <w:szCs w:val="28"/>
          <w:lang w:val="en-US"/>
        </w:rPr>
        <w:t>Ledolter</w:t>
      </w:r>
      <w:proofErr w:type="spellEnd"/>
      <w:r w:rsidRPr="006B59F1">
        <w:rPr>
          <w:rFonts w:ascii="Times New Roman" w:hAnsi="Times New Roman" w:cs="Times New Roman"/>
          <w:sz w:val="28"/>
          <w:szCs w:val="28"/>
          <w:lang w:val="en-US"/>
        </w:rPr>
        <w:t xml:space="preserve"> J. Hearing a Different drummer? Evidence of convergence in European HRM. Human Resource Management Review. 2021. № 21 (1). P. 50-67.</w:t>
      </w:r>
    </w:p>
    <w:p w14:paraId="126F3BAF"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246. Hempel S. P. Differences between Chinese and Western managerial views of performance appraisal. Personal Review. 2021. № 30 (2). P. 203-226.</w:t>
      </w:r>
    </w:p>
    <w:p w14:paraId="5051560E"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247. Bailey J., Chen C., Dou S. Conceptions of self and performance-related feedback in the US, Japan and China. Journal of International Business Studies. 2019. № 28 (3). P. 605-625.</w:t>
      </w:r>
    </w:p>
    <w:p w14:paraId="5B5F3ABD"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lastRenderedPageBreak/>
        <w:t xml:space="preserve">248. </w:t>
      </w:r>
      <w:proofErr w:type="spellStart"/>
      <w:r w:rsidRPr="006B59F1">
        <w:rPr>
          <w:rFonts w:ascii="Times New Roman" w:hAnsi="Times New Roman" w:cs="Times New Roman"/>
          <w:sz w:val="28"/>
          <w:szCs w:val="28"/>
          <w:lang w:val="en-US"/>
        </w:rPr>
        <w:t>Papalexandris</w:t>
      </w:r>
      <w:proofErr w:type="spellEnd"/>
      <w:r w:rsidRPr="006B59F1">
        <w:rPr>
          <w:rFonts w:ascii="Times New Roman" w:hAnsi="Times New Roman" w:cs="Times New Roman"/>
          <w:sz w:val="28"/>
          <w:szCs w:val="28"/>
          <w:lang w:val="en-US"/>
        </w:rPr>
        <w:t xml:space="preserve"> N., </w:t>
      </w:r>
      <w:proofErr w:type="spellStart"/>
      <w:r w:rsidRPr="006B59F1">
        <w:rPr>
          <w:rFonts w:ascii="Times New Roman" w:hAnsi="Times New Roman" w:cs="Times New Roman"/>
          <w:sz w:val="28"/>
          <w:szCs w:val="28"/>
          <w:lang w:val="en-US"/>
        </w:rPr>
        <w:t>Chalikias</w:t>
      </w:r>
      <w:proofErr w:type="spellEnd"/>
      <w:r w:rsidRPr="006B59F1">
        <w:rPr>
          <w:rFonts w:ascii="Times New Roman" w:hAnsi="Times New Roman" w:cs="Times New Roman"/>
          <w:sz w:val="28"/>
          <w:szCs w:val="28"/>
          <w:lang w:val="en-US"/>
        </w:rPr>
        <w:t xml:space="preserve"> J. Changes in training, performance management and communication issues among Greek firms in the 1990s: Inter-country and intra-country comparisons. Journal of European Industrial Training. 2022. № 26 (7). P. 342-352.</w:t>
      </w:r>
    </w:p>
    <w:p w14:paraId="6F5D54D3"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249. </w:t>
      </w:r>
      <w:proofErr w:type="spellStart"/>
      <w:r w:rsidRPr="006B59F1">
        <w:rPr>
          <w:rFonts w:ascii="Times New Roman" w:hAnsi="Times New Roman" w:cs="Times New Roman"/>
          <w:sz w:val="28"/>
          <w:szCs w:val="28"/>
          <w:lang w:val="en-US"/>
        </w:rPr>
        <w:t>Huo</w:t>
      </w:r>
      <w:proofErr w:type="spellEnd"/>
      <w:r w:rsidRPr="006B59F1">
        <w:rPr>
          <w:rFonts w:ascii="Times New Roman" w:hAnsi="Times New Roman" w:cs="Times New Roman"/>
          <w:sz w:val="28"/>
          <w:szCs w:val="28"/>
          <w:lang w:val="en-US"/>
        </w:rPr>
        <w:t xml:space="preserve"> Y. P., Huang H., Napier N. K. Divergence or Convergence: A Cross-cultural Comparison of Personnel Selection Practices. Human Resource Management. 2022. № 41 (1). P. 31-44.</w:t>
      </w:r>
    </w:p>
    <w:p w14:paraId="6A8C1FA1"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250. </w:t>
      </w:r>
      <w:proofErr w:type="spellStart"/>
      <w:r w:rsidRPr="006B59F1">
        <w:rPr>
          <w:rFonts w:ascii="Times New Roman" w:hAnsi="Times New Roman" w:cs="Times New Roman"/>
          <w:sz w:val="28"/>
          <w:szCs w:val="28"/>
          <w:lang w:val="en-US"/>
        </w:rPr>
        <w:t>Makela</w:t>
      </w:r>
      <w:proofErr w:type="spellEnd"/>
      <w:r w:rsidRPr="006B59F1">
        <w:rPr>
          <w:rFonts w:ascii="Times New Roman" w:hAnsi="Times New Roman" w:cs="Times New Roman"/>
          <w:sz w:val="28"/>
          <w:szCs w:val="28"/>
          <w:lang w:val="en-US"/>
        </w:rPr>
        <w:t xml:space="preserve"> K., Bjorkman I., </w:t>
      </w:r>
      <w:proofErr w:type="spellStart"/>
      <w:r w:rsidRPr="006B59F1">
        <w:rPr>
          <w:rFonts w:ascii="Times New Roman" w:hAnsi="Times New Roman" w:cs="Times New Roman"/>
          <w:sz w:val="28"/>
          <w:szCs w:val="28"/>
          <w:lang w:val="en-US"/>
        </w:rPr>
        <w:t>Ehrnrooth</w:t>
      </w:r>
      <w:proofErr w:type="spellEnd"/>
      <w:r w:rsidRPr="006B59F1">
        <w:rPr>
          <w:rFonts w:ascii="Times New Roman" w:hAnsi="Times New Roman" w:cs="Times New Roman"/>
          <w:sz w:val="28"/>
          <w:szCs w:val="28"/>
          <w:lang w:val="en-US"/>
        </w:rPr>
        <w:t xml:space="preserve"> M. How do MNCs establish their talent pools? Influences on individuals’ likelihood of being labelled as talent. Journal of World Business. 2020. № 45(2). P. 134-142.</w:t>
      </w:r>
    </w:p>
    <w:p w14:paraId="1CA662CB"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251. </w:t>
      </w:r>
      <w:proofErr w:type="spellStart"/>
      <w:r w:rsidRPr="006B59F1">
        <w:rPr>
          <w:rFonts w:ascii="Times New Roman" w:hAnsi="Times New Roman" w:cs="Times New Roman"/>
          <w:sz w:val="28"/>
          <w:szCs w:val="28"/>
          <w:lang w:val="en-US"/>
        </w:rPr>
        <w:t>Vaiman</w:t>
      </w:r>
      <w:proofErr w:type="spellEnd"/>
      <w:r w:rsidRPr="006B59F1">
        <w:rPr>
          <w:rFonts w:ascii="Times New Roman" w:hAnsi="Times New Roman" w:cs="Times New Roman"/>
          <w:sz w:val="28"/>
          <w:szCs w:val="28"/>
          <w:lang w:val="en-US"/>
        </w:rPr>
        <w:t xml:space="preserve"> V., </w:t>
      </w:r>
      <w:proofErr w:type="spellStart"/>
      <w:r w:rsidRPr="006B59F1">
        <w:rPr>
          <w:rFonts w:ascii="Times New Roman" w:hAnsi="Times New Roman" w:cs="Times New Roman"/>
          <w:sz w:val="28"/>
          <w:szCs w:val="28"/>
          <w:lang w:val="en-US"/>
        </w:rPr>
        <w:t>Haslberger</w:t>
      </w:r>
      <w:proofErr w:type="spellEnd"/>
      <w:r w:rsidRPr="006B59F1">
        <w:rPr>
          <w:rFonts w:ascii="Times New Roman" w:hAnsi="Times New Roman" w:cs="Times New Roman"/>
          <w:sz w:val="28"/>
          <w:szCs w:val="28"/>
          <w:lang w:val="en-US"/>
        </w:rPr>
        <w:t xml:space="preserve"> A. Managing Talent of Self-initiated Expatriates: A neglected source of the global talent flow. </w:t>
      </w:r>
      <w:proofErr w:type="spellStart"/>
      <w:r w:rsidRPr="006B59F1">
        <w:rPr>
          <w:rFonts w:ascii="Times New Roman" w:eastAsia="Times New Roman" w:hAnsi="Times New Roman" w:cs="Times New Roman"/>
          <w:sz w:val="28"/>
          <w:szCs w:val="28"/>
          <w:lang w:val="uk-UA" w:eastAsia="uk-UA"/>
        </w:rPr>
        <w:t>London</w:t>
      </w:r>
      <w:proofErr w:type="spellEnd"/>
      <w:r w:rsidRPr="006B59F1">
        <w:rPr>
          <w:rFonts w:ascii="Times New Roman" w:eastAsia="Times New Roman" w:hAnsi="Times New Roman" w:cs="Times New Roman"/>
          <w:sz w:val="28"/>
          <w:szCs w:val="28"/>
          <w:lang w:val="uk-UA" w:eastAsia="uk-UA"/>
        </w:rPr>
        <w:t xml:space="preserve">: </w:t>
      </w:r>
      <w:proofErr w:type="spellStart"/>
      <w:r w:rsidRPr="006B59F1">
        <w:rPr>
          <w:rFonts w:ascii="Times New Roman" w:eastAsia="Times New Roman" w:hAnsi="Times New Roman" w:cs="Times New Roman"/>
          <w:sz w:val="28"/>
          <w:szCs w:val="28"/>
          <w:lang w:val="uk-UA" w:eastAsia="uk-UA"/>
        </w:rPr>
        <w:t>Palgrave</w:t>
      </w:r>
      <w:proofErr w:type="spellEnd"/>
      <w:r w:rsidRPr="006B59F1">
        <w:rPr>
          <w:rFonts w:ascii="Times New Roman" w:eastAsia="Times New Roman" w:hAnsi="Times New Roman" w:cs="Times New Roman"/>
          <w:sz w:val="28"/>
          <w:szCs w:val="28"/>
          <w:lang w:val="uk-UA" w:eastAsia="uk-UA"/>
        </w:rPr>
        <w:t xml:space="preserve"> </w:t>
      </w:r>
      <w:proofErr w:type="spellStart"/>
      <w:r w:rsidRPr="006B59F1">
        <w:rPr>
          <w:rFonts w:ascii="Times New Roman" w:eastAsia="Times New Roman" w:hAnsi="Times New Roman" w:cs="Times New Roman"/>
          <w:sz w:val="28"/>
          <w:szCs w:val="28"/>
          <w:lang w:val="uk-UA" w:eastAsia="uk-UA"/>
        </w:rPr>
        <w:t>McMillan</w:t>
      </w:r>
      <w:proofErr w:type="spellEnd"/>
      <w:r w:rsidRPr="006B59F1">
        <w:rPr>
          <w:rFonts w:ascii="Times New Roman" w:hAnsi="Times New Roman" w:cs="Times New Roman"/>
          <w:sz w:val="28"/>
          <w:szCs w:val="28"/>
          <w:lang w:val="en-US"/>
        </w:rPr>
        <w:t xml:space="preserve">. 2023. P. 1-15. </w:t>
      </w:r>
      <w:r w:rsidRPr="006B59F1">
        <w:rPr>
          <w:rFonts w:ascii="Times New Roman" w:hAnsi="Times New Roman" w:cs="Times New Roman"/>
          <w:color w:val="000000" w:themeColor="text1"/>
          <w:sz w:val="28"/>
          <w:szCs w:val="28"/>
          <w:lang w:val="en-US"/>
        </w:rPr>
        <w:t>DOI: https://doi.org/</w:t>
      </w:r>
      <w:r w:rsidRPr="006B59F1">
        <w:rPr>
          <w:rFonts w:ascii="Times New Roman" w:hAnsi="Times New Roman" w:cs="Times New Roman"/>
          <w:sz w:val="28"/>
          <w:szCs w:val="28"/>
          <w:lang w:val="en-US"/>
        </w:rPr>
        <w:t>10.1057/9780230392809_1.</w:t>
      </w:r>
    </w:p>
    <w:p w14:paraId="3628D087"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252. Tymon W., Stumpf S., </w:t>
      </w:r>
      <w:proofErr w:type="spellStart"/>
      <w:r w:rsidRPr="006B59F1">
        <w:rPr>
          <w:rFonts w:ascii="Times New Roman" w:hAnsi="Times New Roman" w:cs="Times New Roman"/>
          <w:sz w:val="28"/>
          <w:szCs w:val="28"/>
          <w:lang w:val="en-US"/>
        </w:rPr>
        <w:t>Doh</w:t>
      </w:r>
      <w:proofErr w:type="spellEnd"/>
      <w:r w:rsidRPr="006B59F1">
        <w:rPr>
          <w:rFonts w:ascii="Times New Roman" w:hAnsi="Times New Roman" w:cs="Times New Roman"/>
          <w:sz w:val="28"/>
          <w:szCs w:val="28"/>
          <w:lang w:val="en-US"/>
        </w:rPr>
        <w:t xml:space="preserve"> J. Exploring talent management in India: The neglected role of intrinsic rewards. Journal of World Business. 2020. № 45. P. 109-121. </w:t>
      </w:r>
      <w:r w:rsidRPr="006B59F1">
        <w:rPr>
          <w:rFonts w:ascii="Times New Roman" w:hAnsi="Times New Roman" w:cs="Times New Roman"/>
          <w:color w:val="000000" w:themeColor="text1"/>
          <w:sz w:val="28"/>
          <w:szCs w:val="28"/>
          <w:lang w:val="en-US"/>
        </w:rPr>
        <w:t>DOI: https://doi.org/</w:t>
      </w:r>
      <w:r w:rsidRPr="006B59F1">
        <w:rPr>
          <w:rFonts w:ascii="Times New Roman" w:hAnsi="Times New Roman" w:cs="Times New Roman"/>
          <w:sz w:val="28"/>
          <w:szCs w:val="28"/>
          <w:lang w:val="en-US"/>
        </w:rPr>
        <w:t>10.1016/j.jwb.2009.09.016.</w:t>
      </w:r>
    </w:p>
    <w:p w14:paraId="56D48928"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253. Hartmann E., </w:t>
      </w:r>
      <w:proofErr w:type="spellStart"/>
      <w:r w:rsidRPr="006B59F1">
        <w:rPr>
          <w:rFonts w:ascii="Times New Roman" w:hAnsi="Times New Roman" w:cs="Times New Roman"/>
          <w:sz w:val="28"/>
          <w:szCs w:val="28"/>
          <w:lang w:val="en-US"/>
        </w:rPr>
        <w:t>Feisel</w:t>
      </w:r>
      <w:proofErr w:type="spellEnd"/>
      <w:r w:rsidRPr="006B59F1">
        <w:rPr>
          <w:rFonts w:ascii="Times New Roman" w:hAnsi="Times New Roman" w:cs="Times New Roman"/>
          <w:sz w:val="28"/>
          <w:szCs w:val="28"/>
          <w:lang w:val="en-US"/>
        </w:rPr>
        <w:t xml:space="preserve"> E., Schober H. Talent management of western MNCs in China: Balancing global integration and local responsiveness. Journal of World Business. 2020. № 45(2). P. 169-178.</w:t>
      </w:r>
    </w:p>
    <w:p w14:paraId="329EB3A0"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254. </w:t>
      </w:r>
      <w:proofErr w:type="spellStart"/>
      <w:r w:rsidRPr="006B59F1">
        <w:rPr>
          <w:rFonts w:ascii="Times New Roman" w:hAnsi="Times New Roman" w:cs="Times New Roman"/>
          <w:sz w:val="28"/>
          <w:szCs w:val="28"/>
          <w:lang w:val="en-US"/>
        </w:rPr>
        <w:t>Doz</w:t>
      </w:r>
      <w:proofErr w:type="spellEnd"/>
      <w:r w:rsidRPr="006B59F1">
        <w:rPr>
          <w:rFonts w:ascii="Times New Roman" w:hAnsi="Times New Roman" w:cs="Times New Roman"/>
          <w:sz w:val="28"/>
          <w:szCs w:val="28"/>
          <w:lang w:val="en-US"/>
        </w:rPr>
        <w:t xml:space="preserve"> Y., Santos J., </w:t>
      </w:r>
      <w:proofErr w:type="spellStart"/>
      <w:proofErr w:type="gramStart"/>
      <w:r w:rsidRPr="006B59F1">
        <w:rPr>
          <w:rFonts w:ascii="Times New Roman" w:hAnsi="Times New Roman" w:cs="Times New Roman"/>
          <w:sz w:val="28"/>
          <w:szCs w:val="28"/>
          <w:lang w:val="en-US"/>
        </w:rPr>
        <w:t>Williamson,P</w:t>
      </w:r>
      <w:proofErr w:type="spellEnd"/>
      <w:r w:rsidRPr="006B59F1">
        <w:rPr>
          <w:rFonts w:ascii="Times New Roman" w:hAnsi="Times New Roman" w:cs="Times New Roman"/>
          <w:sz w:val="28"/>
          <w:szCs w:val="28"/>
          <w:lang w:val="en-US"/>
        </w:rPr>
        <w:t>.</w:t>
      </w:r>
      <w:proofErr w:type="gramEnd"/>
      <w:r w:rsidRPr="006B59F1">
        <w:rPr>
          <w:rFonts w:ascii="Times New Roman" w:hAnsi="Times New Roman" w:cs="Times New Roman"/>
          <w:sz w:val="28"/>
          <w:szCs w:val="28"/>
          <w:lang w:val="en-US"/>
        </w:rPr>
        <w:t xml:space="preserve"> From Global to </w:t>
      </w:r>
      <w:proofErr w:type="spellStart"/>
      <w:r w:rsidRPr="006B59F1">
        <w:rPr>
          <w:rFonts w:ascii="Times New Roman" w:hAnsi="Times New Roman" w:cs="Times New Roman"/>
          <w:sz w:val="28"/>
          <w:szCs w:val="28"/>
          <w:lang w:val="en-US"/>
        </w:rPr>
        <w:t>Metanational</w:t>
      </w:r>
      <w:proofErr w:type="spellEnd"/>
      <w:r w:rsidRPr="006B59F1">
        <w:rPr>
          <w:rFonts w:ascii="Times New Roman" w:hAnsi="Times New Roman" w:cs="Times New Roman"/>
          <w:sz w:val="28"/>
          <w:szCs w:val="28"/>
          <w:lang w:val="en-US"/>
        </w:rPr>
        <w:t xml:space="preserve"> How Companies Win in the Knowledge Economy. Ubiquity:</w:t>
      </w:r>
      <w:r w:rsidRPr="006B59F1">
        <w:rPr>
          <w:rFonts w:ascii="Times New Roman" w:hAnsi="Times New Roman" w:cs="Times New Roman"/>
          <w:color w:val="0F1111"/>
          <w:sz w:val="28"/>
          <w:szCs w:val="28"/>
          <w:shd w:val="clear" w:color="auto" w:fill="FFFFFF"/>
          <w:lang w:val="en-US"/>
        </w:rPr>
        <w:t xml:space="preserve"> Harvard Business Review Press.</w:t>
      </w:r>
      <w:r w:rsidRPr="006B59F1">
        <w:rPr>
          <w:rFonts w:ascii="Times New Roman" w:hAnsi="Times New Roman" w:cs="Times New Roman"/>
          <w:sz w:val="28"/>
          <w:szCs w:val="28"/>
          <w:lang w:val="en-US"/>
        </w:rPr>
        <w:t xml:space="preserve"> 2001. 258 p. </w:t>
      </w:r>
      <w:r w:rsidRPr="006B59F1">
        <w:rPr>
          <w:rFonts w:ascii="Times New Roman" w:hAnsi="Times New Roman" w:cs="Times New Roman"/>
          <w:color w:val="000000" w:themeColor="text1"/>
          <w:sz w:val="28"/>
          <w:szCs w:val="28"/>
          <w:lang w:val="en-US"/>
        </w:rPr>
        <w:t>DOI: https://doi.org/</w:t>
      </w:r>
      <w:r w:rsidRPr="006B59F1">
        <w:rPr>
          <w:rFonts w:ascii="Times New Roman" w:hAnsi="Times New Roman" w:cs="Times New Roman"/>
          <w:sz w:val="28"/>
          <w:szCs w:val="28"/>
          <w:lang w:val="en-US"/>
        </w:rPr>
        <w:t xml:space="preserve">10.1145/503117.503119. </w:t>
      </w:r>
    </w:p>
    <w:p w14:paraId="0D5DD0C7"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255. Yeung A.K., Warner M., Rowley C. Guest editors’ introduction. Growth and globalization: evolution of human resource practices in Asia. Human Resource Management. 2008. № 47 (1). P. 1-13.</w:t>
      </w:r>
    </w:p>
    <w:p w14:paraId="631F18FD"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256. Teagarden M. B., Meyer J., Jones D. Knowledge sharing among high-tech MNCs in China and India: invisible barriers, best practices and next steps. Organizational Dynamics. 2018. № 37 (2). P. 190-202.</w:t>
      </w:r>
    </w:p>
    <w:p w14:paraId="3B0E92AE"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lastRenderedPageBreak/>
        <w:t xml:space="preserve">257. Stumpf S.A., </w:t>
      </w:r>
      <w:proofErr w:type="spellStart"/>
      <w:r w:rsidRPr="006B59F1">
        <w:rPr>
          <w:rFonts w:ascii="Times New Roman" w:hAnsi="Times New Roman" w:cs="Times New Roman"/>
          <w:sz w:val="28"/>
          <w:szCs w:val="28"/>
          <w:lang w:val="en-US"/>
        </w:rPr>
        <w:t>Doh</w:t>
      </w:r>
      <w:proofErr w:type="spellEnd"/>
      <w:r w:rsidRPr="006B59F1">
        <w:rPr>
          <w:rFonts w:ascii="Times New Roman" w:hAnsi="Times New Roman" w:cs="Times New Roman"/>
          <w:sz w:val="28"/>
          <w:szCs w:val="28"/>
          <w:lang w:val="en-US"/>
        </w:rPr>
        <w:t xml:space="preserve"> J.P., Tymon W. </w:t>
      </w:r>
      <w:proofErr w:type="spellStart"/>
      <w:r w:rsidRPr="006B59F1">
        <w:rPr>
          <w:rFonts w:ascii="Times New Roman" w:hAnsi="Times New Roman" w:cs="Times New Roman"/>
          <w:sz w:val="28"/>
          <w:szCs w:val="28"/>
          <w:lang w:val="en-US"/>
        </w:rPr>
        <w:t>Capitalising</w:t>
      </w:r>
      <w:proofErr w:type="spellEnd"/>
      <w:r w:rsidRPr="006B59F1">
        <w:rPr>
          <w:rFonts w:ascii="Times New Roman" w:hAnsi="Times New Roman" w:cs="Times New Roman"/>
          <w:sz w:val="28"/>
          <w:szCs w:val="28"/>
          <w:lang w:val="en-US"/>
        </w:rPr>
        <w:t xml:space="preserve"> on human resource management in India: The link between HR practices and employee performance, Human Resource Management. 2020. № 49 (3). P. 351-373.</w:t>
      </w:r>
    </w:p>
    <w:p w14:paraId="391DDED9"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258. </w:t>
      </w:r>
      <w:proofErr w:type="spellStart"/>
      <w:r w:rsidRPr="006B59F1">
        <w:rPr>
          <w:rFonts w:ascii="Times New Roman" w:hAnsi="Times New Roman" w:cs="Times New Roman"/>
          <w:sz w:val="28"/>
          <w:szCs w:val="28"/>
          <w:lang w:val="en-US"/>
        </w:rPr>
        <w:t>Illes</w:t>
      </w:r>
      <w:proofErr w:type="spellEnd"/>
      <w:r w:rsidRPr="006B59F1">
        <w:rPr>
          <w:rFonts w:ascii="Times New Roman" w:hAnsi="Times New Roman" w:cs="Times New Roman"/>
          <w:sz w:val="28"/>
          <w:szCs w:val="28"/>
          <w:lang w:val="en-US"/>
        </w:rPr>
        <w:t xml:space="preserve"> P., </w:t>
      </w:r>
      <w:proofErr w:type="spellStart"/>
      <w:r w:rsidRPr="006B59F1">
        <w:rPr>
          <w:rFonts w:ascii="Times New Roman" w:hAnsi="Times New Roman" w:cs="Times New Roman"/>
          <w:sz w:val="28"/>
          <w:szCs w:val="28"/>
          <w:lang w:val="en-US"/>
        </w:rPr>
        <w:t>Chuai</w:t>
      </w:r>
      <w:proofErr w:type="spellEnd"/>
      <w:r w:rsidRPr="006B59F1">
        <w:rPr>
          <w:rFonts w:ascii="Times New Roman" w:hAnsi="Times New Roman" w:cs="Times New Roman"/>
          <w:sz w:val="28"/>
          <w:szCs w:val="28"/>
          <w:lang w:val="en-US"/>
        </w:rPr>
        <w:t xml:space="preserve"> X., </w:t>
      </w:r>
      <w:proofErr w:type="spellStart"/>
      <w:r w:rsidRPr="006B59F1">
        <w:rPr>
          <w:rFonts w:ascii="Times New Roman" w:hAnsi="Times New Roman" w:cs="Times New Roman"/>
          <w:sz w:val="28"/>
          <w:szCs w:val="28"/>
          <w:lang w:val="en-US"/>
        </w:rPr>
        <w:t>Preece</w:t>
      </w:r>
      <w:proofErr w:type="spellEnd"/>
      <w:r w:rsidRPr="006B59F1">
        <w:rPr>
          <w:rFonts w:ascii="Times New Roman" w:hAnsi="Times New Roman" w:cs="Times New Roman"/>
          <w:sz w:val="28"/>
          <w:szCs w:val="28"/>
          <w:lang w:val="en-US"/>
        </w:rPr>
        <w:t xml:space="preserve"> D. Talent Management and HRM in Multinational companies in Beijing: Definitions, differences and drivers. Journal of World Business. 2020. № 45(2). P. 179-189.</w:t>
      </w:r>
    </w:p>
    <w:p w14:paraId="49FB092B"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259. Cascio W. F., </w:t>
      </w:r>
      <w:proofErr w:type="spellStart"/>
      <w:r w:rsidRPr="006B59F1">
        <w:rPr>
          <w:rFonts w:ascii="Times New Roman" w:hAnsi="Times New Roman" w:cs="Times New Roman"/>
          <w:sz w:val="28"/>
          <w:szCs w:val="28"/>
          <w:lang w:val="en-US"/>
        </w:rPr>
        <w:t>Aguinis</w:t>
      </w:r>
      <w:proofErr w:type="spellEnd"/>
      <w:r w:rsidRPr="006B59F1">
        <w:rPr>
          <w:rFonts w:ascii="Times New Roman" w:hAnsi="Times New Roman" w:cs="Times New Roman"/>
          <w:sz w:val="28"/>
          <w:szCs w:val="28"/>
          <w:lang w:val="en-US"/>
        </w:rPr>
        <w:t xml:space="preserve"> H. Staffing Twenty</w:t>
      </w:r>
      <w:r w:rsidRPr="006B59F1">
        <w:rPr>
          <w:rFonts w:ascii="Cambria Math" w:hAnsi="Cambria Math" w:cs="Cambria Math"/>
          <w:sz w:val="28"/>
          <w:szCs w:val="28"/>
          <w:lang w:val="en-US"/>
        </w:rPr>
        <w:t>‐</w:t>
      </w:r>
      <w:r w:rsidRPr="006B59F1">
        <w:rPr>
          <w:rFonts w:ascii="Times New Roman" w:hAnsi="Times New Roman" w:cs="Times New Roman"/>
          <w:sz w:val="28"/>
          <w:szCs w:val="28"/>
          <w:lang w:val="en-US"/>
        </w:rPr>
        <w:t>first</w:t>
      </w:r>
      <w:r w:rsidRPr="006B59F1">
        <w:rPr>
          <w:rFonts w:ascii="Cambria Math" w:hAnsi="Cambria Math" w:cs="Cambria Math"/>
          <w:sz w:val="28"/>
          <w:szCs w:val="28"/>
          <w:lang w:val="en-US"/>
        </w:rPr>
        <w:t>‐</w:t>
      </w:r>
      <w:r w:rsidRPr="006B59F1">
        <w:rPr>
          <w:rFonts w:ascii="Times New Roman" w:hAnsi="Times New Roman" w:cs="Times New Roman"/>
          <w:sz w:val="28"/>
          <w:szCs w:val="28"/>
          <w:lang w:val="en-US"/>
        </w:rPr>
        <w:t>century Organizations. The Academy of Management Annals. 2018. № 2. P. 133-165.</w:t>
      </w:r>
    </w:p>
    <w:p w14:paraId="3E9B8466" w14:textId="1608611E" w:rsidR="00571B42" w:rsidRPr="005D1B01" w:rsidRDefault="00571B42" w:rsidP="00571B42">
      <w:pPr>
        <w:spacing w:after="0" w:line="360" w:lineRule="auto"/>
        <w:ind w:firstLine="720"/>
        <w:jc w:val="both"/>
        <w:rPr>
          <w:rFonts w:ascii="Times New Roman" w:hAnsi="Times New Roman" w:cs="Times New Roman"/>
          <w:sz w:val="28"/>
          <w:szCs w:val="28"/>
        </w:rPr>
      </w:pPr>
      <w:r w:rsidRPr="006B59F1">
        <w:rPr>
          <w:rFonts w:ascii="Times New Roman" w:hAnsi="Times New Roman" w:cs="Times New Roman"/>
          <w:sz w:val="28"/>
          <w:szCs w:val="28"/>
          <w:lang w:val="en-US"/>
        </w:rPr>
        <w:t xml:space="preserve">260. </w:t>
      </w:r>
      <w:r w:rsidRPr="006B59F1">
        <w:rPr>
          <w:rFonts w:ascii="Times New Roman" w:hAnsi="Times New Roman" w:cs="Times New Roman"/>
          <w:sz w:val="28"/>
          <w:szCs w:val="28"/>
        </w:rPr>
        <w:t>Менеджмент</w:t>
      </w:r>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rPr>
        <w:t>організацій</w:t>
      </w:r>
      <w:proofErr w:type="spellEnd"/>
      <w:r w:rsidRPr="006B59F1">
        <w:rPr>
          <w:rFonts w:ascii="Times New Roman" w:hAnsi="Times New Roman" w:cs="Times New Roman"/>
          <w:sz w:val="28"/>
          <w:szCs w:val="28"/>
          <w:lang w:val="en-US"/>
        </w:rPr>
        <w:t xml:space="preserve"> </w:t>
      </w:r>
      <w:r w:rsidRPr="006B59F1">
        <w:rPr>
          <w:rFonts w:ascii="Times New Roman" w:hAnsi="Times New Roman" w:cs="Times New Roman"/>
          <w:sz w:val="28"/>
          <w:szCs w:val="28"/>
        </w:rPr>
        <w:t>і</w:t>
      </w:r>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rPr>
        <w:t>адміністрування</w:t>
      </w:r>
      <w:proofErr w:type="spellEnd"/>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rPr>
        <w:t>теорія</w:t>
      </w:r>
      <w:proofErr w:type="spellEnd"/>
      <w:r w:rsidRPr="006B59F1">
        <w:rPr>
          <w:rFonts w:ascii="Times New Roman" w:hAnsi="Times New Roman" w:cs="Times New Roman"/>
          <w:sz w:val="28"/>
          <w:szCs w:val="28"/>
          <w:lang w:val="en-US"/>
        </w:rPr>
        <w:t xml:space="preserve"> </w:t>
      </w:r>
      <w:r w:rsidRPr="006B59F1">
        <w:rPr>
          <w:rFonts w:ascii="Times New Roman" w:hAnsi="Times New Roman" w:cs="Times New Roman"/>
          <w:sz w:val="28"/>
          <w:szCs w:val="28"/>
        </w:rPr>
        <w:t>та</w:t>
      </w:r>
      <w:r w:rsidRPr="006B59F1">
        <w:rPr>
          <w:rFonts w:ascii="Times New Roman" w:hAnsi="Times New Roman" w:cs="Times New Roman"/>
          <w:sz w:val="28"/>
          <w:szCs w:val="28"/>
          <w:lang w:val="en-US"/>
        </w:rPr>
        <w:t xml:space="preserve"> </w:t>
      </w:r>
      <w:r w:rsidRPr="006B59F1">
        <w:rPr>
          <w:rFonts w:ascii="Times New Roman" w:hAnsi="Times New Roman" w:cs="Times New Roman"/>
          <w:sz w:val="28"/>
          <w:szCs w:val="28"/>
        </w:rPr>
        <w:t>практика</w:t>
      </w:r>
      <w:r w:rsidRPr="006B59F1">
        <w:rPr>
          <w:rFonts w:ascii="Times New Roman" w:hAnsi="Times New Roman" w:cs="Times New Roman"/>
          <w:sz w:val="28"/>
          <w:szCs w:val="28"/>
          <w:lang w:val="en-US"/>
        </w:rPr>
        <w:t xml:space="preserve">: </w:t>
      </w:r>
      <w:proofErr w:type="spellStart"/>
      <w:r w:rsidRPr="006B59F1">
        <w:rPr>
          <w:rFonts w:ascii="Times New Roman" w:hAnsi="Times New Roman" w:cs="Times New Roman"/>
          <w:sz w:val="28"/>
          <w:szCs w:val="28"/>
        </w:rPr>
        <w:t>колект</w:t>
      </w:r>
      <w:proofErr w:type="spellEnd"/>
      <w:r w:rsidRPr="006B59F1">
        <w:rPr>
          <w:rFonts w:ascii="Times New Roman" w:hAnsi="Times New Roman" w:cs="Times New Roman"/>
          <w:sz w:val="28"/>
          <w:szCs w:val="28"/>
          <w:lang w:val="en-US"/>
        </w:rPr>
        <w:t xml:space="preserve">. </w:t>
      </w:r>
      <w:proofErr w:type="spellStart"/>
      <w:r w:rsidR="006B59F1" w:rsidRPr="006B59F1">
        <w:rPr>
          <w:rFonts w:ascii="Times New Roman" w:hAnsi="Times New Roman" w:cs="Times New Roman"/>
          <w:sz w:val="28"/>
          <w:szCs w:val="28"/>
        </w:rPr>
        <w:t>М</w:t>
      </w:r>
      <w:r w:rsidRPr="006B59F1">
        <w:rPr>
          <w:rFonts w:ascii="Times New Roman" w:hAnsi="Times New Roman" w:cs="Times New Roman"/>
          <w:sz w:val="28"/>
          <w:szCs w:val="28"/>
        </w:rPr>
        <w:t>онографія</w:t>
      </w:r>
      <w:proofErr w:type="spellEnd"/>
      <w:r w:rsidR="006B59F1">
        <w:rPr>
          <w:rFonts w:ascii="Times New Roman" w:hAnsi="Times New Roman" w:cs="Times New Roman"/>
          <w:sz w:val="28"/>
          <w:szCs w:val="28"/>
          <w:lang w:val="uk-UA"/>
        </w:rPr>
        <w:t>. За</w:t>
      </w:r>
      <w:r w:rsidRPr="006B59F1">
        <w:rPr>
          <w:rFonts w:ascii="Times New Roman" w:hAnsi="Times New Roman" w:cs="Times New Roman"/>
          <w:sz w:val="28"/>
          <w:szCs w:val="28"/>
        </w:rPr>
        <w:t xml:space="preserve"> </w:t>
      </w:r>
      <w:r w:rsidRPr="006E0082">
        <w:rPr>
          <w:rFonts w:ascii="Times New Roman" w:hAnsi="Times New Roman" w:cs="Times New Roman"/>
          <w:sz w:val="28"/>
          <w:szCs w:val="28"/>
        </w:rPr>
        <w:t>ред</w:t>
      </w:r>
      <w:r w:rsidRPr="006B59F1">
        <w:rPr>
          <w:rFonts w:ascii="Times New Roman" w:hAnsi="Times New Roman" w:cs="Times New Roman"/>
          <w:sz w:val="28"/>
          <w:szCs w:val="28"/>
        </w:rPr>
        <w:t xml:space="preserve">. </w:t>
      </w:r>
      <w:r w:rsidRPr="006E0082">
        <w:rPr>
          <w:rFonts w:ascii="Times New Roman" w:hAnsi="Times New Roman" w:cs="Times New Roman"/>
          <w:sz w:val="28"/>
          <w:szCs w:val="28"/>
        </w:rPr>
        <w:t>Н. С. Скопенко</w:t>
      </w:r>
      <w:r w:rsidR="006B59F1">
        <w:rPr>
          <w:rFonts w:ascii="Times New Roman" w:hAnsi="Times New Roman" w:cs="Times New Roman"/>
          <w:sz w:val="28"/>
          <w:szCs w:val="28"/>
          <w:lang w:val="uk-UA"/>
        </w:rPr>
        <w:t xml:space="preserve"> та</w:t>
      </w:r>
      <w:r w:rsidRPr="006E0082">
        <w:rPr>
          <w:rFonts w:ascii="Times New Roman" w:hAnsi="Times New Roman" w:cs="Times New Roman"/>
          <w:sz w:val="28"/>
          <w:szCs w:val="28"/>
        </w:rPr>
        <w:t xml:space="preserve"> О. І. Драган. К.: Кафедра. 202</w:t>
      </w:r>
      <w:r>
        <w:rPr>
          <w:rFonts w:ascii="Times New Roman" w:hAnsi="Times New Roman" w:cs="Times New Roman"/>
          <w:sz w:val="28"/>
          <w:szCs w:val="28"/>
          <w:lang w:val="uk-UA"/>
        </w:rPr>
        <w:t>4</w:t>
      </w:r>
      <w:r w:rsidRPr="006E0082">
        <w:rPr>
          <w:rFonts w:ascii="Times New Roman" w:hAnsi="Times New Roman" w:cs="Times New Roman"/>
          <w:sz w:val="28"/>
          <w:szCs w:val="28"/>
        </w:rPr>
        <w:t>. 404 с</w:t>
      </w:r>
      <w:r w:rsidRPr="005D1B01">
        <w:rPr>
          <w:rFonts w:ascii="Times New Roman" w:hAnsi="Times New Roman" w:cs="Times New Roman"/>
          <w:sz w:val="28"/>
          <w:szCs w:val="28"/>
        </w:rPr>
        <w:t>.</w:t>
      </w:r>
    </w:p>
    <w:p w14:paraId="6F33055C" w14:textId="27AD681C" w:rsidR="00571B42" w:rsidRPr="006E0082" w:rsidRDefault="00571B42" w:rsidP="00571B42">
      <w:pPr>
        <w:spacing w:after="0" w:line="360" w:lineRule="auto"/>
        <w:ind w:firstLine="720"/>
        <w:jc w:val="both"/>
        <w:rPr>
          <w:rFonts w:ascii="Times New Roman" w:hAnsi="Times New Roman" w:cs="Times New Roman"/>
          <w:sz w:val="28"/>
          <w:szCs w:val="28"/>
          <w:lang w:val="en-US"/>
        </w:rPr>
      </w:pPr>
      <w:r w:rsidRPr="005D1B01">
        <w:rPr>
          <w:rFonts w:ascii="Times New Roman" w:hAnsi="Times New Roman" w:cs="Times New Roman"/>
          <w:sz w:val="28"/>
          <w:szCs w:val="28"/>
        </w:rPr>
        <w:t xml:space="preserve">261. </w:t>
      </w:r>
      <w:proofErr w:type="spellStart"/>
      <w:r w:rsidRPr="006E0082">
        <w:rPr>
          <w:rFonts w:ascii="Times New Roman" w:hAnsi="Times New Roman" w:cs="Times New Roman"/>
          <w:sz w:val="28"/>
          <w:szCs w:val="28"/>
        </w:rPr>
        <w:t>Соціально-економічна</w:t>
      </w:r>
      <w:proofErr w:type="spellEnd"/>
      <w:r w:rsidRPr="006E0082">
        <w:rPr>
          <w:rFonts w:ascii="Times New Roman" w:hAnsi="Times New Roman" w:cs="Times New Roman"/>
          <w:sz w:val="28"/>
          <w:szCs w:val="28"/>
        </w:rPr>
        <w:t xml:space="preserve"> </w:t>
      </w:r>
      <w:proofErr w:type="spellStart"/>
      <w:r w:rsidRPr="006E0082">
        <w:rPr>
          <w:rFonts w:ascii="Times New Roman" w:hAnsi="Times New Roman" w:cs="Times New Roman"/>
          <w:sz w:val="28"/>
          <w:szCs w:val="28"/>
        </w:rPr>
        <w:t>мотивація</w:t>
      </w:r>
      <w:proofErr w:type="spellEnd"/>
      <w:r w:rsidRPr="006E0082">
        <w:rPr>
          <w:rFonts w:ascii="Times New Roman" w:hAnsi="Times New Roman" w:cs="Times New Roman"/>
          <w:sz w:val="28"/>
          <w:szCs w:val="28"/>
        </w:rPr>
        <w:t xml:space="preserve"> </w:t>
      </w:r>
      <w:proofErr w:type="spellStart"/>
      <w:r w:rsidRPr="006E0082">
        <w:rPr>
          <w:rFonts w:ascii="Times New Roman" w:hAnsi="Times New Roman" w:cs="Times New Roman"/>
          <w:sz w:val="28"/>
          <w:szCs w:val="28"/>
        </w:rPr>
        <w:t>інноваційного</w:t>
      </w:r>
      <w:proofErr w:type="spellEnd"/>
      <w:r w:rsidRPr="006E0082">
        <w:rPr>
          <w:rFonts w:ascii="Times New Roman" w:hAnsi="Times New Roman" w:cs="Times New Roman"/>
          <w:sz w:val="28"/>
          <w:szCs w:val="28"/>
        </w:rPr>
        <w:t xml:space="preserve"> </w:t>
      </w:r>
      <w:proofErr w:type="spellStart"/>
      <w:r w:rsidRPr="006E0082">
        <w:rPr>
          <w:rFonts w:ascii="Times New Roman" w:hAnsi="Times New Roman" w:cs="Times New Roman"/>
          <w:sz w:val="28"/>
          <w:szCs w:val="28"/>
        </w:rPr>
        <w:t>розвитку</w:t>
      </w:r>
      <w:proofErr w:type="spellEnd"/>
      <w:r w:rsidRPr="006E0082">
        <w:rPr>
          <w:rFonts w:ascii="Times New Roman" w:hAnsi="Times New Roman" w:cs="Times New Roman"/>
          <w:sz w:val="28"/>
          <w:szCs w:val="28"/>
        </w:rPr>
        <w:t xml:space="preserve"> </w:t>
      </w:r>
      <w:proofErr w:type="spellStart"/>
      <w:proofErr w:type="gramStart"/>
      <w:r w:rsidRPr="006E0082">
        <w:rPr>
          <w:rFonts w:ascii="Times New Roman" w:hAnsi="Times New Roman" w:cs="Times New Roman"/>
          <w:sz w:val="28"/>
          <w:szCs w:val="28"/>
        </w:rPr>
        <w:t>регіону</w:t>
      </w:r>
      <w:proofErr w:type="spellEnd"/>
      <w:r w:rsidRPr="006E0082">
        <w:rPr>
          <w:rFonts w:ascii="Times New Roman" w:hAnsi="Times New Roman" w:cs="Times New Roman"/>
          <w:sz w:val="28"/>
          <w:szCs w:val="28"/>
        </w:rPr>
        <w:t xml:space="preserve"> :</w:t>
      </w:r>
      <w:proofErr w:type="gramEnd"/>
      <w:r w:rsidRPr="006E0082">
        <w:rPr>
          <w:rFonts w:ascii="Times New Roman" w:hAnsi="Times New Roman" w:cs="Times New Roman"/>
          <w:sz w:val="28"/>
          <w:szCs w:val="28"/>
        </w:rPr>
        <w:t xml:space="preserve"> </w:t>
      </w:r>
      <w:proofErr w:type="spellStart"/>
      <w:r w:rsidRPr="006E0082">
        <w:rPr>
          <w:rFonts w:ascii="Times New Roman" w:hAnsi="Times New Roman" w:cs="Times New Roman"/>
          <w:sz w:val="28"/>
          <w:szCs w:val="28"/>
        </w:rPr>
        <w:t>монографія</w:t>
      </w:r>
      <w:proofErr w:type="spellEnd"/>
      <w:r w:rsidR="006B59F1">
        <w:rPr>
          <w:rFonts w:ascii="Times New Roman" w:hAnsi="Times New Roman" w:cs="Times New Roman"/>
          <w:sz w:val="28"/>
          <w:szCs w:val="28"/>
          <w:lang w:val="uk-UA"/>
        </w:rPr>
        <w:t>. З</w:t>
      </w:r>
      <w:r w:rsidRPr="006E0082">
        <w:rPr>
          <w:rFonts w:ascii="Times New Roman" w:hAnsi="Times New Roman" w:cs="Times New Roman"/>
          <w:sz w:val="28"/>
          <w:szCs w:val="28"/>
        </w:rPr>
        <w:t xml:space="preserve">а </w:t>
      </w:r>
      <w:proofErr w:type="spellStart"/>
      <w:r w:rsidRPr="006E0082">
        <w:rPr>
          <w:rFonts w:ascii="Times New Roman" w:hAnsi="Times New Roman" w:cs="Times New Roman"/>
          <w:sz w:val="28"/>
          <w:szCs w:val="28"/>
        </w:rPr>
        <w:t>заг</w:t>
      </w:r>
      <w:proofErr w:type="spellEnd"/>
      <w:r w:rsidRPr="006E0082">
        <w:rPr>
          <w:rFonts w:ascii="Times New Roman" w:hAnsi="Times New Roman" w:cs="Times New Roman"/>
          <w:sz w:val="28"/>
          <w:szCs w:val="28"/>
        </w:rPr>
        <w:t xml:space="preserve">. ред. О. В. Прокопенко. </w:t>
      </w:r>
      <w:proofErr w:type="spellStart"/>
      <w:proofErr w:type="gramStart"/>
      <w:r w:rsidRPr="006E0082">
        <w:rPr>
          <w:rFonts w:ascii="Times New Roman" w:hAnsi="Times New Roman" w:cs="Times New Roman"/>
          <w:sz w:val="28"/>
          <w:szCs w:val="28"/>
        </w:rPr>
        <w:t>Суми</w:t>
      </w:r>
      <w:proofErr w:type="spellEnd"/>
      <w:r w:rsidRPr="00C47476">
        <w:rPr>
          <w:rFonts w:ascii="Times New Roman" w:hAnsi="Times New Roman" w:cs="Times New Roman"/>
          <w:sz w:val="28"/>
          <w:szCs w:val="28"/>
        </w:rPr>
        <w:t xml:space="preserve"> :</w:t>
      </w:r>
      <w:proofErr w:type="gramEnd"/>
      <w:r w:rsidRPr="00C47476">
        <w:rPr>
          <w:rFonts w:ascii="Times New Roman" w:hAnsi="Times New Roman" w:cs="Times New Roman"/>
          <w:sz w:val="28"/>
          <w:szCs w:val="28"/>
        </w:rPr>
        <w:t xml:space="preserve"> </w:t>
      </w:r>
      <w:proofErr w:type="spellStart"/>
      <w:r w:rsidRPr="006E0082">
        <w:rPr>
          <w:rFonts w:ascii="Times New Roman" w:hAnsi="Times New Roman" w:cs="Times New Roman"/>
          <w:sz w:val="28"/>
          <w:szCs w:val="28"/>
        </w:rPr>
        <w:t>Сумський</w:t>
      </w:r>
      <w:proofErr w:type="spellEnd"/>
      <w:r w:rsidRPr="00C47476">
        <w:rPr>
          <w:rFonts w:ascii="Times New Roman" w:hAnsi="Times New Roman" w:cs="Times New Roman"/>
          <w:sz w:val="28"/>
          <w:szCs w:val="28"/>
        </w:rPr>
        <w:t xml:space="preserve"> </w:t>
      </w:r>
      <w:proofErr w:type="spellStart"/>
      <w:r w:rsidRPr="006E0082">
        <w:rPr>
          <w:rFonts w:ascii="Times New Roman" w:hAnsi="Times New Roman" w:cs="Times New Roman"/>
          <w:sz w:val="28"/>
          <w:szCs w:val="28"/>
        </w:rPr>
        <w:t>державний</w:t>
      </w:r>
      <w:proofErr w:type="spellEnd"/>
      <w:r w:rsidRPr="00C47476">
        <w:rPr>
          <w:rFonts w:ascii="Times New Roman" w:hAnsi="Times New Roman" w:cs="Times New Roman"/>
          <w:sz w:val="28"/>
          <w:szCs w:val="28"/>
        </w:rPr>
        <w:t xml:space="preserve"> </w:t>
      </w:r>
      <w:proofErr w:type="spellStart"/>
      <w:r w:rsidRPr="006E0082">
        <w:rPr>
          <w:rFonts w:ascii="Times New Roman" w:hAnsi="Times New Roman" w:cs="Times New Roman"/>
          <w:sz w:val="28"/>
          <w:szCs w:val="28"/>
        </w:rPr>
        <w:t>університет</w:t>
      </w:r>
      <w:proofErr w:type="spellEnd"/>
      <w:r w:rsidRPr="00C47476">
        <w:rPr>
          <w:rFonts w:ascii="Times New Roman" w:hAnsi="Times New Roman" w:cs="Times New Roman"/>
          <w:sz w:val="28"/>
          <w:szCs w:val="28"/>
        </w:rPr>
        <w:t xml:space="preserve">. </w:t>
      </w:r>
      <w:r w:rsidRPr="00571B42">
        <w:rPr>
          <w:rFonts w:ascii="Times New Roman" w:hAnsi="Times New Roman" w:cs="Times New Roman"/>
          <w:sz w:val="28"/>
          <w:szCs w:val="28"/>
          <w:lang w:val="en-US"/>
        </w:rPr>
        <w:t xml:space="preserve">2012. 576 </w:t>
      </w:r>
      <w:r w:rsidRPr="006E0082">
        <w:rPr>
          <w:rFonts w:ascii="Times New Roman" w:hAnsi="Times New Roman" w:cs="Times New Roman"/>
          <w:sz w:val="28"/>
          <w:szCs w:val="28"/>
        </w:rPr>
        <w:t>с</w:t>
      </w:r>
      <w:r w:rsidRPr="00571B42">
        <w:rPr>
          <w:rFonts w:ascii="Times New Roman" w:hAnsi="Times New Roman" w:cs="Times New Roman"/>
          <w:sz w:val="28"/>
          <w:szCs w:val="28"/>
          <w:lang w:val="en-US"/>
        </w:rPr>
        <w:t>.</w:t>
      </w:r>
    </w:p>
    <w:p w14:paraId="13617F21" w14:textId="77777777" w:rsidR="00571B42" w:rsidRPr="006E0082" w:rsidRDefault="00571B42" w:rsidP="00571B42">
      <w:pPr>
        <w:spacing w:after="0" w:line="360" w:lineRule="auto"/>
        <w:ind w:firstLine="720"/>
        <w:jc w:val="both"/>
        <w:rPr>
          <w:rFonts w:ascii="Times New Roman" w:hAnsi="Times New Roman" w:cs="Times New Roman"/>
          <w:sz w:val="28"/>
          <w:szCs w:val="28"/>
          <w:lang w:val="en-US"/>
        </w:rPr>
      </w:pPr>
      <w:r w:rsidRPr="006E0082">
        <w:rPr>
          <w:rFonts w:ascii="Times New Roman" w:hAnsi="Times New Roman" w:cs="Times New Roman"/>
          <w:sz w:val="28"/>
          <w:szCs w:val="28"/>
          <w:lang w:val="en-US"/>
        </w:rPr>
        <w:t xml:space="preserve">262. </w:t>
      </w:r>
      <w:r w:rsidRPr="005D1B01">
        <w:rPr>
          <w:rFonts w:ascii="Times New Roman" w:hAnsi="Times New Roman" w:cs="Times New Roman"/>
          <w:sz w:val="28"/>
          <w:szCs w:val="28"/>
          <w:lang w:val="en-US"/>
        </w:rPr>
        <w:t>Avery D.</w:t>
      </w:r>
      <w:r w:rsidRPr="006E0082">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R., McKay P.</w:t>
      </w:r>
      <w:r w:rsidRPr="006E0082">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 xml:space="preserve">F., Wilson D. C. Engaging the Aging Workforce: The Relationship Between Perceived Age Similarity, Satisfaction </w:t>
      </w:r>
      <w:proofErr w:type="gramStart"/>
      <w:r w:rsidRPr="005D1B01">
        <w:rPr>
          <w:rFonts w:ascii="Times New Roman" w:hAnsi="Times New Roman" w:cs="Times New Roman"/>
          <w:sz w:val="28"/>
          <w:szCs w:val="28"/>
          <w:lang w:val="en-US"/>
        </w:rPr>
        <w:t>With</w:t>
      </w:r>
      <w:proofErr w:type="gramEnd"/>
      <w:r w:rsidRPr="005D1B01">
        <w:rPr>
          <w:rFonts w:ascii="Times New Roman" w:hAnsi="Times New Roman" w:cs="Times New Roman"/>
          <w:sz w:val="28"/>
          <w:szCs w:val="28"/>
          <w:lang w:val="en-US"/>
        </w:rPr>
        <w:t xml:space="preserve"> Co-workers, and Employee Engagement</w:t>
      </w:r>
      <w:r w:rsidRPr="006E0082">
        <w:rPr>
          <w:rFonts w:ascii="Times New Roman" w:hAnsi="Times New Roman" w:cs="Times New Roman"/>
          <w:sz w:val="28"/>
          <w:szCs w:val="28"/>
          <w:lang w:val="en-US"/>
        </w:rPr>
        <w:t>.</w:t>
      </w:r>
      <w:r w:rsidRPr="005D1B01">
        <w:rPr>
          <w:rFonts w:ascii="Times New Roman" w:hAnsi="Times New Roman" w:cs="Times New Roman"/>
          <w:sz w:val="28"/>
          <w:szCs w:val="28"/>
          <w:lang w:val="en-US"/>
        </w:rPr>
        <w:t xml:space="preserve"> </w:t>
      </w:r>
      <w:r w:rsidRPr="006B59F1">
        <w:rPr>
          <w:rFonts w:ascii="Times New Roman" w:hAnsi="Times New Roman" w:cs="Times New Roman"/>
          <w:sz w:val="28"/>
          <w:szCs w:val="28"/>
          <w:lang w:val="en-US"/>
        </w:rPr>
        <w:t>Journal of Applied Psychology</w:t>
      </w:r>
      <w:r w:rsidRPr="006E0082">
        <w:rPr>
          <w:rFonts w:ascii="Times New Roman" w:hAnsi="Times New Roman" w:cs="Times New Roman"/>
          <w:sz w:val="28"/>
          <w:szCs w:val="28"/>
          <w:lang w:val="en-US"/>
        </w:rPr>
        <w:t>.</w:t>
      </w:r>
      <w:r w:rsidRPr="005D1B01">
        <w:rPr>
          <w:rFonts w:ascii="Times New Roman" w:hAnsi="Times New Roman" w:cs="Times New Roman"/>
          <w:sz w:val="28"/>
          <w:szCs w:val="28"/>
          <w:lang w:val="en-US"/>
        </w:rPr>
        <w:t xml:space="preserve"> 20</w:t>
      </w:r>
      <w:r w:rsidRPr="006E0082">
        <w:rPr>
          <w:rFonts w:ascii="Times New Roman" w:hAnsi="Times New Roman" w:cs="Times New Roman"/>
          <w:sz w:val="28"/>
          <w:szCs w:val="28"/>
          <w:lang w:val="en-US"/>
        </w:rPr>
        <w:t>1</w:t>
      </w:r>
      <w:r w:rsidRPr="005D1B01">
        <w:rPr>
          <w:rFonts w:ascii="Times New Roman" w:hAnsi="Times New Roman" w:cs="Times New Roman"/>
          <w:sz w:val="28"/>
          <w:szCs w:val="28"/>
          <w:lang w:val="en-US"/>
        </w:rPr>
        <w:t>7</w:t>
      </w:r>
      <w:r w:rsidRPr="006E0082">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 92</w:t>
      </w:r>
      <w:r w:rsidRPr="006E0082">
        <w:rPr>
          <w:rFonts w:ascii="Times New Roman" w:hAnsi="Times New Roman" w:cs="Times New Roman"/>
          <w:sz w:val="28"/>
          <w:szCs w:val="28"/>
          <w:lang w:val="en-US"/>
        </w:rPr>
        <w:t>(</w:t>
      </w:r>
      <w:r w:rsidRPr="005D1B01">
        <w:rPr>
          <w:rFonts w:ascii="Times New Roman" w:hAnsi="Times New Roman" w:cs="Times New Roman"/>
          <w:sz w:val="28"/>
          <w:szCs w:val="28"/>
          <w:lang w:val="en-US"/>
        </w:rPr>
        <w:t>6</w:t>
      </w:r>
      <w:r w:rsidRPr="006E0082">
        <w:rPr>
          <w:rFonts w:ascii="Times New Roman" w:hAnsi="Times New Roman" w:cs="Times New Roman"/>
          <w:sz w:val="28"/>
          <w:szCs w:val="28"/>
          <w:lang w:val="en-US"/>
        </w:rPr>
        <w:t>).</w:t>
      </w:r>
      <w:r w:rsidRPr="005D1B01">
        <w:rPr>
          <w:rFonts w:ascii="Times New Roman" w:hAnsi="Times New Roman" w:cs="Times New Roman"/>
          <w:sz w:val="28"/>
          <w:szCs w:val="28"/>
          <w:lang w:val="en-US"/>
        </w:rPr>
        <w:t xml:space="preserve"> </w:t>
      </w:r>
      <w:r w:rsidRPr="006E0082">
        <w:rPr>
          <w:rFonts w:ascii="Times New Roman" w:hAnsi="Times New Roman" w:cs="Times New Roman"/>
          <w:sz w:val="28"/>
          <w:szCs w:val="28"/>
          <w:lang w:val="en-US"/>
        </w:rPr>
        <w:t xml:space="preserve">P. </w:t>
      </w:r>
      <w:r w:rsidRPr="005D1B01">
        <w:rPr>
          <w:rFonts w:ascii="Times New Roman" w:hAnsi="Times New Roman" w:cs="Times New Roman"/>
          <w:sz w:val="28"/>
          <w:szCs w:val="28"/>
          <w:lang w:val="en-US"/>
        </w:rPr>
        <w:t>1542</w:t>
      </w:r>
      <w:r w:rsidRPr="006E0082">
        <w:rPr>
          <w:rFonts w:ascii="Times New Roman" w:hAnsi="Times New Roman" w:cs="Times New Roman"/>
          <w:sz w:val="28"/>
          <w:szCs w:val="28"/>
          <w:lang w:val="en-US"/>
        </w:rPr>
        <w:t>-</w:t>
      </w:r>
      <w:r w:rsidRPr="005D1B01">
        <w:rPr>
          <w:rFonts w:ascii="Times New Roman" w:hAnsi="Times New Roman" w:cs="Times New Roman"/>
          <w:sz w:val="28"/>
          <w:szCs w:val="28"/>
          <w:lang w:val="en-US"/>
        </w:rPr>
        <w:t>1556.</w:t>
      </w:r>
    </w:p>
    <w:p w14:paraId="1E56CD43" w14:textId="77777777" w:rsidR="00571B42" w:rsidRPr="006E0082" w:rsidRDefault="00571B42" w:rsidP="00571B42">
      <w:pPr>
        <w:spacing w:after="0" w:line="360" w:lineRule="auto"/>
        <w:ind w:firstLine="720"/>
        <w:jc w:val="both"/>
        <w:rPr>
          <w:rFonts w:ascii="Times New Roman" w:hAnsi="Times New Roman" w:cs="Times New Roman"/>
          <w:sz w:val="28"/>
          <w:szCs w:val="28"/>
          <w:lang w:val="en-US"/>
        </w:rPr>
      </w:pPr>
      <w:r w:rsidRPr="006E0082">
        <w:rPr>
          <w:rFonts w:ascii="Times New Roman" w:hAnsi="Times New Roman" w:cs="Times New Roman"/>
          <w:sz w:val="28"/>
          <w:szCs w:val="28"/>
          <w:lang w:val="en-US"/>
        </w:rPr>
        <w:t xml:space="preserve">263. </w:t>
      </w:r>
      <w:r w:rsidRPr="005D1B01">
        <w:rPr>
          <w:rFonts w:ascii="Times New Roman" w:hAnsi="Times New Roman" w:cs="Times New Roman"/>
          <w:sz w:val="28"/>
          <w:szCs w:val="28"/>
          <w:lang w:val="en-US"/>
        </w:rPr>
        <w:t xml:space="preserve">Sparrow P. Globalization of HR at function level: four UK-based case studies of the international recruitment and selection process. </w:t>
      </w:r>
      <w:r w:rsidRPr="006B59F1">
        <w:rPr>
          <w:rFonts w:ascii="Times New Roman" w:hAnsi="Times New Roman" w:cs="Times New Roman"/>
          <w:sz w:val="28"/>
          <w:szCs w:val="28"/>
          <w:lang w:val="en-US"/>
        </w:rPr>
        <w:t>The International Journal of Human Resource Management.</w:t>
      </w:r>
      <w:r w:rsidRPr="005D1B01">
        <w:rPr>
          <w:rFonts w:ascii="Times New Roman" w:hAnsi="Times New Roman" w:cs="Times New Roman"/>
          <w:sz w:val="28"/>
          <w:szCs w:val="28"/>
          <w:lang w:val="en-US"/>
        </w:rPr>
        <w:t xml:space="preserve"> 20</w:t>
      </w:r>
      <w:r w:rsidRPr="006E0082">
        <w:rPr>
          <w:rFonts w:ascii="Times New Roman" w:hAnsi="Times New Roman" w:cs="Times New Roman"/>
          <w:sz w:val="28"/>
          <w:szCs w:val="28"/>
          <w:lang w:val="en-US"/>
        </w:rPr>
        <w:t>1</w:t>
      </w:r>
      <w:r w:rsidRPr="005D1B01">
        <w:rPr>
          <w:rFonts w:ascii="Times New Roman" w:hAnsi="Times New Roman" w:cs="Times New Roman"/>
          <w:sz w:val="28"/>
          <w:szCs w:val="28"/>
          <w:lang w:val="en-US"/>
        </w:rPr>
        <w:t>7</w:t>
      </w:r>
      <w:r w:rsidRPr="006E0082">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w:t>
      </w:r>
      <w:r w:rsidRPr="006E0082">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18(5)</w:t>
      </w:r>
      <w:r w:rsidRPr="006E0082">
        <w:rPr>
          <w:rFonts w:ascii="Times New Roman" w:hAnsi="Times New Roman" w:cs="Times New Roman"/>
          <w:sz w:val="28"/>
          <w:szCs w:val="28"/>
          <w:lang w:val="en-US"/>
        </w:rPr>
        <w:t>. P.</w:t>
      </w:r>
      <w:r w:rsidRPr="005D1B01">
        <w:rPr>
          <w:rFonts w:ascii="Times New Roman" w:hAnsi="Times New Roman" w:cs="Times New Roman"/>
          <w:sz w:val="28"/>
          <w:szCs w:val="28"/>
          <w:lang w:val="en-US"/>
        </w:rPr>
        <w:t xml:space="preserve"> 845-867.</w:t>
      </w:r>
    </w:p>
    <w:p w14:paraId="030D46A1" w14:textId="77777777" w:rsidR="00571B42" w:rsidRPr="00571B42" w:rsidRDefault="00571B42" w:rsidP="00571B42">
      <w:pPr>
        <w:spacing w:after="0" w:line="360" w:lineRule="auto"/>
        <w:ind w:firstLine="720"/>
        <w:jc w:val="both"/>
        <w:rPr>
          <w:rFonts w:ascii="Times New Roman" w:hAnsi="Times New Roman" w:cs="Times New Roman"/>
          <w:sz w:val="28"/>
          <w:szCs w:val="28"/>
          <w:lang w:val="en-US"/>
        </w:rPr>
      </w:pPr>
      <w:r w:rsidRPr="006E0082">
        <w:rPr>
          <w:rFonts w:ascii="Times New Roman" w:hAnsi="Times New Roman" w:cs="Times New Roman"/>
          <w:sz w:val="28"/>
          <w:szCs w:val="28"/>
          <w:lang w:val="en-US"/>
        </w:rPr>
        <w:t>264.</w:t>
      </w:r>
      <w:r w:rsidRPr="005D1B01">
        <w:rPr>
          <w:rFonts w:ascii="Times New Roman" w:hAnsi="Times New Roman" w:cs="Times New Roman"/>
          <w:sz w:val="28"/>
          <w:szCs w:val="28"/>
          <w:lang w:val="en-US"/>
        </w:rPr>
        <w:t xml:space="preserve"> Taylor S., </w:t>
      </w:r>
      <w:proofErr w:type="spellStart"/>
      <w:r w:rsidRPr="005D1B01">
        <w:rPr>
          <w:rFonts w:ascii="Times New Roman" w:hAnsi="Times New Roman" w:cs="Times New Roman"/>
          <w:sz w:val="28"/>
          <w:szCs w:val="28"/>
          <w:lang w:val="en-US"/>
        </w:rPr>
        <w:t>Beechler</w:t>
      </w:r>
      <w:proofErr w:type="spellEnd"/>
      <w:r w:rsidRPr="005D1B01">
        <w:rPr>
          <w:rFonts w:ascii="Times New Roman" w:hAnsi="Times New Roman" w:cs="Times New Roman"/>
          <w:sz w:val="28"/>
          <w:szCs w:val="28"/>
          <w:lang w:val="en-US"/>
        </w:rPr>
        <w:t xml:space="preserve"> S., Napier N. Toward an integrative model of strategic international human resource management. </w:t>
      </w:r>
      <w:r w:rsidRPr="006B59F1">
        <w:rPr>
          <w:rFonts w:ascii="Times New Roman" w:hAnsi="Times New Roman" w:cs="Times New Roman"/>
          <w:sz w:val="28"/>
          <w:szCs w:val="28"/>
          <w:lang w:val="en-US"/>
        </w:rPr>
        <w:t>Academy of Management Review.</w:t>
      </w:r>
      <w:r w:rsidRPr="00571B42">
        <w:rPr>
          <w:rFonts w:ascii="Times New Roman" w:hAnsi="Times New Roman" w:cs="Times New Roman"/>
          <w:sz w:val="28"/>
          <w:szCs w:val="28"/>
          <w:lang w:val="en-US"/>
        </w:rPr>
        <w:t xml:space="preserve"> </w:t>
      </w:r>
      <w:r w:rsidRPr="006E0082">
        <w:rPr>
          <w:rFonts w:ascii="Times New Roman" w:hAnsi="Times New Roman" w:cs="Times New Roman"/>
          <w:sz w:val="28"/>
          <w:szCs w:val="28"/>
          <w:lang w:val="en-US"/>
        </w:rPr>
        <w:t>20</w:t>
      </w:r>
      <w:r w:rsidRPr="00571B42">
        <w:rPr>
          <w:rFonts w:ascii="Times New Roman" w:hAnsi="Times New Roman" w:cs="Times New Roman"/>
          <w:sz w:val="28"/>
          <w:szCs w:val="28"/>
          <w:lang w:val="en-US"/>
        </w:rPr>
        <w:t>19</w:t>
      </w:r>
      <w:r w:rsidRPr="006E0082">
        <w:rPr>
          <w:rFonts w:ascii="Times New Roman" w:hAnsi="Times New Roman" w:cs="Times New Roman"/>
          <w:sz w:val="28"/>
          <w:szCs w:val="28"/>
          <w:lang w:val="en-US"/>
        </w:rPr>
        <w:t xml:space="preserve">. </w:t>
      </w:r>
      <w:r w:rsidRPr="00571B42">
        <w:rPr>
          <w:rFonts w:ascii="Times New Roman" w:hAnsi="Times New Roman" w:cs="Times New Roman"/>
          <w:sz w:val="28"/>
          <w:szCs w:val="28"/>
          <w:lang w:val="en-US"/>
        </w:rPr>
        <w:t>№</w:t>
      </w:r>
      <w:r w:rsidRPr="006E0082">
        <w:rPr>
          <w:rFonts w:ascii="Times New Roman" w:hAnsi="Times New Roman" w:cs="Times New Roman"/>
          <w:sz w:val="28"/>
          <w:szCs w:val="28"/>
          <w:lang w:val="en-US"/>
        </w:rPr>
        <w:t xml:space="preserve"> </w:t>
      </w:r>
      <w:r w:rsidRPr="00571B42">
        <w:rPr>
          <w:rFonts w:ascii="Times New Roman" w:hAnsi="Times New Roman" w:cs="Times New Roman"/>
          <w:sz w:val="28"/>
          <w:szCs w:val="28"/>
          <w:lang w:val="en-US"/>
        </w:rPr>
        <w:t>21</w:t>
      </w:r>
      <w:r w:rsidRPr="006E0082">
        <w:rPr>
          <w:rFonts w:ascii="Times New Roman" w:hAnsi="Times New Roman" w:cs="Times New Roman"/>
          <w:sz w:val="28"/>
          <w:szCs w:val="28"/>
          <w:lang w:val="en-US"/>
        </w:rPr>
        <w:t>.</w:t>
      </w:r>
      <w:r w:rsidRPr="00571B42">
        <w:rPr>
          <w:rFonts w:ascii="Times New Roman" w:hAnsi="Times New Roman" w:cs="Times New Roman"/>
          <w:sz w:val="28"/>
          <w:szCs w:val="28"/>
          <w:lang w:val="en-US"/>
        </w:rPr>
        <w:t xml:space="preserve"> P. 959-985. </w:t>
      </w:r>
    </w:p>
    <w:p w14:paraId="2F5B4650" w14:textId="77777777" w:rsidR="00571B42" w:rsidRPr="006E0082" w:rsidRDefault="00571B42" w:rsidP="00571B42">
      <w:pPr>
        <w:spacing w:after="0" w:line="360" w:lineRule="auto"/>
        <w:ind w:firstLine="720"/>
        <w:jc w:val="both"/>
        <w:rPr>
          <w:rFonts w:ascii="Times New Roman" w:hAnsi="Times New Roman" w:cs="Times New Roman"/>
          <w:sz w:val="28"/>
          <w:szCs w:val="28"/>
          <w:lang w:val="en-US"/>
        </w:rPr>
      </w:pPr>
      <w:r w:rsidRPr="006E0082">
        <w:rPr>
          <w:rFonts w:ascii="Times New Roman" w:hAnsi="Times New Roman" w:cs="Times New Roman"/>
          <w:sz w:val="28"/>
          <w:szCs w:val="28"/>
          <w:lang w:val="en-US"/>
        </w:rPr>
        <w:t xml:space="preserve">265. </w:t>
      </w:r>
      <w:r w:rsidRPr="005D1B01">
        <w:rPr>
          <w:rFonts w:ascii="Times New Roman" w:hAnsi="Times New Roman" w:cs="Times New Roman"/>
          <w:sz w:val="28"/>
          <w:szCs w:val="28"/>
          <w:lang w:val="en-US"/>
        </w:rPr>
        <w:t xml:space="preserve">Gong Y. Toward a Dynamic Process Model of Staffing Composition and Subsidiary Outcomes in Multinational Enterprises. </w:t>
      </w:r>
      <w:r w:rsidRPr="006B59F1">
        <w:rPr>
          <w:rFonts w:ascii="Times New Roman" w:hAnsi="Times New Roman" w:cs="Times New Roman"/>
          <w:sz w:val="28"/>
          <w:szCs w:val="28"/>
          <w:lang w:val="en-US"/>
        </w:rPr>
        <w:t>Journal of Management. 2023</w:t>
      </w:r>
      <w:r w:rsidRPr="006E0082">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w:t>
      </w:r>
      <w:r w:rsidRPr="006E0082">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29</w:t>
      </w:r>
      <w:r w:rsidRPr="006E0082">
        <w:rPr>
          <w:rFonts w:ascii="Times New Roman" w:hAnsi="Times New Roman" w:cs="Times New Roman"/>
          <w:sz w:val="28"/>
          <w:szCs w:val="28"/>
          <w:lang w:val="en-US"/>
        </w:rPr>
        <w:t>.</w:t>
      </w:r>
      <w:r w:rsidRPr="005D1B01">
        <w:rPr>
          <w:rFonts w:ascii="Times New Roman" w:hAnsi="Times New Roman" w:cs="Times New Roman"/>
          <w:sz w:val="28"/>
          <w:szCs w:val="28"/>
          <w:lang w:val="en-US"/>
        </w:rPr>
        <w:t xml:space="preserve"> P. 259-280.</w:t>
      </w:r>
    </w:p>
    <w:p w14:paraId="5BA52AE7" w14:textId="77777777" w:rsidR="00571B42" w:rsidRPr="006E0082" w:rsidRDefault="00571B42" w:rsidP="00571B42">
      <w:pPr>
        <w:spacing w:after="0" w:line="360" w:lineRule="auto"/>
        <w:ind w:firstLine="720"/>
        <w:jc w:val="both"/>
        <w:rPr>
          <w:rFonts w:ascii="Times New Roman" w:hAnsi="Times New Roman" w:cs="Times New Roman"/>
          <w:sz w:val="28"/>
          <w:szCs w:val="28"/>
          <w:lang w:val="en-US"/>
        </w:rPr>
      </w:pPr>
      <w:r w:rsidRPr="006E0082">
        <w:rPr>
          <w:rFonts w:ascii="Times New Roman" w:hAnsi="Times New Roman" w:cs="Times New Roman"/>
          <w:sz w:val="28"/>
          <w:szCs w:val="28"/>
          <w:lang w:val="en-US"/>
        </w:rPr>
        <w:t xml:space="preserve">266. </w:t>
      </w:r>
      <w:r w:rsidRPr="005D1B01">
        <w:rPr>
          <w:rFonts w:ascii="Times New Roman" w:hAnsi="Times New Roman" w:cs="Times New Roman"/>
          <w:sz w:val="28"/>
          <w:szCs w:val="28"/>
          <w:lang w:val="en-US"/>
        </w:rPr>
        <w:t xml:space="preserve">Carpenter M. A., Sanders W. G., </w:t>
      </w:r>
      <w:proofErr w:type="spellStart"/>
      <w:r w:rsidRPr="005D1B01">
        <w:rPr>
          <w:rFonts w:ascii="Times New Roman" w:hAnsi="Times New Roman" w:cs="Times New Roman"/>
          <w:sz w:val="28"/>
          <w:szCs w:val="28"/>
          <w:lang w:val="en-US"/>
        </w:rPr>
        <w:t>Gregersen</w:t>
      </w:r>
      <w:proofErr w:type="spellEnd"/>
      <w:r w:rsidRPr="005D1B01">
        <w:rPr>
          <w:rFonts w:ascii="Times New Roman" w:hAnsi="Times New Roman" w:cs="Times New Roman"/>
          <w:sz w:val="28"/>
          <w:szCs w:val="28"/>
          <w:lang w:val="en-US"/>
        </w:rPr>
        <w:t xml:space="preserve"> H. B. Bundling human capital with organizational context: the impact of international assignment experience on </w:t>
      </w:r>
      <w:r w:rsidRPr="005D1B01">
        <w:rPr>
          <w:rFonts w:ascii="Times New Roman" w:hAnsi="Times New Roman" w:cs="Times New Roman"/>
          <w:sz w:val="28"/>
          <w:szCs w:val="28"/>
          <w:lang w:val="en-US"/>
        </w:rPr>
        <w:lastRenderedPageBreak/>
        <w:t xml:space="preserve">multinational firm performance and CEO pay. </w:t>
      </w:r>
      <w:r w:rsidRPr="006B59F1">
        <w:rPr>
          <w:rFonts w:ascii="Times New Roman" w:hAnsi="Times New Roman" w:cs="Times New Roman"/>
          <w:sz w:val="28"/>
          <w:szCs w:val="28"/>
          <w:lang w:val="en-US"/>
        </w:rPr>
        <w:t>Academy of Management Journal.</w:t>
      </w:r>
      <w:r w:rsidRPr="005D1B01">
        <w:rPr>
          <w:rFonts w:ascii="Times New Roman" w:hAnsi="Times New Roman" w:cs="Times New Roman"/>
          <w:sz w:val="28"/>
          <w:szCs w:val="28"/>
          <w:lang w:val="en-US"/>
        </w:rPr>
        <w:t xml:space="preserve"> 20</w:t>
      </w:r>
      <w:r>
        <w:rPr>
          <w:rFonts w:ascii="Times New Roman" w:hAnsi="Times New Roman" w:cs="Times New Roman"/>
          <w:sz w:val="28"/>
          <w:szCs w:val="28"/>
          <w:lang w:val="en-US"/>
        </w:rPr>
        <w:t>2</w:t>
      </w:r>
      <w:r w:rsidRPr="005D1B01">
        <w:rPr>
          <w:rFonts w:ascii="Times New Roman" w:hAnsi="Times New Roman" w:cs="Times New Roman"/>
          <w:sz w:val="28"/>
          <w:szCs w:val="28"/>
          <w:lang w:val="en-US"/>
        </w:rPr>
        <w:t>1</w:t>
      </w:r>
      <w:r>
        <w:rPr>
          <w:rFonts w:ascii="Times New Roman" w:hAnsi="Times New Roman" w:cs="Times New Roman"/>
          <w:sz w:val="28"/>
          <w:szCs w:val="28"/>
          <w:lang w:val="en-US"/>
        </w:rPr>
        <w:t>.</w:t>
      </w:r>
      <w:r w:rsidRPr="005D1B0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44(3). P. 493-511.</w:t>
      </w:r>
    </w:p>
    <w:p w14:paraId="6A6BC777" w14:textId="77777777" w:rsidR="00571B42" w:rsidRPr="006E0082" w:rsidRDefault="00571B42" w:rsidP="00571B42">
      <w:pPr>
        <w:spacing w:after="0" w:line="360" w:lineRule="auto"/>
        <w:ind w:firstLine="720"/>
        <w:jc w:val="both"/>
        <w:rPr>
          <w:rFonts w:ascii="Times New Roman" w:hAnsi="Times New Roman" w:cs="Times New Roman"/>
          <w:sz w:val="28"/>
          <w:szCs w:val="28"/>
          <w:lang w:val="en-US"/>
        </w:rPr>
      </w:pPr>
      <w:r w:rsidRPr="006E0082">
        <w:rPr>
          <w:rFonts w:ascii="Times New Roman" w:hAnsi="Times New Roman" w:cs="Times New Roman"/>
          <w:sz w:val="28"/>
          <w:szCs w:val="28"/>
          <w:lang w:val="en-US"/>
        </w:rPr>
        <w:t xml:space="preserve">267. </w:t>
      </w:r>
      <w:proofErr w:type="spellStart"/>
      <w:r w:rsidRPr="005D1B01">
        <w:rPr>
          <w:rFonts w:ascii="Times New Roman" w:hAnsi="Times New Roman" w:cs="Times New Roman"/>
          <w:sz w:val="28"/>
          <w:szCs w:val="28"/>
          <w:lang w:val="en-US"/>
        </w:rPr>
        <w:t>Makela</w:t>
      </w:r>
      <w:proofErr w:type="spellEnd"/>
      <w:r w:rsidRPr="005D1B01">
        <w:rPr>
          <w:rFonts w:ascii="Times New Roman" w:hAnsi="Times New Roman" w:cs="Times New Roman"/>
          <w:sz w:val="28"/>
          <w:szCs w:val="28"/>
          <w:lang w:val="en-US"/>
        </w:rPr>
        <w:t xml:space="preserve"> K., Bjorkman I., </w:t>
      </w:r>
      <w:proofErr w:type="spellStart"/>
      <w:r w:rsidRPr="005D1B01">
        <w:rPr>
          <w:rFonts w:ascii="Times New Roman" w:hAnsi="Times New Roman" w:cs="Times New Roman"/>
          <w:sz w:val="28"/>
          <w:szCs w:val="28"/>
          <w:lang w:val="en-US"/>
        </w:rPr>
        <w:t>Ehrnrooth</w:t>
      </w:r>
      <w:proofErr w:type="spellEnd"/>
      <w:r w:rsidRPr="005D1B01">
        <w:rPr>
          <w:rFonts w:ascii="Times New Roman" w:hAnsi="Times New Roman" w:cs="Times New Roman"/>
          <w:sz w:val="28"/>
          <w:szCs w:val="28"/>
          <w:lang w:val="en-US"/>
        </w:rPr>
        <w:t xml:space="preserve"> M. How do MNCs establish their talent pools? Influences on individuals’ likelihood of being labelled as talent</w:t>
      </w:r>
      <w:r>
        <w:rPr>
          <w:rFonts w:ascii="Times New Roman" w:hAnsi="Times New Roman" w:cs="Times New Roman"/>
          <w:sz w:val="28"/>
          <w:szCs w:val="28"/>
          <w:lang w:val="en-US"/>
        </w:rPr>
        <w:t>.</w:t>
      </w:r>
      <w:r w:rsidRPr="005D1B01">
        <w:rPr>
          <w:rFonts w:ascii="Times New Roman" w:hAnsi="Times New Roman" w:cs="Times New Roman"/>
          <w:sz w:val="28"/>
          <w:szCs w:val="28"/>
          <w:lang w:val="en-US"/>
        </w:rPr>
        <w:t xml:space="preserve"> </w:t>
      </w:r>
      <w:r w:rsidRPr="006B59F1">
        <w:rPr>
          <w:rFonts w:ascii="Times New Roman" w:hAnsi="Times New Roman" w:cs="Times New Roman"/>
          <w:sz w:val="28"/>
          <w:szCs w:val="28"/>
          <w:lang w:val="en-US"/>
        </w:rPr>
        <w:t xml:space="preserve">Journal of World Business. </w:t>
      </w:r>
      <w:r w:rsidRPr="005D1B01">
        <w:rPr>
          <w:rFonts w:ascii="Times New Roman" w:hAnsi="Times New Roman" w:cs="Times New Roman"/>
          <w:sz w:val="28"/>
          <w:szCs w:val="28"/>
          <w:lang w:val="en-US"/>
        </w:rPr>
        <w:t>20</w:t>
      </w:r>
      <w:r>
        <w:rPr>
          <w:rFonts w:ascii="Times New Roman" w:hAnsi="Times New Roman" w:cs="Times New Roman"/>
          <w:sz w:val="28"/>
          <w:szCs w:val="28"/>
          <w:lang w:val="en-US"/>
        </w:rPr>
        <w:t>2</w:t>
      </w:r>
      <w:r w:rsidRPr="005D1B01">
        <w:rPr>
          <w:rFonts w:ascii="Times New Roman" w:hAnsi="Times New Roman" w:cs="Times New Roman"/>
          <w:sz w:val="28"/>
          <w:szCs w:val="28"/>
          <w:lang w:val="en-US"/>
        </w:rPr>
        <w:t>0</w:t>
      </w:r>
      <w:r>
        <w:rPr>
          <w:rFonts w:ascii="Times New Roman" w:hAnsi="Times New Roman" w:cs="Times New Roman"/>
          <w:sz w:val="28"/>
          <w:szCs w:val="28"/>
          <w:lang w:val="en-US"/>
        </w:rPr>
        <w:t xml:space="preserve">. </w:t>
      </w:r>
      <w:r w:rsidRPr="005D1B01">
        <w:rPr>
          <w:rFonts w:ascii="Times New Roman" w:hAnsi="Times New Roman" w:cs="Times New Roman"/>
          <w:sz w:val="28"/>
          <w:szCs w:val="28"/>
          <w:lang w:val="en-US"/>
        </w:rPr>
        <w:t xml:space="preserve">№ 45 </w:t>
      </w:r>
      <w:r>
        <w:rPr>
          <w:rFonts w:ascii="Times New Roman" w:hAnsi="Times New Roman" w:cs="Times New Roman"/>
          <w:sz w:val="28"/>
          <w:szCs w:val="28"/>
          <w:lang w:val="en-US"/>
        </w:rPr>
        <w:t>(</w:t>
      </w:r>
      <w:r w:rsidRPr="005D1B01">
        <w:rPr>
          <w:rFonts w:ascii="Times New Roman" w:hAnsi="Times New Roman" w:cs="Times New Roman"/>
          <w:sz w:val="28"/>
          <w:szCs w:val="28"/>
          <w:lang w:val="en-US"/>
        </w:rPr>
        <w:t>2</w:t>
      </w:r>
      <w:r>
        <w:rPr>
          <w:rFonts w:ascii="Times New Roman" w:hAnsi="Times New Roman" w:cs="Times New Roman"/>
          <w:sz w:val="28"/>
          <w:szCs w:val="28"/>
          <w:lang w:val="en-US"/>
        </w:rPr>
        <w:t>)</w:t>
      </w:r>
      <w:r w:rsidRPr="005D1B01">
        <w:rPr>
          <w:rFonts w:ascii="Times New Roman" w:hAnsi="Times New Roman" w:cs="Times New Roman"/>
          <w:sz w:val="28"/>
          <w:szCs w:val="28"/>
          <w:lang w:val="en-US"/>
        </w:rPr>
        <w:t>. P. 134-42.</w:t>
      </w:r>
    </w:p>
    <w:p w14:paraId="43D0217B" w14:textId="77777777" w:rsidR="00571B42" w:rsidRPr="006E0082" w:rsidRDefault="00571B42" w:rsidP="00571B42">
      <w:pPr>
        <w:spacing w:after="0" w:line="360" w:lineRule="auto"/>
        <w:ind w:firstLine="720"/>
        <w:jc w:val="both"/>
        <w:rPr>
          <w:rFonts w:ascii="Times New Roman" w:hAnsi="Times New Roman" w:cs="Times New Roman"/>
          <w:sz w:val="28"/>
          <w:szCs w:val="28"/>
          <w:lang w:val="en-US"/>
        </w:rPr>
      </w:pPr>
      <w:r w:rsidRPr="006E0082">
        <w:rPr>
          <w:rFonts w:ascii="Times New Roman" w:hAnsi="Times New Roman" w:cs="Times New Roman"/>
          <w:sz w:val="28"/>
          <w:szCs w:val="28"/>
          <w:lang w:val="en-US"/>
        </w:rPr>
        <w:t xml:space="preserve">268. </w:t>
      </w:r>
      <w:r w:rsidRPr="005D1B01">
        <w:rPr>
          <w:rFonts w:ascii="Times New Roman" w:hAnsi="Times New Roman" w:cs="Times New Roman"/>
          <w:sz w:val="28"/>
          <w:szCs w:val="28"/>
          <w:lang w:val="en-US"/>
        </w:rPr>
        <w:t>Scullion H., Starkey K. In Search of the Changing Role of the Corporate Human Resource Function in the International Firm</w:t>
      </w:r>
      <w:r>
        <w:rPr>
          <w:rFonts w:ascii="Times New Roman" w:hAnsi="Times New Roman" w:cs="Times New Roman"/>
          <w:sz w:val="28"/>
          <w:szCs w:val="28"/>
          <w:lang w:val="en-US"/>
        </w:rPr>
        <w:t>.</w:t>
      </w:r>
      <w:r w:rsidRPr="005D1B01">
        <w:rPr>
          <w:rFonts w:ascii="Times New Roman" w:hAnsi="Times New Roman" w:cs="Times New Roman"/>
          <w:sz w:val="28"/>
          <w:szCs w:val="28"/>
          <w:lang w:val="en-US"/>
        </w:rPr>
        <w:t xml:space="preserve"> </w:t>
      </w:r>
      <w:r w:rsidRPr="006B59F1">
        <w:rPr>
          <w:rFonts w:ascii="Times New Roman" w:hAnsi="Times New Roman" w:cs="Times New Roman"/>
          <w:sz w:val="28"/>
          <w:szCs w:val="28"/>
          <w:lang w:val="en-US"/>
        </w:rPr>
        <w:t>International Journal of Human Resource Management.</w:t>
      </w:r>
      <w:r w:rsidRPr="00571B42">
        <w:rPr>
          <w:rFonts w:ascii="Times New Roman" w:hAnsi="Times New Roman" w:cs="Times New Roman"/>
          <w:i/>
          <w:iCs/>
          <w:sz w:val="28"/>
          <w:szCs w:val="28"/>
          <w:lang w:val="en-US"/>
        </w:rPr>
        <w:t xml:space="preserve"> </w:t>
      </w:r>
      <w:r w:rsidRPr="00571B42">
        <w:rPr>
          <w:rFonts w:ascii="Times New Roman" w:hAnsi="Times New Roman" w:cs="Times New Roman"/>
          <w:sz w:val="28"/>
          <w:szCs w:val="28"/>
          <w:lang w:val="en-US"/>
        </w:rPr>
        <w:t>20</w:t>
      </w:r>
      <w:r>
        <w:rPr>
          <w:rFonts w:ascii="Times New Roman" w:hAnsi="Times New Roman" w:cs="Times New Roman"/>
          <w:sz w:val="28"/>
          <w:szCs w:val="28"/>
          <w:lang w:val="en-US"/>
        </w:rPr>
        <w:t>2</w:t>
      </w:r>
      <w:r w:rsidRPr="00571B42">
        <w:rPr>
          <w:rFonts w:ascii="Times New Roman" w:hAnsi="Times New Roman" w:cs="Times New Roman"/>
          <w:sz w:val="28"/>
          <w:szCs w:val="28"/>
          <w:lang w:val="en-US"/>
        </w:rPr>
        <w:t>0</w:t>
      </w:r>
      <w:r>
        <w:rPr>
          <w:rFonts w:ascii="Times New Roman" w:hAnsi="Times New Roman" w:cs="Times New Roman"/>
          <w:sz w:val="28"/>
          <w:szCs w:val="28"/>
          <w:lang w:val="en-US"/>
        </w:rPr>
        <w:t xml:space="preserve">. </w:t>
      </w:r>
      <w:r w:rsidRPr="00571B42">
        <w:rPr>
          <w:rFonts w:ascii="Times New Roman" w:hAnsi="Times New Roman" w:cs="Times New Roman"/>
          <w:sz w:val="28"/>
          <w:szCs w:val="28"/>
          <w:lang w:val="en-US"/>
        </w:rPr>
        <w:t>№</w:t>
      </w:r>
      <w:r w:rsidRPr="006E0082">
        <w:rPr>
          <w:rFonts w:ascii="Times New Roman" w:hAnsi="Times New Roman" w:cs="Times New Roman"/>
          <w:sz w:val="28"/>
          <w:szCs w:val="28"/>
          <w:lang w:val="en-US"/>
        </w:rPr>
        <w:t xml:space="preserve"> </w:t>
      </w:r>
      <w:r w:rsidRPr="00571B42">
        <w:rPr>
          <w:rFonts w:ascii="Times New Roman" w:hAnsi="Times New Roman" w:cs="Times New Roman"/>
          <w:sz w:val="28"/>
          <w:szCs w:val="28"/>
          <w:lang w:val="en-US"/>
        </w:rPr>
        <w:t>11. P. 1061-1081.</w:t>
      </w:r>
    </w:p>
    <w:p w14:paraId="22A15230"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E0082">
        <w:rPr>
          <w:rFonts w:ascii="Times New Roman" w:hAnsi="Times New Roman" w:cs="Times New Roman"/>
          <w:sz w:val="28"/>
          <w:szCs w:val="28"/>
          <w:lang w:val="en-US"/>
        </w:rPr>
        <w:t xml:space="preserve">269. </w:t>
      </w:r>
      <w:r w:rsidRPr="005D1B01">
        <w:rPr>
          <w:rFonts w:ascii="Times New Roman" w:hAnsi="Times New Roman" w:cs="Times New Roman"/>
          <w:sz w:val="28"/>
          <w:szCs w:val="28"/>
          <w:lang w:val="en-US"/>
        </w:rPr>
        <w:t xml:space="preserve">Sparrow P. </w:t>
      </w:r>
      <w:proofErr w:type="spellStart"/>
      <w:r w:rsidRPr="005D1B01">
        <w:rPr>
          <w:rFonts w:ascii="Times New Roman" w:hAnsi="Times New Roman" w:cs="Times New Roman"/>
          <w:sz w:val="28"/>
          <w:szCs w:val="28"/>
          <w:lang w:val="en-US"/>
        </w:rPr>
        <w:t>Globalising</w:t>
      </w:r>
      <w:proofErr w:type="spellEnd"/>
      <w:r w:rsidRPr="005D1B01">
        <w:rPr>
          <w:rFonts w:ascii="Times New Roman" w:hAnsi="Times New Roman" w:cs="Times New Roman"/>
          <w:sz w:val="28"/>
          <w:szCs w:val="28"/>
          <w:lang w:val="en-US"/>
        </w:rPr>
        <w:t xml:space="preserve"> the international mobility function: the role of emerging markets, flexibility and strategic delivery models</w:t>
      </w:r>
      <w:r>
        <w:rPr>
          <w:rFonts w:ascii="Times New Roman" w:hAnsi="Times New Roman" w:cs="Times New Roman"/>
          <w:sz w:val="28"/>
          <w:szCs w:val="28"/>
          <w:lang w:val="en-US"/>
        </w:rPr>
        <w:t>.</w:t>
      </w:r>
      <w:r w:rsidRPr="005D1B01">
        <w:rPr>
          <w:rFonts w:ascii="Times New Roman" w:hAnsi="Times New Roman" w:cs="Times New Roman"/>
          <w:sz w:val="28"/>
          <w:szCs w:val="28"/>
          <w:lang w:val="en-US"/>
        </w:rPr>
        <w:t xml:space="preserve"> </w:t>
      </w:r>
      <w:r w:rsidRPr="006B59F1">
        <w:rPr>
          <w:rFonts w:ascii="Times New Roman" w:hAnsi="Times New Roman" w:cs="Times New Roman"/>
          <w:sz w:val="28"/>
          <w:szCs w:val="28"/>
          <w:lang w:val="en-US"/>
        </w:rPr>
        <w:t>The International Journal of Human Resource Management. 2022. № 23(12). P. 2404-2427.</w:t>
      </w:r>
    </w:p>
    <w:p w14:paraId="21DAC17F"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270. </w:t>
      </w:r>
      <w:proofErr w:type="spellStart"/>
      <w:r w:rsidRPr="006B59F1">
        <w:rPr>
          <w:rFonts w:ascii="Times New Roman" w:hAnsi="Times New Roman" w:cs="Times New Roman"/>
          <w:sz w:val="28"/>
          <w:szCs w:val="28"/>
          <w:lang w:val="en-US"/>
        </w:rPr>
        <w:t>Farndale</w:t>
      </w:r>
      <w:proofErr w:type="spellEnd"/>
      <w:r w:rsidRPr="006B59F1">
        <w:rPr>
          <w:rFonts w:ascii="Times New Roman" w:hAnsi="Times New Roman" w:cs="Times New Roman"/>
          <w:sz w:val="28"/>
          <w:szCs w:val="28"/>
          <w:lang w:val="en-US"/>
        </w:rPr>
        <w:t xml:space="preserve"> E., Paauwe J., Morris S. S., Stahl G. K., Stiles P., Trevor J., Wright P. M. Context</w:t>
      </w:r>
      <w:r w:rsidRPr="006B59F1">
        <w:rPr>
          <w:rFonts w:ascii="Cambria Math" w:hAnsi="Cambria Math" w:cs="Cambria Math"/>
          <w:sz w:val="28"/>
          <w:szCs w:val="28"/>
          <w:lang w:val="en-US"/>
        </w:rPr>
        <w:t>‐</w:t>
      </w:r>
      <w:r w:rsidRPr="006B59F1">
        <w:rPr>
          <w:rFonts w:ascii="Times New Roman" w:hAnsi="Times New Roman" w:cs="Times New Roman"/>
          <w:sz w:val="28"/>
          <w:szCs w:val="28"/>
          <w:lang w:val="en-US"/>
        </w:rPr>
        <w:t>bound configurations of corporate HR functions in multinational corporations. Human Resource Management. 2020. № 49(1). P. 45-66</w:t>
      </w:r>
    </w:p>
    <w:p w14:paraId="603DF89B"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271. Boxall P. The strategic HRM debate and the resource-based view of the firm. Human Resource Management Journal. 2019. № 6 (3). </w:t>
      </w:r>
      <w:r w:rsidRPr="006B59F1">
        <w:rPr>
          <w:rFonts w:ascii="Times New Roman" w:hAnsi="Times New Roman" w:cs="Times New Roman"/>
          <w:sz w:val="28"/>
          <w:szCs w:val="28"/>
        </w:rPr>
        <w:t>Р</w:t>
      </w:r>
      <w:r w:rsidRPr="006B59F1">
        <w:rPr>
          <w:rFonts w:ascii="Times New Roman" w:hAnsi="Times New Roman" w:cs="Times New Roman"/>
          <w:sz w:val="28"/>
          <w:szCs w:val="28"/>
          <w:lang w:val="en-US"/>
        </w:rPr>
        <w:t>. 59-75.</w:t>
      </w:r>
    </w:p>
    <w:p w14:paraId="4477397C"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272. </w:t>
      </w:r>
      <w:proofErr w:type="spellStart"/>
      <w:r w:rsidRPr="006B59F1">
        <w:rPr>
          <w:rFonts w:ascii="Times New Roman" w:hAnsi="Times New Roman" w:cs="Times New Roman"/>
          <w:sz w:val="28"/>
          <w:szCs w:val="28"/>
          <w:lang w:val="en-US"/>
        </w:rPr>
        <w:t>Kogut</w:t>
      </w:r>
      <w:proofErr w:type="spellEnd"/>
      <w:r w:rsidRPr="006B59F1">
        <w:rPr>
          <w:rFonts w:ascii="Times New Roman" w:hAnsi="Times New Roman" w:cs="Times New Roman"/>
          <w:sz w:val="28"/>
          <w:szCs w:val="28"/>
          <w:lang w:val="en-US"/>
        </w:rPr>
        <w:t xml:space="preserve"> B., Udo Z. Knowledge of the firm and the evolutionary theory of the multinational corporation. Journal of international business studies. 2019. </w:t>
      </w:r>
      <w:r w:rsidRPr="006B59F1">
        <w:rPr>
          <w:rFonts w:ascii="Times New Roman" w:hAnsi="Times New Roman" w:cs="Times New Roman"/>
          <w:sz w:val="28"/>
          <w:szCs w:val="28"/>
        </w:rPr>
        <w:t>Р</w:t>
      </w:r>
      <w:r w:rsidRPr="006B59F1">
        <w:rPr>
          <w:rFonts w:ascii="Times New Roman" w:hAnsi="Times New Roman" w:cs="Times New Roman"/>
          <w:sz w:val="28"/>
          <w:szCs w:val="28"/>
          <w:lang w:val="en-US"/>
        </w:rPr>
        <w:t>. 625-645.</w:t>
      </w:r>
    </w:p>
    <w:p w14:paraId="2CE52875"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273. </w:t>
      </w:r>
      <w:proofErr w:type="spellStart"/>
      <w:r w:rsidRPr="006B59F1">
        <w:rPr>
          <w:rFonts w:ascii="Times New Roman" w:hAnsi="Times New Roman" w:cs="Times New Roman"/>
          <w:sz w:val="28"/>
          <w:szCs w:val="28"/>
          <w:lang w:val="en-US"/>
        </w:rPr>
        <w:t>Kostova</w:t>
      </w:r>
      <w:proofErr w:type="spellEnd"/>
      <w:r w:rsidRPr="006B59F1">
        <w:rPr>
          <w:rFonts w:ascii="Times New Roman" w:hAnsi="Times New Roman" w:cs="Times New Roman"/>
          <w:sz w:val="28"/>
          <w:szCs w:val="28"/>
          <w:lang w:val="en-US"/>
        </w:rPr>
        <w:t xml:space="preserve"> T., Roth K. Social Capital in Multinational Corporations and Micro-Macro Model of Its Formation. Academy of Management Review. 2023. № 28. </w:t>
      </w:r>
      <w:r w:rsidRPr="006B59F1">
        <w:rPr>
          <w:rFonts w:ascii="Times New Roman" w:hAnsi="Times New Roman" w:cs="Times New Roman"/>
          <w:sz w:val="28"/>
          <w:szCs w:val="28"/>
        </w:rPr>
        <w:t>Р</w:t>
      </w:r>
      <w:r w:rsidRPr="006B59F1">
        <w:rPr>
          <w:rFonts w:ascii="Times New Roman" w:hAnsi="Times New Roman" w:cs="Times New Roman"/>
          <w:sz w:val="28"/>
          <w:szCs w:val="28"/>
          <w:lang w:val="en-US"/>
        </w:rPr>
        <w:t xml:space="preserve">. 297-317. </w:t>
      </w:r>
      <w:r w:rsidRPr="006B59F1">
        <w:rPr>
          <w:rFonts w:ascii="Times New Roman" w:hAnsi="Times New Roman" w:cs="Times New Roman"/>
          <w:color w:val="000000" w:themeColor="text1"/>
          <w:sz w:val="28"/>
          <w:szCs w:val="28"/>
          <w:lang w:val="en-US"/>
        </w:rPr>
        <w:t>DOI: https://doi.org/</w:t>
      </w:r>
      <w:r w:rsidRPr="006B59F1">
        <w:rPr>
          <w:rFonts w:ascii="Times New Roman" w:hAnsi="Times New Roman" w:cs="Times New Roman"/>
          <w:sz w:val="28"/>
          <w:szCs w:val="28"/>
          <w:lang w:val="en-US"/>
        </w:rPr>
        <w:t xml:space="preserve">10.2307/30040714. </w:t>
      </w:r>
    </w:p>
    <w:p w14:paraId="6E4DE53F"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274. </w:t>
      </w:r>
      <w:proofErr w:type="spellStart"/>
      <w:r w:rsidRPr="006B59F1">
        <w:rPr>
          <w:rFonts w:ascii="Times New Roman" w:hAnsi="Times New Roman" w:cs="Times New Roman"/>
          <w:sz w:val="28"/>
          <w:szCs w:val="28"/>
          <w:lang w:val="en-US"/>
        </w:rPr>
        <w:t>Minbaeva</w:t>
      </w:r>
      <w:proofErr w:type="spellEnd"/>
      <w:r w:rsidRPr="006B59F1">
        <w:rPr>
          <w:rFonts w:ascii="Times New Roman" w:hAnsi="Times New Roman" w:cs="Times New Roman"/>
          <w:sz w:val="28"/>
          <w:szCs w:val="28"/>
          <w:lang w:val="en-US"/>
        </w:rPr>
        <w:t xml:space="preserve"> D. B., </w:t>
      </w:r>
      <w:proofErr w:type="spellStart"/>
      <w:r w:rsidRPr="006B59F1">
        <w:rPr>
          <w:rFonts w:ascii="Times New Roman" w:hAnsi="Times New Roman" w:cs="Times New Roman"/>
          <w:sz w:val="28"/>
          <w:szCs w:val="28"/>
          <w:lang w:val="en-US"/>
        </w:rPr>
        <w:t>Mäkelä</w:t>
      </w:r>
      <w:proofErr w:type="spellEnd"/>
      <w:r w:rsidRPr="006B59F1">
        <w:rPr>
          <w:rFonts w:ascii="Times New Roman" w:hAnsi="Times New Roman" w:cs="Times New Roman"/>
          <w:sz w:val="28"/>
          <w:szCs w:val="28"/>
          <w:lang w:val="en-US"/>
        </w:rPr>
        <w:t xml:space="preserve"> K., </w:t>
      </w:r>
      <w:proofErr w:type="spellStart"/>
      <w:r w:rsidRPr="006B59F1">
        <w:rPr>
          <w:rFonts w:ascii="Times New Roman" w:hAnsi="Times New Roman" w:cs="Times New Roman"/>
          <w:sz w:val="28"/>
          <w:szCs w:val="28"/>
          <w:lang w:val="en-US"/>
        </w:rPr>
        <w:t>Rabbiosi</w:t>
      </w:r>
      <w:proofErr w:type="spellEnd"/>
      <w:r w:rsidRPr="006B59F1">
        <w:rPr>
          <w:rFonts w:ascii="Times New Roman" w:hAnsi="Times New Roman" w:cs="Times New Roman"/>
          <w:sz w:val="28"/>
          <w:szCs w:val="28"/>
          <w:lang w:val="en-US"/>
        </w:rPr>
        <w:t xml:space="preserve"> L. Linking HRM and knowledge transfer via individual-level mechanisms. Human Resource Management. 2022. № 51(3). P. 387-405.</w:t>
      </w:r>
    </w:p>
    <w:p w14:paraId="3D608C6F"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275. </w:t>
      </w:r>
      <w:proofErr w:type="spellStart"/>
      <w:r w:rsidRPr="006B59F1">
        <w:rPr>
          <w:rFonts w:ascii="Times New Roman" w:hAnsi="Times New Roman" w:cs="Times New Roman"/>
          <w:sz w:val="28"/>
          <w:szCs w:val="28"/>
          <w:lang w:val="en-US"/>
        </w:rPr>
        <w:t>Minbaeva</w:t>
      </w:r>
      <w:proofErr w:type="spellEnd"/>
      <w:r w:rsidRPr="006B59F1">
        <w:rPr>
          <w:rFonts w:ascii="Times New Roman" w:hAnsi="Times New Roman" w:cs="Times New Roman"/>
          <w:sz w:val="28"/>
          <w:szCs w:val="28"/>
          <w:lang w:val="en-US"/>
        </w:rPr>
        <w:t xml:space="preserve"> D., Pedersen T., Bjorkman I., Fey C., Park H. MNC Knowledge Transfer, Subsidiary Absorptive Capacity and Knowledge Transfer. Journal of International Business Studies. 2023. № 34(6). P. 586-599.</w:t>
      </w:r>
    </w:p>
    <w:p w14:paraId="3BF8638E"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276. </w:t>
      </w:r>
      <w:proofErr w:type="spellStart"/>
      <w:r w:rsidRPr="006B59F1">
        <w:rPr>
          <w:rFonts w:ascii="Times New Roman" w:hAnsi="Times New Roman" w:cs="Times New Roman"/>
          <w:sz w:val="28"/>
          <w:szCs w:val="28"/>
          <w:lang w:val="en-US"/>
        </w:rPr>
        <w:t>Nahapiet</w:t>
      </w:r>
      <w:proofErr w:type="spellEnd"/>
      <w:r w:rsidRPr="006B59F1">
        <w:rPr>
          <w:rFonts w:ascii="Times New Roman" w:hAnsi="Times New Roman" w:cs="Times New Roman"/>
          <w:sz w:val="28"/>
          <w:szCs w:val="28"/>
          <w:lang w:val="en-US"/>
        </w:rPr>
        <w:t xml:space="preserve"> J., </w:t>
      </w:r>
      <w:proofErr w:type="spellStart"/>
      <w:r w:rsidRPr="006B59F1">
        <w:rPr>
          <w:rFonts w:ascii="Times New Roman" w:hAnsi="Times New Roman" w:cs="Times New Roman"/>
          <w:sz w:val="28"/>
          <w:szCs w:val="28"/>
          <w:lang w:val="en-US"/>
        </w:rPr>
        <w:t>Sumantra</w:t>
      </w:r>
      <w:proofErr w:type="spellEnd"/>
      <w:r w:rsidRPr="006B59F1">
        <w:rPr>
          <w:rFonts w:ascii="Times New Roman" w:hAnsi="Times New Roman" w:cs="Times New Roman"/>
          <w:sz w:val="28"/>
          <w:szCs w:val="28"/>
          <w:lang w:val="en-US"/>
        </w:rPr>
        <w:t xml:space="preserve"> G. Social capital, intellectual capital, and the organizational advantage. Academy of management review. 2019. № 23. P. 242-266.</w:t>
      </w:r>
    </w:p>
    <w:p w14:paraId="43100146"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lastRenderedPageBreak/>
        <w:t xml:space="preserve">277. </w:t>
      </w:r>
      <w:proofErr w:type="spellStart"/>
      <w:r w:rsidRPr="006B59F1">
        <w:rPr>
          <w:rFonts w:ascii="Times New Roman" w:hAnsi="Times New Roman" w:cs="Times New Roman"/>
          <w:sz w:val="28"/>
          <w:szCs w:val="28"/>
          <w:lang w:val="en-US"/>
        </w:rPr>
        <w:t>Inkpen</w:t>
      </w:r>
      <w:proofErr w:type="spellEnd"/>
      <w:r w:rsidRPr="006B59F1">
        <w:rPr>
          <w:rFonts w:ascii="Times New Roman" w:hAnsi="Times New Roman" w:cs="Times New Roman"/>
          <w:sz w:val="28"/>
          <w:szCs w:val="28"/>
          <w:lang w:val="en-US"/>
        </w:rPr>
        <w:t xml:space="preserve"> A., Tsang E. Social capital, networks, and knowledge transfer. Academy of Management Review. 2015. № 30. P. 1146-1165.</w:t>
      </w:r>
    </w:p>
    <w:p w14:paraId="580DA73B"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278. Cabrera E. F., Cabrera A. Fostering knowledge sharing through people management practices. International Journal of Human Resource Management. 2015. № 16(5). P. 720-735.</w:t>
      </w:r>
    </w:p>
    <w:p w14:paraId="1ED5633E"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279. Foss N. J., </w:t>
      </w:r>
      <w:proofErr w:type="spellStart"/>
      <w:r w:rsidRPr="006B59F1">
        <w:rPr>
          <w:rFonts w:ascii="Times New Roman" w:hAnsi="Times New Roman" w:cs="Times New Roman"/>
          <w:sz w:val="28"/>
          <w:szCs w:val="28"/>
          <w:lang w:val="en-US"/>
        </w:rPr>
        <w:t>Minbaeva</w:t>
      </w:r>
      <w:proofErr w:type="spellEnd"/>
      <w:r w:rsidRPr="006B59F1">
        <w:rPr>
          <w:rFonts w:ascii="Times New Roman" w:hAnsi="Times New Roman" w:cs="Times New Roman"/>
          <w:sz w:val="28"/>
          <w:szCs w:val="28"/>
          <w:lang w:val="en-US"/>
        </w:rPr>
        <w:t xml:space="preserve"> D. B., Pedersen T., </w:t>
      </w:r>
      <w:proofErr w:type="spellStart"/>
      <w:r w:rsidRPr="006B59F1">
        <w:rPr>
          <w:rFonts w:ascii="Times New Roman" w:hAnsi="Times New Roman" w:cs="Times New Roman"/>
          <w:sz w:val="28"/>
          <w:szCs w:val="28"/>
          <w:lang w:val="en-US"/>
        </w:rPr>
        <w:t>Reinholt</w:t>
      </w:r>
      <w:proofErr w:type="spellEnd"/>
      <w:r w:rsidRPr="006B59F1">
        <w:rPr>
          <w:rFonts w:ascii="Times New Roman" w:hAnsi="Times New Roman" w:cs="Times New Roman"/>
          <w:sz w:val="28"/>
          <w:szCs w:val="28"/>
          <w:lang w:val="en-US"/>
        </w:rPr>
        <w:t xml:space="preserve"> M. Encouraging knowledge sharing among employees: How job design matters. Human Resource Management. 2019. № 48(6). P. 871-893.</w:t>
      </w:r>
    </w:p>
    <w:p w14:paraId="7B4D0F12"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280. </w:t>
      </w:r>
      <w:proofErr w:type="spellStart"/>
      <w:r w:rsidRPr="006B59F1">
        <w:rPr>
          <w:rFonts w:ascii="Times New Roman" w:hAnsi="Times New Roman" w:cs="Times New Roman"/>
          <w:sz w:val="28"/>
          <w:szCs w:val="28"/>
          <w:lang w:val="en-US"/>
        </w:rPr>
        <w:t>Lepak</w:t>
      </w:r>
      <w:proofErr w:type="spellEnd"/>
      <w:r w:rsidRPr="006B59F1">
        <w:rPr>
          <w:rFonts w:ascii="Times New Roman" w:hAnsi="Times New Roman" w:cs="Times New Roman"/>
          <w:sz w:val="28"/>
          <w:szCs w:val="28"/>
          <w:lang w:val="en-US"/>
        </w:rPr>
        <w:t xml:space="preserve"> D. P., Scott A. S. The human resource architecture: Toward a theory of human capital allocation and development. Academy of management review. 2019. № 24(1). P. 31-48.</w:t>
      </w:r>
    </w:p>
    <w:p w14:paraId="564825AA"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281. Al </w:t>
      </w:r>
      <w:proofErr w:type="spellStart"/>
      <w:r w:rsidRPr="006B59F1">
        <w:rPr>
          <w:rFonts w:ascii="Times New Roman" w:hAnsi="Times New Roman" w:cs="Times New Roman"/>
          <w:sz w:val="28"/>
          <w:szCs w:val="28"/>
          <w:lang w:val="en-US"/>
        </w:rPr>
        <w:t>Ariss</w:t>
      </w:r>
      <w:proofErr w:type="spellEnd"/>
      <w:r w:rsidRPr="006B59F1">
        <w:rPr>
          <w:rFonts w:ascii="Times New Roman" w:hAnsi="Times New Roman" w:cs="Times New Roman"/>
          <w:sz w:val="28"/>
          <w:szCs w:val="28"/>
          <w:lang w:val="en-US"/>
        </w:rPr>
        <w:t xml:space="preserve"> A., Crowley-Henry M. Self-initiated expatriation and migration in the management literature: Present theorizations and future research directions. Career Development International. 2013. № 18(1). P. 78-96.</w:t>
      </w:r>
    </w:p>
    <w:p w14:paraId="28D9DBFA" w14:textId="77777777" w:rsidR="00571B42" w:rsidRPr="00C47476"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282. Cohen L., Arnold J., O'Neill M. Migration: Vocational perspectives on a complex and diverse transition. </w:t>
      </w:r>
      <w:r w:rsidRPr="00C47476">
        <w:rPr>
          <w:rFonts w:ascii="Times New Roman" w:hAnsi="Times New Roman" w:cs="Times New Roman"/>
          <w:bCs/>
          <w:sz w:val="28"/>
          <w:szCs w:val="28"/>
          <w:lang w:val="en-US"/>
        </w:rPr>
        <w:t>Journal of Vocational Behavior</w:t>
      </w:r>
      <w:r w:rsidRPr="00C47476">
        <w:rPr>
          <w:rFonts w:ascii="Times New Roman" w:hAnsi="Times New Roman" w:cs="Times New Roman"/>
          <w:sz w:val="28"/>
          <w:szCs w:val="28"/>
          <w:lang w:val="en-US"/>
        </w:rPr>
        <w:t>. 20</w:t>
      </w:r>
      <w:r w:rsidRPr="006B59F1">
        <w:rPr>
          <w:rFonts w:ascii="Times New Roman" w:hAnsi="Times New Roman" w:cs="Times New Roman"/>
          <w:sz w:val="28"/>
          <w:szCs w:val="28"/>
          <w:lang w:val="en-US"/>
        </w:rPr>
        <w:t>2</w:t>
      </w:r>
      <w:r w:rsidRPr="00C47476">
        <w:rPr>
          <w:rFonts w:ascii="Times New Roman" w:hAnsi="Times New Roman" w:cs="Times New Roman"/>
          <w:sz w:val="28"/>
          <w:szCs w:val="28"/>
          <w:lang w:val="en-US"/>
        </w:rPr>
        <w:t>1</w:t>
      </w:r>
      <w:r w:rsidRPr="006B59F1">
        <w:rPr>
          <w:rFonts w:ascii="Times New Roman" w:hAnsi="Times New Roman" w:cs="Times New Roman"/>
          <w:sz w:val="28"/>
          <w:szCs w:val="28"/>
          <w:lang w:val="en-US"/>
        </w:rPr>
        <w:t xml:space="preserve">. </w:t>
      </w:r>
      <w:r w:rsidRPr="00C47476">
        <w:rPr>
          <w:rFonts w:ascii="Times New Roman" w:hAnsi="Times New Roman" w:cs="Times New Roman"/>
          <w:sz w:val="28"/>
          <w:szCs w:val="28"/>
          <w:lang w:val="en-US"/>
        </w:rPr>
        <w:t>№</w:t>
      </w:r>
      <w:r w:rsidRPr="006B59F1">
        <w:rPr>
          <w:rFonts w:ascii="Times New Roman" w:hAnsi="Times New Roman" w:cs="Times New Roman"/>
          <w:sz w:val="28"/>
          <w:szCs w:val="28"/>
          <w:lang w:val="en-US"/>
        </w:rPr>
        <w:t xml:space="preserve"> </w:t>
      </w:r>
      <w:r w:rsidRPr="00C47476">
        <w:rPr>
          <w:rFonts w:ascii="Times New Roman" w:hAnsi="Times New Roman" w:cs="Times New Roman"/>
          <w:sz w:val="28"/>
          <w:szCs w:val="28"/>
          <w:lang w:val="en-US"/>
        </w:rPr>
        <w:t>78(3). P. 321-324.</w:t>
      </w:r>
    </w:p>
    <w:p w14:paraId="48D8CAE7" w14:textId="77777777" w:rsidR="00571B42" w:rsidRPr="006B59F1" w:rsidRDefault="00571B42" w:rsidP="00571B42">
      <w:pPr>
        <w:spacing w:after="0" w:line="360" w:lineRule="auto"/>
        <w:ind w:firstLine="720"/>
        <w:jc w:val="both"/>
        <w:rPr>
          <w:rFonts w:ascii="Times New Roman" w:hAnsi="Times New Roman" w:cs="Times New Roman"/>
          <w:sz w:val="28"/>
          <w:szCs w:val="28"/>
          <w:lang w:val="en-US"/>
        </w:rPr>
      </w:pPr>
      <w:r w:rsidRPr="006B59F1">
        <w:rPr>
          <w:rFonts w:ascii="Times New Roman" w:hAnsi="Times New Roman" w:cs="Times New Roman"/>
          <w:sz w:val="28"/>
          <w:szCs w:val="28"/>
          <w:lang w:val="en-US"/>
        </w:rPr>
        <w:t xml:space="preserve">283. Fang T., Samnani A.-K., </w:t>
      </w:r>
      <w:proofErr w:type="spellStart"/>
      <w:r w:rsidRPr="006B59F1">
        <w:rPr>
          <w:rFonts w:ascii="Times New Roman" w:hAnsi="Times New Roman" w:cs="Times New Roman"/>
          <w:sz w:val="28"/>
          <w:szCs w:val="28"/>
          <w:lang w:val="en-US"/>
        </w:rPr>
        <w:t>Novicevic</w:t>
      </w:r>
      <w:proofErr w:type="spellEnd"/>
      <w:r w:rsidRPr="006B59F1">
        <w:rPr>
          <w:rFonts w:ascii="Times New Roman" w:hAnsi="Times New Roman" w:cs="Times New Roman"/>
          <w:sz w:val="28"/>
          <w:szCs w:val="28"/>
          <w:lang w:val="en-US"/>
        </w:rPr>
        <w:t xml:space="preserve"> M. M., Bing M. N. Liability-of-foreignness effects on job success of immigrant job seekers. Journal of World Business. 2023. № 48. P. 98-109.</w:t>
      </w:r>
    </w:p>
    <w:p w14:paraId="63DDD9BC" w14:textId="77777777" w:rsidR="00571B42" w:rsidRPr="005D1B01" w:rsidRDefault="00571B42" w:rsidP="00571B42">
      <w:pPr>
        <w:spacing w:after="0" w:line="360" w:lineRule="auto"/>
        <w:ind w:firstLine="720"/>
        <w:jc w:val="both"/>
        <w:rPr>
          <w:rFonts w:ascii="Times New Roman" w:hAnsi="Times New Roman" w:cs="Times New Roman"/>
          <w:sz w:val="28"/>
          <w:szCs w:val="28"/>
          <w:lang w:val="en-US"/>
        </w:rPr>
      </w:pPr>
    </w:p>
    <w:p w14:paraId="50F6DD88" w14:textId="77777777" w:rsidR="00571B42" w:rsidRPr="0036097D" w:rsidRDefault="00571B42" w:rsidP="00571B42">
      <w:pPr>
        <w:spacing w:after="0" w:line="360" w:lineRule="auto"/>
        <w:ind w:firstLine="720"/>
        <w:jc w:val="both"/>
        <w:rPr>
          <w:rFonts w:ascii="Times New Roman" w:hAnsi="Times New Roman" w:cs="Times New Roman"/>
          <w:i/>
          <w:sz w:val="28"/>
          <w:szCs w:val="28"/>
          <w:lang w:val="uk-UA"/>
        </w:rPr>
      </w:pPr>
      <w:r w:rsidRPr="006B59F1">
        <w:rPr>
          <w:rFonts w:ascii="Times New Roman" w:hAnsi="Times New Roman" w:cs="Times New Roman"/>
          <w:b/>
          <w:bCs/>
          <w:i/>
          <w:sz w:val="28"/>
          <w:szCs w:val="28"/>
          <w:lang w:val="uk-UA"/>
        </w:rPr>
        <w:t>Ключові слова:</w:t>
      </w:r>
      <w:r w:rsidRPr="0036097D">
        <w:rPr>
          <w:rFonts w:ascii="Times New Roman" w:hAnsi="Times New Roman" w:cs="Times New Roman"/>
          <w:i/>
          <w:sz w:val="28"/>
          <w:szCs w:val="28"/>
          <w:lang w:val="uk-UA"/>
        </w:rPr>
        <w:t xml:space="preserve"> управління персоналом, кар’єрна схема, конверген</w:t>
      </w:r>
      <w:r>
        <w:rPr>
          <w:rFonts w:ascii="Times New Roman" w:hAnsi="Times New Roman" w:cs="Times New Roman"/>
          <w:i/>
          <w:sz w:val="28"/>
          <w:szCs w:val="28"/>
          <w:lang w:val="uk-UA"/>
        </w:rPr>
        <w:t xml:space="preserve">ція, модульні архетипи, талант, управління талантами. </w:t>
      </w:r>
    </w:p>
    <w:p w14:paraId="2B06AFFA" w14:textId="709D0368" w:rsidR="00B73EC5" w:rsidRPr="005F0419" w:rsidRDefault="00B73EC5" w:rsidP="00B73EC5">
      <w:pPr>
        <w:pageBreakBefore/>
        <w:widowControl w:val="0"/>
        <w:spacing w:after="0" w:line="360" w:lineRule="auto"/>
        <w:jc w:val="center"/>
        <w:rPr>
          <w:rFonts w:ascii="Times New Roman" w:eastAsia="Times New Roman" w:hAnsi="Times New Roman" w:cs="Times New Roman"/>
          <w:b/>
          <w:caps/>
          <w:sz w:val="28"/>
          <w:szCs w:val="28"/>
          <w:shd w:val="clear" w:color="auto" w:fill="FCFCFC"/>
          <w:lang w:val="uk-UA"/>
        </w:rPr>
      </w:pPr>
      <w:r w:rsidRPr="005F0419">
        <w:rPr>
          <w:rFonts w:ascii="Times New Roman" w:eastAsia="Times New Roman" w:hAnsi="Times New Roman" w:cs="Times New Roman"/>
          <w:b/>
          <w:caps/>
          <w:sz w:val="28"/>
          <w:szCs w:val="28"/>
          <w:shd w:val="clear" w:color="auto" w:fill="FCFCFC"/>
          <w:lang w:val="uk-UA"/>
        </w:rPr>
        <w:lastRenderedPageBreak/>
        <w:t>Еколого-економічні засади врахування «земельного» сліду В агробізнесі</w:t>
      </w:r>
    </w:p>
    <w:p w14:paraId="1389EDCB" w14:textId="77777777" w:rsidR="00B73EC5" w:rsidRPr="005F0419" w:rsidRDefault="00B73EC5" w:rsidP="00B73EC5">
      <w:pPr>
        <w:spacing w:after="0" w:line="360" w:lineRule="auto"/>
        <w:ind w:firstLine="720"/>
        <w:jc w:val="right"/>
        <w:rPr>
          <w:rFonts w:ascii="Times New Roman" w:eastAsia="Times New Roman" w:hAnsi="Times New Roman" w:cs="Times New Roman"/>
          <w:sz w:val="28"/>
          <w:szCs w:val="28"/>
          <w:shd w:val="clear" w:color="auto" w:fill="FCFCFC"/>
          <w:lang w:val="uk-UA"/>
        </w:rPr>
      </w:pPr>
    </w:p>
    <w:p w14:paraId="616F33EB" w14:textId="0E101FFA" w:rsidR="00B73EC5" w:rsidRPr="005F0419" w:rsidRDefault="00B73EC5" w:rsidP="00B73EC5">
      <w:pPr>
        <w:spacing w:after="0" w:line="360" w:lineRule="auto"/>
        <w:ind w:firstLine="720"/>
        <w:jc w:val="center"/>
        <w:rPr>
          <w:rFonts w:ascii="Times New Roman" w:eastAsia="Times New Roman" w:hAnsi="Times New Roman" w:cs="Times New Roman"/>
          <w:b/>
          <w:bCs/>
          <w:i/>
          <w:iCs/>
          <w:sz w:val="28"/>
          <w:szCs w:val="28"/>
          <w:shd w:val="clear" w:color="auto" w:fill="FCFCFC"/>
          <w:lang w:val="uk-UA"/>
        </w:rPr>
      </w:pPr>
      <w:proofErr w:type="spellStart"/>
      <w:r w:rsidRPr="005F0419">
        <w:rPr>
          <w:rFonts w:ascii="Times New Roman" w:eastAsia="Times New Roman" w:hAnsi="Times New Roman" w:cs="Times New Roman"/>
          <w:b/>
          <w:bCs/>
          <w:i/>
          <w:iCs/>
          <w:sz w:val="28"/>
          <w:szCs w:val="28"/>
          <w:shd w:val="clear" w:color="auto" w:fill="FCFCFC"/>
          <w:lang w:val="uk-UA"/>
        </w:rPr>
        <w:t>Скрипчук</w:t>
      </w:r>
      <w:proofErr w:type="spellEnd"/>
      <w:r w:rsidRPr="005F0419">
        <w:rPr>
          <w:rFonts w:ascii="Times New Roman" w:eastAsia="Times New Roman" w:hAnsi="Times New Roman" w:cs="Times New Roman"/>
          <w:b/>
          <w:bCs/>
          <w:i/>
          <w:iCs/>
          <w:sz w:val="28"/>
          <w:szCs w:val="28"/>
          <w:shd w:val="clear" w:color="auto" w:fill="FCFCFC"/>
          <w:lang w:val="uk-UA"/>
        </w:rPr>
        <w:t xml:space="preserve"> Петро Михайлович, Шпак Галина Миколаївна</w:t>
      </w:r>
    </w:p>
    <w:bookmarkEnd w:id="5"/>
    <w:p w14:paraId="2999C145" w14:textId="77777777" w:rsidR="00B73EC5" w:rsidRPr="005F0419" w:rsidRDefault="00B73EC5" w:rsidP="00B73EC5">
      <w:pPr>
        <w:spacing w:after="0" w:line="360" w:lineRule="auto"/>
        <w:ind w:firstLine="720"/>
        <w:jc w:val="right"/>
        <w:rPr>
          <w:rFonts w:ascii="Times New Roman" w:eastAsia="Times New Roman" w:hAnsi="Times New Roman" w:cs="Times New Roman"/>
          <w:sz w:val="28"/>
          <w:szCs w:val="28"/>
          <w:shd w:val="clear" w:color="auto" w:fill="FCFCFC"/>
          <w:lang w:val="uk-UA"/>
        </w:rPr>
      </w:pPr>
    </w:p>
    <w:p w14:paraId="0A984A2A" w14:textId="4844A7DA"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Сучасний розвиток світового сільського господарства залежить від динамічних тенденцій, сформованих під впливом глобалізації. Серед них слід виокремити такі: По-перше, зростання кількості населення світу та високий рівень урбанізації. За даними ООН до 2050 р. населення землі зросте до 9,7 млрд осіб, а до 2100 його кількість сягатиме 11,2 млрд осіб. Згідно прогнозних даних, весь приріст населення відбуватиметься переважно за рахунок збільшення міського населення: до 2050 р. 68 % населення світу проживатиме в містах [1]. Отже, споживчі потреби міського населення мають задовольнятися за рахунок високорозвиненого, технологічно забезпеченого, індустріально спрямованого сільського господарства. По-друге, боротьба з кліматичними змінами, які викликатимуть збільшення розриву в економічному розвитку між країнами світу, та, як наслідок, зміни в характері і експортно-імпортній структурі торгівлі сільськогосподарською продукцією. У перспективі міжнародна торгівля можливо стане засобом стабілізації ринків та перерозподілу продовольства між регіонами світу, а отже безпосереднім гарантом продовольчої безпеки. По-третє, нові підходи до раціону харчування та переваги у споживанні трудомісткої продукції (м'ясо, </w:t>
      </w:r>
      <w:proofErr w:type="spellStart"/>
      <w:r w:rsidRPr="005F0419">
        <w:rPr>
          <w:rFonts w:ascii="Times New Roman" w:hAnsi="Times New Roman" w:cs="Times New Roman"/>
          <w:sz w:val="28"/>
          <w:szCs w:val="28"/>
          <w:lang w:val="uk-UA"/>
        </w:rPr>
        <w:t>EcoFood</w:t>
      </w:r>
      <w:proofErr w:type="spellEnd"/>
      <w:r w:rsidRPr="005F0419">
        <w:rPr>
          <w:rFonts w:ascii="Times New Roman" w:hAnsi="Times New Roman" w:cs="Times New Roman"/>
          <w:sz w:val="28"/>
          <w:szCs w:val="28"/>
          <w:lang w:val="uk-UA"/>
        </w:rPr>
        <w:t>, органічних продуктів), підвищення вимог населення щодо якості продукції. Для задоволення зростаючого попиту у 2050 р. в сільському господарстві повинно вироблятися майже на 50% більше продуктів харчування, кормів та біопалива у порівнянні з 2012 р. [2].</w:t>
      </w:r>
    </w:p>
    <w:p w14:paraId="0F61D56C"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Нарощування виробництва з одночасними заходами з охорони природних ресурсів, зменшення витрат, збереження сімейного фермерського укладу мають стати пріоритетами майбутнього розвитку сільського господарства. По-четверте, ринкові потрясіння та нестабільність цін на сільськогосподарську продукцію внаслідок зростання попиту на продовольство та корми у поєднанні зі зниженням </w:t>
      </w:r>
      <w:r w:rsidRPr="005F0419">
        <w:rPr>
          <w:rFonts w:ascii="Times New Roman" w:hAnsi="Times New Roman" w:cs="Times New Roman"/>
          <w:sz w:val="28"/>
          <w:szCs w:val="28"/>
          <w:lang w:val="uk-UA"/>
        </w:rPr>
        <w:lastRenderedPageBreak/>
        <w:t xml:space="preserve">коефіцієнту використання матеріальних ресурсів та зростанням виробництва біопалива. При цьому, перші рейтингові позиції в експорті та імпорті сільськогосподарської продукції залишаються за ЄС та США. Зокрема, ЄС обіймає 1-е місце в світі як імпортер сільськогосподарської продукції (39,1%), так і як експортер (41,1%) [3]. </w:t>
      </w:r>
    </w:p>
    <w:p w14:paraId="3745517F" w14:textId="77777777" w:rsidR="00B73EC5" w:rsidRPr="005F0419" w:rsidRDefault="00B73EC5" w:rsidP="00B73EC5">
      <w:pPr>
        <w:spacing w:after="0" w:line="360" w:lineRule="auto"/>
        <w:ind w:firstLine="720"/>
        <w:jc w:val="both"/>
        <w:rPr>
          <w:rFonts w:ascii="Times New Roman" w:eastAsia="Times New Roman" w:hAnsi="Times New Roman" w:cs="Times New Roman"/>
          <w:sz w:val="28"/>
          <w:szCs w:val="28"/>
          <w:highlight w:val="white"/>
          <w:lang w:val="uk-UA"/>
        </w:rPr>
      </w:pPr>
      <w:r w:rsidRPr="005F0419">
        <w:rPr>
          <w:rFonts w:ascii="Times New Roman" w:eastAsia="Times New Roman" w:hAnsi="Times New Roman" w:cs="Times New Roman"/>
          <w:sz w:val="28"/>
          <w:szCs w:val="28"/>
          <w:lang w:val="uk-UA"/>
        </w:rPr>
        <w:t>Постійне з</w:t>
      </w:r>
      <w:r w:rsidRPr="005F0419">
        <w:rPr>
          <w:rFonts w:ascii="Times New Roman" w:eastAsia="Times New Roman" w:hAnsi="Times New Roman" w:cs="Times New Roman"/>
          <w:sz w:val="28"/>
          <w:szCs w:val="28"/>
          <w:highlight w:val="white"/>
          <w:lang w:val="uk-UA"/>
        </w:rPr>
        <w:t>ростання населення на планеті, зниження врожайності культур через глобальне потепління та зміни клімату, зменшення площі високопродуктивних орних земель створюють передумови для зростання попиту та цін на продовольство. Водночас нарощування обсягів виробництва шляхом подальшої інтенсифікації сільськогосподарського виробництва матиме катастрофічні екологічні наслідки, оскільки вона є значним забруднювачем  навколишнього природного середовища (НПС).</w:t>
      </w:r>
    </w:p>
    <w:p w14:paraId="795456FD" w14:textId="77777777" w:rsidR="00B73EC5" w:rsidRPr="005F0419" w:rsidRDefault="00B73EC5" w:rsidP="00B73EC5">
      <w:pPr>
        <w:shd w:val="clear" w:color="auto" w:fill="FFFFFF"/>
        <w:spacing w:after="0" w:line="360" w:lineRule="auto"/>
        <w:ind w:firstLine="720"/>
        <w:jc w:val="both"/>
        <w:rPr>
          <w:rFonts w:ascii="Times New Roman" w:hAnsi="Times New Roman" w:cs="Times New Roman"/>
          <w:sz w:val="28"/>
          <w:szCs w:val="28"/>
          <w:lang w:val="uk-UA"/>
        </w:rPr>
      </w:pPr>
      <w:r w:rsidRPr="005F0419">
        <w:rPr>
          <w:rFonts w:ascii="Times New Roman" w:eastAsia="Times New Roman" w:hAnsi="Times New Roman" w:cs="Times New Roman"/>
          <w:sz w:val="28"/>
          <w:szCs w:val="28"/>
          <w:lang w:val="uk-UA"/>
        </w:rPr>
        <w:t>Наслідками інтенсифікації сільськогосподарського виробництва є деградація ґрунтів, втрата біорізноманіття, фрагментація ландшафтів, забруднення поверхневих та підземних вод. За оцінками FAO, аграрна галузь використовує, зокрема для зрошення, 70% усієї води, яка забирається з водоносних горизонтів, потоків та озер. Що може призвести до зміни структури природного водостоку, зміни рівня ґрунтових вод і вплинути на різні водні та наземні екосистеми [4]. </w:t>
      </w:r>
      <w:r w:rsidRPr="005F0419">
        <w:rPr>
          <w:rFonts w:ascii="Times New Roman" w:hAnsi="Times New Roman" w:cs="Times New Roman"/>
          <w:sz w:val="28"/>
          <w:szCs w:val="28"/>
          <w:lang w:val="uk-UA"/>
        </w:rPr>
        <w:t xml:space="preserve">Оцінкою ефективності використання ресурсів, які враховують глобальний тиск на НПС та пов’язані зі споживанням через показник «слід» займалися такі вчені, як  </w:t>
      </w:r>
      <w:proofErr w:type="spellStart"/>
      <w:r w:rsidRPr="005F0419">
        <w:rPr>
          <w:rFonts w:ascii="Times New Roman" w:hAnsi="Times New Roman" w:cs="Times New Roman"/>
          <w:sz w:val="28"/>
          <w:szCs w:val="28"/>
          <w:lang w:val="uk-UA"/>
        </w:rPr>
        <w:t>Чжуо</w:t>
      </w:r>
      <w:proofErr w:type="spellEnd"/>
      <w:r w:rsidRPr="005F0419">
        <w:rPr>
          <w:rFonts w:ascii="Times New Roman" w:hAnsi="Times New Roman" w:cs="Times New Roman"/>
          <w:sz w:val="28"/>
          <w:szCs w:val="28"/>
          <w:lang w:val="uk-UA"/>
        </w:rPr>
        <w:t xml:space="preserve"> Л., </w:t>
      </w:r>
      <w:proofErr w:type="spellStart"/>
      <w:r w:rsidRPr="005F0419">
        <w:rPr>
          <w:rFonts w:ascii="Times New Roman" w:hAnsi="Times New Roman" w:cs="Times New Roman"/>
          <w:sz w:val="28"/>
          <w:szCs w:val="28"/>
          <w:lang w:val="uk-UA"/>
        </w:rPr>
        <w:t>Лю</w:t>
      </w:r>
      <w:proofErr w:type="spellEnd"/>
      <w:r w:rsidRPr="005F0419">
        <w:rPr>
          <w:rFonts w:ascii="Times New Roman" w:hAnsi="Times New Roman" w:cs="Times New Roman"/>
          <w:sz w:val="28"/>
          <w:szCs w:val="28"/>
          <w:lang w:val="uk-UA"/>
        </w:rPr>
        <w:t xml:space="preserve"> Ю., Ян Х., </w:t>
      </w:r>
      <w:proofErr w:type="spellStart"/>
      <w:r w:rsidRPr="005F0419">
        <w:rPr>
          <w:rFonts w:ascii="Times New Roman" w:hAnsi="Times New Roman" w:cs="Times New Roman"/>
          <w:sz w:val="28"/>
          <w:szCs w:val="28"/>
          <w:lang w:val="uk-UA"/>
        </w:rPr>
        <w:t>Хоекстра</w:t>
      </w:r>
      <w:proofErr w:type="spellEnd"/>
      <w:r w:rsidRPr="005F0419">
        <w:rPr>
          <w:rFonts w:ascii="Times New Roman" w:hAnsi="Times New Roman" w:cs="Times New Roman"/>
          <w:sz w:val="28"/>
          <w:szCs w:val="28"/>
          <w:lang w:val="uk-UA"/>
        </w:rPr>
        <w:t xml:space="preserve"> А.Й., </w:t>
      </w:r>
      <w:proofErr w:type="spellStart"/>
      <w:r w:rsidRPr="005F0419">
        <w:rPr>
          <w:rFonts w:ascii="Times New Roman" w:hAnsi="Times New Roman" w:cs="Times New Roman"/>
          <w:sz w:val="28"/>
          <w:szCs w:val="28"/>
          <w:lang w:val="uk-UA"/>
        </w:rPr>
        <w:t>Цао</w:t>
      </w:r>
      <w:proofErr w:type="spellEnd"/>
      <w:r w:rsidRPr="005F0419">
        <w:rPr>
          <w:rFonts w:ascii="Times New Roman" w:hAnsi="Times New Roman" w:cs="Times New Roman"/>
          <w:sz w:val="28"/>
          <w:szCs w:val="28"/>
          <w:lang w:val="uk-UA"/>
        </w:rPr>
        <w:t xml:space="preserve"> X., Ван М., </w:t>
      </w:r>
      <w:proofErr w:type="spellStart"/>
      <w:r w:rsidRPr="005F0419">
        <w:rPr>
          <w:rFonts w:ascii="Times New Roman" w:hAnsi="Times New Roman" w:cs="Times New Roman"/>
          <w:sz w:val="28"/>
          <w:szCs w:val="28"/>
          <w:lang w:val="uk-UA"/>
        </w:rPr>
        <w:t>Марстон</w:t>
      </w:r>
      <w:proofErr w:type="spellEnd"/>
      <w:r w:rsidRPr="005F0419">
        <w:rPr>
          <w:rFonts w:ascii="Times New Roman" w:hAnsi="Times New Roman" w:cs="Times New Roman"/>
          <w:sz w:val="28"/>
          <w:szCs w:val="28"/>
          <w:lang w:val="uk-UA"/>
        </w:rPr>
        <w:t xml:space="preserve"> Л., </w:t>
      </w:r>
      <w:proofErr w:type="spellStart"/>
      <w:r w:rsidRPr="005F0419">
        <w:rPr>
          <w:rFonts w:ascii="Times New Roman" w:hAnsi="Times New Roman" w:cs="Times New Roman"/>
          <w:sz w:val="28"/>
          <w:szCs w:val="28"/>
          <w:lang w:val="uk-UA"/>
        </w:rPr>
        <w:t>Конар</w:t>
      </w:r>
      <w:proofErr w:type="spellEnd"/>
      <w:r w:rsidRPr="005F0419">
        <w:rPr>
          <w:rFonts w:ascii="Times New Roman" w:hAnsi="Times New Roman" w:cs="Times New Roman"/>
          <w:sz w:val="28"/>
          <w:szCs w:val="28"/>
          <w:lang w:val="uk-UA"/>
        </w:rPr>
        <w:t xml:space="preserve"> М., </w:t>
      </w:r>
      <w:proofErr w:type="spellStart"/>
      <w:r w:rsidRPr="005F0419">
        <w:rPr>
          <w:rFonts w:ascii="Times New Roman" w:hAnsi="Times New Roman" w:cs="Times New Roman"/>
          <w:sz w:val="28"/>
          <w:szCs w:val="28"/>
          <w:lang w:val="uk-UA"/>
        </w:rPr>
        <w:t>Меконнен</w:t>
      </w:r>
      <w:proofErr w:type="spellEnd"/>
      <w:r w:rsidRPr="005F0419">
        <w:rPr>
          <w:rFonts w:ascii="Times New Roman" w:hAnsi="Times New Roman" w:cs="Times New Roman"/>
          <w:sz w:val="28"/>
          <w:szCs w:val="28"/>
          <w:lang w:val="uk-UA"/>
        </w:rPr>
        <w:t xml:space="preserve"> М.М., </w:t>
      </w:r>
      <w:proofErr w:type="spellStart"/>
      <w:r w:rsidRPr="005F0419">
        <w:rPr>
          <w:rFonts w:ascii="Times New Roman" w:hAnsi="Times New Roman" w:cs="Times New Roman"/>
          <w:sz w:val="28"/>
          <w:szCs w:val="28"/>
          <w:lang w:val="uk-UA"/>
        </w:rPr>
        <w:t>Шинс</w:t>
      </w:r>
      <w:proofErr w:type="spellEnd"/>
      <w:r w:rsidRPr="005F0419">
        <w:rPr>
          <w:rFonts w:ascii="Times New Roman" w:hAnsi="Times New Roman" w:cs="Times New Roman"/>
          <w:sz w:val="28"/>
          <w:szCs w:val="28"/>
          <w:lang w:val="uk-UA"/>
        </w:rPr>
        <w:t xml:space="preserve"> Д.Ф., Буй </w:t>
      </w:r>
      <w:proofErr w:type="spellStart"/>
      <w:r w:rsidRPr="005F0419">
        <w:rPr>
          <w:rFonts w:ascii="Times New Roman" w:hAnsi="Times New Roman" w:cs="Times New Roman"/>
          <w:sz w:val="28"/>
          <w:szCs w:val="28"/>
          <w:lang w:val="uk-UA"/>
        </w:rPr>
        <w:t>М.Дж</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Савенідже</w:t>
      </w:r>
      <w:proofErr w:type="spellEnd"/>
      <w:r w:rsidRPr="005F0419">
        <w:rPr>
          <w:rFonts w:ascii="Times New Roman" w:hAnsi="Times New Roman" w:cs="Times New Roman"/>
          <w:sz w:val="28"/>
          <w:szCs w:val="28"/>
          <w:lang w:val="uk-UA"/>
        </w:rPr>
        <w:t xml:space="preserve"> Х.Г., </w:t>
      </w:r>
      <w:proofErr w:type="spellStart"/>
      <w:r w:rsidRPr="005F0419">
        <w:rPr>
          <w:rFonts w:ascii="Times New Roman" w:hAnsi="Times New Roman" w:cs="Times New Roman"/>
          <w:sz w:val="28"/>
          <w:szCs w:val="28"/>
          <w:lang w:val="uk-UA"/>
        </w:rPr>
        <w:t>Ванхем</w:t>
      </w:r>
      <w:proofErr w:type="spellEnd"/>
      <w:r w:rsidRPr="005F0419">
        <w:rPr>
          <w:rFonts w:ascii="Times New Roman" w:hAnsi="Times New Roman" w:cs="Times New Roman"/>
          <w:sz w:val="28"/>
          <w:szCs w:val="28"/>
          <w:lang w:val="uk-UA"/>
        </w:rPr>
        <w:t xml:space="preserve"> Д., </w:t>
      </w:r>
      <w:proofErr w:type="spellStart"/>
      <w:r w:rsidRPr="005F0419">
        <w:rPr>
          <w:rFonts w:ascii="Times New Roman" w:hAnsi="Times New Roman" w:cs="Times New Roman"/>
          <w:sz w:val="28"/>
          <w:szCs w:val="28"/>
          <w:lang w:val="uk-UA"/>
        </w:rPr>
        <w:t>Алдая</w:t>
      </w:r>
      <w:proofErr w:type="spellEnd"/>
      <w:r w:rsidRPr="005F0419">
        <w:rPr>
          <w:rFonts w:ascii="Times New Roman" w:hAnsi="Times New Roman" w:cs="Times New Roman"/>
          <w:sz w:val="28"/>
          <w:szCs w:val="28"/>
          <w:lang w:val="uk-UA"/>
        </w:rPr>
        <w:t xml:space="preserve"> М.М., </w:t>
      </w:r>
      <w:proofErr w:type="spellStart"/>
      <w:r w:rsidRPr="005F0419">
        <w:rPr>
          <w:rFonts w:ascii="Times New Roman" w:hAnsi="Times New Roman" w:cs="Times New Roman"/>
          <w:sz w:val="28"/>
          <w:szCs w:val="28"/>
          <w:lang w:val="uk-UA"/>
        </w:rPr>
        <w:t>Гаррідо</w:t>
      </w:r>
      <w:proofErr w:type="spellEnd"/>
      <w:r w:rsidRPr="005F0419">
        <w:rPr>
          <w:rFonts w:ascii="Times New Roman" w:hAnsi="Times New Roman" w:cs="Times New Roman"/>
          <w:sz w:val="28"/>
          <w:szCs w:val="28"/>
          <w:lang w:val="uk-UA"/>
        </w:rPr>
        <w:t xml:space="preserve"> А., Ендрю Р.М., </w:t>
      </w:r>
      <w:proofErr w:type="spellStart"/>
      <w:r w:rsidRPr="005F0419">
        <w:rPr>
          <w:rFonts w:ascii="Times New Roman" w:hAnsi="Times New Roman" w:cs="Times New Roman"/>
          <w:sz w:val="28"/>
          <w:szCs w:val="28"/>
          <w:lang w:val="uk-UA"/>
        </w:rPr>
        <w:t>Лламас</w:t>
      </w:r>
      <w:proofErr w:type="spellEnd"/>
      <w:r w:rsidRPr="005F0419">
        <w:rPr>
          <w:rFonts w:ascii="Times New Roman" w:hAnsi="Times New Roman" w:cs="Times New Roman"/>
          <w:sz w:val="28"/>
          <w:szCs w:val="28"/>
          <w:lang w:val="uk-UA"/>
        </w:rPr>
        <w:t xml:space="preserve"> Р., </w:t>
      </w:r>
      <w:proofErr w:type="spellStart"/>
      <w:r w:rsidRPr="005F0419">
        <w:rPr>
          <w:rFonts w:ascii="Times New Roman" w:hAnsi="Times New Roman" w:cs="Times New Roman"/>
          <w:sz w:val="28"/>
          <w:szCs w:val="28"/>
          <w:lang w:val="uk-UA"/>
        </w:rPr>
        <w:t>Хубачек</w:t>
      </w:r>
      <w:proofErr w:type="spellEnd"/>
      <w:r w:rsidRPr="005F0419">
        <w:rPr>
          <w:rFonts w:ascii="Times New Roman" w:hAnsi="Times New Roman" w:cs="Times New Roman"/>
          <w:sz w:val="28"/>
          <w:szCs w:val="28"/>
          <w:lang w:val="uk-UA"/>
        </w:rPr>
        <w:t xml:space="preserve"> К., Шан Ю., </w:t>
      </w:r>
      <w:proofErr w:type="spellStart"/>
      <w:r w:rsidRPr="005F0419">
        <w:rPr>
          <w:rFonts w:ascii="Times New Roman" w:hAnsi="Times New Roman" w:cs="Times New Roman"/>
          <w:sz w:val="28"/>
          <w:szCs w:val="28"/>
          <w:lang w:val="uk-UA"/>
        </w:rPr>
        <w:t>Болтон</w:t>
      </w:r>
      <w:proofErr w:type="spellEnd"/>
      <w:r w:rsidRPr="005F0419">
        <w:rPr>
          <w:rFonts w:ascii="Times New Roman" w:hAnsi="Times New Roman" w:cs="Times New Roman"/>
          <w:sz w:val="28"/>
          <w:szCs w:val="28"/>
          <w:lang w:val="uk-UA"/>
        </w:rPr>
        <w:t xml:space="preserve"> Л., </w:t>
      </w:r>
      <w:proofErr w:type="spellStart"/>
      <w:r w:rsidRPr="005F0419">
        <w:rPr>
          <w:rFonts w:ascii="Times New Roman" w:hAnsi="Times New Roman" w:cs="Times New Roman"/>
          <w:sz w:val="28"/>
          <w:szCs w:val="28"/>
          <w:lang w:val="uk-UA"/>
        </w:rPr>
        <w:t>Орр</w:t>
      </w:r>
      <w:proofErr w:type="spellEnd"/>
      <w:r w:rsidRPr="005F0419">
        <w:rPr>
          <w:rFonts w:ascii="Times New Roman" w:hAnsi="Times New Roman" w:cs="Times New Roman"/>
          <w:sz w:val="28"/>
          <w:szCs w:val="28"/>
          <w:lang w:val="uk-UA"/>
        </w:rPr>
        <w:t xml:space="preserve"> С., Чен З.-М., </w:t>
      </w:r>
      <w:proofErr w:type="spellStart"/>
      <w:r w:rsidRPr="005F0419">
        <w:rPr>
          <w:rFonts w:ascii="Times New Roman" w:hAnsi="Times New Roman" w:cs="Times New Roman"/>
          <w:sz w:val="28"/>
          <w:szCs w:val="28"/>
          <w:lang w:val="uk-UA"/>
        </w:rPr>
        <w:t>Деніелс</w:t>
      </w:r>
      <w:proofErr w:type="spellEnd"/>
      <w:r w:rsidRPr="005F0419">
        <w:rPr>
          <w:rFonts w:ascii="Times New Roman" w:hAnsi="Times New Roman" w:cs="Times New Roman"/>
          <w:sz w:val="28"/>
          <w:szCs w:val="28"/>
          <w:lang w:val="uk-UA"/>
        </w:rPr>
        <w:t xml:space="preserve"> П.Л., </w:t>
      </w:r>
      <w:proofErr w:type="spellStart"/>
      <w:r w:rsidRPr="005F0419">
        <w:rPr>
          <w:rFonts w:ascii="Times New Roman" w:hAnsi="Times New Roman" w:cs="Times New Roman"/>
          <w:sz w:val="28"/>
          <w:szCs w:val="28"/>
          <w:lang w:val="uk-UA"/>
        </w:rPr>
        <w:t>Ленцен</w:t>
      </w:r>
      <w:proofErr w:type="spellEnd"/>
      <w:r w:rsidRPr="005F0419">
        <w:rPr>
          <w:rFonts w:ascii="Times New Roman" w:hAnsi="Times New Roman" w:cs="Times New Roman"/>
          <w:sz w:val="28"/>
          <w:szCs w:val="28"/>
          <w:lang w:val="uk-UA"/>
        </w:rPr>
        <w:t xml:space="preserve"> М., </w:t>
      </w:r>
      <w:proofErr w:type="spellStart"/>
      <w:r w:rsidRPr="005F0419">
        <w:rPr>
          <w:rFonts w:ascii="Times New Roman" w:hAnsi="Times New Roman" w:cs="Times New Roman"/>
          <w:sz w:val="28"/>
          <w:szCs w:val="28"/>
          <w:lang w:val="uk-UA"/>
        </w:rPr>
        <w:t>Кенвей</w:t>
      </w:r>
      <w:proofErr w:type="spellEnd"/>
      <w:r w:rsidRPr="005F0419">
        <w:rPr>
          <w:rFonts w:ascii="Times New Roman" w:hAnsi="Times New Roman" w:cs="Times New Roman"/>
          <w:sz w:val="28"/>
          <w:szCs w:val="28"/>
          <w:lang w:val="uk-UA"/>
        </w:rPr>
        <w:t xml:space="preserve"> С.Д., </w:t>
      </w:r>
      <w:proofErr w:type="spellStart"/>
      <w:r w:rsidRPr="005F0419">
        <w:rPr>
          <w:rFonts w:ascii="Times New Roman" w:hAnsi="Times New Roman" w:cs="Times New Roman"/>
          <w:sz w:val="28"/>
          <w:szCs w:val="28"/>
          <w:lang w:val="uk-UA"/>
        </w:rPr>
        <w:t>Дітценбахер</w:t>
      </w:r>
      <w:proofErr w:type="spellEnd"/>
      <w:r w:rsidRPr="005F0419">
        <w:rPr>
          <w:rFonts w:ascii="Times New Roman" w:hAnsi="Times New Roman" w:cs="Times New Roman"/>
          <w:sz w:val="28"/>
          <w:szCs w:val="28"/>
          <w:lang w:val="uk-UA"/>
        </w:rPr>
        <w:t xml:space="preserve"> Е., </w:t>
      </w:r>
      <w:proofErr w:type="spellStart"/>
      <w:r w:rsidRPr="005F0419">
        <w:rPr>
          <w:rFonts w:ascii="Times New Roman" w:hAnsi="Times New Roman" w:cs="Times New Roman"/>
          <w:sz w:val="28"/>
          <w:szCs w:val="28"/>
          <w:lang w:val="uk-UA"/>
        </w:rPr>
        <w:t>Діттріх</w:t>
      </w:r>
      <w:proofErr w:type="spellEnd"/>
      <w:r w:rsidRPr="005F0419">
        <w:rPr>
          <w:rFonts w:ascii="Times New Roman" w:hAnsi="Times New Roman" w:cs="Times New Roman"/>
          <w:sz w:val="28"/>
          <w:szCs w:val="28"/>
          <w:lang w:val="uk-UA"/>
        </w:rPr>
        <w:t xml:space="preserve"> М., </w:t>
      </w:r>
      <w:proofErr w:type="spellStart"/>
      <w:r w:rsidRPr="005F0419">
        <w:rPr>
          <w:rFonts w:ascii="Times New Roman" w:hAnsi="Times New Roman" w:cs="Times New Roman"/>
          <w:sz w:val="28"/>
          <w:szCs w:val="28"/>
          <w:lang w:val="uk-UA"/>
        </w:rPr>
        <w:t>Фейд</w:t>
      </w:r>
      <w:proofErr w:type="spellEnd"/>
      <w:r w:rsidRPr="005F0419">
        <w:rPr>
          <w:rFonts w:ascii="Times New Roman" w:hAnsi="Times New Roman" w:cs="Times New Roman"/>
          <w:sz w:val="28"/>
          <w:szCs w:val="28"/>
          <w:lang w:val="uk-UA"/>
        </w:rPr>
        <w:t xml:space="preserve"> М., </w:t>
      </w:r>
      <w:proofErr w:type="spellStart"/>
      <w:r w:rsidRPr="005F0419">
        <w:rPr>
          <w:rFonts w:ascii="Times New Roman" w:hAnsi="Times New Roman" w:cs="Times New Roman"/>
          <w:sz w:val="28"/>
          <w:szCs w:val="28"/>
          <w:lang w:val="uk-UA"/>
        </w:rPr>
        <w:t>Чапагін</w:t>
      </w:r>
      <w:proofErr w:type="spellEnd"/>
      <w:r w:rsidRPr="005F0419">
        <w:rPr>
          <w:rFonts w:ascii="Times New Roman" w:hAnsi="Times New Roman" w:cs="Times New Roman"/>
          <w:sz w:val="28"/>
          <w:szCs w:val="28"/>
          <w:lang w:val="uk-UA"/>
        </w:rPr>
        <w:t xml:space="preserve"> А., </w:t>
      </w:r>
      <w:proofErr w:type="spellStart"/>
      <w:r w:rsidRPr="005F0419">
        <w:rPr>
          <w:rFonts w:ascii="Times New Roman" w:hAnsi="Times New Roman" w:cs="Times New Roman"/>
          <w:sz w:val="28"/>
          <w:szCs w:val="28"/>
          <w:lang w:val="uk-UA"/>
        </w:rPr>
        <w:t>Муньос</w:t>
      </w:r>
      <w:proofErr w:type="spellEnd"/>
      <w:r w:rsidRPr="005F0419">
        <w:rPr>
          <w:rFonts w:ascii="Times New Roman" w:hAnsi="Times New Roman" w:cs="Times New Roman"/>
          <w:sz w:val="28"/>
          <w:szCs w:val="28"/>
          <w:lang w:val="uk-UA"/>
        </w:rPr>
        <w:t xml:space="preserve"> С., Пфістер С., </w:t>
      </w:r>
      <w:proofErr w:type="spellStart"/>
      <w:r w:rsidRPr="005F0419">
        <w:rPr>
          <w:rFonts w:ascii="Times New Roman" w:hAnsi="Times New Roman" w:cs="Times New Roman"/>
          <w:sz w:val="28"/>
          <w:szCs w:val="28"/>
          <w:lang w:val="uk-UA"/>
        </w:rPr>
        <w:t>Герат</w:t>
      </w:r>
      <w:proofErr w:type="spellEnd"/>
      <w:r w:rsidRPr="005F0419">
        <w:rPr>
          <w:rFonts w:ascii="Times New Roman" w:hAnsi="Times New Roman" w:cs="Times New Roman"/>
          <w:sz w:val="28"/>
          <w:szCs w:val="28"/>
          <w:lang w:val="uk-UA"/>
        </w:rPr>
        <w:t xml:space="preserve"> І., </w:t>
      </w:r>
      <w:proofErr w:type="spellStart"/>
      <w:r w:rsidRPr="005F0419">
        <w:rPr>
          <w:rFonts w:ascii="Times New Roman" w:hAnsi="Times New Roman" w:cs="Times New Roman"/>
          <w:sz w:val="28"/>
          <w:szCs w:val="28"/>
          <w:lang w:val="uk-UA"/>
        </w:rPr>
        <w:t>Вейдема</w:t>
      </w:r>
      <w:proofErr w:type="spellEnd"/>
      <w:r w:rsidRPr="005F0419">
        <w:rPr>
          <w:rFonts w:ascii="Times New Roman" w:hAnsi="Times New Roman" w:cs="Times New Roman"/>
          <w:sz w:val="28"/>
          <w:szCs w:val="28"/>
          <w:lang w:val="uk-UA"/>
        </w:rPr>
        <w:t xml:space="preserve"> Б., </w:t>
      </w:r>
      <w:proofErr w:type="spellStart"/>
      <w:r w:rsidRPr="005F0419">
        <w:rPr>
          <w:rFonts w:ascii="Times New Roman" w:hAnsi="Times New Roman" w:cs="Times New Roman"/>
          <w:sz w:val="28"/>
          <w:szCs w:val="28"/>
          <w:lang w:val="uk-UA"/>
        </w:rPr>
        <w:t>Хорн</w:t>
      </w:r>
      <w:proofErr w:type="spellEnd"/>
      <w:r w:rsidRPr="005F0419">
        <w:rPr>
          <w:rFonts w:ascii="Times New Roman" w:hAnsi="Times New Roman" w:cs="Times New Roman"/>
          <w:sz w:val="28"/>
          <w:szCs w:val="28"/>
          <w:lang w:val="uk-UA"/>
        </w:rPr>
        <w:t xml:space="preserve"> Д., </w:t>
      </w:r>
      <w:proofErr w:type="spellStart"/>
      <w:r w:rsidRPr="005F0419">
        <w:rPr>
          <w:rFonts w:ascii="Times New Roman" w:hAnsi="Times New Roman" w:cs="Times New Roman"/>
          <w:sz w:val="28"/>
          <w:szCs w:val="28"/>
          <w:lang w:val="uk-UA"/>
        </w:rPr>
        <w:t>Сінгх</w:t>
      </w:r>
      <w:proofErr w:type="spellEnd"/>
      <w:r w:rsidRPr="005F0419">
        <w:rPr>
          <w:rFonts w:ascii="Times New Roman" w:hAnsi="Times New Roman" w:cs="Times New Roman"/>
          <w:sz w:val="28"/>
          <w:szCs w:val="28"/>
          <w:lang w:val="uk-UA"/>
        </w:rPr>
        <w:t xml:space="preserve"> Р., </w:t>
      </w:r>
      <w:proofErr w:type="spellStart"/>
      <w:r w:rsidRPr="005F0419">
        <w:rPr>
          <w:rFonts w:ascii="Times New Roman" w:hAnsi="Times New Roman" w:cs="Times New Roman"/>
          <w:sz w:val="28"/>
          <w:szCs w:val="28"/>
          <w:lang w:val="uk-UA"/>
        </w:rPr>
        <w:t>Девіс</w:t>
      </w:r>
      <w:proofErr w:type="spellEnd"/>
      <w:r w:rsidRPr="005F0419">
        <w:rPr>
          <w:rFonts w:ascii="Times New Roman" w:hAnsi="Times New Roman" w:cs="Times New Roman"/>
          <w:sz w:val="28"/>
          <w:szCs w:val="28"/>
          <w:lang w:val="uk-UA"/>
        </w:rPr>
        <w:t xml:space="preserve"> С., </w:t>
      </w:r>
      <w:proofErr w:type="spellStart"/>
      <w:r w:rsidRPr="005F0419">
        <w:rPr>
          <w:rFonts w:ascii="Times New Roman" w:hAnsi="Times New Roman" w:cs="Times New Roman"/>
          <w:sz w:val="28"/>
          <w:szCs w:val="28"/>
          <w:lang w:val="uk-UA"/>
        </w:rPr>
        <w:t>Вуд</w:t>
      </w:r>
      <w:proofErr w:type="spellEnd"/>
      <w:r w:rsidRPr="005F0419">
        <w:rPr>
          <w:rFonts w:ascii="Times New Roman" w:hAnsi="Times New Roman" w:cs="Times New Roman"/>
          <w:sz w:val="28"/>
          <w:szCs w:val="28"/>
          <w:lang w:val="uk-UA"/>
        </w:rPr>
        <w:t xml:space="preserve"> Р., </w:t>
      </w:r>
      <w:proofErr w:type="spellStart"/>
      <w:r w:rsidRPr="005F0419">
        <w:rPr>
          <w:rFonts w:ascii="Times New Roman" w:hAnsi="Times New Roman" w:cs="Times New Roman"/>
          <w:sz w:val="28"/>
          <w:szCs w:val="28"/>
          <w:lang w:val="uk-UA"/>
        </w:rPr>
        <w:t>Сух</w:t>
      </w:r>
      <w:proofErr w:type="spellEnd"/>
      <w:r w:rsidRPr="005F0419">
        <w:rPr>
          <w:rFonts w:ascii="Times New Roman" w:hAnsi="Times New Roman" w:cs="Times New Roman"/>
          <w:sz w:val="28"/>
          <w:szCs w:val="28"/>
          <w:lang w:val="uk-UA"/>
        </w:rPr>
        <w:t xml:space="preserve"> С., Шмідт Д., Грін С., Галлі А., </w:t>
      </w:r>
      <w:proofErr w:type="spellStart"/>
      <w:r w:rsidRPr="005F0419">
        <w:rPr>
          <w:rFonts w:ascii="Times New Roman" w:hAnsi="Times New Roman" w:cs="Times New Roman"/>
          <w:sz w:val="28"/>
          <w:szCs w:val="28"/>
          <w:lang w:val="uk-UA"/>
        </w:rPr>
        <w:t>Макларен</w:t>
      </w:r>
      <w:proofErr w:type="spellEnd"/>
      <w:r w:rsidRPr="005F0419">
        <w:rPr>
          <w:rFonts w:ascii="Times New Roman" w:hAnsi="Times New Roman" w:cs="Times New Roman"/>
          <w:sz w:val="28"/>
          <w:szCs w:val="28"/>
          <w:lang w:val="uk-UA"/>
        </w:rPr>
        <w:t xml:space="preserve"> С., </w:t>
      </w:r>
      <w:proofErr w:type="spellStart"/>
      <w:r w:rsidRPr="005F0419">
        <w:rPr>
          <w:rFonts w:ascii="Times New Roman" w:hAnsi="Times New Roman" w:cs="Times New Roman"/>
          <w:sz w:val="28"/>
          <w:szCs w:val="28"/>
          <w:lang w:val="uk-UA"/>
        </w:rPr>
        <w:t>Дей</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К.Дж</w:t>
      </w:r>
      <w:proofErr w:type="spellEnd"/>
      <w:r w:rsidRPr="005F0419">
        <w:rPr>
          <w:rFonts w:ascii="Times New Roman" w:hAnsi="Times New Roman" w:cs="Times New Roman"/>
          <w:sz w:val="28"/>
          <w:szCs w:val="28"/>
          <w:lang w:val="uk-UA"/>
        </w:rPr>
        <w:t xml:space="preserve">.  та ін. [5-9]. </w:t>
      </w:r>
    </w:p>
    <w:p w14:paraId="339A30A8"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 наукових колах і статистиці за останні роки було представлено велику кількість </w:t>
      </w:r>
      <w:proofErr w:type="spellStart"/>
      <w:r w:rsidRPr="005F0419">
        <w:rPr>
          <w:rFonts w:ascii="Times New Roman" w:hAnsi="Times New Roman" w:cs="Times New Roman"/>
          <w:sz w:val="28"/>
          <w:szCs w:val="28"/>
          <w:lang w:val="uk-UA"/>
        </w:rPr>
        <w:t>методологій</w:t>
      </w:r>
      <w:proofErr w:type="spellEnd"/>
      <w:r w:rsidRPr="005F0419">
        <w:rPr>
          <w:rFonts w:ascii="Times New Roman" w:hAnsi="Times New Roman" w:cs="Times New Roman"/>
          <w:sz w:val="28"/>
          <w:szCs w:val="28"/>
          <w:lang w:val="uk-UA"/>
        </w:rPr>
        <w:t xml:space="preserve"> щодо показника «слід», пов’язаних з екологічними та водними ресурсами, споживанням продовольства, викидами в атмосферу </w:t>
      </w:r>
      <w:r w:rsidRPr="005F0419">
        <w:rPr>
          <w:rFonts w:ascii="Times New Roman" w:hAnsi="Times New Roman" w:cs="Times New Roman"/>
          <w:sz w:val="28"/>
          <w:szCs w:val="28"/>
          <w:lang w:val="uk-UA"/>
        </w:rPr>
        <w:lastRenderedPageBreak/>
        <w:t>парникових газів тощо. Однак досі не існує узгодженої методології для розрахунку цих показників у контексті ефективності використання ресурсів. Крім того, доступність і якість даних для розрахунку різних індикаторів сліду варіюється в залежності від методології, методів підрахунку щодо різних ресурсів НПС.</w:t>
      </w:r>
    </w:p>
    <w:p w14:paraId="3D49638A" w14:textId="382CCFC0" w:rsidR="00B73EC5" w:rsidRPr="005F0419" w:rsidRDefault="00B73EC5" w:rsidP="00B73EC5">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sz w:val="28"/>
          <w:szCs w:val="28"/>
          <w:lang w:val="uk-UA"/>
        </w:rPr>
        <w:t xml:space="preserve">Термін «слід» був вперше введений В. Ріс та М. </w:t>
      </w:r>
      <w:proofErr w:type="spellStart"/>
      <w:r w:rsidRPr="005F0419">
        <w:rPr>
          <w:rFonts w:ascii="Times New Roman" w:hAnsi="Times New Roman" w:cs="Times New Roman"/>
          <w:bCs/>
          <w:sz w:val="28"/>
          <w:szCs w:val="28"/>
          <w:lang w:val="uk-UA"/>
        </w:rPr>
        <w:t>Вакернагель</w:t>
      </w:r>
      <w:proofErr w:type="spellEnd"/>
      <w:r w:rsidRPr="005F0419">
        <w:rPr>
          <w:rFonts w:ascii="Times New Roman" w:hAnsi="Times New Roman" w:cs="Times New Roman"/>
          <w:bCs/>
          <w:sz w:val="28"/>
          <w:szCs w:val="28"/>
          <w:lang w:val="uk-UA"/>
        </w:rPr>
        <w:t xml:space="preserve"> на початку 1990-х років </w:t>
      </w:r>
      <w:r w:rsidRPr="005F0419">
        <w:rPr>
          <w:rFonts w:ascii="Times New Roman" w:hAnsi="Times New Roman" w:cs="Times New Roman"/>
          <w:sz w:val="28"/>
          <w:szCs w:val="28"/>
          <w:lang w:val="uk-UA"/>
        </w:rPr>
        <w:t>[10],</w:t>
      </w:r>
      <w:r w:rsidRPr="005F0419">
        <w:rPr>
          <w:rFonts w:ascii="Times New Roman" w:hAnsi="Times New Roman" w:cs="Times New Roman"/>
          <w:bCs/>
          <w:sz w:val="28"/>
          <w:szCs w:val="28"/>
          <w:lang w:val="uk-UA"/>
        </w:rPr>
        <w:t xml:space="preserve"> коли вперше був представлений показник «екологічний слід» </w:t>
      </w:r>
      <w:r w:rsidRPr="005F0419">
        <w:rPr>
          <w:rFonts w:ascii="Times New Roman" w:hAnsi="Times New Roman" w:cs="Times New Roman"/>
          <w:sz w:val="28"/>
          <w:szCs w:val="28"/>
          <w:lang w:val="uk-UA"/>
        </w:rPr>
        <w:t xml:space="preserve">для кількісного визначення біологічної продуктивності території, необхідної для асиміляції відходів у глобальному чи національному масштабах [11, 12]. </w:t>
      </w:r>
    </w:p>
    <w:p w14:paraId="437C7C0D" w14:textId="77777777" w:rsidR="00B73EC5" w:rsidRPr="005F0419" w:rsidRDefault="00B73EC5" w:rsidP="00B73EC5">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Після його появи термін «слід» був використаний великою кількістю інших концепцій екологічного обліку (глобальна кліматична політика щодо парникових газів в масштабах світу) [13]. Зовсім недавно термін «слід» також був введений для показників, орієнтованих на споживання води, матеріалів і загального впливу продуктів на НПС. </w:t>
      </w:r>
    </w:p>
    <w:p w14:paraId="19AFCD2D" w14:textId="77777777" w:rsidR="00B73EC5" w:rsidRPr="005F0419" w:rsidRDefault="00B73EC5" w:rsidP="00B73EC5">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Екологічний слід – це зведений показник, який ілюструє загальну кількість, наприклад, земель і води, необхідних людині, населенню чи виду діяльності для виробництва всіх ресурсів, які вони споживають, і для поглинання відходів, які вони утворюють [14]. Екологічний слід, як правило, базується на споживанні, тобто включає всі території для задоволення споживання в певній країні, включно з тими, що втілені в міжнародній торгівлі. Облік екологічного сліду враховує: простір для виробництва сировини (сільськогосподарські культури, якість земельних ресурсів тощо); територію для поглинання парникових газів;</w:t>
      </w:r>
      <w:r w:rsidRPr="005F0419">
        <w:rPr>
          <w:rFonts w:ascii="Times New Roman" w:hAnsi="Times New Roman" w:cs="Times New Roman"/>
          <w:sz w:val="28"/>
          <w:szCs w:val="28"/>
          <w:vertAlign w:val="subscript"/>
          <w:lang w:val="uk-UA"/>
        </w:rPr>
        <w:t xml:space="preserve"> </w:t>
      </w:r>
      <w:r w:rsidRPr="005F0419">
        <w:rPr>
          <w:rFonts w:ascii="Times New Roman" w:hAnsi="Times New Roman" w:cs="Times New Roman"/>
          <w:sz w:val="28"/>
          <w:szCs w:val="28"/>
          <w:lang w:val="uk-UA"/>
        </w:rPr>
        <w:t>водні артерії для розбавлення й очищення стічних вод тощо.</w:t>
      </w:r>
    </w:p>
    <w:p w14:paraId="085EF1A5"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Зростання чисельності населення та економічного доходу змушує нас розглядати земельний слід, як важливий чинник збалансованого розвитку суспільства [</w:t>
      </w:r>
      <w:r w:rsidRPr="005F0419">
        <w:rPr>
          <w:rFonts w:ascii="Times New Roman" w:eastAsia="Times New Roman" w:hAnsi="Times New Roman" w:cs="Times New Roman"/>
          <w:kern w:val="36"/>
          <w:sz w:val="28"/>
          <w:szCs w:val="28"/>
          <w:lang w:val="uk-UA" w:eastAsia="uk-UA"/>
        </w:rPr>
        <w:t>15]</w:t>
      </w:r>
      <w:r w:rsidRPr="005F0419">
        <w:rPr>
          <w:rFonts w:ascii="Times New Roman" w:hAnsi="Times New Roman" w:cs="Times New Roman"/>
          <w:sz w:val="28"/>
          <w:szCs w:val="28"/>
          <w:lang w:val="uk-UA"/>
        </w:rPr>
        <w:t xml:space="preserve">. Понад 75% суші Землі (за винятком Гренландії та Антарктиди) вже використовується людьми. Землекористування коливається від дуже інтенсивного до дуже екстенсивного. Приблизно 1% землі використовується в якості інфраструктури та міських територій, 10-12% використовується як орні землі, 26% використовується як лісові землі, і від 23% </w:t>
      </w:r>
      <w:r w:rsidRPr="005F0419">
        <w:rPr>
          <w:rFonts w:ascii="Times New Roman" w:eastAsia="Times New Roman" w:hAnsi="Times New Roman" w:cs="Times New Roman"/>
          <w:kern w:val="36"/>
          <w:sz w:val="28"/>
          <w:szCs w:val="28"/>
          <w:lang w:val="uk-UA" w:eastAsia="uk-UA"/>
        </w:rPr>
        <w:t xml:space="preserve"> </w:t>
      </w:r>
      <w:r w:rsidRPr="005F0419">
        <w:rPr>
          <w:rFonts w:ascii="Times New Roman" w:hAnsi="Times New Roman" w:cs="Times New Roman"/>
          <w:sz w:val="28"/>
          <w:szCs w:val="28"/>
          <w:lang w:val="uk-UA"/>
        </w:rPr>
        <w:t xml:space="preserve">до 36% використовується </w:t>
      </w:r>
      <w:r w:rsidRPr="005F0419">
        <w:rPr>
          <w:rFonts w:ascii="Times New Roman" w:hAnsi="Times New Roman" w:cs="Times New Roman"/>
          <w:sz w:val="28"/>
          <w:szCs w:val="28"/>
          <w:lang w:val="uk-UA"/>
        </w:rPr>
        <w:lastRenderedPageBreak/>
        <w:t>як пасовище. Близько половини земель, що залишилися, є непродуктивними або вкриті скелями, снігом або пустелями. Інша половина включає незаймані ліси (4,6% від загальної площі), включаючи тропічні ліси [16</w:t>
      </w:r>
      <w:r w:rsidRPr="005F0419">
        <w:rPr>
          <w:rFonts w:ascii="Times New Roman" w:eastAsia="Times New Roman" w:hAnsi="Times New Roman" w:cs="Times New Roman"/>
          <w:kern w:val="36"/>
          <w:sz w:val="28"/>
          <w:szCs w:val="28"/>
          <w:lang w:val="uk-UA" w:eastAsia="uk-UA"/>
        </w:rPr>
        <w:t>]</w:t>
      </w:r>
      <w:r w:rsidRPr="005F0419">
        <w:rPr>
          <w:rFonts w:ascii="Times New Roman" w:hAnsi="Times New Roman" w:cs="Times New Roman"/>
          <w:sz w:val="28"/>
          <w:szCs w:val="28"/>
          <w:lang w:val="uk-UA"/>
        </w:rPr>
        <w:t>.</w:t>
      </w:r>
    </w:p>
    <w:p w14:paraId="3D69068E"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Крім того, Європа є континентом, який найбільше залежить від імпорту землі. Майже 60% земель, які використовуються для задоволення попиту Європи на сільськогосподарську та лісову продукцію, надходять з-за меж континенту. Площа сільськогосподарських угідь у ЄС‐27 у 2021 році становила близько 187 млн га, включаючи орні землі (приблизно 119 млн га) та постійні луки та пасовища для випасу (приблизно 67 млн га). У межах ЄС‐27 внутрішні сільськогосподарські площі та орні землі зменшилися з 2000 по 2021 рік на 6,2 млн га (‐3,2%) і 2,4 млн га (‐6,6%) відповідно. </w:t>
      </w:r>
    </w:p>
    <w:p w14:paraId="012D5799"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ЄС вже сьогодні є «чистим імпортером». Зокрема, шість із 10 країн, які найбільше імпортують продукцію через показник «віртуальна земля», є – Німеччина, Великобританія, Італія, Франція, Нідерланди та Іспанія. Німеччина та Великобританія імпортують майже 80 мільйонів гектарів на рік [17</w:t>
      </w:r>
      <w:r w:rsidRPr="005F0419">
        <w:rPr>
          <w:rFonts w:ascii="Times New Roman" w:eastAsia="Times New Roman" w:hAnsi="Times New Roman" w:cs="Times New Roman"/>
          <w:kern w:val="36"/>
          <w:sz w:val="28"/>
          <w:szCs w:val="28"/>
          <w:lang w:val="uk-UA" w:eastAsia="uk-UA"/>
        </w:rPr>
        <w:t>]</w:t>
      </w:r>
      <w:r w:rsidRPr="005F0419">
        <w:rPr>
          <w:rFonts w:ascii="Times New Roman" w:hAnsi="Times New Roman" w:cs="Times New Roman"/>
          <w:sz w:val="28"/>
          <w:szCs w:val="28"/>
          <w:lang w:val="uk-UA"/>
        </w:rPr>
        <w:t>. Порівняно з доступною кількістю орних земель у світі на душу населення,  ЄС використовує приблизно на одну третину більше, ніж у середньому по світу. Так, середнє споживання землі в ЄС становить 1,3 га на душу населення, тоді як у таких країнах, як Китай та Індія, використовується менше 0,4 га на душу населення.</w:t>
      </w:r>
    </w:p>
    <w:p w14:paraId="43862C2C" w14:textId="77777777" w:rsidR="00B73EC5" w:rsidRPr="005F0419" w:rsidRDefault="00B73EC5" w:rsidP="00B73EC5">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bCs/>
          <w:sz w:val="28"/>
          <w:szCs w:val="28"/>
          <w:lang w:val="uk-UA"/>
        </w:rPr>
        <w:t xml:space="preserve">«Земельний» слід зазвичай оцінює ті площі землі, які прямо чи опосередковано необхідні для задоволення споживання або конкретного продукту, або загального споживання. Це потужний метод ілюстрації залежності місцевих територій (регіонів або країн) від іноземної землі, яка втілюється в імпорті та експорті («віртуальна земля») </w:t>
      </w:r>
      <w:r w:rsidRPr="005F0419">
        <w:rPr>
          <w:rFonts w:ascii="Times New Roman" w:hAnsi="Times New Roman" w:cs="Times New Roman"/>
          <w:sz w:val="28"/>
          <w:szCs w:val="28"/>
          <w:lang w:val="uk-UA"/>
        </w:rPr>
        <w:t>[</w:t>
      </w:r>
      <w:r w:rsidRPr="005F0419">
        <w:rPr>
          <w:rFonts w:ascii="Times New Roman" w:eastAsia="Times New Roman" w:hAnsi="Times New Roman" w:cs="Times New Roman"/>
          <w:kern w:val="36"/>
          <w:sz w:val="28"/>
          <w:szCs w:val="28"/>
          <w:lang w:val="uk-UA" w:eastAsia="uk-UA"/>
        </w:rPr>
        <w:t>18]</w:t>
      </w:r>
      <w:r w:rsidRPr="005F0419">
        <w:rPr>
          <w:rFonts w:ascii="Times New Roman" w:hAnsi="Times New Roman" w:cs="Times New Roman"/>
          <w:bCs/>
          <w:sz w:val="28"/>
          <w:szCs w:val="28"/>
          <w:lang w:val="uk-UA"/>
        </w:rPr>
        <w:t xml:space="preserve">. </w:t>
      </w:r>
    </w:p>
    <w:p w14:paraId="0D59788B" w14:textId="77777777" w:rsidR="00B73EC5" w:rsidRPr="005F0419" w:rsidRDefault="00B73EC5" w:rsidP="00B73EC5">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bCs/>
          <w:sz w:val="28"/>
          <w:szCs w:val="28"/>
          <w:lang w:val="uk-UA"/>
        </w:rPr>
        <w:t>Інше визначення та використання земельного сліду полягає в тому, що він еквівалентний екологічному сліду без урахування землі для поглинання вуглецю, оскільки це безпосередньо пов’язано з викидами CO</w:t>
      </w:r>
      <w:r w:rsidRPr="005F0419">
        <w:rPr>
          <w:rFonts w:ascii="Times New Roman" w:hAnsi="Times New Roman" w:cs="Times New Roman"/>
          <w:bCs/>
          <w:sz w:val="28"/>
          <w:szCs w:val="28"/>
          <w:vertAlign w:val="subscript"/>
          <w:lang w:val="uk-UA"/>
        </w:rPr>
        <w:t>2</w:t>
      </w:r>
      <w:r w:rsidRPr="005F0419">
        <w:rPr>
          <w:rFonts w:ascii="Times New Roman" w:hAnsi="Times New Roman" w:cs="Times New Roman"/>
          <w:bCs/>
          <w:sz w:val="28"/>
          <w:szCs w:val="28"/>
          <w:lang w:val="uk-UA"/>
        </w:rPr>
        <w:t xml:space="preserve">, які вже вловлені  </w:t>
      </w:r>
      <w:r w:rsidRPr="005F0419">
        <w:rPr>
          <w:rFonts w:ascii="Times New Roman" w:hAnsi="Times New Roman" w:cs="Times New Roman"/>
          <w:sz w:val="28"/>
          <w:szCs w:val="28"/>
          <w:lang w:val="uk-UA"/>
        </w:rPr>
        <w:t>[19</w:t>
      </w:r>
      <w:r w:rsidRPr="005F0419">
        <w:rPr>
          <w:rFonts w:ascii="Times New Roman" w:eastAsia="Times New Roman" w:hAnsi="Times New Roman" w:cs="Times New Roman"/>
          <w:kern w:val="36"/>
          <w:sz w:val="28"/>
          <w:szCs w:val="28"/>
          <w:lang w:val="uk-UA" w:eastAsia="uk-UA"/>
        </w:rPr>
        <w:t>]</w:t>
      </w:r>
      <w:r w:rsidRPr="005F0419">
        <w:rPr>
          <w:rFonts w:ascii="Times New Roman" w:hAnsi="Times New Roman" w:cs="Times New Roman"/>
          <w:bCs/>
          <w:sz w:val="28"/>
          <w:szCs w:val="28"/>
          <w:lang w:val="uk-UA"/>
        </w:rPr>
        <w:t xml:space="preserve">. Крім того, він визначається як кількість біологічно продуктивної землі, необхідної для задоволення споживання </w:t>
      </w:r>
      <w:r w:rsidRPr="005F0419">
        <w:rPr>
          <w:rFonts w:ascii="Times New Roman" w:hAnsi="Times New Roman" w:cs="Times New Roman"/>
          <w:sz w:val="28"/>
          <w:szCs w:val="28"/>
          <w:lang w:val="uk-UA"/>
        </w:rPr>
        <w:t>[20</w:t>
      </w:r>
      <w:r w:rsidRPr="005F0419">
        <w:rPr>
          <w:rFonts w:ascii="Times New Roman" w:eastAsia="Times New Roman" w:hAnsi="Times New Roman" w:cs="Times New Roman"/>
          <w:kern w:val="36"/>
          <w:sz w:val="28"/>
          <w:szCs w:val="28"/>
          <w:lang w:val="uk-UA" w:eastAsia="uk-UA"/>
        </w:rPr>
        <w:t>]</w:t>
      </w:r>
      <w:r w:rsidRPr="005F0419">
        <w:rPr>
          <w:rFonts w:ascii="Times New Roman" w:hAnsi="Times New Roman" w:cs="Times New Roman"/>
          <w:bCs/>
          <w:sz w:val="28"/>
          <w:szCs w:val="28"/>
          <w:lang w:val="uk-UA"/>
        </w:rPr>
        <w:t xml:space="preserve">. Наразі не існує узгодженого </w:t>
      </w:r>
      <w:r w:rsidRPr="005F0419">
        <w:rPr>
          <w:rFonts w:ascii="Times New Roman" w:hAnsi="Times New Roman" w:cs="Times New Roman"/>
          <w:bCs/>
          <w:sz w:val="28"/>
          <w:szCs w:val="28"/>
          <w:lang w:val="uk-UA"/>
        </w:rPr>
        <w:lastRenderedPageBreak/>
        <w:t xml:space="preserve">визначення земельного сліду </w:t>
      </w:r>
      <w:r w:rsidRPr="005F0419">
        <w:rPr>
          <w:rFonts w:ascii="Times New Roman" w:hAnsi="Times New Roman" w:cs="Times New Roman"/>
          <w:sz w:val="28"/>
          <w:szCs w:val="28"/>
          <w:lang w:val="uk-UA"/>
        </w:rPr>
        <w:t>[</w:t>
      </w:r>
      <w:r w:rsidRPr="005F0419">
        <w:rPr>
          <w:rFonts w:ascii="Times New Roman" w:eastAsia="Times New Roman" w:hAnsi="Times New Roman" w:cs="Times New Roman"/>
          <w:kern w:val="36"/>
          <w:sz w:val="28"/>
          <w:szCs w:val="28"/>
          <w:lang w:val="uk-UA" w:eastAsia="uk-UA"/>
        </w:rPr>
        <w:t>15]</w:t>
      </w:r>
      <w:r w:rsidRPr="005F0419">
        <w:rPr>
          <w:rFonts w:ascii="Times New Roman" w:hAnsi="Times New Roman" w:cs="Times New Roman"/>
          <w:bCs/>
          <w:sz w:val="28"/>
          <w:szCs w:val="28"/>
          <w:lang w:val="uk-UA"/>
        </w:rPr>
        <w:t>. Важливо зазначити, що підходи визначення земельного сліду відрізняються від розрахунків екологічного сліду, оскільки не застосовується зважування земельних площ за різною біологічною продуктивністю.</w:t>
      </w:r>
    </w:p>
    <w:p w14:paraId="3C72224C" w14:textId="11741856"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Порівняно з концепцією слідів, яка об’єднує різні ресурси в один спільний знаменник, термін «віртуальна земля» конкретно стосується земельних ресурсів, відображених у міжнародній торгівлі. Л. </w:t>
      </w:r>
      <w:proofErr w:type="spellStart"/>
      <w:r w:rsidRPr="005F0419">
        <w:rPr>
          <w:rFonts w:ascii="Times New Roman" w:hAnsi="Times New Roman" w:cs="Times New Roman"/>
          <w:sz w:val="28"/>
          <w:szCs w:val="28"/>
          <w:lang w:val="uk-UA"/>
        </w:rPr>
        <w:t>Вюртенбергер</w:t>
      </w:r>
      <w:proofErr w:type="spellEnd"/>
      <w:r w:rsidRPr="005F0419">
        <w:rPr>
          <w:rFonts w:ascii="Times New Roman" w:hAnsi="Times New Roman" w:cs="Times New Roman"/>
          <w:sz w:val="28"/>
          <w:szCs w:val="28"/>
          <w:lang w:val="uk-UA"/>
        </w:rPr>
        <w:t xml:space="preserve"> та ін. [</w:t>
      </w:r>
      <w:r w:rsidRPr="005F0419">
        <w:rPr>
          <w:rFonts w:ascii="Times New Roman" w:eastAsia="Times New Roman" w:hAnsi="Times New Roman" w:cs="Times New Roman"/>
          <w:kern w:val="36"/>
          <w:sz w:val="28"/>
          <w:szCs w:val="28"/>
          <w:lang w:val="uk-UA" w:eastAsia="uk-UA"/>
        </w:rPr>
        <w:t xml:space="preserve">21] </w:t>
      </w:r>
      <w:r w:rsidRPr="005F0419">
        <w:rPr>
          <w:rFonts w:ascii="Times New Roman" w:hAnsi="Times New Roman" w:cs="Times New Roman"/>
          <w:sz w:val="28"/>
          <w:szCs w:val="28"/>
          <w:lang w:val="uk-UA"/>
        </w:rPr>
        <w:t>визначив віртуальну землю як продуктивні площі, приховані в імпортованих або експортованих сільськогосподарських товарах. Концепцію віртуальної землі варто застосовувати для того, щоб проілюструвати земельні ресурси, які пов’язані з торговими потоками.</w:t>
      </w:r>
    </w:p>
    <w:p w14:paraId="019A8120" w14:textId="7A79D84A"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К. </w:t>
      </w:r>
      <w:proofErr w:type="spellStart"/>
      <w:r w:rsidRPr="005F0419">
        <w:rPr>
          <w:rFonts w:ascii="Times New Roman" w:hAnsi="Times New Roman" w:cs="Times New Roman"/>
          <w:sz w:val="28"/>
          <w:szCs w:val="28"/>
          <w:lang w:val="uk-UA"/>
        </w:rPr>
        <w:t>Ерб</w:t>
      </w:r>
      <w:proofErr w:type="spellEnd"/>
      <w:r w:rsidRPr="005F0419">
        <w:rPr>
          <w:rFonts w:ascii="Times New Roman" w:hAnsi="Times New Roman" w:cs="Times New Roman"/>
          <w:sz w:val="28"/>
          <w:szCs w:val="28"/>
          <w:lang w:val="uk-UA"/>
        </w:rPr>
        <w:t xml:space="preserve"> використовував показник урожайності для окремих країн, щоб встановити фактичний попит на землю в Австрії, і показати, що протягом періоду 1926–2000 рр. Австрія була </w:t>
      </w:r>
      <w:proofErr w:type="spellStart"/>
      <w:r w:rsidRPr="005F0419">
        <w:rPr>
          <w:rFonts w:ascii="Times New Roman" w:hAnsi="Times New Roman" w:cs="Times New Roman"/>
          <w:sz w:val="28"/>
          <w:szCs w:val="28"/>
          <w:lang w:val="uk-UA"/>
        </w:rPr>
        <w:t>нетто</w:t>
      </w:r>
      <w:proofErr w:type="spellEnd"/>
      <w:r w:rsidRPr="005F0419">
        <w:rPr>
          <w:rFonts w:ascii="Times New Roman" w:hAnsi="Times New Roman" w:cs="Times New Roman"/>
          <w:sz w:val="28"/>
          <w:szCs w:val="28"/>
          <w:lang w:val="uk-UA"/>
        </w:rPr>
        <w:t>-імпортером орних земель [22</w:t>
      </w:r>
      <w:r w:rsidRPr="005F0419">
        <w:rPr>
          <w:rFonts w:ascii="Times New Roman" w:eastAsia="Times New Roman" w:hAnsi="Times New Roman" w:cs="Times New Roman"/>
          <w:kern w:val="36"/>
          <w:sz w:val="28"/>
          <w:szCs w:val="28"/>
          <w:lang w:val="uk-UA" w:eastAsia="uk-UA"/>
        </w:rPr>
        <w:t>]</w:t>
      </w:r>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М.Кіссінджер</w:t>
      </w:r>
      <w:proofErr w:type="spellEnd"/>
      <w:r w:rsidRPr="005F0419">
        <w:rPr>
          <w:rFonts w:ascii="Times New Roman" w:hAnsi="Times New Roman" w:cs="Times New Roman"/>
          <w:sz w:val="28"/>
          <w:szCs w:val="28"/>
          <w:lang w:val="uk-UA"/>
        </w:rPr>
        <w:t xml:space="preserve"> і В. </w:t>
      </w:r>
      <w:proofErr w:type="spellStart"/>
      <w:r w:rsidRPr="005F0419">
        <w:rPr>
          <w:rFonts w:ascii="Times New Roman" w:hAnsi="Times New Roman" w:cs="Times New Roman"/>
          <w:sz w:val="28"/>
          <w:szCs w:val="28"/>
          <w:lang w:val="uk-UA"/>
        </w:rPr>
        <w:t>Рі</w:t>
      </w:r>
      <w:proofErr w:type="spellEnd"/>
      <w:r w:rsidRPr="005F0419">
        <w:rPr>
          <w:rFonts w:ascii="Times New Roman" w:hAnsi="Times New Roman" w:cs="Times New Roman"/>
          <w:sz w:val="28"/>
          <w:szCs w:val="28"/>
          <w:lang w:val="uk-UA"/>
        </w:rPr>
        <w:t xml:space="preserve"> визначив продуктивні землі, втілені в імпорті США протягом 1995–2005 років, і виявив, що в глобалізаційному світі навіть у країнах, які здатні задовольнити більшість своїх потреб, зростає залежність та вплив на зовнішні наземні екосистеми [</w:t>
      </w:r>
      <w:r w:rsidRPr="005F0419">
        <w:rPr>
          <w:rFonts w:ascii="Times New Roman" w:eastAsia="Times New Roman" w:hAnsi="Times New Roman" w:cs="Times New Roman"/>
          <w:kern w:val="36"/>
          <w:sz w:val="28"/>
          <w:szCs w:val="28"/>
          <w:lang w:val="uk-UA" w:eastAsia="uk-UA"/>
        </w:rPr>
        <w:t>23]</w:t>
      </w:r>
      <w:r w:rsidRPr="005F0419">
        <w:rPr>
          <w:rFonts w:ascii="Times New Roman" w:hAnsi="Times New Roman" w:cs="Times New Roman"/>
          <w:sz w:val="28"/>
          <w:szCs w:val="28"/>
          <w:lang w:val="uk-UA"/>
        </w:rPr>
        <w:t xml:space="preserve">. М. </w:t>
      </w:r>
      <w:proofErr w:type="spellStart"/>
      <w:r w:rsidRPr="005F0419">
        <w:rPr>
          <w:rFonts w:ascii="Times New Roman" w:hAnsi="Times New Roman" w:cs="Times New Roman"/>
          <w:sz w:val="28"/>
          <w:szCs w:val="28"/>
          <w:lang w:val="uk-UA"/>
        </w:rPr>
        <w:t>Фейдер</w:t>
      </w:r>
      <w:proofErr w:type="spellEnd"/>
      <w:r w:rsidRPr="005F0419">
        <w:rPr>
          <w:rFonts w:ascii="Times New Roman" w:hAnsi="Times New Roman" w:cs="Times New Roman"/>
          <w:sz w:val="28"/>
          <w:szCs w:val="28"/>
          <w:lang w:val="uk-UA"/>
        </w:rPr>
        <w:t xml:space="preserve"> кількісно обчислив баланс віртуальних земель у міжнародній торгівлі сільськогосподарськими культурами та визначили, що США, Канада, Аргентина та Австралія є </w:t>
      </w:r>
      <w:proofErr w:type="spellStart"/>
      <w:r w:rsidRPr="005F0419">
        <w:rPr>
          <w:rFonts w:ascii="Times New Roman" w:hAnsi="Times New Roman" w:cs="Times New Roman"/>
          <w:sz w:val="28"/>
          <w:szCs w:val="28"/>
          <w:lang w:val="uk-UA"/>
        </w:rPr>
        <w:t>нетто</w:t>
      </w:r>
      <w:proofErr w:type="spellEnd"/>
      <w:r w:rsidRPr="005F0419">
        <w:rPr>
          <w:rFonts w:ascii="Times New Roman" w:hAnsi="Times New Roman" w:cs="Times New Roman"/>
          <w:sz w:val="28"/>
          <w:szCs w:val="28"/>
          <w:lang w:val="uk-UA"/>
        </w:rPr>
        <w:t>-експортерами віртуальної землі [</w:t>
      </w:r>
      <w:r w:rsidRPr="005F0419">
        <w:rPr>
          <w:rFonts w:ascii="Times New Roman" w:eastAsia="Times New Roman" w:hAnsi="Times New Roman" w:cs="Times New Roman"/>
          <w:kern w:val="36"/>
          <w:sz w:val="28"/>
          <w:szCs w:val="28"/>
          <w:lang w:val="uk-UA" w:eastAsia="uk-UA"/>
        </w:rPr>
        <w:t>24]</w:t>
      </w:r>
      <w:r w:rsidRPr="005F0419">
        <w:rPr>
          <w:rFonts w:ascii="Times New Roman" w:hAnsi="Times New Roman" w:cs="Times New Roman"/>
          <w:sz w:val="28"/>
          <w:szCs w:val="28"/>
          <w:lang w:val="uk-UA"/>
        </w:rPr>
        <w:t>.</w:t>
      </w:r>
    </w:p>
    <w:p w14:paraId="1F584EFE"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Отже, методологія розрахунку національних земельних слідів використовує комбінацію даних про землекористування від Продовольчої та сільськогосподарської організації та даних про торгівлю товарами від Проекту аналізу глобальної торгівлі (GTAP) [</w:t>
      </w:r>
      <w:r w:rsidRPr="005F0419">
        <w:rPr>
          <w:rFonts w:ascii="Times New Roman" w:eastAsia="Times New Roman" w:hAnsi="Times New Roman" w:cs="Times New Roman"/>
          <w:kern w:val="36"/>
          <w:sz w:val="28"/>
          <w:szCs w:val="28"/>
          <w:lang w:val="uk-UA" w:eastAsia="uk-UA"/>
        </w:rPr>
        <w:t>25].</w:t>
      </w:r>
    </w:p>
    <w:p w14:paraId="19DB19C1"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Така методологія розподіляє кількість землі, яка використовується для виробництва товарів, до країни, де продукти остаточно споживаються. Вона враховує кількість землі, необхідної для виробництва продукції (наприклад, кількість землі, необхідної для годівлі тварин, призначеної для споживання м’яса), а також кількість землі в кожній країні та імпортованої з інших країн. Це </w:t>
      </w:r>
      <w:r w:rsidRPr="005F0419">
        <w:rPr>
          <w:rFonts w:ascii="Times New Roman" w:hAnsi="Times New Roman" w:cs="Times New Roman"/>
          <w:sz w:val="28"/>
          <w:szCs w:val="28"/>
          <w:lang w:val="uk-UA"/>
        </w:rPr>
        <w:lastRenderedPageBreak/>
        <w:t>означає, що система може враховувати перенесення виробництва в інші частини світу. ЄС поступово зобов’яже виробників харчових продуктів здійснювати конкретні дії щодо безпеки землекористування, охорони НПС та сталого розвитку.</w:t>
      </w:r>
    </w:p>
    <w:p w14:paraId="0577B7ED"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 нашу думку, для характеристики «земельного сліду» варто використовувати не тільки кількісні, а й якісні показники, що характеризують зміну екологічного та агрохімічного стану земель в наслідок аграрного виробництва. Це питання українські науковці досліджують тривалий час і як результат, ними розроблено та апробовано на практиці різні методики екологічної оцінки сільськогосподарських земель. Вони дозволяють здійснювати моніторинг, </w:t>
      </w:r>
      <w:r w:rsidRPr="005F0419">
        <w:rPr>
          <w:rFonts w:ascii="Times New Roman" w:hAnsi="Times New Roman" w:cs="Times New Roman"/>
          <w:sz w:val="28"/>
          <w:szCs w:val="28"/>
          <w:shd w:val="clear" w:color="auto" w:fill="FFFFFF"/>
          <w:lang w:val="uk-UA"/>
        </w:rPr>
        <w:t xml:space="preserve">контроль і прогнозування змін функціонування </w:t>
      </w:r>
      <w:proofErr w:type="spellStart"/>
      <w:r w:rsidRPr="005F0419">
        <w:rPr>
          <w:rFonts w:ascii="Times New Roman" w:hAnsi="Times New Roman" w:cs="Times New Roman"/>
          <w:sz w:val="28"/>
          <w:szCs w:val="28"/>
          <w:shd w:val="clear" w:color="auto" w:fill="FFFFFF"/>
          <w:lang w:val="uk-UA"/>
        </w:rPr>
        <w:t>агроландшафтів</w:t>
      </w:r>
      <w:proofErr w:type="spellEnd"/>
      <w:r w:rsidRPr="005F0419">
        <w:rPr>
          <w:rFonts w:ascii="Times New Roman" w:hAnsi="Times New Roman" w:cs="Times New Roman"/>
          <w:sz w:val="28"/>
          <w:szCs w:val="28"/>
          <w:shd w:val="clear" w:color="auto" w:fill="FFFFFF"/>
          <w:lang w:val="uk-UA"/>
        </w:rPr>
        <w:t>, виявляти кризові ситуації у сільськогосподарському землекористуванні, а також є інформаційною базою для прийняття управлінських рішень щодо</w:t>
      </w:r>
      <w:r w:rsidRPr="005F0419">
        <w:rPr>
          <w:rFonts w:ascii="Times New Roman" w:hAnsi="Times New Roman" w:cs="Times New Roman"/>
          <w:sz w:val="28"/>
          <w:szCs w:val="28"/>
          <w:lang w:val="uk-UA"/>
        </w:rPr>
        <w:t xml:space="preserve"> формування сталого землекористування, збереження і відтворення природно-ресурсного потенціалу сільськогосподарських земель, підвищення ефективності їх використання. </w:t>
      </w:r>
    </w:p>
    <w:p w14:paraId="5CD7C0C5" w14:textId="3823DB1C"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shd w:val="clear" w:color="auto" w:fill="FFFFFF"/>
          <w:lang w:val="uk-UA"/>
        </w:rPr>
        <w:t xml:space="preserve">Методика якісної оцінки ґрунтів (бонітування) А. І. Сірого базується на критеріях родючості ґрунту [26]; </w:t>
      </w:r>
      <w:r w:rsidRPr="005F0419">
        <w:rPr>
          <w:rFonts w:ascii="Times New Roman" w:eastAsia="Times New Roman" w:hAnsi="Times New Roman" w:cs="Times New Roman"/>
          <w:sz w:val="28"/>
          <w:szCs w:val="28"/>
          <w:lang w:val="uk-UA" w:eastAsia="uk-UA"/>
        </w:rPr>
        <w:t>В. В. Медведєв запропонував вдосконалену методику</w:t>
      </w:r>
      <w:r w:rsidRPr="005F0419">
        <w:rPr>
          <w:rFonts w:ascii="Times New Roman" w:hAnsi="Times New Roman" w:cs="Times New Roman"/>
          <w:sz w:val="28"/>
          <w:szCs w:val="28"/>
          <w:shd w:val="clear" w:color="auto" w:fill="FFFFFF"/>
          <w:lang w:val="uk-UA"/>
        </w:rPr>
        <w:t xml:space="preserve"> оцінки придатності цілого комплексу природно-кліматичних умов та технологічних особливостей конкретного поля (єдина система «ґрунт-клімат-поле») до вирощування сільськогосподарських культур [30], методичні підходи для оцінки масштабів деградації ґрунтів розробили фахівці [28], методика комплексного оцінювання агроекологічного стану земель сільськогосподарського призначення, запропонована О. О. </w:t>
      </w:r>
      <w:proofErr w:type="spellStart"/>
      <w:r w:rsidRPr="005F0419">
        <w:rPr>
          <w:rFonts w:ascii="Times New Roman" w:hAnsi="Times New Roman" w:cs="Times New Roman"/>
          <w:sz w:val="28"/>
          <w:szCs w:val="28"/>
          <w:shd w:val="clear" w:color="auto" w:fill="FFFFFF"/>
          <w:lang w:val="uk-UA"/>
        </w:rPr>
        <w:t>Ракоїд</w:t>
      </w:r>
      <w:proofErr w:type="spellEnd"/>
      <w:r w:rsidRPr="005F0419">
        <w:rPr>
          <w:rFonts w:ascii="Times New Roman" w:hAnsi="Times New Roman" w:cs="Times New Roman"/>
          <w:sz w:val="28"/>
          <w:szCs w:val="28"/>
          <w:shd w:val="clear" w:color="auto" w:fill="FFFFFF"/>
          <w:lang w:val="uk-UA"/>
        </w:rPr>
        <w:t>, враховує еколого-агрохімічний стан орних земель та ступінь порушення їх екологічної рівноваги [29], оцінка екологічної безпеки і агроекологічного стану орних земель [30]. Крім того, проведення періодичної оцінки якісного стану ґрунтів (кожні 5 років для орних земель) передбачена законодавством України [31</w:t>
      </w:r>
      <w:r w:rsidRPr="005F0419">
        <w:rPr>
          <w:rFonts w:ascii="Times New Roman" w:hAnsi="Times New Roman" w:cs="Times New Roman"/>
          <w:sz w:val="28"/>
          <w:szCs w:val="28"/>
          <w:lang w:val="uk-UA"/>
        </w:rPr>
        <w:t>].</w:t>
      </w:r>
    </w:p>
    <w:p w14:paraId="5C0B3A91" w14:textId="77777777" w:rsidR="00B73EC5" w:rsidRPr="005F0419" w:rsidRDefault="00B73EC5" w:rsidP="00B73EC5">
      <w:pPr>
        <w:spacing w:after="0" w:line="360" w:lineRule="auto"/>
        <w:ind w:firstLine="720"/>
        <w:jc w:val="both"/>
        <w:rPr>
          <w:rFonts w:ascii="Times New Roman" w:hAnsi="Times New Roman" w:cs="Times New Roman"/>
          <w:i/>
          <w:sz w:val="28"/>
          <w:szCs w:val="28"/>
          <w:lang w:val="uk-UA"/>
        </w:rPr>
      </w:pPr>
      <w:r w:rsidRPr="005F0419">
        <w:rPr>
          <w:rFonts w:ascii="Times New Roman" w:hAnsi="Times New Roman" w:cs="Times New Roman"/>
          <w:sz w:val="28"/>
          <w:szCs w:val="28"/>
          <w:lang w:val="uk-UA"/>
        </w:rPr>
        <w:t xml:space="preserve">В підсумку було запропоновано ряд показників для оцінки екологічних наслідків аграрного землекористування, наприклад: бал бонітету ґрунту, </w:t>
      </w:r>
      <w:r w:rsidRPr="005F0419">
        <w:rPr>
          <w:rFonts w:ascii="Times New Roman" w:hAnsi="Times New Roman" w:cs="Times New Roman"/>
          <w:sz w:val="28"/>
          <w:szCs w:val="28"/>
          <w:lang w:val="uk-UA"/>
        </w:rPr>
        <w:lastRenderedPageBreak/>
        <w:t xml:space="preserve">коефіцієнт антропогенного навантаження, коефіцієнт екологічної стабільності, коефіцієнт розораності, рівень сільськогосподарської </w:t>
      </w:r>
      <w:proofErr w:type="spellStart"/>
      <w:r w:rsidRPr="005F0419">
        <w:rPr>
          <w:rFonts w:ascii="Times New Roman" w:hAnsi="Times New Roman" w:cs="Times New Roman"/>
          <w:sz w:val="28"/>
          <w:szCs w:val="28"/>
          <w:lang w:val="uk-UA"/>
        </w:rPr>
        <w:t>освоєності</w:t>
      </w:r>
      <w:proofErr w:type="spellEnd"/>
      <w:r w:rsidRPr="005F0419">
        <w:rPr>
          <w:rFonts w:ascii="Times New Roman" w:hAnsi="Times New Roman" w:cs="Times New Roman"/>
          <w:sz w:val="28"/>
          <w:szCs w:val="28"/>
          <w:lang w:val="uk-UA"/>
        </w:rPr>
        <w:t xml:space="preserve">, інтегральний показник екологічного стану земель, індекс екологічної безпеки. Але їх ніколи не використовували для оцінки чи виміру «земельного» сліду.   </w:t>
      </w:r>
    </w:p>
    <w:p w14:paraId="35D2AB89" w14:textId="77777777"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Земельні ресурси мають стратегічне значення для забезпечення продовольчої безпеки та економічного зростання України. Тому дослідження впливу сучасного аграрного землекористування на стан ґрунтів та необхідність розробки рекомендацій для забезпечення еколого-економічної безпеки та високої ефективності їх використання було і залишається актуальним для України. А враховуючи той факт, що наша держава є провідним виробником продовольчого зерна та кормів, збереження якості українських ґрунтів є запорукою продовольчої безпеки у світі. </w:t>
      </w:r>
    </w:p>
    <w:p w14:paraId="6E0B7EF5" w14:textId="77777777" w:rsidR="00B73EC5" w:rsidRPr="005F0419" w:rsidRDefault="00B73EC5" w:rsidP="00B73EC5">
      <w:pPr>
        <w:shd w:val="clear" w:color="auto" w:fill="FFFFFF"/>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основу дослідження лягли загальнонаукові методи дослідження. Історичний метод використали при дослідженні виникнення і використання поняття «слід». При збиранні, обробці та аналізі інфор</w:t>
      </w:r>
      <w:r w:rsidRPr="005F0419">
        <w:rPr>
          <w:rFonts w:ascii="Times New Roman" w:hAnsi="Times New Roman" w:cs="Times New Roman"/>
          <w:sz w:val="28"/>
          <w:szCs w:val="28"/>
          <w:lang w:val="uk-UA"/>
        </w:rPr>
        <w:softHyphen/>
        <w:t xml:space="preserve">мації щодо структури та кількості посівних площ культур використали статистичний метод. Системний підхід використано для визначення ролі земельних ресурсів для економічного розвитку України та продовольчої безпеки у світі. За допомогою методу порівняння визначили переваги і недоліки існуючих </w:t>
      </w:r>
      <w:r w:rsidRPr="005F0419">
        <w:rPr>
          <w:rFonts w:ascii="Times New Roman" w:hAnsi="Times New Roman" w:cs="Times New Roman"/>
          <w:bCs/>
          <w:sz w:val="28"/>
          <w:szCs w:val="28"/>
          <w:lang w:val="uk-UA"/>
        </w:rPr>
        <w:t>методів розрахунку слідів.</w:t>
      </w:r>
      <w:r w:rsidRPr="005F0419">
        <w:rPr>
          <w:rFonts w:ascii="Times New Roman" w:hAnsi="Times New Roman" w:cs="Times New Roman"/>
          <w:sz w:val="28"/>
          <w:szCs w:val="28"/>
          <w:lang w:val="uk-UA"/>
        </w:rPr>
        <w:t xml:space="preserve"> У процесі вимірювання «земельного» сліду використано методи аналізу та синтезу. У процесі формування висновків використано метод узагальнення.</w:t>
      </w:r>
    </w:p>
    <w:p w14:paraId="4A127530" w14:textId="77777777" w:rsidR="00B73EC5" w:rsidRPr="005F0419" w:rsidRDefault="00B73EC5" w:rsidP="00B73EC5">
      <w:pPr>
        <w:spacing w:after="0" w:line="360" w:lineRule="auto"/>
        <w:ind w:firstLine="720"/>
        <w:jc w:val="both"/>
        <w:rPr>
          <w:rFonts w:ascii="Times New Roman" w:hAnsi="Times New Roman" w:cs="Times New Roman"/>
          <w:b/>
          <w:bCs/>
          <w:sz w:val="28"/>
          <w:szCs w:val="28"/>
          <w:lang w:val="uk-UA"/>
        </w:rPr>
      </w:pPr>
      <w:r w:rsidRPr="005F0419">
        <w:rPr>
          <w:rFonts w:ascii="Times New Roman" w:hAnsi="Times New Roman" w:cs="Times New Roman"/>
          <w:sz w:val="28"/>
          <w:szCs w:val="28"/>
          <w:lang w:val="uk-UA"/>
        </w:rPr>
        <w:t xml:space="preserve">На основі сучасних наукових розробок сформовано наступні визначення для чотирьох показників щодо терміну слід. </w:t>
      </w:r>
    </w:p>
    <w:p w14:paraId="412699C4"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Матеріальний слід відображає кількість глобального матеріалу, що використовується впродовж усього життєвого циклу продукту та пов’язаний з кінцевим споживанням країни. Таким чином, </w:t>
      </w:r>
      <w:r w:rsidRPr="005F0419">
        <w:rPr>
          <w:rFonts w:ascii="Times New Roman" w:hAnsi="Times New Roman" w:cs="Times New Roman"/>
          <w:bCs/>
          <w:sz w:val="28"/>
          <w:szCs w:val="28"/>
          <w:lang w:val="uk-UA"/>
        </w:rPr>
        <w:t xml:space="preserve">матеріальний слід є новим терміном та </w:t>
      </w:r>
      <w:r w:rsidRPr="005F0419">
        <w:rPr>
          <w:rFonts w:ascii="Times New Roman" w:hAnsi="Times New Roman" w:cs="Times New Roman"/>
          <w:sz w:val="28"/>
          <w:szCs w:val="28"/>
          <w:lang w:val="uk-UA"/>
        </w:rPr>
        <w:t xml:space="preserve">відноситься до життєвого циклу матеріальних ресурсів продуктів [32, 33]. Матеріальні сліди можуть бути зосереджені на видобутку використовуваного матеріалу (що відображається за допомогою індикатора – споживання сировини) або споживання матеріалу (загальне споживання </w:t>
      </w:r>
      <w:r w:rsidRPr="005F0419">
        <w:rPr>
          <w:rFonts w:ascii="Times New Roman" w:hAnsi="Times New Roman" w:cs="Times New Roman"/>
          <w:sz w:val="28"/>
          <w:szCs w:val="28"/>
          <w:lang w:val="uk-UA"/>
        </w:rPr>
        <w:lastRenderedPageBreak/>
        <w:t>матеріалу). Завдяки основним рекомендаціям EUROSTAT [34] або OECD [35] методологічні підходи до розрахунку індикатора матеріального сліду вже використовуються у світі.</w:t>
      </w:r>
    </w:p>
    <w:p w14:paraId="00E5BA31"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Водний слід – це загальна кількість прісної води, яка використовується прямо чи опосередковано для виробництва товарів і послуг, які задовольняють кінцеве внутрішнє споживання. За останні роки кількість наукових розробок та публікацій зросла у рази та стосується: водних басейнів, «зеленого» ВВП країни, різних країн та галузей промисловості й агробізнесу, виробництва продуктів харчування [36 – 38].</w:t>
      </w:r>
    </w:p>
    <w:p w14:paraId="08248FF1"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середньому 20% світового споживання прісної води використовується промисловістю [39]. Очікується, що попит на воду збільшуватиметься через постійне зростання чисельності населення, економічний розвиток [38] та зміну клімату [39]. </w:t>
      </w:r>
    </w:p>
    <w:p w14:paraId="7DB2D57C" w14:textId="1D5DDB25"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 даними Всесвітнього економічного форуму, водна криза є головним глобальним ризиком з точки зору як впливу, так і ймовірності (WEF </w:t>
      </w:r>
      <w:proofErr w:type="spellStart"/>
      <w:r w:rsidRPr="005F0419">
        <w:rPr>
          <w:rFonts w:ascii="Times New Roman" w:hAnsi="Times New Roman" w:cs="Times New Roman"/>
          <w:sz w:val="28"/>
          <w:szCs w:val="28"/>
          <w:lang w:val="uk-UA"/>
        </w:rPr>
        <w:t>Global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Risk</w:t>
      </w:r>
      <w:proofErr w:type="spellEnd"/>
      <w:r w:rsidRPr="005F0419">
        <w:rPr>
          <w:rFonts w:ascii="Times New Roman" w:hAnsi="Times New Roman" w:cs="Times New Roman"/>
          <w:sz w:val="28"/>
          <w:szCs w:val="28"/>
          <w:lang w:val="uk-UA"/>
        </w:rPr>
        <w:t xml:space="preserve"> 2020). Більше того, 87 зі 180 країн світу, ймовірно, відчуватимуть дефіцит води до 2050 року [42]. Через загрози дефіциту води для соціально-економічного розвитку [40] існує потреба оцінити компроміс між виробництвом та впливом на НПС [43]. Тому сільськогосподарський та промисловий сектори повинні ефективно використовувати воду у своїй діяльності як захід адаптації до зміни клімату. Згідно з </w:t>
      </w:r>
      <w:proofErr w:type="spellStart"/>
      <w:r w:rsidRPr="005F0419">
        <w:rPr>
          <w:rFonts w:ascii="Times New Roman" w:hAnsi="Times New Roman" w:cs="Times New Roman"/>
          <w:sz w:val="28"/>
          <w:szCs w:val="28"/>
          <w:lang w:val="uk-UA"/>
        </w:rPr>
        <w:t>Дж</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Лунд</w:t>
      </w:r>
      <w:proofErr w:type="spellEnd"/>
      <w:r w:rsidRPr="005F0419">
        <w:rPr>
          <w:rFonts w:ascii="Times New Roman" w:hAnsi="Times New Roman" w:cs="Times New Roman"/>
          <w:sz w:val="28"/>
          <w:szCs w:val="28"/>
          <w:lang w:val="uk-UA"/>
        </w:rPr>
        <w:t xml:space="preserve"> та ін. [44], дефіцит води може сприяти появі інноваційних ідей в управлінні водними ресурсами. Також можуть бути розроблені інструменти підтримки прийняття рішень для сприяння впровадженню принципів циркулярної економіки [45]. За пропозицією </w:t>
      </w:r>
      <w:proofErr w:type="spellStart"/>
      <w:r w:rsidRPr="005F0419">
        <w:rPr>
          <w:rFonts w:ascii="Times New Roman" w:hAnsi="Times New Roman" w:cs="Times New Roman"/>
          <w:sz w:val="28"/>
          <w:szCs w:val="28"/>
          <w:lang w:val="uk-UA"/>
        </w:rPr>
        <w:t>А.Хукстра</w:t>
      </w:r>
      <w:proofErr w:type="spellEnd"/>
      <w:r w:rsidRPr="005F0419">
        <w:rPr>
          <w:rFonts w:ascii="Times New Roman" w:hAnsi="Times New Roman" w:cs="Times New Roman"/>
          <w:sz w:val="28"/>
          <w:szCs w:val="28"/>
          <w:lang w:val="uk-UA"/>
        </w:rPr>
        <w:t xml:space="preserve">, водний слід є більш комплексним способом оцінки споживання прісної води, який враховує як пряме, так і непряме використання води при виробництві продукту [45]. Дослідження водного сліду пов'язані з енергетичними, вуглецевими та азотними викидами та іншими стоками [47]. Прісноводні ресурси стають все більш важливим глобальним ресурсом, що зумовлено зростаючою міжнародною торгівлею [48]. </w:t>
      </w:r>
    </w:p>
    <w:p w14:paraId="50B4DF95"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Вуглецевий слід є показником сліду, який широко використовується у світовій практиці. Вуглецевий слід фіксує повну кількість викидів парникових газів, які прямо чи опосередковано спричинені господарською діяльністю або накопичуються протягом життєвих циклів продуктів, які споживаються в країні [49]. Вже опубліковано три стандарти для вуглецевого сліду: індикатори сліду для матеріалів, води, землі та вуглецю (SERI – Дослідницький інститут сталої Європи - PAS 2050 [50]); стандарт обліку життєвого циклу продукту та звітності від Інститут світових ресурсів (WRI) і Всесвітньої ради бізнесу зі сталого розвитку (WBCSD), [51]; стандарт ISO 14067 щодо вуглецевого сліду продуктів [52], розроблений Міжнародною організацією стандартизації.</w:t>
      </w:r>
    </w:p>
    <w:p w14:paraId="45F23E28" w14:textId="77777777"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Земельний слід оцінює внутрішні та зовнішні земельні площі, які прямо чи опосередковано необхідні для задоволення внутрішнього кінцевого споживання. Земельний слід сільськогосподарського виробництва пов’язується із: зростанням чисельності населення в поєднанні зі зміною у харчуванні; зростанням попиту на біопаливо; зменшенням світових ресурсів прісної води. Очікується, що споживання води (як з атмосферних опадів, так і для зрошення) для виробництва продовольчих і кормових культур зростатиме на 0,7% на рік з оціночного рівня 6400 млрд. м</w:t>
      </w:r>
      <w:r w:rsidRPr="005F0419">
        <w:rPr>
          <w:rFonts w:ascii="Times New Roman" w:hAnsi="Times New Roman" w:cs="Times New Roman"/>
          <w:sz w:val="28"/>
          <w:szCs w:val="28"/>
          <w:vertAlign w:val="superscript"/>
          <w:lang w:val="uk-UA"/>
        </w:rPr>
        <w:t>3</w:t>
      </w:r>
      <w:r w:rsidRPr="005F0419">
        <w:rPr>
          <w:rFonts w:ascii="Times New Roman" w:hAnsi="Times New Roman" w:cs="Times New Roman"/>
          <w:sz w:val="28"/>
          <w:szCs w:val="28"/>
          <w:lang w:val="uk-UA"/>
        </w:rPr>
        <w:t>/рік у 2000 році до 9060 млрд. м</w:t>
      </w:r>
      <w:r w:rsidRPr="005F0419">
        <w:rPr>
          <w:rFonts w:ascii="Times New Roman" w:hAnsi="Times New Roman" w:cs="Times New Roman"/>
          <w:sz w:val="28"/>
          <w:szCs w:val="28"/>
          <w:vertAlign w:val="superscript"/>
          <w:lang w:val="uk-UA"/>
        </w:rPr>
        <w:t>3</w:t>
      </w:r>
      <w:r w:rsidRPr="005F0419">
        <w:rPr>
          <w:rFonts w:ascii="Times New Roman" w:hAnsi="Times New Roman" w:cs="Times New Roman"/>
          <w:sz w:val="28"/>
          <w:szCs w:val="28"/>
          <w:lang w:val="uk-UA"/>
        </w:rPr>
        <w:t>/рік, щоб адекватно прогодувати 9,2 млрд. населення світу до 2050 року [53].</w:t>
      </w:r>
    </w:p>
    <w:p w14:paraId="79475500"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Важливо зазначити, що підходи до земельного сліду відрізняються від розрахунків екологічного сліду, оскільки не застосовується зважування земельних </w:t>
      </w:r>
      <w:r w:rsidRPr="005F0419">
        <w:rPr>
          <w:rFonts w:ascii="Times New Roman" w:hAnsi="Times New Roman" w:cs="Times New Roman"/>
          <w:bCs/>
          <w:iCs/>
          <w:sz w:val="28"/>
          <w:szCs w:val="28"/>
          <w:lang w:val="uk-UA"/>
        </w:rPr>
        <w:t>площ за різною біологічною продуктивністю</w:t>
      </w:r>
      <w:r w:rsidRPr="005F0419">
        <w:rPr>
          <w:rFonts w:ascii="Times New Roman" w:hAnsi="Times New Roman" w:cs="Times New Roman"/>
          <w:sz w:val="28"/>
          <w:szCs w:val="28"/>
          <w:lang w:val="uk-UA"/>
        </w:rPr>
        <w:t>. На відміну від матеріального сліду, досі не існує узгодженого визначення земельного сліду. Через обмеження даних дослідження земельних слідів досі часто використовують в сільському та лісовому господарствах. Земельний слід в існуючих публікаціях у гектарах або м</w:t>
      </w:r>
      <w:r w:rsidRPr="005F0419">
        <w:rPr>
          <w:rFonts w:ascii="Times New Roman" w:hAnsi="Times New Roman" w:cs="Times New Roman"/>
          <w:sz w:val="28"/>
          <w:szCs w:val="28"/>
          <w:vertAlign w:val="superscript"/>
          <w:lang w:val="uk-UA"/>
        </w:rPr>
        <w:t>2</w:t>
      </w:r>
      <w:r w:rsidRPr="005F0419">
        <w:rPr>
          <w:rFonts w:ascii="Times New Roman" w:hAnsi="Times New Roman" w:cs="Times New Roman"/>
          <w:sz w:val="28"/>
          <w:szCs w:val="28"/>
          <w:lang w:val="uk-UA"/>
        </w:rPr>
        <w:t>. Земельний слід розглядає лише пряме землекористування і не включає вуглецевий слід.</w:t>
      </w:r>
    </w:p>
    <w:p w14:paraId="4094E459"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Загалом існує три типи </w:t>
      </w:r>
      <w:proofErr w:type="spellStart"/>
      <w:r w:rsidRPr="005F0419">
        <w:rPr>
          <w:rFonts w:ascii="Times New Roman" w:hAnsi="Times New Roman" w:cs="Times New Roman"/>
          <w:sz w:val="28"/>
          <w:szCs w:val="28"/>
          <w:lang w:val="uk-UA"/>
        </w:rPr>
        <w:t>методологій</w:t>
      </w:r>
      <w:proofErr w:type="spellEnd"/>
      <w:r w:rsidRPr="005F0419">
        <w:rPr>
          <w:rFonts w:ascii="Times New Roman" w:hAnsi="Times New Roman" w:cs="Times New Roman"/>
          <w:sz w:val="28"/>
          <w:szCs w:val="28"/>
          <w:lang w:val="uk-UA"/>
        </w:rPr>
        <w:t xml:space="preserve"> для розрахунку певної категорії сліду. </w:t>
      </w:r>
    </w:p>
    <w:p w14:paraId="2B091435"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iCs/>
          <w:sz w:val="28"/>
          <w:szCs w:val="28"/>
          <w:lang w:val="uk-UA"/>
        </w:rPr>
        <w:t xml:space="preserve">Перша група підходів базується на різних формах економічного аналізу витрат і результатів, які об’єднують фізичні дані про використання ресурсів </w:t>
      </w:r>
      <w:r w:rsidRPr="005F0419">
        <w:rPr>
          <w:rFonts w:ascii="Times New Roman" w:hAnsi="Times New Roman" w:cs="Times New Roman"/>
          <w:bCs/>
          <w:iCs/>
          <w:sz w:val="28"/>
          <w:szCs w:val="28"/>
          <w:lang w:val="uk-UA"/>
        </w:rPr>
        <w:lastRenderedPageBreak/>
        <w:t xml:space="preserve">(матеріальні, водні, земельні) або викидів (викиди парникових газів у випадку вуглецевого сліду). Аналіз </w:t>
      </w:r>
      <w:r w:rsidRPr="005F0419">
        <w:rPr>
          <w:rFonts w:ascii="Times New Roman" w:hAnsi="Times New Roman" w:cs="Times New Roman"/>
          <w:sz w:val="28"/>
          <w:szCs w:val="28"/>
          <w:lang w:val="uk-UA"/>
        </w:rPr>
        <w:t xml:space="preserve">«витрати-вигоди» </w:t>
      </w:r>
      <w:r w:rsidRPr="005F0419">
        <w:rPr>
          <w:rFonts w:ascii="Times New Roman" w:hAnsi="Times New Roman" w:cs="Times New Roman"/>
          <w:bCs/>
          <w:iCs/>
          <w:sz w:val="28"/>
          <w:szCs w:val="28"/>
          <w:lang w:val="uk-UA"/>
        </w:rPr>
        <w:t xml:space="preserve">є підходом зверху вниз, тобто методологією, яка починає оцінку з макроекономічного рівня (всієї економіки), але включає поділ за секторами економіки. </w:t>
      </w:r>
      <w:r w:rsidRPr="005F0419">
        <w:rPr>
          <w:rFonts w:ascii="Times New Roman" w:hAnsi="Times New Roman" w:cs="Times New Roman"/>
          <w:sz w:val="28"/>
          <w:szCs w:val="28"/>
          <w:lang w:val="uk-UA"/>
        </w:rPr>
        <w:t xml:space="preserve">Одним із найважливіших застосувань аналізу «витрати-вигоди» є розрахунок загальних витрат на одиницю кінцевої продукції. Використовуючи таку методику, можна оцінити не тільки прямі витрати в процесі виробництва за певним сектором, а також усі непрямі витрати, що мають місце при постачанні проміжної продукції з інших секторів [54-57]. </w:t>
      </w:r>
    </w:p>
    <w:p w14:paraId="165901FC"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Ще одна перевага підходу «витрати-вигоди» полягає в тому, що система бухгалтерського обліку тісно пов’язана зі стандартним економічним та екологічним обліком, що забезпечує безперервний процес збирання даних і перевірки їх достовірності на національному рівні. </w:t>
      </w:r>
    </w:p>
    <w:p w14:paraId="6FADD405"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iCs/>
          <w:sz w:val="28"/>
          <w:szCs w:val="28"/>
          <w:lang w:val="uk-UA"/>
        </w:rPr>
        <w:t xml:space="preserve">Другою групою </w:t>
      </w:r>
      <w:proofErr w:type="spellStart"/>
      <w:r w:rsidRPr="005F0419">
        <w:rPr>
          <w:rFonts w:ascii="Times New Roman" w:hAnsi="Times New Roman" w:cs="Times New Roman"/>
          <w:bCs/>
          <w:iCs/>
          <w:sz w:val="28"/>
          <w:szCs w:val="28"/>
          <w:lang w:val="uk-UA"/>
        </w:rPr>
        <w:t>методологій</w:t>
      </w:r>
      <w:proofErr w:type="spellEnd"/>
      <w:r w:rsidRPr="005F0419">
        <w:rPr>
          <w:rFonts w:ascii="Times New Roman" w:hAnsi="Times New Roman" w:cs="Times New Roman"/>
          <w:bCs/>
          <w:iCs/>
          <w:sz w:val="28"/>
          <w:szCs w:val="28"/>
          <w:lang w:val="uk-UA"/>
        </w:rPr>
        <w:t xml:space="preserve"> є коефіцієнтні підходи, які дозволяють оцінити </w:t>
      </w:r>
      <w:proofErr w:type="spellStart"/>
      <w:r w:rsidRPr="005F0419">
        <w:rPr>
          <w:rFonts w:ascii="Times New Roman" w:hAnsi="Times New Roman" w:cs="Times New Roman"/>
          <w:bCs/>
          <w:iCs/>
          <w:sz w:val="28"/>
          <w:szCs w:val="28"/>
          <w:lang w:val="uk-UA"/>
        </w:rPr>
        <w:t>ресурсоємність</w:t>
      </w:r>
      <w:proofErr w:type="spellEnd"/>
      <w:r w:rsidRPr="005F0419">
        <w:rPr>
          <w:rFonts w:ascii="Times New Roman" w:hAnsi="Times New Roman" w:cs="Times New Roman"/>
          <w:bCs/>
          <w:iCs/>
          <w:sz w:val="28"/>
          <w:szCs w:val="28"/>
          <w:lang w:val="uk-UA"/>
        </w:rPr>
        <w:t xml:space="preserve"> усього ланцюга постачання, порахувати коефіцієнти аналізу процесів, наприклад оцінка життєвого циклу (LCA) або подібні методи. Цей підхід є підходом «знизу вгору», який починає обчислення з рівня окремих продуктів або груп продуктів. </w:t>
      </w:r>
      <w:r w:rsidRPr="005F0419">
        <w:rPr>
          <w:rFonts w:ascii="Times New Roman" w:hAnsi="Times New Roman" w:cs="Times New Roman"/>
          <w:sz w:val="28"/>
          <w:szCs w:val="28"/>
          <w:lang w:val="uk-UA"/>
        </w:rPr>
        <w:t xml:space="preserve">Коефіцієнтні підходи обчислюють загальне використання ресурсів (або викидів парникових газів), які пов’язані з кінцевим споживанням, шляхом множення прямої фізичної величини споживання кожного ресурсу на коефіцієнт, який враховує </w:t>
      </w:r>
      <w:proofErr w:type="spellStart"/>
      <w:r w:rsidRPr="005F0419">
        <w:rPr>
          <w:rFonts w:ascii="Times New Roman" w:hAnsi="Times New Roman" w:cs="Times New Roman"/>
          <w:sz w:val="28"/>
          <w:szCs w:val="28"/>
          <w:lang w:val="uk-UA"/>
        </w:rPr>
        <w:t>ресурсоємність</w:t>
      </w:r>
      <w:proofErr w:type="spellEnd"/>
      <w:r w:rsidRPr="005F0419">
        <w:rPr>
          <w:rFonts w:ascii="Times New Roman" w:hAnsi="Times New Roman" w:cs="Times New Roman"/>
          <w:sz w:val="28"/>
          <w:szCs w:val="28"/>
          <w:lang w:val="uk-UA"/>
        </w:rPr>
        <w:t xml:space="preserve"> «від колиски до продукту» [58]. Найважливіша перевага коефіцієнтних підходів у порівнянні з підходом «витрати-вигоди» – це високий рівень деталізації та прозорості. Коефіцієнтні підходи не стикаються з обмеженнями секторів, що дозволяє порівнювати сліди на рівні окремих продуктів або матеріалів [58]. Даний підхід дозволяє проілюструвати склад слідів за товаром або категорією продукту в дуже простий спосіб [59]. </w:t>
      </w:r>
    </w:p>
    <w:p w14:paraId="7AABBBD9" w14:textId="77777777" w:rsidR="00B73EC5" w:rsidRPr="005F0419" w:rsidRDefault="00B73EC5" w:rsidP="00B73EC5">
      <w:pPr>
        <w:spacing w:after="0" w:line="360" w:lineRule="auto"/>
        <w:ind w:firstLine="720"/>
        <w:jc w:val="both"/>
        <w:rPr>
          <w:rFonts w:ascii="Times New Roman" w:hAnsi="Times New Roman" w:cs="Times New Roman"/>
          <w:bCs/>
          <w:iCs/>
          <w:sz w:val="28"/>
          <w:szCs w:val="28"/>
          <w:lang w:val="uk-UA"/>
        </w:rPr>
      </w:pPr>
      <w:r w:rsidRPr="005F0419">
        <w:rPr>
          <w:rFonts w:ascii="Times New Roman" w:hAnsi="Times New Roman" w:cs="Times New Roman"/>
          <w:bCs/>
          <w:iCs/>
          <w:sz w:val="28"/>
          <w:szCs w:val="28"/>
          <w:lang w:val="uk-UA"/>
        </w:rPr>
        <w:t xml:space="preserve">Гібридні підходи є третім основним типом </w:t>
      </w:r>
      <w:proofErr w:type="spellStart"/>
      <w:r w:rsidRPr="005F0419">
        <w:rPr>
          <w:rFonts w:ascii="Times New Roman" w:hAnsi="Times New Roman" w:cs="Times New Roman"/>
          <w:bCs/>
          <w:iCs/>
          <w:sz w:val="28"/>
          <w:szCs w:val="28"/>
          <w:lang w:val="uk-UA"/>
        </w:rPr>
        <w:t>методологій</w:t>
      </w:r>
      <w:proofErr w:type="spellEnd"/>
      <w:r w:rsidRPr="005F0419">
        <w:rPr>
          <w:rFonts w:ascii="Times New Roman" w:hAnsi="Times New Roman" w:cs="Times New Roman"/>
          <w:bCs/>
          <w:iCs/>
          <w:sz w:val="28"/>
          <w:szCs w:val="28"/>
          <w:lang w:val="uk-UA"/>
        </w:rPr>
        <w:t>, що поєднують елементи як аналізу витрат-</w:t>
      </w:r>
      <w:proofErr w:type="spellStart"/>
      <w:r w:rsidRPr="005F0419">
        <w:rPr>
          <w:rFonts w:ascii="Times New Roman" w:hAnsi="Times New Roman" w:cs="Times New Roman"/>
          <w:bCs/>
          <w:iCs/>
          <w:sz w:val="28"/>
          <w:szCs w:val="28"/>
          <w:lang w:val="uk-UA"/>
        </w:rPr>
        <w:t>вигод</w:t>
      </w:r>
      <w:proofErr w:type="spellEnd"/>
      <w:r w:rsidRPr="005F0419">
        <w:rPr>
          <w:rFonts w:ascii="Times New Roman" w:hAnsi="Times New Roman" w:cs="Times New Roman"/>
          <w:bCs/>
          <w:iCs/>
          <w:sz w:val="28"/>
          <w:szCs w:val="28"/>
          <w:lang w:val="uk-UA"/>
        </w:rPr>
        <w:t xml:space="preserve">, так і коефіцієнтних підходів. Гібридні підходи зазвичай поділяють на загальну кількість продукції, яку слід враховувати при оцінці та розраховувати одну частину на основі аналізу </w:t>
      </w:r>
      <w:r w:rsidRPr="005F0419">
        <w:rPr>
          <w:rFonts w:ascii="Times New Roman" w:hAnsi="Times New Roman" w:cs="Times New Roman"/>
          <w:sz w:val="28"/>
          <w:szCs w:val="28"/>
          <w:lang w:val="uk-UA"/>
        </w:rPr>
        <w:t>«витрати-вигоди»</w:t>
      </w:r>
      <w:r w:rsidRPr="005F0419">
        <w:rPr>
          <w:rFonts w:ascii="Times New Roman" w:hAnsi="Times New Roman" w:cs="Times New Roman"/>
          <w:bCs/>
          <w:iCs/>
          <w:sz w:val="28"/>
          <w:szCs w:val="28"/>
          <w:lang w:val="uk-UA"/>
        </w:rPr>
        <w:t xml:space="preserve">, а </w:t>
      </w:r>
      <w:r w:rsidRPr="005F0419">
        <w:rPr>
          <w:rFonts w:ascii="Times New Roman" w:hAnsi="Times New Roman" w:cs="Times New Roman"/>
          <w:bCs/>
          <w:iCs/>
          <w:sz w:val="28"/>
          <w:szCs w:val="28"/>
          <w:lang w:val="uk-UA"/>
        </w:rPr>
        <w:lastRenderedPageBreak/>
        <w:t xml:space="preserve">решту – за допомогою коефіцієнтів </w:t>
      </w:r>
      <w:proofErr w:type="spellStart"/>
      <w:r w:rsidRPr="005F0419">
        <w:rPr>
          <w:rFonts w:ascii="Times New Roman" w:hAnsi="Times New Roman" w:cs="Times New Roman"/>
          <w:bCs/>
          <w:iCs/>
          <w:sz w:val="28"/>
          <w:szCs w:val="28"/>
          <w:lang w:val="uk-UA"/>
        </w:rPr>
        <w:t>ресурсомісткості</w:t>
      </w:r>
      <w:proofErr w:type="spellEnd"/>
      <w:r w:rsidRPr="005F0419">
        <w:rPr>
          <w:rFonts w:ascii="Times New Roman" w:hAnsi="Times New Roman" w:cs="Times New Roman"/>
          <w:bCs/>
          <w:iCs/>
          <w:sz w:val="28"/>
          <w:szCs w:val="28"/>
          <w:lang w:val="uk-UA"/>
        </w:rPr>
        <w:t>. Отже, гібридний підхід буде важливим інструментом для майбутнього методологічного розвитку щодо показника слід.</w:t>
      </w:r>
    </w:p>
    <w:p w14:paraId="295273BD"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Ключовою перевагою гібридного підходу є те, що застосовані коефіцієнти дозволяють компенсуючи недоліки, з якими, зазвичай, стикаються при застосуванні підходу «витрати-вигоди» [60, 61]. Аналіз переваг і недоліків основних підходів щодо розрахунку слідів приведено в таблиці 1.</w:t>
      </w:r>
    </w:p>
    <w:p w14:paraId="2B37F0F2" w14:textId="77777777" w:rsidR="00B73EC5" w:rsidRPr="005F0419" w:rsidRDefault="00B73EC5" w:rsidP="00B73EC5">
      <w:pPr>
        <w:spacing w:after="0" w:line="360" w:lineRule="auto"/>
        <w:ind w:firstLine="720"/>
        <w:jc w:val="right"/>
        <w:rPr>
          <w:rFonts w:ascii="Times New Roman" w:hAnsi="Times New Roman" w:cs="Times New Roman"/>
          <w:bCs/>
          <w:sz w:val="28"/>
          <w:szCs w:val="28"/>
          <w:lang w:val="uk-UA"/>
        </w:rPr>
      </w:pPr>
      <w:r w:rsidRPr="005F0419">
        <w:rPr>
          <w:rFonts w:ascii="Times New Roman" w:hAnsi="Times New Roman" w:cs="Times New Roman"/>
          <w:bCs/>
          <w:sz w:val="28"/>
          <w:szCs w:val="28"/>
          <w:lang w:val="uk-UA"/>
        </w:rPr>
        <w:t>Таблиця 1</w:t>
      </w:r>
    </w:p>
    <w:p w14:paraId="2DDC8540" w14:textId="243BF522" w:rsidR="00B73EC5" w:rsidRPr="005F0419" w:rsidRDefault="00B73EC5" w:rsidP="00B73EC5">
      <w:pPr>
        <w:spacing w:after="0" w:line="360" w:lineRule="auto"/>
        <w:ind w:firstLine="720"/>
        <w:jc w:val="center"/>
        <w:rPr>
          <w:rFonts w:ascii="Times New Roman" w:hAnsi="Times New Roman" w:cs="Times New Roman"/>
          <w:bCs/>
          <w:sz w:val="28"/>
          <w:szCs w:val="28"/>
          <w:lang w:val="uk-UA"/>
        </w:rPr>
      </w:pPr>
      <w:r w:rsidRPr="005F0419">
        <w:rPr>
          <w:rFonts w:ascii="Times New Roman" w:hAnsi="Times New Roman" w:cs="Times New Roman"/>
          <w:bCs/>
          <w:sz w:val="28"/>
          <w:szCs w:val="28"/>
          <w:lang w:val="uk-UA"/>
        </w:rPr>
        <w:t>Основні переваги та недоліки трьох основних методів розрахунку сліду</w:t>
      </w:r>
    </w:p>
    <w:tbl>
      <w:tblPr>
        <w:tblW w:w="950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2627"/>
        <w:gridCol w:w="2265"/>
        <w:gridCol w:w="2473"/>
      </w:tblGrid>
      <w:tr w:rsidR="00B73EC5" w:rsidRPr="005F0419" w14:paraId="73D8859A" w14:textId="77777777" w:rsidTr="00B73EC5">
        <w:trPr>
          <w:trHeight w:val="340"/>
        </w:trPr>
        <w:tc>
          <w:tcPr>
            <w:tcW w:w="2137" w:type="dxa"/>
          </w:tcPr>
          <w:p w14:paraId="7FF0B0DA" w14:textId="77777777" w:rsidR="00B73EC5" w:rsidRPr="005F0419" w:rsidRDefault="00B73EC5" w:rsidP="00B73EC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Характеристика</w:t>
            </w:r>
          </w:p>
        </w:tc>
        <w:tc>
          <w:tcPr>
            <w:tcW w:w="2627" w:type="dxa"/>
          </w:tcPr>
          <w:p w14:paraId="4FBD9BC6" w14:textId="77777777" w:rsidR="00B73EC5" w:rsidRPr="005F0419" w:rsidRDefault="00B73EC5" w:rsidP="00B73EC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Метод «витрати-вигоди»</w:t>
            </w:r>
          </w:p>
        </w:tc>
        <w:tc>
          <w:tcPr>
            <w:tcW w:w="2265" w:type="dxa"/>
          </w:tcPr>
          <w:p w14:paraId="380DC915" w14:textId="77777777" w:rsidR="00B73EC5" w:rsidRPr="005F0419" w:rsidRDefault="00B73EC5" w:rsidP="00B73EC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Коефіцієнтний підхід</w:t>
            </w:r>
          </w:p>
        </w:tc>
        <w:tc>
          <w:tcPr>
            <w:tcW w:w="2473" w:type="dxa"/>
          </w:tcPr>
          <w:p w14:paraId="03E7EF6B" w14:textId="77777777" w:rsidR="00B73EC5" w:rsidRPr="005F0419" w:rsidRDefault="00B73EC5" w:rsidP="00B73EC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Гібридний підхід</w:t>
            </w:r>
          </w:p>
        </w:tc>
      </w:tr>
      <w:tr w:rsidR="00B73EC5" w:rsidRPr="005F0419" w14:paraId="18755EE8" w14:textId="77777777" w:rsidTr="00B73EC5">
        <w:trPr>
          <w:trHeight w:val="376"/>
        </w:trPr>
        <w:tc>
          <w:tcPr>
            <w:tcW w:w="2137" w:type="dxa"/>
          </w:tcPr>
          <w:p w14:paraId="5527A3BA" w14:textId="77777777" w:rsidR="00B73EC5" w:rsidRPr="005F0419" w:rsidRDefault="00B73EC5" w:rsidP="00B73EC5">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Включення повних ланцюгів поставок</w:t>
            </w:r>
          </w:p>
        </w:tc>
        <w:tc>
          <w:tcPr>
            <w:tcW w:w="2627" w:type="dxa"/>
          </w:tcPr>
          <w:p w14:paraId="6CC10097"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Моделі однієї країни: невідповідне представлення ланцюгів постачання імпорту через припущення використання вітчизняної технології</w:t>
            </w:r>
          </w:p>
          <w:p w14:paraId="4340A1E2" w14:textId="77777777" w:rsidR="00B73EC5" w:rsidRPr="005F0419" w:rsidRDefault="00B73EC5" w:rsidP="00B73EC5">
            <w:pPr>
              <w:spacing w:after="0" w:line="240" w:lineRule="auto"/>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Мультирегіональні</w:t>
            </w:r>
            <w:proofErr w:type="spellEnd"/>
            <w:r w:rsidRPr="005F0419">
              <w:rPr>
                <w:rFonts w:ascii="Times New Roman" w:hAnsi="Times New Roman" w:cs="Times New Roman"/>
                <w:sz w:val="28"/>
                <w:szCs w:val="28"/>
                <w:lang w:val="uk-UA"/>
              </w:rPr>
              <w:t xml:space="preserve"> моделі: повне представлення всіх міжнародних ланцюгів постачання</w:t>
            </w:r>
          </w:p>
        </w:tc>
        <w:tc>
          <w:tcPr>
            <w:tcW w:w="2265" w:type="dxa"/>
          </w:tcPr>
          <w:p w14:paraId="218F2CDA"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Неповне представлення повних ланцюгів постачання, зокрема, для продуктів </w:t>
            </w:r>
            <w:proofErr w:type="spellStart"/>
            <w:r w:rsidRPr="005F0419">
              <w:rPr>
                <w:rFonts w:ascii="Times New Roman" w:hAnsi="Times New Roman" w:cs="Times New Roman"/>
                <w:sz w:val="28"/>
                <w:szCs w:val="28"/>
                <w:lang w:val="uk-UA"/>
              </w:rPr>
              <w:t>нано</w:t>
            </w:r>
            <w:proofErr w:type="spellEnd"/>
            <w:r w:rsidRPr="005F0419">
              <w:rPr>
                <w:rFonts w:ascii="Times New Roman" w:hAnsi="Times New Roman" w:cs="Times New Roman"/>
                <w:sz w:val="28"/>
                <w:szCs w:val="28"/>
                <w:lang w:val="uk-UA"/>
              </w:rPr>
              <w:t>- виробництва, через великі зусилля оцінки всіх непрямих ефектів знизу вгору</w:t>
            </w:r>
          </w:p>
        </w:tc>
        <w:tc>
          <w:tcPr>
            <w:tcW w:w="2473" w:type="dxa"/>
          </w:tcPr>
          <w:p w14:paraId="0CB86131"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Ланцюги моделюються за допомогою аналізу вхідних і вихідних даних, а коефіцієнти застосовуються лише для обліку сировини та основних продуктів</w:t>
            </w:r>
          </w:p>
        </w:tc>
      </w:tr>
      <w:tr w:rsidR="00B73EC5" w:rsidRPr="005F0419" w14:paraId="1BDB0303" w14:textId="77777777" w:rsidTr="00B73EC5">
        <w:trPr>
          <w:trHeight w:val="210"/>
        </w:trPr>
        <w:tc>
          <w:tcPr>
            <w:tcW w:w="2137" w:type="dxa"/>
          </w:tcPr>
          <w:p w14:paraId="69C6B668" w14:textId="77777777" w:rsidR="00B73EC5" w:rsidRPr="005F0419" w:rsidRDefault="00B73EC5" w:rsidP="00B73EC5">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Географічна специфікація</w:t>
            </w:r>
          </w:p>
        </w:tc>
        <w:tc>
          <w:tcPr>
            <w:tcW w:w="2627" w:type="dxa"/>
          </w:tcPr>
          <w:p w14:paraId="0750A29B"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Моделі для однієї країни: немає географічної специфікації через припущення використання внутрішньої технології</w:t>
            </w:r>
          </w:p>
          <w:p w14:paraId="3B7ABA39"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Багато регіональні моделі: повне відображення різної </w:t>
            </w:r>
            <w:proofErr w:type="spellStart"/>
            <w:r w:rsidRPr="005F0419">
              <w:rPr>
                <w:rFonts w:ascii="Times New Roman" w:hAnsi="Times New Roman" w:cs="Times New Roman"/>
                <w:sz w:val="28"/>
                <w:szCs w:val="28"/>
                <w:lang w:val="uk-UA"/>
              </w:rPr>
              <w:lastRenderedPageBreak/>
              <w:t>ресурсоємності</w:t>
            </w:r>
            <w:proofErr w:type="spellEnd"/>
            <w:r w:rsidRPr="005F0419">
              <w:rPr>
                <w:rFonts w:ascii="Times New Roman" w:hAnsi="Times New Roman" w:cs="Times New Roman"/>
                <w:sz w:val="28"/>
                <w:szCs w:val="28"/>
                <w:lang w:val="uk-UA"/>
              </w:rPr>
              <w:t xml:space="preserve"> в різних країнах</w:t>
            </w:r>
          </w:p>
        </w:tc>
        <w:tc>
          <w:tcPr>
            <w:tcW w:w="2265" w:type="dxa"/>
          </w:tcPr>
          <w:p w14:paraId="6E46F319"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Фактори часто не відображають конкретну ситуацію в країні, а представлені середніми значеннями</w:t>
            </w:r>
          </w:p>
          <w:p w14:paraId="32E8F07B" w14:textId="77777777" w:rsidR="00B73EC5" w:rsidRPr="005F0419" w:rsidRDefault="00B73EC5" w:rsidP="00B73EC5">
            <w:pPr>
              <w:spacing w:after="0" w:line="240" w:lineRule="auto"/>
              <w:rPr>
                <w:rFonts w:ascii="Times New Roman" w:hAnsi="Times New Roman" w:cs="Times New Roman"/>
                <w:sz w:val="28"/>
                <w:szCs w:val="28"/>
                <w:lang w:val="uk-UA"/>
              </w:rPr>
            </w:pPr>
          </w:p>
        </w:tc>
        <w:tc>
          <w:tcPr>
            <w:tcW w:w="2473" w:type="dxa"/>
          </w:tcPr>
          <w:p w14:paraId="2D5E75D4"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Оскільки застосовуються елементи обох підходів, можна використовувати переваги специфікацій підходу «Вигоди-затрати» разом із доступними для країни коефіцієнтами</w:t>
            </w:r>
          </w:p>
        </w:tc>
      </w:tr>
      <w:tr w:rsidR="00B73EC5" w:rsidRPr="005F0419" w14:paraId="72ACA7C5" w14:textId="77777777" w:rsidTr="00B73EC5">
        <w:trPr>
          <w:trHeight w:val="376"/>
        </w:trPr>
        <w:tc>
          <w:tcPr>
            <w:tcW w:w="2137" w:type="dxa"/>
          </w:tcPr>
          <w:p w14:paraId="3C0F3805" w14:textId="77777777" w:rsidR="00B73EC5" w:rsidRPr="005F0419" w:rsidRDefault="00B73EC5" w:rsidP="00B73EC5">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Деталі сектора та продукту</w:t>
            </w:r>
          </w:p>
        </w:tc>
        <w:tc>
          <w:tcPr>
            <w:tcW w:w="2627" w:type="dxa"/>
          </w:tcPr>
          <w:p w14:paraId="2EE4FEEB"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Обмежена деталізація екологічно чутливих секторів і груп продуктів традиційно є одним з ключових недоліків моделей «витрати-вигоди»</w:t>
            </w:r>
          </w:p>
        </w:tc>
        <w:tc>
          <w:tcPr>
            <w:tcW w:w="2265" w:type="dxa"/>
          </w:tcPr>
          <w:p w14:paraId="221454D1"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Одна з ключових переваг коефіцієнтних підходів, оскільки оцінку можна проводити аж до рівня окремих продуктів і сировини</w:t>
            </w:r>
          </w:p>
        </w:tc>
        <w:tc>
          <w:tcPr>
            <w:tcW w:w="2473" w:type="dxa"/>
          </w:tcPr>
          <w:p w14:paraId="0106886E"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Застосовуйте коефіцієнтний підхід, де необхідно забезпечити достатню роздільну здатність деталей продукту (особливо важливо для сировини)</w:t>
            </w:r>
          </w:p>
        </w:tc>
      </w:tr>
      <w:tr w:rsidR="00B73EC5" w:rsidRPr="00EE578D" w14:paraId="4777A086" w14:textId="77777777" w:rsidTr="00B73EC5">
        <w:trPr>
          <w:trHeight w:val="406"/>
        </w:trPr>
        <w:tc>
          <w:tcPr>
            <w:tcW w:w="2137" w:type="dxa"/>
          </w:tcPr>
          <w:p w14:paraId="64AD192A" w14:textId="77777777" w:rsidR="00B73EC5" w:rsidRPr="005F0419" w:rsidRDefault="00B73EC5" w:rsidP="00B73EC5">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Подвійний підрахунок</w:t>
            </w:r>
          </w:p>
        </w:tc>
        <w:tc>
          <w:tcPr>
            <w:tcW w:w="2627" w:type="dxa"/>
          </w:tcPr>
          <w:p w14:paraId="5FAB5B83"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Повністю </w:t>
            </w:r>
            <w:proofErr w:type="spellStart"/>
            <w:r w:rsidRPr="005F0419">
              <w:rPr>
                <w:rFonts w:ascii="Times New Roman" w:hAnsi="Times New Roman" w:cs="Times New Roman"/>
                <w:sz w:val="28"/>
                <w:szCs w:val="28"/>
                <w:lang w:val="uk-UA"/>
              </w:rPr>
              <w:t>уникнуто</w:t>
            </w:r>
            <w:proofErr w:type="spellEnd"/>
            <w:r w:rsidRPr="005F0419">
              <w:rPr>
                <w:rFonts w:ascii="Times New Roman" w:hAnsi="Times New Roman" w:cs="Times New Roman"/>
                <w:sz w:val="28"/>
                <w:szCs w:val="28"/>
                <w:lang w:val="uk-UA"/>
              </w:rPr>
              <w:t xml:space="preserve"> подвійного підрахунку в розрахунках сліду, оскільки вхідні дані спеціально розподіляються на кінцевий продукт лише в одній країні. </w:t>
            </w:r>
          </w:p>
        </w:tc>
        <w:tc>
          <w:tcPr>
            <w:tcW w:w="2265" w:type="dxa"/>
          </w:tcPr>
          <w:p w14:paraId="4BE2A913"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Небезпека подвійного підрахунку, оскільки ланцюги постачання «знизу вгору» можуть збігатися, зокрема, для продукції більш високого виробництва.</w:t>
            </w:r>
          </w:p>
        </w:tc>
        <w:tc>
          <w:tcPr>
            <w:tcW w:w="2473" w:type="dxa"/>
          </w:tcPr>
          <w:p w14:paraId="517D1ABD"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Подвійного підрахунку здебільшого уникають, оскільки вироблена продукція з більшим обсягом виробництва розраховується на основі підходу «витрат-вигоди»</w:t>
            </w:r>
          </w:p>
        </w:tc>
      </w:tr>
      <w:tr w:rsidR="00B73EC5" w:rsidRPr="00EE578D" w14:paraId="3D48BFFB" w14:textId="77777777" w:rsidTr="00B73EC5">
        <w:trPr>
          <w:trHeight w:val="406"/>
        </w:trPr>
        <w:tc>
          <w:tcPr>
            <w:tcW w:w="2137" w:type="dxa"/>
          </w:tcPr>
          <w:p w14:paraId="535602AE" w14:textId="77777777" w:rsidR="00B73EC5" w:rsidRPr="005F0419" w:rsidRDefault="00B73EC5" w:rsidP="00B73EC5">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Своєчасність</w:t>
            </w:r>
          </w:p>
        </w:tc>
        <w:tc>
          <w:tcPr>
            <w:tcW w:w="2627" w:type="dxa"/>
          </w:tcPr>
          <w:p w14:paraId="25B1AA6C"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Таблиці «витрати-вигоди» для окремих країн часто створюються протягом тривалого відрізку часу. Ще більш проблематичною є ситуація для </w:t>
            </w:r>
            <w:proofErr w:type="spellStart"/>
            <w:r w:rsidRPr="005F0419">
              <w:rPr>
                <w:rFonts w:ascii="Times New Roman" w:hAnsi="Times New Roman" w:cs="Times New Roman"/>
                <w:sz w:val="28"/>
                <w:szCs w:val="28"/>
                <w:lang w:val="uk-UA"/>
              </w:rPr>
              <w:t>мульти</w:t>
            </w:r>
            <w:proofErr w:type="spellEnd"/>
            <w:r w:rsidRPr="005F0419">
              <w:rPr>
                <w:rFonts w:ascii="Times New Roman" w:hAnsi="Times New Roman" w:cs="Times New Roman"/>
                <w:sz w:val="28"/>
                <w:szCs w:val="28"/>
                <w:lang w:val="uk-UA"/>
              </w:rPr>
              <w:t>- регіональних моделей</w:t>
            </w:r>
          </w:p>
        </w:tc>
        <w:tc>
          <w:tcPr>
            <w:tcW w:w="2265" w:type="dxa"/>
          </w:tcPr>
          <w:p w14:paraId="2BE3C994"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Дані про діяльність часто доступні за останні роки, але застосовані коефіцієнти часто застаріли та не відображають поточну ситуацію</w:t>
            </w:r>
          </w:p>
        </w:tc>
        <w:tc>
          <w:tcPr>
            <w:tcW w:w="2473" w:type="dxa"/>
          </w:tcPr>
          <w:p w14:paraId="5CB8EC29"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Оскільки застосовуються елементи обох базових підходів, гібридні підходи стикаються з тими ж обмеженнями</w:t>
            </w:r>
          </w:p>
        </w:tc>
      </w:tr>
      <w:tr w:rsidR="00B73EC5" w:rsidRPr="005F0419" w14:paraId="76913093" w14:textId="77777777" w:rsidTr="00B73EC5">
        <w:trPr>
          <w:trHeight w:val="316"/>
        </w:trPr>
        <w:tc>
          <w:tcPr>
            <w:tcW w:w="2137" w:type="dxa"/>
          </w:tcPr>
          <w:p w14:paraId="2AF9C6EB" w14:textId="77777777" w:rsidR="00B73EC5" w:rsidRPr="005F0419" w:rsidRDefault="00B73EC5" w:rsidP="00B73EC5">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Прозорість</w:t>
            </w:r>
          </w:p>
        </w:tc>
        <w:tc>
          <w:tcPr>
            <w:tcW w:w="2627" w:type="dxa"/>
          </w:tcPr>
          <w:p w14:paraId="4B50EAD4"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Прозорість часто обмежена через величезні обсяги даних. </w:t>
            </w:r>
          </w:p>
        </w:tc>
        <w:tc>
          <w:tcPr>
            <w:tcW w:w="2265" w:type="dxa"/>
          </w:tcPr>
          <w:p w14:paraId="7A4DAF76"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Коефіцієнтні підходи більш чітко відображають основні потоки </w:t>
            </w:r>
            <w:r w:rsidRPr="005F0419">
              <w:rPr>
                <w:rFonts w:ascii="Times New Roman" w:hAnsi="Times New Roman" w:cs="Times New Roman"/>
                <w:sz w:val="28"/>
                <w:szCs w:val="28"/>
                <w:lang w:val="uk-UA"/>
              </w:rPr>
              <w:lastRenderedPageBreak/>
              <w:t>ресурсів на основі даних про виробництво та торгівлю. Це зменшує повноту аналізу, але підвищує його прозорість</w:t>
            </w:r>
          </w:p>
        </w:tc>
        <w:tc>
          <w:tcPr>
            <w:tcW w:w="2473" w:type="dxa"/>
          </w:tcPr>
          <w:p w14:paraId="11514A04"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Гібридні підходи включають елементи обох підходів і, отже, стикаються з </w:t>
            </w:r>
            <w:r w:rsidRPr="005F0419">
              <w:rPr>
                <w:rFonts w:ascii="Times New Roman" w:hAnsi="Times New Roman" w:cs="Times New Roman"/>
                <w:sz w:val="28"/>
                <w:szCs w:val="28"/>
                <w:lang w:val="uk-UA"/>
              </w:rPr>
              <w:lastRenderedPageBreak/>
              <w:t>подібними проблемами щодо прозорості</w:t>
            </w:r>
          </w:p>
        </w:tc>
      </w:tr>
      <w:tr w:rsidR="00B73EC5" w:rsidRPr="005F0419" w14:paraId="2B751A97" w14:textId="77777777" w:rsidTr="00B73EC5">
        <w:trPr>
          <w:trHeight w:val="2913"/>
        </w:trPr>
        <w:tc>
          <w:tcPr>
            <w:tcW w:w="2137" w:type="dxa"/>
          </w:tcPr>
          <w:p w14:paraId="3B016F4A" w14:textId="77777777" w:rsidR="00B73EC5" w:rsidRPr="005F0419" w:rsidRDefault="00B73EC5" w:rsidP="00B73EC5">
            <w:pPr>
              <w:spacing w:after="0" w:line="240" w:lineRule="auto"/>
              <w:jc w:val="both"/>
              <w:rPr>
                <w:rFonts w:ascii="Times New Roman" w:hAnsi="Times New Roman" w:cs="Times New Roman"/>
                <w:bCs/>
                <w:sz w:val="28"/>
                <w:szCs w:val="28"/>
                <w:lang w:val="uk-UA"/>
              </w:rPr>
            </w:pPr>
            <w:proofErr w:type="spellStart"/>
            <w:r w:rsidRPr="005F0419">
              <w:rPr>
                <w:rFonts w:ascii="Times New Roman" w:hAnsi="Times New Roman" w:cs="Times New Roman"/>
                <w:bCs/>
                <w:sz w:val="28"/>
                <w:szCs w:val="28"/>
                <w:lang w:val="uk-UA"/>
              </w:rPr>
              <w:lastRenderedPageBreak/>
              <w:t>Соціо</w:t>
            </w:r>
            <w:proofErr w:type="spellEnd"/>
            <w:r w:rsidRPr="005F0419">
              <w:rPr>
                <w:rFonts w:ascii="Times New Roman" w:hAnsi="Times New Roman" w:cs="Times New Roman"/>
                <w:bCs/>
                <w:sz w:val="28"/>
                <w:szCs w:val="28"/>
                <w:lang w:val="uk-UA"/>
              </w:rPr>
              <w:t>-</w:t>
            </w:r>
          </w:p>
          <w:p w14:paraId="41173556" w14:textId="77777777" w:rsidR="00B73EC5" w:rsidRPr="005F0419" w:rsidRDefault="00B73EC5" w:rsidP="00B73EC5">
            <w:pPr>
              <w:spacing w:after="0" w:line="240" w:lineRule="auto"/>
              <w:jc w:val="both"/>
              <w:rPr>
                <w:rFonts w:ascii="Times New Roman" w:hAnsi="Times New Roman" w:cs="Times New Roman"/>
                <w:bCs/>
                <w:sz w:val="28"/>
                <w:szCs w:val="28"/>
                <w:lang w:val="uk-UA"/>
              </w:rPr>
            </w:pPr>
            <w:r w:rsidRPr="005F0419">
              <w:rPr>
                <w:rFonts w:ascii="Times New Roman" w:hAnsi="Times New Roman" w:cs="Times New Roman"/>
                <w:bCs/>
                <w:sz w:val="28"/>
                <w:szCs w:val="28"/>
                <w:lang w:val="uk-UA"/>
              </w:rPr>
              <w:t>еколого-економічна ефективність</w:t>
            </w:r>
          </w:p>
          <w:p w14:paraId="3265FAB6" w14:textId="77777777" w:rsidR="00B73EC5" w:rsidRPr="005F0419" w:rsidRDefault="00B73EC5" w:rsidP="00B73EC5">
            <w:pPr>
              <w:spacing w:after="0" w:line="240" w:lineRule="auto"/>
              <w:jc w:val="both"/>
              <w:rPr>
                <w:rFonts w:ascii="Times New Roman" w:hAnsi="Times New Roman" w:cs="Times New Roman"/>
                <w:bCs/>
                <w:sz w:val="28"/>
                <w:szCs w:val="28"/>
                <w:lang w:val="uk-UA"/>
              </w:rPr>
            </w:pPr>
          </w:p>
          <w:p w14:paraId="0D4FE320" w14:textId="77777777" w:rsidR="00B73EC5" w:rsidRPr="005F0419" w:rsidRDefault="00B73EC5" w:rsidP="00B73EC5">
            <w:pPr>
              <w:spacing w:after="0" w:line="240" w:lineRule="auto"/>
              <w:jc w:val="both"/>
              <w:rPr>
                <w:rFonts w:ascii="Times New Roman" w:hAnsi="Times New Roman" w:cs="Times New Roman"/>
                <w:bCs/>
                <w:sz w:val="28"/>
                <w:szCs w:val="28"/>
                <w:lang w:val="uk-UA"/>
              </w:rPr>
            </w:pPr>
          </w:p>
          <w:p w14:paraId="4CC8EF48" w14:textId="77777777" w:rsidR="00B73EC5" w:rsidRPr="005F0419" w:rsidRDefault="00B73EC5" w:rsidP="00B73EC5">
            <w:pPr>
              <w:spacing w:after="0" w:line="240" w:lineRule="auto"/>
              <w:jc w:val="both"/>
              <w:rPr>
                <w:rFonts w:ascii="Times New Roman" w:hAnsi="Times New Roman" w:cs="Times New Roman"/>
                <w:bCs/>
                <w:sz w:val="28"/>
                <w:szCs w:val="28"/>
                <w:lang w:val="uk-UA"/>
              </w:rPr>
            </w:pPr>
          </w:p>
          <w:p w14:paraId="539080E3" w14:textId="77777777" w:rsidR="00B73EC5" w:rsidRPr="005F0419" w:rsidRDefault="00B73EC5" w:rsidP="00B73EC5">
            <w:pPr>
              <w:spacing w:after="0" w:line="240" w:lineRule="auto"/>
              <w:jc w:val="both"/>
              <w:rPr>
                <w:rFonts w:ascii="Times New Roman" w:hAnsi="Times New Roman" w:cs="Times New Roman"/>
                <w:bCs/>
                <w:sz w:val="28"/>
                <w:szCs w:val="28"/>
                <w:lang w:val="uk-UA"/>
              </w:rPr>
            </w:pPr>
          </w:p>
        </w:tc>
        <w:tc>
          <w:tcPr>
            <w:tcW w:w="2627" w:type="dxa"/>
          </w:tcPr>
          <w:p w14:paraId="69AD553C" w14:textId="77777777" w:rsidR="00B73EC5" w:rsidRPr="005F0419" w:rsidRDefault="00B73EC5" w:rsidP="00B73EC5">
            <w:pPr>
              <w:spacing w:after="0" w:line="240" w:lineRule="auto"/>
              <w:rPr>
                <w:rFonts w:ascii="Times New Roman" w:hAnsi="Times New Roman" w:cs="Times New Roman"/>
                <w:bCs/>
                <w:sz w:val="28"/>
                <w:szCs w:val="28"/>
                <w:lang w:val="uk-UA"/>
              </w:rPr>
            </w:pPr>
            <w:r w:rsidRPr="005F0419">
              <w:rPr>
                <w:rFonts w:ascii="Times New Roman" w:hAnsi="Times New Roman" w:cs="Times New Roman"/>
                <w:bCs/>
                <w:sz w:val="28"/>
                <w:szCs w:val="28"/>
                <w:lang w:val="uk-UA"/>
              </w:rPr>
              <w:t>За умови переважання значимості економіки в державі – є хорошим методом</w:t>
            </w:r>
          </w:p>
        </w:tc>
        <w:tc>
          <w:tcPr>
            <w:tcW w:w="2265" w:type="dxa"/>
          </w:tcPr>
          <w:p w14:paraId="39ABD7A8"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Урівноважує можливості економічної оцінки та екологічних наслідків для держави</w:t>
            </w:r>
          </w:p>
        </w:tc>
        <w:tc>
          <w:tcPr>
            <w:tcW w:w="2473" w:type="dxa"/>
          </w:tcPr>
          <w:p w14:paraId="107D2159" w14:textId="77777777" w:rsidR="00B73EC5" w:rsidRPr="005F0419" w:rsidRDefault="00B73EC5" w:rsidP="00B73EC5">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Найбільш </w:t>
            </w:r>
            <w:proofErr w:type="spellStart"/>
            <w:r w:rsidRPr="005F0419">
              <w:rPr>
                <w:rFonts w:ascii="Times New Roman" w:hAnsi="Times New Roman" w:cs="Times New Roman"/>
                <w:sz w:val="28"/>
                <w:szCs w:val="28"/>
                <w:lang w:val="uk-UA"/>
              </w:rPr>
              <w:t>соціо</w:t>
            </w:r>
            <w:proofErr w:type="spellEnd"/>
            <w:r w:rsidRPr="005F0419">
              <w:rPr>
                <w:rFonts w:ascii="Times New Roman" w:hAnsi="Times New Roman" w:cs="Times New Roman"/>
                <w:sz w:val="28"/>
                <w:szCs w:val="28"/>
                <w:lang w:val="uk-UA"/>
              </w:rPr>
              <w:t>-еколого-економічно доцільний, соціально необхідний та екологічно виправданий. Враховує різні процеси (виробничі, управлінські, суспільні)</w:t>
            </w:r>
          </w:p>
        </w:tc>
      </w:tr>
    </w:tbl>
    <w:p w14:paraId="4689E2BB" w14:textId="250978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побудовано авторами.</w:t>
      </w:r>
    </w:p>
    <w:p w14:paraId="7F3B67C9"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p>
    <w:p w14:paraId="37123E2D"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Особливо привабливим є той факт, що такий гібридний підхід дозволяє обчислити сліди для чотирьох основних категорій ресурсів (земля, вода, парникові гази, матеріали) на основі того самого аналітичного інструментарію. Це гарантує послідовність, порівнянність і обґрунтованість результатів. </w:t>
      </w:r>
    </w:p>
    <w:p w14:paraId="32CBEB8A"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Отже, гібридні підходи мають дуже високий потенціал, оскільки поєднують у собі переваги обох основних методи. Цей метод уже сьогодні широко застосовується а практиці.</w:t>
      </w:r>
    </w:p>
    <w:p w14:paraId="5417CB2C" w14:textId="77777777" w:rsidR="00B73EC5" w:rsidRPr="005F0419" w:rsidRDefault="00B73EC5" w:rsidP="00B73EC5">
      <w:pPr>
        <w:spacing w:after="0" w:line="360" w:lineRule="auto"/>
        <w:ind w:firstLine="720"/>
        <w:jc w:val="both"/>
        <w:rPr>
          <w:rFonts w:ascii="Times New Roman" w:hAnsi="Times New Roman" w:cs="Times New Roman"/>
          <w:spacing w:val="-4"/>
          <w:sz w:val="28"/>
          <w:szCs w:val="28"/>
          <w:lang w:val="uk-UA"/>
        </w:rPr>
      </w:pPr>
      <w:r w:rsidRPr="005F0419">
        <w:rPr>
          <w:rFonts w:ascii="Times New Roman" w:hAnsi="Times New Roman" w:cs="Times New Roman"/>
          <w:spacing w:val="-4"/>
          <w:sz w:val="28"/>
          <w:szCs w:val="28"/>
          <w:lang w:val="uk-UA"/>
        </w:rPr>
        <w:t>Земельний слід, або фактичний попит на землю, є загальновизнаним методом оцінки загальної площі внутрішніх та зовнішніх земельних ресурсів на національному та глобальному рівнях, необхідної для задоволення кінцевого споживання товарів і послуг у країні. Таким чином, це потужний інструмент, щоб проілюструвати залежність країн або регіонів світу від зовнішньої землі, яка відображена в імпорті та експорті (також називається «віртуальною землею») [61</w:t>
      </w:r>
      <w:r w:rsidRPr="005F0419">
        <w:rPr>
          <w:rFonts w:ascii="Times New Roman" w:eastAsia="Times New Roman" w:hAnsi="Times New Roman" w:cs="Times New Roman"/>
          <w:spacing w:val="-4"/>
          <w:kern w:val="36"/>
          <w:sz w:val="28"/>
          <w:szCs w:val="28"/>
          <w:lang w:val="uk-UA" w:eastAsia="uk-UA"/>
        </w:rPr>
        <w:t>]</w:t>
      </w:r>
      <w:r w:rsidRPr="005F0419">
        <w:rPr>
          <w:rFonts w:ascii="Times New Roman" w:hAnsi="Times New Roman" w:cs="Times New Roman"/>
          <w:spacing w:val="-4"/>
          <w:sz w:val="28"/>
          <w:szCs w:val="28"/>
          <w:lang w:val="uk-UA"/>
        </w:rPr>
        <w:t xml:space="preserve">. </w:t>
      </w:r>
    </w:p>
    <w:p w14:paraId="2FDA401C"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Земельний слід рослинництва – площа землі (га), яка використовується для отримання врожаю (кг). Тобто, земельний слід визначає скільки землі потребує сільськогосподарська культура, в абсолютних значеннях або, якщо порівняти з еталонним слідом для цієї культури, у відносних [62]. </w:t>
      </w:r>
    </w:p>
    <w:p w14:paraId="62DA45F1" w14:textId="77777777" w:rsidR="00B73EC5" w:rsidRPr="005F0419" w:rsidRDefault="00B73EC5" w:rsidP="00B73EC5">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bCs/>
          <w:sz w:val="28"/>
          <w:szCs w:val="28"/>
          <w:lang w:val="uk-UA"/>
        </w:rPr>
        <w:t xml:space="preserve">Земельний слід – це реальна кількість землі, де б вона не була, яка потрібна для виробництва продукту або використовується організацією чи нацією. </w:t>
      </w:r>
      <w:r w:rsidRPr="005F0419">
        <w:rPr>
          <w:rFonts w:ascii="Times New Roman" w:hAnsi="Times New Roman" w:cs="Times New Roman"/>
          <w:sz w:val="28"/>
          <w:szCs w:val="28"/>
          <w:lang w:val="uk-UA"/>
        </w:rPr>
        <w:t xml:space="preserve">Земельний слід – це системний показник використання кількісті земельних ресурсів за теорією життєвого циклу, яка потрібна для виробництва продукту або використовується організацією чи нацією і </w:t>
      </w:r>
      <w:r w:rsidRPr="005F0419">
        <w:rPr>
          <w:rFonts w:ascii="Times New Roman" w:hAnsi="Times New Roman" w:cs="Times New Roman"/>
          <w:bCs/>
          <w:sz w:val="28"/>
          <w:szCs w:val="28"/>
          <w:lang w:val="uk-UA"/>
        </w:rPr>
        <w:t xml:space="preserve">визначається як величина, що обернено пропорційна до врожайності культури: </w:t>
      </w:r>
    </w:p>
    <w:p w14:paraId="7E4DF115" w14:textId="77777777" w:rsidR="00B73EC5" w:rsidRPr="005F0419" w:rsidRDefault="00B73EC5" w:rsidP="00B73EC5">
      <w:pPr>
        <w:spacing w:after="0" w:line="360" w:lineRule="auto"/>
        <w:ind w:firstLine="720"/>
        <w:jc w:val="right"/>
        <w:rPr>
          <w:rFonts w:ascii="Times New Roman" w:hAnsi="Times New Roman" w:cs="Times New Roman"/>
          <w:bCs/>
          <w:iCs/>
          <w:sz w:val="28"/>
          <w:szCs w:val="28"/>
          <w:lang w:val="uk-UA"/>
        </w:rPr>
      </w:pPr>
      <m:oMath>
        <m:r>
          <w:rPr>
            <w:rFonts w:ascii="Cambria Math" w:hAnsi="Cambria Math" w:cs="Times New Roman"/>
            <w:sz w:val="28"/>
            <w:szCs w:val="28"/>
            <w:lang w:val="uk-UA"/>
          </w:rPr>
          <m:t>LF=</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100</m:t>
            </m:r>
          </m:num>
          <m:den>
            <m:r>
              <w:rPr>
                <w:rFonts w:ascii="Cambria Math" w:hAnsi="Cambria Math" w:cs="Times New Roman"/>
                <w:sz w:val="28"/>
                <w:szCs w:val="28"/>
                <w:lang w:val="uk-UA"/>
              </w:rPr>
              <m:t>Y</m:t>
            </m:r>
          </m:den>
        </m:f>
      </m:oMath>
      <w:r w:rsidRPr="005F0419">
        <w:rPr>
          <w:rFonts w:ascii="Times New Roman" w:hAnsi="Times New Roman" w:cs="Times New Roman"/>
          <w:bCs/>
          <w:i/>
          <w:sz w:val="28"/>
          <w:szCs w:val="28"/>
          <w:lang w:val="uk-UA"/>
        </w:rPr>
        <w:t xml:space="preserve">                                                           </w:t>
      </w:r>
      <w:r w:rsidRPr="005F0419">
        <w:rPr>
          <w:rFonts w:ascii="Times New Roman" w:hAnsi="Times New Roman" w:cs="Times New Roman"/>
          <w:bCs/>
          <w:iCs/>
          <w:sz w:val="28"/>
          <w:szCs w:val="28"/>
          <w:lang w:val="uk-UA"/>
        </w:rPr>
        <w:t>(1)</w:t>
      </w:r>
    </w:p>
    <w:p w14:paraId="5A1D6D55" w14:textId="77777777" w:rsidR="00B73EC5" w:rsidRPr="005F0419" w:rsidRDefault="00B73EC5" w:rsidP="00B73EC5">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sz w:val="28"/>
          <w:szCs w:val="28"/>
          <w:lang w:val="uk-UA"/>
        </w:rPr>
        <w:t>де LF – земельний слід культури, м</w:t>
      </w:r>
      <w:r w:rsidRPr="005F0419">
        <w:rPr>
          <w:rFonts w:ascii="Times New Roman" w:hAnsi="Times New Roman" w:cs="Times New Roman"/>
          <w:sz w:val="28"/>
          <w:szCs w:val="28"/>
          <w:vertAlign w:val="superscript"/>
          <w:lang w:val="uk-UA"/>
        </w:rPr>
        <w:t>2</w:t>
      </w:r>
      <w:r w:rsidRPr="005F0419">
        <w:rPr>
          <w:rFonts w:ascii="Times New Roman" w:hAnsi="Times New Roman" w:cs="Times New Roman"/>
          <w:sz w:val="28"/>
          <w:szCs w:val="28"/>
          <w:lang w:val="uk-UA"/>
        </w:rPr>
        <w:t xml:space="preserve">/кг; </w:t>
      </w:r>
      <m:oMath>
        <m:r>
          <w:rPr>
            <w:rFonts w:ascii="Cambria Math" w:hAnsi="Cambria Math" w:cs="Times New Roman"/>
            <w:sz w:val="28"/>
            <w:szCs w:val="28"/>
            <w:lang w:val="uk-UA"/>
          </w:rPr>
          <m:t>Y</m:t>
        </m:r>
      </m:oMath>
      <w:r w:rsidRPr="005F0419">
        <w:rPr>
          <w:rFonts w:ascii="Times New Roman" w:hAnsi="Times New Roman" w:cs="Times New Roman"/>
          <w:bCs/>
          <w:sz w:val="28"/>
          <w:szCs w:val="28"/>
          <w:lang w:val="uk-UA"/>
        </w:rPr>
        <w:t>- урожайність, ц/га.</w:t>
      </w:r>
    </w:p>
    <w:p w14:paraId="35F83C3B" w14:textId="77777777" w:rsidR="00B73EC5" w:rsidRPr="005F0419" w:rsidRDefault="00B73EC5" w:rsidP="00B73EC5">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bCs/>
          <w:sz w:val="28"/>
          <w:szCs w:val="28"/>
          <w:lang w:val="uk-UA"/>
        </w:rPr>
        <w:t xml:space="preserve">Земельний слід можна розраховувати на різних рівнях: мікрорівні (окремий суб’єкт господарювання), </w:t>
      </w:r>
      <w:proofErr w:type="spellStart"/>
      <w:r w:rsidRPr="005F0419">
        <w:rPr>
          <w:rFonts w:ascii="Times New Roman" w:hAnsi="Times New Roman" w:cs="Times New Roman"/>
          <w:bCs/>
          <w:sz w:val="28"/>
          <w:szCs w:val="28"/>
          <w:lang w:val="uk-UA"/>
        </w:rPr>
        <w:t>мезорівні</w:t>
      </w:r>
      <w:proofErr w:type="spellEnd"/>
      <w:r w:rsidRPr="005F0419">
        <w:rPr>
          <w:rFonts w:ascii="Times New Roman" w:hAnsi="Times New Roman" w:cs="Times New Roman"/>
          <w:bCs/>
          <w:sz w:val="28"/>
          <w:szCs w:val="28"/>
          <w:lang w:val="uk-UA"/>
        </w:rPr>
        <w:t xml:space="preserve"> (рівень басейну, адміністративної одиниці) та макрорівні (країни в цілому). </w:t>
      </w:r>
    </w:p>
    <w:p w14:paraId="0F2B81EC"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Вирішуючи, які культури вирощувати, фермери будуть керуватися економічними аспектами щодо раціонального використання водних і земельних ресурсів, які використовують в своїй господарській діяльності. Однак оптимізація використання води та землі на рівні ферми може призвести до значних загальних слідів води та землі на рівні водозбірного басейну, що порушить сталість використання ресурсів. Тому, при прийнятті рішень на мікрорівні, обов’язково необхідно враховувати вплив на рівні басейну, країни в цілому, світу.</w:t>
      </w:r>
    </w:p>
    <w:p w14:paraId="1323F016"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Економічна продуктивність землі (ELP, €/м</w:t>
      </w:r>
      <w:r w:rsidRPr="005F0419">
        <w:rPr>
          <w:rFonts w:ascii="Times New Roman" w:hAnsi="Times New Roman" w:cs="Times New Roman"/>
          <w:sz w:val="28"/>
          <w:szCs w:val="28"/>
          <w:vertAlign w:val="superscript"/>
          <w:lang w:val="uk-UA"/>
        </w:rPr>
        <w:t>2</w:t>
      </w:r>
      <w:r w:rsidRPr="005F0419">
        <w:rPr>
          <w:rFonts w:ascii="Times New Roman" w:hAnsi="Times New Roman" w:cs="Times New Roman"/>
          <w:sz w:val="28"/>
          <w:szCs w:val="28"/>
          <w:lang w:val="uk-UA"/>
        </w:rPr>
        <w:t xml:space="preserve">) з економічних міркувань, демонструє скільки грошей припадає на кожен квадратний метр землі, що використовується у господарській діяльності. Питання мікрорівня зосереджуються на ефективності та продуктивності використання земельних ресурсів окремими фермерським господарством або іншими суб’єктами господарської діяльності. На макрорівні оцінюється стійкість та </w:t>
      </w:r>
      <w:proofErr w:type="spellStart"/>
      <w:r w:rsidRPr="005F0419">
        <w:rPr>
          <w:rFonts w:ascii="Times New Roman" w:hAnsi="Times New Roman" w:cs="Times New Roman"/>
          <w:sz w:val="28"/>
          <w:szCs w:val="28"/>
          <w:lang w:val="uk-UA"/>
        </w:rPr>
        <w:t>соціо</w:t>
      </w:r>
      <w:proofErr w:type="spellEnd"/>
      <w:r w:rsidRPr="005F0419">
        <w:rPr>
          <w:rFonts w:ascii="Times New Roman" w:hAnsi="Times New Roman" w:cs="Times New Roman"/>
          <w:sz w:val="28"/>
          <w:szCs w:val="28"/>
          <w:lang w:val="uk-UA"/>
        </w:rPr>
        <w:t>-еколого-</w:t>
      </w:r>
      <w:r w:rsidRPr="005F0419">
        <w:rPr>
          <w:rFonts w:ascii="Times New Roman" w:hAnsi="Times New Roman" w:cs="Times New Roman"/>
          <w:sz w:val="28"/>
          <w:szCs w:val="28"/>
          <w:lang w:val="uk-UA"/>
        </w:rPr>
        <w:lastRenderedPageBreak/>
        <w:t xml:space="preserve">економічна доцільність використання земельних ресурсів (басейну річки, країни, світу). </w:t>
      </w:r>
    </w:p>
    <w:p w14:paraId="64BE3C0E"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Загальний земельний слід на рівні системи є результатом впливу на земельні ресурси всіх складових елементів системи. На макрорівні зазвичай намагаються кількісно визначити критичні межі (асиміляційна здатність) загального тиску в системі, щоб не порушити сталість земельних ресурсів [63-65]. Перевищення цих меж призведе до небажаних наслідків. Визначення максимально стійких слідів є одним із способів кількісної оцінки критичного використання земельних ресурсів на макрорівні [66]. Для забезпечення </w:t>
      </w:r>
      <w:proofErr w:type="spellStart"/>
      <w:r w:rsidRPr="005F0419">
        <w:rPr>
          <w:rFonts w:ascii="Times New Roman" w:hAnsi="Times New Roman" w:cs="Times New Roman"/>
          <w:sz w:val="28"/>
          <w:szCs w:val="28"/>
          <w:lang w:val="uk-UA"/>
        </w:rPr>
        <w:t>соціо</w:t>
      </w:r>
      <w:proofErr w:type="spellEnd"/>
      <w:r w:rsidRPr="005F0419">
        <w:rPr>
          <w:rFonts w:ascii="Times New Roman" w:hAnsi="Times New Roman" w:cs="Times New Roman"/>
          <w:sz w:val="28"/>
          <w:szCs w:val="28"/>
          <w:lang w:val="uk-UA"/>
        </w:rPr>
        <w:t>-екологічної рівноваги у природно-господарських системах необхідно застосовувати найбільш екологічно доцільні, соціально необхідні та економічно виправдані технології землекористування.</w:t>
      </w:r>
    </w:p>
    <w:p w14:paraId="7112CA89"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Для вимірювання </w:t>
      </w:r>
      <w:proofErr w:type="spellStart"/>
      <w:r w:rsidRPr="005F0419">
        <w:rPr>
          <w:rFonts w:ascii="Times New Roman" w:hAnsi="Times New Roman" w:cs="Times New Roman"/>
          <w:sz w:val="28"/>
          <w:szCs w:val="28"/>
          <w:lang w:val="uk-UA"/>
        </w:rPr>
        <w:t>соціо</w:t>
      </w:r>
      <w:proofErr w:type="spellEnd"/>
      <w:r w:rsidRPr="005F0419">
        <w:rPr>
          <w:rFonts w:ascii="Times New Roman" w:hAnsi="Times New Roman" w:cs="Times New Roman"/>
          <w:sz w:val="28"/>
          <w:szCs w:val="28"/>
          <w:lang w:val="uk-UA"/>
        </w:rPr>
        <w:t>-еколого-економічних продуктів (сліду, включаючи й земельний) фактично існуючих територіально-господарських систем (громад) та теоретично можливих (екологічно сертифіковані територіально-господарські системи) доцільно використовувати наступну формулу:</w:t>
      </w:r>
    </w:p>
    <w:p w14:paraId="4CF68B15" w14:textId="77777777" w:rsidR="00B73EC5" w:rsidRPr="005F0419" w:rsidRDefault="00B73EC5" w:rsidP="00B73EC5">
      <w:pPr>
        <w:spacing w:after="0" w:line="360" w:lineRule="auto"/>
        <w:ind w:firstLine="720"/>
        <w:jc w:val="right"/>
        <w:rPr>
          <w:rFonts w:ascii="Times New Roman" w:hAnsi="Times New Roman" w:cs="Times New Roman"/>
          <w:sz w:val="28"/>
          <w:szCs w:val="28"/>
          <w:lang w:val="uk-UA"/>
        </w:rPr>
      </w:pPr>
      <m:oMath>
        <m:r>
          <w:rPr>
            <w:rFonts w:ascii="Cambria Math" w:hAnsi="Cambria Math" w:cs="Times New Roman"/>
            <w:sz w:val="28"/>
            <w:szCs w:val="28"/>
            <w:lang w:val="uk-UA"/>
          </w:rPr>
          <m:t>CEE=</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1</m:t>
            </m:r>
          </m:sub>
        </m:sSub>
        <m:nary>
          <m:naryPr>
            <m:chr m:val="∑"/>
            <m:limLoc m:val="undOvr"/>
            <m:subHide m:val="1"/>
            <m:supHide m:val="1"/>
            <m:ctrlPr>
              <w:rPr>
                <w:rFonts w:ascii="Cambria Math" w:hAnsi="Cambria Math" w:cs="Times New Roman"/>
                <w:i/>
                <w:sz w:val="28"/>
                <w:szCs w:val="28"/>
                <w:lang w:val="uk-UA"/>
              </w:rPr>
            </m:ctrlPr>
          </m:naryPr>
          <m:sub/>
          <m:sup/>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факт.</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теор.</m:t>
                    </m:r>
                  </m:sub>
                </m:sSub>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2</m:t>
                </m:r>
              </m:sub>
            </m:sSub>
            <m:nary>
              <m:naryPr>
                <m:chr m:val="∑"/>
                <m:limLoc m:val="undOvr"/>
                <m:subHide m:val="1"/>
                <m:supHide m:val="1"/>
                <m:ctrlPr>
                  <w:rPr>
                    <w:rFonts w:ascii="Cambria Math" w:hAnsi="Cambria Math" w:cs="Times New Roman"/>
                    <w:i/>
                    <w:sz w:val="28"/>
                    <w:szCs w:val="28"/>
                    <w:lang w:val="uk-UA"/>
                  </w:rPr>
                </m:ctrlPr>
              </m:naryPr>
              <m:sub/>
              <m:sup/>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факт.екол.</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теор.екол.</m:t>
                        </m:r>
                      </m:sub>
                    </m:sSub>
                  </m:den>
                </m:f>
              </m:e>
            </m:nary>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3</m:t>
                </m:r>
              </m:sub>
            </m:sSub>
            <m:nary>
              <m:naryPr>
                <m:chr m:val="∑"/>
                <m:limLoc m:val="undOvr"/>
                <m:subHide m:val="1"/>
                <m:supHide m:val="1"/>
                <m:ctrlPr>
                  <w:rPr>
                    <w:rFonts w:ascii="Cambria Math" w:hAnsi="Cambria Math" w:cs="Times New Roman"/>
                    <w:i/>
                    <w:sz w:val="28"/>
                    <w:szCs w:val="28"/>
                    <w:lang w:val="uk-UA"/>
                  </w:rPr>
                </m:ctrlPr>
              </m:naryPr>
              <m:sub/>
              <m:sup/>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факт.екон.</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теор.екон.</m:t>
                        </m:r>
                      </m:sub>
                    </m:sSub>
                  </m:den>
                </m:f>
              </m:e>
            </m:nary>
          </m:e>
        </m:nary>
      </m:oMath>
      <w:r w:rsidRPr="005F0419">
        <w:rPr>
          <w:rFonts w:ascii="Times New Roman" w:hAnsi="Times New Roman" w:cs="Times New Roman"/>
          <w:sz w:val="28"/>
          <w:szCs w:val="28"/>
          <w:lang w:val="uk-UA"/>
        </w:rPr>
        <w:t xml:space="preserve">                             (2)</w:t>
      </w:r>
    </w:p>
    <w:p w14:paraId="793F3923" w14:textId="0D140009"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w:r w:rsidRPr="005F0419">
        <w:rPr>
          <w:rFonts w:ascii="Times New Roman" w:hAnsi="Times New Roman" w:cs="Times New Roman"/>
          <w:i/>
          <w:iCs/>
          <w:sz w:val="28"/>
          <w:szCs w:val="28"/>
          <w:lang w:val="uk-UA"/>
        </w:rPr>
        <w:t xml:space="preserve">СЕЕ </w:t>
      </w:r>
      <w:r w:rsidRPr="005F0419">
        <w:rPr>
          <w:rFonts w:ascii="Times New Roman" w:hAnsi="Times New Roman" w:cs="Times New Roman"/>
          <w:sz w:val="28"/>
          <w:szCs w:val="28"/>
          <w:lang w:val="uk-UA"/>
        </w:rPr>
        <w:t xml:space="preserve">– сумарний </w:t>
      </w:r>
      <w:proofErr w:type="spellStart"/>
      <w:r w:rsidRPr="005F0419">
        <w:rPr>
          <w:rFonts w:ascii="Times New Roman" w:hAnsi="Times New Roman" w:cs="Times New Roman"/>
          <w:sz w:val="28"/>
          <w:szCs w:val="28"/>
          <w:lang w:val="uk-UA"/>
        </w:rPr>
        <w:t>соціо</w:t>
      </w:r>
      <w:proofErr w:type="spellEnd"/>
      <w:r w:rsidRPr="005F0419">
        <w:rPr>
          <w:rFonts w:ascii="Times New Roman" w:hAnsi="Times New Roman" w:cs="Times New Roman"/>
          <w:sz w:val="28"/>
          <w:szCs w:val="28"/>
          <w:lang w:val="uk-UA"/>
        </w:rPr>
        <w:t xml:space="preserve">-еколого-економічний продукт територіально-господарської системи (громади); </w:t>
      </w:r>
      <w:proofErr w:type="spellStart"/>
      <w:r w:rsidRPr="005F0419">
        <w:rPr>
          <w:rFonts w:ascii="Times New Roman" w:hAnsi="Times New Roman" w:cs="Times New Roman"/>
          <w:i/>
          <w:iCs/>
          <w:sz w:val="28"/>
          <w:szCs w:val="28"/>
          <w:lang w:val="uk-UA"/>
        </w:rPr>
        <w:t>С</w:t>
      </w:r>
      <w:r w:rsidRPr="005F0419">
        <w:rPr>
          <w:rFonts w:ascii="Times New Roman" w:hAnsi="Times New Roman" w:cs="Times New Roman"/>
          <w:sz w:val="28"/>
          <w:szCs w:val="28"/>
          <w:vertAlign w:val="subscript"/>
          <w:lang w:val="uk-UA"/>
        </w:rPr>
        <w:t>факт</w:t>
      </w:r>
      <w:proofErr w:type="spellEnd"/>
      <w:r w:rsidRPr="005F0419">
        <w:rPr>
          <w:rFonts w:ascii="Times New Roman" w:hAnsi="Times New Roman" w:cs="Times New Roman"/>
          <w:sz w:val="28"/>
          <w:szCs w:val="28"/>
          <w:vertAlign w:val="subscript"/>
          <w:lang w:val="uk-UA"/>
        </w:rPr>
        <w:t>.</w:t>
      </w:r>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i/>
          <w:iCs/>
          <w:sz w:val="28"/>
          <w:szCs w:val="28"/>
          <w:lang w:val="uk-UA"/>
        </w:rPr>
        <w:t>С</w:t>
      </w:r>
      <w:r w:rsidRPr="005F0419">
        <w:rPr>
          <w:rFonts w:ascii="Times New Roman" w:hAnsi="Times New Roman" w:cs="Times New Roman"/>
          <w:sz w:val="28"/>
          <w:szCs w:val="28"/>
          <w:vertAlign w:val="subscript"/>
          <w:lang w:val="uk-UA"/>
        </w:rPr>
        <w:t>теор</w:t>
      </w:r>
      <w:proofErr w:type="spellEnd"/>
      <w:r w:rsidRPr="005F0419">
        <w:rPr>
          <w:rFonts w:ascii="Times New Roman" w:hAnsi="Times New Roman" w:cs="Times New Roman"/>
          <w:sz w:val="28"/>
          <w:szCs w:val="28"/>
          <w:vertAlign w:val="subscript"/>
          <w:lang w:val="uk-UA"/>
        </w:rPr>
        <w:t>.</w:t>
      </w:r>
      <w:r w:rsidRPr="005F0419">
        <w:rPr>
          <w:rFonts w:ascii="Times New Roman" w:hAnsi="Times New Roman" w:cs="Times New Roman"/>
          <w:sz w:val="28"/>
          <w:szCs w:val="28"/>
          <w:lang w:val="uk-UA"/>
        </w:rPr>
        <w:t xml:space="preserve"> – фактичні та теоретичні об’єми (кількість продукції, послуг) відповідно у соціальній сфері; </w:t>
      </w:r>
      <w:proofErr w:type="spellStart"/>
      <w:r w:rsidRPr="005F0419">
        <w:rPr>
          <w:rFonts w:ascii="Times New Roman" w:hAnsi="Times New Roman" w:cs="Times New Roman"/>
          <w:i/>
          <w:iCs/>
          <w:sz w:val="28"/>
          <w:szCs w:val="28"/>
          <w:lang w:val="uk-UA"/>
        </w:rPr>
        <w:t>Е</w:t>
      </w:r>
      <w:r w:rsidRPr="005F0419">
        <w:rPr>
          <w:rFonts w:ascii="Times New Roman" w:hAnsi="Times New Roman" w:cs="Times New Roman"/>
          <w:sz w:val="28"/>
          <w:szCs w:val="28"/>
          <w:vertAlign w:val="subscript"/>
          <w:lang w:val="uk-UA"/>
        </w:rPr>
        <w:t>факт.екол</w:t>
      </w:r>
      <w:proofErr w:type="spellEnd"/>
      <w:r w:rsidRPr="005F0419">
        <w:rPr>
          <w:rFonts w:ascii="Times New Roman" w:hAnsi="Times New Roman" w:cs="Times New Roman"/>
          <w:sz w:val="28"/>
          <w:szCs w:val="28"/>
          <w:vertAlign w:val="subscript"/>
          <w:lang w:val="uk-UA"/>
        </w:rPr>
        <w:t>.</w:t>
      </w:r>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i/>
          <w:iCs/>
          <w:sz w:val="28"/>
          <w:szCs w:val="28"/>
          <w:lang w:val="uk-UA"/>
        </w:rPr>
        <w:t>Е</w:t>
      </w:r>
      <w:r w:rsidRPr="005F0419">
        <w:rPr>
          <w:rFonts w:ascii="Times New Roman" w:hAnsi="Times New Roman" w:cs="Times New Roman"/>
          <w:sz w:val="28"/>
          <w:szCs w:val="28"/>
          <w:vertAlign w:val="subscript"/>
          <w:lang w:val="uk-UA"/>
        </w:rPr>
        <w:t>теор.екол</w:t>
      </w:r>
      <w:proofErr w:type="spellEnd"/>
      <w:r w:rsidRPr="005F0419">
        <w:rPr>
          <w:rFonts w:ascii="Times New Roman" w:hAnsi="Times New Roman" w:cs="Times New Roman"/>
          <w:sz w:val="28"/>
          <w:szCs w:val="28"/>
          <w:vertAlign w:val="subscript"/>
          <w:lang w:val="uk-UA"/>
        </w:rPr>
        <w:t>.</w:t>
      </w:r>
      <w:r w:rsidRPr="005F0419">
        <w:rPr>
          <w:rFonts w:ascii="Times New Roman" w:hAnsi="Times New Roman" w:cs="Times New Roman"/>
          <w:sz w:val="28"/>
          <w:szCs w:val="28"/>
          <w:lang w:val="uk-UA"/>
        </w:rPr>
        <w:t xml:space="preserve"> – фактичні та теоретичні об’єми (кількість продукції, послуг) відповідно у екологічній сфері; </w:t>
      </w:r>
      <w:proofErr w:type="spellStart"/>
      <w:r w:rsidRPr="005F0419">
        <w:rPr>
          <w:rFonts w:ascii="Times New Roman" w:hAnsi="Times New Roman" w:cs="Times New Roman"/>
          <w:i/>
          <w:iCs/>
          <w:sz w:val="28"/>
          <w:szCs w:val="28"/>
          <w:lang w:val="uk-UA"/>
        </w:rPr>
        <w:t>Е</w:t>
      </w:r>
      <w:r w:rsidRPr="005F0419">
        <w:rPr>
          <w:rFonts w:ascii="Times New Roman" w:hAnsi="Times New Roman" w:cs="Times New Roman"/>
          <w:sz w:val="28"/>
          <w:szCs w:val="28"/>
          <w:vertAlign w:val="subscript"/>
          <w:lang w:val="uk-UA"/>
        </w:rPr>
        <w:t>факт.екон</w:t>
      </w:r>
      <w:proofErr w:type="spellEnd"/>
      <w:r w:rsidRPr="005F0419">
        <w:rPr>
          <w:rFonts w:ascii="Times New Roman" w:hAnsi="Times New Roman" w:cs="Times New Roman"/>
          <w:sz w:val="28"/>
          <w:szCs w:val="28"/>
          <w:vertAlign w:val="subscript"/>
          <w:lang w:val="uk-UA"/>
        </w:rPr>
        <w:t>.</w:t>
      </w:r>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i/>
          <w:iCs/>
          <w:sz w:val="28"/>
          <w:szCs w:val="28"/>
          <w:lang w:val="uk-UA"/>
        </w:rPr>
        <w:t>Е</w:t>
      </w:r>
      <w:r w:rsidRPr="005F0419">
        <w:rPr>
          <w:rFonts w:ascii="Times New Roman" w:hAnsi="Times New Roman" w:cs="Times New Roman"/>
          <w:sz w:val="28"/>
          <w:szCs w:val="28"/>
          <w:vertAlign w:val="subscript"/>
          <w:lang w:val="uk-UA"/>
        </w:rPr>
        <w:t>теор.екон</w:t>
      </w:r>
      <w:proofErr w:type="spellEnd"/>
      <w:r w:rsidRPr="005F0419">
        <w:rPr>
          <w:rFonts w:ascii="Times New Roman" w:hAnsi="Times New Roman" w:cs="Times New Roman"/>
          <w:sz w:val="28"/>
          <w:szCs w:val="28"/>
          <w:vertAlign w:val="subscript"/>
          <w:lang w:val="uk-UA"/>
        </w:rPr>
        <w:t>.</w:t>
      </w:r>
      <w:r w:rsidRPr="005F0419">
        <w:rPr>
          <w:rFonts w:ascii="Times New Roman" w:hAnsi="Times New Roman" w:cs="Times New Roman"/>
          <w:sz w:val="28"/>
          <w:szCs w:val="28"/>
          <w:lang w:val="uk-UA"/>
        </w:rPr>
        <w:t xml:space="preserve"> – фактичні та теоретичні об’єми (кількість продукції, послуг) відповідно у економічній сфері; </w:t>
      </w:r>
      <w:r w:rsidRPr="005F0419">
        <w:rPr>
          <w:rFonts w:ascii="Times New Roman" w:hAnsi="Times New Roman" w:cs="Times New Roman"/>
          <w:i/>
          <w:iCs/>
          <w:sz w:val="28"/>
          <w:szCs w:val="28"/>
          <w:lang w:val="uk-UA"/>
        </w:rPr>
        <w:t>К</w:t>
      </w:r>
      <w:r w:rsidRPr="005F0419">
        <w:rPr>
          <w:rFonts w:ascii="Times New Roman" w:hAnsi="Times New Roman" w:cs="Times New Roman"/>
          <w:sz w:val="28"/>
          <w:szCs w:val="28"/>
          <w:vertAlign w:val="subscript"/>
          <w:lang w:val="uk-UA"/>
        </w:rPr>
        <w:t>1</w:t>
      </w:r>
      <w:r w:rsidRPr="005F0419">
        <w:rPr>
          <w:rFonts w:ascii="Times New Roman" w:hAnsi="Times New Roman" w:cs="Times New Roman"/>
          <w:sz w:val="28"/>
          <w:szCs w:val="28"/>
          <w:lang w:val="uk-UA"/>
        </w:rPr>
        <w:t xml:space="preserve">, </w:t>
      </w:r>
      <w:r w:rsidRPr="005F0419">
        <w:rPr>
          <w:rFonts w:ascii="Times New Roman" w:hAnsi="Times New Roman" w:cs="Times New Roman"/>
          <w:i/>
          <w:iCs/>
          <w:sz w:val="28"/>
          <w:szCs w:val="28"/>
          <w:lang w:val="uk-UA"/>
        </w:rPr>
        <w:t>К</w:t>
      </w:r>
      <w:r w:rsidRPr="005F0419">
        <w:rPr>
          <w:rFonts w:ascii="Times New Roman" w:hAnsi="Times New Roman" w:cs="Times New Roman"/>
          <w:sz w:val="28"/>
          <w:szCs w:val="28"/>
          <w:vertAlign w:val="subscript"/>
          <w:lang w:val="uk-UA"/>
        </w:rPr>
        <w:t>2</w:t>
      </w:r>
      <w:r w:rsidRPr="005F0419">
        <w:rPr>
          <w:rFonts w:ascii="Times New Roman" w:hAnsi="Times New Roman" w:cs="Times New Roman"/>
          <w:sz w:val="28"/>
          <w:szCs w:val="28"/>
          <w:lang w:val="uk-UA"/>
        </w:rPr>
        <w:t xml:space="preserve">, </w:t>
      </w:r>
      <w:r w:rsidRPr="005F0419">
        <w:rPr>
          <w:rFonts w:ascii="Times New Roman" w:hAnsi="Times New Roman" w:cs="Times New Roman"/>
          <w:i/>
          <w:iCs/>
          <w:sz w:val="28"/>
          <w:szCs w:val="28"/>
          <w:lang w:val="uk-UA"/>
        </w:rPr>
        <w:t>К</w:t>
      </w:r>
      <w:r w:rsidRPr="005F0419">
        <w:rPr>
          <w:rFonts w:ascii="Times New Roman" w:hAnsi="Times New Roman" w:cs="Times New Roman"/>
          <w:sz w:val="28"/>
          <w:szCs w:val="28"/>
          <w:vertAlign w:val="subscript"/>
          <w:lang w:val="uk-UA"/>
        </w:rPr>
        <w:t xml:space="preserve">3 </w:t>
      </w:r>
      <w:r w:rsidRPr="005F0419">
        <w:rPr>
          <w:rFonts w:ascii="Times New Roman" w:hAnsi="Times New Roman" w:cs="Times New Roman"/>
          <w:sz w:val="28"/>
          <w:szCs w:val="28"/>
          <w:lang w:val="uk-UA"/>
        </w:rPr>
        <w:t>– коефіцієнти ваги соціальних, екологічних, економічних продуктів в територіально-господарських  системах.</w:t>
      </w:r>
    </w:p>
    <w:p w14:paraId="097FFF03"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Формула показує системний підхід до визначення співвідношень земельного еквівалента для цілісного виміру ефективності </w:t>
      </w:r>
      <w:r w:rsidRPr="005F0419">
        <w:rPr>
          <w:rFonts w:ascii="Times New Roman" w:hAnsi="Times New Roman" w:cs="Times New Roman"/>
          <w:sz w:val="28"/>
          <w:szCs w:val="28"/>
          <w:lang w:val="uk-UA"/>
        </w:rPr>
        <w:lastRenderedPageBreak/>
        <w:t>сільськогосподарського виробництва у масштабах територіально-господарських систем (громад).</w:t>
      </w:r>
    </w:p>
    <w:p w14:paraId="0E66BCFB"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Формула будується на понятті розриву в урожайності, тобто співвідношення, який обсяг сільгосппродукції вироблено фактично і який обсяг можна було б отримати (потенційно) з одиниці площі земель, причому така методика враховує не лише врожай, а й надання послуг всіх видів усіма ділянками земель, що формують єдиний ландшафт (єдину територію, систему, а наразі територію громади). Методика охоплює всі послуги, актуальні для будь-якого конкретного контексту, з урахуванням вагових коефіцієнтів, які визначаються важливістю для відповідних зацікавлених сторін (суспільні вагові коефіцієнти). При цьому може виникнути необхідність у тому, щоб звести вагові коефіцієнти за масштабами та групами зацікавлених сторін, які можуть по-різному оцінювати важливість тих самих послуг.</w:t>
      </w:r>
    </w:p>
    <w:p w14:paraId="3A7A7A16" w14:textId="77777777" w:rsidR="004371F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Сільське господарство України у період воєнного стану переживає досить непрості часи, хоча має потужний земельний потенціал, який використовується неефективно. </w:t>
      </w:r>
    </w:p>
    <w:p w14:paraId="166CA714" w14:textId="11F33665"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Уряду України слід диверсифікувати поточний сільськогосподарський портфель з низькою вартістю, лише з основних культур, щоб підвищити загальну продуктивність, зменшити ризики неврожаїв, посухи, кон’юнктури на світових ринках та, як результат </w:t>
      </w:r>
      <w:r w:rsidR="004371F5"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збільшити</w:t>
      </w:r>
      <w:r w:rsidR="004371F5"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експорт готової продукції (напівфабрикатів). </w:t>
      </w:r>
    </w:p>
    <w:p w14:paraId="61525F17" w14:textId="77777777" w:rsidR="00B73EC5" w:rsidRPr="005F0419" w:rsidRDefault="00B73EC5" w:rsidP="00B73EC5">
      <w:pPr>
        <w:spacing w:after="0" w:line="360" w:lineRule="auto"/>
        <w:ind w:firstLine="720"/>
        <w:jc w:val="both"/>
        <w:rPr>
          <w:rFonts w:ascii="Times New Roman" w:eastAsia="Times New Roman" w:hAnsi="Times New Roman" w:cs="Times New Roman"/>
          <w:sz w:val="28"/>
          <w:szCs w:val="28"/>
          <w:highlight w:val="white"/>
          <w:lang w:val="uk-UA"/>
        </w:rPr>
      </w:pPr>
      <w:r w:rsidRPr="005F0419">
        <w:rPr>
          <w:rFonts w:ascii="Times New Roman" w:eastAsia="Times New Roman" w:hAnsi="Times New Roman" w:cs="Times New Roman"/>
          <w:sz w:val="28"/>
          <w:szCs w:val="28"/>
          <w:lang w:val="uk-UA"/>
        </w:rPr>
        <w:t>В першу чергу, суттєво змінилася структура посівних площ і перелік культур у сівозміні.</w:t>
      </w:r>
      <w:r w:rsidRPr="005F0419">
        <w:rPr>
          <w:rFonts w:ascii="Times New Roman" w:eastAsia="Times New Roman" w:hAnsi="Times New Roman" w:cs="Times New Roman"/>
          <w:sz w:val="28"/>
          <w:szCs w:val="28"/>
          <w:highlight w:val="white"/>
          <w:lang w:val="uk-UA"/>
        </w:rPr>
        <w:t xml:space="preserve"> За останні 50 років, пройшло кілька етапів еволюції землекористування в Україні:  планове покращення якості ґрунтів до 1990 року; виснаження потенційно  найбільш родючих ґрунтів (1990 – 2010рр);  початок залучення мало родючих земель (розорювання земель які  фактично не використовувались у 1990-2010рр); інтенсифікація  землекористування та спеціалізація на  зернових й технічних культурах з географічною експансією соняшника та ріпаку у північні області України (з 2010 року по наш час). </w:t>
      </w:r>
    </w:p>
    <w:p w14:paraId="3016D15E" w14:textId="63980888"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Аналіз проведено на прикладі Рівненської області, яка розташована у зоні Полісся і Лісостепу  за останні 30 років. На рис</w:t>
      </w:r>
      <w:r w:rsidR="004371F5" w:rsidRPr="005F0419">
        <w:rPr>
          <w:rFonts w:ascii="Times New Roman" w:eastAsia="Times New Roman" w:hAnsi="Times New Roman" w:cs="Times New Roman"/>
          <w:sz w:val="28"/>
          <w:szCs w:val="28"/>
          <w:lang w:val="uk-UA"/>
        </w:rPr>
        <w:t>унку</w:t>
      </w:r>
      <w:r w:rsidRPr="005F0419">
        <w:rPr>
          <w:rFonts w:ascii="Times New Roman" w:eastAsia="Times New Roman" w:hAnsi="Times New Roman" w:cs="Times New Roman"/>
          <w:sz w:val="28"/>
          <w:szCs w:val="28"/>
          <w:lang w:val="uk-UA"/>
        </w:rPr>
        <w:t xml:space="preserve"> 1, відображено кількісні та </w:t>
      </w:r>
      <w:r w:rsidRPr="005F0419">
        <w:rPr>
          <w:rFonts w:ascii="Times New Roman" w:eastAsia="Times New Roman" w:hAnsi="Times New Roman" w:cs="Times New Roman"/>
          <w:sz w:val="28"/>
          <w:szCs w:val="28"/>
          <w:lang w:val="uk-UA"/>
        </w:rPr>
        <w:lastRenderedPageBreak/>
        <w:t>якісні зміни посівних площ сільськогосподарських культур. Негативна тенденція зменшення посівних площ спостерігається до 2014 року. Основна причина – перехід від колективної до приватної власності, розпаювання сільськогосподарських земель, низька економічну ефективність та інвестиційна непривабливість сільськогосподарського виробництва. О</w:t>
      </w:r>
      <w:r w:rsidRPr="005F0419">
        <w:rPr>
          <w:rFonts w:ascii="Times New Roman" w:hAnsi="Times New Roman" w:cs="Times New Roman"/>
          <w:sz w:val="28"/>
          <w:szCs w:val="28"/>
          <w:lang w:val="uk-UA"/>
        </w:rPr>
        <w:t xml:space="preserve">собливостями землекористування в цей період: </w:t>
      </w:r>
      <w:r w:rsidRPr="005F0419">
        <w:rPr>
          <w:rFonts w:ascii="Times New Roman" w:eastAsia="Times New Roman" w:hAnsi="Times New Roman" w:cs="Times New Roman"/>
          <w:sz w:val="28"/>
          <w:szCs w:val="28"/>
          <w:lang w:val="uk-UA"/>
        </w:rPr>
        <w:t xml:space="preserve">вилучення з обробітку </w:t>
      </w:r>
      <w:r w:rsidRPr="005F0419">
        <w:rPr>
          <w:rFonts w:ascii="Times New Roman" w:hAnsi="Times New Roman" w:cs="Times New Roman"/>
          <w:sz w:val="28"/>
          <w:szCs w:val="28"/>
          <w:lang w:val="uk-UA"/>
        </w:rPr>
        <w:t>малородючих земель; поширення процесів природного залуження; значна зміна видів вирощуваних рослин; інтенсифікація рослинництва; мінімальні й близькі до нуля дози органічних добрив через занепад тваринництва; недостатнє внесення мінеральних добрив у ґрунт; різке зростання підживлення рослин по листу.</w:t>
      </w:r>
    </w:p>
    <w:p w14:paraId="7CFD23F5" w14:textId="77777777" w:rsidR="00B73EC5" w:rsidRPr="005F0419" w:rsidRDefault="00B73EC5" w:rsidP="004371F5">
      <w:pPr>
        <w:spacing w:after="0" w:line="360" w:lineRule="auto"/>
        <w:jc w:val="center"/>
        <w:rPr>
          <w:rFonts w:ascii="Times New Roman" w:eastAsia="Times New Roman" w:hAnsi="Times New Roman" w:cs="Times New Roman"/>
          <w:noProof/>
          <w:sz w:val="28"/>
          <w:szCs w:val="28"/>
          <w:lang w:val="uk-UA"/>
        </w:rPr>
      </w:pPr>
      <w:r w:rsidRPr="005F0419">
        <w:rPr>
          <w:rFonts w:ascii="Times New Roman" w:hAnsi="Times New Roman" w:cs="Times New Roman"/>
          <w:noProof/>
          <w:sz w:val="28"/>
          <w:szCs w:val="28"/>
          <w:lang w:val="uk-UA"/>
        </w:rPr>
        <w:drawing>
          <wp:inline distT="0" distB="0" distL="0" distR="0" wp14:anchorId="53EFAADE" wp14:editId="59140297">
            <wp:extent cx="5876925" cy="3286125"/>
            <wp:effectExtent l="0" t="0" r="0" b="0"/>
            <wp:docPr id="1883730172" name="Діаграма 1">
              <a:extLst xmlns:a="http://schemas.openxmlformats.org/drawingml/2006/main">
                <a:ext uri="{FF2B5EF4-FFF2-40B4-BE49-F238E27FC236}">
                  <a16:creationId xmlns:a16="http://schemas.microsoft.com/office/drawing/2014/main" id="{00000000-0008-0000-08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16596D9C" w14:textId="1E5A3651"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1. Динаміка структури посівних площ у Рівненській області (без урахування особистих господарств населення)  </w:t>
      </w:r>
    </w:p>
    <w:p w14:paraId="05E2920D" w14:textId="2475FB1D" w:rsidR="004371F5" w:rsidRPr="005F0419" w:rsidRDefault="004371F5" w:rsidP="004371F5">
      <w:pPr>
        <w:spacing w:after="0" w:line="360" w:lineRule="auto"/>
        <w:ind w:firstLine="720"/>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Джерело: побудовано авторами.</w:t>
      </w:r>
    </w:p>
    <w:p w14:paraId="7FCEBA08" w14:textId="77777777"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p>
    <w:p w14:paraId="5ACDA5B0" w14:textId="77777777" w:rsidR="004371F5" w:rsidRPr="005F0419" w:rsidRDefault="004371F5" w:rsidP="004371F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Поступово з 2014 р. посівні площі в області зростають не великими темпами. В основному через зміну структури експорту продукції з України та </w:t>
      </w:r>
      <w:r w:rsidRPr="005F0419">
        <w:rPr>
          <w:rFonts w:ascii="Times New Roman" w:hAnsi="Times New Roman" w:cs="Times New Roman"/>
          <w:sz w:val="28"/>
          <w:szCs w:val="28"/>
          <w:lang w:val="uk-UA"/>
        </w:rPr>
        <w:t>нарощування експорту саме аграрної продукції. Відбувається укрупнення господарств та збільшення інвестицій в галузь.</w:t>
      </w:r>
    </w:p>
    <w:p w14:paraId="38C3C63C" w14:textId="6F7FB4EF"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Орієнтація виробників на високорентабельні культури зумовила суттєві зміни в структурі посівних площ. Так, частка кормових культур у структурі – скоротилася з 37,5% у 1990 році до 2,2% у 2020 році; в 2 рази зменшилися посівні площі цукрового буряка і ячменю, а льон фактично припинили вирощувати. Сьогодні, через високу вартість і експортний потенціал, замість них вирощують технічні культури. Так, за останні 10 років по Рівненській області, площа вирощування сої збільшилася в 10 разів, кукурудзи – в 5 разів, соняшника – в 22 рази (рис. 2</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4). </w:t>
      </w:r>
    </w:p>
    <w:p w14:paraId="4998B30E" w14:textId="77777777" w:rsidR="00B73EC5" w:rsidRPr="005F0419" w:rsidRDefault="00B73EC5" w:rsidP="004371F5">
      <w:pPr>
        <w:spacing w:after="0" w:line="360" w:lineRule="auto"/>
        <w:jc w:val="both"/>
        <w:rPr>
          <w:rFonts w:ascii="Times New Roman" w:eastAsia="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01E8E2BD" wp14:editId="6FB4506A">
            <wp:extent cx="5981700" cy="2705100"/>
            <wp:effectExtent l="0" t="0" r="0" b="0"/>
            <wp:docPr id="1849229177" name="Діаграма 2" title="Диаграмма">
              <a:extLst xmlns:a="http://schemas.openxmlformats.org/drawingml/2006/main">
                <a:ext uri="{FF2B5EF4-FFF2-40B4-BE49-F238E27FC236}">
                  <a16:creationId xmlns:a16="http://schemas.microsoft.com/office/drawing/2014/main" id="{00000000-0008-0000-0100-0000417CE3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0219EFF7" w14:textId="15DA289D"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2.</w:t>
      </w:r>
      <w:r w:rsidRPr="005F0419">
        <w:rPr>
          <w:rFonts w:ascii="Times New Roman" w:eastAsia="Times New Roman" w:hAnsi="Times New Roman" w:cs="Times New Roman"/>
          <w:b/>
          <w:bCs/>
          <w:sz w:val="28"/>
          <w:szCs w:val="28"/>
          <w:lang w:val="uk-UA"/>
        </w:rPr>
        <w:t xml:space="preserve"> </w:t>
      </w:r>
      <w:r w:rsidRPr="005F0419">
        <w:rPr>
          <w:rFonts w:ascii="Times New Roman" w:eastAsia="Times New Roman" w:hAnsi="Times New Roman" w:cs="Times New Roman"/>
          <w:sz w:val="28"/>
          <w:szCs w:val="28"/>
          <w:lang w:val="uk-UA"/>
        </w:rPr>
        <w:t>Динаміка посівної площі соняшника в Рівненській області</w:t>
      </w:r>
    </w:p>
    <w:p w14:paraId="6B9C6EC0" w14:textId="77777777" w:rsidR="004371F5" w:rsidRPr="005F0419" w:rsidRDefault="004371F5" w:rsidP="004371F5">
      <w:pPr>
        <w:spacing w:after="0" w:line="360" w:lineRule="auto"/>
        <w:ind w:firstLine="720"/>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Джерело: побудовано авторами.</w:t>
      </w:r>
    </w:p>
    <w:p w14:paraId="38177BF8" w14:textId="1DA24DA3"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1ED55644" wp14:editId="737DF27C">
            <wp:extent cx="5840730" cy="2620370"/>
            <wp:effectExtent l="0" t="0" r="7620" b="8890"/>
            <wp:docPr id="1621192618" name="Діаграма 3" title="Диаграмма">
              <a:extLst xmlns:a="http://schemas.openxmlformats.org/drawingml/2006/main">
                <a:ext uri="{FF2B5EF4-FFF2-40B4-BE49-F238E27FC236}">
                  <a16:creationId xmlns:a16="http://schemas.microsoft.com/office/drawing/2014/main" id="{00000000-0008-0000-0100-0000AB4354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r w:rsidRPr="005F0419">
        <w:rPr>
          <w:rFonts w:ascii="Times New Roman" w:eastAsia="Times New Roman" w:hAnsi="Times New Roman" w:cs="Times New Roman"/>
          <w:sz w:val="28"/>
          <w:szCs w:val="28"/>
          <w:lang w:val="uk-UA"/>
        </w:rPr>
        <w:br w:type="textWrapping" w:clear="all"/>
        <w:t>Рис</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3.</w:t>
      </w:r>
      <w:r w:rsidRPr="005F0419">
        <w:rPr>
          <w:rFonts w:ascii="Times New Roman" w:eastAsia="Times New Roman" w:hAnsi="Times New Roman" w:cs="Times New Roman"/>
          <w:b/>
          <w:bCs/>
          <w:sz w:val="28"/>
          <w:szCs w:val="28"/>
          <w:lang w:val="uk-UA"/>
        </w:rPr>
        <w:t xml:space="preserve"> </w:t>
      </w:r>
      <w:r w:rsidRPr="005F0419">
        <w:rPr>
          <w:rFonts w:ascii="Times New Roman" w:eastAsia="Times New Roman" w:hAnsi="Times New Roman" w:cs="Times New Roman"/>
          <w:sz w:val="28"/>
          <w:szCs w:val="28"/>
          <w:lang w:val="uk-UA"/>
        </w:rPr>
        <w:t>Динаміка посівної площі сої в Рівненській області</w:t>
      </w:r>
    </w:p>
    <w:p w14:paraId="46AB4AFD" w14:textId="77777777" w:rsidR="004371F5" w:rsidRPr="005F0419" w:rsidRDefault="004371F5" w:rsidP="004371F5">
      <w:pPr>
        <w:spacing w:after="0" w:line="360" w:lineRule="auto"/>
        <w:ind w:firstLine="720"/>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Джерело: побудовано авторами.</w:t>
      </w:r>
    </w:p>
    <w:p w14:paraId="77FBBD7F" w14:textId="77777777" w:rsidR="00B73EC5" w:rsidRPr="005F0419" w:rsidRDefault="00B73EC5" w:rsidP="00B73EC5">
      <w:pPr>
        <w:tabs>
          <w:tab w:val="left" w:pos="1552"/>
        </w:tabs>
        <w:spacing w:after="0" w:line="360" w:lineRule="auto"/>
        <w:ind w:firstLine="720"/>
        <w:jc w:val="center"/>
        <w:rPr>
          <w:rFonts w:ascii="Times New Roman" w:eastAsia="Times New Roman" w:hAnsi="Times New Roman" w:cs="Times New Roman"/>
          <w:b/>
          <w:bCs/>
          <w:sz w:val="28"/>
          <w:szCs w:val="28"/>
          <w:lang w:val="uk-UA"/>
        </w:rPr>
      </w:pPr>
      <w:r w:rsidRPr="005F0419">
        <w:rPr>
          <w:rStyle w:val="afe"/>
          <w:rFonts w:ascii="Times New Roman" w:hAnsi="Times New Roman" w:cs="Times New Roman"/>
          <w:i w:val="0"/>
          <w:iCs w:val="0"/>
          <w:noProof/>
          <w:color w:val="auto"/>
          <w:sz w:val="28"/>
          <w:szCs w:val="28"/>
          <w:lang w:val="uk-UA"/>
        </w:rPr>
        <w:lastRenderedPageBreak/>
        <w:drawing>
          <wp:inline distT="0" distB="0" distL="0" distR="0" wp14:anchorId="3D56F58A" wp14:editId="41CC622D">
            <wp:extent cx="5732060" cy="2730500"/>
            <wp:effectExtent l="0" t="0" r="2540" b="0"/>
            <wp:docPr id="255478584" name="Діаграма 4" title="Диаграмма">
              <a:extLst xmlns:a="http://schemas.openxmlformats.org/drawingml/2006/main">
                <a:ext uri="{FF2B5EF4-FFF2-40B4-BE49-F238E27FC236}">
                  <a16:creationId xmlns:a16="http://schemas.microsoft.com/office/drawing/2014/main" id="{00000000-0008-0000-0100-00008EBDEA0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0FA1B144" w14:textId="3C54D65A"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4.</w:t>
      </w:r>
      <w:r w:rsidRPr="005F0419">
        <w:rPr>
          <w:rFonts w:ascii="Times New Roman" w:eastAsia="Times New Roman" w:hAnsi="Times New Roman" w:cs="Times New Roman"/>
          <w:b/>
          <w:bCs/>
          <w:sz w:val="28"/>
          <w:szCs w:val="28"/>
          <w:lang w:val="uk-UA"/>
        </w:rPr>
        <w:t xml:space="preserve"> </w:t>
      </w:r>
      <w:r w:rsidRPr="005F0419">
        <w:rPr>
          <w:rFonts w:ascii="Times New Roman" w:eastAsia="Times New Roman" w:hAnsi="Times New Roman" w:cs="Times New Roman"/>
          <w:sz w:val="28"/>
          <w:szCs w:val="28"/>
          <w:lang w:val="uk-UA"/>
        </w:rPr>
        <w:t>Посівна площа озимого та ярого ріпаку в Рівненській області</w:t>
      </w:r>
    </w:p>
    <w:p w14:paraId="03B2443E" w14:textId="77777777" w:rsidR="004371F5" w:rsidRPr="005F0419" w:rsidRDefault="004371F5" w:rsidP="004371F5">
      <w:pPr>
        <w:spacing w:after="0" w:line="360" w:lineRule="auto"/>
        <w:ind w:firstLine="720"/>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Джерело: побудовано авторами.</w:t>
      </w:r>
    </w:p>
    <w:p w14:paraId="491A488E" w14:textId="77777777"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p>
    <w:p w14:paraId="105E5B09" w14:textId="77777777"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Аналіз даних про стан землекористування у Рівненської області в розрізі зон Полісся і Лісостепу проведено на прикладі </w:t>
      </w:r>
      <w:proofErr w:type="spellStart"/>
      <w:r w:rsidRPr="005F0419">
        <w:rPr>
          <w:rFonts w:ascii="Times New Roman" w:eastAsia="Times New Roman" w:hAnsi="Times New Roman" w:cs="Times New Roman"/>
          <w:sz w:val="28"/>
          <w:szCs w:val="28"/>
          <w:lang w:val="uk-UA"/>
        </w:rPr>
        <w:t>Костопільського</w:t>
      </w:r>
      <w:proofErr w:type="spellEnd"/>
      <w:r w:rsidRPr="005F0419">
        <w:rPr>
          <w:rFonts w:ascii="Times New Roman" w:eastAsia="Times New Roman" w:hAnsi="Times New Roman" w:cs="Times New Roman"/>
          <w:sz w:val="28"/>
          <w:szCs w:val="28"/>
          <w:lang w:val="uk-UA"/>
        </w:rPr>
        <w:t xml:space="preserve"> та Радивилівського районів відповідно. Зокрема, в зоні Полісся Рівненської області з 2000-х </w:t>
      </w:r>
      <w:proofErr w:type="spellStart"/>
      <w:r w:rsidRPr="005F0419">
        <w:rPr>
          <w:rFonts w:ascii="Times New Roman" w:eastAsia="Times New Roman" w:hAnsi="Times New Roman" w:cs="Times New Roman"/>
          <w:sz w:val="28"/>
          <w:szCs w:val="28"/>
          <w:lang w:val="uk-UA"/>
        </w:rPr>
        <w:t>рр</w:t>
      </w:r>
      <w:proofErr w:type="spellEnd"/>
      <w:r w:rsidRPr="005F0419">
        <w:rPr>
          <w:rFonts w:ascii="Times New Roman" w:eastAsia="Times New Roman" w:hAnsi="Times New Roman" w:cs="Times New Roman"/>
          <w:sz w:val="28"/>
          <w:szCs w:val="28"/>
          <w:lang w:val="uk-UA"/>
        </w:rPr>
        <w:t xml:space="preserve"> спостерігається стійка тенденція до зменшення посівної площі пшениці. Сьогодні пшениці на Поліссі сіють в 10 разів менше ніж у 1995 р., в 4 рази менше – ніж у 2000р., і в 2 рази менше ніж в 2005 р. Посівна площа гречки за 15 років зменшилася в 5 разів, а ячменю – в 50 разів. В регіоні не вирощують цукровий буряк в промисловий масштабах – через низьку ефективність, льон – через занепад галузі щодо його подальшої переробки. Натомість поширилися процеси природного залуження і заліснення сільськогосподарських земель. Починаючи з 2013 року щороку збільшується посівна площа сої (щорічний приріст становить 150-200%) та соняшнику (приріст 400%) за 5 років. Продовжують вирощувати ріпак, проте його площі менші ніж в 90-х роках. </w:t>
      </w:r>
    </w:p>
    <w:p w14:paraId="0ED72DE2" w14:textId="3116DA39"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Зона </w:t>
      </w:r>
      <w:r w:rsidR="008C7F3A" w:rsidRPr="005F0419">
        <w:rPr>
          <w:rFonts w:ascii="Times New Roman" w:eastAsia="Times New Roman" w:hAnsi="Times New Roman" w:cs="Times New Roman"/>
          <w:sz w:val="28"/>
          <w:szCs w:val="28"/>
          <w:lang w:val="uk-UA"/>
        </w:rPr>
        <w:t>л</w:t>
      </w:r>
      <w:r w:rsidRPr="005F0419">
        <w:rPr>
          <w:rFonts w:ascii="Times New Roman" w:eastAsia="Times New Roman" w:hAnsi="Times New Roman" w:cs="Times New Roman"/>
          <w:sz w:val="28"/>
          <w:szCs w:val="28"/>
          <w:lang w:val="uk-UA"/>
        </w:rPr>
        <w:t xml:space="preserve">ісостепу характеризується родючими ґрунтами та високим рівнем їх розораності. Однак протягом останніх 10 років прослідковується тенденція до зменшення площі пшениці – на 25%, гречки – на 60%, ячменю – на 25%, кукурудзи – на 15%, а озиме жито і просо фактично вже не вирощують. Площі овочевих культур, кормових культур, однорічних та багаторічних трав </w:t>
      </w:r>
      <w:r w:rsidRPr="005F0419">
        <w:rPr>
          <w:rFonts w:ascii="Times New Roman" w:eastAsia="Times New Roman" w:hAnsi="Times New Roman" w:cs="Times New Roman"/>
          <w:sz w:val="28"/>
          <w:szCs w:val="28"/>
          <w:lang w:val="uk-UA"/>
        </w:rPr>
        <w:lastRenderedPageBreak/>
        <w:t>наближаються до нуля. Тенденція до постійного зростання посівної площі спостерігається лише для деяких технічних культур, наприклад: соя – в 13 разів, соняшник – в 7 разів за останні 10 років.</w:t>
      </w:r>
    </w:p>
    <w:p w14:paraId="7007E0C2" w14:textId="0EBB2BFC" w:rsidR="00B73EC5" w:rsidRPr="005F0419" w:rsidRDefault="00B73EC5" w:rsidP="00B73EC5">
      <w:pPr>
        <w:spacing w:after="0" w:line="360" w:lineRule="auto"/>
        <w:ind w:firstLine="720"/>
        <w:jc w:val="both"/>
        <w:rPr>
          <w:rFonts w:ascii="Times New Roman" w:hAnsi="Times New Roman" w:cs="Times New Roman"/>
          <w:sz w:val="28"/>
          <w:szCs w:val="28"/>
          <w:shd w:val="clear" w:color="auto" w:fill="FFFFFF"/>
          <w:lang w:val="uk-UA"/>
        </w:rPr>
      </w:pPr>
      <w:r w:rsidRPr="005F0419">
        <w:rPr>
          <w:rFonts w:ascii="Times New Roman" w:hAnsi="Times New Roman" w:cs="Times New Roman"/>
          <w:sz w:val="28"/>
          <w:szCs w:val="28"/>
          <w:lang w:val="uk-UA"/>
        </w:rPr>
        <w:t xml:space="preserve">Недоліком сучасного аграрного землекористування, який в майбутньому може спричинити зменшення врожайності культур </w:t>
      </w:r>
      <w:r w:rsidR="004371F5"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це</w:t>
      </w:r>
      <w:r w:rsidR="004371F5"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недооцінка і неврахування екологічної (природної) складової у формуванні собівартості продуктів сільського господарства. </w:t>
      </w:r>
      <w:r w:rsidRPr="005F0419">
        <w:rPr>
          <w:rFonts w:ascii="Times New Roman" w:hAnsi="Times New Roman" w:cs="Times New Roman"/>
          <w:sz w:val="28"/>
          <w:szCs w:val="28"/>
          <w:shd w:val="clear" w:color="auto" w:fill="FFFFFF"/>
          <w:lang w:val="uk-UA"/>
        </w:rPr>
        <w:t xml:space="preserve">На сьогодні методи ціноутворення на сільськогосподарську продукцію (сировину) нічим не відрізняються від методів ціноутворення на продукцію промисловості. </w:t>
      </w:r>
      <w:r w:rsidRPr="005F0419">
        <w:rPr>
          <w:rFonts w:ascii="Times New Roman" w:hAnsi="Times New Roman" w:cs="Times New Roman"/>
          <w:sz w:val="28"/>
          <w:szCs w:val="28"/>
          <w:lang w:val="uk-UA"/>
        </w:rPr>
        <w:t>Якщо в промисловості (окрім видобувної галузі) земля є лише просторовим базисом, то в сільському господарстві вона є головним засобом виробництва.</w:t>
      </w:r>
      <w:r w:rsidRPr="005F0419">
        <w:rPr>
          <w:rFonts w:ascii="Times New Roman" w:hAnsi="Times New Roman" w:cs="Times New Roman"/>
          <w:sz w:val="28"/>
          <w:szCs w:val="28"/>
          <w:shd w:val="clear" w:color="auto" w:fill="FFFFFF"/>
          <w:lang w:val="uk-UA"/>
        </w:rPr>
        <w:t xml:space="preserve"> </w:t>
      </w:r>
      <w:r w:rsidRPr="005F0419">
        <w:rPr>
          <w:rFonts w:ascii="Times New Roman" w:hAnsi="Times New Roman" w:cs="Times New Roman"/>
          <w:sz w:val="28"/>
          <w:szCs w:val="28"/>
          <w:lang w:val="uk-UA"/>
        </w:rPr>
        <w:t xml:space="preserve">В інших галузях економіки засоби виробництва у процесі використання зношуються, їх вартість амортизується, відрахування </w:t>
      </w:r>
      <w:r w:rsidRPr="005F0419">
        <w:rPr>
          <w:rFonts w:ascii="Times New Roman" w:hAnsi="Times New Roman" w:cs="Times New Roman"/>
          <w:sz w:val="28"/>
          <w:szCs w:val="28"/>
          <w:shd w:val="clear" w:color="auto" w:fill="FFFFFF"/>
          <w:lang w:val="uk-UA"/>
        </w:rPr>
        <w:t>зараховуються до амортизаційного фонду і </w:t>
      </w:r>
      <w:r w:rsidRPr="005F0419">
        <w:rPr>
          <w:rStyle w:val="aa"/>
          <w:rFonts w:ascii="Times New Roman" w:hAnsi="Times New Roman" w:cs="Times New Roman"/>
          <w:sz w:val="28"/>
          <w:szCs w:val="28"/>
          <w:shd w:val="clear" w:color="auto" w:fill="FFFFFF"/>
          <w:lang w:val="uk-UA"/>
        </w:rPr>
        <w:t>включаються</w:t>
      </w:r>
      <w:r w:rsidRPr="005F0419">
        <w:rPr>
          <w:rFonts w:ascii="Times New Roman" w:hAnsi="Times New Roman" w:cs="Times New Roman"/>
          <w:sz w:val="28"/>
          <w:szCs w:val="28"/>
          <w:shd w:val="clear" w:color="auto" w:fill="FFFFFF"/>
          <w:lang w:val="uk-UA"/>
        </w:rPr>
        <w:t> у </w:t>
      </w:r>
      <w:r w:rsidRPr="005F0419">
        <w:rPr>
          <w:rStyle w:val="aa"/>
          <w:rFonts w:ascii="Times New Roman" w:hAnsi="Times New Roman" w:cs="Times New Roman"/>
          <w:sz w:val="28"/>
          <w:szCs w:val="28"/>
          <w:shd w:val="clear" w:color="auto" w:fill="FFFFFF"/>
          <w:lang w:val="uk-UA"/>
        </w:rPr>
        <w:t xml:space="preserve">собівартість продукції. </w:t>
      </w:r>
      <w:r w:rsidRPr="005F0419">
        <w:rPr>
          <w:rFonts w:ascii="Times New Roman" w:hAnsi="Times New Roman" w:cs="Times New Roman"/>
          <w:sz w:val="28"/>
          <w:szCs w:val="28"/>
          <w:lang w:val="uk-UA"/>
        </w:rPr>
        <w:t>Тоді як в сільськогосподарському підприємстві, у відповідності до П(С)БО № 7 «Основні засоби», земельні ділянки хоч і визнаються активами, і враховуються у склад основних засобів, але їх вартість не підлягає амортизації, оскільки вона не має кінцевого терміну корисного використання.</w:t>
      </w:r>
      <w:r w:rsidRPr="005F0419">
        <w:rPr>
          <w:rFonts w:ascii="Times New Roman" w:hAnsi="Times New Roman" w:cs="Times New Roman"/>
          <w:sz w:val="28"/>
          <w:szCs w:val="28"/>
          <w:shd w:val="clear" w:color="auto" w:fill="FFFFFF"/>
          <w:lang w:val="uk-UA"/>
        </w:rPr>
        <w:t xml:space="preserve"> Тому </w:t>
      </w:r>
      <w:r w:rsidRPr="005F0419">
        <w:rPr>
          <w:rFonts w:ascii="Times New Roman" w:eastAsia="Times New Roman" w:hAnsi="Times New Roman" w:cs="Times New Roman"/>
          <w:sz w:val="28"/>
          <w:szCs w:val="28"/>
          <w:lang w:val="uk-UA"/>
        </w:rPr>
        <w:t xml:space="preserve">собівартість вирощування культур знижується, а  земельні ресурси втрачають свою ринкову вартість через погіршення якісних показників стану. </w:t>
      </w:r>
    </w:p>
    <w:p w14:paraId="79467260" w14:textId="39ABC537" w:rsidR="00B73EC5" w:rsidRPr="005F0419" w:rsidRDefault="00B73EC5" w:rsidP="00B73EC5">
      <w:pPr>
        <w:spacing w:after="0" w:line="360" w:lineRule="auto"/>
        <w:ind w:firstLine="720"/>
        <w:jc w:val="both"/>
        <w:rPr>
          <w:rFonts w:ascii="Times New Roman" w:eastAsia="Times New Roman" w:hAnsi="Times New Roman" w:cs="Times New Roman"/>
          <w:sz w:val="28"/>
          <w:szCs w:val="28"/>
          <w:highlight w:val="yellow"/>
          <w:lang w:val="uk-UA"/>
        </w:rPr>
      </w:pPr>
      <w:r w:rsidRPr="005F0419">
        <w:rPr>
          <w:rFonts w:ascii="Times New Roman" w:eastAsia="Times New Roman" w:hAnsi="Times New Roman" w:cs="Times New Roman"/>
          <w:sz w:val="28"/>
          <w:szCs w:val="28"/>
          <w:lang w:val="uk-UA"/>
        </w:rPr>
        <w:t xml:space="preserve"> З метою вдосконалення економічної оцінки використаних земельних ресурсів у собівартості сільськогосподарської продукції, нами запропоновано розрахувати «земельний слід». Так, обсяг споживання води на вирощування 1 тони продукції показує </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«водний слід»; </w:t>
      </w:r>
      <w:r w:rsidR="004371F5" w:rsidRPr="005F0419">
        <w:rPr>
          <w:rFonts w:ascii="Times New Roman" w:eastAsia="Times New Roman" w:hAnsi="Times New Roman" w:cs="Times New Roman"/>
          <w:sz w:val="28"/>
          <w:szCs w:val="28"/>
          <w:lang w:val="uk-UA"/>
        </w:rPr>
        <w:t xml:space="preserve">сукупність викидів усіх парникових газів, які утворились прямо та опосередковано внаслідок вирощування (виготовлення) 1 тони продукції називають «вуглецевий слід». Тому логічним є називати винесення з ґрунту основних поживних речовин (NPK) і гумусу на вирощування 1 тони продукції – «земельний слід».  </w:t>
      </w:r>
    </w:p>
    <w:p w14:paraId="1E9ECF7A" w14:textId="77777777"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Негативний «земельний слід» від землекористування утворюється внаслідок використання природної родючості для формування урожайності </w:t>
      </w:r>
      <w:r w:rsidRPr="005F0419">
        <w:rPr>
          <w:rFonts w:ascii="Times New Roman" w:eastAsia="Times New Roman" w:hAnsi="Times New Roman" w:cs="Times New Roman"/>
          <w:sz w:val="28"/>
          <w:szCs w:val="28"/>
          <w:lang w:val="uk-UA"/>
        </w:rPr>
        <w:lastRenderedPageBreak/>
        <w:t>культури. Позитивний «земельний слід» можливий за умов екологізації аграрного землекористування і забезпечення відтворення родючості ґрунтів.</w:t>
      </w:r>
    </w:p>
    <w:p w14:paraId="4D8A45E0" w14:textId="77777777"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 попередніх дослідженнях, нами була розрахована вартість відновлення родючості ґрунтів на прикладі Рівненської області [67], що по суті показує грошову оцінку «земельного сліду» від сільського господарства за останні 30 років. Величина завданих збитків і отриманих разових прибутків не співставні. </w:t>
      </w:r>
    </w:p>
    <w:p w14:paraId="4CA771F3" w14:textId="77777777"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Щоб дослідити як вирощування </w:t>
      </w:r>
      <w:proofErr w:type="spellStart"/>
      <w:r w:rsidRPr="005F0419">
        <w:rPr>
          <w:rFonts w:ascii="Times New Roman" w:eastAsia="Times New Roman" w:hAnsi="Times New Roman" w:cs="Times New Roman"/>
          <w:sz w:val="28"/>
          <w:szCs w:val="28"/>
          <w:lang w:val="uk-UA"/>
        </w:rPr>
        <w:t>монокультур</w:t>
      </w:r>
      <w:proofErr w:type="spellEnd"/>
      <w:r w:rsidRPr="005F0419">
        <w:rPr>
          <w:rFonts w:ascii="Times New Roman" w:eastAsia="Times New Roman" w:hAnsi="Times New Roman" w:cs="Times New Roman"/>
          <w:sz w:val="28"/>
          <w:szCs w:val="28"/>
          <w:lang w:val="uk-UA"/>
        </w:rPr>
        <w:t xml:space="preserve"> (кукурудза на зерно, соя, озима пшениця, соняшник і ріпак) впливає на стан земельних ресурсів, розрахуємо і проведено порівняння «земельного сліду» в період 1990-2020 рр. Для цього розрахуємо середнє значення виносу основних поживних речовин (NPK) і мінералізації гумусу при формуванні урожаю з умовного 1 га за певної структури посівних площ за формулою:</w:t>
      </w:r>
    </w:p>
    <w:p w14:paraId="68640409" w14:textId="77777777" w:rsidR="00B73EC5" w:rsidRPr="005F0419" w:rsidRDefault="007468C1" w:rsidP="00B73EC5">
      <w:pPr>
        <w:spacing w:after="0" w:line="360" w:lineRule="auto"/>
        <w:ind w:firstLine="720"/>
        <w:jc w:val="right"/>
        <w:rPr>
          <w:rFonts w:ascii="Times New Roman" w:eastAsia="Cambria Math" w:hAnsi="Times New Roman" w:cs="Times New Roman"/>
          <w:sz w:val="28"/>
          <w:szCs w:val="28"/>
          <w:lang w:val="uk-UA"/>
        </w:rPr>
      </w:pPr>
      <m:oMath>
        <m:sSubSup>
          <m:sSubSupPr>
            <m:ctrlPr>
              <w:rPr>
                <w:rFonts w:ascii="Cambria Math" w:eastAsia="Cambria Math" w:hAnsi="Cambria Math" w:cs="Times New Roman"/>
                <w:sz w:val="28"/>
                <w:szCs w:val="28"/>
                <w:lang w:val="uk-UA"/>
              </w:rPr>
            </m:ctrlPr>
          </m:sSubSupPr>
          <m:e>
            <m:r>
              <w:rPr>
                <w:rFonts w:ascii="Cambria Math" w:eastAsia="Cambria Math" w:hAnsi="Cambria Math" w:cs="Times New Roman"/>
                <w:sz w:val="28"/>
                <w:szCs w:val="28"/>
                <w:lang w:val="uk-UA"/>
              </w:rPr>
              <m:t>З</m:t>
            </m:r>
          </m:e>
          <m:sub>
            <m:r>
              <w:rPr>
                <w:rFonts w:ascii="Cambria Math" w:eastAsia="Cambria Math" w:hAnsi="Cambria Math" w:cs="Times New Roman"/>
                <w:sz w:val="28"/>
                <w:szCs w:val="28"/>
                <w:lang w:val="uk-UA"/>
              </w:rPr>
              <m:t>слід</m:t>
            </m:r>
          </m:sub>
          <m:sup>
            <m:r>
              <w:rPr>
                <w:rFonts w:ascii="Cambria Math" w:eastAsia="Cambria Math" w:hAnsi="Cambria Math" w:cs="Times New Roman"/>
                <w:sz w:val="28"/>
                <w:szCs w:val="28"/>
                <w:lang w:val="uk-UA"/>
              </w:rPr>
              <m:t>NPK</m:t>
            </m:r>
          </m:sup>
        </m:sSubSup>
        <m:r>
          <w:rPr>
            <w:rFonts w:ascii="Cambria Math" w:eastAsia="Cambria Math" w:hAnsi="Cambria Math" w:cs="Times New Roman"/>
            <w:sz w:val="28"/>
            <w:szCs w:val="28"/>
            <w:lang w:val="uk-UA"/>
          </w:rPr>
          <m:t>=</m:t>
        </m:r>
        <m:f>
          <m:fPr>
            <m:ctrlPr>
              <w:rPr>
                <w:rFonts w:ascii="Cambria Math" w:eastAsia="Cambria Math" w:hAnsi="Cambria Math" w:cs="Times New Roman"/>
                <w:sz w:val="28"/>
                <w:szCs w:val="28"/>
                <w:lang w:val="uk-UA"/>
              </w:rPr>
            </m:ctrlPr>
          </m:fPr>
          <m:num>
            <m:sSub>
              <m:sSubPr>
                <m:ctrlPr>
                  <w:rPr>
                    <w:rFonts w:ascii="Cambria Math" w:eastAsia="Cambria Math" w:hAnsi="Cambria Math" w:cs="Times New Roman"/>
                    <w:sz w:val="28"/>
                    <w:szCs w:val="28"/>
                    <w:lang w:val="uk-UA"/>
                  </w:rPr>
                </m:ctrlPr>
              </m:sSubPr>
              <m:e>
                <m:nary>
                  <m:naryPr>
                    <m:chr m:val="∑"/>
                    <m:ctrlPr>
                      <w:rPr>
                        <w:rFonts w:ascii="Cambria Math" w:eastAsia="Cambria Math" w:hAnsi="Cambria Math" w:cs="Times New Roman"/>
                        <w:sz w:val="28"/>
                        <w:szCs w:val="28"/>
                        <w:lang w:val="uk-UA"/>
                      </w:rPr>
                    </m:ctrlPr>
                  </m:naryPr>
                  <m:sub>
                    <m:r>
                      <w:rPr>
                        <w:rFonts w:ascii="Cambria Math" w:eastAsia="Cambria Math" w:hAnsi="Cambria Math" w:cs="Times New Roman"/>
                        <w:sz w:val="28"/>
                        <w:szCs w:val="28"/>
                        <w:lang w:val="uk-UA"/>
                      </w:rPr>
                      <m:t>i</m:t>
                    </m:r>
                  </m:sub>
                  <m:sup>
                    <m:r>
                      <w:rPr>
                        <w:rFonts w:ascii="Cambria Math" w:eastAsia="Cambria Math" w:hAnsi="Cambria Math" w:cs="Times New Roman"/>
                        <w:sz w:val="28"/>
                        <w:szCs w:val="28"/>
                        <w:lang w:val="uk-UA"/>
                      </w:rPr>
                      <m:t>n</m:t>
                    </m:r>
                  </m:sup>
                  <m:e>
                    <m:r>
                      <w:rPr>
                        <w:rFonts w:ascii="Cambria Math" w:eastAsia="Cambria Math" w:hAnsi="Cambria Math" w:cs="Times New Roman"/>
                        <w:sz w:val="28"/>
                        <w:szCs w:val="28"/>
                        <w:lang w:val="uk-UA"/>
                      </w:rPr>
                      <m:t>Взбір</m:t>
                    </m:r>
                  </m:e>
                </m:nary>
              </m:e>
              <m:sub>
                <m:r>
                  <w:rPr>
                    <w:rFonts w:ascii="Cambria Math" w:eastAsia="Cambria Math" w:hAnsi="Cambria Math" w:cs="Times New Roman"/>
                    <w:sz w:val="28"/>
                    <w:szCs w:val="28"/>
                    <w:lang w:val="uk-UA"/>
                  </w:rPr>
                  <m:t xml:space="preserve"> </m:t>
                </m:r>
              </m:sub>
            </m:sSub>
            <m:r>
              <w:rPr>
                <w:rFonts w:ascii="Cambria Math" w:eastAsia="Cambria Math" w:hAnsi="Cambria Math" w:cs="Times New Roman"/>
                <w:sz w:val="28"/>
                <w:szCs w:val="28"/>
                <w:lang w:val="uk-UA"/>
              </w:rPr>
              <m:t>×</m:t>
            </m:r>
            <m:sSub>
              <m:sSubPr>
                <m:ctrlPr>
                  <w:rPr>
                    <w:rFonts w:ascii="Cambria Math" w:eastAsia="Cambria Math" w:hAnsi="Cambria Math" w:cs="Times New Roman"/>
                    <w:sz w:val="28"/>
                    <w:szCs w:val="28"/>
                    <w:lang w:val="uk-UA"/>
                  </w:rPr>
                </m:ctrlPr>
              </m:sSubPr>
              <m:e>
                <m:r>
                  <w:rPr>
                    <w:rFonts w:ascii="Cambria Math" w:eastAsia="Cambria Math" w:hAnsi="Cambria Math" w:cs="Times New Roman"/>
                    <w:sz w:val="28"/>
                    <w:szCs w:val="28"/>
                    <w:lang w:val="uk-UA"/>
                  </w:rPr>
                  <m:t>В</m:t>
                </m:r>
              </m:e>
              <m:sub>
                <m:r>
                  <w:rPr>
                    <w:rFonts w:ascii="Cambria Math" w:eastAsia="Cambria Math" w:hAnsi="Cambria Math" w:cs="Times New Roman"/>
                    <w:sz w:val="28"/>
                    <w:szCs w:val="28"/>
                    <w:lang w:val="uk-UA"/>
                  </w:rPr>
                  <m:t>NPK</m:t>
                </m:r>
              </m:sub>
            </m:sSub>
          </m:num>
          <m:den>
            <m:sSub>
              <m:sSubPr>
                <m:ctrlPr>
                  <w:rPr>
                    <w:rFonts w:ascii="Cambria Math" w:eastAsia="Cambria Math" w:hAnsi="Cambria Math" w:cs="Times New Roman"/>
                    <w:sz w:val="28"/>
                    <w:szCs w:val="28"/>
                    <w:lang w:val="uk-UA"/>
                  </w:rPr>
                </m:ctrlPr>
              </m:sSubPr>
              <m:e>
                <m:r>
                  <w:rPr>
                    <w:rFonts w:ascii="Cambria Math" w:eastAsia="Cambria Math" w:hAnsi="Cambria Math" w:cs="Times New Roman"/>
                    <w:sz w:val="28"/>
                    <w:szCs w:val="28"/>
                    <w:lang w:val="uk-UA"/>
                  </w:rPr>
                  <m:t>П</m:t>
                </m:r>
              </m:e>
              <m:sub>
                <m:r>
                  <w:rPr>
                    <w:rFonts w:ascii="Cambria Math" w:eastAsia="Cambria Math" w:hAnsi="Cambria Math" w:cs="Times New Roman"/>
                    <w:sz w:val="28"/>
                    <w:szCs w:val="28"/>
                    <w:lang w:val="uk-UA"/>
                  </w:rPr>
                  <m:t>заг</m:t>
                </m:r>
              </m:sub>
            </m:sSub>
          </m:den>
        </m:f>
      </m:oMath>
      <w:r w:rsidR="00B73EC5" w:rsidRPr="005F0419">
        <w:rPr>
          <w:rFonts w:ascii="Times New Roman" w:eastAsia="Cambria Math" w:hAnsi="Times New Roman" w:cs="Times New Roman"/>
          <w:sz w:val="28"/>
          <w:szCs w:val="28"/>
          <w:lang w:val="uk-UA"/>
        </w:rPr>
        <w:t xml:space="preserve">                                                        (3)</w:t>
      </w:r>
    </w:p>
    <w:p w14:paraId="121ECC75" w14:textId="6E00C680" w:rsidR="00B73EC5" w:rsidRPr="005F0419" w:rsidRDefault="004371F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де </w:t>
      </w:r>
      <w:proofErr w:type="spellStart"/>
      <w:r w:rsidR="00B73EC5" w:rsidRPr="005F0419">
        <w:rPr>
          <w:rFonts w:ascii="Times New Roman" w:eastAsia="Times New Roman" w:hAnsi="Times New Roman" w:cs="Times New Roman"/>
          <w:sz w:val="28"/>
          <w:szCs w:val="28"/>
          <w:lang w:val="uk-UA"/>
        </w:rPr>
        <w:t>В</w:t>
      </w:r>
      <w:r w:rsidR="00B73EC5" w:rsidRPr="005F0419">
        <w:rPr>
          <w:rFonts w:ascii="Times New Roman" w:eastAsia="Times New Roman" w:hAnsi="Times New Roman" w:cs="Times New Roman"/>
          <w:sz w:val="28"/>
          <w:szCs w:val="28"/>
          <w:vertAlign w:val="subscript"/>
          <w:lang w:val="uk-UA"/>
        </w:rPr>
        <w:t>збір</w:t>
      </w:r>
      <w:proofErr w:type="spellEnd"/>
      <w:r w:rsidR="00B73EC5" w:rsidRPr="005F0419">
        <w:rPr>
          <w:rFonts w:ascii="Times New Roman" w:eastAsia="Times New Roman" w:hAnsi="Times New Roman" w:cs="Times New Roman"/>
          <w:sz w:val="28"/>
          <w:szCs w:val="28"/>
          <w:vertAlign w:val="subscript"/>
          <w:lang w:val="uk-UA"/>
        </w:rPr>
        <w:t xml:space="preserve"> </w:t>
      </w:r>
      <w:r w:rsidR="00B73EC5" w:rsidRPr="005F0419">
        <w:rPr>
          <w:rFonts w:ascii="Times New Roman" w:eastAsia="Times New Roman" w:hAnsi="Times New Roman" w:cs="Times New Roman"/>
          <w:sz w:val="28"/>
          <w:szCs w:val="28"/>
          <w:lang w:val="uk-UA"/>
        </w:rPr>
        <w:t>– валовий збір культур, ц\га;</w:t>
      </w:r>
      <w:r w:rsidRPr="005F0419">
        <w:rPr>
          <w:rFonts w:ascii="Times New Roman" w:eastAsia="Times New Roman" w:hAnsi="Times New Roman" w:cs="Times New Roman"/>
          <w:sz w:val="28"/>
          <w:szCs w:val="28"/>
          <w:lang w:val="uk-UA"/>
        </w:rPr>
        <w:t xml:space="preserve"> </w:t>
      </w:r>
      <w:r w:rsidR="00B73EC5" w:rsidRPr="005F0419">
        <w:rPr>
          <w:rFonts w:ascii="Times New Roman" w:eastAsia="Times New Roman" w:hAnsi="Times New Roman" w:cs="Times New Roman"/>
          <w:sz w:val="28"/>
          <w:szCs w:val="28"/>
          <w:lang w:val="uk-UA"/>
        </w:rPr>
        <w:t>В</w:t>
      </w:r>
      <w:r w:rsidR="00B73EC5" w:rsidRPr="005F0419">
        <w:rPr>
          <w:rFonts w:ascii="Times New Roman" w:eastAsia="Times New Roman" w:hAnsi="Times New Roman" w:cs="Times New Roman"/>
          <w:sz w:val="28"/>
          <w:szCs w:val="28"/>
          <w:vertAlign w:val="subscript"/>
          <w:lang w:val="uk-UA"/>
        </w:rPr>
        <w:t xml:space="preserve">NPK </w:t>
      </w:r>
      <w:r w:rsidR="00B73EC5" w:rsidRPr="005F0419">
        <w:rPr>
          <w:rFonts w:ascii="Times New Roman" w:eastAsia="Times New Roman" w:hAnsi="Times New Roman" w:cs="Times New Roman"/>
          <w:sz w:val="28"/>
          <w:szCs w:val="28"/>
          <w:lang w:val="uk-UA"/>
        </w:rPr>
        <w:t>– норми виносу основних поживних речовин на 1 ц основної продукції;</w:t>
      </w:r>
      <w:r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П</w:t>
      </w:r>
      <w:r w:rsidR="00B73EC5" w:rsidRPr="005F0419">
        <w:rPr>
          <w:rFonts w:ascii="Times New Roman" w:eastAsia="Times New Roman" w:hAnsi="Times New Roman" w:cs="Times New Roman"/>
          <w:sz w:val="28"/>
          <w:szCs w:val="28"/>
          <w:vertAlign w:val="subscript"/>
          <w:lang w:val="uk-UA"/>
        </w:rPr>
        <w:t>заг</w:t>
      </w:r>
      <w:proofErr w:type="spellEnd"/>
      <w:r w:rsidR="00B73EC5" w:rsidRPr="005F0419">
        <w:rPr>
          <w:rFonts w:ascii="Times New Roman" w:eastAsia="Times New Roman" w:hAnsi="Times New Roman" w:cs="Times New Roman"/>
          <w:sz w:val="28"/>
          <w:szCs w:val="28"/>
          <w:vertAlign w:val="subscript"/>
          <w:lang w:val="uk-UA"/>
        </w:rPr>
        <w:t xml:space="preserve"> </w:t>
      </w:r>
      <w:r w:rsidR="00B73EC5" w:rsidRPr="005F0419">
        <w:rPr>
          <w:rFonts w:ascii="Times New Roman" w:eastAsia="Times New Roman" w:hAnsi="Times New Roman" w:cs="Times New Roman"/>
          <w:sz w:val="28"/>
          <w:szCs w:val="28"/>
          <w:lang w:val="uk-UA"/>
        </w:rPr>
        <w:t>– загальна посівна площа, га.</w:t>
      </w:r>
      <w:r w:rsidR="00B73EC5" w:rsidRPr="005F0419">
        <w:rPr>
          <w:rFonts w:ascii="Times New Roman" w:eastAsia="Times New Roman" w:hAnsi="Times New Roman" w:cs="Times New Roman"/>
          <w:sz w:val="28"/>
          <w:szCs w:val="28"/>
          <w:lang w:val="uk-UA"/>
        </w:rPr>
        <w:tab/>
        <w:t>Аналогічно розрахуємо середнє значення виносу гумусу</w:t>
      </w:r>
      <w:r w:rsidRPr="005F0419">
        <w:rPr>
          <w:rFonts w:ascii="Times New Roman" w:eastAsia="Times New Roman" w:hAnsi="Times New Roman" w:cs="Times New Roman"/>
          <w:sz w:val="28"/>
          <w:szCs w:val="28"/>
          <w:lang w:val="uk-UA"/>
        </w:rPr>
        <w:t>:</w:t>
      </w:r>
    </w:p>
    <w:p w14:paraId="1BA33667" w14:textId="77777777" w:rsidR="00B73EC5" w:rsidRPr="005F0419" w:rsidRDefault="007468C1" w:rsidP="00B73EC5">
      <w:pPr>
        <w:spacing w:after="0" w:line="360" w:lineRule="auto"/>
        <w:ind w:firstLine="720"/>
        <w:jc w:val="right"/>
        <w:rPr>
          <w:rFonts w:ascii="Times New Roman" w:eastAsia="Cambria Math" w:hAnsi="Times New Roman" w:cs="Times New Roman"/>
          <w:sz w:val="28"/>
          <w:szCs w:val="28"/>
          <w:lang w:val="uk-UA"/>
        </w:rPr>
      </w:pPr>
      <m:oMath>
        <m:sSubSup>
          <m:sSubSupPr>
            <m:ctrlPr>
              <w:rPr>
                <w:rFonts w:ascii="Cambria Math" w:eastAsia="Cambria Math" w:hAnsi="Cambria Math" w:cs="Times New Roman"/>
                <w:sz w:val="28"/>
                <w:szCs w:val="28"/>
                <w:lang w:val="uk-UA"/>
              </w:rPr>
            </m:ctrlPr>
          </m:sSubSupPr>
          <m:e>
            <m:r>
              <w:rPr>
                <w:rFonts w:ascii="Cambria Math" w:eastAsia="Cambria Math" w:hAnsi="Cambria Math" w:cs="Times New Roman"/>
                <w:sz w:val="28"/>
                <w:szCs w:val="28"/>
                <w:lang w:val="uk-UA"/>
              </w:rPr>
              <m:t>З</m:t>
            </m:r>
          </m:e>
          <m:sub>
            <m:r>
              <w:rPr>
                <w:rFonts w:ascii="Cambria Math" w:eastAsia="Cambria Math" w:hAnsi="Cambria Math" w:cs="Times New Roman"/>
                <w:sz w:val="28"/>
                <w:szCs w:val="28"/>
                <w:lang w:val="uk-UA"/>
              </w:rPr>
              <m:t>слід</m:t>
            </m:r>
          </m:sub>
          <m:sup>
            <m:r>
              <w:rPr>
                <w:rFonts w:ascii="Cambria Math" w:eastAsia="Cambria Math" w:hAnsi="Cambria Math" w:cs="Times New Roman"/>
                <w:sz w:val="28"/>
                <w:szCs w:val="28"/>
                <w:lang w:val="uk-UA"/>
              </w:rPr>
              <m:t>гумус</m:t>
            </m:r>
          </m:sup>
        </m:sSubSup>
        <m:r>
          <w:rPr>
            <w:rFonts w:ascii="Cambria Math" w:eastAsia="Cambria Math" w:hAnsi="Cambria Math" w:cs="Times New Roman"/>
            <w:sz w:val="28"/>
            <w:szCs w:val="28"/>
            <w:lang w:val="uk-UA"/>
          </w:rPr>
          <m:t>=</m:t>
        </m:r>
        <m:f>
          <m:fPr>
            <m:ctrlPr>
              <w:rPr>
                <w:rFonts w:ascii="Cambria Math" w:eastAsia="Cambria Math" w:hAnsi="Cambria Math" w:cs="Times New Roman"/>
                <w:sz w:val="28"/>
                <w:szCs w:val="28"/>
                <w:lang w:val="uk-UA"/>
              </w:rPr>
            </m:ctrlPr>
          </m:fPr>
          <m:num>
            <m:sSub>
              <m:sSubPr>
                <m:ctrlPr>
                  <w:rPr>
                    <w:rFonts w:ascii="Cambria Math" w:eastAsia="Cambria Math" w:hAnsi="Cambria Math" w:cs="Times New Roman"/>
                    <w:sz w:val="28"/>
                    <w:szCs w:val="28"/>
                    <w:lang w:val="uk-UA"/>
                  </w:rPr>
                </m:ctrlPr>
              </m:sSubPr>
              <m:e>
                <m:nary>
                  <m:naryPr>
                    <m:chr m:val="∑"/>
                    <m:ctrlPr>
                      <w:rPr>
                        <w:rFonts w:ascii="Cambria Math" w:eastAsia="Cambria Math" w:hAnsi="Cambria Math" w:cs="Times New Roman"/>
                        <w:sz w:val="28"/>
                        <w:szCs w:val="28"/>
                        <w:lang w:val="uk-UA"/>
                      </w:rPr>
                    </m:ctrlPr>
                  </m:naryPr>
                  <m:sub>
                    <m:r>
                      <w:rPr>
                        <w:rFonts w:ascii="Cambria Math" w:eastAsia="Cambria Math" w:hAnsi="Cambria Math" w:cs="Times New Roman"/>
                        <w:sz w:val="28"/>
                        <w:szCs w:val="28"/>
                        <w:lang w:val="uk-UA"/>
                      </w:rPr>
                      <m:t>i</m:t>
                    </m:r>
                  </m:sub>
                  <m:sup>
                    <m:r>
                      <w:rPr>
                        <w:rFonts w:ascii="Cambria Math" w:eastAsia="Cambria Math" w:hAnsi="Cambria Math" w:cs="Times New Roman"/>
                        <w:sz w:val="28"/>
                        <w:szCs w:val="28"/>
                        <w:lang w:val="uk-UA"/>
                      </w:rPr>
                      <m:t>n</m:t>
                    </m:r>
                  </m:sup>
                  <m:e>
                    <m:r>
                      <w:rPr>
                        <w:rFonts w:ascii="Cambria Math" w:eastAsia="Cambria Math" w:hAnsi="Cambria Math" w:cs="Times New Roman"/>
                        <w:sz w:val="28"/>
                        <w:szCs w:val="28"/>
                        <w:lang w:val="uk-UA"/>
                      </w:rPr>
                      <m:t>П</m:t>
                    </m:r>
                  </m:e>
                </m:nary>
              </m:e>
              <m:sub>
                <m:r>
                  <w:rPr>
                    <w:rFonts w:ascii="Cambria Math" w:eastAsia="Cambria Math" w:hAnsi="Cambria Math" w:cs="Times New Roman"/>
                    <w:sz w:val="28"/>
                    <w:szCs w:val="28"/>
                    <w:lang w:val="uk-UA"/>
                  </w:rPr>
                  <m:t>і</m:t>
                </m:r>
              </m:sub>
            </m:sSub>
            <m:r>
              <w:rPr>
                <w:rFonts w:ascii="Cambria Math" w:eastAsia="Cambria Math" w:hAnsi="Cambria Math" w:cs="Times New Roman"/>
                <w:sz w:val="28"/>
                <w:szCs w:val="28"/>
                <w:lang w:val="uk-UA"/>
              </w:rPr>
              <m:t>×</m:t>
            </m:r>
            <m:sSub>
              <m:sSubPr>
                <m:ctrlPr>
                  <w:rPr>
                    <w:rFonts w:ascii="Cambria Math" w:eastAsia="Cambria Math" w:hAnsi="Cambria Math" w:cs="Times New Roman"/>
                    <w:sz w:val="28"/>
                    <w:szCs w:val="28"/>
                    <w:lang w:val="uk-UA"/>
                  </w:rPr>
                </m:ctrlPr>
              </m:sSubPr>
              <m:e>
                <m:r>
                  <w:rPr>
                    <w:rFonts w:ascii="Cambria Math" w:eastAsia="Cambria Math" w:hAnsi="Cambria Math" w:cs="Times New Roman"/>
                    <w:sz w:val="28"/>
                    <w:szCs w:val="28"/>
                    <w:lang w:val="uk-UA"/>
                  </w:rPr>
                  <m:t>М</m:t>
                </m:r>
              </m:e>
              <m:sub>
                <m:r>
                  <w:rPr>
                    <w:rFonts w:ascii="Cambria Math" w:eastAsia="Cambria Math" w:hAnsi="Cambria Math" w:cs="Times New Roman"/>
                    <w:sz w:val="28"/>
                    <w:szCs w:val="28"/>
                    <w:lang w:val="uk-UA"/>
                  </w:rPr>
                  <m:t>і</m:t>
                </m:r>
              </m:sub>
            </m:sSub>
          </m:num>
          <m:den>
            <m:sSub>
              <m:sSubPr>
                <m:ctrlPr>
                  <w:rPr>
                    <w:rFonts w:ascii="Cambria Math" w:eastAsia="Cambria Math" w:hAnsi="Cambria Math" w:cs="Times New Roman"/>
                    <w:sz w:val="28"/>
                    <w:szCs w:val="28"/>
                    <w:lang w:val="uk-UA"/>
                  </w:rPr>
                </m:ctrlPr>
              </m:sSubPr>
              <m:e>
                <m:r>
                  <w:rPr>
                    <w:rFonts w:ascii="Cambria Math" w:eastAsia="Cambria Math" w:hAnsi="Cambria Math" w:cs="Times New Roman"/>
                    <w:sz w:val="28"/>
                    <w:szCs w:val="28"/>
                    <w:lang w:val="uk-UA"/>
                  </w:rPr>
                  <m:t>П</m:t>
                </m:r>
              </m:e>
              <m:sub>
                <m:r>
                  <w:rPr>
                    <w:rFonts w:ascii="Cambria Math" w:eastAsia="Cambria Math" w:hAnsi="Cambria Math" w:cs="Times New Roman"/>
                    <w:sz w:val="28"/>
                    <w:szCs w:val="28"/>
                    <w:lang w:val="uk-UA"/>
                  </w:rPr>
                  <m:t>заг</m:t>
                </m:r>
              </m:sub>
            </m:sSub>
          </m:den>
        </m:f>
      </m:oMath>
      <w:r w:rsidR="00B73EC5" w:rsidRPr="005F0419">
        <w:rPr>
          <w:rFonts w:ascii="Times New Roman" w:eastAsia="Cambria Math" w:hAnsi="Times New Roman" w:cs="Times New Roman"/>
          <w:sz w:val="28"/>
          <w:szCs w:val="28"/>
          <w:lang w:val="uk-UA"/>
        </w:rPr>
        <w:t xml:space="preserve">                                                                        (4)</w:t>
      </w:r>
    </w:p>
    <w:p w14:paraId="1FCFA7D6" w14:textId="5AF46CDA" w:rsidR="00B73EC5" w:rsidRPr="005F0419" w:rsidRDefault="004371F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де </w:t>
      </w:r>
      <w:r w:rsidR="00B73EC5" w:rsidRPr="005F0419">
        <w:rPr>
          <w:rFonts w:ascii="Times New Roman" w:eastAsia="Times New Roman" w:hAnsi="Times New Roman" w:cs="Times New Roman"/>
          <w:sz w:val="28"/>
          <w:szCs w:val="28"/>
          <w:lang w:val="uk-UA"/>
        </w:rPr>
        <w:t>П</w:t>
      </w:r>
      <w:r w:rsidR="00B73EC5" w:rsidRPr="005F0419">
        <w:rPr>
          <w:rFonts w:ascii="Times New Roman" w:eastAsia="Times New Roman" w:hAnsi="Times New Roman" w:cs="Times New Roman"/>
          <w:sz w:val="28"/>
          <w:szCs w:val="28"/>
          <w:vertAlign w:val="subscript"/>
          <w:lang w:val="uk-UA"/>
        </w:rPr>
        <w:t xml:space="preserve">і </w:t>
      </w:r>
      <w:r w:rsidR="00B73EC5" w:rsidRPr="005F0419">
        <w:rPr>
          <w:rFonts w:ascii="Times New Roman" w:eastAsia="Times New Roman" w:hAnsi="Times New Roman" w:cs="Times New Roman"/>
          <w:sz w:val="28"/>
          <w:szCs w:val="28"/>
          <w:lang w:val="uk-UA"/>
        </w:rPr>
        <w:t>– посівна площа під культуру, га;</w:t>
      </w:r>
      <w:r w:rsidRPr="005F0419">
        <w:rPr>
          <w:rFonts w:ascii="Times New Roman" w:eastAsia="Times New Roman" w:hAnsi="Times New Roman" w:cs="Times New Roman"/>
          <w:sz w:val="28"/>
          <w:szCs w:val="28"/>
          <w:lang w:val="uk-UA"/>
        </w:rPr>
        <w:t xml:space="preserve"> </w:t>
      </w:r>
      <w:r w:rsidR="00B73EC5" w:rsidRPr="005F0419">
        <w:rPr>
          <w:rFonts w:ascii="Times New Roman" w:eastAsia="Times New Roman" w:hAnsi="Times New Roman" w:cs="Times New Roman"/>
          <w:sz w:val="28"/>
          <w:szCs w:val="28"/>
          <w:lang w:val="uk-UA"/>
        </w:rPr>
        <w:t>М</w:t>
      </w:r>
      <w:r w:rsidR="00B73EC5" w:rsidRPr="005F0419">
        <w:rPr>
          <w:rFonts w:ascii="Times New Roman" w:eastAsia="Times New Roman" w:hAnsi="Times New Roman" w:cs="Times New Roman"/>
          <w:sz w:val="28"/>
          <w:szCs w:val="28"/>
          <w:vertAlign w:val="subscript"/>
          <w:lang w:val="uk-UA"/>
        </w:rPr>
        <w:t xml:space="preserve">і </w:t>
      </w:r>
      <w:r w:rsidR="00B73EC5" w:rsidRPr="005F0419">
        <w:rPr>
          <w:rFonts w:ascii="Times New Roman" w:eastAsia="Times New Roman" w:hAnsi="Times New Roman" w:cs="Times New Roman"/>
          <w:sz w:val="28"/>
          <w:szCs w:val="28"/>
          <w:lang w:val="uk-UA"/>
        </w:rPr>
        <w:t>– мінералізація гумусу під різними культурами.</w:t>
      </w:r>
    </w:p>
    <w:p w14:paraId="04026274" w14:textId="3E8E9590"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shd w:val="clear" w:color="auto" w:fill="FFFFFF"/>
          <w:lang w:val="uk-UA"/>
        </w:rPr>
        <w:t>Винос з ґрунту сільськогосподарською продукцією поживних речовин — це кількість поживних речовин, яка витрачається на утворення всієї біологічної маси врожаю і вилучається з поля разом з основною або основною і побічною продукцією після її вивезення з поля. Величина Коефіцієнта використання поживних речовин з ґрунту залежить від культури, її біологічних особливостей, величини врожаю, ґрунту і технології. Тому цей показник найкраще показує «земельний» слід від аграрного землекористування. Впровадження елементів екологізації сільськогосподарського землекористування дозволить зменшити негативний вплив на земельні ресурси (зменшити «земельний» слід). В</w:t>
      </w:r>
      <w:r w:rsidRPr="005F0419">
        <w:rPr>
          <w:rFonts w:ascii="Times New Roman" w:hAnsi="Times New Roman" w:cs="Times New Roman"/>
          <w:sz w:val="28"/>
          <w:szCs w:val="28"/>
          <w:lang w:val="uk-UA"/>
        </w:rPr>
        <w:t xml:space="preserve"> той же час, </w:t>
      </w:r>
      <w:r w:rsidRPr="005F0419">
        <w:rPr>
          <w:rFonts w:ascii="Times New Roman" w:hAnsi="Times New Roman" w:cs="Times New Roman"/>
          <w:sz w:val="28"/>
          <w:szCs w:val="28"/>
          <w:shd w:val="clear" w:color="auto" w:fill="FFFFFF"/>
          <w:lang w:val="uk-UA"/>
        </w:rPr>
        <w:t>р</w:t>
      </w:r>
      <w:r w:rsidRPr="005F0419">
        <w:rPr>
          <w:rFonts w:ascii="Times New Roman" w:hAnsi="Times New Roman" w:cs="Times New Roman"/>
          <w:sz w:val="28"/>
          <w:szCs w:val="28"/>
          <w:lang w:val="uk-UA"/>
        </w:rPr>
        <w:t xml:space="preserve">еалізація заходів спрямованих на підвищення ефективності </w:t>
      </w:r>
      <w:r w:rsidRPr="005F0419">
        <w:rPr>
          <w:rFonts w:ascii="Times New Roman" w:hAnsi="Times New Roman" w:cs="Times New Roman"/>
          <w:sz w:val="28"/>
          <w:szCs w:val="28"/>
          <w:lang w:val="uk-UA"/>
        </w:rPr>
        <w:lastRenderedPageBreak/>
        <w:t>землекористування в сільському господарстві, забезпечує раціональне водокористування. Тобто, зменшує «водний» слід від вирощування сільськогосподарських культур.</w:t>
      </w:r>
      <w:r w:rsidR="004371F5" w:rsidRPr="005F0419">
        <w:rPr>
          <w:rFonts w:ascii="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Розрахунки земельного сліду зведено в таблиці </w:t>
      </w:r>
      <w:r w:rsidR="004371F5" w:rsidRPr="005F0419">
        <w:rPr>
          <w:rFonts w:ascii="Times New Roman" w:eastAsia="Times New Roman" w:hAnsi="Times New Roman" w:cs="Times New Roman"/>
          <w:sz w:val="28"/>
          <w:szCs w:val="28"/>
          <w:lang w:val="uk-UA"/>
        </w:rPr>
        <w:t>2</w:t>
      </w:r>
      <w:r w:rsidRPr="005F0419">
        <w:rPr>
          <w:rFonts w:ascii="Times New Roman" w:eastAsia="Times New Roman" w:hAnsi="Times New Roman" w:cs="Times New Roman"/>
          <w:sz w:val="28"/>
          <w:szCs w:val="28"/>
          <w:lang w:val="uk-UA"/>
        </w:rPr>
        <w:t>, на рис. 5</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6.</w:t>
      </w:r>
    </w:p>
    <w:p w14:paraId="6F675B6E" w14:textId="77777777" w:rsidR="004371F5" w:rsidRPr="005F0419" w:rsidRDefault="00B73EC5" w:rsidP="004371F5">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Таблиця </w:t>
      </w:r>
      <w:r w:rsidR="004371F5" w:rsidRPr="005F0419">
        <w:rPr>
          <w:rFonts w:ascii="Times New Roman" w:eastAsia="Times New Roman" w:hAnsi="Times New Roman" w:cs="Times New Roman"/>
          <w:sz w:val="28"/>
          <w:szCs w:val="28"/>
          <w:lang w:val="uk-UA"/>
        </w:rPr>
        <w:t>2</w:t>
      </w:r>
      <w:r w:rsidRPr="005F0419">
        <w:rPr>
          <w:rFonts w:ascii="Times New Roman" w:eastAsia="Times New Roman" w:hAnsi="Times New Roman" w:cs="Times New Roman"/>
          <w:sz w:val="28"/>
          <w:szCs w:val="28"/>
          <w:lang w:val="uk-UA"/>
        </w:rPr>
        <w:t xml:space="preserve"> </w:t>
      </w:r>
    </w:p>
    <w:p w14:paraId="6A87C0D9" w14:textId="6AB9A7CD"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Динаміка зміни «земельного сліду» від сільського господарства у Рівненській області</w:t>
      </w:r>
    </w:p>
    <w:tbl>
      <w:tblPr>
        <w:tblW w:w="9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60"/>
        <w:gridCol w:w="1915"/>
        <w:gridCol w:w="1860"/>
        <w:gridCol w:w="1860"/>
        <w:gridCol w:w="2091"/>
      </w:tblGrid>
      <w:tr w:rsidR="00B73EC5" w:rsidRPr="005F0419" w14:paraId="09D12867" w14:textId="77777777" w:rsidTr="0094434C">
        <w:trPr>
          <w:trHeight w:val="323"/>
        </w:trPr>
        <w:tc>
          <w:tcPr>
            <w:tcW w:w="1860" w:type="dxa"/>
            <w:vMerge w:val="restart"/>
            <w:tcMar>
              <w:top w:w="0" w:type="dxa"/>
              <w:left w:w="100" w:type="dxa"/>
              <w:bottom w:w="0" w:type="dxa"/>
              <w:right w:w="100" w:type="dxa"/>
            </w:tcMar>
            <w:vAlign w:val="center"/>
          </w:tcPr>
          <w:p w14:paraId="74FE3453" w14:textId="77777777" w:rsidR="00B73EC5" w:rsidRPr="005F0419" w:rsidRDefault="00B73EC5" w:rsidP="004371F5">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Роки</w:t>
            </w:r>
          </w:p>
        </w:tc>
        <w:tc>
          <w:tcPr>
            <w:tcW w:w="7726" w:type="dxa"/>
            <w:gridSpan w:val="4"/>
            <w:tcMar>
              <w:top w:w="0" w:type="dxa"/>
              <w:left w:w="100" w:type="dxa"/>
              <w:bottom w:w="0" w:type="dxa"/>
              <w:right w:w="100" w:type="dxa"/>
            </w:tcMar>
          </w:tcPr>
          <w:p w14:paraId="572A38C8" w14:textId="77777777" w:rsidR="00B73EC5" w:rsidRPr="005F0419" w:rsidRDefault="00B73EC5" w:rsidP="004371F5">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Винесення з ґрунту</w:t>
            </w:r>
          </w:p>
        </w:tc>
      </w:tr>
      <w:tr w:rsidR="00B73EC5" w:rsidRPr="005F0419" w14:paraId="14FEF0FB" w14:textId="77777777" w:rsidTr="0094434C">
        <w:trPr>
          <w:trHeight w:val="323"/>
        </w:trPr>
        <w:tc>
          <w:tcPr>
            <w:tcW w:w="1860" w:type="dxa"/>
            <w:vMerge/>
            <w:shd w:val="clear" w:color="auto" w:fill="auto"/>
            <w:tcMar>
              <w:top w:w="100" w:type="dxa"/>
              <w:left w:w="100" w:type="dxa"/>
              <w:bottom w:w="100" w:type="dxa"/>
              <w:right w:w="100" w:type="dxa"/>
            </w:tcMar>
          </w:tcPr>
          <w:p w14:paraId="38079F6E" w14:textId="77777777" w:rsidR="00B73EC5" w:rsidRPr="005F0419" w:rsidRDefault="00B73EC5" w:rsidP="004371F5">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lang w:val="uk-UA"/>
              </w:rPr>
            </w:pPr>
          </w:p>
        </w:tc>
        <w:tc>
          <w:tcPr>
            <w:tcW w:w="1915" w:type="dxa"/>
            <w:shd w:val="clear" w:color="auto" w:fill="auto"/>
            <w:tcMar>
              <w:top w:w="0" w:type="dxa"/>
              <w:left w:w="100" w:type="dxa"/>
              <w:bottom w:w="0" w:type="dxa"/>
              <w:right w:w="100" w:type="dxa"/>
            </w:tcMar>
          </w:tcPr>
          <w:p w14:paraId="177C18A7" w14:textId="77777777" w:rsidR="00B73EC5" w:rsidRPr="005F0419" w:rsidRDefault="00B73EC5" w:rsidP="004371F5">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Азот (N), кг</w:t>
            </w:r>
            <w:r w:rsidRPr="005F0419">
              <w:rPr>
                <w:rFonts w:ascii="Times New Roman" w:eastAsia="Times New Roman" w:hAnsi="Times New Roman" w:cs="Times New Roman"/>
                <w:b/>
                <w:sz w:val="28"/>
                <w:szCs w:val="28"/>
                <w:lang w:val="uk-UA"/>
              </w:rPr>
              <w:t>\</w:t>
            </w:r>
            <w:r w:rsidRPr="005F0419">
              <w:rPr>
                <w:rFonts w:ascii="Times New Roman" w:eastAsia="Times New Roman" w:hAnsi="Times New Roman" w:cs="Times New Roman"/>
                <w:sz w:val="28"/>
                <w:szCs w:val="28"/>
                <w:lang w:val="uk-UA"/>
              </w:rPr>
              <w:t>га</w:t>
            </w:r>
          </w:p>
        </w:tc>
        <w:tc>
          <w:tcPr>
            <w:tcW w:w="1860" w:type="dxa"/>
            <w:shd w:val="clear" w:color="auto" w:fill="auto"/>
            <w:tcMar>
              <w:top w:w="0" w:type="dxa"/>
              <w:left w:w="100" w:type="dxa"/>
              <w:bottom w:w="0" w:type="dxa"/>
              <w:right w:w="100" w:type="dxa"/>
            </w:tcMar>
          </w:tcPr>
          <w:p w14:paraId="0ECA8268" w14:textId="77777777" w:rsidR="00B73EC5" w:rsidRPr="005F0419" w:rsidRDefault="00B73EC5" w:rsidP="004371F5">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Фосфор (P), кг\га</w:t>
            </w:r>
          </w:p>
        </w:tc>
        <w:tc>
          <w:tcPr>
            <w:tcW w:w="1860" w:type="dxa"/>
            <w:shd w:val="clear" w:color="auto" w:fill="auto"/>
            <w:tcMar>
              <w:top w:w="0" w:type="dxa"/>
              <w:left w:w="100" w:type="dxa"/>
              <w:bottom w:w="0" w:type="dxa"/>
              <w:right w:w="100" w:type="dxa"/>
            </w:tcMar>
          </w:tcPr>
          <w:p w14:paraId="09F98B0E" w14:textId="77777777" w:rsidR="00B73EC5" w:rsidRPr="005F0419" w:rsidRDefault="00B73EC5" w:rsidP="004371F5">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Калій (K), кг\га</w:t>
            </w:r>
          </w:p>
        </w:tc>
        <w:tc>
          <w:tcPr>
            <w:tcW w:w="2089" w:type="dxa"/>
            <w:shd w:val="clear" w:color="auto" w:fill="auto"/>
            <w:tcMar>
              <w:top w:w="0" w:type="dxa"/>
              <w:left w:w="100" w:type="dxa"/>
              <w:bottom w:w="0" w:type="dxa"/>
              <w:right w:w="100" w:type="dxa"/>
            </w:tcMar>
            <w:vAlign w:val="bottom"/>
          </w:tcPr>
          <w:p w14:paraId="45583F33" w14:textId="77777777" w:rsidR="00B73EC5" w:rsidRPr="005F0419" w:rsidRDefault="00B73EC5" w:rsidP="004371F5">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Гумус, </w:t>
            </w:r>
          </w:p>
          <w:p w14:paraId="657D5A52" w14:textId="77777777" w:rsidR="00B73EC5" w:rsidRPr="005F0419" w:rsidRDefault="00B73EC5" w:rsidP="004371F5">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т\га</w:t>
            </w:r>
          </w:p>
        </w:tc>
      </w:tr>
      <w:tr w:rsidR="00B73EC5" w:rsidRPr="005F0419" w14:paraId="0B83AD59" w14:textId="77777777" w:rsidTr="0094434C">
        <w:trPr>
          <w:trHeight w:val="323"/>
        </w:trPr>
        <w:tc>
          <w:tcPr>
            <w:tcW w:w="1860" w:type="dxa"/>
            <w:shd w:val="clear" w:color="auto" w:fill="auto"/>
            <w:tcMar>
              <w:top w:w="0" w:type="dxa"/>
              <w:left w:w="100" w:type="dxa"/>
              <w:bottom w:w="0" w:type="dxa"/>
              <w:right w:w="100" w:type="dxa"/>
            </w:tcMar>
            <w:vAlign w:val="bottom"/>
          </w:tcPr>
          <w:p w14:paraId="136F83F6" w14:textId="77777777" w:rsidR="00B73EC5" w:rsidRPr="005F0419" w:rsidRDefault="00B73EC5" w:rsidP="004371F5">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1990</w:t>
            </w:r>
          </w:p>
        </w:tc>
        <w:tc>
          <w:tcPr>
            <w:tcW w:w="1915" w:type="dxa"/>
            <w:shd w:val="clear" w:color="auto" w:fill="auto"/>
            <w:tcMar>
              <w:top w:w="0" w:type="dxa"/>
              <w:left w:w="100" w:type="dxa"/>
              <w:bottom w:w="0" w:type="dxa"/>
              <w:right w:w="100" w:type="dxa"/>
            </w:tcMar>
            <w:vAlign w:val="bottom"/>
          </w:tcPr>
          <w:p w14:paraId="38261F60"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75,40</w:t>
            </w:r>
          </w:p>
        </w:tc>
        <w:tc>
          <w:tcPr>
            <w:tcW w:w="1860" w:type="dxa"/>
            <w:shd w:val="clear" w:color="auto" w:fill="auto"/>
            <w:tcMar>
              <w:top w:w="0" w:type="dxa"/>
              <w:left w:w="100" w:type="dxa"/>
              <w:bottom w:w="0" w:type="dxa"/>
              <w:right w:w="100" w:type="dxa"/>
            </w:tcMar>
            <w:vAlign w:val="bottom"/>
          </w:tcPr>
          <w:p w14:paraId="298E89C2"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23,52</w:t>
            </w:r>
          </w:p>
        </w:tc>
        <w:tc>
          <w:tcPr>
            <w:tcW w:w="1860" w:type="dxa"/>
            <w:shd w:val="clear" w:color="auto" w:fill="auto"/>
            <w:tcMar>
              <w:top w:w="0" w:type="dxa"/>
              <w:left w:w="100" w:type="dxa"/>
              <w:bottom w:w="0" w:type="dxa"/>
              <w:right w:w="100" w:type="dxa"/>
            </w:tcMar>
            <w:vAlign w:val="bottom"/>
          </w:tcPr>
          <w:p w14:paraId="5C478FD2"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52,19</w:t>
            </w:r>
          </w:p>
        </w:tc>
        <w:tc>
          <w:tcPr>
            <w:tcW w:w="2089" w:type="dxa"/>
            <w:shd w:val="clear" w:color="auto" w:fill="auto"/>
            <w:tcMar>
              <w:top w:w="0" w:type="dxa"/>
              <w:left w:w="100" w:type="dxa"/>
              <w:bottom w:w="0" w:type="dxa"/>
              <w:right w:w="100" w:type="dxa"/>
            </w:tcMar>
            <w:vAlign w:val="bottom"/>
          </w:tcPr>
          <w:p w14:paraId="40655BE8"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1,25</w:t>
            </w:r>
          </w:p>
        </w:tc>
      </w:tr>
      <w:tr w:rsidR="00B73EC5" w:rsidRPr="005F0419" w14:paraId="5EB160BC" w14:textId="77777777" w:rsidTr="0094434C">
        <w:trPr>
          <w:trHeight w:val="323"/>
        </w:trPr>
        <w:tc>
          <w:tcPr>
            <w:tcW w:w="1860" w:type="dxa"/>
            <w:shd w:val="clear" w:color="auto" w:fill="auto"/>
            <w:tcMar>
              <w:top w:w="0" w:type="dxa"/>
              <w:left w:w="100" w:type="dxa"/>
              <w:bottom w:w="0" w:type="dxa"/>
              <w:right w:w="100" w:type="dxa"/>
            </w:tcMar>
            <w:vAlign w:val="bottom"/>
          </w:tcPr>
          <w:p w14:paraId="559DEF8B" w14:textId="77777777" w:rsidR="00B73EC5" w:rsidRPr="005F0419" w:rsidRDefault="00B73EC5" w:rsidP="004371F5">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2002</w:t>
            </w:r>
          </w:p>
        </w:tc>
        <w:tc>
          <w:tcPr>
            <w:tcW w:w="1915" w:type="dxa"/>
            <w:shd w:val="clear" w:color="auto" w:fill="auto"/>
            <w:tcMar>
              <w:top w:w="0" w:type="dxa"/>
              <w:left w:w="100" w:type="dxa"/>
              <w:bottom w:w="0" w:type="dxa"/>
              <w:right w:w="100" w:type="dxa"/>
            </w:tcMar>
            <w:vAlign w:val="bottom"/>
          </w:tcPr>
          <w:p w14:paraId="26FB9AE3"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41,22</w:t>
            </w:r>
          </w:p>
        </w:tc>
        <w:tc>
          <w:tcPr>
            <w:tcW w:w="1860" w:type="dxa"/>
            <w:shd w:val="clear" w:color="auto" w:fill="auto"/>
            <w:tcMar>
              <w:top w:w="0" w:type="dxa"/>
              <w:left w:w="100" w:type="dxa"/>
              <w:bottom w:w="0" w:type="dxa"/>
              <w:right w:w="100" w:type="dxa"/>
            </w:tcMar>
            <w:vAlign w:val="bottom"/>
          </w:tcPr>
          <w:p w14:paraId="1D71C5D1"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14,44</w:t>
            </w:r>
          </w:p>
        </w:tc>
        <w:tc>
          <w:tcPr>
            <w:tcW w:w="1860" w:type="dxa"/>
            <w:shd w:val="clear" w:color="auto" w:fill="auto"/>
            <w:tcMar>
              <w:top w:w="0" w:type="dxa"/>
              <w:left w:w="100" w:type="dxa"/>
              <w:bottom w:w="0" w:type="dxa"/>
              <w:right w:w="100" w:type="dxa"/>
            </w:tcMar>
            <w:vAlign w:val="bottom"/>
          </w:tcPr>
          <w:p w14:paraId="30BEA41D"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21,60</w:t>
            </w:r>
          </w:p>
        </w:tc>
        <w:tc>
          <w:tcPr>
            <w:tcW w:w="2089" w:type="dxa"/>
            <w:shd w:val="clear" w:color="auto" w:fill="auto"/>
            <w:tcMar>
              <w:top w:w="0" w:type="dxa"/>
              <w:left w:w="100" w:type="dxa"/>
              <w:bottom w:w="0" w:type="dxa"/>
              <w:right w:w="100" w:type="dxa"/>
            </w:tcMar>
            <w:vAlign w:val="bottom"/>
          </w:tcPr>
          <w:p w14:paraId="1CAAC76D"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1,16</w:t>
            </w:r>
          </w:p>
        </w:tc>
      </w:tr>
      <w:tr w:rsidR="00B73EC5" w:rsidRPr="005F0419" w14:paraId="004BF219" w14:textId="77777777" w:rsidTr="0094434C">
        <w:trPr>
          <w:trHeight w:val="323"/>
        </w:trPr>
        <w:tc>
          <w:tcPr>
            <w:tcW w:w="1860" w:type="dxa"/>
            <w:shd w:val="clear" w:color="auto" w:fill="auto"/>
            <w:tcMar>
              <w:top w:w="0" w:type="dxa"/>
              <w:left w:w="100" w:type="dxa"/>
              <w:bottom w:w="0" w:type="dxa"/>
              <w:right w:w="100" w:type="dxa"/>
            </w:tcMar>
            <w:vAlign w:val="bottom"/>
          </w:tcPr>
          <w:p w14:paraId="55D8F8B8" w14:textId="77777777" w:rsidR="00B73EC5" w:rsidRPr="005F0419" w:rsidRDefault="00B73EC5" w:rsidP="004371F5">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2011</w:t>
            </w:r>
          </w:p>
        </w:tc>
        <w:tc>
          <w:tcPr>
            <w:tcW w:w="1915" w:type="dxa"/>
            <w:shd w:val="clear" w:color="auto" w:fill="auto"/>
            <w:tcMar>
              <w:top w:w="0" w:type="dxa"/>
              <w:left w:w="100" w:type="dxa"/>
              <w:bottom w:w="0" w:type="dxa"/>
              <w:right w:w="100" w:type="dxa"/>
            </w:tcMar>
            <w:vAlign w:val="bottom"/>
          </w:tcPr>
          <w:p w14:paraId="7FCA7E4F"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66,52</w:t>
            </w:r>
          </w:p>
        </w:tc>
        <w:tc>
          <w:tcPr>
            <w:tcW w:w="1860" w:type="dxa"/>
            <w:shd w:val="clear" w:color="auto" w:fill="auto"/>
            <w:tcMar>
              <w:top w:w="0" w:type="dxa"/>
              <w:left w:w="100" w:type="dxa"/>
              <w:bottom w:w="0" w:type="dxa"/>
              <w:right w:w="100" w:type="dxa"/>
            </w:tcMar>
            <w:vAlign w:val="bottom"/>
          </w:tcPr>
          <w:p w14:paraId="165CAA3E"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23,46</w:t>
            </w:r>
          </w:p>
        </w:tc>
        <w:tc>
          <w:tcPr>
            <w:tcW w:w="1860" w:type="dxa"/>
            <w:shd w:val="clear" w:color="auto" w:fill="auto"/>
            <w:tcMar>
              <w:top w:w="0" w:type="dxa"/>
              <w:left w:w="100" w:type="dxa"/>
              <w:bottom w:w="0" w:type="dxa"/>
              <w:right w:w="100" w:type="dxa"/>
            </w:tcMar>
            <w:vAlign w:val="bottom"/>
          </w:tcPr>
          <w:p w14:paraId="7BFBC4A4"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27,66</w:t>
            </w:r>
          </w:p>
        </w:tc>
        <w:tc>
          <w:tcPr>
            <w:tcW w:w="2089" w:type="dxa"/>
            <w:shd w:val="clear" w:color="auto" w:fill="auto"/>
            <w:tcMar>
              <w:top w:w="0" w:type="dxa"/>
              <w:left w:w="100" w:type="dxa"/>
              <w:bottom w:w="0" w:type="dxa"/>
              <w:right w:w="100" w:type="dxa"/>
            </w:tcMar>
            <w:vAlign w:val="bottom"/>
          </w:tcPr>
          <w:p w14:paraId="04B3C9A8"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1,35</w:t>
            </w:r>
          </w:p>
        </w:tc>
      </w:tr>
      <w:tr w:rsidR="00B73EC5" w:rsidRPr="005F0419" w14:paraId="7466A305" w14:textId="77777777" w:rsidTr="0094434C">
        <w:trPr>
          <w:trHeight w:val="323"/>
        </w:trPr>
        <w:tc>
          <w:tcPr>
            <w:tcW w:w="1860" w:type="dxa"/>
            <w:shd w:val="clear" w:color="auto" w:fill="auto"/>
            <w:tcMar>
              <w:top w:w="0" w:type="dxa"/>
              <w:left w:w="100" w:type="dxa"/>
              <w:bottom w:w="0" w:type="dxa"/>
              <w:right w:w="100" w:type="dxa"/>
            </w:tcMar>
            <w:vAlign w:val="bottom"/>
          </w:tcPr>
          <w:p w14:paraId="7C93682B" w14:textId="77777777" w:rsidR="00B73EC5" w:rsidRPr="005F0419" w:rsidRDefault="00B73EC5" w:rsidP="004371F5">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w:t>
            </w:r>
          </w:p>
        </w:tc>
        <w:tc>
          <w:tcPr>
            <w:tcW w:w="1915" w:type="dxa"/>
            <w:shd w:val="clear" w:color="auto" w:fill="auto"/>
            <w:tcMar>
              <w:top w:w="0" w:type="dxa"/>
              <w:left w:w="100" w:type="dxa"/>
              <w:bottom w:w="0" w:type="dxa"/>
              <w:right w:w="100" w:type="dxa"/>
            </w:tcMar>
            <w:vAlign w:val="bottom"/>
          </w:tcPr>
          <w:p w14:paraId="3E103794"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101,03</w:t>
            </w:r>
          </w:p>
        </w:tc>
        <w:tc>
          <w:tcPr>
            <w:tcW w:w="1860" w:type="dxa"/>
            <w:shd w:val="clear" w:color="auto" w:fill="auto"/>
            <w:tcMar>
              <w:top w:w="0" w:type="dxa"/>
              <w:left w:w="100" w:type="dxa"/>
              <w:bottom w:w="0" w:type="dxa"/>
              <w:right w:w="100" w:type="dxa"/>
            </w:tcMar>
            <w:vAlign w:val="bottom"/>
          </w:tcPr>
          <w:p w14:paraId="0F30F7AB"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43,42</w:t>
            </w:r>
          </w:p>
        </w:tc>
        <w:tc>
          <w:tcPr>
            <w:tcW w:w="1860" w:type="dxa"/>
            <w:shd w:val="clear" w:color="auto" w:fill="auto"/>
            <w:tcMar>
              <w:top w:w="0" w:type="dxa"/>
              <w:left w:w="100" w:type="dxa"/>
              <w:bottom w:w="0" w:type="dxa"/>
              <w:right w:w="100" w:type="dxa"/>
            </w:tcMar>
            <w:vAlign w:val="bottom"/>
          </w:tcPr>
          <w:p w14:paraId="649A18DC"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31,31</w:t>
            </w:r>
          </w:p>
        </w:tc>
        <w:tc>
          <w:tcPr>
            <w:tcW w:w="2089" w:type="dxa"/>
            <w:shd w:val="clear" w:color="auto" w:fill="auto"/>
            <w:tcMar>
              <w:top w:w="0" w:type="dxa"/>
              <w:left w:w="100" w:type="dxa"/>
              <w:bottom w:w="0" w:type="dxa"/>
              <w:right w:w="100" w:type="dxa"/>
            </w:tcMar>
            <w:vAlign w:val="bottom"/>
          </w:tcPr>
          <w:p w14:paraId="06B8A38A" w14:textId="77777777" w:rsidR="00B73EC5" w:rsidRPr="005F0419" w:rsidRDefault="00B73EC5" w:rsidP="004371F5">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1,42</w:t>
            </w:r>
          </w:p>
        </w:tc>
      </w:tr>
    </w:tbl>
    <w:p w14:paraId="41AD0A3C" w14:textId="6C34D237" w:rsidR="00B73EC5" w:rsidRPr="005F0419" w:rsidRDefault="00B73EC5" w:rsidP="004371F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noProof/>
          <w:sz w:val="28"/>
          <w:szCs w:val="28"/>
          <w:lang w:val="uk-UA"/>
        </w:rPr>
        <w:drawing>
          <wp:inline distT="0" distB="0" distL="0" distR="0" wp14:anchorId="183842A1" wp14:editId="58DF3E2D">
            <wp:extent cx="6086475" cy="2876550"/>
            <wp:effectExtent l="0" t="0" r="0" b="0"/>
            <wp:docPr id="903162493"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266E82B4" w14:textId="7CC0E265"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5. Винос основних поживних речовин культурами в Рівненській області в середньому з 1 га, кг</w:t>
      </w:r>
    </w:p>
    <w:p w14:paraId="0F70AAF5" w14:textId="77777777" w:rsidR="004371F5" w:rsidRPr="005F0419" w:rsidRDefault="00B73EC5" w:rsidP="004371F5">
      <w:pPr>
        <w:tabs>
          <w:tab w:val="left" w:pos="3073"/>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розраховано авторами.</w:t>
      </w:r>
    </w:p>
    <w:p w14:paraId="3DE4D291" w14:textId="77777777" w:rsidR="00113886" w:rsidRPr="005F0419" w:rsidRDefault="00113886" w:rsidP="004371F5">
      <w:pPr>
        <w:tabs>
          <w:tab w:val="left" w:pos="3073"/>
        </w:tabs>
        <w:spacing w:after="0" w:line="360" w:lineRule="auto"/>
        <w:ind w:firstLine="720"/>
        <w:jc w:val="both"/>
        <w:rPr>
          <w:rFonts w:ascii="Times New Roman" w:eastAsia="Times New Roman" w:hAnsi="Times New Roman" w:cs="Times New Roman"/>
          <w:sz w:val="28"/>
          <w:szCs w:val="28"/>
          <w:lang w:val="uk-UA"/>
        </w:rPr>
      </w:pPr>
    </w:p>
    <w:p w14:paraId="6361BD29" w14:textId="6823BBB4" w:rsidR="00B73EC5" w:rsidRPr="005F0419" w:rsidRDefault="00B73EC5" w:rsidP="004371F5">
      <w:pPr>
        <w:tabs>
          <w:tab w:val="left" w:pos="3073"/>
        </w:tabs>
        <w:spacing w:after="0" w:line="360" w:lineRule="auto"/>
        <w:ind w:firstLine="720"/>
        <w:jc w:val="both"/>
        <w:rPr>
          <w:rFonts w:ascii="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Як видно з рис. 5, у 2020 році винос азоту збільшився на 34%,  а фосфору – на 86% у порівнянні з 1990 роком, а винос калію зменшився на 40%. Рівень мінералізації гумусу з початку 2000-х рр. постійно зростає і сьогодні становить </w:t>
      </w:r>
      <w:r w:rsidRPr="005F0419">
        <w:rPr>
          <w:rFonts w:ascii="Times New Roman" w:eastAsia="Times New Roman" w:hAnsi="Times New Roman" w:cs="Times New Roman"/>
          <w:sz w:val="28"/>
          <w:szCs w:val="28"/>
          <w:lang w:val="uk-UA"/>
        </w:rPr>
        <w:lastRenderedPageBreak/>
        <w:t xml:space="preserve">в середньому 1,42 т/га, що на 13% більше ніж у 1990-х рр. і на 22% більше ніж у 2000-х рр. (рис. 6). </w:t>
      </w:r>
    </w:p>
    <w:p w14:paraId="37A2B85E" w14:textId="77777777"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3E259C39" wp14:editId="0761186C">
            <wp:extent cx="3710305" cy="1878496"/>
            <wp:effectExtent l="0" t="0" r="4445" b="7620"/>
            <wp:docPr id="903162492"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7887CC41" w14:textId="73CEC74B"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6. Динаміка мінералізації гумусу в Рівненській області, т/га</w:t>
      </w:r>
    </w:p>
    <w:p w14:paraId="0CB3DF37" w14:textId="77777777" w:rsidR="00B73EC5" w:rsidRPr="005F0419" w:rsidRDefault="00B73EC5" w:rsidP="00B73EC5">
      <w:pPr>
        <w:tabs>
          <w:tab w:val="left" w:pos="3073"/>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розраховано авторами.</w:t>
      </w:r>
    </w:p>
    <w:p w14:paraId="6B86EF5C" w14:textId="0E6EC6EA"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Аналогічні розрахунки було проведено для зони Полісся і Лісостепу за даними </w:t>
      </w:r>
      <w:proofErr w:type="spellStart"/>
      <w:r w:rsidRPr="005F0419">
        <w:rPr>
          <w:rFonts w:ascii="Times New Roman" w:eastAsia="Times New Roman" w:hAnsi="Times New Roman" w:cs="Times New Roman"/>
          <w:sz w:val="28"/>
          <w:szCs w:val="28"/>
          <w:lang w:val="uk-UA"/>
        </w:rPr>
        <w:t>Костопільського</w:t>
      </w:r>
      <w:proofErr w:type="spellEnd"/>
      <w:r w:rsidRPr="005F0419">
        <w:rPr>
          <w:rFonts w:ascii="Times New Roman" w:eastAsia="Times New Roman" w:hAnsi="Times New Roman" w:cs="Times New Roman"/>
          <w:sz w:val="28"/>
          <w:szCs w:val="28"/>
          <w:lang w:val="uk-UA"/>
        </w:rPr>
        <w:t xml:space="preserve"> та Радивилівського районів відповідно. Результати розрахунків показано на рис. 7-10. З рисунків видно, що в зоні Полісся збереглися тенденції до збільшення виносу азоту і калію до 2011 року, коли спостерігається зменшення виносу всіх поживних речовин через зменшення інтенсивності використання малородючих ґрунтів Полісся. Сьогодні про суттєве збільшення сільськогосподарського виробництва свідчить зростання в 3 рази в 2020 році порівняно з 2011 роком, виносу поживних речовин з ґрунту.</w:t>
      </w:r>
    </w:p>
    <w:p w14:paraId="46DBBD52" w14:textId="77777777"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1438C81A" wp14:editId="32F29312">
            <wp:extent cx="5810250" cy="2365513"/>
            <wp:effectExtent l="0" t="0" r="0" b="0"/>
            <wp:docPr id="138" name="Діаграма 7">
              <a:extLst xmlns:a="http://schemas.openxmlformats.org/drawingml/2006/main">
                <a:ext uri="{FF2B5EF4-FFF2-40B4-BE49-F238E27FC236}">
                  <a16:creationId xmlns:a16="http://schemas.microsoft.com/office/drawing/2014/main" id="{1ED2EEEE-5C09-46D7-A6B2-FF2DA313F2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60ADB05E" w14:textId="77777777" w:rsidR="004371F5" w:rsidRPr="005F0419" w:rsidRDefault="00B73EC5" w:rsidP="004371F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7. Винос основних поживних речовин культурами </w:t>
      </w:r>
    </w:p>
    <w:p w14:paraId="76FADBD6" w14:textId="68EDFAF3" w:rsidR="00B73EC5" w:rsidRPr="005F0419" w:rsidRDefault="00B73EC5" w:rsidP="004371F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 </w:t>
      </w:r>
      <w:proofErr w:type="spellStart"/>
      <w:r w:rsidRPr="005F0419">
        <w:rPr>
          <w:rFonts w:ascii="Times New Roman" w:eastAsia="Times New Roman" w:hAnsi="Times New Roman" w:cs="Times New Roman"/>
          <w:sz w:val="28"/>
          <w:szCs w:val="28"/>
          <w:lang w:val="uk-UA"/>
        </w:rPr>
        <w:t>Костопільському</w:t>
      </w:r>
      <w:proofErr w:type="spellEnd"/>
      <w:r w:rsidRPr="005F0419">
        <w:rPr>
          <w:rFonts w:ascii="Times New Roman" w:eastAsia="Times New Roman" w:hAnsi="Times New Roman" w:cs="Times New Roman"/>
          <w:sz w:val="28"/>
          <w:szCs w:val="28"/>
          <w:lang w:val="uk-UA"/>
        </w:rPr>
        <w:t xml:space="preserve"> районі </w:t>
      </w:r>
      <w:r w:rsidR="004371F5" w:rsidRPr="005F0419">
        <w:rPr>
          <w:rFonts w:ascii="Times New Roman" w:eastAsia="Times New Roman" w:hAnsi="Times New Roman" w:cs="Times New Roman"/>
          <w:sz w:val="28"/>
          <w:szCs w:val="28"/>
          <w:lang w:val="uk-UA"/>
        </w:rPr>
        <w:t xml:space="preserve">у </w:t>
      </w:r>
      <w:r w:rsidRPr="005F0419">
        <w:rPr>
          <w:rFonts w:ascii="Times New Roman" w:eastAsia="Times New Roman" w:hAnsi="Times New Roman" w:cs="Times New Roman"/>
          <w:sz w:val="28"/>
          <w:szCs w:val="28"/>
          <w:lang w:val="uk-UA"/>
        </w:rPr>
        <w:t>середньому з 1 га (зона Полісся).</w:t>
      </w:r>
    </w:p>
    <w:p w14:paraId="10D093E9" w14:textId="77777777" w:rsidR="00B73EC5" w:rsidRPr="005F0419" w:rsidRDefault="00B73EC5" w:rsidP="00B73EC5">
      <w:pPr>
        <w:tabs>
          <w:tab w:val="left" w:pos="3073"/>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розраховано авторами.</w:t>
      </w:r>
    </w:p>
    <w:p w14:paraId="2CC70C2A" w14:textId="77777777"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hAnsi="Times New Roman" w:cs="Times New Roman"/>
          <w:noProof/>
          <w:sz w:val="28"/>
          <w:szCs w:val="28"/>
          <w:lang w:val="uk-UA"/>
        </w:rPr>
        <w:lastRenderedPageBreak/>
        <w:drawing>
          <wp:inline distT="0" distB="0" distL="0" distR="0" wp14:anchorId="6B1B6E5F" wp14:editId="1F00D6FC">
            <wp:extent cx="4394200" cy="2047461"/>
            <wp:effectExtent l="0" t="0" r="6350" b="0"/>
            <wp:docPr id="139" name="Діаграма 8">
              <a:extLst xmlns:a="http://schemas.openxmlformats.org/drawingml/2006/main">
                <a:ext uri="{FF2B5EF4-FFF2-40B4-BE49-F238E27FC236}">
                  <a16:creationId xmlns:a16="http://schemas.microsoft.com/office/drawing/2014/main" id="{23B43D07-7216-414D-3A34-0D1A2B2FCB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6B2A7BC6" w14:textId="04A41852"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8. Динаміка мінералізації гумусу в </w:t>
      </w:r>
      <w:proofErr w:type="spellStart"/>
      <w:r w:rsidRPr="005F0419">
        <w:rPr>
          <w:rFonts w:ascii="Times New Roman" w:eastAsia="Times New Roman" w:hAnsi="Times New Roman" w:cs="Times New Roman"/>
          <w:sz w:val="28"/>
          <w:szCs w:val="28"/>
          <w:lang w:val="uk-UA"/>
        </w:rPr>
        <w:t>Костопільському</w:t>
      </w:r>
      <w:proofErr w:type="spellEnd"/>
      <w:r w:rsidRPr="005F0419">
        <w:rPr>
          <w:rFonts w:ascii="Times New Roman" w:eastAsia="Times New Roman" w:hAnsi="Times New Roman" w:cs="Times New Roman"/>
          <w:sz w:val="28"/>
          <w:szCs w:val="28"/>
          <w:lang w:val="uk-UA"/>
        </w:rPr>
        <w:t xml:space="preserve"> районі, т/га</w:t>
      </w:r>
    </w:p>
    <w:p w14:paraId="57DB56EF" w14:textId="77777777" w:rsidR="00B73EC5" w:rsidRPr="005F0419" w:rsidRDefault="00B73EC5" w:rsidP="00B73EC5">
      <w:pPr>
        <w:tabs>
          <w:tab w:val="left" w:pos="3073"/>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розраховано авторами.</w:t>
      </w:r>
    </w:p>
    <w:p w14:paraId="14A30058" w14:textId="77777777"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p>
    <w:p w14:paraId="4C50EA90" w14:textId="77777777" w:rsidR="00B73EC5" w:rsidRPr="005F0419" w:rsidRDefault="00B73EC5" w:rsidP="00B73EC5">
      <w:pPr>
        <w:tabs>
          <w:tab w:val="left" w:pos="1052"/>
        </w:tabs>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Збільшення темпів мінералізації гумусу в зоні Полісся, можна пояснити збільшенням обсягу вирощування сої, соняшнику і кукурудзи, які раніше не були поширені в цьому регіоні.</w:t>
      </w:r>
    </w:p>
    <w:p w14:paraId="517196FE" w14:textId="77777777" w:rsidR="00B73EC5" w:rsidRPr="005F0419" w:rsidRDefault="00B73EC5" w:rsidP="00B73EC5">
      <w:pPr>
        <w:tabs>
          <w:tab w:val="left" w:pos="2179"/>
        </w:tabs>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64B261E8" wp14:editId="7E4432EC">
            <wp:extent cx="5801360" cy="3101009"/>
            <wp:effectExtent l="0" t="0" r="8890" b="4445"/>
            <wp:docPr id="22" name="Діаграма 9">
              <a:extLst xmlns:a="http://schemas.openxmlformats.org/drawingml/2006/main">
                <a:ext uri="{FF2B5EF4-FFF2-40B4-BE49-F238E27FC236}">
                  <a16:creationId xmlns:a16="http://schemas.microsoft.com/office/drawing/2014/main" id="{FD56CCE1-C934-4708-9ACB-9A1C1C9E06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0DBA8018" w14:textId="5E4AF854"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w:t>
      </w:r>
      <w:r w:rsidR="004371F5"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9. Винос основних поживних речовин культурами в Радивилівському районі в середньому з 1 га, кг (зона Лісостепу)</w:t>
      </w:r>
    </w:p>
    <w:p w14:paraId="46D0C8D3" w14:textId="7D259191" w:rsidR="00B73EC5" w:rsidRPr="005F0419" w:rsidRDefault="00B73EC5" w:rsidP="00B73EC5">
      <w:pPr>
        <w:tabs>
          <w:tab w:val="left" w:pos="3073"/>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розраховано авторами.</w:t>
      </w:r>
    </w:p>
    <w:p w14:paraId="2191A8F6" w14:textId="77777777" w:rsidR="00113886" w:rsidRPr="005F0419" w:rsidRDefault="00113886" w:rsidP="004371F5">
      <w:pPr>
        <w:tabs>
          <w:tab w:val="left" w:pos="720"/>
        </w:tabs>
        <w:spacing w:after="0" w:line="360" w:lineRule="auto"/>
        <w:ind w:firstLine="720"/>
        <w:jc w:val="both"/>
        <w:rPr>
          <w:rFonts w:ascii="Times New Roman" w:eastAsia="Times New Roman" w:hAnsi="Times New Roman" w:cs="Times New Roman"/>
          <w:sz w:val="28"/>
          <w:szCs w:val="28"/>
          <w:lang w:val="uk-UA"/>
        </w:rPr>
      </w:pPr>
    </w:p>
    <w:p w14:paraId="650A164E" w14:textId="47159212" w:rsidR="00977B8D" w:rsidRPr="005F0419" w:rsidRDefault="004371F5" w:rsidP="004371F5">
      <w:pPr>
        <w:tabs>
          <w:tab w:val="left" w:pos="720"/>
        </w:tabs>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Як видно з рис. 9, у 2020 році винос азоту збільшився на 22%, а фосфору – на 100% у порівнянні з 1990 роком, а винос калію навпаки зменшився в 2 рази. </w:t>
      </w:r>
    </w:p>
    <w:p w14:paraId="4CB1ABF3" w14:textId="14C858F9" w:rsidR="004371F5" w:rsidRPr="005F0419" w:rsidRDefault="004371F5" w:rsidP="004371F5">
      <w:pPr>
        <w:tabs>
          <w:tab w:val="left" w:pos="720"/>
        </w:tabs>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 xml:space="preserve">Рівень мінералізації гумусу з 90-х рр. постійно зростає і сьогодні становить в середньому 1,39 т/га, що на 18% більше ніж у 90-х рр. (рис. 10). </w:t>
      </w:r>
    </w:p>
    <w:p w14:paraId="07732D0E" w14:textId="77777777"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2DF2E0A2" wp14:editId="19627C7A">
            <wp:extent cx="4005085" cy="1959429"/>
            <wp:effectExtent l="0" t="0" r="0" b="3175"/>
            <wp:docPr id="140" name="Діаграма 10">
              <a:extLst xmlns:a="http://schemas.openxmlformats.org/drawingml/2006/main">
                <a:ext uri="{FF2B5EF4-FFF2-40B4-BE49-F238E27FC236}">
                  <a16:creationId xmlns:a16="http://schemas.microsoft.com/office/drawing/2014/main" id="{B71B8EE6-99C2-5869-C10D-A70EE541BC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68942F73" w14:textId="34ABB469" w:rsidR="00B73EC5" w:rsidRPr="005F0419" w:rsidRDefault="00B73EC5" w:rsidP="00B73EC5">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w:t>
      </w:r>
      <w:r w:rsidR="00977B8D"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10. Динаміка мінералізації гумусу в Радивилівському районі, т/га</w:t>
      </w:r>
    </w:p>
    <w:p w14:paraId="17ED45EB" w14:textId="77777777" w:rsidR="00B73EC5" w:rsidRPr="005F0419" w:rsidRDefault="00B73EC5" w:rsidP="00B73EC5">
      <w:pPr>
        <w:tabs>
          <w:tab w:val="left" w:pos="3073"/>
        </w:tabs>
        <w:spacing w:after="0" w:line="360" w:lineRule="auto"/>
        <w:ind w:firstLine="720"/>
        <w:jc w:val="both"/>
        <w:rPr>
          <w:rFonts w:ascii="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Pr="005F0419">
        <w:rPr>
          <w:rFonts w:ascii="Times New Roman" w:hAnsi="Times New Roman" w:cs="Times New Roman"/>
          <w:sz w:val="28"/>
          <w:szCs w:val="28"/>
          <w:lang w:val="uk-UA"/>
        </w:rPr>
        <w:t>Джерело: розраховано авторами.</w:t>
      </w:r>
    </w:p>
    <w:p w14:paraId="049FF482" w14:textId="77777777"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p>
    <w:p w14:paraId="0773D22E" w14:textId="77777777" w:rsidR="00B73EC5" w:rsidRPr="005F0419" w:rsidRDefault="00B73EC5" w:rsidP="00B73EC5">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Отже, в процесі адаптації аграрного виробництва до ринкових умов сформувалася нова система землекористування і господарювання в межах країни. Дрібні фермери, які були основою системи життєзабезпечення та виробництва продуктів харчування, сьогодні стикаються з жорсткою конкуренцією через глобалізацію продовольчої системи. Сьогодні перевага на боці концентрованих, великомасштабних і високомеханізованих господарств (</w:t>
      </w:r>
      <w:proofErr w:type="spellStart"/>
      <w:r w:rsidRPr="005F0419">
        <w:rPr>
          <w:rFonts w:ascii="Times New Roman" w:eastAsia="Times New Roman" w:hAnsi="Times New Roman" w:cs="Times New Roman"/>
          <w:sz w:val="28"/>
          <w:szCs w:val="28"/>
          <w:lang w:val="uk-UA"/>
        </w:rPr>
        <w:t>агрохолдингів</w:t>
      </w:r>
      <w:proofErr w:type="spellEnd"/>
      <w:r w:rsidRPr="005F0419">
        <w:rPr>
          <w:rFonts w:ascii="Times New Roman" w:eastAsia="Times New Roman" w:hAnsi="Times New Roman" w:cs="Times New Roman"/>
          <w:sz w:val="28"/>
          <w:szCs w:val="28"/>
          <w:lang w:val="uk-UA"/>
        </w:rPr>
        <w:t xml:space="preserve">). Завдяки відсутності з боку держави ефективного механізму контролю за використанням земель та дієвої системи покарань за погіршення їх якості,  спостерігається низка негативних тенденцій в сільському господарстві. Зокрема: недотримання науково-обґрунтований та апробованих роками сівозмін,  вирощування </w:t>
      </w:r>
      <w:proofErr w:type="spellStart"/>
      <w:r w:rsidRPr="005F0419">
        <w:rPr>
          <w:rFonts w:ascii="Times New Roman" w:eastAsia="Times New Roman" w:hAnsi="Times New Roman" w:cs="Times New Roman"/>
          <w:sz w:val="28"/>
          <w:szCs w:val="28"/>
          <w:lang w:val="uk-UA"/>
        </w:rPr>
        <w:t>монокультур</w:t>
      </w:r>
      <w:proofErr w:type="spellEnd"/>
      <w:r w:rsidRPr="005F0419">
        <w:rPr>
          <w:rFonts w:ascii="Times New Roman" w:eastAsia="Times New Roman" w:hAnsi="Times New Roman" w:cs="Times New Roman"/>
          <w:sz w:val="28"/>
          <w:szCs w:val="28"/>
          <w:lang w:val="uk-UA"/>
        </w:rPr>
        <w:t xml:space="preserve">, орієнтація виключно на максимізацію прибутків, внесення недостатніх обсягів органічних та мінеральних добрив, ігнорування меліоративних заходів. Внаслідок чого зросло навантаження на земельні ресурси, відбувається їх виснаження, зростають площі деградованих земель, що свідчить про негативний «земельний слід» від такого землекористування. </w:t>
      </w:r>
    </w:p>
    <w:p w14:paraId="65C82201" w14:textId="184FE633" w:rsidR="00977B8D" w:rsidRPr="005F0419" w:rsidRDefault="00977B8D"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w:t>
      </w:r>
      <w:r w:rsidR="00B73EC5" w:rsidRPr="005F0419">
        <w:rPr>
          <w:rFonts w:ascii="Times New Roman" w:hAnsi="Times New Roman" w:cs="Times New Roman"/>
          <w:sz w:val="28"/>
          <w:szCs w:val="28"/>
          <w:lang w:val="uk-UA"/>
        </w:rPr>
        <w:t xml:space="preserve"> результаті проведених досліджень можна зробити наступні висновки щодо «земельного сліду</w:t>
      </w:r>
      <w:r w:rsidR="008C7F3A"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w:t>
      </w:r>
    </w:p>
    <w:p w14:paraId="66B2FAF7" w14:textId="43F33F1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1. Спостерігається високий загальний попит на землю у світі. Наприклад, Європа є регіоном із другим у світі найвищим загальним рівнем попиту на землю. Європа є континентом, який найбільше залежить від імпорту землі для задоволення високих рівнів споживання (58% споживаної землі походить з-за меж Європи – переважно Китаю, Бразилії та Аргентини).</w:t>
      </w:r>
    </w:p>
    <w:p w14:paraId="7B52C7B2"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З економічних, соціальних та екологічних причин Україна має вжити термінових заходів для розробки послідовної політики для оцінки та зменшення свого земельного сліду, зокрема: стандартизувати методологію землекористування та створити базу даних, необхідних для її обліку, аудиту, оцінки через </w:t>
      </w:r>
      <w:proofErr w:type="spellStart"/>
      <w:r w:rsidRPr="005F0419">
        <w:rPr>
          <w:rFonts w:ascii="Times New Roman" w:hAnsi="Times New Roman" w:cs="Times New Roman"/>
          <w:sz w:val="28"/>
          <w:szCs w:val="28"/>
          <w:lang w:val="uk-UA"/>
        </w:rPr>
        <w:t>діджиталізацію</w:t>
      </w:r>
      <w:proofErr w:type="spellEnd"/>
      <w:r w:rsidRPr="005F0419">
        <w:rPr>
          <w:rFonts w:ascii="Times New Roman" w:hAnsi="Times New Roman" w:cs="Times New Roman"/>
          <w:sz w:val="28"/>
          <w:szCs w:val="28"/>
          <w:lang w:val="uk-UA"/>
        </w:rPr>
        <w:t xml:space="preserve"> й ГІС технології; використовувати водні, вуглецеві земельні сліди в оцінках впливу на НПС (у концепції євроінтеграції і методології стандартизації земельного сліду у ЄС); впроваджувати стандарти ISO серії 28 000 щодо логістики (з врахуванням водного, земельного, матеріального та вуглецевого слідів); розробити нову продовольчу політику, спрямовану на зменшення використання всіх видів ресурсів. </w:t>
      </w:r>
    </w:p>
    <w:p w14:paraId="31C3E788" w14:textId="77777777" w:rsidR="00B73EC5" w:rsidRPr="005F0419" w:rsidRDefault="00B73EC5" w:rsidP="00B73EC5">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 Зменшувати імпорт віртуальної землі, що має реальні фінансові витрати (еколого-економічні розрахунки не використовуються або не досконалі). Актуальним є обґрунтування масштабів існуючого та </w:t>
      </w:r>
      <w:proofErr w:type="spellStart"/>
      <w:r w:rsidRPr="005F0419">
        <w:rPr>
          <w:rFonts w:ascii="Times New Roman" w:hAnsi="Times New Roman" w:cs="Times New Roman"/>
          <w:sz w:val="28"/>
          <w:szCs w:val="28"/>
          <w:lang w:val="uk-UA"/>
        </w:rPr>
        <w:t>соціо</w:t>
      </w:r>
      <w:proofErr w:type="spellEnd"/>
      <w:r w:rsidRPr="005F0419">
        <w:rPr>
          <w:rFonts w:ascii="Times New Roman" w:hAnsi="Times New Roman" w:cs="Times New Roman"/>
          <w:sz w:val="28"/>
          <w:szCs w:val="28"/>
          <w:lang w:val="uk-UA"/>
        </w:rPr>
        <w:t xml:space="preserve">-еколого-економічно доцільного землекористування. Через орієнтацію виробників виключно на рентабельність вирощування культури, призвело до того, що, </w:t>
      </w:r>
      <w:r w:rsidRPr="005F0419">
        <w:rPr>
          <w:rFonts w:ascii="Times New Roman" w:eastAsia="Times New Roman" w:hAnsi="Times New Roman" w:cs="Times New Roman"/>
          <w:sz w:val="28"/>
          <w:szCs w:val="28"/>
          <w:lang w:val="uk-UA"/>
        </w:rPr>
        <w:t>за останні 10 років по Рівненській області, площа вирощування сої збільшилася в 10 разів, кукурудзи – в 5 разів, соняшника – в 22 рази. Як результат, у 2020 році винос азоту збільшився на 34%,  а фосфору – на 86% у порівнянні з 1990 роком, а винос калію зменшився на 40%. Рівень мінералізації гумусу з початку 2000-х рр. постійно зростає і сьогодні становить в середньому 1,42 т/га, що на 13% більше ніж у 90-х рр. і на 22% більше ніж у 2000-х рр. Що свідчить про збільшення навантаження на ґрунти області.</w:t>
      </w:r>
    </w:p>
    <w:p w14:paraId="43962D97" w14:textId="77777777" w:rsidR="00B73EC5" w:rsidRPr="005F0419" w:rsidRDefault="00B73EC5" w:rsidP="00B73EC5">
      <w:pPr>
        <w:tabs>
          <w:tab w:val="left" w:pos="851"/>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4. Зобов’язати уряд країни проводити державницьку політику для зменшення своїх (найперше – земельного та водного) слідів.</w:t>
      </w:r>
    </w:p>
    <w:p w14:paraId="735FC3E2" w14:textId="77777777" w:rsidR="00B73EC5" w:rsidRPr="005F0419" w:rsidRDefault="00B73EC5" w:rsidP="00B73EC5">
      <w:pPr>
        <w:tabs>
          <w:tab w:val="left" w:pos="851"/>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5. Уряду та бізнесу зосередитись на: </w:t>
      </w:r>
      <w:proofErr w:type="spellStart"/>
      <w:r w:rsidRPr="005F0419">
        <w:rPr>
          <w:rFonts w:ascii="Times New Roman" w:hAnsi="Times New Roman" w:cs="Times New Roman"/>
          <w:sz w:val="28"/>
          <w:szCs w:val="28"/>
          <w:lang w:val="uk-UA"/>
        </w:rPr>
        <w:t>переформулювані</w:t>
      </w:r>
      <w:proofErr w:type="spellEnd"/>
      <w:r w:rsidRPr="005F0419">
        <w:rPr>
          <w:rFonts w:ascii="Times New Roman" w:hAnsi="Times New Roman" w:cs="Times New Roman"/>
          <w:sz w:val="28"/>
          <w:szCs w:val="28"/>
          <w:lang w:val="uk-UA"/>
        </w:rPr>
        <w:t xml:space="preserve"> харчових виробництв (виробництво готової продукції, а не експорт сировини); екологізація агробізнесу та його диверсифікація; зменшення екологічного сліду та споживання енергії шляхом підвищення енергоефективності; адаптація маркетингових та рекламних стратегій на локальні та </w:t>
      </w:r>
      <w:proofErr w:type="spellStart"/>
      <w:r w:rsidRPr="005F0419">
        <w:rPr>
          <w:rFonts w:ascii="Times New Roman" w:hAnsi="Times New Roman" w:cs="Times New Roman"/>
          <w:sz w:val="28"/>
          <w:szCs w:val="28"/>
          <w:lang w:val="uk-UA"/>
        </w:rPr>
        <w:t>нішеві</w:t>
      </w:r>
      <w:proofErr w:type="spellEnd"/>
      <w:r w:rsidRPr="005F0419">
        <w:rPr>
          <w:rFonts w:ascii="Times New Roman" w:hAnsi="Times New Roman" w:cs="Times New Roman"/>
          <w:sz w:val="28"/>
          <w:szCs w:val="28"/>
          <w:lang w:val="uk-UA"/>
        </w:rPr>
        <w:t xml:space="preserve"> виробництва; екологічна упаковка тощо.</w:t>
      </w:r>
    </w:p>
    <w:p w14:paraId="3BEAA0A0" w14:textId="55361F36" w:rsidR="00B73EC5" w:rsidRPr="005F0419" w:rsidRDefault="00B73EC5" w:rsidP="00B73EC5">
      <w:pPr>
        <w:spacing w:after="0" w:line="360" w:lineRule="auto"/>
        <w:ind w:firstLine="720"/>
        <w:rPr>
          <w:rFonts w:ascii="Times New Roman" w:eastAsia="Times New Roman" w:hAnsi="Times New Roman" w:cs="Times New Roman"/>
          <w:sz w:val="28"/>
          <w:szCs w:val="28"/>
          <w:lang w:val="uk-UA"/>
        </w:rPr>
      </w:pPr>
    </w:p>
    <w:p w14:paraId="0C3D0E88" w14:textId="77777777" w:rsidR="00977B8D" w:rsidRPr="005F0419" w:rsidRDefault="00977B8D" w:rsidP="00977B8D">
      <w:pPr>
        <w:spacing w:after="0" w:line="360" w:lineRule="auto"/>
        <w:ind w:firstLine="720"/>
        <w:jc w:val="center"/>
        <w:rPr>
          <w:rFonts w:ascii="Times New Roman" w:hAnsi="Times New Roman" w:cs="Times New Roman"/>
          <w:b/>
          <w:bCs/>
          <w:sz w:val="28"/>
          <w:szCs w:val="28"/>
          <w:lang w:val="uk-UA"/>
        </w:rPr>
      </w:pPr>
      <w:r w:rsidRPr="005F0419">
        <w:rPr>
          <w:rFonts w:ascii="Times New Roman" w:hAnsi="Times New Roman" w:cs="Times New Roman"/>
          <w:b/>
          <w:bCs/>
          <w:sz w:val="28"/>
          <w:szCs w:val="28"/>
          <w:lang w:val="uk-UA"/>
        </w:rPr>
        <w:t>Список використаних джерел</w:t>
      </w:r>
    </w:p>
    <w:p w14:paraId="7888D3BC" w14:textId="35A0898F" w:rsidR="00B73EC5" w:rsidRPr="005F0419" w:rsidRDefault="008C7F3A" w:rsidP="008C7F3A">
      <w:pPr>
        <w:spacing w:after="0" w:line="360" w:lineRule="auto"/>
        <w:ind w:firstLine="720"/>
        <w:jc w:val="both"/>
        <w:rPr>
          <w:rFonts w:ascii="Times New Roman" w:eastAsia="Helvetica Neue" w:hAnsi="Times New Roman" w:cs="Times New Roman"/>
          <w:sz w:val="28"/>
          <w:szCs w:val="28"/>
          <w:u w:val="single"/>
          <w:lang w:val="uk-UA"/>
        </w:rPr>
      </w:pPr>
      <w:r w:rsidRPr="005F0419">
        <w:rPr>
          <w:rFonts w:ascii="Times New Roman" w:hAnsi="Times New Roman" w:cs="Times New Roman"/>
          <w:sz w:val="28"/>
          <w:szCs w:val="28"/>
          <w:lang w:val="uk-UA"/>
        </w:rPr>
        <w:t xml:space="preserve">1. </w:t>
      </w:r>
      <w:proofErr w:type="spellStart"/>
      <w:r w:rsidR="00B73EC5" w:rsidRPr="005F0419">
        <w:rPr>
          <w:rFonts w:ascii="Times New Roman" w:hAnsi="Times New Roman" w:cs="Times New Roman"/>
          <w:sz w:val="28"/>
          <w:szCs w:val="28"/>
          <w:lang w:val="uk-UA"/>
        </w:rPr>
        <w:t>World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Population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Dashboard</w:t>
      </w:r>
      <w:proofErr w:type="spellEnd"/>
      <w:r w:rsidR="00B73EC5" w:rsidRPr="005F0419">
        <w:rPr>
          <w:rFonts w:ascii="Times New Roman" w:hAnsi="Times New Roman" w:cs="Times New Roman"/>
          <w:sz w:val="28"/>
          <w:szCs w:val="28"/>
          <w:lang w:val="uk-UA"/>
        </w:rPr>
        <w:t xml:space="preserve"> </w:t>
      </w:r>
      <w:hyperlink r:id="rId69" w:history="1">
        <w:r w:rsidRPr="005F0419">
          <w:rPr>
            <w:rStyle w:val="a6"/>
            <w:rFonts w:ascii="Times New Roman" w:hAnsi="Times New Roman" w:cs="Times New Roman"/>
            <w:color w:val="auto"/>
            <w:sz w:val="28"/>
            <w:szCs w:val="28"/>
            <w:lang w:val="uk-UA"/>
          </w:rPr>
          <w:t>https://www.unfpa.org/data/world-populationdashboard</w:t>
        </w:r>
      </w:hyperlink>
      <w:r w:rsidRPr="005F0419">
        <w:rPr>
          <w:rFonts w:ascii="Times New Roman" w:hAnsi="Times New Roman" w:cs="Times New Roman"/>
          <w:sz w:val="28"/>
          <w:szCs w:val="28"/>
          <w:lang w:val="uk-UA"/>
        </w:rPr>
        <w:t xml:space="preserve"> </w:t>
      </w:r>
      <w:r w:rsidR="00B73EC5" w:rsidRPr="005F0419">
        <w:rPr>
          <w:rFonts w:ascii="Times New Roman" w:hAnsi="Times New Roman" w:cs="Times New Roman"/>
          <w:sz w:val="28"/>
          <w:szCs w:val="28"/>
          <w:lang w:val="uk-UA"/>
        </w:rPr>
        <w:t>(дата звернення 01.05.2019)</w:t>
      </w:r>
      <w:r w:rsidRPr="005F0419">
        <w:rPr>
          <w:rFonts w:ascii="Times New Roman" w:hAnsi="Times New Roman" w:cs="Times New Roman"/>
          <w:sz w:val="28"/>
          <w:szCs w:val="28"/>
          <w:lang w:val="uk-UA"/>
        </w:rPr>
        <w:t>.</w:t>
      </w:r>
    </w:p>
    <w:p w14:paraId="342FCB68" w14:textId="336AC79F" w:rsidR="00B73EC5" w:rsidRPr="005F0419" w:rsidRDefault="008C7F3A" w:rsidP="008C7F3A">
      <w:pPr>
        <w:spacing w:after="0" w:line="360" w:lineRule="auto"/>
        <w:ind w:firstLine="720"/>
        <w:jc w:val="both"/>
        <w:rPr>
          <w:rFonts w:ascii="Times New Roman" w:eastAsia="Helvetica Neue" w:hAnsi="Times New Roman" w:cs="Times New Roman"/>
          <w:sz w:val="28"/>
          <w:szCs w:val="28"/>
          <w:u w:val="single"/>
          <w:lang w:val="uk-UA"/>
        </w:rPr>
      </w:pPr>
      <w:r w:rsidRPr="005F0419">
        <w:rPr>
          <w:rFonts w:ascii="Times New Roman" w:hAnsi="Times New Roman" w:cs="Times New Roman"/>
          <w:sz w:val="28"/>
          <w:szCs w:val="28"/>
          <w:lang w:val="uk-UA"/>
        </w:rPr>
        <w:t xml:space="preserve">2. </w:t>
      </w:r>
      <w:r w:rsidR="00B73EC5" w:rsidRPr="005F0419">
        <w:rPr>
          <w:rFonts w:ascii="Times New Roman" w:hAnsi="Times New Roman" w:cs="Times New Roman"/>
          <w:sz w:val="28"/>
          <w:szCs w:val="28"/>
          <w:lang w:val="uk-UA"/>
        </w:rPr>
        <w:t xml:space="preserve">Екологічні новації Спільної аграрної політики ЄС: імплементація в Україні: науково-аналітична </w:t>
      </w:r>
      <w:proofErr w:type="spellStart"/>
      <w:r w:rsidR="00B73EC5" w:rsidRPr="005F0419">
        <w:rPr>
          <w:rFonts w:ascii="Times New Roman" w:hAnsi="Times New Roman" w:cs="Times New Roman"/>
          <w:sz w:val="28"/>
          <w:szCs w:val="28"/>
          <w:lang w:val="uk-UA"/>
        </w:rPr>
        <w:t>зап</w:t>
      </w:r>
      <w:proofErr w:type="spellEnd"/>
      <w:r w:rsidR="00B73EC5" w:rsidRPr="005F0419">
        <w:rPr>
          <w:rFonts w:ascii="Times New Roman" w:hAnsi="Times New Roman" w:cs="Times New Roman"/>
          <w:sz w:val="28"/>
          <w:szCs w:val="28"/>
          <w:lang w:val="uk-UA"/>
        </w:rPr>
        <w:t>. від 10.08.2016 р. № 135-13/440</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Ін-т </w:t>
      </w:r>
      <w:proofErr w:type="spellStart"/>
      <w:r w:rsidR="00B73EC5" w:rsidRPr="005F0419">
        <w:rPr>
          <w:rFonts w:ascii="Times New Roman" w:hAnsi="Times New Roman" w:cs="Times New Roman"/>
          <w:sz w:val="28"/>
          <w:szCs w:val="28"/>
          <w:lang w:val="uk-UA"/>
        </w:rPr>
        <w:t>екон</w:t>
      </w:r>
      <w:proofErr w:type="spellEnd"/>
      <w:r w:rsidR="00B73EC5" w:rsidRPr="005F0419">
        <w:rPr>
          <w:rFonts w:ascii="Times New Roman" w:hAnsi="Times New Roman" w:cs="Times New Roman"/>
          <w:sz w:val="28"/>
          <w:szCs w:val="28"/>
          <w:lang w:val="uk-UA"/>
        </w:rPr>
        <w:t xml:space="preserve">. та </w:t>
      </w:r>
      <w:proofErr w:type="spellStart"/>
      <w:r w:rsidR="00B73EC5" w:rsidRPr="005F0419">
        <w:rPr>
          <w:rFonts w:ascii="Times New Roman" w:hAnsi="Times New Roman" w:cs="Times New Roman"/>
          <w:sz w:val="28"/>
          <w:szCs w:val="28"/>
          <w:lang w:val="uk-UA"/>
        </w:rPr>
        <w:t>прогнозув</w:t>
      </w:r>
      <w:proofErr w:type="spellEnd"/>
      <w:r w:rsidR="00B73EC5" w:rsidRPr="005F0419">
        <w:rPr>
          <w:rFonts w:ascii="Times New Roman" w:hAnsi="Times New Roman" w:cs="Times New Roman"/>
          <w:sz w:val="28"/>
          <w:szCs w:val="28"/>
          <w:lang w:val="uk-UA"/>
        </w:rPr>
        <w:t>. НАНУ. К., 2016. 37 с..</w:t>
      </w:r>
    </w:p>
    <w:p w14:paraId="289B3537" w14:textId="6A915064" w:rsidR="00B73EC5" w:rsidRPr="005F0419" w:rsidRDefault="008C7F3A" w:rsidP="008C7F3A">
      <w:pPr>
        <w:spacing w:after="0" w:line="360" w:lineRule="auto"/>
        <w:ind w:firstLine="720"/>
        <w:jc w:val="both"/>
        <w:rPr>
          <w:rFonts w:ascii="Times New Roman" w:eastAsia="Helvetica Neue" w:hAnsi="Times New Roman" w:cs="Times New Roman"/>
          <w:sz w:val="28"/>
          <w:szCs w:val="28"/>
          <w:lang w:val="uk-UA"/>
        </w:rPr>
      </w:pPr>
      <w:r w:rsidRPr="005F0419">
        <w:rPr>
          <w:rFonts w:ascii="Times New Roman" w:eastAsia="Helvetica Neue" w:hAnsi="Times New Roman" w:cs="Times New Roman"/>
          <w:sz w:val="28"/>
          <w:szCs w:val="28"/>
          <w:lang w:val="uk-UA"/>
        </w:rPr>
        <w:t xml:space="preserve">3. </w:t>
      </w:r>
      <w:r w:rsidR="00977B8D" w:rsidRPr="005F0419">
        <w:rPr>
          <w:rFonts w:ascii="Times New Roman" w:eastAsia="Helvetica Neue" w:hAnsi="Times New Roman" w:cs="Times New Roman"/>
          <w:sz w:val="28"/>
          <w:szCs w:val="28"/>
          <w:lang w:val="uk-UA"/>
        </w:rPr>
        <w:t xml:space="preserve">FAO. 2018. </w:t>
      </w:r>
      <w:proofErr w:type="spellStart"/>
      <w:r w:rsidR="00977B8D" w:rsidRPr="005F0419">
        <w:rPr>
          <w:rFonts w:ascii="Times New Roman" w:eastAsia="Helvetica Neue" w:hAnsi="Times New Roman" w:cs="Times New Roman"/>
          <w:sz w:val="28"/>
          <w:szCs w:val="28"/>
          <w:lang w:val="uk-UA"/>
        </w:rPr>
        <w:t>The</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State</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of</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Agricultural</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Commodity</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Markets</w:t>
      </w:r>
      <w:proofErr w:type="spellEnd"/>
      <w:r w:rsidR="00977B8D" w:rsidRPr="005F0419">
        <w:rPr>
          <w:rFonts w:ascii="Times New Roman" w:eastAsia="Helvetica Neue" w:hAnsi="Times New Roman" w:cs="Times New Roman"/>
          <w:sz w:val="28"/>
          <w:szCs w:val="28"/>
          <w:lang w:val="uk-UA"/>
        </w:rPr>
        <w:t xml:space="preserve"> 2018. </w:t>
      </w:r>
      <w:proofErr w:type="spellStart"/>
      <w:r w:rsidR="00977B8D" w:rsidRPr="005F0419">
        <w:rPr>
          <w:rFonts w:ascii="Times New Roman" w:eastAsia="Helvetica Neue" w:hAnsi="Times New Roman" w:cs="Times New Roman"/>
          <w:sz w:val="28"/>
          <w:szCs w:val="28"/>
          <w:lang w:val="uk-UA"/>
        </w:rPr>
        <w:t>Agricultural</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trade</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climate</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change</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and</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food</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security</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Rome</w:t>
      </w:r>
      <w:proofErr w:type="spellEnd"/>
      <w:r w:rsidR="00977B8D" w:rsidRPr="005F0419">
        <w:rPr>
          <w:rFonts w:ascii="Times New Roman" w:eastAsia="Helvetica Neue" w:hAnsi="Times New Roman" w:cs="Times New Roman"/>
          <w:sz w:val="28"/>
          <w:szCs w:val="28"/>
          <w:lang w:val="uk-UA"/>
        </w:rPr>
        <w:t xml:space="preserve">. </w:t>
      </w:r>
      <w:proofErr w:type="spellStart"/>
      <w:r w:rsidR="00977B8D" w:rsidRPr="005F0419">
        <w:rPr>
          <w:rFonts w:ascii="Times New Roman" w:eastAsia="Helvetica Neue" w:hAnsi="Times New Roman" w:cs="Times New Roman"/>
          <w:sz w:val="28"/>
          <w:szCs w:val="28"/>
          <w:lang w:val="uk-UA"/>
        </w:rPr>
        <w:t>Licence</w:t>
      </w:r>
      <w:proofErr w:type="spellEnd"/>
      <w:r w:rsidR="00977B8D" w:rsidRPr="005F0419">
        <w:rPr>
          <w:rFonts w:ascii="Times New Roman" w:eastAsia="Helvetica Neue" w:hAnsi="Times New Roman" w:cs="Times New Roman"/>
          <w:sz w:val="28"/>
          <w:szCs w:val="28"/>
          <w:lang w:val="uk-UA"/>
        </w:rPr>
        <w:t xml:space="preserve">: CC BY-NC-SA 3.0 IGO. URL: </w:t>
      </w:r>
      <w:hyperlink r:id="rId70" w:history="1">
        <w:r w:rsidR="00977B8D" w:rsidRPr="005F0419">
          <w:rPr>
            <w:rStyle w:val="a6"/>
            <w:rFonts w:ascii="Times New Roman" w:eastAsia="Helvetica Neue" w:hAnsi="Times New Roman" w:cs="Times New Roman"/>
            <w:color w:val="auto"/>
            <w:sz w:val="28"/>
            <w:szCs w:val="28"/>
            <w:lang w:val="uk-UA"/>
          </w:rPr>
          <w:t>https://www.fao.org/3/I9542EN/i9542en.pdf</w:t>
        </w:r>
      </w:hyperlink>
      <w:r w:rsidR="00977B8D" w:rsidRPr="005F0419">
        <w:rPr>
          <w:rFonts w:ascii="Times New Roman" w:eastAsia="Helvetica Neue" w:hAnsi="Times New Roman" w:cs="Times New Roman"/>
          <w:sz w:val="28"/>
          <w:szCs w:val="28"/>
          <w:lang w:val="uk-UA"/>
        </w:rPr>
        <w:t xml:space="preserve"> </w:t>
      </w:r>
      <w:r w:rsidR="00B73EC5" w:rsidRPr="005F0419">
        <w:rPr>
          <w:rFonts w:ascii="Times New Roman" w:hAnsi="Times New Roman" w:cs="Times New Roman"/>
          <w:sz w:val="28"/>
          <w:szCs w:val="28"/>
          <w:lang w:val="uk-UA"/>
        </w:rPr>
        <w:t>(дата звернення 01.05.2019).</w:t>
      </w:r>
    </w:p>
    <w:p w14:paraId="6555500D" w14:textId="41D7D9A7" w:rsidR="00B73EC5" w:rsidRPr="005F0419" w:rsidRDefault="008C7F3A" w:rsidP="008C7F3A">
      <w:pPr>
        <w:spacing w:after="0" w:line="360" w:lineRule="auto"/>
        <w:ind w:firstLine="720"/>
        <w:jc w:val="both"/>
        <w:rPr>
          <w:rStyle w:val="a6"/>
          <w:rFonts w:ascii="Times New Roman" w:eastAsia="Helvetica Neue" w:hAnsi="Times New Roman" w:cs="Times New Roman"/>
          <w:color w:val="auto"/>
          <w:sz w:val="28"/>
          <w:szCs w:val="28"/>
          <w:u w:val="none"/>
          <w:lang w:val="uk-UA"/>
        </w:rPr>
      </w:pPr>
      <w:r w:rsidRPr="005F0419">
        <w:rPr>
          <w:rFonts w:ascii="Times New Roman" w:eastAsia="Helvetica Neue" w:hAnsi="Times New Roman" w:cs="Times New Roman"/>
          <w:sz w:val="28"/>
          <w:szCs w:val="28"/>
          <w:lang w:val="uk-UA"/>
        </w:rPr>
        <w:t xml:space="preserve">4. </w:t>
      </w:r>
      <w:proofErr w:type="spellStart"/>
      <w:r w:rsidR="00B73EC5" w:rsidRPr="005F0419">
        <w:rPr>
          <w:rFonts w:ascii="Times New Roman" w:eastAsia="Helvetica Neue" w:hAnsi="Times New Roman" w:cs="Times New Roman"/>
          <w:sz w:val="28"/>
          <w:szCs w:val="28"/>
          <w:lang w:val="uk-UA"/>
        </w:rPr>
        <w:t>Common</w:t>
      </w:r>
      <w:proofErr w:type="spellEnd"/>
      <w:r w:rsidR="00B73EC5" w:rsidRPr="005F0419">
        <w:rPr>
          <w:rFonts w:ascii="Times New Roman" w:eastAsia="Helvetica Neue" w:hAnsi="Times New Roman" w:cs="Times New Roman"/>
          <w:sz w:val="28"/>
          <w:szCs w:val="28"/>
          <w:lang w:val="uk-UA"/>
        </w:rPr>
        <w:t xml:space="preserve"> </w:t>
      </w:r>
      <w:proofErr w:type="spellStart"/>
      <w:r w:rsidR="00B73EC5" w:rsidRPr="005F0419">
        <w:rPr>
          <w:rFonts w:ascii="Times New Roman" w:eastAsia="Helvetica Neue" w:hAnsi="Times New Roman" w:cs="Times New Roman"/>
          <w:sz w:val="28"/>
          <w:szCs w:val="28"/>
          <w:lang w:val="uk-UA"/>
        </w:rPr>
        <w:t>ground</w:t>
      </w:r>
      <w:proofErr w:type="spellEnd"/>
      <w:r w:rsidR="00B73EC5" w:rsidRPr="005F0419">
        <w:rPr>
          <w:rFonts w:ascii="Times New Roman" w:eastAsia="Helvetica Neue" w:hAnsi="Times New Roman" w:cs="Times New Roman"/>
          <w:sz w:val="28"/>
          <w:szCs w:val="28"/>
          <w:lang w:val="uk-UA"/>
        </w:rPr>
        <w:t xml:space="preserve"> : </w:t>
      </w:r>
      <w:proofErr w:type="spellStart"/>
      <w:r w:rsidR="00B73EC5" w:rsidRPr="005F0419">
        <w:rPr>
          <w:rFonts w:ascii="Times New Roman" w:eastAsia="Helvetica Neue" w:hAnsi="Times New Roman" w:cs="Times New Roman"/>
          <w:sz w:val="28"/>
          <w:szCs w:val="28"/>
          <w:lang w:val="uk-UA"/>
        </w:rPr>
        <w:t>restoring</w:t>
      </w:r>
      <w:proofErr w:type="spellEnd"/>
      <w:r w:rsidR="00B73EC5" w:rsidRPr="005F0419">
        <w:rPr>
          <w:rFonts w:ascii="Times New Roman" w:eastAsia="Helvetica Neue" w:hAnsi="Times New Roman" w:cs="Times New Roman"/>
          <w:sz w:val="28"/>
          <w:szCs w:val="28"/>
          <w:lang w:val="uk-UA"/>
        </w:rPr>
        <w:t xml:space="preserve"> </w:t>
      </w:r>
      <w:proofErr w:type="spellStart"/>
      <w:r w:rsidR="00B73EC5" w:rsidRPr="005F0419">
        <w:rPr>
          <w:rFonts w:ascii="Times New Roman" w:eastAsia="Helvetica Neue" w:hAnsi="Times New Roman" w:cs="Times New Roman"/>
          <w:sz w:val="28"/>
          <w:szCs w:val="28"/>
          <w:lang w:val="uk-UA"/>
        </w:rPr>
        <w:t>land</w:t>
      </w:r>
      <w:proofErr w:type="spellEnd"/>
      <w:r w:rsidR="00B73EC5" w:rsidRPr="005F0419">
        <w:rPr>
          <w:rFonts w:ascii="Times New Roman" w:eastAsia="Helvetica Neue" w:hAnsi="Times New Roman" w:cs="Times New Roman"/>
          <w:sz w:val="28"/>
          <w:szCs w:val="28"/>
          <w:lang w:val="uk-UA"/>
        </w:rPr>
        <w:t xml:space="preserve"> </w:t>
      </w:r>
      <w:proofErr w:type="spellStart"/>
      <w:r w:rsidR="00B73EC5" w:rsidRPr="005F0419">
        <w:rPr>
          <w:rFonts w:ascii="Times New Roman" w:eastAsia="Helvetica Neue" w:hAnsi="Times New Roman" w:cs="Times New Roman"/>
          <w:sz w:val="28"/>
          <w:szCs w:val="28"/>
          <w:lang w:val="uk-UA"/>
        </w:rPr>
        <w:t>health</w:t>
      </w:r>
      <w:proofErr w:type="spellEnd"/>
      <w:r w:rsidR="00B73EC5" w:rsidRPr="005F0419">
        <w:rPr>
          <w:rFonts w:ascii="Times New Roman" w:eastAsia="Helvetica Neue" w:hAnsi="Times New Roman" w:cs="Times New Roman"/>
          <w:sz w:val="28"/>
          <w:szCs w:val="28"/>
          <w:lang w:val="uk-UA"/>
        </w:rPr>
        <w:t xml:space="preserve"> </w:t>
      </w:r>
      <w:proofErr w:type="spellStart"/>
      <w:r w:rsidR="00B73EC5" w:rsidRPr="005F0419">
        <w:rPr>
          <w:rFonts w:ascii="Times New Roman" w:eastAsia="Helvetica Neue" w:hAnsi="Times New Roman" w:cs="Times New Roman"/>
          <w:sz w:val="28"/>
          <w:szCs w:val="28"/>
          <w:lang w:val="uk-UA"/>
        </w:rPr>
        <w:t>for</w:t>
      </w:r>
      <w:proofErr w:type="spellEnd"/>
      <w:r w:rsidR="00B73EC5" w:rsidRPr="005F0419">
        <w:rPr>
          <w:rFonts w:ascii="Times New Roman" w:eastAsia="Helvetica Neue" w:hAnsi="Times New Roman" w:cs="Times New Roman"/>
          <w:sz w:val="28"/>
          <w:szCs w:val="28"/>
          <w:lang w:val="uk-UA"/>
        </w:rPr>
        <w:t xml:space="preserve"> </w:t>
      </w:r>
      <w:proofErr w:type="spellStart"/>
      <w:r w:rsidR="00B73EC5" w:rsidRPr="005F0419">
        <w:rPr>
          <w:rFonts w:ascii="Times New Roman" w:eastAsia="Helvetica Neue" w:hAnsi="Times New Roman" w:cs="Times New Roman"/>
          <w:sz w:val="28"/>
          <w:szCs w:val="28"/>
          <w:lang w:val="uk-UA"/>
        </w:rPr>
        <w:t>sustainable</w:t>
      </w:r>
      <w:proofErr w:type="spellEnd"/>
      <w:r w:rsidR="00B73EC5" w:rsidRPr="005F0419">
        <w:rPr>
          <w:rFonts w:ascii="Times New Roman" w:eastAsia="Helvetica Neue" w:hAnsi="Times New Roman" w:cs="Times New Roman"/>
          <w:sz w:val="28"/>
          <w:szCs w:val="28"/>
          <w:lang w:val="uk-UA"/>
        </w:rPr>
        <w:t xml:space="preserve"> </w:t>
      </w:r>
      <w:proofErr w:type="spellStart"/>
      <w:r w:rsidR="00B73EC5" w:rsidRPr="005F0419">
        <w:rPr>
          <w:rFonts w:ascii="Times New Roman" w:eastAsia="Helvetica Neue" w:hAnsi="Times New Roman" w:cs="Times New Roman"/>
          <w:sz w:val="28"/>
          <w:szCs w:val="28"/>
          <w:lang w:val="uk-UA"/>
        </w:rPr>
        <w:t>agriculture</w:t>
      </w:r>
      <w:proofErr w:type="spellEnd"/>
      <w:r w:rsidR="00B73EC5" w:rsidRPr="005F0419">
        <w:rPr>
          <w:rFonts w:ascii="Times New Roman" w:eastAsia="Helvetica Neue" w:hAnsi="Times New Roman" w:cs="Times New Roman"/>
          <w:sz w:val="28"/>
          <w:szCs w:val="28"/>
          <w:lang w:val="uk-UA"/>
        </w:rPr>
        <w:t xml:space="preserve"> </w:t>
      </w:r>
      <w:hyperlink r:id="rId71">
        <w:r w:rsidR="00B73EC5" w:rsidRPr="005F0419">
          <w:rPr>
            <w:rFonts w:ascii="Times New Roman" w:eastAsia="Helvetica Neue" w:hAnsi="Times New Roman" w:cs="Times New Roman"/>
            <w:sz w:val="28"/>
            <w:szCs w:val="28"/>
            <w:lang w:val="uk-UA"/>
          </w:rPr>
          <w:t>IUCN Global Ecosystem Management Programme</w:t>
        </w:r>
      </w:hyperlink>
      <w:r w:rsidR="00B73EC5" w:rsidRPr="005F0419">
        <w:rPr>
          <w:rFonts w:ascii="Times New Roman" w:hAnsi="Times New Roman" w:cs="Times New Roman"/>
          <w:sz w:val="28"/>
          <w:szCs w:val="28"/>
          <w:lang w:val="uk-UA"/>
        </w:rPr>
        <w:t xml:space="preserve"> 2020 </w:t>
      </w:r>
      <w:r w:rsidR="00B73EC5" w:rsidRPr="005F0419">
        <w:rPr>
          <w:rFonts w:ascii="Times New Roman" w:eastAsia="Helvetica Neue" w:hAnsi="Times New Roman" w:cs="Times New Roman"/>
          <w:sz w:val="28"/>
          <w:szCs w:val="28"/>
          <w:lang w:val="uk-UA"/>
        </w:rPr>
        <w:t>DOI: </w:t>
      </w:r>
      <w:hyperlink r:id="rId72" w:history="1">
        <w:r w:rsidR="00B73EC5" w:rsidRPr="005F0419">
          <w:rPr>
            <w:rStyle w:val="a6"/>
            <w:rFonts w:ascii="Times New Roman" w:eastAsia="Helvetica Neue" w:hAnsi="Times New Roman" w:cs="Times New Roman"/>
            <w:color w:val="auto"/>
            <w:sz w:val="28"/>
            <w:szCs w:val="28"/>
            <w:u w:val="none"/>
            <w:lang w:val="uk-UA"/>
          </w:rPr>
          <w:t>https://doi.org/10.2305/IUCN.CH.2020.10.en</w:t>
        </w:r>
      </w:hyperlink>
    </w:p>
    <w:p w14:paraId="14ECF118" w14:textId="0637FAE4" w:rsidR="00B73EC5" w:rsidRPr="005F0419" w:rsidRDefault="008C7F3A" w:rsidP="008C7F3A">
      <w:pPr>
        <w:shd w:val="clear" w:color="auto" w:fill="FFFFFF"/>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 </w:t>
      </w:r>
      <w:r w:rsidR="00B73EC5" w:rsidRPr="005F0419">
        <w:rPr>
          <w:rFonts w:ascii="Times New Roman" w:hAnsi="Times New Roman" w:cs="Times New Roman"/>
          <w:sz w:val="28"/>
          <w:szCs w:val="28"/>
          <w:lang w:val="uk-UA"/>
        </w:rPr>
        <w:t xml:space="preserve">ISO. 2012. </w:t>
      </w:r>
      <w:proofErr w:type="spellStart"/>
      <w:r w:rsidR="00B73EC5" w:rsidRPr="005F0419">
        <w:rPr>
          <w:rFonts w:ascii="Times New Roman" w:hAnsi="Times New Roman" w:cs="Times New Roman"/>
          <w:sz w:val="28"/>
          <w:szCs w:val="28"/>
          <w:lang w:val="uk-UA"/>
        </w:rPr>
        <w:t>Carbon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products</w:t>
      </w:r>
      <w:proofErr w:type="spellEnd"/>
      <w:r w:rsidR="00B73EC5" w:rsidRPr="005F0419">
        <w:rPr>
          <w:rFonts w:ascii="Times New Roman" w:hAnsi="Times New Roman" w:cs="Times New Roman"/>
          <w:sz w:val="28"/>
          <w:szCs w:val="28"/>
          <w:lang w:val="uk-UA"/>
        </w:rPr>
        <w:t xml:space="preserve"> -- </w:t>
      </w:r>
      <w:proofErr w:type="spellStart"/>
      <w:r w:rsidR="00B73EC5" w:rsidRPr="005F0419">
        <w:rPr>
          <w:rFonts w:ascii="Times New Roman" w:hAnsi="Times New Roman" w:cs="Times New Roman"/>
          <w:sz w:val="28"/>
          <w:szCs w:val="28"/>
          <w:lang w:val="uk-UA"/>
        </w:rPr>
        <w:t>Requirements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guidelines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quantification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communication</w:t>
      </w:r>
      <w:proofErr w:type="spellEnd"/>
      <w:r w:rsidR="00B73EC5" w:rsidRPr="005F0419">
        <w:rPr>
          <w:rFonts w:ascii="Times New Roman" w:hAnsi="Times New Roman" w:cs="Times New Roman"/>
          <w:sz w:val="28"/>
          <w:szCs w:val="28"/>
          <w:lang w:val="uk-UA"/>
        </w:rPr>
        <w:t xml:space="preserve">. ISO/DIS 14067.2. </w:t>
      </w:r>
      <w:proofErr w:type="spellStart"/>
      <w:r w:rsidR="00B73EC5" w:rsidRPr="005F0419">
        <w:rPr>
          <w:rFonts w:ascii="Times New Roman" w:hAnsi="Times New Roman" w:cs="Times New Roman"/>
          <w:sz w:val="28"/>
          <w:szCs w:val="28"/>
          <w:lang w:val="uk-UA"/>
        </w:rPr>
        <w:t>International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Organization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Standardization</w:t>
      </w:r>
      <w:proofErr w:type="spellEnd"/>
      <w:r w:rsidR="00B73EC5" w:rsidRPr="005F0419">
        <w:rPr>
          <w:rFonts w:ascii="Times New Roman" w:hAnsi="Times New Roman" w:cs="Times New Roman"/>
          <w:sz w:val="28"/>
          <w:szCs w:val="28"/>
          <w:lang w:val="uk-UA"/>
        </w:rPr>
        <w:t>.</w:t>
      </w:r>
    </w:p>
    <w:p w14:paraId="60E9EE8C" w14:textId="6D007FD5" w:rsidR="00B73EC5" w:rsidRPr="005F0419" w:rsidRDefault="008C7F3A" w:rsidP="008C7F3A">
      <w:pPr>
        <w:shd w:val="clear" w:color="auto" w:fill="FFFFFF"/>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 </w:t>
      </w:r>
      <w:proofErr w:type="spellStart"/>
      <w:r w:rsidR="00B73EC5" w:rsidRPr="005F0419">
        <w:rPr>
          <w:rFonts w:ascii="Times New Roman" w:hAnsi="Times New Roman" w:cs="Times New Roman"/>
          <w:sz w:val="28"/>
          <w:szCs w:val="28"/>
          <w:lang w:val="uk-UA"/>
        </w:rPr>
        <w:t>Würtenberger</w:t>
      </w:r>
      <w:proofErr w:type="spellEnd"/>
      <w:r w:rsidR="00B73EC5" w:rsidRPr="005F0419">
        <w:rPr>
          <w:rFonts w:ascii="Times New Roman" w:hAnsi="Times New Roman" w:cs="Times New Roman"/>
          <w:sz w:val="28"/>
          <w:szCs w:val="28"/>
          <w:lang w:val="uk-UA"/>
        </w:rPr>
        <w:t xml:space="preserve"> L., T. </w:t>
      </w:r>
      <w:proofErr w:type="spellStart"/>
      <w:r w:rsidR="00B73EC5" w:rsidRPr="005F0419">
        <w:rPr>
          <w:rFonts w:ascii="Times New Roman" w:hAnsi="Times New Roman" w:cs="Times New Roman"/>
          <w:sz w:val="28"/>
          <w:szCs w:val="28"/>
          <w:lang w:val="uk-UA"/>
        </w:rPr>
        <w:t>Koellner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C. R. </w:t>
      </w:r>
      <w:proofErr w:type="spellStart"/>
      <w:r w:rsidR="00B73EC5" w:rsidRPr="005F0419">
        <w:rPr>
          <w:rFonts w:ascii="Times New Roman" w:hAnsi="Times New Roman" w:cs="Times New Roman"/>
          <w:sz w:val="28"/>
          <w:szCs w:val="28"/>
          <w:lang w:val="uk-UA"/>
        </w:rPr>
        <w:t>Binder</w:t>
      </w:r>
      <w:proofErr w:type="spellEnd"/>
      <w:r w:rsidR="00B73EC5" w:rsidRPr="005F0419">
        <w:rPr>
          <w:rFonts w:ascii="Times New Roman" w:hAnsi="Times New Roman" w:cs="Times New Roman"/>
          <w:sz w:val="28"/>
          <w:szCs w:val="28"/>
          <w:lang w:val="uk-UA"/>
        </w:rPr>
        <w:t xml:space="preserve"> (2006). </w:t>
      </w:r>
      <w:proofErr w:type="spellStart"/>
      <w:r w:rsidR="00B73EC5" w:rsidRPr="005F0419">
        <w:rPr>
          <w:rFonts w:ascii="Times New Roman" w:hAnsi="Times New Roman" w:cs="Times New Roman"/>
          <w:sz w:val="28"/>
          <w:szCs w:val="28"/>
          <w:lang w:val="uk-UA"/>
        </w:rPr>
        <w:t>Virtual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agricultural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trade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Estimating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environmental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socio-economic</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impacts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Ecological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Economics</w:t>
      </w:r>
      <w:proofErr w:type="spellEnd"/>
      <w:r w:rsidR="00B73EC5" w:rsidRPr="005F0419">
        <w:rPr>
          <w:rFonts w:ascii="Times New Roman" w:hAnsi="Times New Roman" w:cs="Times New Roman"/>
          <w:sz w:val="28"/>
          <w:szCs w:val="28"/>
          <w:lang w:val="uk-UA"/>
        </w:rPr>
        <w:t xml:space="preserve"> 57(4): 679- 697.</w:t>
      </w:r>
    </w:p>
    <w:p w14:paraId="09715FFB" w14:textId="350D5224"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7. </w:t>
      </w:r>
      <w:proofErr w:type="spellStart"/>
      <w:r w:rsidR="00B73EC5" w:rsidRPr="005F0419">
        <w:rPr>
          <w:rFonts w:ascii="Times New Roman" w:hAnsi="Times New Roman" w:cs="Times New Roman"/>
          <w:sz w:val="28"/>
          <w:szCs w:val="28"/>
          <w:lang w:val="uk-UA"/>
        </w:rPr>
        <w:t>Rick</w:t>
      </w:r>
      <w:proofErr w:type="spellEnd"/>
      <w:r w:rsidR="00B73EC5" w:rsidRPr="005F0419">
        <w:rPr>
          <w:rFonts w:ascii="Times New Roman" w:hAnsi="Times New Roman" w:cs="Times New Roman"/>
          <w:sz w:val="28"/>
          <w:szCs w:val="28"/>
          <w:lang w:val="uk-UA"/>
        </w:rPr>
        <w:t xml:space="preserve"> J. </w:t>
      </w:r>
      <w:proofErr w:type="spellStart"/>
      <w:r w:rsidR="00B73EC5" w:rsidRPr="005F0419">
        <w:rPr>
          <w:rFonts w:ascii="Times New Roman" w:hAnsi="Times New Roman" w:cs="Times New Roman"/>
          <w:sz w:val="28"/>
          <w:szCs w:val="28"/>
          <w:lang w:val="uk-UA"/>
        </w:rPr>
        <w:t>Hogeboom</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Arjen</w:t>
      </w:r>
      <w:proofErr w:type="spellEnd"/>
      <w:r w:rsidR="00B73EC5" w:rsidRPr="005F0419">
        <w:rPr>
          <w:rFonts w:ascii="Times New Roman" w:hAnsi="Times New Roman" w:cs="Times New Roman"/>
          <w:sz w:val="28"/>
          <w:szCs w:val="28"/>
          <w:lang w:val="uk-UA"/>
        </w:rPr>
        <w:t xml:space="preserve"> Y. </w:t>
      </w:r>
      <w:proofErr w:type="spellStart"/>
      <w:r w:rsidR="00B73EC5" w:rsidRPr="005F0419">
        <w:rPr>
          <w:rFonts w:ascii="Times New Roman" w:hAnsi="Times New Roman" w:cs="Times New Roman"/>
          <w:sz w:val="28"/>
          <w:szCs w:val="28"/>
          <w:lang w:val="uk-UA"/>
        </w:rPr>
        <w:t>Hoekstra</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Economic</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Productivity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Factors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Local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Crop</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Choice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Case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Silk</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Malawi</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2017, 9, 802; doi:10.3390/w9100802.</w:t>
      </w:r>
    </w:p>
    <w:p w14:paraId="5D7BE1F8" w14:textId="21E49F18"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bdr w:val="none" w:sz="0" w:space="0" w:color="auto" w:frame="1"/>
          <w:lang w:val="uk-UA"/>
        </w:rPr>
      </w:pPr>
      <w:r w:rsidRPr="005F0419">
        <w:rPr>
          <w:rFonts w:ascii="Times New Roman" w:hAnsi="Times New Roman" w:cs="Times New Roman"/>
          <w:sz w:val="28"/>
          <w:szCs w:val="28"/>
          <w:shd w:val="clear" w:color="auto" w:fill="FCFCFC"/>
          <w:lang w:val="uk-UA"/>
        </w:rPr>
        <w:lastRenderedPageBreak/>
        <w:t xml:space="preserve">8. </w:t>
      </w:r>
      <w:proofErr w:type="spellStart"/>
      <w:r w:rsidR="00B73EC5" w:rsidRPr="005F0419">
        <w:rPr>
          <w:rFonts w:ascii="Times New Roman" w:hAnsi="Times New Roman" w:cs="Times New Roman"/>
          <w:sz w:val="28"/>
          <w:szCs w:val="28"/>
          <w:shd w:val="clear" w:color="auto" w:fill="FCFCFC"/>
          <w:lang w:val="uk-UA"/>
        </w:rPr>
        <w:t>Wang</w:t>
      </w:r>
      <w:proofErr w:type="spellEnd"/>
      <w:r w:rsidR="00B73EC5" w:rsidRPr="005F0419">
        <w:rPr>
          <w:rFonts w:ascii="Times New Roman" w:hAnsi="Times New Roman" w:cs="Times New Roman"/>
          <w:sz w:val="28"/>
          <w:szCs w:val="28"/>
          <w:shd w:val="clear" w:color="auto" w:fill="FCFCFC"/>
          <w:lang w:val="uk-UA"/>
        </w:rPr>
        <w:t xml:space="preserve"> X</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Klemeš</w:t>
      </w:r>
      <w:proofErr w:type="spellEnd"/>
      <w:r w:rsidR="00B73EC5" w:rsidRPr="005F0419">
        <w:rPr>
          <w:rFonts w:ascii="Times New Roman" w:hAnsi="Times New Roman" w:cs="Times New Roman"/>
          <w:sz w:val="28"/>
          <w:szCs w:val="28"/>
          <w:shd w:val="clear" w:color="auto" w:fill="FCFCFC"/>
          <w:lang w:val="uk-UA"/>
        </w:rPr>
        <w:t xml:space="preserve"> J</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J</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Walmsley</w:t>
      </w:r>
      <w:proofErr w:type="spellEnd"/>
      <w:r w:rsidR="00B73EC5" w:rsidRPr="005F0419">
        <w:rPr>
          <w:rFonts w:ascii="Times New Roman" w:hAnsi="Times New Roman" w:cs="Times New Roman"/>
          <w:sz w:val="28"/>
          <w:szCs w:val="28"/>
          <w:shd w:val="clear" w:color="auto" w:fill="FCFCFC"/>
          <w:lang w:val="uk-UA"/>
        </w:rPr>
        <w:t xml:space="preserve"> T</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G</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Wang</w:t>
      </w:r>
      <w:proofErr w:type="spellEnd"/>
      <w:r w:rsidR="00B73EC5" w:rsidRPr="005F0419">
        <w:rPr>
          <w:rFonts w:ascii="Times New Roman" w:hAnsi="Times New Roman" w:cs="Times New Roman"/>
          <w:sz w:val="28"/>
          <w:szCs w:val="28"/>
          <w:shd w:val="clear" w:color="auto" w:fill="FCFCFC"/>
          <w:lang w:val="uk-UA"/>
        </w:rPr>
        <w:t xml:space="preserve"> Y</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Yu</w:t>
      </w:r>
      <w:proofErr w:type="spellEnd"/>
      <w:r w:rsidR="00B73EC5" w:rsidRPr="005F0419">
        <w:rPr>
          <w:rFonts w:ascii="Times New Roman" w:hAnsi="Times New Roman" w:cs="Times New Roman"/>
          <w:sz w:val="28"/>
          <w:szCs w:val="28"/>
          <w:shd w:val="clear" w:color="auto" w:fill="FCFCFC"/>
          <w:lang w:val="uk-UA"/>
        </w:rPr>
        <w:t xml:space="preserve"> H</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(2018) </w:t>
      </w:r>
      <w:proofErr w:type="spellStart"/>
      <w:r w:rsidR="00B73EC5" w:rsidRPr="005F0419">
        <w:rPr>
          <w:rFonts w:ascii="Times New Roman" w:hAnsi="Times New Roman" w:cs="Times New Roman"/>
          <w:sz w:val="28"/>
          <w:szCs w:val="28"/>
          <w:shd w:val="clear" w:color="auto" w:fill="FCFCFC"/>
          <w:lang w:val="uk-UA"/>
        </w:rPr>
        <w:t>Recent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developments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of</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footprint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methodology</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Chem</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Eng</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Trans</w:t>
      </w:r>
      <w:proofErr w:type="spellEnd"/>
      <w:r w:rsidR="00B73EC5" w:rsidRPr="005F0419">
        <w:rPr>
          <w:rFonts w:ascii="Times New Roman" w:hAnsi="Times New Roman" w:cs="Times New Roman"/>
          <w:sz w:val="28"/>
          <w:szCs w:val="28"/>
          <w:shd w:val="clear" w:color="auto" w:fill="FCFCFC"/>
          <w:lang w:val="uk-UA"/>
        </w:rPr>
        <w:t xml:space="preserve"> 70(2010):511–516. </w:t>
      </w:r>
      <w:hyperlink r:id="rId73" w:history="1">
        <w:r w:rsidR="00B73EC5" w:rsidRPr="005F0419">
          <w:rPr>
            <w:rStyle w:val="a6"/>
            <w:rFonts w:ascii="Times New Roman" w:hAnsi="Times New Roman" w:cs="Times New Roman"/>
            <w:color w:val="auto"/>
            <w:sz w:val="28"/>
            <w:szCs w:val="28"/>
            <w:shd w:val="clear" w:color="auto" w:fill="FCFCFC"/>
            <w:lang w:val="uk-UA"/>
          </w:rPr>
          <w:t>https://doi.org/10.3303/CET1870086</w:t>
        </w:r>
      </w:hyperlink>
      <w:r w:rsidR="00B73EC5" w:rsidRPr="005F0419">
        <w:rPr>
          <w:rFonts w:ascii="Times New Roman" w:hAnsi="Times New Roman" w:cs="Times New Roman"/>
          <w:sz w:val="28"/>
          <w:szCs w:val="28"/>
          <w:lang w:val="uk-UA"/>
        </w:rPr>
        <w:t xml:space="preserve">).  </w:t>
      </w:r>
    </w:p>
    <w:p w14:paraId="7498D35D" w14:textId="3FB345AF"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shd w:val="clear" w:color="auto" w:fill="FCFCFC"/>
          <w:lang w:val="uk-UA"/>
        </w:rPr>
        <w:t xml:space="preserve">9. </w:t>
      </w:r>
      <w:proofErr w:type="spellStart"/>
      <w:r w:rsidR="00B73EC5" w:rsidRPr="005F0419">
        <w:rPr>
          <w:rFonts w:ascii="Times New Roman" w:hAnsi="Times New Roman" w:cs="Times New Roman"/>
          <w:sz w:val="28"/>
          <w:szCs w:val="28"/>
          <w:shd w:val="clear" w:color="auto" w:fill="FCFCFC"/>
          <w:lang w:val="uk-UA"/>
        </w:rPr>
        <w:t>Liu</w:t>
      </w:r>
      <w:proofErr w:type="spellEnd"/>
      <w:r w:rsidR="00B73EC5" w:rsidRPr="005F0419">
        <w:rPr>
          <w:rFonts w:ascii="Times New Roman" w:hAnsi="Times New Roman" w:cs="Times New Roman"/>
          <w:sz w:val="28"/>
          <w:szCs w:val="28"/>
          <w:shd w:val="clear" w:color="auto" w:fill="FCFCFC"/>
          <w:lang w:val="uk-UA"/>
        </w:rPr>
        <w:t xml:space="preserve"> J</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Yang</w:t>
      </w:r>
      <w:proofErr w:type="spellEnd"/>
      <w:r w:rsidR="00B73EC5" w:rsidRPr="005F0419">
        <w:rPr>
          <w:rFonts w:ascii="Times New Roman" w:hAnsi="Times New Roman" w:cs="Times New Roman"/>
          <w:sz w:val="28"/>
          <w:szCs w:val="28"/>
          <w:shd w:val="clear" w:color="auto" w:fill="FCFCFC"/>
          <w:lang w:val="uk-UA"/>
        </w:rPr>
        <w:t xml:space="preserve"> H</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Gosling</w:t>
      </w:r>
      <w:proofErr w:type="spellEnd"/>
      <w:r w:rsidR="00B73EC5" w:rsidRPr="005F0419">
        <w:rPr>
          <w:rFonts w:ascii="Times New Roman" w:hAnsi="Times New Roman" w:cs="Times New Roman"/>
          <w:sz w:val="28"/>
          <w:szCs w:val="28"/>
          <w:shd w:val="clear" w:color="auto" w:fill="FCFCFC"/>
          <w:lang w:val="uk-UA"/>
        </w:rPr>
        <w:t xml:space="preserve"> S</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N</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Kummu</w:t>
      </w:r>
      <w:proofErr w:type="spellEnd"/>
      <w:r w:rsidR="00B73EC5" w:rsidRPr="005F0419">
        <w:rPr>
          <w:rFonts w:ascii="Times New Roman" w:hAnsi="Times New Roman" w:cs="Times New Roman"/>
          <w:sz w:val="28"/>
          <w:szCs w:val="28"/>
          <w:shd w:val="clear" w:color="auto" w:fill="FCFCFC"/>
          <w:lang w:val="uk-UA"/>
        </w:rPr>
        <w:t xml:space="preserve"> M</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Flörke</w:t>
      </w:r>
      <w:proofErr w:type="spellEnd"/>
      <w:r w:rsidR="00B73EC5" w:rsidRPr="005F0419">
        <w:rPr>
          <w:rFonts w:ascii="Times New Roman" w:hAnsi="Times New Roman" w:cs="Times New Roman"/>
          <w:sz w:val="28"/>
          <w:szCs w:val="28"/>
          <w:shd w:val="clear" w:color="auto" w:fill="FCFCFC"/>
          <w:lang w:val="uk-UA"/>
        </w:rPr>
        <w:t xml:space="preserve"> M</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Pfister</w:t>
      </w:r>
      <w:proofErr w:type="spellEnd"/>
      <w:r w:rsidR="00B73EC5" w:rsidRPr="005F0419">
        <w:rPr>
          <w:rFonts w:ascii="Times New Roman" w:hAnsi="Times New Roman" w:cs="Times New Roman"/>
          <w:sz w:val="28"/>
          <w:szCs w:val="28"/>
          <w:shd w:val="clear" w:color="auto" w:fill="FCFCFC"/>
          <w:lang w:val="uk-UA"/>
        </w:rPr>
        <w:t xml:space="preserve"> S</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Hanasaki</w:t>
      </w:r>
      <w:proofErr w:type="spellEnd"/>
      <w:r w:rsidR="00B73EC5" w:rsidRPr="005F0419">
        <w:rPr>
          <w:rFonts w:ascii="Times New Roman" w:hAnsi="Times New Roman" w:cs="Times New Roman"/>
          <w:sz w:val="28"/>
          <w:szCs w:val="28"/>
          <w:shd w:val="clear" w:color="auto" w:fill="FCFCFC"/>
          <w:lang w:val="uk-UA"/>
        </w:rPr>
        <w:t xml:space="preserve"> N</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Wada</w:t>
      </w:r>
      <w:proofErr w:type="spellEnd"/>
      <w:r w:rsidR="00B73EC5" w:rsidRPr="005F0419">
        <w:rPr>
          <w:rFonts w:ascii="Times New Roman" w:hAnsi="Times New Roman" w:cs="Times New Roman"/>
          <w:sz w:val="28"/>
          <w:szCs w:val="28"/>
          <w:shd w:val="clear" w:color="auto" w:fill="FCFCFC"/>
          <w:lang w:val="uk-UA"/>
        </w:rPr>
        <w:t xml:space="preserve"> Y</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Zhang</w:t>
      </w:r>
      <w:proofErr w:type="spellEnd"/>
      <w:r w:rsidR="00B73EC5" w:rsidRPr="005F0419">
        <w:rPr>
          <w:rFonts w:ascii="Times New Roman" w:hAnsi="Times New Roman" w:cs="Times New Roman"/>
          <w:sz w:val="28"/>
          <w:szCs w:val="28"/>
          <w:shd w:val="clear" w:color="auto" w:fill="FCFCFC"/>
          <w:lang w:val="uk-UA"/>
        </w:rPr>
        <w:t xml:space="preserve"> X</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Zhang</w:t>
      </w:r>
      <w:proofErr w:type="spellEnd"/>
      <w:r w:rsidR="00B73EC5" w:rsidRPr="005F0419">
        <w:rPr>
          <w:rFonts w:ascii="Times New Roman" w:hAnsi="Times New Roman" w:cs="Times New Roman"/>
          <w:sz w:val="28"/>
          <w:szCs w:val="28"/>
          <w:shd w:val="clear" w:color="auto" w:fill="FCFCFC"/>
          <w:lang w:val="uk-UA"/>
        </w:rPr>
        <w:t xml:space="preserve"> C</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Alcamo</w:t>
      </w:r>
      <w:proofErr w:type="spellEnd"/>
      <w:r w:rsidR="00B73EC5" w:rsidRPr="005F0419">
        <w:rPr>
          <w:rFonts w:ascii="Times New Roman" w:hAnsi="Times New Roman" w:cs="Times New Roman"/>
          <w:sz w:val="28"/>
          <w:szCs w:val="28"/>
          <w:shd w:val="clear" w:color="auto" w:fill="FCFCFC"/>
          <w:lang w:val="uk-UA"/>
        </w:rPr>
        <w:t xml:space="preserve"> J</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Oki</w:t>
      </w:r>
      <w:proofErr w:type="spellEnd"/>
      <w:r w:rsidR="00B73EC5" w:rsidRPr="005F0419">
        <w:rPr>
          <w:rFonts w:ascii="Times New Roman" w:hAnsi="Times New Roman" w:cs="Times New Roman"/>
          <w:sz w:val="28"/>
          <w:szCs w:val="28"/>
          <w:shd w:val="clear" w:color="auto" w:fill="FCFCFC"/>
          <w:lang w:val="uk-UA"/>
        </w:rPr>
        <w:t xml:space="preserve"> T</w:t>
      </w:r>
      <w:r w:rsidR="00977B8D"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(2017) </w:t>
      </w:r>
      <w:proofErr w:type="spellStart"/>
      <w:r w:rsidR="00B73EC5" w:rsidRPr="005F0419">
        <w:rPr>
          <w:rFonts w:ascii="Times New Roman" w:hAnsi="Times New Roman" w:cs="Times New Roman"/>
          <w:sz w:val="28"/>
          <w:szCs w:val="28"/>
          <w:shd w:val="clear" w:color="auto" w:fill="FCFCFC"/>
          <w:lang w:val="uk-UA"/>
        </w:rPr>
        <w:t>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scarcity</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assessments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in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the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past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present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and</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future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Earth’s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Future</w:t>
      </w:r>
      <w:proofErr w:type="spellEnd"/>
      <w:r w:rsidR="00B73EC5" w:rsidRPr="005F0419">
        <w:rPr>
          <w:rFonts w:ascii="Times New Roman" w:hAnsi="Times New Roman" w:cs="Times New Roman"/>
          <w:sz w:val="28"/>
          <w:szCs w:val="28"/>
          <w:shd w:val="clear" w:color="auto" w:fill="FCFCFC"/>
          <w:lang w:val="uk-UA"/>
        </w:rPr>
        <w:t xml:space="preserve"> 5:545–559. </w:t>
      </w:r>
      <w:hyperlink r:id="rId74" w:history="1">
        <w:r w:rsidR="00B73EC5" w:rsidRPr="005F0419">
          <w:rPr>
            <w:rStyle w:val="a6"/>
            <w:rFonts w:ascii="Times New Roman" w:hAnsi="Times New Roman" w:cs="Times New Roman"/>
            <w:color w:val="auto"/>
            <w:sz w:val="28"/>
            <w:szCs w:val="28"/>
            <w:shd w:val="clear" w:color="auto" w:fill="FCFCFC"/>
            <w:lang w:val="uk-UA"/>
          </w:rPr>
          <w:t>https://doi.org/10.1002/2016EF000518</w:t>
        </w:r>
      </w:hyperlink>
      <w:r w:rsidR="00B73EC5" w:rsidRPr="005F0419">
        <w:rPr>
          <w:rFonts w:ascii="Times New Roman" w:hAnsi="Times New Roman" w:cs="Times New Roman"/>
          <w:sz w:val="28"/>
          <w:szCs w:val="28"/>
          <w:lang w:val="uk-UA"/>
        </w:rPr>
        <w:t>)</w:t>
      </w:r>
    </w:p>
    <w:p w14:paraId="25F182AF" w14:textId="74177720" w:rsidR="00B73EC5" w:rsidRPr="005F0419" w:rsidRDefault="008C7F3A" w:rsidP="008C7F3A">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10. </w:t>
      </w:r>
      <w:proofErr w:type="spellStart"/>
      <w:r w:rsidR="00B73EC5" w:rsidRPr="005F0419">
        <w:rPr>
          <w:rFonts w:ascii="Times New Roman" w:hAnsi="Times New Roman" w:cs="Times New Roman"/>
          <w:sz w:val="28"/>
          <w:szCs w:val="28"/>
          <w:lang w:val="uk-UA"/>
        </w:rPr>
        <w:t>Rees</w:t>
      </w:r>
      <w:proofErr w:type="spellEnd"/>
      <w:r w:rsidR="00B73EC5" w:rsidRPr="005F0419">
        <w:rPr>
          <w:rFonts w:ascii="Times New Roman" w:hAnsi="Times New Roman" w:cs="Times New Roman"/>
          <w:sz w:val="28"/>
          <w:szCs w:val="28"/>
          <w:lang w:val="uk-UA"/>
        </w:rPr>
        <w:t xml:space="preserve"> W., </w:t>
      </w:r>
      <w:proofErr w:type="spellStart"/>
      <w:r w:rsidR="00B73EC5" w:rsidRPr="005F0419">
        <w:rPr>
          <w:rFonts w:ascii="Times New Roman" w:hAnsi="Times New Roman" w:cs="Times New Roman"/>
          <w:sz w:val="28"/>
          <w:szCs w:val="28"/>
          <w:lang w:val="uk-UA"/>
        </w:rPr>
        <w:t>Wackernagel</w:t>
      </w:r>
      <w:proofErr w:type="spellEnd"/>
      <w:r w:rsidR="00B73EC5" w:rsidRPr="005F0419">
        <w:rPr>
          <w:rFonts w:ascii="Times New Roman" w:hAnsi="Times New Roman" w:cs="Times New Roman"/>
          <w:sz w:val="28"/>
          <w:szCs w:val="28"/>
          <w:lang w:val="uk-UA"/>
        </w:rPr>
        <w:t xml:space="preserve"> M. </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1992</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Ecological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Appropriated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Carrying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Capacity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Measuring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Natural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Capital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Requirements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Human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Paper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presented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Second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Meeting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International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Society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Ecological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Economics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Stockholm</w:t>
      </w:r>
      <w:proofErr w:type="spellEnd"/>
    </w:p>
    <w:p w14:paraId="3D2F3CA1" w14:textId="503029FD"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11. </w:t>
      </w:r>
      <w:proofErr w:type="spellStart"/>
      <w:r w:rsidR="00B73EC5" w:rsidRPr="005F0419">
        <w:rPr>
          <w:rFonts w:ascii="Times New Roman" w:hAnsi="Times New Roman" w:cs="Times New Roman"/>
          <w:sz w:val="28"/>
          <w:szCs w:val="28"/>
          <w:lang w:val="uk-UA"/>
        </w:rPr>
        <w:t>Kissinger</w:t>
      </w:r>
      <w:proofErr w:type="spellEnd"/>
      <w:r w:rsidR="00B73EC5" w:rsidRPr="005F0419">
        <w:rPr>
          <w:rFonts w:ascii="Times New Roman" w:hAnsi="Times New Roman" w:cs="Times New Roman"/>
          <w:sz w:val="28"/>
          <w:szCs w:val="28"/>
          <w:lang w:val="uk-UA"/>
        </w:rPr>
        <w:t xml:space="preserve"> M</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Rees</w:t>
      </w:r>
      <w:proofErr w:type="spellEnd"/>
      <w:r w:rsidR="00B73EC5" w:rsidRPr="005F0419">
        <w:rPr>
          <w:rFonts w:ascii="Times New Roman" w:hAnsi="Times New Roman" w:cs="Times New Roman"/>
          <w:sz w:val="28"/>
          <w:szCs w:val="28"/>
          <w:lang w:val="uk-UA"/>
        </w:rPr>
        <w:t xml:space="preserve"> W</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2010</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Importing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terrestrial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biocapacity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US </w:t>
      </w:r>
      <w:proofErr w:type="spellStart"/>
      <w:r w:rsidR="00B73EC5" w:rsidRPr="005F0419">
        <w:rPr>
          <w:rFonts w:ascii="Times New Roman" w:hAnsi="Times New Roman" w:cs="Times New Roman"/>
          <w:sz w:val="28"/>
          <w:szCs w:val="28"/>
          <w:lang w:val="uk-UA"/>
        </w:rPr>
        <w:t>case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implications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Policy</w:t>
      </w:r>
      <w:proofErr w:type="spellEnd"/>
      <w:r w:rsidR="00B73EC5" w:rsidRPr="005F0419">
        <w:rPr>
          <w:rFonts w:ascii="Times New Roman" w:hAnsi="Times New Roman" w:cs="Times New Roman"/>
          <w:sz w:val="28"/>
          <w:szCs w:val="28"/>
          <w:lang w:val="uk-UA"/>
        </w:rPr>
        <w:t xml:space="preserve"> 27(2), 589-599.    </w:t>
      </w:r>
    </w:p>
    <w:p w14:paraId="5835CA26" w14:textId="74ED9053"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12. </w:t>
      </w:r>
      <w:proofErr w:type="spellStart"/>
      <w:r w:rsidR="00B73EC5" w:rsidRPr="005F0419">
        <w:rPr>
          <w:rFonts w:ascii="Times New Roman" w:hAnsi="Times New Roman" w:cs="Times New Roman"/>
          <w:sz w:val="28"/>
          <w:szCs w:val="28"/>
          <w:lang w:val="uk-UA"/>
        </w:rPr>
        <w:t>Peters</w:t>
      </w:r>
      <w:proofErr w:type="spellEnd"/>
      <w:r w:rsidR="00B73EC5" w:rsidRPr="005F0419">
        <w:rPr>
          <w:rFonts w:ascii="Times New Roman" w:hAnsi="Times New Roman" w:cs="Times New Roman"/>
          <w:sz w:val="28"/>
          <w:szCs w:val="28"/>
          <w:lang w:val="uk-UA"/>
        </w:rPr>
        <w:t xml:space="preserve"> G., </w:t>
      </w:r>
      <w:proofErr w:type="spellStart"/>
      <w:r w:rsidR="00B73EC5" w:rsidRPr="005F0419">
        <w:rPr>
          <w:rFonts w:ascii="Times New Roman" w:hAnsi="Times New Roman" w:cs="Times New Roman"/>
          <w:sz w:val="28"/>
          <w:szCs w:val="28"/>
          <w:lang w:val="uk-UA"/>
        </w:rPr>
        <w:t>Minx</w:t>
      </w:r>
      <w:proofErr w:type="spellEnd"/>
      <w:r w:rsidR="00B73EC5" w:rsidRPr="005F0419">
        <w:rPr>
          <w:rFonts w:ascii="Times New Roman" w:hAnsi="Times New Roman" w:cs="Times New Roman"/>
          <w:sz w:val="28"/>
          <w:szCs w:val="28"/>
          <w:lang w:val="uk-UA"/>
        </w:rPr>
        <w:t xml:space="preserve"> J.C., </w:t>
      </w:r>
      <w:proofErr w:type="spellStart"/>
      <w:r w:rsidR="00B73EC5" w:rsidRPr="005F0419">
        <w:rPr>
          <w:rFonts w:ascii="Times New Roman" w:hAnsi="Times New Roman" w:cs="Times New Roman"/>
          <w:sz w:val="28"/>
          <w:szCs w:val="28"/>
          <w:lang w:val="uk-UA"/>
        </w:rPr>
        <w:t>Weber</w:t>
      </w:r>
      <w:proofErr w:type="spellEnd"/>
      <w:r w:rsidR="00B73EC5" w:rsidRPr="005F0419">
        <w:rPr>
          <w:rFonts w:ascii="Times New Roman" w:hAnsi="Times New Roman" w:cs="Times New Roman"/>
          <w:sz w:val="28"/>
          <w:szCs w:val="28"/>
          <w:lang w:val="uk-UA"/>
        </w:rPr>
        <w:t xml:space="preserve"> C.L., </w:t>
      </w:r>
      <w:proofErr w:type="spellStart"/>
      <w:r w:rsidR="00B73EC5" w:rsidRPr="005F0419">
        <w:rPr>
          <w:rFonts w:ascii="Times New Roman" w:hAnsi="Times New Roman" w:cs="Times New Roman"/>
          <w:sz w:val="28"/>
          <w:szCs w:val="28"/>
          <w:lang w:val="uk-UA"/>
        </w:rPr>
        <w:t>Edenhofer</w:t>
      </w:r>
      <w:proofErr w:type="spellEnd"/>
      <w:r w:rsidR="00B73EC5" w:rsidRPr="005F0419">
        <w:rPr>
          <w:rFonts w:ascii="Times New Roman" w:hAnsi="Times New Roman" w:cs="Times New Roman"/>
          <w:sz w:val="28"/>
          <w:szCs w:val="28"/>
          <w:lang w:val="uk-UA"/>
        </w:rPr>
        <w:t xml:space="preserve"> O. </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2011</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Growth</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emission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transfers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via</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international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trade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from</w:t>
      </w:r>
      <w:proofErr w:type="spellEnd"/>
      <w:r w:rsidR="00B73EC5" w:rsidRPr="005F0419">
        <w:rPr>
          <w:rFonts w:ascii="Times New Roman" w:hAnsi="Times New Roman" w:cs="Times New Roman"/>
          <w:sz w:val="28"/>
          <w:szCs w:val="28"/>
          <w:lang w:val="uk-UA"/>
        </w:rPr>
        <w:t xml:space="preserve"> 1990 </w:t>
      </w:r>
      <w:proofErr w:type="spellStart"/>
      <w:r w:rsidR="00B73EC5" w:rsidRPr="005F0419">
        <w:rPr>
          <w:rFonts w:ascii="Times New Roman" w:hAnsi="Times New Roman" w:cs="Times New Roman"/>
          <w:sz w:val="28"/>
          <w:szCs w:val="28"/>
          <w:lang w:val="uk-UA"/>
        </w:rPr>
        <w:t>to</w:t>
      </w:r>
      <w:proofErr w:type="spellEnd"/>
      <w:r w:rsidR="00B73EC5" w:rsidRPr="005F0419">
        <w:rPr>
          <w:rFonts w:ascii="Times New Roman" w:hAnsi="Times New Roman" w:cs="Times New Roman"/>
          <w:sz w:val="28"/>
          <w:szCs w:val="28"/>
          <w:lang w:val="uk-UA"/>
        </w:rPr>
        <w:t xml:space="preserve"> 2008. </w:t>
      </w:r>
      <w:proofErr w:type="spellStart"/>
      <w:r w:rsidR="00B73EC5" w:rsidRPr="005F0419">
        <w:rPr>
          <w:rFonts w:ascii="Times New Roman" w:hAnsi="Times New Roman" w:cs="Times New Roman"/>
          <w:sz w:val="28"/>
          <w:szCs w:val="28"/>
          <w:lang w:val="uk-UA"/>
        </w:rPr>
        <w:t>Proceedings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Academy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Science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April</w:t>
      </w:r>
      <w:proofErr w:type="spellEnd"/>
      <w:r w:rsidR="00B73EC5" w:rsidRPr="005F0419">
        <w:rPr>
          <w:rFonts w:ascii="Times New Roman" w:hAnsi="Times New Roman" w:cs="Times New Roman"/>
          <w:sz w:val="28"/>
          <w:szCs w:val="28"/>
          <w:lang w:val="uk-UA"/>
        </w:rPr>
        <w:t xml:space="preserve"> 2011.</w:t>
      </w:r>
    </w:p>
    <w:p w14:paraId="2298EF98" w14:textId="072BCEA5"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13. </w:t>
      </w:r>
      <w:proofErr w:type="spellStart"/>
      <w:r w:rsidR="00B73EC5" w:rsidRPr="005F0419">
        <w:rPr>
          <w:rFonts w:ascii="Times New Roman" w:hAnsi="Times New Roman" w:cs="Times New Roman"/>
          <w:sz w:val="28"/>
          <w:szCs w:val="28"/>
          <w:lang w:val="uk-UA"/>
        </w:rPr>
        <w:t>Andrew</w:t>
      </w:r>
      <w:proofErr w:type="spellEnd"/>
      <w:r w:rsidR="00B73EC5" w:rsidRPr="005F0419">
        <w:rPr>
          <w:rFonts w:ascii="Times New Roman" w:hAnsi="Times New Roman" w:cs="Times New Roman"/>
          <w:sz w:val="28"/>
          <w:szCs w:val="28"/>
          <w:lang w:val="uk-UA"/>
        </w:rPr>
        <w:t xml:space="preserve"> R.M., </w:t>
      </w:r>
      <w:proofErr w:type="spellStart"/>
      <w:r w:rsidR="00B73EC5" w:rsidRPr="005F0419">
        <w:rPr>
          <w:rFonts w:ascii="Times New Roman" w:hAnsi="Times New Roman" w:cs="Times New Roman"/>
          <w:sz w:val="28"/>
          <w:szCs w:val="28"/>
          <w:lang w:val="uk-UA"/>
        </w:rPr>
        <w:t>Peters</w:t>
      </w:r>
      <w:proofErr w:type="spellEnd"/>
      <w:r w:rsidR="00B73EC5" w:rsidRPr="005F0419">
        <w:rPr>
          <w:rFonts w:ascii="Times New Roman" w:hAnsi="Times New Roman" w:cs="Times New Roman"/>
          <w:sz w:val="28"/>
          <w:szCs w:val="28"/>
          <w:lang w:val="uk-UA"/>
        </w:rPr>
        <w:t xml:space="preserve"> G.P. </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2013</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A </w:t>
      </w:r>
      <w:proofErr w:type="spellStart"/>
      <w:r w:rsidR="00B73EC5" w:rsidRPr="005F0419">
        <w:rPr>
          <w:rFonts w:ascii="Times New Roman" w:hAnsi="Times New Roman" w:cs="Times New Roman"/>
          <w:sz w:val="28"/>
          <w:szCs w:val="28"/>
          <w:lang w:val="uk-UA"/>
        </w:rPr>
        <w:t>Multi-Region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Input</w:t>
      </w:r>
      <w:proofErr w:type="spellEnd"/>
      <w:r w:rsidR="00B73EC5" w:rsidRPr="005F0419">
        <w:rPr>
          <w:rFonts w:ascii="Times New Roman" w:hAnsi="Times New Roman" w:cs="Times New Roman"/>
          <w:sz w:val="28"/>
          <w:szCs w:val="28"/>
          <w:lang w:val="uk-UA"/>
        </w:rPr>
        <w:t>–</w:t>
      </w:r>
      <w:proofErr w:type="spellStart"/>
      <w:r w:rsidR="00B73EC5" w:rsidRPr="005F0419">
        <w:rPr>
          <w:rFonts w:ascii="Times New Roman" w:hAnsi="Times New Roman" w:cs="Times New Roman"/>
          <w:sz w:val="28"/>
          <w:szCs w:val="28"/>
          <w:lang w:val="uk-UA"/>
        </w:rPr>
        <w:t>Output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Table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Based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Trade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Analysis</w:t>
      </w:r>
      <w:proofErr w:type="spellEnd"/>
      <w:r w:rsidR="00B73EC5" w:rsidRPr="005F0419">
        <w:rPr>
          <w:rFonts w:ascii="Times New Roman" w:hAnsi="Times New Roman" w:cs="Times New Roman"/>
          <w:sz w:val="28"/>
          <w:szCs w:val="28"/>
          <w:lang w:val="uk-UA"/>
        </w:rPr>
        <w:t xml:space="preserve"> Project </w:t>
      </w:r>
      <w:proofErr w:type="spellStart"/>
      <w:r w:rsidR="00B73EC5" w:rsidRPr="005F0419">
        <w:rPr>
          <w:rFonts w:ascii="Times New Roman" w:hAnsi="Times New Roman" w:cs="Times New Roman"/>
          <w:sz w:val="28"/>
          <w:szCs w:val="28"/>
          <w:lang w:val="uk-UA"/>
        </w:rPr>
        <w:t>Database</w:t>
      </w:r>
      <w:proofErr w:type="spellEnd"/>
      <w:r w:rsidR="00B73EC5" w:rsidRPr="005F0419">
        <w:rPr>
          <w:rFonts w:ascii="Times New Roman" w:hAnsi="Times New Roman" w:cs="Times New Roman"/>
          <w:sz w:val="28"/>
          <w:szCs w:val="28"/>
          <w:lang w:val="uk-UA"/>
        </w:rPr>
        <w:t xml:space="preserve"> (GTAP-MRIO). </w:t>
      </w:r>
      <w:proofErr w:type="spellStart"/>
      <w:r w:rsidR="00B73EC5" w:rsidRPr="005F0419">
        <w:rPr>
          <w:rFonts w:ascii="Times New Roman" w:hAnsi="Times New Roman" w:cs="Times New Roman"/>
          <w:sz w:val="28"/>
          <w:szCs w:val="28"/>
          <w:lang w:val="uk-UA"/>
        </w:rPr>
        <w:t>Economic</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Systems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Research</w:t>
      </w:r>
      <w:proofErr w:type="spellEnd"/>
      <w:r w:rsidR="00B73EC5" w:rsidRPr="005F0419">
        <w:rPr>
          <w:rFonts w:ascii="Times New Roman" w:hAnsi="Times New Roman" w:cs="Times New Roman"/>
          <w:sz w:val="28"/>
          <w:szCs w:val="28"/>
          <w:lang w:val="uk-UA"/>
        </w:rPr>
        <w:t xml:space="preserve"> 25(1), 99-121</w:t>
      </w:r>
      <w:r w:rsidR="00977B8D" w:rsidRPr="005F0419">
        <w:rPr>
          <w:rFonts w:ascii="Times New Roman" w:hAnsi="Times New Roman" w:cs="Times New Roman"/>
          <w:sz w:val="28"/>
          <w:szCs w:val="28"/>
          <w:lang w:val="uk-UA"/>
        </w:rPr>
        <w:t>.</w:t>
      </w:r>
    </w:p>
    <w:p w14:paraId="602C6140" w14:textId="28296655"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14. </w:t>
      </w:r>
      <w:r w:rsidR="00B73EC5" w:rsidRPr="005F0419">
        <w:rPr>
          <w:rFonts w:ascii="Times New Roman" w:hAnsi="Times New Roman" w:cs="Times New Roman"/>
          <w:sz w:val="28"/>
          <w:szCs w:val="28"/>
          <w:lang w:val="uk-UA"/>
        </w:rPr>
        <w:t xml:space="preserve">WWF, </w:t>
      </w:r>
      <w:proofErr w:type="spellStart"/>
      <w:r w:rsidR="00B73EC5" w:rsidRPr="005F0419">
        <w:rPr>
          <w:rFonts w:ascii="Times New Roman" w:hAnsi="Times New Roman" w:cs="Times New Roman"/>
          <w:sz w:val="28"/>
          <w:szCs w:val="28"/>
          <w:lang w:val="uk-UA"/>
        </w:rPr>
        <w:t>Zoological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Society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London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Network</w:t>
      </w:r>
      <w:proofErr w:type="spellEnd"/>
      <w:r w:rsidR="00B73EC5" w:rsidRPr="005F0419">
        <w:rPr>
          <w:rFonts w:ascii="Times New Roman" w:hAnsi="Times New Roman" w:cs="Times New Roman"/>
          <w:sz w:val="28"/>
          <w:szCs w:val="28"/>
          <w:lang w:val="uk-UA"/>
        </w:rPr>
        <w:t xml:space="preserve">. 2012. </w:t>
      </w:r>
      <w:proofErr w:type="spellStart"/>
      <w:r w:rsidR="00B73EC5" w:rsidRPr="005F0419">
        <w:rPr>
          <w:rFonts w:ascii="Times New Roman" w:hAnsi="Times New Roman" w:cs="Times New Roman"/>
          <w:sz w:val="28"/>
          <w:szCs w:val="28"/>
          <w:lang w:val="uk-UA"/>
        </w:rPr>
        <w:t>Living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Planet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Report</w:t>
      </w:r>
      <w:proofErr w:type="spellEnd"/>
      <w:r w:rsidR="00B73EC5" w:rsidRPr="005F0419">
        <w:rPr>
          <w:rFonts w:ascii="Times New Roman" w:hAnsi="Times New Roman" w:cs="Times New Roman"/>
          <w:sz w:val="28"/>
          <w:szCs w:val="28"/>
          <w:lang w:val="uk-UA"/>
        </w:rPr>
        <w:t xml:space="preserve"> 2012. </w:t>
      </w:r>
      <w:proofErr w:type="spellStart"/>
      <w:r w:rsidR="00B73EC5" w:rsidRPr="005F0419">
        <w:rPr>
          <w:rFonts w:ascii="Times New Roman" w:hAnsi="Times New Roman" w:cs="Times New Roman"/>
          <w:sz w:val="28"/>
          <w:szCs w:val="28"/>
          <w:lang w:val="uk-UA"/>
        </w:rPr>
        <w:t>Biodiversity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biocapacity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better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choices</w:t>
      </w:r>
      <w:proofErr w:type="spellEnd"/>
      <w:r w:rsidR="00B73EC5" w:rsidRPr="005F0419">
        <w:rPr>
          <w:rFonts w:ascii="Times New Roman" w:hAnsi="Times New Roman" w:cs="Times New Roman"/>
          <w:sz w:val="28"/>
          <w:szCs w:val="28"/>
          <w:lang w:val="uk-UA"/>
        </w:rPr>
        <w:t xml:space="preserve">. WWF, </w:t>
      </w:r>
      <w:proofErr w:type="spellStart"/>
      <w:r w:rsidR="00B73EC5" w:rsidRPr="005F0419">
        <w:rPr>
          <w:rFonts w:ascii="Times New Roman" w:hAnsi="Times New Roman" w:cs="Times New Roman"/>
          <w:sz w:val="28"/>
          <w:szCs w:val="28"/>
          <w:lang w:val="uk-UA"/>
        </w:rPr>
        <w:t>Gland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Switzerland</w:t>
      </w:r>
      <w:proofErr w:type="spellEnd"/>
      <w:r w:rsidR="00B73EC5" w:rsidRPr="005F0419">
        <w:rPr>
          <w:rFonts w:ascii="Times New Roman" w:hAnsi="Times New Roman" w:cs="Times New Roman"/>
          <w:sz w:val="28"/>
          <w:szCs w:val="28"/>
          <w:lang w:val="uk-UA"/>
        </w:rPr>
        <w:t>.</w:t>
      </w:r>
    </w:p>
    <w:p w14:paraId="219BB596" w14:textId="11F67E7F"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15. </w:t>
      </w:r>
      <w:proofErr w:type="spellStart"/>
      <w:r w:rsidR="00B73EC5" w:rsidRPr="005F0419">
        <w:rPr>
          <w:rFonts w:ascii="Times New Roman" w:hAnsi="Times New Roman" w:cs="Times New Roman"/>
          <w:sz w:val="28"/>
          <w:szCs w:val="28"/>
          <w:lang w:val="uk-UA"/>
        </w:rPr>
        <w:t>Giljum</w:t>
      </w:r>
      <w:proofErr w:type="spellEnd"/>
      <w:r w:rsidR="00B73EC5" w:rsidRPr="005F0419">
        <w:rPr>
          <w:rFonts w:ascii="Times New Roman" w:hAnsi="Times New Roman" w:cs="Times New Roman"/>
          <w:sz w:val="28"/>
          <w:szCs w:val="28"/>
          <w:lang w:val="uk-UA"/>
        </w:rPr>
        <w:t xml:space="preserve"> S., </w:t>
      </w:r>
      <w:proofErr w:type="spellStart"/>
      <w:r w:rsidR="00B73EC5" w:rsidRPr="005F0419">
        <w:rPr>
          <w:rFonts w:ascii="Times New Roman" w:hAnsi="Times New Roman" w:cs="Times New Roman"/>
          <w:sz w:val="28"/>
          <w:szCs w:val="28"/>
          <w:lang w:val="uk-UA"/>
        </w:rPr>
        <w:t>Lutter</w:t>
      </w:r>
      <w:proofErr w:type="spellEnd"/>
      <w:r w:rsidR="00977B8D" w:rsidRPr="005F0419">
        <w:rPr>
          <w:rFonts w:ascii="Times New Roman" w:hAnsi="Times New Roman" w:cs="Times New Roman"/>
          <w:sz w:val="28"/>
          <w:szCs w:val="28"/>
          <w:lang w:val="uk-UA"/>
        </w:rPr>
        <w:t xml:space="preserve"> S.</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Bruckner</w:t>
      </w:r>
      <w:proofErr w:type="spellEnd"/>
      <w:r w:rsidR="00977B8D" w:rsidRPr="005F0419">
        <w:rPr>
          <w:rFonts w:ascii="Times New Roman" w:hAnsi="Times New Roman" w:cs="Times New Roman"/>
          <w:sz w:val="28"/>
          <w:szCs w:val="28"/>
          <w:lang w:val="uk-UA"/>
        </w:rPr>
        <w:t xml:space="preserve"> M.</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Aparcana</w:t>
      </w:r>
      <w:proofErr w:type="spellEnd"/>
      <w:r w:rsidR="00977B8D" w:rsidRPr="005F0419">
        <w:rPr>
          <w:rFonts w:ascii="Times New Roman" w:hAnsi="Times New Roman" w:cs="Times New Roman"/>
          <w:sz w:val="28"/>
          <w:szCs w:val="28"/>
          <w:lang w:val="uk-UA"/>
        </w:rPr>
        <w:t xml:space="preserve"> S.</w:t>
      </w:r>
      <w:r w:rsidR="00B73EC5" w:rsidRPr="005F0419">
        <w:rPr>
          <w:rFonts w:ascii="Times New Roman" w:hAnsi="Times New Roman" w:cs="Times New Roman"/>
          <w:sz w:val="28"/>
          <w:szCs w:val="28"/>
          <w:lang w:val="uk-UA"/>
        </w:rPr>
        <w:t xml:space="preserve"> (2013). </w:t>
      </w:r>
      <w:proofErr w:type="spellStart"/>
      <w:r w:rsidR="00B73EC5" w:rsidRPr="005F0419">
        <w:rPr>
          <w:rFonts w:ascii="Times New Roman" w:hAnsi="Times New Roman" w:cs="Times New Roman"/>
          <w:sz w:val="28"/>
          <w:szCs w:val="28"/>
          <w:lang w:val="uk-UA"/>
        </w:rPr>
        <w:t>State-of-play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consumption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based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indicators</w:t>
      </w:r>
      <w:proofErr w:type="spellEnd"/>
      <w:r w:rsidR="00B73EC5" w:rsidRPr="005F0419">
        <w:rPr>
          <w:rFonts w:ascii="Times New Roman" w:hAnsi="Times New Roman" w:cs="Times New Roman"/>
          <w:sz w:val="28"/>
          <w:szCs w:val="28"/>
          <w:lang w:val="uk-UA"/>
        </w:rPr>
        <w:t xml:space="preserve">: a </w:t>
      </w:r>
      <w:proofErr w:type="spellStart"/>
      <w:r w:rsidR="00B73EC5" w:rsidRPr="005F0419">
        <w:rPr>
          <w:rFonts w:ascii="Times New Roman" w:hAnsi="Times New Roman" w:cs="Times New Roman"/>
          <w:sz w:val="28"/>
          <w:szCs w:val="28"/>
          <w:lang w:val="uk-UA"/>
        </w:rPr>
        <w:t>review</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evaluation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available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methods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data</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to</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calculate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footprint-type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cosumption-based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indicators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materials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carbon</w:t>
      </w:r>
      <w:proofErr w:type="spellEnd"/>
      <w:r w:rsidR="00B73EC5" w:rsidRPr="005F0419">
        <w:rPr>
          <w:rFonts w:ascii="Times New Roman" w:hAnsi="Times New Roman" w:cs="Times New Roman"/>
          <w:sz w:val="28"/>
          <w:szCs w:val="28"/>
          <w:lang w:val="uk-UA"/>
        </w:rPr>
        <w:t xml:space="preserve">. SERI. </w:t>
      </w:r>
    </w:p>
    <w:p w14:paraId="6D91ED18" w14:textId="6090356B"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16. </w:t>
      </w:r>
      <w:proofErr w:type="spellStart"/>
      <w:r w:rsidR="00B73EC5" w:rsidRPr="005F0419">
        <w:rPr>
          <w:rFonts w:ascii="Times New Roman" w:hAnsi="Times New Roman" w:cs="Times New Roman"/>
          <w:sz w:val="28"/>
          <w:szCs w:val="28"/>
          <w:lang w:val="uk-UA"/>
        </w:rPr>
        <w:t>Haberl</w:t>
      </w:r>
      <w:proofErr w:type="spellEnd"/>
      <w:r w:rsidR="00B73EC5" w:rsidRPr="005F0419">
        <w:rPr>
          <w:rFonts w:ascii="Times New Roman" w:hAnsi="Times New Roman" w:cs="Times New Roman"/>
          <w:sz w:val="28"/>
          <w:szCs w:val="28"/>
          <w:lang w:val="uk-UA"/>
        </w:rPr>
        <w:t xml:space="preserve"> H., </w:t>
      </w:r>
      <w:proofErr w:type="spellStart"/>
      <w:r w:rsidR="00B73EC5" w:rsidRPr="005F0419">
        <w:rPr>
          <w:rFonts w:ascii="Times New Roman" w:hAnsi="Times New Roman" w:cs="Times New Roman"/>
          <w:sz w:val="28"/>
          <w:szCs w:val="28"/>
          <w:lang w:val="uk-UA"/>
        </w:rPr>
        <w:t>Kastner</w:t>
      </w:r>
      <w:proofErr w:type="spellEnd"/>
      <w:r w:rsidR="00B73EC5" w:rsidRPr="005F0419">
        <w:rPr>
          <w:rFonts w:ascii="Times New Roman" w:hAnsi="Times New Roman" w:cs="Times New Roman"/>
          <w:sz w:val="28"/>
          <w:szCs w:val="28"/>
          <w:lang w:val="uk-UA"/>
        </w:rPr>
        <w:t xml:space="preserve"> T., </w:t>
      </w:r>
      <w:proofErr w:type="spellStart"/>
      <w:r w:rsidR="00B73EC5" w:rsidRPr="005F0419">
        <w:rPr>
          <w:rFonts w:ascii="Times New Roman" w:hAnsi="Times New Roman" w:cs="Times New Roman"/>
          <w:sz w:val="28"/>
          <w:szCs w:val="28"/>
          <w:lang w:val="uk-UA"/>
        </w:rPr>
        <w:t>Schaffartzik</w:t>
      </w:r>
      <w:proofErr w:type="spellEnd"/>
      <w:r w:rsidR="00B73EC5" w:rsidRPr="005F0419">
        <w:rPr>
          <w:rFonts w:ascii="Times New Roman" w:hAnsi="Times New Roman" w:cs="Times New Roman"/>
          <w:sz w:val="28"/>
          <w:szCs w:val="28"/>
          <w:lang w:val="uk-UA"/>
        </w:rPr>
        <w:t xml:space="preserve"> A., </w:t>
      </w:r>
      <w:proofErr w:type="spellStart"/>
      <w:r w:rsidR="00B73EC5" w:rsidRPr="005F0419">
        <w:rPr>
          <w:rFonts w:ascii="Times New Roman" w:hAnsi="Times New Roman" w:cs="Times New Roman"/>
          <w:sz w:val="28"/>
          <w:szCs w:val="28"/>
          <w:lang w:val="uk-UA"/>
        </w:rPr>
        <w:t>Ludwiczek</w:t>
      </w:r>
      <w:proofErr w:type="spellEnd"/>
      <w:r w:rsidR="00B73EC5" w:rsidRPr="005F0419">
        <w:rPr>
          <w:rFonts w:ascii="Times New Roman" w:hAnsi="Times New Roman" w:cs="Times New Roman"/>
          <w:sz w:val="28"/>
          <w:szCs w:val="28"/>
          <w:lang w:val="uk-UA"/>
        </w:rPr>
        <w:t xml:space="preserve"> N., </w:t>
      </w:r>
      <w:proofErr w:type="spellStart"/>
      <w:r w:rsidR="00B73EC5" w:rsidRPr="005F0419">
        <w:rPr>
          <w:rFonts w:ascii="Times New Roman" w:hAnsi="Times New Roman" w:cs="Times New Roman"/>
          <w:sz w:val="28"/>
          <w:szCs w:val="28"/>
          <w:lang w:val="uk-UA"/>
        </w:rPr>
        <w:t>Erb</w:t>
      </w:r>
      <w:proofErr w:type="spellEnd"/>
      <w:r w:rsidR="00B73EC5" w:rsidRPr="005F0419">
        <w:rPr>
          <w:rFonts w:ascii="Times New Roman" w:hAnsi="Times New Roman" w:cs="Times New Roman"/>
          <w:sz w:val="28"/>
          <w:szCs w:val="28"/>
          <w:lang w:val="uk-UA"/>
        </w:rPr>
        <w:t xml:space="preserve">, K.-H. (2012).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effects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biomass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consumption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Austria's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embodied</w:t>
      </w:r>
      <w:proofErr w:type="spellEnd"/>
      <w:r w:rsidR="00B73EC5" w:rsidRPr="005F0419">
        <w:rPr>
          <w:rFonts w:ascii="Times New Roman" w:hAnsi="Times New Roman" w:cs="Times New Roman"/>
          <w:sz w:val="28"/>
          <w:szCs w:val="28"/>
          <w:lang w:val="uk-UA"/>
        </w:rPr>
        <w:t xml:space="preserve"> HANPP </w:t>
      </w:r>
      <w:proofErr w:type="spellStart"/>
      <w:r w:rsidR="00B73EC5" w:rsidRPr="005F0419">
        <w:rPr>
          <w:rFonts w:ascii="Times New Roman" w:hAnsi="Times New Roman" w:cs="Times New Roman"/>
          <w:sz w:val="28"/>
          <w:szCs w:val="28"/>
          <w:lang w:val="uk-UA"/>
        </w:rPr>
        <w:t>related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to</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agricultural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biomass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year</w:t>
      </w:r>
      <w:proofErr w:type="spellEnd"/>
      <w:r w:rsidR="00B73EC5" w:rsidRPr="005F0419">
        <w:rPr>
          <w:rFonts w:ascii="Times New Roman" w:hAnsi="Times New Roman" w:cs="Times New Roman"/>
          <w:sz w:val="28"/>
          <w:szCs w:val="28"/>
          <w:lang w:val="uk-UA"/>
        </w:rPr>
        <w:t xml:space="preserve"> 2000. </w:t>
      </w:r>
      <w:proofErr w:type="spellStart"/>
      <w:r w:rsidR="00B73EC5" w:rsidRPr="005F0419">
        <w:rPr>
          <w:rFonts w:ascii="Times New Roman" w:hAnsi="Times New Roman" w:cs="Times New Roman"/>
          <w:sz w:val="28"/>
          <w:szCs w:val="28"/>
          <w:lang w:val="uk-UA"/>
        </w:rPr>
        <w:t>Ecol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w:t>
      </w:r>
      <w:proofErr w:type="spellEnd"/>
      <w:r w:rsidR="00B73EC5" w:rsidRPr="005F0419">
        <w:rPr>
          <w:rFonts w:ascii="Times New Roman" w:hAnsi="Times New Roman" w:cs="Times New Roman"/>
          <w:sz w:val="28"/>
          <w:szCs w:val="28"/>
          <w:lang w:val="uk-UA"/>
        </w:rPr>
        <w:t>. 84: 66</w:t>
      </w:r>
      <w:r w:rsidR="00977B8D"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73.</w:t>
      </w:r>
    </w:p>
    <w:p w14:paraId="12419500" w14:textId="230C0B85"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17. </w:t>
      </w:r>
      <w:proofErr w:type="spellStart"/>
      <w:r w:rsidR="00B73EC5" w:rsidRPr="005F0419">
        <w:rPr>
          <w:rFonts w:ascii="Times New Roman" w:hAnsi="Times New Roman" w:cs="Times New Roman"/>
          <w:sz w:val="28"/>
          <w:szCs w:val="28"/>
          <w:lang w:val="uk-UA"/>
        </w:rPr>
        <w:t>Bringezu</w:t>
      </w:r>
      <w:proofErr w:type="spellEnd"/>
      <w:r w:rsidR="00B73EC5" w:rsidRPr="005F0419">
        <w:rPr>
          <w:rFonts w:ascii="Times New Roman" w:hAnsi="Times New Roman" w:cs="Times New Roman"/>
          <w:sz w:val="28"/>
          <w:szCs w:val="28"/>
          <w:lang w:val="uk-UA"/>
        </w:rPr>
        <w:t xml:space="preserve"> S., </w:t>
      </w:r>
      <w:proofErr w:type="spellStart"/>
      <w:r w:rsidR="00B73EC5" w:rsidRPr="005F0419">
        <w:rPr>
          <w:rFonts w:ascii="Times New Roman" w:hAnsi="Times New Roman" w:cs="Times New Roman"/>
          <w:sz w:val="28"/>
          <w:szCs w:val="28"/>
          <w:lang w:val="uk-UA"/>
        </w:rPr>
        <w:t>O’Brien</w:t>
      </w:r>
      <w:proofErr w:type="spellEnd"/>
      <w:r w:rsidR="00B73EC5" w:rsidRPr="005F0419">
        <w:rPr>
          <w:rFonts w:ascii="Times New Roman" w:hAnsi="Times New Roman" w:cs="Times New Roman"/>
          <w:sz w:val="28"/>
          <w:szCs w:val="28"/>
          <w:lang w:val="uk-UA"/>
        </w:rPr>
        <w:t xml:space="preserve"> M.,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Schütz</w:t>
      </w:r>
      <w:proofErr w:type="spellEnd"/>
      <w:r w:rsidR="00B73EC5" w:rsidRPr="005F0419">
        <w:rPr>
          <w:rFonts w:ascii="Times New Roman" w:hAnsi="Times New Roman" w:cs="Times New Roman"/>
          <w:sz w:val="28"/>
          <w:szCs w:val="28"/>
          <w:lang w:val="uk-UA"/>
        </w:rPr>
        <w:t xml:space="preserve"> H. (2012). </w:t>
      </w:r>
      <w:proofErr w:type="spellStart"/>
      <w:r w:rsidR="00B73EC5" w:rsidRPr="005F0419">
        <w:rPr>
          <w:rFonts w:ascii="Times New Roman" w:hAnsi="Times New Roman" w:cs="Times New Roman"/>
          <w:sz w:val="28"/>
          <w:szCs w:val="28"/>
          <w:lang w:val="uk-UA"/>
        </w:rPr>
        <w:t>Beyond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biofuels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Assessing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domestic</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consumption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biomass</w:t>
      </w:r>
      <w:proofErr w:type="spellEnd"/>
      <w:r w:rsidR="00B73EC5" w:rsidRPr="005F0419">
        <w:rPr>
          <w:rFonts w:ascii="Times New Roman" w:hAnsi="Times New Roman" w:cs="Times New Roman"/>
          <w:sz w:val="28"/>
          <w:szCs w:val="28"/>
          <w:lang w:val="uk-UA"/>
        </w:rPr>
        <w:t xml:space="preserve">. A </w:t>
      </w:r>
      <w:proofErr w:type="spellStart"/>
      <w:r w:rsidR="00B73EC5" w:rsidRPr="005F0419">
        <w:rPr>
          <w:rFonts w:ascii="Times New Roman" w:hAnsi="Times New Roman" w:cs="Times New Roman"/>
          <w:sz w:val="28"/>
          <w:szCs w:val="28"/>
          <w:lang w:val="uk-UA"/>
        </w:rPr>
        <w:t>conceptual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empirical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contribution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to</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sustainable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management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resources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Policy</w:t>
      </w:r>
      <w:proofErr w:type="spellEnd"/>
      <w:r w:rsidR="00B73EC5" w:rsidRPr="005F0419">
        <w:rPr>
          <w:rFonts w:ascii="Times New Roman" w:hAnsi="Times New Roman" w:cs="Times New Roman"/>
          <w:sz w:val="28"/>
          <w:szCs w:val="28"/>
          <w:lang w:val="uk-UA"/>
        </w:rPr>
        <w:t xml:space="preserve"> 29: 224– 232.</w:t>
      </w:r>
    </w:p>
    <w:p w14:paraId="78FDEE66" w14:textId="02E27D57"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18. </w:t>
      </w:r>
      <w:proofErr w:type="spellStart"/>
      <w:r w:rsidR="00B73EC5" w:rsidRPr="005F0419">
        <w:rPr>
          <w:rFonts w:ascii="Times New Roman" w:hAnsi="Times New Roman" w:cs="Times New Roman"/>
          <w:sz w:val="28"/>
          <w:szCs w:val="28"/>
          <w:lang w:val="uk-UA"/>
        </w:rPr>
        <w:t>Giljum</w:t>
      </w:r>
      <w:proofErr w:type="spellEnd"/>
      <w:r w:rsidR="00B73EC5" w:rsidRPr="005F0419">
        <w:rPr>
          <w:rFonts w:ascii="Times New Roman" w:hAnsi="Times New Roman" w:cs="Times New Roman"/>
          <w:sz w:val="28"/>
          <w:szCs w:val="28"/>
          <w:lang w:val="uk-UA"/>
        </w:rPr>
        <w:t xml:space="preserve"> S., </w:t>
      </w:r>
      <w:proofErr w:type="spellStart"/>
      <w:r w:rsidR="00B73EC5" w:rsidRPr="005F0419">
        <w:rPr>
          <w:rFonts w:ascii="Times New Roman" w:hAnsi="Times New Roman" w:cs="Times New Roman"/>
          <w:sz w:val="28"/>
          <w:szCs w:val="28"/>
          <w:lang w:val="uk-UA"/>
        </w:rPr>
        <w:t>Wieland</w:t>
      </w:r>
      <w:proofErr w:type="spellEnd"/>
      <w:r w:rsidR="00977B8D" w:rsidRPr="005F0419">
        <w:rPr>
          <w:rFonts w:ascii="Times New Roman" w:hAnsi="Times New Roman" w:cs="Times New Roman"/>
          <w:sz w:val="28"/>
          <w:szCs w:val="28"/>
          <w:lang w:val="uk-UA"/>
        </w:rPr>
        <w:t xml:space="preserve"> H.</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Bruckner</w:t>
      </w:r>
      <w:proofErr w:type="spellEnd"/>
      <w:r w:rsidR="00977B8D" w:rsidRPr="005F0419">
        <w:rPr>
          <w:rFonts w:ascii="Times New Roman" w:hAnsi="Times New Roman" w:cs="Times New Roman"/>
          <w:sz w:val="28"/>
          <w:szCs w:val="28"/>
          <w:lang w:val="uk-UA"/>
        </w:rPr>
        <w:t xml:space="preserve"> M.</w:t>
      </w:r>
      <w:r w:rsidR="00B73EC5" w:rsidRPr="005F0419">
        <w:rPr>
          <w:rFonts w:ascii="Times New Roman" w:hAnsi="Times New Roman" w:cs="Times New Roman"/>
          <w:sz w:val="28"/>
          <w:szCs w:val="28"/>
          <w:lang w:val="uk-UA"/>
        </w:rPr>
        <w:t xml:space="preserve">, L. </w:t>
      </w:r>
      <w:proofErr w:type="spellStart"/>
      <w:r w:rsidR="00B73EC5" w:rsidRPr="005F0419">
        <w:rPr>
          <w:rFonts w:ascii="Times New Roman" w:hAnsi="Times New Roman" w:cs="Times New Roman"/>
          <w:sz w:val="28"/>
          <w:szCs w:val="28"/>
          <w:lang w:val="uk-UA"/>
        </w:rPr>
        <w:t>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Schutter</w:t>
      </w:r>
      <w:proofErr w:type="spellEnd"/>
      <w:r w:rsidR="00B73EC5" w:rsidRPr="005F0419">
        <w:rPr>
          <w:rFonts w:ascii="Times New Roman" w:hAnsi="Times New Roman" w:cs="Times New Roman"/>
          <w:sz w:val="28"/>
          <w:szCs w:val="28"/>
          <w:lang w:val="uk-UA"/>
        </w:rPr>
        <w:t xml:space="preserve">, K. </w:t>
      </w:r>
      <w:proofErr w:type="spellStart"/>
      <w:r w:rsidR="00B73EC5" w:rsidRPr="005F0419">
        <w:rPr>
          <w:rFonts w:ascii="Times New Roman" w:hAnsi="Times New Roman" w:cs="Times New Roman"/>
          <w:sz w:val="28"/>
          <w:szCs w:val="28"/>
          <w:lang w:val="uk-UA"/>
        </w:rPr>
        <w:t>Giesecke</w:t>
      </w:r>
      <w:proofErr w:type="spellEnd"/>
      <w:r w:rsidR="00977B8D" w:rsidRPr="005F0419">
        <w:rPr>
          <w:rFonts w:ascii="Times New Roman" w:hAnsi="Times New Roman" w:cs="Times New Roman"/>
          <w:sz w:val="28"/>
          <w:szCs w:val="28"/>
          <w:lang w:val="uk-UA"/>
        </w:rPr>
        <w:t xml:space="preserve"> K. </w:t>
      </w:r>
      <w:r w:rsidR="00B73EC5" w:rsidRPr="005F0419">
        <w:rPr>
          <w:rFonts w:ascii="Times New Roman" w:hAnsi="Times New Roman" w:cs="Times New Roman"/>
          <w:sz w:val="28"/>
          <w:szCs w:val="28"/>
          <w:lang w:val="uk-UA"/>
        </w:rPr>
        <w:t xml:space="preserve">(2013).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scenarios</w:t>
      </w:r>
      <w:proofErr w:type="spellEnd"/>
      <w:r w:rsidR="00B73EC5" w:rsidRPr="005F0419">
        <w:rPr>
          <w:rFonts w:ascii="Times New Roman" w:hAnsi="Times New Roman" w:cs="Times New Roman"/>
          <w:sz w:val="28"/>
          <w:szCs w:val="28"/>
          <w:lang w:val="uk-UA"/>
        </w:rPr>
        <w:t xml:space="preserve">: A </w:t>
      </w:r>
      <w:proofErr w:type="spellStart"/>
      <w:r w:rsidR="00B73EC5" w:rsidRPr="005F0419">
        <w:rPr>
          <w:rFonts w:ascii="Times New Roman" w:hAnsi="Times New Roman" w:cs="Times New Roman"/>
          <w:sz w:val="28"/>
          <w:szCs w:val="28"/>
          <w:lang w:val="uk-UA"/>
        </w:rPr>
        <w:t>discussion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paper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including</w:t>
      </w:r>
      <w:proofErr w:type="spellEnd"/>
      <w:r w:rsidR="00B73EC5" w:rsidRPr="005F0419">
        <w:rPr>
          <w:rFonts w:ascii="Times New Roman" w:hAnsi="Times New Roman" w:cs="Times New Roman"/>
          <w:sz w:val="28"/>
          <w:szCs w:val="28"/>
          <w:lang w:val="uk-UA"/>
        </w:rPr>
        <w:t xml:space="preserve"> a </w:t>
      </w:r>
      <w:proofErr w:type="spellStart"/>
      <w:r w:rsidR="00B73EC5" w:rsidRPr="005F0419">
        <w:rPr>
          <w:rFonts w:ascii="Times New Roman" w:hAnsi="Times New Roman" w:cs="Times New Roman"/>
          <w:sz w:val="28"/>
          <w:szCs w:val="28"/>
          <w:lang w:val="uk-UA"/>
        </w:rPr>
        <w:t>literature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review</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scenario</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analysis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related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to</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changes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Europe’s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consumption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patterns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Friends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Earth</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Europe</w:t>
      </w:r>
      <w:proofErr w:type="spellEnd"/>
      <w:r w:rsidR="00B73EC5" w:rsidRPr="005F0419">
        <w:rPr>
          <w:rFonts w:ascii="Times New Roman" w:hAnsi="Times New Roman" w:cs="Times New Roman"/>
          <w:sz w:val="28"/>
          <w:szCs w:val="28"/>
          <w:lang w:val="uk-UA"/>
        </w:rPr>
        <w:t>.</w:t>
      </w:r>
    </w:p>
    <w:p w14:paraId="40AFB13F" w14:textId="1F3F35D5"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19. </w:t>
      </w:r>
      <w:proofErr w:type="spellStart"/>
      <w:r w:rsidR="00B73EC5" w:rsidRPr="005F0419">
        <w:rPr>
          <w:rFonts w:ascii="Times New Roman" w:hAnsi="Times New Roman" w:cs="Times New Roman"/>
          <w:sz w:val="28"/>
          <w:szCs w:val="28"/>
          <w:lang w:val="uk-UA"/>
        </w:rPr>
        <w:t>Stehen-Olsen</w:t>
      </w:r>
      <w:proofErr w:type="spellEnd"/>
      <w:r w:rsidR="00B73EC5" w:rsidRPr="005F0419">
        <w:rPr>
          <w:rFonts w:ascii="Times New Roman" w:hAnsi="Times New Roman" w:cs="Times New Roman"/>
          <w:sz w:val="28"/>
          <w:szCs w:val="28"/>
          <w:lang w:val="uk-UA"/>
        </w:rPr>
        <w:t xml:space="preserve"> K., </w:t>
      </w:r>
      <w:proofErr w:type="spellStart"/>
      <w:r w:rsidR="00B73EC5" w:rsidRPr="005F0419">
        <w:rPr>
          <w:rFonts w:ascii="Times New Roman" w:hAnsi="Times New Roman" w:cs="Times New Roman"/>
          <w:sz w:val="28"/>
          <w:szCs w:val="28"/>
          <w:lang w:val="uk-UA"/>
        </w:rPr>
        <w:t>Weinzettel</w:t>
      </w:r>
      <w:proofErr w:type="spellEnd"/>
      <w:r w:rsidR="00B73EC5" w:rsidRPr="005F0419">
        <w:rPr>
          <w:rFonts w:ascii="Times New Roman" w:hAnsi="Times New Roman" w:cs="Times New Roman"/>
          <w:sz w:val="28"/>
          <w:szCs w:val="28"/>
          <w:lang w:val="uk-UA"/>
        </w:rPr>
        <w:t xml:space="preserve"> J., </w:t>
      </w:r>
      <w:proofErr w:type="spellStart"/>
      <w:r w:rsidR="00B73EC5" w:rsidRPr="005F0419">
        <w:rPr>
          <w:rFonts w:ascii="Times New Roman" w:hAnsi="Times New Roman" w:cs="Times New Roman"/>
          <w:sz w:val="28"/>
          <w:szCs w:val="28"/>
          <w:lang w:val="uk-UA"/>
        </w:rPr>
        <w:t>Cranston,G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Ercin,A.E</w:t>
      </w:r>
      <w:proofErr w:type="spellEnd"/>
      <w:r w:rsidR="00B73EC5" w:rsidRPr="005F0419">
        <w:rPr>
          <w:rFonts w:ascii="Times New Roman" w:hAnsi="Times New Roman" w:cs="Times New Roman"/>
          <w:sz w:val="28"/>
          <w:szCs w:val="28"/>
          <w:lang w:val="uk-UA"/>
        </w:rPr>
        <w:t>.</w:t>
      </w:r>
      <w:r w:rsidR="00977B8D"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Hertwich</w:t>
      </w:r>
      <w:proofErr w:type="spellEnd"/>
      <w:r w:rsidR="00B73EC5" w:rsidRPr="005F0419">
        <w:rPr>
          <w:rFonts w:ascii="Times New Roman" w:hAnsi="Times New Roman" w:cs="Times New Roman"/>
          <w:sz w:val="28"/>
          <w:szCs w:val="28"/>
          <w:lang w:val="uk-UA"/>
        </w:rPr>
        <w:t xml:space="preserve"> E.G. (2012). </w:t>
      </w:r>
      <w:proofErr w:type="spellStart"/>
      <w:r w:rsidR="00B73EC5" w:rsidRPr="005F0419">
        <w:rPr>
          <w:rFonts w:ascii="Times New Roman" w:hAnsi="Times New Roman" w:cs="Times New Roman"/>
          <w:sz w:val="28"/>
          <w:szCs w:val="28"/>
          <w:lang w:val="uk-UA"/>
        </w:rPr>
        <w:t>Carbon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accounts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European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Union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Consumption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displacements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through</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international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trade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Environ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Sci</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Techol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Lett</w:t>
      </w:r>
      <w:proofErr w:type="spellEnd"/>
      <w:r w:rsidR="00B73EC5" w:rsidRPr="005F0419">
        <w:rPr>
          <w:rFonts w:ascii="Times New Roman" w:hAnsi="Times New Roman" w:cs="Times New Roman"/>
          <w:sz w:val="28"/>
          <w:szCs w:val="28"/>
          <w:lang w:val="uk-UA"/>
        </w:rPr>
        <w:t>. 46(20): 10883-10891.</w:t>
      </w:r>
    </w:p>
    <w:p w14:paraId="2F2F90D5" w14:textId="3A82725D"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20. </w:t>
      </w:r>
      <w:proofErr w:type="spellStart"/>
      <w:r w:rsidR="00B73EC5" w:rsidRPr="005F0419">
        <w:rPr>
          <w:rFonts w:ascii="Times New Roman" w:hAnsi="Times New Roman" w:cs="Times New Roman"/>
          <w:sz w:val="28"/>
          <w:szCs w:val="28"/>
          <w:lang w:val="uk-UA"/>
        </w:rPr>
        <w:t>Weinzettel</w:t>
      </w:r>
      <w:proofErr w:type="spellEnd"/>
      <w:r w:rsidR="00B73EC5" w:rsidRPr="005F0419">
        <w:rPr>
          <w:rFonts w:ascii="Times New Roman" w:hAnsi="Times New Roman" w:cs="Times New Roman"/>
          <w:sz w:val="28"/>
          <w:szCs w:val="28"/>
          <w:lang w:val="uk-UA"/>
        </w:rPr>
        <w:t xml:space="preserve"> J., </w:t>
      </w:r>
      <w:proofErr w:type="spellStart"/>
      <w:r w:rsidR="00B73EC5" w:rsidRPr="005F0419">
        <w:rPr>
          <w:rFonts w:ascii="Times New Roman" w:hAnsi="Times New Roman" w:cs="Times New Roman"/>
          <w:sz w:val="28"/>
          <w:szCs w:val="28"/>
          <w:lang w:val="uk-UA"/>
        </w:rPr>
        <w:t>Hertwich</w:t>
      </w:r>
      <w:proofErr w:type="spellEnd"/>
      <w:r w:rsidR="00977B8D" w:rsidRPr="005F0419">
        <w:rPr>
          <w:rFonts w:ascii="Times New Roman" w:hAnsi="Times New Roman" w:cs="Times New Roman"/>
          <w:sz w:val="28"/>
          <w:szCs w:val="28"/>
          <w:lang w:val="uk-UA"/>
        </w:rPr>
        <w:t xml:space="preserve"> E. G.</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Peters</w:t>
      </w:r>
      <w:proofErr w:type="spellEnd"/>
      <w:r w:rsidR="00977B8D" w:rsidRPr="005F0419">
        <w:rPr>
          <w:rFonts w:ascii="Times New Roman" w:hAnsi="Times New Roman" w:cs="Times New Roman"/>
          <w:sz w:val="28"/>
          <w:szCs w:val="28"/>
          <w:lang w:val="uk-UA"/>
        </w:rPr>
        <w:t xml:space="preserve"> G. P.</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Steen-Olsen</w:t>
      </w:r>
      <w:proofErr w:type="spellEnd"/>
      <w:r w:rsidR="00977B8D" w:rsidRPr="005F0419">
        <w:rPr>
          <w:rFonts w:ascii="Times New Roman" w:hAnsi="Times New Roman" w:cs="Times New Roman"/>
          <w:sz w:val="28"/>
          <w:szCs w:val="28"/>
          <w:lang w:val="uk-UA"/>
        </w:rPr>
        <w:t xml:space="preserve"> K.</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Galli</w:t>
      </w:r>
      <w:proofErr w:type="spellEnd"/>
      <w:r w:rsidR="00977B8D" w:rsidRPr="005F0419">
        <w:rPr>
          <w:rFonts w:ascii="Times New Roman" w:hAnsi="Times New Roman" w:cs="Times New Roman"/>
          <w:sz w:val="28"/>
          <w:szCs w:val="28"/>
          <w:lang w:val="uk-UA"/>
        </w:rPr>
        <w:t xml:space="preserve"> A. </w:t>
      </w:r>
      <w:r w:rsidR="00B73EC5" w:rsidRPr="005F0419">
        <w:rPr>
          <w:rFonts w:ascii="Times New Roman" w:hAnsi="Times New Roman" w:cs="Times New Roman"/>
          <w:sz w:val="28"/>
          <w:szCs w:val="28"/>
          <w:lang w:val="uk-UA"/>
        </w:rPr>
        <w:t xml:space="preserve"> (2013). </w:t>
      </w:r>
      <w:proofErr w:type="spellStart"/>
      <w:r w:rsidR="00B73EC5" w:rsidRPr="005F0419">
        <w:rPr>
          <w:rFonts w:ascii="Times New Roman" w:hAnsi="Times New Roman" w:cs="Times New Roman"/>
          <w:sz w:val="28"/>
          <w:szCs w:val="28"/>
          <w:lang w:val="uk-UA"/>
        </w:rPr>
        <w:t>Affluence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drives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displacement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Environmental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Change</w:t>
      </w:r>
      <w:proofErr w:type="spellEnd"/>
      <w:r w:rsidR="00B73EC5" w:rsidRPr="005F0419">
        <w:rPr>
          <w:rFonts w:ascii="Times New Roman" w:hAnsi="Times New Roman" w:cs="Times New Roman"/>
          <w:sz w:val="28"/>
          <w:szCs w:val="28"/>
          <w:lang w:val="uk-UA"/>
        </w:rPr>
        <w:t xml:space="preserve"> 23(2): 433–438.</w:t>
      </w:r>
    </w:p>
    <w:p w14:paraId="4ED41824" w14:textId="3BF68289"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21. </w:t>
      </w:r>
      <w:proofErr w:type="spellStart"/>
      <w:r w:rsidR="00B73EC5" w:rsidRPr="005F0419">
        <w:rPr>
          <w:rFonts w:ascii="Times New Roman" w:hAnsi="Times New Roman" w:cs="Times New Roman"/>
          <w:sz w:val="28"/>
          <w:szCs w:val="28"/>
          <w:lang w:val="uk-UA"/>
        </w:rPr>
        <w:t>Würtenberger</w:t>
      </w:r>
      <w:proofErr w:type="spellEnd"/>
      <w:r w:rsidR="00B73EC5" w:rsidRPr="005F0419">
        <w:rPr>
          <w:rFonts w:ascii="Times New Roman" w:hAnsi="Times New Roman" w:cs="Times New Roman"/>
          <w:sz w:val="28"/>
          <w:szCs w:val="28"/>
          <w:lang w:val="uk-UA"/>
        </w:rPr>
        <w:t xml:space="preserve"> L., </w:t>
      </w:r>
      <w:proofErr w:type="spellStart"/>
      <w:r w:rsidR="00B73EC5" w:rsidRPr="005F0419">
        <w:rPr>
          <w:rFonts w:ascii="Times New Roman" w:hAnsi="Times New Roman" w:cs="Times New Roman"/>
          <w:sz w:val="28"/>
          <w:szCs w:val="28"/>
          <w:lang w:val="uk-UA"/>
        </w:rPr>
        <w:t>Koellner</w:t>
      </w:r>
      <w:proofErr w:type="spellEnd"/>
      <w:r w:rsidR="00977B8D" w:rsidRPr="005F0419">
        <w:rPr>
          <w:rFonts w:ascii="Times New Roman" w:hAnsi="Times New Roman" w:cs="Times New Roman"/>
          <w:sz w:val="28"/>
          <w:szCs w:val="28"/>
          <w:lang w:val="uk-UA"/>
        </w:rPr>
        <w:t xml:space="preserve"> 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Binder</w:t>
      </w:r>
      <w:proofErr w:type="spellEnd"/>
      <w:r w:rsidR="00977B8D" w:rsidRPr="005F0419">
        <w:rPr>
          <w:rFonts w:ascii="Times New Roman" w:hAnsi="Times New Roman" w:cs="Times New Roman"/>
          <w:sz w:val="28"/>
          <w:szCs w:val="28"/>
          <w:lang w:val="uk-UA"/>
        </w:rPr>
        <w:t xml:space="preserve"> C. R.</w:t>
      </w:r>
      <w:r w:rsidR="00B73EC5" w:rsidRPr="005F0419">
        <w:rPr>
          <w:rFonts w:ascii="Times New Roman" w:hAnsi="Times New Roman" w:cs="Times New Roman"/>
          <w:sz w:val="28"/>
          <w:szCs w:val="28"/>
          <w:lang w:val="uk-UA"/>
        </w:rPr>
        <w:t xml:space="preserve"> (2006). </w:t>
      </w:r>
      <w:proofErr w:type="spellStart"/>
      <w:r w:rsidR="00B73EC5" w:rsidRPr="005F0419">
        <w:rPr>
          <w:rFonts w:ascii="Times New Roman" w:hAnsi="Times New Roman" w:cs="Times New Roman"/>
          <w:sz w:val="28"/>
          <w:szCs w:val="28"/>
          <w:lang w:val="uk-UA"/>
        </w:rPr>
        <w:t>Virtual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agricultural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trade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Estimating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environmental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socio-economic</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impacts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Ecological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Economics</w:t>
      </w:r>
      <w:proofErr w:type="spellEnd"/>
      <w:r w:rsidR="00B73EC5" w:rsidRPr="005F0419">
        <w:rPr>
          <w:rFonts w:ascii="Times New Roman" w:hAnsi="Times New Roman" w:cs="Times New Roman"/>
          <w:sz w:val="28"/>
          <w:szCs w:val="28"/>
          <w:lang w:val="uk-UA"/>
        </w:rPr>
        <w:t xml:space="preserve"> 57(4): 679- 697.</w:t>
      </w:r>
    </w:p>
    <w:p w14:paraId="39AEF1F9" w14:textId="518CC8DB"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22. </w:t>
      </w:r>
      <w:proofErr w:type="spellStart"/>
      <w:r w:rsidR="00B73EC5" w:rsidRPr="005F0419">
        <w:rPr>
          <w:rFonts w:ascii="Times New Roman" w:hAnsi="Times New Roman" w:cs="Times New Roman"/>
          <w:sz w:val="28"/>
          <w:szCs w:val="28"/>
          <w:lang w:val="uk-UA"/>
        </w:rPr>
        <w:t>Erb</w:t>
      </w:r>
      <w:proofErr w:type="spellEnd"/>
      <w:r w:rsidR="00B73EC5" w:rsidRPr="005F0419">
        <w:rPr>
          <w:rFonts w:ascii="Times New Roman" w:hAnsi="Times New Roman" w:cs="Times New Roman"/>
          <w:sz w:val="28"/>
          <w:szCs w:val="28"/>
          <w:lang w:val="uk-UA"/>
        </w:rPr>
        <w:t xml:space="preserve"> K. H. (2004). </w:t>
      </w:r>
      <w:proofErr w:type="spellStart"/>
      <w:r w:rsidR="00B73EC5" w:rsidRPr="005F0419">
        <w:rPr>
          <w:rFonts w:ascii="Times New Roman" w:hAnsi="Times New Roman" w:cs="Times New Roman"/>
          <w:sz w:val="28"/>
          <w:szCs w:val="28"/>
          <w:lang w:val="uk-UA"/>
        </w:rPr>
        <w:t>Actual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demand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Austria</w:t>
      </w:r>
      <w:proofErr w:type="spellEnd"/>
      <w:r w:rsidR="00B73EC5" w:rsidRPr="005F0419">
        <w:rPr>
          <w:rFonts w:ascii="Times New Roman" w:hAnsi="Times New Roman" w:cs="Times New Roman"/>
          <w:sz w:val="28"/>
          <w:szCs w:val="28"/>
          <w:lang w:val="uk-UA"/>
        </w:rPr>
        <w:t xml:space="preserve"> 1926–2000: a </w:t>
      </w:r>
      <w:proofErr w:type="spellStart"/>
      <w:r w:rsidR="00B73EC5" w:rsidRPr="005F0419">
        <w:rPr>
          <w:rFonts w:ascii="Times New Roman" w:hAnsi="Times New Roman" w:cs="Times New Roman"/>
          <w:sz w:val="28"/>
          <w:szCs w:val="28"/>
          <w:lang w:val="uk-UA"/>
        </w:rPr>
        <w:t>variation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ecological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assessments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Policy</w:t>
      </w:r>
      <w:proofErr w:type="spellEnd"/>
      <w:r w:rsidR="00B73EC5" w:rsidRPr="005F0419">
        <w:rPr>
          <w:rFonts w:ascii="Times New Roman" w:hAnsi="Times New Roman" w:cs="Times New Roman"/>
          <w:sz w:val="28"/>
          <w:szCs w:val="28"/>
          <w:lang w:val="uk-UA"/>
        </w:rPr>
        <w:t xml:space="preserve"> 21(3): 247-259.</w:t>
      </w:r>
    </w:p>
    <w:p w14:paraId="0785AF95" w14:textId="3DA8AB73"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23. </w:t>
      </w:r>
      <w:proofErr w:type="spellStart"/>
      <w:r w:rsidR="00B73EC5" w:rsidRPr="005F0419">
        <w:rPr>
          <w:rFonts w:ascii="Times New Roman" w:hAnsi="Times New Roman" w:cs="Times New Roman"/>
          <w:sz w:val="28"/>
          <w:szCs w:val="28"/>
          <w:lang w:val="uk-UA"/>
        </w:rPr>
        <w:t>Kissinger</w:t>
      </w:r>
      <w:proofErr w:type="spellEnd"/>
      <w:r w:rsidR="00B73EC5" w:rsidRPr="005F0419">
        <w:rPr>
          <w:rFonts w:ascii="Times New Roman" w:hAnsi="Times New Roman" w:cs="Times New Roman"/>
          <w:sz w:val="28"/>
          <w:szCs w:val="28"/>
          <w:lang w:val="uk-UA"/>
        </w:rPr>
        <w:t xml:space="preserve">, M.,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Rees</w:t>
      </w:r>
      <w:proofErr w:type="spellEnd"/>
      <w:r w:rsidR="00B73EC5" w:rsidRPr="005F0419">
        <w:rPr>
          <w:rFonts w:ascii="Times New Roman" w:hAnsi="Times New Roman" w:cs="Times New Roman"/>
          <w:sz w:val="28"/>
          <w:szCs w:val="28"/>
          <w:lang w:val="uk-UA"/>
        </w:rPr>
        <w:t xml:space="preserve">, W. (2010). </w:t>
      </w:r>
      <w:proofErr w:type="spellStart"/>
      <w:r w:rsidR="00B73EC5" w:rsidRPr="005F0419">
        <w:rPr>
          <w:rFonts w:ascii="Times New Roman" w:hAnsi="Times New Roman" w:cs="Times New Roman"/>
          <w:sz w:val="28"/>
          <w:szCs w:val="28"/>
          <w:lang w:val="uk-UA"/>
        </w:rPr>
        <w:t>Importing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terrestrial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biocapacity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U.S. </w:t>
      </w:r>
      <w:proofErr w:type="spellStart"/>
      <w:r w:rsidR="00B73EC5" w:rsidRPr="005F0419">
        <w:rPr>
          <w:rFonts w:ascii="Times New Roman" w:hAnsi="Times New Roman" w:cs="Times New Roman"/>
          <w:sz w:val="28"/>
          <w:szCs w:val="28"/>
          <w:lang w:val="uk-UA"/>
        </w:rPr>
        <w:t>case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implications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Policy</w:t>
      </w:r>
      <w:proofErr w:type="spellEnd"/>
      <w:r w:rsidR="00B73EC5" w:rsidRPr="005F0419">
        <w:rPr>
          <w:rFonts w:ascii="Times New Roman" w:hAnsi="Times New Roman" w:cs="Times New Roman"/>
          <w:sz w:val="28"/>
          <w:szCs w:val="28"/>
          <w:lang w:val="uk-UA"/>
        </w:rPr>
        <w:t xml:space="preserve"> 27: 589–599.</w:t>
      </w:r>
    </w:p>
    <w:p w14:paraId="2EAD9D9A" w14:textId="1420489B"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24. </w:t>
      </w:r>
      <w:proofErr w:type="spellStart"/>
      <w:r w:rsidR="00B73EC5" w:rsidRPr="005F0419">
        <w:rPr>
          <w:rFonts w:ascii="Times New Roman" w:hAnsi="Times New Roman" w:cs="Times New Roman"/>
          <w:sz w:val="28"/>
          <w:szCs w:val="28"/>
          <w:lang w:val="uk-UA"/>
        </w:rPr>
        <w:t>Fader</w:t>
      </w:r>
      <w:proofErr w:type="spellEnd"/>
      <w:r w:rsidR="00B73EC5" w:rsidRPr="005F0419">
        <w:rPr>
          <w:rFonts w:ascii="Times New Roman" w:hAnsi="Times New Roman" w:cs="Times New Roman"/>
          <w:sz w:val="28"/>
          <w:szCs w:val="28"/>
          <w:lang w:val="uk-UA"/>
        </w:rPr>
        <w:t xml:space="preserve">, M., </w:t>
      </w:r>
      <w:proofErr w:type="spellStart"/>
      <w:r w:rsidR="00B73EC5" w:rsidRPr="005F0419">
        <w:rPr>
          <w:rFonts w:ascii="Times New Roman" w:hAnsi="Times New Roman" w:cs="Times New Roman"/>
          <w:sz w:val="28"/>
          <w:szCs w:val="28"/>
          <w:lang w:val="uk-UA"/>
        </w:rPr>
        <w:t>Gerten</w:t>
      </w:r>
      <w:proofErr w:type="spellEnd"/>
      <w:r w:rsidR="00B73EC5" w:rsidRPr="005F0419">
        <w:rPr>
          <w:rFonts w:ascii="Times New Roman" w:hAnsi="Times New Roman" w:cs="Times New Roman"/>
          <w:sz w:val="28"/>
          <w:szCs w:val="28"/>
          <w:lang w:val="uk-UA"/>
        </w:rPr>
        <w:t xml:space="preserve">, D., </w:t>
      </w:r>
      <w:proofErr w:type="spellStart"/>
      <w:r w:rsidR="00B73EC5" w:rsidRPr="005F0419">
        <w:rPr>
          <w:rFonts w:ascii="Times New Roman" w:hAnsi="Times New Roman" w:cs="Times New Roman"/>
          <w:sz w:val="28"/>
          <w:szCs w:val="28"/>
          <w:lang w:val="uk-UA"/>
        </w:rPr>
        <w:t>Thammer</w:t>
      </w:r>
      <w:proofErr w:type="spellEnd"/>
      <w:r w:rsidR="00B73EC5" w:rsidRPr="005F0419">
        <w:rPr>
          <w:rFonts w:ascii="Times New Roman" w:hAnsi="Times New Roman" w:cs="Times New Roman"/>
          <w:sz w:val="28"/>
          <w:szCs w:val="28"/>
          <w:lang w:val="uk-UA"/>
        </w:rPr>
        <w:t xml:space="preserve">, M., </w:t>
      </w:r>
      <w:proofErr w:type="spellStart"/>
      <w:r w:rsidR="00B73EC5" w:rsidRPr="005F0419">
        <w:rPr>
          <w:rFonts w:ascii="Times New Roman" w:hAnsi="Times New Roman" w:cs="Times New Roman"/>
          <w:sz w:val="28"/>
          <w:szCs w:val="28"/>
          <w:lang w:val="uk-UA"/>
        </w:rPr>
        <w:t>Heinke</w:t>
      </w:r>
      <w:proofErr w:type="spellEnd"/>
      <w:r w:rsidR="00B73EC5" w:rsidRPr="005F0419">
        <w:rPr>
          <w:rFonts w:ascii="Times New Roman" w:hAnsi="Times New Roman" w:cs="Times New Roman"/>
          <w:sz w:val="28"/>
          <w:szCs w:val="28"/>
          <w:lang w:val="uk-UA"/>
        </w:rPr>
        <w:t xml:space="preserve">, J., </w:t>
      </w:r>
      <w:proofErr w:type="spellStart"/>
      <w:r w:rsidR="00B73EC5" w:rsidRPr="005F0419">
        <w:rPr>
          <w:rFonts w:ascii="Times New Roman" w:hAnsi="Times New Roman" w:cs="Times New Roman"/>
          <w:sz w:val="28"/>
          <w:szCs w:val="28"/>
          <w:lang w:val="uk-UA"/>
        </w:rPr>
        <w:t>Lotze-Campen</w:t>
      </w:r>
      <w:proofErr w:type="spellEnd"/>
      <w:r w:rsidR="00B73EC5" w:rsidRPr="005F0419">
        <w:rPr>
          <w:rFonts w:ascii="Times New Roman" w:hAnsi="Times New Roman" w:cs="Times New Roman"/>
          <w:sz w:val="28"/>
          <w:szCs w:val="28"/>
          <w:lang w:val="uk-UA"/>
        </w:rPr>
        <w:t xml:space="preserve">, H., </w:t>
      </w:r>
      <w:proofErr w:type="spellStart"/>
      <w:r w:rsidR="00B73EC5" w:rsidRPr="005F0419">
        <w:rPr>
          <w:rFonts w:ascii="Times New Roman" w:hAnsi="Times New Roman" w:cs="Times New Roman"/>
          <w:sz w:val="28"/>
          <w:szCs w:val="28"/>
          <w:lang w:val="uk-UA"/>
        </w:rPr>
        <w:t>Lucht</w:t>
      </w:r>
      <w:proofErr w:type="spellEnd"/>
      <w:r w:rsidR="00B73EC5" w:rsidRPr="005F0419">
        <w:rPr>
          <w:rFonts w:ascii="Times New Roman" w:hAnsi="Times New Roman" w:cs="Times New Roman"/>
          <w:sz w:val="28"/>
          <w:szCs w:val="28"/>
          <w:lang w:val="uk-UA"/>
        </w:rPr>
        <w:t xml:space="preserve">, W.,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Cramer</w:t>
      </w:r>
      <w:proofErr w:type="spellEnd"/>
      <w:r w:rsidR="00B73EC5" w:rsidRPr="005F0419">
        <w:rPr>
          <w:rFonts w:ascii="Times New Roman" w:hAnsi="Times New Roman" w:cs="Times New Roman"/>
          <w:sz w:val="28"/>
          <w:szCs w:val="28"/>
          <w:lang w:val="uk-UA"/>
        </w:rPr>
        <w:t xml:space="preserve">, W. (2011). </w:t>
      </w:r>
      <w:proofErr w:type="spellStart"/>
      <w:r w:rsidR="00B73EC5" w:rsidRPr="005F0419">
        <w:rPr>
          <w:rFonts w:ascii="Times New Roman" w:hAnsi="Times New Roman" w:cs="Times New Roman"/>
          <w:sz w:val="28"/>
          <w:szCs w:val="28"/>
          <w:lang w:val="uk-UA"/>
        </w:rPr>
        <w:t>Internal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external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green-blue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agricultural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nations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related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savings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through</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trade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Hydrol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Earth</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Syst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Sci</w:t>
      </w:r>
      <w:proofErr w:type="spellEnd"/>
      <w:r w:rsidR="00B73EC5" w:rsidRPr="005F0419">
        <w:rPr>
          <w:rFonts w:ascii="Times New Roman" w:hAnsi="Times New Roman" w:cs="Times New Roman"/>
          <w:sz w:val="28"/>
          <w:szCs w:val="28"/>
          <w:lang w:val="uk-UA"/>
        </w:rPr>
        <w:t>, 15: 1641-1660.</w:t>
      </w:r>
    </w:p>
    <w:p w14:paraId="5583F8CE" w14:textId="57E290FC"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25. </w:t>
      </w:r>
      <w:proofErr w:type="spellStart"/>
      <w:r w:rsidR="00B73EC5" w:rsidRPr="005F0419">
        <w:rPr>
          <w:rFonts w:ascii="Times New Roman" w:hAnsi="Times New Roman" w:cs="Times New Roman"/>
          <w:sz w:val="28"/>
          <w:szCs w:val="28"/>
          <w:lang w:val="uk-UA"/>
        </w:rPr>
        <w:t>Europe’s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import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dependency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New</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research</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reveals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extent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imports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from</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outside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EU. </w:t>
      </w:r>
      <w:proofErr w:type="spellStart"/>
      <w:r w:rsidR="00B73EC5" w:rsidRPr="005F0419">
        <w:rPr>
          <w:rFonts w:ascii="Times New Roman" w:hAnsi="Times New Roman" w:cs="Times New Roman"/>
          <w:sz w:val="28"/>
          <w:szCs w:val="28"/>
          <w:lang w:val="uk-UA"/>
        </w:rPr>
        <w:t>Friends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Earth</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Europe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October</w:t>
      </w:r>
      <w:proofErr w:type="spellEnd"/>
      <w:r w:rsidR="00B73EC5" w:rsidRPr="005F0419">
        <w:rPr>
          <w:rFonts w:ascii="Times New Roman" w:hAnsi="Times New Roman" w:cs="Times New Roman"/>
          <w:sz w:val="28"/>
          <w:szCs w:val="28"/>
          <w:lang w:val="uk-UA"/>
        </w:rPr>
        <w:t xml:space="preserve"> 2011. URL:  </w:t>
      </w:r>
      <w:hyperlink r:id="rId75" w:history="1">
        <w:r w:rsidR="00B73EC5" w:rsidRPr="005F0419">
          <w:rPr>
            <w:rStyle w:val="a6"/>
            <w:rFonts w:ascii="Times New Roman" w:hAnsi="Times New Roman" w:cs="Times New Roman"/>
            <w:color w:val="auto"/>
            <w:sz w:val="28"/>
            <w:szCs w:val="28"/>
            <w:lang w:val="uk-UA"/>
          </w:rPr>
          <w:t>FoEE_Briefing_Europe_Global_Land_Demand_1011.pdf</w:t>
        </w:r>
      </w:hyperlink>
      <w:r w:rsidR="00B73EC5" w:rsidRPr="005F0419">
        <w:rPr>
          <w:rStyle w:val="a6"/>
          <w:rFonts w:ascii="Times New Roman" w:hAnsi="Times New Roman" w:cs="Times New Roman"/>
          <w:color w:val="auto"/>
          <w:sz w:val="28"/>
          <w:szCs w:val="28"/>
          <w:lang w:val="uk-UA"/>
        </w:rPr>
        <w:t>.</w:t>
      </w:r>
    </w:p>
    <w:p w14:paraId="1BA5A01C" w14:textId="40736E84" w:rsidR="0094434C" w:rsidRPr="005F0419" w:rsidRDefault="008C7F3A" w:rsidP="008C7F3A">
      <w:pPr>
        <w:spacing w:after="0" w:line="360" w:lineRule="auto"/>
        <w:ind w:firstLine="720"/>
        <w:jc w:val="both"/>
        <w:rPr>
          <w:rFonts w:ascii="Times New Roman" w:eastAsia="Helvetica Neue" w:hAnsi="Times New Roman" w:cs="Times New Roman"/>
          <w:sz w:val="28"/>
          <w:szCs w:val="28"/>
          <w:lang w:val="uk-UA"/>
        </w:rPr>
      </w:pPr>
      <w:r w:rsidRPr="005F0419">
        <w:rPr>
          <w:rFonts w:ascii="Times New Roman" w:hAnsi="Times New Roman" w:cs="Times New Roman"/>
          <w:sz w:val="28"/>
          <w:szCs w:val="28"/>
          <w:lang w:val="uk-UA"/>
        </w:rPr>
        <w:lastRenderedPageBreak/>
        <w:t xml:space="preserve">26. </w:t>
      </w:r>
      <w:r w:rsidR="0094434C" w:rsidRPr="005F0419">
        <w:rPr>
          <w:rFonts w:ascii="Times New Roman" w:hAnsi="Times New Roman" w:cs="Times New Roman"/>
          <w:sz w:val="28"/>
          <w:szCs w:val="28"/>
          <w:lang w:val="uk-UA"/>
        </w:rPr>
        <w:t xml:space="preserve">Наконечний Ю. І. Бонітування ґрунтів : навчально-методичний посібник. Львів : ЛНУ імені Івана Франка, 2015. 85 с. </w:t>
      </w:r>
    </w:p>
    <w:p w14:paraId="1607E0BE" w14:textId="55E1FF3A" w:rsidR="00B73EC5" w:rsidRPr="005F0419" w:rsidRDefault="008C7F3A" w:rsidP="008C7F3A">
      <w:pPr>
        <w:spacing w:after="0" w:line="360" w:lineRule="auto"/>
        <w:ind w:firstLine="720"/>
        <w:jc w:val="both"/>
        <w:rPr>
          <w:rFonts w:ascii="Times New Roman" w:eastAsia="Helvetica Neue" w:hAnsi="Times New Roman" w:cs="Times New Roman"/>
          <w:sz w:val="28"/>
          <w:szCs w:val="28"/>
          <w:lang w:val="uk-UA"/>
        </w:rPr>
      </w:pPr>
      <w:r w:rsidRPr="005F0419">
        <w:rPr>
          <w:rFonts w:ascii="Times New Roman" w:eastAsia="Times New Roman" w:hAnsi="Times New Roman" w:cs="Times New Roman"/>
          <w:sz w:val="28"/>
          <w:szCs w:val="28"/>
          <w:lang w:val="uk-UA" w:eastAsia="uk-UA"/>
        </w:rPr>
        <w:t xml:space="preserve">27. </w:t>
      </w:r>
      <w:r w:rsidR="00B73EC5" w:rsidRPr="005F0419">
        <w:rPr>
          <w:rFonts w:ascii="Times New Roman" w:eastAsia="Times New Roman" w:hAnsi="Times New Roman" w:cs="Times New Roman"/>
          <w:sz w:val="28"/>
          <w:szCs w:val="28"/>
          <w:lang w:val="uk-UA" w:eastAsia="uk-UA"/>
        </w:rPr>
        <w:t>Медведєв В.</w:t>
      </w:r>
      <w:r w:rsidR="0094434C" w:rsidRPr="005F0419">
        <w:rPr>
          <w:rFonts w:ascii="Times New Roman" w:eastAsia="Times New Roman" w:hAnsi="Times New Roman" w:cs="Times New Roman"/>
          <w:sz w:val="28"/>
          <w:szCs w:val="28"/>
          <w:lang w:val="uk-UA" w:eastAsia="uk-UA"/>
        </w:rPr>
        <w:t xml:space="preserve"> </w:t>
      </w:r>
      <w:r w:rsidR="00B73EC5" w:rsidRPr="005F0419">
        <w:rPr>
          <w:rFonts w:ascii="Times New Roman" w:eastAsia="Times New Roman" w:hAnsi="Times New Roman" w:cs="Times New Roman"/>
          <w:sz w:val="28"/>
          <w:szCs w:val="28"/>
          <w:lang w:val="uk-UA" w:eastAsia="uk-UA"/>
        </w:rPr>
        <w:t>В.</w:t>
      </w:r>
      <w:r w:rsidR="0094434C" w:rsidRPr="005F0419">
        <w:rPr>
          <w:rFonts w:ascii="Times New Roman" w:eastAsia="Times New Roman" w:hAnsi="Times New Roman" w:cs="Times New Roman"/>
          <w:sz w:val="28"/>
          <w:szCs w:val="28"/>
          <w:lang w:val="uk-UA" w:eastAsia="uk-UA"/>
        </w:rPr>
        <w:t xml:space="preserve">, </w:t>
      </w:r>
      <w:proofErr w:type="spellStart"/>
      <w:r w:rsidR="0094434C" w:rsidRPr="005F0419">
        <w:rPr>
          <w:rFonts w:ascii="Times New Roman" w:eastAsia="Times New Roman" w:hAnsi="Times New Roman" w:cs="Times New Roman"/>
          <w:sz w:val="28"/>
          <w:szCs w:val="28"/>
          <w:lang w:val="uk-UA" w:eastAsia="uk-UA"/>
        </w:rPr>
        <w:t>Пліско</w:t>
      </w:r>
      <w:proofErr w:type="spellEnd"/>
      <w:r w:rsidR="0094434C" w:rsidRPr="005F0419">
        <w:rPr>
          <w:rFonts w:ascii="Times New Roman" w:eastAsia="Times New Roman" w:hAnsi="Times New Roman" w:cs="Times New Roman"/>
          <w:sz w:val="28"/>
          <w:szCs w:val="28"/>
          <w:lang w:val="uk-UA" w:eastAsia="uk-UA"/>
        </w:rPr>
        <w:t xml:space="preserve"> І. В.</w:t>
      </w:r>
      <w:r w:rsidR="00B73EC5" w:rsidRPr="005F0419">
        <w:rPr>
          <w:rFonts w:ascii="Times New Roman" w:eastAsia="Times New Roman" w:hAnsi="Times New Roman" w:cs="Times New Roman"/>
          <w:sz w:val="28"/>
          <w:szCs w:val="28"/>
          <w:lang w:val="uk-UA" w:eastAsia="uk-UA"/>
        </w:rPr>
        <w:t> Методичні</w:t>
      </w:r>
      <w:r w:rsidR="0094434C" w:rsidRPr="005F0419">
        <w:rPr>
          <w:rFonts w:ascii="Times New Roman" w:eastAsia="Times New Roman" w:hAnsi="Times New Roman" w:cs="Times New Roman"/>
          <w:sz w:val="28"/>
          <w:szCs w:val="28"/>
          <w:lang w:val="uk-UA" w:eastAsia="uk-UA"/>
        </w:rPr>
        <w:t xml:space="preserve"> </w:t>
      </w:r>
      <w:r w:rsidR="00B73EC5" w:rsidRPr="005F0419">
        <w:rPr>
          <w:rFonts w:ascii="Times New Roman" w:eastAsia="Times New Roman" w:hAnsi="Times New Roman" w:cs="Times New Roman"/>
          <w:sz w:val="28"/>
          <w:szCs w:val="28"/>
          <w:lang w:val="uk-UA" w:eastAsia="uk-UA"/>
        </w:rPr>
        <w:t>рекомендації з бонітування</w:t>
      </w:r>
      <w:r w:rsidR="0094434C" w:rsidRPr="005F0419">
        <w:rPr>
          <w:rFonts w:ascii="Times New Roman" w:eastAsia="Times New Roman" w:hAnsi="Times New Roman" w:cs="Times New Roman"/>
          <w:sz w:val="28"/>
          <w:szCs w:val="28"/>
          <w:lang w:val="uk-UA" w:eastAsia="uk-UA"/>
        </w:rPr>
        <w:t xml:space="preserve"> </w:t>
      </w:r>
      <w:r w:rsidR="00B73EC5" w:rsidRPr="005F0419">
        <w:rPr>
          <w:rFonts w:ascii="Times New Roman" w:eastAsia="Times New Roman" w:hAnsi="Times New Roman" w:cs="Times New Roman"/>
          <w:sz w:val="28"/>
          <w:szCs w:val="28"/>
          <w:lang w:val="uk-UA" w:eastAsia="uk-UA"/>
        </w:rPr>
        <w:t>ґрунтів. України. Харків : ТОВ „Смугаста типографія”, 2015. 100 с.</w:t>
      </w:r>
    </w:p>
    <w:p w14:paraId="2B53F4F3" w14:textId="77DBCF49" w:rsidR="0094434C" w:rsidRPr="005F0419" w:rsidRDefault="008C7F3A" w:rsidP="008C7F3A">
      <w:pPr>
        <w:spacing w:after="0" w:line="360" w:lineRule="auto"/>
        <w:ind w:firstLine="720"/>
        <w:jc w:val="both"/>
        <w:rPr>
          <w:rFonts w:ascii="Times New Roman" w:eastAsia="Helvetica Neue" w:hAnsi="Times New Roman" w:cs="Times New Roman"/>
          <w:sz w:val="28"/>
          <w:szCs w:val="28"/>
          <w:lang w:val="uk-UA"/>
        </w:rPr>
      </w:pPr>
      <w:r w:rsidRPr="005F0419">
        <w:rPr>
          <w:rFonts w:ascii="Times New Roman" w:eastAsia="Helvetica Neue" w:hAnsi="Times New Roman" w:cs="Times New Roman"/>
          <w:sz w:val="28"/>
          <w:szCs w:val="28"/>
          <w:lang w:val="uk-UA"/>
        </w:rPr>
        <w:t xml:space="preserve">28. </w:t>
      </w:r>
      <w:r w:rsidR="0094434C" w:rsidRPr="005F0419">
        <w:rPr>
          <w:rFonts w:ascii="Times New Roman" w:eastAsia="Helvetica Neue" w:hAnsi="Times New Roman" w:cs="Times New Roman"/>
          <w:sz w:val="28"/>
          <w:szCs w:val="28"/>
          <w:lang w:val="uk-UA"/>
        </w:rPr>
        <w:t xml:space="preserve">Державне підприємство «Науково-дослідний та проектний інститут землеустрою». URL: zemleustriy.gov.ua </w:t>
      </w:r>
    </w:p>
    <w:p w14:paraId="51F25EC2" w14:textId="7D4206C4" w:rsidR="00B73EC5" w:rsidRPr="005F0419" w:rsidRDefault="008C7F3A" w:rsidP="008C7F3A">
      <w:pPr>
        <w:spacing w:after="0" w:line="360" w:lineRule="auto"/>
        <w:ind w:firstLine="720"/>
        <w:jc w:val="both"/>
        <w:rPr>
          <w:rFonts w:ascii="Times New Roman" w:eastAsia="Helvetica Neue" w:hAnsi="Times New Roman" w:cs="Times New Roman"/>
          <w:sz w:val="28"/>
          <w:szCs w:val="28"/>
          <w:lang w:val="uk-UA"/>
        </w:rPr>
      </w:pPr>
      <w:r w:rsidRPr="005F0419">
        <w:rPr>
          <w:rFonts w:ascii="Times New Roman" w:hAnsi="Times New Roman" w:cs="Times New Roman"/>
          <w:sz w:val="28"/>
          <w:szCs w:val="28"/>
          <w:lang w:val="uk-UA"/>
        </w:rPr>
        <w:t xml:space="preserve">29. </w:t>
      </w:r>
      <w:r w:rsidR="00B73EC5" w:rsidRPr="005F0419">
        <w:rPr>
          <w:rFonts w:ascii="Times New Roman" w:hAnsi="Times New Roman" w:cs="Times New Roman"/>
          <w:sz w:val="28"/>
          <w:szCs w:val="28"/>
          <w:lang w:val="uk-UA"/>
        </w:rPr>
        <w:t>Методичні рекомендації з комплексної агроекологічної оцінки земель сільськогосподарського призначення</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За ред. О.О. </w:t>
      </w:r>
      <w:proofErr w:type="spellStart"/>
      <w:r w:rsidR="00B73EC5" w:rsidRPr="005F0419">
        <w:rPr>
          <w:rFonts w:ascii="Times New Roman" w:hAnsi="Times New Roman" w:cs="Times New Roman"/>
          <w:sz w:val="28"/>
          <w:szCs w:val="28"/>
          <w:lang w:val="uk-UA"/>
        </w:rPr>
        <w:t>Ракоїд</w:t>
      </w:r>
      <w:proofErr w:type="spellEnd"/>
      <w:r w:rsidR="00B73EC5" w:rsidRPr="005F0419">
        <w:rPr>
          <w:rFonts w:ascii="Times New Roman" w:hAnsi="Times New Roman" w:cs="Times New Roman"/>
          <w:sz w:val="28"/>
          <w:szCs w:val="28"/>
          <w:lang w:val="uk-UA"/>
        </w:rPr>
        <w:t>. К.: Логос, 2008. 51 с.</w:t>
      </w:r>
    </w:p>
    <w:p w14:paraId="5A2A178F" w14:textId="319A410C" w:rsidR="00B73EC5" w:rsidRPr="005F0419" w:rsidRDefault="008C7F3A" w:rsidP="008C7F3A">
      <w:pPr>
        <w:spacing w:after="0" w:line="360" w:lineRule="auto"/>
        <w:ind w:firstLine="720"/>
        <w:jc w:val="both"/>
        <w:rPr>
          <w:rFonts w:ascii="Times New Roman" w:eastAsia="Helvetica Neue" w:hAnsi="Times New Roman" w:cs="Times New Roman"/>
          <w:sz w:val="28"/>
          <w:szCs w:val="28"/>
          <w:lang w:val="uk-UA"/>
        </w:rPr>
      </w:pPr>
      <w:r w:rsidRPr="005F0419">
        <w:rPr>
          <w:rFonts w:ascii="Times New Roman" w:hAnsi="Times New Roman" w:cs="Times New Roman"/>
          <w:sz w:val="28"/>
          <w:szCs w:val="28"/>
          <w:shd w:val="clear" w:color="auto" w:fill="FFFFFF"/>
          <w:lang w:val="uk-UA"/>
        </w:rPr>
        <w:t xml:space="preserve">30. </w:t>
      </w:r>
      <w:r w:rsidR="00B73EC5" w:rsidRPr="005F0419">
        <w:rPr>
          <w:rFonts w:ascii="Times New Roman" w:hAnsi="Times New Roman" w:cs="Times New Roman"/>
          <w:sz w:val="28"/>
          <w:szCs w:val="28"/>
          <w:shd w:val="clear" w:color="auto" w:fill="FFFFFF"/>
          <w:lang w:val="uk-UA"/>
        </w:rPr>
        <w:t>Методичні рекомендації з надання статусу спеціальної сировинної зони та контролю за їх використанням</w:t>
      </w:r>
      <w:r w:rsidR="0094434C" w:rsidRPr="005F0419">
        <w:rPr>
          <w:rFonts w:ascii="Times New Roman" w:hAnsi="Times New Roman" w:cs="Times New Roman"/>
          <w:sz w:val="28"/>
          <w:szCs w:val="28"/>
          <w:shd w:val="clear" w:color="auto" w:fill="FFFFFF"/>
          <w:lang w:val="uk-UA"/>
        </w:rPr>
        <w:t>. З</w:t>
      </w:r>
      <w:r w:rsidR="00B73EC5" w:rsidRPr="005F0419">
        <w:rPr>
          <w:rFonts w:ascii="Times New Roman" w:hAnsi="Times New Roman" w:cs="Times New Roman"/>
          <w:sz w:val="28"/>
          <w:szCs w:val="28"/>
          <w:shd w:val="clear" w:color="auto" w:fill="FFFFFF"/>
          <w:lang w:val="uk-UA"/>
        </w:rPr>
        <w:t xml:space="preserve">а ред. О. І. </w:t>
      </w:r>
      <w:proofErr w:type="spellStart"/>
      <w:r w:rsidR="00B73EC5" w:rsidRPr="005F0419">
        <w:rPr>
          <w:rFonts w:ascii="Times New Roman" w:hAnsi="Times New Roman" w:cs="Times New Roman"/>
          <w:sz w:val="28"/>
          <w:szCs w:val="28"/>
          <w:shd w:val="clear" w:color="auto" w:fill="FFFFFF"/>
          <w:lang w:val="uk-UA"/>
        </w:rPr>
        <w:t>Фурдичка</w:t>
      </w:r>
      <w:proofErr w:type="spellEnd"/>
      <w:r w:rsidR="00B73EC5" w:rsidRPr="005F0419">
        <w:rPr>
          <w:rFonts w:ascii="Times New Roman" w:hAnsi="Times New Roman" w:cs="Times New Roman"/>
          <w:sz w:val="28"/>
          <w:szCs w:val="28"/>
          <w:shd w:val="clear" w:color="auto" w:fill="FFFFFF"/>
          <w:lang w:val="uk-UA"/>
        </w:rPr>
        <w:t>. К., 2007. 35 с</w:t>
      </w:r>
      <w:r w:rsidR="0094434C" w:rsidRPr="005F0419">
        <w:rPr>
          <w:rFonts w:ascii="Times New Roman" w:hAnsi="Times New Roman" w:cs="Times New Roman"/>
          <w:sz w:val="28"/>
          <w:szCs w:val="28"/>
          <w:shd w:val="clear" w:color="auto" w:fill="FFFFFF"/>
          <w:lang w:val="uk-UA"/>
        </w:rPr>
        <w:t>.</w:t>
      </w:r>
    </w:p>
    <w:p w14:paraId="1BD6B60C" w14:textId="70569D3D" w:rsidR="00B73EC5" w:rsidRPr="005F0419" w:rsidRDefault="008C7F3A" w:rsidP="008C7F3A">
      <w:pPr>
        <w:spacing w:after="0" w:line="360" w:lineRule="auto"/>
        <w:ind w:firstLine="720"/>
        <w:jc w:val="both"/>
        <w:rPr>
          <w:rFonts w:ascii="Times New Roman" w:eastAsia="Helvetica Neue" w:hAnsi="Times New Roman" w:cs="Times New Roman"/>
          <w:sz w:val="28"/>
          <w:szCs w:val="28"/>
          <w:lang w:val="uk-UA"/>
        </w:rPr>
      </w:pPr>
      <w:r w:rsidRPr="005F0419">
        <w:rPr>
          <w:rFonts w:ascii="Times New Roman" w:hAnsi="Times New Roman" w:cs="Times New Roman"/>
          <w:sz w:val="28"/>
          <w:szCs w:val="28"/>
          <w:lang w:val="uk-UA"/>
        </w:rPr>
        <w:t xml:space="preserve">31. </w:t>
      </w:r>
      <w:r w:rsidR="00B73EC5" w:rsidRPr="005F0419">
        <w:rPr>
          <w:rFonts w:ascii="Times New Roman" w:hAnsi="Times New Roman" w:cs="Times New Roman"/>
          <w:sz w:val="28"/>
          <w:szCs w:val="28"/>
          <w:lang w:val="uk-UA"/>
        </w:rPr>
        <w:t>Порядок ведення агрохімічного паспорта поля, земельної ділянки</w:t>
      </w:r>
      <w:r w:rsidR="0094434C" w:rsidRPr="005F0419">
        <w:rPr>
          <w:rFonts w:ascii="Times New Roman" w:hAnsi="Times New Roman" w:cs="Times New Roman"/>
          <w:sz w:val="28"/>
          <w:szCs w:val="28"/>
          <w:lang w:val="uk-UA"/>
        </w:rPr>
        <w:t xml:space="preserve">: наказ Міністерства аграрної політики та продовольства України від 11.10.2011 р. № 536. </w:t>
      </w:r>
      <w:r w:rsidR="00B73EC5" w:rsidRPr="005F0419">
        <w:rPr>
          <w:rFonts w:ascii="Times New Roman" w:hAnsi="Times New Roman" w:cs="Times New Roman"/>
          <w:sz w:val="28"/>
          <w:szCs w:val="28"/>
          <w:lang w:val="uk-UA"/>
        </w:rPr>
        <w:t xml:space="preserve">URL:  </w:t>
      </w:r>
      <w:hyperlink r:id="rId76" w:anchor="Text" w:history="1">
        <w:r w:rsidR="0094434C" w:rsidRPr="005F0419">
          <w:rPr>
            <w:rStyle w:val="a6"/>
            <w:rFonts w:ascii="Times New Roman" w:hAnsi="Times New Roman" w:cs="Times New Roman"/>
            <w:color w:val="auto"/>
            <w:sz w:val="28"/>
            <w:szCs w:val="28"/>
            <w:lang w:val="uk-UA"/>
          </w:rPr>
          <w:t>https://zakon.rada.gov.ua/laws/show/z1517-11#Text</w:t>
        </w:r>
      </w:hyperlink>
      <w:r w:rsidR="0094434C" w:rsidRPr="005F0419">
        <w:rPr>
          <w:rFonts w:ascii="Times New Roman" w:hAnsi="Times New Roman" w:cs="Times New Roman"/>
          <w:sz w:val="28"/>
          <w:szCs w:val="28"/>
          <w:lang w:val="uk-UA"/>
        </w:rPr>
        <w:t xml:space="preserve"> </w:t>
      </w:r>
    </w:p>
    <w:p w14:paraId="1712AFD2" w14:textId="2BCAF5CC"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32. </w:t>
      </w:r>
      <w:proofErr w:type="spellStart"/>
      <w:r w:rsidR="00B73EC5" w:rsidRPr="005F0419">
        <w:rPr>
          <w:rFonts w:ascii="Times New Roman" w:hAnsi="Times New Roman" w:cs="Times New Roman"/>
          <w:sz w:val="28"/>
          <w:szCs w:val="28"/>
          <w:lang w:val="uk-UA"/>
        </w:rPr>
        <w:t>Schmidt-Bleek</w:t>
      </w:r>
      <w:proofErr w:type="spellEnd"/>
      <w:r w:rsidR="00B73EC5" w:rsidRPr="005F0419">
        <w:rPr>
          <w:rFonts w:ascii="Times New Roman" w:hAnsi="Times New Roman" w:cs="Times New Roman"/>
          <w:sz w:val="28"/>
          <w:szCs w:val="28"/>
          <w:lang w:val="uk-UA"/>
        </w:rPr>
        <w:t xml:space="preserve"> F. </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1992</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MIPS </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A</w:t>
      </w:r>
      <w:r w:rsidR="0094434C"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Universal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Ecological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Measure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Fresenius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Environmental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Bulletin</w:t>
      </w:r>
      <w:proofErr w:type="spellEnd"/>
      <w:r w:rsidR="00B73EC5" w:rsidRPr="005F0419">
        <w:rPr>
          <w:rFonts w:ascii="Times New Roman" w:hAnsi="Times New Roman" w:cs="Times New Roman"/>
          <w:sz w:val="28"/>
          <w:szCs w:val="28"/>
          <w:lang w:val="uk-UA"/>
        </w:rPr>
        <w:t xml:space="preserve"> 2, 407-412.</w:t>
      </w:r>
    </w:p>
    <w:p w14:paraId="42EFCD60" w14:textId="0A4D1B27"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33. </w:t>
      </w:r>
      <w:proofErr w:type="spellStart"/>
      <w:r w:rsidR="00B73EC5" w:rsidRPr="005F0419">
        <w:rPr>
          <w:rFonts w:ascii="Times New Roman" w:hAnsi="Times New Roman" w:cs="Times New Roman"/>
          <w:sz w:val="28"/>
          <w:szCs w:val="28"/>
          <w:lang w:val="uk-UA"/>
        </w:rPr>
        <w:t>Schmidt-Bleek</w:t>
      </w:r>
      <w:proofErr w:type="spellEnd"/>
      <w:r w:rsidR="00B73EC5" w:rsidRPr="005F0419">
        <w:rPr>
          <w:rFonts w:ascii="Times New Roman" w:hAnsi="Times New Roman" w:cs="Times New Roman"/>
          <w:sz w:val="28"/>
          <w:szCs w:val="28"/>
          <w:lang w:val="uk-UA"/>
        </w:rPr>
        <w:t xml:space="preserve"> F. </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2009</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Earth</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Natural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Resources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Human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Intervention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Haus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Publishing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Limited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London</w:t>
      </w:r>
      <w:proofErr w:type="spellEnd"/>
      <w:r w:rsidR="00B73EC5" w:rsidRPr="005F0419">
        <w:rPr>
          <w:rFonts w:ascii="Times New Roman" w:hAnsi="Times New Roman" w:cs="Times New Roman"/>
          <w:sz w:val="28"/>
          <w:szCs w:val="28"/>
          <w:lang w:val="uk-UA"/>
        </w:rPr>
        <w:t>.</w:t>
      </w:r>
    </w:p>
    <w:p w14:paraId="04A6BDA9" w14:textId="7C914119"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34. </w:t>
      </w:r>
      <w:r w:rsidR="00B73EC5" w:rsidRPr="005F0419">
        <w:rPr>
          <w:rFonts w:ascii="Times New Roman" w:hAnsi="Times New Roman" w:cs="Times New Roman"/>
          <w:sz w:val="28"/>
          <w:szCs w:val="28"/>
          <w:lang w:val="uk-UA"/>
        </w:rPr>
        <w:t xml:space="preserve">EUROSTAT. </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2011</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Economy-wide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Material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Flow</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Accounts</w:t>
      </w:r>
      <w:proofErr w:type="spellEnd"/>
      <w:r w:rsidR="00B73EC5" w:rsidRPr="005F0419">
        <w:rPr>
          <w:rFonts w:ascii="Times New Roman" w:hAnsi="Times New Roman" w:cs="Times New Roman"/>
          <w:sz w:val="28"/>
          <w:szCs w:val="28"/>
          <w:lang w:val="uk-UA"/>
        </w:rPr>
        <w:t xml:space="preserve"> (EW-MFA) </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Compilation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Guidelines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EUROSTAT's</w:t>
      </w:r>
      <w:proofErr w:type="spellEnd"/>
      <w:r w:rsidR="00B73EC5" w:rsidRPr="005F0419">
        <w:rPr>
          <w:rFonts w:ascii="Times New Roman" w:hAnsi="Times New Roman" w:cs="Times New Roman"/>
          <w:sz w:val="28"/>
          <w:szCs w:val="28"/>
          <w:lang w:val="uk-UA"/>
        </w:rPr>
        <w:t xml:space="preserve"> 2011 EW-MFA </w:t>
      </w:r>
      <w:proofErr w:type="spellStart"/>
      <w:r w:rsidR="00B73EC5" w:rsidRPr="005F0419">
        <w:rPr>
          <w:rFonts w:ascii="Times New Roman" w:hAnsi="Times New Roman" w:cs="Times New Roman"/>
          <w:sz w:val="28"/>
          <w:szCs w:val="28"/>
          <w:lang w:val="uk-UA"/>
        </w:rPr>
        <w:t>questionnaire</w:t>
      </w:r>
      <w:proofErr w:type="spellEnd"/>
      <w:r w:rsidR="00B73EC5" w:rsidRPr="005F0419">
        <w:rPr>
          <w:rFonts w:ascii="Times New Roman" w:hAnsi="Times New Roman" w:cs="Times New Roman"/>
          <w:sz w:val="28"/>
          <w:szCs w:val="28"/>
          <w:lang w:val="uk-UA"/>
        </w:rPr>
        <w:t xml:space="preserve">. ENV/MFA/06 (2007), EUROSTAT, </w:t>
      </w:r>
      <w:proofErr w:type="spellStart"/>
      <w:r w:rsidR="00B73EC5" w:rsidRPr="005F0419">
        <w:rPr>
          <w:rFonts w:ascii="Times New Roman" w:hAnsi="Times New Roman" w:cs="Times New Roman"/>
          <w:sz w:val="28"/>
          <w:szCs w:val="28"/>
          <w:lang w:val="uk-UA"/>
        </w:rPr>
        <w:t>Luxembourg</w:t>
      </w:r>
      <w:proofErr w:type="spellEnd"/>
      <w:r w:rsidR="00B73EC5" w:rsidRPr="005F0419">
        <w:rPr>
          <w:rFonts w:ascii="Times New Roman" w:hAnsi="Times New Roman" w:cs="Times New Roman"/>
          <w:sz w:val="28"/>
          <w:szCs w:val="28"/>
          <w:lang w:val="uk-UA"/>
        </w:rPr>
        <w:t>.</w:t>
      </w:r>
    </w:p>
    <w:p w14:paraId="0BC6B173" w14:textId="1ABF19FB"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35. </w:t>
      </w:r>
      <w:r w:rsidR="00B73EC5" w:rsidRPr="005F0419">
        <w:rPr>
          <w:rFonts w:ascii="Times New Roman" w:hAnsi="Times New Roman" w:cs="Times New Roman"/>
          <w:sz w:val="28"/>
          <w:szCs w:val="28"/>
          <w:lang w:val="uk-UA"/>
        </w:rPr>
        <w:t xml:space="preserve">OECD. </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2007</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Measuring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material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flows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resource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productivity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OECD </w:t>
      </w:r>
      <w:proofErr w:type="spellStart"/>
      <w:r w:rsidR="00B73EC5" w:rsidRPr="005F0419">
        <w:rPr>
          <w:rFonts w:ascii="Times New Roman" w:hAnsi="Times New Roman" w:cs="Times New Roman"/>
          <w:sz w:val="28"/>
          <w:szCs w:val="28"/>
          <w:lang w:val="uk-UA"/>
        </w:rPr>
        <w:t>guide</w:t>
      </w:r>
      <w:proofErr w:type="spellEnd"/>
      <w:r w:rsidR="00B73EC5" w:rsidRPr="005F0419">
        <w:rPr>
          <w:rFonts w:ascii="Times New Roman" w:hAnsi="Times New Roman" w:cs="Times New Roman"/>
          <w:sz w:val="28"/>
          <w:szCs w:val="28"/>
          <w:lang w:val="uk-UA"/>
        </w:rPr>
        <w:t xml:space="preserve"> ENV/EPOC/SE(2006)1/REV3, </w:t>
      </w:r>
      <w:proofErr w:type="spellStart"/>
      <w:r w:rsidR="00B73EC5" w:rsidRPr="005F0419">
        <w:rPr>
          <w:rFonts w:ascii="Times New Roman" w:hAnsi="Times New Roman" w:cs="Times New Roman"/>
          <w:sz w:val="28"/>
          <w:szCs w:val="28"/>
          <w:lang w:val="uk-UA"/>
        </w:rPr>
        <w:t>Environment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Directorate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Organisation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Economic</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Co-operation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Development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Paris</w:t>
      </w:r>
      <w:proofErr w:type="spellEnd"/>
      <w:r w:rsidR="00B73EC5" w:rsidRPr="005F0419">
        <w:rPr>
          <w:rFonts w:ascii="Times New Roman" w:hAnsi="Times New Roman" w:cs="Times New Roman"/>
          <w:sz w:val="28"/>
          <w:szCs w:val="28"/>
          <w:lang w:val="uk-UA"/>
        </w:rPr>
        <w:t xml:space="preserve">. </w:t>
      </w:r>
    </w:p>
    <w:p w14:paraId="60922CF7" w14:textId="088CF96F"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bdr w:val="none" w:sz="0" w:space="0" w:color="auto" w:frame="1"/>
          <w:lang w:val="uk-UA"/>
        </w:rPr>
      </w:pPr>
      <w:r w:rsidRPr="005F0419">
        <w:rPr>
          <w:rFonts w:ascii="Times New Roman" w:hAnsi="Times New Roman" w:cs="Times New Roman"/>
          <w:bCs/>
          <w:sz w:val="28"/>
          <w:szCs w:val="28"/>
          <w:lang w:val="uk-UA"/>
        </w:rPr>
        <w:t xml:space="preserve">36. </w:t>
      </w:r>
      <w:proofErr w:type="spellStart"/>
      <w:r w:rsidR="00B73EC5" w:rsidRPr="005F0419">
        <w:rPr>
          <w:rFonts w:ascii="Times New Roman" w:hAnsi="Times New Roman" w:cs="Times New Roman"/>
          <w:bCs/>
          <w:sz w:val="28"/>
          <w:szCs w:val="28"/>
          <w:lang w:val="uk-UA"/>
        </w:rPr>
        <w:t>Estimating</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the</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Water</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Footprint</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of</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the</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Four</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Important</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Cereal</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Crops</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in</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the</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Euphrates</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River</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Basin</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Fonts w:ascii="Times New Roman" w:hAnsi="Times New Roman" w:cs="Times New Roman"/>
          <w:bCs/>
          <w:sz w:val="28"/>
          <w:szCs w:val="28"/>
          <w:lang w:val="uk-UA"/>
        </w:rPr>
        <w:t>Iraq</w:t>
      </w:r>
      <w:proofErr w:type="spellEnd"/>
      <w:r w:rsidR="00B73EC5" w:rsidRPr="005F0419">
        <w:rPr>
          <w:rFonts w:ascii="Times New Roman" w:hAnsi="Times New Roman" w:cs="Times New Roman"/>
          <w:bCs/>
          <w:sz w:val="28"/>
          <w:szCs w:val="28"/>
          <w:lang w:val="uk-UA"/>
        </w:rPr>
        <w:t xml:space="preserve">. </w:t>
      </w:r>
      <w:proofErr w:type="spellStart"/>
      <w:r w:rsidR="00B73EC5" w:rsidRPr="005F0419">
        <w:rPr>
          <w:rStyle w:val="nowrap"/>
          <w:rFonts w:ascii="Times New Roman" w:hAnsi="Times New Roman" w:cs="Times New Roman"/>
          <w:sz w:val="28"/>
          <w:szCs w:val="28"/>
          <w:bdr w:val="none" w:sz="0" w:space="0" w:color="auto" w:frame="1"/>
          <w:lang w:val="uk-UA"/>
        </w:rPr>
        <w:t>Mustafa</w:t>
      </w:r>
      <w:proofErr w:type="spellEnd"/>
      <w:r w:rsidR="00B73EC5" w:rsidRPr="005F0419">
        <w:rPr>
          <w:rStyle w:val="nowrap"/>
          <w:rFonts w:ascii="Times New Roman" w:hAnsi="Times New Roman" w:cs="Times New Roman"/>
          <w:sz w:val="28"/>
          <w:szCs w:val="28"/>
          <w:bdr w:val="none" w:sz="0" w:space="0" w:color="auto" w:frame="1"/>
          <w:lang w:val="uk-UA"/>
        </w:rPr>
        <w:t xml:space="preserve"> </w:t>
      </w:r>
      <w:proofErr w:type="spellStart"/>
      <w:r w:rsidR="00B73EC5" w:rsidRPr="005F0419">
        <w:rPr>
          <w:rStyle w:val="nowrap"/>
          <w:rFonts w:ascii="Times New Roman" w:hAnsi="Times New Roman" w:cs="Times New Roman"/>
          <w:sz w:val="28"/>
          <w:szCs w:val="28"/>
          <w:bdr w:val="none" w:sz="0" w:space="0" w:color="auto" w:frame="1"/>
          <w:lang w:val="uk-UA"/>
        </w:rPr>
        <w:t>Hamoudi</w:t>
      </w:r>
      <w:proofErr w:type="spellEnd"/>
      <w:r w:rsidR="00B73EC5" w:rsidRPr="005F0419">
        <w:rPr>
          <w:rStyle w:val="nowrap"/>
          <w:rFonts w:ascii="Times New Roman" w:hAnsi="Times New Roman" w:cs="Times New Roman"/>
          <w:sz w:val="28"/>
          <w:szCs w:val="28"/>
          <w:bdr w:val="none" w:sz="0" w:space="0" w:color="auto" w:frame="1"/>
          <w:lang w:val="uk-UA"/>
        </w:rPr>
        <w:t xml:space="preserve"> </w:t>
      </w:r>
      <w:proofErr w:type="spellStart"/>
      <w:r w:rsidR="00B73EC5" w:rsidRPr="005F0419">
        <w:rPr>
          <w:rStyle w:val="nowrap"/>
          <w:rFonts w:ascii="Times New Roman" w:hAnsi="Times New Roman" w:cs="Times New Roman"/>
          <w:sz w:val="28"/>
          <w:szCs w:val="28"/>
          <w:bdr w:val="none" w:sz="0" w:space="0" w:color="auto" w:frame="1"/>
          <w:lang w:val="uk-UA"/>
        </w:rPr>
        <w:t>Jabaar</w:t>
      </w:r>
      <w:proofErr w:type="spellEnd"/>
      <w:r w:rsidR="00B73EC5" w:rsidRPr="005F0419">
        <w:rPr>
          <w:rFonts w:ascii="Times New Roman" w:hAnsi="Times New Roman" w:cs="Times New Roman"/>
          <w:sz w:val="28"/>
          <w:szCs w:val="28"/>
          <w:bdr w:val="none" w:sz="0" w:space="0" w:color="auto" w:frame="1"/>
          <w:lang w:val="uk-UA"/>
        </w:rPr>
        <w:t> </w:t>
      </w:r>
      <w:proofErr w:type="spellStart"/>
      <w:r w:rsidR="00B73EC5" w:rsidRPr="005F0419">
        <w:rPr>
          <w:rFonts w:ascii="Times New Roman" w:hAnsi="Times New Roman" w:cs="Times New Roman"/>
          <w:sz w:val="28"/>
          <w:szCs w:val="28"/>
          <w:bdr w:val="none" w:sz="0" w:space="0" w:color="auto" w:frame="1"/>
          <w:lang w:val="uk-UA"/>
        </w:rPr>
        <w:t>and</w:t>
      </w:r>
      <w:proofErr w:type="spellEnd"/>
      <w:r w:rsidR="00B73EC5" w:rsidRPr="005F0419">
        <w:rPr>
          <w:rFonts w:ascii="Times New Roman" w:hAnsi="Times New Roman" w:cs="Times New Roman"/>
          <w:sz w:val="28"/>
          <w:szCs w:val="28"/>
          <w:bdr w:val="none" w:sz="0" w:space="0" w:color="auto" w:frame="1"/>
          <w:lang w:val="uk-UA"/>
        </w:rPr>
        <w:t> </w:t>
      </w:r>
      <w:proofErr w:type="spellStart"/>
      <w:r w:rsidR="00B73EC5" w:rsidRPr="005F0419">
        <w:rPr>
          <w:rStyle w:val="nowrap"/>
          <w:rFonts w:ascii="Times New Roman" w:hAnsi="Times New Roman" w:cs="Times New Roman"/>
          <w:sz w:val="28"/>
          <w:szCs w:val="28"/>
          <w:bdr w:val="none" w:sz="0" w:space="0" w:color="auto" w:frame="1"/>
          <w:lang w:val="uk-UA"/>
        </w:rPr>
        <w:t>Salwan</w:t>
      </w:r>
      <w:proofErr w:type="spellEnd"/>
      <w:r w:rsidR="00B73EC5" w:rsidRPr="005F0419">
        <w:rPr>
          <w:rStyle w:val="nowrap"/>
          <w:rFonts w:ascii="Times New Roman" w:hAnsi="Times New Roman" w:cs="Times New Roman"/>
          <w:sz w:val="28"/>
          <w:szCs w:val="28"/>
          <w:bdr w:val="none" w:sz="0" w:space="0" w:color="auto" w:frame="1"/>
          <w:lang w:val="uk-UA"/>
        </w:rPr>
        <w:t xml:space="preserve"> </w:t>
      </w:r>
      <w:proofErr w:type="spellStart"/>
      <w:r w:rsidR="00B73EC5" w:rsidRPr="005F0419">
        <w:rPr>
          <w:rStyle w:val="nowrap"/>
          <w:rFonts w:ascii="Times New Roman" w:hAnsi="Times New Roman" w:cs="Times New Roman"/>
          <w:sz w:val="28"/>
          <w:szCs w:val="28"/>
          <w:bdr w:val="none" w:sz="0" w:space="0" w:color="auto" w:frame="1"/>
          <w:lang w:val="uk-UA"/>
        </w:rPr>
        <w:t>Ali</w:t>
      </w:r>
      <w:proofErr w:type="spellEnd"/>
      <w:r w:rsidR="00B73EC5" w:rsidRPr="005F0419">
        <w:rPr>
          <w:rStyle w:val="nowrap"/>
          <w:rFonts w:ascii="Times New Roman" w:hAnsi="Times New Roman" w:cs="Times New Roman"/>
          <w:sz w:val="28"/>
          <w:szCs w:val="28"/>
          <w:bdr w:val="none" w:sz="0" w:space="0" w:color="auto" w:frame="1"/>
          <w:lang w:val="uk-UA"/>
        </w:rPr>
        <w:t xml:space="preserve"> </w:t>
      </w:r>
      <w:proofErr w:type="spellStart"/>
      <w:r w:rsidR="00B73EC5" w:rsidRPr="005F0419">
        <w:rPr>
          <w:rStyle w:val="nowrap"/>
          <w:rFonts w:ascii="Times New Roman" w:hAnsi="Times New Roman" w:cs="Times New Roman"/>
          <w:sz w:val="28"/>
          <w:szCs w:val="28"/>
          <w:bdr w:val="none" w:sz="0" w:space="0" w:color="auto" w:frame="1"/>
          <w:lang w:val="uk-UA"/>
        </w:rPr>
        <w:t>Abed</w:t>
      </w:r>
      <w:proofErr w:type="spellEnd"/>
      <w:r w:rsidR="00B73EC5" w:rsidRPr="005F0419">
        <w:rPr>
          <w:rStyle w:val="nowrap"/>
          <w:rFonts w:ascii="Times New Roman" w:hAnsi="Times New Roman" w:cs="Times New Roman"/>
          <w:sz w:val="28"/>
          <w:szCs w:val="28"/>
          <w:bdr w:val="none" w:sz="0" w:space="0" w:color="auto" w:frame="1"/>
          <w:lang w:val="uk-UA"/>
        </w:rPr>
        <w:t xml:space="preserve">. </w:t>
      </w:r>
      <w:r w:rsidR="0094434C" w:rsidRPr="005F0419">
        <w:rPr>
          <w:rStyle w:val="nowrap"/>
          <w:rFonts w:ascii="Times New Roman" w:hAnsi="Times New Roman" w:cs="Times New Roman"/>
          <w:sz w:val="28"/>
          <w:szCs w:val="28"/>
          <w:bdr w:val="none" w:sz="0" w:space="0" w:color="auto" w:frame="1"/>
          <w:lang w:val="uk-UA"/>
        </w:rPr>
        <w:t>(</w:t>
      </w:r>
      <w:r w:rsidR="00B73EC5" w:rsidRPr="005F0419">
        <w:rPr>
          <w:rFonts w:ascii="Times New Roman" w:hAnsi="Times New Roman" w:cs="Times New Roman"/>
          <w:sz w:val="28"/>
          <w:szCs w:val="28"/>
          <w:bdr w:val="none" w:sz="0" w:space="0" w:color="auto" w:frame="1"/>
          <w:lang w:val="uk-UA"/>
        </w:rPr>
        <w:t>2023</w:t>
      </w:r>
      <w:r w:rsidR="0094434C" w:rsidRPr="005F0419">
        <w:rPr>
          <w:rFonts w:ascii="Times New Roman" w:hAnsi="Times New Roman" w:cs="Times New Roman"/>
          <w:sz w:val="28"/>
          <w:szCs w:val="28"/>
          <w:bdr w:val="none" w:sz="0" w:space="0" w:color="auto" w:frame="1"/>
          <w:lang w:val="uk-UA"/>
        </w:rPr>
        <w:t>).</w:t>
      </w:r>
      <w:r w:rsidR="00B73EC5" w:rsidRPr="005F0419">
        <w:rPr>
          <w:rFonts w:ascii="Times New Roman" w:hAnsi="Times New Roman" w:cs="Times New Roman"/>
          <w:sz w:val="28"/>
          <w:szCs w:val="28"/>
          <w:bdr w:val="none" w:sz="0" w:space="0" w:color="auto" w:frame="1"/>
          <w:lang w:val="uk-UA"/>
        </w:rPr>
        <w:t> </w:t>
      </w:r>
      <w:r w:rsidR="00B73EC5" w:rsidRPr="005F0419">
        <w:rPr>
          <w:rStyle w:val="aa"/>
          <w:rFonts w:ascii="Times New Roman" w:hAnsi="Times New Roman" w:cs="Times New Roman"/>
          <w:i w:val="0"/>
          <w:iCs w:val="0"/>
          <w:sz w:val="28"/>
          <w:szCs w:val="28"/>
          <w:bdr w:val="none" w:sz="0" w:space="0" w:color="auto" w:frame="1"/>
          <w:lang w:val="uk-UA"/>
        </w:rPr>
        <w:t xml:space="preserve">IOP </w:t>
      </w:r>
      <w:proofErr w:type="spellStart"/>
      <w:r w:rsidR="00B73EC5" w:rsidRPr="005F0419">
        <w:rPr>
          <w:rStyle w:val="aa"/>
          <w:rFonts w:ascii="Times New Roman" w:hAnsi="Times New Roman" w:cs="Times New Roman"/>
          <w:i w:val="0"/>
          <w:iCs w:val="0"/>
          <w:sz w:val="28"/>
          <w:szCs w:val="28"/>
          <w:bdr w:val="none" w:sz="0" w:space="0" w:color="auto" w:frame="1"/>
          <w:lang w:val="uk-UA"/>
        </w:rPr>
        <w:t>Conf</w:t>
      </w:r>
      <w:proofErr w:type="spellEnd"/>
      <w:r w:rsidR="00B73EC5" w:rsidRPr="005F0419">
        <w:rPr>
          <w:rStyle w:val="aa"/>
          <w:rFonts w:ascii="Times New Roman" w:hAnsi="Times New Roman" w:cs="Times New Roman"/>
          <w:i w:val="0"/>
          <w:iCs w:val="0"/>
          <w:sz w:val="28"/>
          <w:szCs w:val="28"/>
          <w:bdr w:val="none" w:sz="0" w:space="0" w:color="auto" w:frame="1"/>
          <w:lang w:val="uk-UA"/>
        </w:rPr>
        <w:t xml:space="preserve">. </w:t>
      </w:r>
      <w:proofErr w:type="spellStart"/>
      <w:r w:rsidR="00B73EC5" w:rsidRPr="005F0419">
        <w:rPr>
          <w:rStyle w:val="aa"/>
          <w:rFonts w:ascii="Times New Roman" w:hAnsi="Times New Roman" w:cs="Times New Roman"/>
          <w:i w:val="0"/>
          <w:iCs w:val="0"/>
          <w:sz w:val="28"/>
          <w:szCs w:val="28"/>
          <w:bdr w:val="none" w:sz="0" w:space="0" w:color="auto" w:frame="1"/>
          <w:lang w:val="uk-UA"/>
        </w:rPr>
        <w:t>Ser</w:t>
      </w:r>
      <w:proofErr w:type="spellEnd"/>
      <w:r w:rsidR="00B73EC5" w:rsidRPr="005F0419">
        <w:rPr>
          <w:rStyle w:val="aa"/>
          <w:rFonts w:ascii="Times New Roman" w:hAnsi="Times New Roman" w:cs="Times New Roman"/>
          <w:i w:val="0"/>
          <w:iCs w:val="0"/>
          <w:sz w:val="28"/>
          <w:szCs w:val="28"/>
          <w:bdr w:val="none" w:sz="0" w:space="0" w:color="auto" w:frame="1"/>
          <w:lang w:val="uk-UA"/>
        </w:rPr>
        <w:t xml:space="preserve">.: </w:t>
      </w:r>
      <w:proofErr w:type="spellStart"/>
      <w:r w:rsidR="00B73EC5" w:rsidRPr="005F0419">
        <w:rPr>
          <w:rStyle w:val="aa"/>
          <w:rFonts w:ascii="Times New Roman" w:hAnsi="Times New Roman" w:cs="Times New Roman"/>
          <w:i w:val="0"/>
          <w:iCs w:val="0"/>
          <w:sz w:val="28"/>
          <w:szCs w:val="28"/>
          <w:bdr w:val="none" w:sz="0" w:space="0" w:color="auto" w:frame="1"/>
          <w:lang w:val="uk-UA"/>
        </w:rPr>
        <w:t>Earth</w:t>
      </w:r>
      <w:proofErr w:type="spellEnd"/>
      <w:r w:rsidR="00B73EC5" w:rsidRPr="005F0419">
        <w:rPr>
          <w:rStyle w:val="aa"/>
          <w:rFonts w:ascii="Times New Roman" w:hAnsi="Times New Roman" w:cs="Times New Roman"/>
          <w:i w:val="0"/>
          <w:iCs w:val="0"/>
          <w:sz w:val="28"/>
          <w:szCs w:val="28"/>
          <w:bdr w:val="none" w:sz="0" w:space="0" w:color="auto" w:frame="1"/>
          <w:lang w:val="uk-UA"/>
        </w:rPr>
        <w:t xml:space="preserve"> </w:t>
      </w:r>
      <w:proofErr w:type="spellStart"/>
      <w:r w:rsidR="00B73EC5" w:rsidRPr="005F0419">
        <w:rPr>
          <w:rStyle w:val="aa"/>
          <w:rFonts w:ascii="Times New Roman" w:hAnsi="Times New Roman" w:cs="Times New Roman"/>
          <w:i w:val="0"/>
          <w:iCs w:val="0"/>
          <w:sz w:val="28"/>
          <w:szCs w:val="28"/>
          <w:bdr w:val="none" w:sz="0" w:space="0" w:color="auto" w:frame="1"/>
          <w:lang w:val="uk-UA"/>
        </w:rPr>
        <w:t>Environ</w:t>
      </w:r>
      <w:proofErr w:type="spellEnd"/>
      <w:r w:rsidR="00B73EC5" w:rsidRPr="005F0419">
        <w:rPr>
          <w:rStyle w:val="aa"/>
          <w:rFonts w:ascii="Times New Roman" w:hAnsi="Times New Roman" w:cs="Times New Roman"/>
          <w:i w:val="0"/>
          <w:iCs w:val="0"/>
          <w:sz w:val="28"/>
          <w:szCs w:val="28"/>
          <w:bdr w:val="none" w:sz="0" w:space="0" w:color="auto" w:frame="1"/>
          <w:lang w:val="uk-UA"/>
        </w:rPr>
        <w:t>.</w:t>
      </w:r>
      <w:r w:rsidR="00B73EC5" w:rsidRPr="005F0419">
        <w:rPr>
          <w:rFonts w:ascii="Times New Roman" w:hAnsi="Times New Roman" w:cs="Times New Roman"/>
          <w:sz w:val="28"/>
          <w:szCs w:val="28"/>
          <w:bdr w:val="none" w:sz="0" w:space="0" w:color="auto" w:frame="1"/>
          <w:lang w:val="uk-UA"/>
        </w:rPr>
        <w:t xml:space="preserve"> </w:t>
      </w:r>
      <w:r w:rsidR="00B73EC5" w:rsidRPr="005F0419">
        <w:rPr>
          <w:rStyle w:val="a7"/>
          <w:rFonts w:ascii="Times New Roman" w:hAnsi="Times New Roman" w:cs="Times New Roman"/>
          <w:b w:val="0"/>
          <w:bCs w:val="0"/>
          <w:sz w:val="28"/>
          <w:szCs w:val="28"/>
          <w:bdr w:val="none" w:sz="0" w:space="0" w:color="auto" w:frame="1"/>
          <w:lang w:val="uk-UA"/>
        </w:rPr>
        <w:t>DOI</w:t>
      </w:r>
      <w:r w:rsidR="00B73EC5" w:rsidRPr="005F0419">
        <w:rPr>
          <w:rFonts w:ascii="Times New Roman" w:hAnsi="Times New Roman" w:cs="Times New Roman"/>
          <w:sz w:val="28"/>
          <w:szCs w:val="28"/>
          <w:bdr w:val="none" w:sz="0" w:space="0" w:color="auto" w:frame="1"/>
          <w:lang w:val="uk-UA"/>
        </w:rPr>
        <w:t> 10.1088/1755-1315/1215/1/012053</w:t>
      </w:r>
      <w:r w:rsidR="0094434C" w:rsidRPr="005F0419">
        <w:rPr>
          <w:rFonts w:ascii="Times New Roman" w:hAnsi="Times New Roman" w:cs="Times New Roman"/>
          <w:sz w:val="28"/>
          <w:szCs w:val="28"/>
          <w:bdr w:val="none" w:sz="0" w:space="0" w:color="auto" w:frame="1"/>
          <w:lang w:val="uk-UA"/>
        </w:rPr>
        <w:t xml:space="preserve"> </w:t>
      </w:r>
      <w:r w:rsidR="00B73EC5" w:rsidRPr="005F0419">
        <w:rPr>
          <w:rFonts w:ascii="Times New Roman" w:hAnsi="Times New Roman" w:cs="Times New Roman"/>
          <w:sz w:val="28"/>
          <w:szCs w:val="28"/>
          <w:bdr w:val="none" w:sz="0" w:space="0" w:color="auto" w:frame="1"/>
          <w:lang w:val="uk-UA"/>
        </w:rPr>
        <w:t xml:space="preserve"> </w:t>
      </w:r>
    </w:p>
    <w:p w14:paraId="62D3F5AA" w14:textId="7F741D71" w:rsidR="00B73EC5" w:rsidRPr="005F0419" w:rsidRDefault="008C7F3A" w:rsidP="008C7F3A">
      <w:pPr>
        <w:tabs>
          <w:tab w:val="left" w:pos="1276"/>
        </w:tabs>
        <w:spacing w:after="0" w:line="360" w:lineRule="auto"/>
        <w:ind w:firstLine="720"/>
        <w:jc w:val="both"/>
        <w:rPr>
          <w:rStyle w:val="a6"/>
          <w:rFonts w:ascii="Times New Roman" w:hAnsi="Times New Roman" w:cs="Times New Roman"/>
          <w:b/>
          <w:color w:val="auto"/>
          <w:sz w:val="28"/>
          <w:szCs w:val="28"/>
          <w:shd w:val="clear" w:color="auto" w:fill="FCFCFC"/>
          <w:lang w:val="uk-UA"/>
        </w:rPr>
      </w:pPr>
      <w:r w:rsidRPr="005F0419">
        <w:rPr>
          <w:rFonts w:ascii="Times New Roman" w:hAnsi="Times New Roman" w:cs="Times New Roman"/>
          <w:sz w:val="28"/>
          <w:szCs w:val="28"/>
          <w:shd w:val="clear" w:color="auto" w:fill="FCFCFC"/>
          <w:lang w:val="uk-UA"/>
        </w:rPr>
        <w:t xml:space="preserve">37. </w:t>
      </w:r>
      <w:proofErr w:type="spellStart"/>
      <w:r w:rsidR="00B73EC5" w:rsidRPr="005F0419">
        <w:rPr>
          <w:rFonts w:ascii="Times New Roman" w:hAnsi="Times New Roman" w:cs="Times New Roman"/>
          <w:sz w:val="28"/>
          <w:szCs w:val="28"/>
          <w:shd w:val="clear" w:color="auto" w:fill="FCFCFC"/>
          <w:lang w:val="uk-UA"/>
        </w:rPr>
        <w:t>Elbeltagi</w:t>
      </w:r>
      <w:proofErr w:type="spellEnd"/>
      <w:r w:rsidR="00B73EC5" w:rsidRPr="005F0419">
        <w:rPr>
          <w:rFonts w:ascii="Times New Roman" w:hAnsi="Times New Roman" w:cs="Times New Roman"/>
          <w:sz w:val="28"/>
          <w:szCs w:val="28"/>
          <w:shd w:val="clear" w:color="auto" w:fill="FCFCFC"/>
          <w:lang w:val="uk-UA"/>
        </w:rPr>
        <w:t xml:space="preserve"> A, </w:t>
      </w:r>
      <w:proofErr w:type="spellStart"/>
      <w:r w:rsidR="00B73EC5" w:rsidRPr="005F0419">
        <w:rPr>
          <w:rFonts w:ascii="Times New Roman" w:hAnsi="Times New Roman" w:cs="Times New Roman"/>
          <w:sz w:val="28"/>
          <w:szCs w:val="28"/>
          <w:shd w:val="clear" w:color="auto" w:fill="FCFCFC"/>
          <w:lang w:val="uk-UA"/>
        </w:rPr>
        <w:t>Deng</w:t>
      </w:r>
      <w:proofErr w:type="spellEnd"/>
      <w:r w:rsidR="00B73EC5" w:rsidRPr="005F0419">
        <w:rPr>
          <w:rFonts w:ascii="Times New Roman" w:hAnsi="Times New Roman" w:cs="Times New Roman"/>
          <w:sz w:val="28"/>
          <w:szCs w:val="28"/>
          <w:shd w:val="clear" w:color="auto" w:fill="FCFCFC"/>
          <w:lang w:val="uk-UA"/>
        </w:rPr>
        <w:t xml:space="preserve"> J, </w:t>
      </w:r>
      <w:proofErr w:type="spellStart"/>
      <w:r w:rsidR="00B73EC5" w:rsidRPr="005F0419">
        <w:rPr>
          <w:rFonts w:ascii="Times New Roman" w:hAnsi="Times New Roman" w:cs="Times New Roman"/>
          <w:sz w:val="28"/>
          <w:szCs w:val="28"/>
          <w:shd w:val="clear" w:color="auto" w:fill="FCFCFC"/>
          <w:lang w:val="uk-UA"/>
        </w:rPr>
        <w:t>Wang</w:t>
      </w:r>
      <w:proofErr w:type="spellEnd"/>
      <w:r w:rsidR="00B73EC5" w:rsidRPr="005F0419">
        <w:rPr>
          <w:rFonts w:ascii="Times New Roman" w:hAnsi="Times New Roman" w:cs="Times New Roman"/>
          <w:sz w:val="28"/>
          <w:szCs w:val="28"/>
          <w:shd w:val="clear" w:color="auto" w:fill="FCFCFC"/>
          <w:lang w:val="uk-UA"/>
        </w:rPr>
        <w:t xml:space="preserve"> K, </w:t>
      </w:r>
      <w:proofErr w:type="spellStart"/>
      <w:r w:rsidR="00B73EC5" w:rsidRPr="005F0419">
        <w:rPr>
          <w:rFonts w:ascii="Times New Roman" w:hAnsi="Times New Roman" w:cs="Times New Roman"/>
          <w:sz w:val="28"/>
          <w:szCs w:val="28"/>
          <w:shd w:val="clear" w:color="auto" w:fill="FCFCFC"/>
          <w:lang w:val="uk-UA"/>
        </w:rPr>
        <w:t>Hong</w:t>
      </w:r>
      <w:proofErr w:type="spellEnd"/>
      <w:r w:rsidR="00B73EC5" w:rsidRPr="005F0419">
        <w:rPr>
          <w:rFonts w:ascii="Times New Roman" w:hAnsi="Times New Roman" w:cs="Times New Roman"/>
          <w:sz w:val="28"/>
          <w:szCs w:val="28"/>
          <w:shd w:val="clear" w:color="auto" w:fill="FCFCFC"/>
          <w:lang w:val="uk-UA"/>
        </w:rPr>
        <w:t xml:space="preserve"> Y</w:t>
      </w:r>
      <w:r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(2020)</w:t>
      </w:r>
      <w:r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Crop</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footprint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estimation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and</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modeling</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using</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artificial</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neural</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network</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approach</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in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the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Nile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Delta</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Egypt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Agric</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Manage</w:t>
      </w:r>
      <w:proofErr w:type="spellEnd"/>
      <w:r w:rsidR="00B73EC5"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b/>
          <w:sz w:val="28"/>
          <w:szCs w:val="28"/>
          <w:shd w:val="clear" w:color="auto" w:fill="FCFCFC"/>
          <w:lang w:val="uk-UA"/>
        </w:rPr>
        <w:t> </w:t>
      </w:r>
      <w:r w:rsidR="0094434C" w:rsidRPr="005F0419">
        <w:rPr>
          <w:rFonts w:ascii="Times New Roman" w:hAnsi="Times New Roman" w:cs="Times New Roman"/>
          <w:bCs/>
          <w:sz w:val="28"/>
          <w:szCs w:val="28"/>
          <w:shd w:val="clear" w:color="auto" w:fill="FCFCFC"/>
          <w:lang w:val="uk-UA"/>
        </w:rPr>
        <w:t xml:space="preserve">URL: </w:t>
      </w:r>
      <w:hyperlink r:id="rId77" w:history="1">
        <w:r w:rsidR="0094434C" w:rsidRPr="005F0419">
          <w:rPr>
            <w:rStyle w:val="a6"/>
            <w:rFonts w:ascii="Times New Roman" w:hAnsi="Times New Roman" w:cs="Times New Roman"/>
            <w:color w:val="auto"/>
            <w:sz w:val="28"/>
            <w:szCs w:val="28"/>
            <w:shd w:val="clear" w:color="auto" w:fill="FCFCFC"/>
            <w:lang w:val="uk-UA"/>
          </w:rPr>
          <w:t>https://doi.org/10.1016/j.agwat.2020.106080</w:t>
        </w:r>
      </w:hyperlink>
      <w:r w:rsidR="00B73EC5" w:rsidRPr="005F0419">
        <w:rPr>
          <w:rStyle w:val="a6"/>
          <w:rFonts w:ascii="Times New Roman" w:hAnsi="Times New Roman" w:cs="Times New Roman"/>
          <w:b/>
          <w:color w:val="auto"/>
          <w:sz w:val="28"/>
          <w:szCs w:val="28"/>
          <w:shd w:val="clear" w:color="auto" w:fill="FCFCFC"/>
          <w:lang w:val="uk-UA"/>
        </w:rPr>
        <w:t xml:space="preserve"> </w:t>
      </w:r>
    </w:p>
    <w:p w14:paraId="78847736" w14:textId="303AF33D" w:rsidR="00B73EC5" w:rsidRPr="005F0419" w:rsidRDefault="008C7F3A" w:rsidP="008C7F3A">
      <w:pPr>
        <w:tabs>
          <w:tab w:val="left" w:pos="1276"/>
        </w:tabs>
        <w:spacing w:after="0" w:line="360" w:lineRule="auto"/>
        <w:ind w:firstLine="720"/>
        <w:jc w:val="both"/>
        <w:rPr>
          <w:rFonts w:ascii="Times New Roman" w:eastAsia="Helvetica Neue" w:hAnsi="Times New Roman" w:cs="Times New Roman"/>
          <w:sz w:val="28"/>
          <w:szCs w:val="28"/>
          <w:lang w:val="uk-UA"/>
        </w:rPr>
      </w:pPr>
      <w:r w:rsidRPr="005F0419">
        <w:rPr>
          <w:rFonts w:ascii="Times New Roman" w:hAnsi="Times New Roman" w:cs="Times New Roman"/>
          <w:sz w:val="28"/>
          <w:szCs w:val="28"/>
          <w:shd w:val="clear" w:color="auto" w:fill="FCFCFC"/>
          <w:lang w:val="uk-UA"/>
        </w:rPr>
        <w:lastRenderedPageBreak/>
        <w:t xml:space="preserve">38. </w:t>
      </w:r>
      <w:proofErr w:type="spellStart"/>
      <w:r w:rsidR="00B73EC5" w:rsidRPr="005F0419">
        <w:rPr>
          <w:rFonts w:ascii="Times New Roman" w:hAnsi="Times New Roman" w:cs="Times New Roman"/>
          <w:sz w:val="28"/>
          <w:szCs w:val="28"/>
          <w:shd w:val="clear" w:color="auto" w:fill="FCFCFC"/>
          <w:lang w:val="uk-UA"/>
        </w:rPr>
        <w:t>Rajakal</w:t>
      </w:r>
      <w:proofErr w:type="spellEnd"/>
      <w:r w:rsidR="00B73EC5" w:rsidRPr="005F0419">
        <w:rPr>
          <w:rFonts w:ascii="Times New Roman" w:hAnsi="Times New Roman" w:cs="Times New Roman"/>
          <w:sz w:val="28"/>
          <w:szCs w:val="28"/>
          <w:shd w:val="clear" w:color="auto" w:fill="FCFCFC"/>
          <w:lang w:val="uk-UA"/>
        </w:rPr>
        <w:t xml:space="preserve"> J</w:t>
      </w:r>
      <w:r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P</w:t>
      </w:r>
      <w:r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Ng</w:t>
      </w:r>
      <w:proofErr w:type="spellEnd"/>
      <w:r w:rsidR="00B73EC5" w:rsidRPr="005F0419">
        <w:rPr>
          <w:rFonts w:ascii="Times New Roman" w:hAnsi="Times New Roman" w:cs="Times New Roman"/>
          <w:sz w:val="28"/>
          <w:szCs w:val="28"/>
          <w:shd w:val="clear" w:color="auto" w:fill="FCFCFC"/>
          <w:lang w:val="uk-UA"/>
        </w:rPr>
        <w:t xml:space="preserve"> DKS, </w:t>
      </w:r>
      <w:proofErr w:type="spellStart"/>
      <w:r w:rsidR="00B73EC5" w:rsidRPr="005F0419">
        <w:rPr>
          <w:rFonts w:ascii="Times New Roman" w:hAnsi="Times New Roman" w:cs="Times New Roman"/>
          <w:sz w:val="28"/>
          <w:szCs w:val="28"/>
          <w:shd w:val="clear" w:color="auto" w:fill="FCFCFC"/>
          <w:lang w:val="uk-UA"/>
        </w:rPr>
        <w:t>Tan</w:t>
      </w:r>
      <w:proofErr w:type="spellEnd"/>
      <w:r w:rsidR="00B73EC5" w:rsidRPr="005F0419">
        <w:rPr>
          <w:rFonts w:ascii="Times New Roman" w:hAnsi="Times New Roman" w:cs="Times New Roman"/>
          <w:sz w:val="28"/>
          <w:szCs w:val="28"/>
          <w:shd w:val="clear" w:color="auto" w:fill="FCFCFC"/>
          <w:lang w:val="uk-UA"/>
        </w:rPr>
        <w:t xml:space="preserve"> R</w:t>
      </w:r>
      <w:r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R</w:t>
      </w:r>
      <w:r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Andiappan</w:t>
      </w:r>
      <w:proofErr w:type="spellEnd"/>
      <w:r w:rsidR="00B73EC5" w:rsidRPr="005F0419">
        <w:rPr>
          <w:rFonts w:ascii="Times New Roman" w:hAnsi="Times New Roman" w:cs="Times New Roman"/>
          <w:sz w:val="28"/>
          <w:szCs w:val="28"/>
          <w:shd w:val="clear" w:color="auto" w:fill="FCFCFC"/>
          <w:lang w:val="uk-UA"/>
        </w:rPr>
        <w:t xml:space="preserve"> V</w:t>
      </w:r>
      <w:r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Wan</w:t>
      </w:r>
      <w:proofErr w:type="spellEnd"/>
      <w:r w:rsidR="00B73EC5" w:rsidRPr="005F0419">
        <w:rPr>
          <w:rFonts w:ascii="Times New Roman" w:hAnsi="Times New Roman" w:cs="Times New Roman"/>
          <w:sz w:val="28"/>
          <w:szCs w:val="28"/>
          <w:shd w:val="clear" w:color="auto" w:fill="FCFCFC"/>
          <w:lang w:val="uk-UA"/>
        </w:rPr>
        <w:t xml:space="preserve"> Y</w:t>
      </w:r>
      <w:r w:rsidRPr="005F0419">
        <w:rPr>
          <w:rFonts w:ascii="Times New Roman" w:hAnsi="Times New Roman" w:cs="Times New Roman"/>
          <w:sz w:val="28"/>
          <w:szCs w:val="28"/>
          <w:shd w:val="clear" w:color="auto" w:fill="FCFCFC"/>
          <w:lang w:val="uk-UA"/>
        </w:rPr>
        <w:t xml:space="preserve">. </w:t>
      </w:r>
      <w:r w:rsidR="00B73EC5" w:rsidRPr="005F0419">
        <w:rPr>
          <w:rFonts w:ascii="Times New Roman" w:hAnsi="Times New Roman" w:cs="Times New Roman"/>
          <w:sz w:val="28"/>
          <w:szCs w:val="28"/>
          <w:shd w:val="clear" w:color="auto" w:fill="FCFCFC"/>
          <w:lang w:val="uk-UA"/>
        </w:rPr>
        <w:t>K</w:t>
      </w:r>
      <w:r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(2021)</w:t>
      </w:r>
      <w:r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Multi-objective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expansion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analysis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for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sustainable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agro-industrial</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value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chains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based</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on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profit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carbon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and</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footprint</w:t>
      </w:r>
      <w:proofErr w:type="spellEnd"/>
      <w:r w:rsidR="00B73EC5" w:rsidRPr="005F0419">
        <w:rPr>
          <w:rFonts w:ascii="Times New Roman" w:hAnsi="Times New Roman" w:cs="Times New Roman"/>
          <w:sz w:val="28"/>
          <w:szCs w:val="28"/>
          <w:shd w:val="clear" w:color="auto" w:fill="FCFCFC"/>
          <w:lang w:val="uk-UA"/>
        </w:rPr>
        <w:t xml:space="preserve">. J </w:t>
      </w:r>
      <w:proofErr w:type="spellStart"/>
      <w:r w:rsidR="00B73EC5" w:rsidRPr="005F0419">
        <w:rPr>
          <w:rFonts w:ascii="Times New Roman" w:hAnsi="Times New Roman" w:cs="Times New Roman"/>
          <w:sz w:val="28"/>
          <w:szCs w:val="28"/>
          <w:shd w:val="clear" w:color="auto" w:fill="FCFCFC"/>
          <w:lang w:val="uk-UA"/>
        </w:rPr>
        <w:t>Clean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Prod</w:t>
      </w:r>
      <w:proofErr w:type="spellEnd"/>
      <w:r w:rsidR="00B73EC5" w:rsidRPr="005F0419">
        <w:rPr>
          <w:rFonts w:ascii="Times New Roman" w:hAnsi="Times New Roman" w:cs="Times New Roman"/>
          <w:sz w:val="28"/>
          <w:szCs w:val="28"/>
          <w:shd w:val="clear" w:color="auto" w:fill="FCFCFC"/>
          <w:lang w:val="uk-UA"/>
        </w:rPr>
        <w:t xml:space="preserve"> 288:125117. </w:t>
      </w:r>
      <w:r w:rsidR="0094434C" w:rsidRPr="005F0419">
        <w:rPr>
          <w:rFonts w:ascii="Times New Roman" w:hAnsi="Times New Roman" w:cs="Times New Roman"/>
          <w:sz w:val="28"/>
          <w:szCs w:val="28"/>
          <w:shd w:val="clear" w:color="auto" w:fill="FCFCFC"/>
          <w:lang w:val="uk-UA"/>
        </w:rPr>
        <w:t xml:space="preserve">URL: </w:t>
      </w:r>
      <w:hyperlink r:id="rId78" w:history="1">
        <w:r w:rsidR="0094434C" w:rsidRPr="005F0419">
          <w:rPr>
            <w:rStyle w:val="a6"/>
            <w:rFonts w:ascii="Times New Roman" w:hAnsi="Times New Roman" w:cs="Times New Roman"/>
            <w:color w:val="auto"/>
            <w:sz w:val="28"/>
            <w:szCs w:val="28"/>
            <w:shd w:val="clear" w:color="auto" w:fill="FCFCFC"/>
            <w:lang w:val="uk-UA"/>
          </w:rPr>
          <w:t>https://doi.org/10.1016/j.jclepro.2020.125117</w:t>
        </w:r>
      </w:hyperlink>
    </w:p>
    <w:p w14:paraId="0CDE4782" w14:textId="253F093F" w:rsidR="00B73EC5" w:rsidRPr="005F0419" w:rsidRDefault="008C7F3A" w:rsidP="008C7F3A">
      <w:pPr>
        <w:spacing w:after="0" w:line="360" w:lineRule="auto"/>
        <w:ind w:firstLine="720"/>
        <w:jc w:val="both"/>
        <w:rPr>
          <w:rFonts w:ascii="Times New Roman" w:eastAsia="Helvetica Neue" w:hAnsi="Times New Roman" w:cs="Times New Roman"/>
          <w:sz w:val="28"/>
          <w:szCs w:val="28"/>
          <w:lang w:val="uk-UA"/>
        </w:rPr>
      </w:pPr>
      <w:r w:rsidRPr="005F0419">
        <w:rPr>
          <w:rFonts w:ascii="Times New Roman" w:hAnsi="Times New Roman" w:cs="Times New Roman"/>
          <w:sz w:val="28"/>
          <w:szCs w:val="28"/>
          <w:lang w:val="uk-UA"/>
        </w:rPr>
        <w:t xml:space="preserve">39. </w:t>
      </w:r>
      <w:proofErr w:type="spellStart"/>
      <w:r w:rsidR="00B73EC5" w:rsidRPr="005F0419">
        <w:rPr>
          <w:rFonts w:ascii="Times New Roman" w:hAnsi="Times New Roman" w:cs="Times New Roman"/>
          <w:sz w:val="28"/>
          <w:szCs w:val="28"/>
          <w:lang w:val="uk-UA"/>
        </w:rPr>
        <w:t>Navarro-Ramírez</w:t>
      </w:r>
      <w:proofErr w:type="spellEnd"/>
      <w:r w:rsidR="00B73EC5" w:rsidRPr="005F0419">
        <w:rPr>
          <w:rFonts w:ascii="Times New Roman" w:hAnsi="Times New Roman" w:cs="Times New Roman"/>
          <w:sz w:val="28"/>
          <w:szCs w:val="28"/>
          <w:lang w:val="uk-UA"/>
        </w:rPr>
        <w:t xml:space="preserve"> </w:t>
      </w:r>
      <w:r w:rsidR="00B73EC5" w:rsidRPr="005F0419">
        <w:rPr>
          <w:rFonts w:ascii="Times New Roman" w:hAnsi="Times New Roman" w:cs="Times New Roman"/>
          <w:sz w:val="28"/>
          <w:szCs w:val="28"/>
          <w:shd w:val="clear" w:color="auto" w:fill="FCFCFC"/>
          <w:lang w:val="uk-UA"/>
        </w:rPr>
        <w:t>V</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Ramírez-Hernandez</w:t>
      </w:r>
      <w:proofErr w:type="spellEnd"/>
      <w:r w:rsidR="00B73EC5" w:rsidRPr="005F0419">
        <w:rPr>
          <w:rFonts w:ascii="Times New Roman" w:hAnsi="Times New Roman" w:cs="Times New Roman"/>
          <w:sz w:val="28"/>
          <w:szCs w:val="28"/>
          <w:shd w:val="clear" w:color="auto" w:fill="FCFCFC"/>
          <w:lang w:val="uk-UA"/>
        </w:rPr>
        <w:t xml:space="preserve"> 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Gil-Samaniego</w:t>
      </w:r>
      <w:proofErr w:type="spellEnd"/>
      <w:r w:rsidR="00B73EC5" w:rsidRPr="005F0419">
        <w:rPr>
          <w:rFonts w:ascii="Times New Roman" w:hAnsi="Times New Roman" w:cs="Times New Roman"/>
          <w:sz w:val="28"/>
          <w:szCs w:val="28"/>
          <w:shd w:val="clear" w:color="auto" w:fill="FCFCFC"/>
          <w:lang w:val="uk-UA"/>
        </w:rPr>
        <w:t xml:space="preserve"> M</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Eliana</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Rodríguez-Burgueño</w:t>
      </w:r>
      <w:proofErr w:type="spellEnd"/>
      <w:r w:rsidR="00B73EC5" w:rsidRPr="005F0419">
        <w:rPr>
          <w:rFonts w:ascii="Times New Roman" w:hAnsi="Times New Roman" w:cs="Times New Roman"/>
          <w:sz w:val="28"/>
          <w:szCs w:val="28"/>
          <w:shd w:val="clear" w:color="auto" w:fill="FCFCFC"/>
          <w:lang w:val="uk-UA"/>
        </w:rPr>
        <w:t xml:space="preserve"> 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(2020) </w:t>
      </w:r>
      <w:proofErr w:type="spellStart"/>
      <w:r w:rsidR="00B73EC5" w:rsidRPr="005F0419">
        <w:rPr>
          <w:rFonts w:ascii="Times New Roman" w:hAnsi="Times New Roman" w:cs="Times New Roman"/>
          <w:sz w:val="28"/>
          <w:szCs w:val="28"/>
          <w:shd w:val="clear" w:color="auto" w:fill="FCFCFC"/>
          <w:lang w:val="uk-UA"/>
        </w:rPr>
        <w:t>Methodological</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frameworks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to</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assess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sustainable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resources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management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in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industry</w:t>
      </w:r>
      <w:proofErr w:type="spellEnd"/>
      <w:r w:rsidR="00B73EC5" w:rsidRPr="005F0419">
        <w:rPr>
          <w:rFonts w:ascii="Times New Roman" w:hAnsi="Times New Roman" w:cs="Times New Roman"/>
          <w:sz w:val="28"/>
          <w:szCs w:val="28"/>
          <w:shd w:val="clear" w:color="auto" w:fill="FCFCFC"/>
          <w:lang w:val="uk-UA"/>
        </w:rPr>
        <w:t xml:space="preserve">: a </w:t>
      </w:r>
      <w:proofErr w:type="spellStart"/>
      <w:r w:rsidR="00B73EC5" w:rsidRPr="005F0419">
        <w:rPr>
          <w:rFonts w:ascii="Times New Roman" w:hAnsi="Times New Roman" w:cs="Times New Roman"/>
          <w:sz w:val="28"/>
          <w:szCs w:val="28"/>
          <w:shd w:val="clear" w:color="auto" w:fill="FCFCFC"/>
          <w:lang w:val="uk-UA"/>
        </w:rPr>
        <w:t>review</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Ecol</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Indicators</w:t>
      </w:r>
      <w:proofErr w:type="spellEnd"/>
      <w:r w:rsidR="00B73EC5" w:rsidRPr="005F0419">
        <w:rPr>
          <w:rFonts w:ascii="Times New Roman" w:hAnsi="Times New Roman" w:cs="Times New Roman"/>
          <w:sz w:val="28"/>
          <w:szCs w:val="28"/>
          <w:shd w:val="clear" w:color="auto" w:fill="FCFCFC"/>
          <w:lang w:val="uk-UA"/>
        </w:rPr>
        <w:t xml:space="preserve"> 119:106819. </w:t>
      </w:r>
      <w:r w:rsidR="0094434C" w:rsidRPr="005F0419">
        <w:rPr>
          <w:rFonts w:ascii="Times New Roman" w:hAnsi="Times New Roman" w:cs="Times New Roman"/>
          <w:sz w:val="28"/>
          <w:szCs w:val="28"/>
          <w:shd w:val="clear" w:color="auto" w:fill="FCFCFC"/>
          <w:lang w:val="uk-UA"/>
        </w:rPr>
        <w:t xml:space="preserve">URL: </w:t>
      </w:r>
      <w:hyperlink r:id="rId79" w:history="1">
        <w:r w:rsidR="00B73EC5" w:rsidRPr="005F0419">
          <w:rPr>
            <w:rStyle w:val="a6"/>
            <w:rFonts w:ascii="Times New Roman" w:hAnsi="Times New Roman" w:cs="Times New Roman"/>
            <w:color w:val="auto"/>
            <w:sz w:val="28"/>
            <w:szCs w:val="28"/>
            <w:shd w:val="clear" w:color="auto" w:fill="FCFCFC"/>
            <w:lang w:val="uk-UA"/>
          </w:rPr>
          <w:t>https://doi.org/10.1016/j.ecolind.2020.106819</w:t>
        </w:r>
      </w:hyperlink>
    </w:p>
    <w:p w14:paraId="466A077D" w14:textId="1D06F0DE" w:rsidR="00B73EC5" w:rsidRPr="005F0419" w:rsidRDefault="008C7F3A" w:rsidP="008C7F3A">
      <w:pPr>
        <w:spacing w:after="0" w:line="360" w:lineRule="auto"/>
        <w:ind w:firstLine="720"/>
        <w:jc w:val="both"/>
        <w:rPr>
          <w:rFonts w:ascii="Times New Roman" w:eastAsia="Helvetica Neue" w:hAnsi="Times New Roman" w:cs="Times New Roman"/>
          <w:sz w:val="28"/>
          <w:szCs w:val="28"/>
          <w:lang w:val="uk-UA"/>
        </w:rPr>
      </w:pPr>
      <w:r w:rsidRPr="005F0419">
        <w:rPr>
          <w:rFonts w:ascii="Times New Roman" w:hAnsi="Times New Roman" w:cs="Times New Roman"/>
          <w:sz w:val="28"/>
          <w:szCs w:val="28"/>
          <w:shd w:val="clear" w:color="auto" w:fill="FCFCFC"/>
          <w:lang w:val="uk-UA"/>
        </w:rPr>
        <w:t xml:space="preserve">40. </w:t>
      </w:r>
      <w:proofErr w:type="spellStart"/>
      <w:r w:rsidR="00B73EC5" w:rsidRPr="005F0419">
        <w:rPr>
          <w:rFonts w:ascii="Times New Roman" w:hAnsi="Times New Roman" w:cs="Times New Roman"/>
          <w:sz w:val="28"/>
          <w:szCs w:val="28"/>
          <w:shd w:val="clear" w:color="auto" w:fill="FCFCFC"/>
          <w:lang w:val="uk-UA"/>
        </w:rPr>
        <w:t>Liu</w:t>
      </w:r>
      <w:proofErr w:type="spellEnd"/>
      <w:r w:rsidR="00B73EC5" w:rsidRPr="005F0419">
        <w:rPr>
          <w:rFonts w:ascii="Times New Roman" w:hAnsi="Times New Roman" w:cs="Times New Roman"/>
          <w:sz w:val="28"/>
          <w:szCs w:val="28"/>
          <w:shd w:val="clear" w:color="auto" w:fill="FCFCFC"/>
          <w:lang w:val="uk-UA"/>
        </w:rPr>
        <w:t xml:space="preserve"> 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Yang</w:t>
      </w:r>
      <w:proofErr w:type="spellEnd"/>
      <w:r w:rsidR="00B73EC5" w:rsidRPr="005F0419">
        <w:rPr>
          <w:rFonts w:ascii="Times New Roman" w:hAnsi="Times New Roman" w:cs="Times New Roman"/>
          <w:sz w:val="28"/>
          <w:szCs w:val="28"/>
          <w:shd w:val="clear" w:color="auto" w:fill="FCFCFC"/>
          <w:lang w:val="uk-UA"/>
        </w:rPr>
        <w:t xml:space="preserve"> H</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Gosling</w:t>
      </w:r>
      <w:proofErr w:type="spellEnd"/>
      <w:r w:rsidR="00B73EC5" w:rsidRPr="005F0419">
        <w:rPr>
          <w:rFonts w:ascii="Times New Roman" w:hAnsi="Times New Roman" w:cs="Times New Roman"/>
          <w:sz w:val="28"/>
          <w:szCs w:val="28"/>
          <w:shd w:val="clear" w:color="auto" w:fill="FCFCFC"/>
          <w:lang w:val="uk-UA"/>
        </w:rPr>
        <w:t xml:space="preserve"> S</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N</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Kummu</w:t>
      </w:r>
      <w:proofErr w:type="spellEnd"/>
      <w:r w:rsidR="00B73EC5" w:rsidRPr="005F0419">
        <w:rPr>
          <w:rFonts w:ascii="Times New Roman" w:hAnsi="Times New Roman" w:cs="Times New Roman"/>
          <w:sz w:val="28"/>
          <w:szCs w:val="28"/>
          <w:shd w:val="clear" w:color="auto" w:fill="FCFCFC"/>
          <w:lang w:val="uk-UA"/>
        </w:rPr>
        <w:t xml:space="preserve"> M</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Flörke</w:t>
      </w:r>
      <w:proofErr w:type="spellEnd"/>
      <w:r w:rsidR="00B73EC5" w:rsidRPr="005F0419">
        <w:rPr>
          <w:rFonts w:ascii="Times New Roman" w:hAnsi="Times New Roman" w:cs="Times New Roman"/>
          <w:sz w:val="28"/>
          <w:szCs w:val="28"/>
          <w:shd w:val="clear" w:color="auto" w:fill="FCFCFC"/>
          <w:lang w:val="uk-UA"/>
        </w:rPr>
        <w:t xml:space="preserve"> M</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Pfister</w:t>
      </w:r>
      <w:proofErr w:type="spellEnd"/>
      <w:r w:rsidR="00B73EC5" w:rsidRPr="005F0419">
        <w:rPr>
          <w:rFonts w:ascii="Times New Roman" w:hAnsi="Times New Roman" w:cs="Times New Roman"/>
          <w:sz w:val="28"/>
          <w:szCs w:val="28"/>
          <w:shd w:val="clear" w:color="auto" w:fill="FCFCFC"/>
          <w:lang w:val="uk-UA"/>
        </w:rPr>
        <w:t xml:space="preserve"> S</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Hanasaki</w:t>
      </w:r>
      <w:proofErr w:type="spellEnd"/>
      <w:r w:rsidR="00B73EC5" w:rsidRPr="005F0419">
        <w:rPr>
          <w:rFonts w:ascii="Times New Roman" w:hAnsi="Times New Roman" w:cs="Times New Roman"/>
          <w:sz w:val="28"/>
          <w:szCs w:val="28"/>
          <w:shd w:val="clear" w:color="auto" w:fill="FCFCFC"/>
          <w:lang w:val="uk-UA"/>
        </w:rPr>
        <w:t xml:space="preserve"> N</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Wada</w:t>
      </w:r>
      <w:proofErr w:type="spellEnd"/>
      <w:r w:rsidR="00B73EC5" w:rsidRPr="005F0419">
        <w:rPr>
          <w:rFonts w:ascii="Times New Roman" w:hAnsi="Times New Roman" w:cs="Times New Roman"/>
          <w:sz w:val="28"/>
          <w:szCs w:val="28"/>
          <w:shd w:val="clear" w:color="auto" w:fill="FCFCFC"/>
          <w:lang w:val="uk-UA"/>
        </w:rPr>
        <w:t xml:space="preserve"> Y</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Zhang</w:t>
      </w:r>
      <w:proofErr w:type="spellEnd"/>
      <w:r w:rsidR="00B73EC5" w:rsidRPr="005F0419">
        <w:rPr>
          <w:rFonts w:ascii="Times New Roman" w:hAnsi="Times New Roman" w:cs="Times New Roman"/>
          <w:sz w:val="28"/>
          <w:szCs w:val="28"/>
          <w:shd w:val="clear" w:color="auto" w:fill="FCFCFC"/>
          <w:lang w:val="uk-UA"/>
        </w:rPr>
        <w:t xml:space="preserve"> X</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Zhang</w:t>
      </w:r>
      <w:proofErr w:type="spellEnd"/>
      <w:r w:rsidR="00B73EC5" w:rsidRPr="005F0419">
        <w:rPr>
          <w:rFonts w:ascii="Times New Roman" w:hAnsi="Times New Roman" w:cs="Times New Roman"/>
          <w:sz w:val="28"/>
          <w:szCs w:val="28"/>
          <w:shd w:val="clear" w:color="auto" w:fill="FCFCFC"/>
          <w:lang w:val="uk-UA"/>
        </w:rPr>
        <w:t xml:space="preserve"> C</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Alcamo</w:t>
      </w:r>
      <w:proofErr w:type="spellEnd"/>
      <w:r w:rsidR="00B73EC5" w:rsidRPr="005F0419">
        <w:rPr>
          <w:rFonts w:ascii="Times New Roman" w:hAnsi="Times New Roman" w:cs="Times New Roman"/>
          <w:sz w:val="28"/>
          <w:szCs w:val="28"/>
          <w:shd w:val="clear" w:color="auto" w:fill="FCFCFC"/>
          <w:lang w:val="uk-UA"/>
        </w:rPr>
        <w:t xml:space="preserve"> 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Oki</w:t>
      </w:r>
      <w:proofErr w:type="spellEnd"/>
      <w:r w:rsidR="00B73EC5" w:rsidRPr="005F0419">
        <w:rPr>
          <w:rFonts w:ascii="Times New Roman" w:hAnsi="Times New Roman" w:cs="Times New Roman"/>
          <w:sz w:val="28"/>
          <w:szCs w:val="28"/>
          <w:shd w:val="clear" w:color="auto" w:fill="FCFCFC"/>
          <w:lang w:val="uk-UA"/>
        </w:rPr>
        <w:t xml:space="preserve"> T</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(2017) </w:t>
      </w:r>
      <w:proofErr w:type="spellStart"/>
      <w:r w:rsidR="00B73EC5" w:rsidRPr="005F0419">
        <w:rPr>
          <w:rFonts w:ascii="Times New Roman" w:hAnsi="Times New Roman" w:cs="Times New Roman"/>
          <w:sz w:val="28"/>
          <w:szCs w:val="28"/>
          <w:shd w:val="clear" w:color="auto" w:fill="FCFCFC"/>
          <w:lang w:val="uk-UA"/>
        </w:rPr>
        <w:t>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scarcity</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assessments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in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the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past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present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and</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future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Earth’s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Future</w:t>
      </w:r>
      <w:proofErr w:type="spellEnd"/>
      <w:r w:rsidR="00B73EC5" w:rsidRPr="005F0419">
        <w:rPr>
          <w:rFonts w:ascii="Times New Roman" w:hAnsi="Times New Roman" w:cs="Times New Roman"/>
          <w:sz w:val="28"/>
          <w:szCs w:val="28"/>
          <w:shd w:val="clear" w:color="auto" w:fill="FCFCFC"/>
          <w:lang w:val="uk-UA"/>
        </w:rPr>
        <w:t xml:space="preserve"> 5:545–559. </w:t>
      </w:r>
      <w:r w:rsidR="0094434C" w:rsidRPr="005F0419">
        <w:rPr>
          <w:rFonts w:ascii="Times New Roman" w:hAnsi="Times New Roman" w:cs="Times New Roman"/>
          <w:sz w:val="28"/>
          <w:szCs w:val="28"/>
          <w:shd w:val="clear" w:color="auto" w:fill="FCFCFC"/>
          <w:lang w:val="uk-UA"/>
        </w:rPr>
        <w:t xml:space="preserve">URL: </w:t>
      </w:r>
      <w:hyperlink r:id="rId80" w:history="1">
        <w:r w:rsidR="00B73EC5" w:rsidRPr="005F0419">
          <w:rPr>
            <w:rStyle w:val="a6"/>
            <w:rFonts w:ascii="Times New Roman" w:hAnsi="Times New Roman" w:cs="Times New Roman"/>
            <w:color w:val="auto"/>
            <w:sz w:val="28"/>
            <w:szCs w:val="28"/>
            <w:shd w:val="clear" w:color="auto" w:fill="FCFCFC"/>
            <w:lang w:val="uk-UA"/>
          </w:rPr>
          <w:t>https://doi.org/10.1002/2016EF000518</w:t>
        </w:r>
      </w:hyperlink>
    </w:p>
    <w:p w14:paraId="6CAE2844" w14:textId="461A5BBF" w:rsidR="00B73EC5" w:rsidRPr="005F0419" w:rsidRDefault="008C7F3A" w:rsidP="008C7F3A">
      <w:pPr>
        <w:spacing w:after="0" w:line="360" w:lineRule="auto"/>
        <w:ind w:firstLine="720"/>
        <w:jc w:val="both"/>
        <w:rPr>
          <w:rFonts w:ascii="Times New Roman" w:eastAsia="Helvetica Neue" w:hAnsi="Times New Roman" w:cs="Times New Roman"/>
          <w:sz w:val="28"/>
          <w:szCs w:val="28"/>
          <w:lang w:val="uk-UA"/>
        </w:rPr>
      </w:pPr>
      <w:r w:rsidRPr="005F0419">
        <w:rPr>
          <w:rFonts w:ascii="Times New Roman" w:hAnsi="Times New Roman" w:cs="Times New Roman"/>
          <w:sz w:val="28"/>
          <w:szCs w:val="28"/>
          <w:shd w:val="clear" w:color="auto" w:fill="FCFCFC"/>
          <w:lang w:val="uk-UA"/>
        </w:rPr>
        <w:t xml:space="preserve">41. </w:t>
      </w:r>
      <w:proofErr w:type="spellStart"/>
      <w:r w:rsidR="00B73EC5" w:rsidRPr="005F0419">
        <w:rPr>
          <w:rFonts w:ascii="Times New Roman" w:hAnsi="Times New Roman" w:cs="Times New Roman"/>
          <w:sz w:val="28"/>
          <w:szCs w:val="28"/>
          <w:shd w:val="clear" w:color="auto" w:fill="FCFCFC"/>
          <w:lang w:val="uk-UA"/>
        </w:rPr>
        <w:t>Manzardo</w:t>
      </w:r>
      <w:proofErr w:type="spellEnd"/>
      <w:r w:rsidR="00B73EC5" w:rsidRPr="005F0419">
        <w:rPr>
          <w:rFonts w:ascii="Times New Roman" w:hAnsi="Times New Roman" w:cs="Times New Roman"/>
          <w:sz w:val="28"/>
          <w:szCs w:val="28"/>
          <w:shd w:val="clear" w:color="auto" w:fill="FCFCFC"/>
          <w:lang w:val="uk-UA"/>
        </w:rPr>
        <w:t xml:space="preserve"> A</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Ren</w:t>
      </w:r>
      <w:proofErr w:type="spellEnd"/>
      <w:r w:rsidR="00B73EC5" w:rsidRPr="005F0419">
        <w:rPr>
          <w:rFonts w:ascii="Times New Roman" w:hAnsi="Times New Roman" w:cs="Times New Roman"/>
          <w:sz w:val="28"/>
          <w:szCs w:val="28"/>
          <w:shd w:val="clear" w:color="auto" w:fill="FCFCFC"/>
          <w:lang w:val="uk-UA"/>
        </w:rPr>
        <w:t xml:space="preserve"> 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Piantella</w:t>
      </w:r>
      <w:proofErr w:type="spellEnd"/>
      <w:r w:rsidR="00B73EC5" w:rsidRPr="005F0419">
        <w:rPr>
          <w:rFonts w:ascii="Times New Roman" w:hAnsi="Times New Roman" w:cs="Times New Roman"/>
          <w:sz w:val="28"/>
          <w:szCs w:val="28"/>
          <w:shd w:val="clear" w:color="auto" w:fill="FCFCFC"/>
          <w:lang w:val="uk-UA"/>
        </w:rPr>
        <w:t xml:space="preserve"> A</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Mazzi</w:t>
      </w:r>
      <w:proofErr w:type="spellEnd"/>
      <w:r w:rsidR="00B73EC5" w:rsidRPr="005F0419">
        <w:rPr>
          <w:rFonts w:ascii="Times New Roman" w:hAnsi="Times New Roman" w:cs="Times New Roman"/>
          <w:sz w:val="28"/>
          <w:szCs w:val="28"/>
          <w:shd w:val="clear" w:color="auto" w:fill="FCFCFC"/>
          <w:lang w:val="uk-UA"/>
        </w:rPr>
        <w:t xml:space="preserve"> A</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Fedele</w:t>
      </w:r>
      <w:proofErr w:type="spellEnd"/>
      <w:r w:rsidR="00B73EC5" w:rsidRPr="005F0419">
        <w:rPr>
          <w:rFonts w:ascii="Times New Roman" w:hAnsi="Times New Roman" w:cs="Times New Roman"/>
          <w:sz w:val="28"/>
          <w:szCs w:val="28"/>
          <w:shd w:val="clear" w:color="auto" w:fill="FCFCFC"/>
          <w:lang w:val="uk-UA"/>
        </w:rPr>
        <w:t xml:space="preserve"> A</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Scipioni</w:t>
      </w:r>
      <w:proofErr w:type="spellEnd"/>
      <w:r w:rsidR="00B73EC5" w:rsidRPr="005F0419">
        <w:rPr>
          <w:rFonts w:ascii="Times New Roman" w:hAnsi="Times New Roman" w:cs="Times New Roman"/>
          <w:sz w:val="28"/>
          <w:szCs w:val="28"/>
          <w:shd w:val="clear" w:color="auto" w:fill="FCFCFC"/>
          <w:lang w:val="uk-UA"/>
        </w:rPr>
        <w:t xml:space="preserve"> A</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(2014) </w:t>
      </w:r>
      <w:proofErr w:type="spellStart"/>
      <w:r w:rsidR="00B73EC5" w:rsidRPr="005F0419">
        <w:rPr>
          <w:rFonts w:ascii="Times New Roman" w:hAnsi="Times New Roman" w:cs="Times New Roman"/>
          <w:sz w:val="28"/>
          <w:szCs w:val="28"/>
          <w:shd w:val="clear" w:color="auto" w:fill="FCFCFC"/>
          <w:lang w:val="uk-UA"/>
        </w:rPr>
        <w:t>Integration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of</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footprint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accounting</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and</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costs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for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optimal</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chemical</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pulp</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supply</w:t>
      </w:r>
      <w:proofErr w:type="spellEnd"/>
      <w:r w:rsidR="00B73EC5" w:rsidRPr="005F0419">
        <w:rPr>
          <w:rFonts w:ascii="Times New Roman" w:hAnsi="Times New Roman" w:cs="Times New Roman"/>
          <w:sz w:val="28"/>
          <w:szCs w:val="28"/>
          <w:shd w:val="clear" w:color="auto" w:fill="FCFCFC"/>
          <w:lang w:val="uk-UA"/>
        </w:rPr>
        <w:t xml:space="preserve"> mix </w:t>
      </w:r>
      <w:proofErr w:type="spellStart"/>
      <w:r w:rsidR="00B73EC5" w:rsidRPr="005F0419">
        <w:rPr>
          <w:rFonts w:ascii="Times New Roman" w:hAnsi="Times New Roman" w:cs="Times New Roman"/>
          <w:sz w:val="28"/>
          <w:szCs w:val="28"/>
          <w:shd w:val="clear" w:color="auto" w:fill="FCFCFC"/>
          <w:lang w:val="uk-UA"/>
        </w:rPr>
        <w:t>in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paper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industry</w:t>
      </w:r>
      <w:proofErr w:type="spellEnd"/>
      <w:r w:rsidR="00B73EC5" w:rsidRPr="005F0419">
        <w:rPr>
          <w:rFonts w:ascii="Times New Roman" w:hAnsi="Times New Roman" w:cs="Times New Roman"/>
          <w:sz w:val="28"/>
          <w:szCs w:val="28"/>
          <w:shd w:val="clear" w:color="auto" w:fill="FCFCFC"/>
          <w:lang w:val="uk-UA"/>
        </w:rPr>
        <w:t xml:space="preserve">. J </w:t>
      </w:r>
      <w:proofErr w:type="spellStart"/>
      <w:r w:rsidR="00B73EC5" w:rsidRPr="005F0419">
        <w:rPr>
          <w:rFonts w:ascii="Times New Roman" w:hAnsi="Times New Roman" w:cs="Times New Roman"/>
          <w:sz w:val="28"/>
          <w:szCs w:val="28"/>
          <w:shd w:val="clear" w:color="auto" w:fill="FCFCFC"/>
          <w:lang w:val="uk-UA"/>
        </w:rPr>
        <w:t>Clean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Prod</w:t>
      </w:r>
      <w:proofErr w:type="spellEnd"/>
      <w:r w:rsidR="00B73EC5" w:rsidRPr="005F0419">
        <w:rPr>
          <w:rFonts w:ascii="Times New Roman" w:hAnsi="Times New Roman" w:cs="Times New Roman"/>
          <w:sz w:val="28"/>
          <w:szCs w:val="28"/>
          <w:shd w:val="clear" w:color="auto" w:fill="FCFCFC"/>
          <w:lang w:val="uk-UA"/>
        </w:rPr>
        <w:t xml:space="preserve"> 72:167–173. </w:t>
      </w:r>
      <w:r w:rsidR="0094434C" w:rsidRPr="005F0419">
        <w:rPr>
          <w:rFonts w:ascii="Times New Roman" w:hAnsi="Times New Roman" w:cs="Times New Roman"/>
          <w:sz w:val="28"/>
          <w:szCs w:val="28"/>
          <w:shd w:val="clear" w:color="auto" w:fill="FCFCFC"/>
          <w:lang w:val="uk-UA"/>
        </w:rPr>
        <w:t xml:space="preserve">URL: </w:t>
      </w:r>
      <w:hyperlink r:id="rId81" w:history="1">
        <w:r w:rsidR="00B73EC5" w:rsidRPr="005F0419">
          <w:rPr>
            <w:rStyle w:val="a6"/>
            <w:rFonts w:ascii="Times New Roman" w:hAnsi="Times New Roman" w:cs="Times New Roman"/>
            <w:color w:val="auto"/>
            <w:sz w:val="28"/>
            <w:szCs w:val="28"/>
            <w:shd w:val="clear" w:color="auto" w:fill="FCFCFC"/>
            <w:lang w:val="uk-UA"/>
          </w:rPr>
          <w:t>https://doi.org/10.1016/j.jclepro.2014.03.014</w:t>
        </w:r>
      </w:hyperlink>
    </w:p>
    <w:p w14:paraId="704B9B15" w14:textId="641D33DB" w:rsidR="00B73EC5" w:rsidRPr="005F0419" w:rsidRDefault="008C7F3A" w:rsidP="008C7F3A">
      <w:pPr>
        <w:spacing w:after="0" w:line="360" w:lineRule="auto"/>
        <w:ind w:firstLine="720"/>
        <w:jc w:val="both"/>
        <w:rPr>
          <w:rFonts w:ascii="Times New Roman" w:eastAsia="Helvetica Neue" w:hAnsi="Times New Roman" w:cs="Times New Roman"/>
          <w:sz w:val="28"/>
          <w:szCs w:val="28"/>
          <w:lang w:val="uk-UA"/>
        </w:rPr>
      </w:pPr>
      <w:r w:rsidRPr="005F0419">
        <w:rPr>
          <w:rFonts w:ascii="Times New Roman" w:hAnsi="Times New Roman" w:cs="Times New Roman"/>
          <w:sz w:val="28"/>
          <w:szCs w:val="28"/>
          <w:shd w:val="clear" w:color="auto" w:fill="FCFCFC"/>
          <w:lang w:val="uk-UA"/>
        </w:rPr>
        <w:t xml:space="preserve">42. </w:t>
      </w:r>
      <w:proofErr w:type="spellStart"/>
      <w:r w:rsidR="00B73EC5" w:rsidRPr="005F0419">
        <w:rPr>
          <w:rFonts w:ascii="Times New Roman" w:hAnsi="Times New Roman" w:cs="Times New Roman"/>
          <w:sz w:val="28"/>
          <w:szCs w:val="28"/>
          <w:shd w:val="clear" w:color="auto" w:fill="FCFCFC"/>
          <w:lang w:val="uk-UA"/>
        </w:rPr>
        <w:t>Baggio</w:t>
      </w:r>
      <w:proofErr w:type="spellEnd"/>
      <w:r w:rsidR="00B73EC5" w:rsidRPr="005F0419">
        <w:rPr>
          <w:rFonts w:ascii="Times New Roman" w:hAnsi="Times New Roman" w:cs="Times New Roman"/>
          <w:sz w:val="28"/>
          <w:szCs w:val="28"/>
          <w:shd w:val="clear" w:color="auto" w:fill="FCFCFC"/>
          <w:lang w:val="uk-UA"/>
        </w:rPr>
        <w:t xml:space="preserve"> G</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Qadir</w:t>
      </w:r>
      <w:proofErr w:type="spellEnd"/>
      <w:r w:rsidR="00B73EC5" w:rsidRPr="005F0419">
        <w:rPr>
          <w:rFonts w:ascii="Times New Roman" w:hAnsi="Times New Roman" w:cs="Times New Roman"/>
          <w:sz w:val="28"/>
          <w:szCs w:val="28"/>
          <w:shd w:val="clear" w:color="auto" w:fill="FCFCFC"/>
          <w:lang w:val="uk-UA"/>
        </w:rPr>
        <w:t xml:space="preserve"> M</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Smakhtin</w:t>
      </w:r>
      <w:proofErr w:type="spellEnd"/>
      <w:r w:rsidR="00B73EC5" w:rsidRPr="005F0419">
        <w:rPr>
          <w:rFonts w:ascii="Times New Roman" w:hAnsi="Times New Roman" w:cs="Times New Roman"/>
          <w:sz w:val="28"/>
          <w:szCs w:val="28"/>
          <w:shd w:val="clear" w:color="auto" w:fill="FCFCFC"/>
          <w:lang w:val="uk-UA"/>
        </w:rPr>
        <w:t xml:space="preserve"> V</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(2021) </w:t>
      </w:r>
      <w:proofErr w:type="spellStart"/>
      <w:r w:rsidR="00B73EC5" w:rsidRPr="005F0419">
        <w:rPr>
          <w:rFonts w:ascii="Times New Roman" w:hAnsi="Times New Roman" w:cs="Times New Roman"/>
          <w:sz w:val="28"/>
          <w:szCs w:val="28"/>
          <w:shd w:val="clear" w:color="auto" w:fill="FCFCFC"/>
          <w:lang w:val="uk-UA"/>
        </w:rPr>
        <w:t>Freshwater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availability</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status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across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countries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for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human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and</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ecosystem</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needs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Sci</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Total</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Environ</w:t>
      </w:r>
      <w:proofErr w:type="spellEnd"/>
      <w:r w:rsidR="00B73EC5" w:rsidRPr="005F0419">
        <w:rPr>
          <w:rFonts w:ascii="Times New Roman" w:hAnsi="Times New Roman" w:cs="Times New Roman"/>
          <w:sz w:val="28"/>
          <w:szCs w:val="28"/>
          <w:shd w:val="clear" w:color="auto" w:fill="FCFCFC"/>
          <w:lang w:val="uk-UA"/>
        </w:rPr>
        <w:t xml:space="preserve"> 792:148230. </w:t>
      </w:r>
      <w:r w:rsidR="0094434C" w:rsidRPr="005F0419">
        <w:rPr>
          <w:rFonts w:ascii="Times New Roman" w:hAnsi="Times New Roman" w:cs="Times New Roman"/>
          <w:sz w:val="28"/>
          <w:szCs w:val="28"/>
          <w:shd w:val="clear" w:color="auto" w:fill="FCFCFC"/>
          <w:lang w:val="uk-UA"/>
        </w:rPr>
        <w:t xml:space="preserve">URL: </w:t>
      </w:r>
      <w:hyperlink r:id="rId82" w:history="1">
        <w:r w:rsidR="00B73EC5" w:rsidRPr="005F0419">
          <w:rPr>
            <w:rStyle w:val="a6"/>
            <w:rFonts w:ascii="Times New Roman" w:hAnsi="Times New Roman" w:cs="Times New Roman"/>
            <w:color w:val="auto"/>
            <w:sz w:val="28"/>
            <w:szCs w:val="28"/>
            <w:shd w:val="clear" w:color="auto" w:fill="FCFCFC"/>
            <w:lang w:val="uk-UA"/>
          </w:rPr>
          <w:t>https://doi.org/10.1016/j.scitotenv.2021.148230</w:t>
        </w:r>
      </w:hyperlink>
    </w:p>
    <w:p w14:paraId="1F896181" w14:textId="5898BD91" w:rsidR="00B73EC5" w:rsidRPr="005F0419" w:rsidRDefault="008C7F3A" w:rsidP="008C7F3A">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shd w:val="clear" w:color="auto" w:fill="FCFCFC"/>
          <w:lang w:val="uk-UA"/>
        </w:rPr>
        <w:t xml:space="preserve">43. </w:t>
      </w:r>
      <w:proofErr w:type="spellStart"/>
      <w:r w:rsidR="00B73EC5" w:rsidRPr="005F0419">
        <w:rPr>
          <w:rFonts w:ascii="Times New Roman" w:hAnsi="Times New Roman" w:cs="Times New Roman"/>
          <w:sz w:val="28"/>
          <w:szCs w:val="28"/>
          <w:shd w:val="clear" w:color="auto" w:fill="FCFCFC"/>
          <w:lang w:val="uk-UA"/>
        </w:rPr>
        <w:t>Drofenik</w:t>
      </w:r>
      <w:proofErr w:type="spellEnd"/>
      <w:r w:rsidR="00B73EC5" w:rsidRPr="005F0419">
        <w:rPr>
          <w:rFonts w:ascii="Times New Roman" w:hAnsi="Times New Roman" w:cs="Times New Roman"/>
          <w:sz w:val="28"/>
          <w:szCs w:val="28"/>
          <w:shd w:val="clear" w:color="auto" w:fill="FCFCFC"/>
          <w:lang w:val="uk-UA"/>
        </w:rPr>
        <w:t xml:space="preserve"> 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Pahor</w:t>
      </w:r>
      <w:proofErr w:type="spellEnd"/>
      <w:r w:rsidR="00B73EC5" w:rsidRPr="005F0419">
        <w:rPr>
          <w:rFonts w:ascii="Times New Roman" w:hAnsi="Times New Roman" w:cs="Times New Roman"/>
          <w:sz w:val="28"/>
          <w:szCs w:val="28"/>
          <w:shd w:val="clear" w:color="auto" w:fill="FCFCFC"/>
          <w:lang w:val="uk-UA"/>
        </w:rPr>
        <w:t xml:space="preserve"> B</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Kravanja</w:t>
      </w:r>
      <w:proofErr w:type="spellEnd"/>
      <w:r w:rsidR="00B73EC5" w:rsidRPr="005F0419">
        <w:rPr>
          <w:rFonts w:ascii="Times New Roman" w:hAnsi="Times New Roman" w:cs="Times New Roman"/>
          <w:sz w:val="28"/>
          <w:szCs w:val="28"/>
          <w:shd w:val="clear" w:color="auto" w:fill="FCFCFC"/>
          <w:lang w:val="uk-UA"/>
        </w:rPr>
        <w:t xml:space="preserve"> Z</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Pintarič</w:t>
      </w:r>
      <w:proofErr w:type="spellEnd"/>
      <w:r w:rsidR="00B73EC5" w:rsidRPr="005F0419">
        <w:rPr>
          <w:rFonts w:ascii="Times New Roman" w:hAnsi="Times New Roman" w:cs="Times New Roman"/>
          <w:sz w:val="28"/>
          <w:szCs w:val="28"/>
          <w:shd w:val="clear" w:color="auto" w:fill="FCFCFC"/>
          <w:lang w:val="uk-UA"/>
        </w:rPr>
        <w:t xml:space="preserve"> Z</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N</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(2021) </w:t>
      </w:r>
      <w:proofErr w:type="spellStart"/>
      <w:r w:rsidR="00B73EC5" w:rsidRPr="005F0419">
        <w:rPr>
          <w:rFonts w:ascii="Times New Roman" w:hAnsi="Times New Roman" w:cs="Times New Roman"/>
          <w:sz w:val="28"/>
          <w:szCs w:val="28"/>
          <w:shd w:val="clear" w:color="auto" w:fill="FCFCFC"/>
          <w:lang w:val="uk-UA"/>
        </w:rPr>
        <w:t>Scenario</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analysis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of</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changes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in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the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food</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supply</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chain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Chem</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Eng</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Trans</w:t>
      </w:r>
      <w:proofErr w:type="spellEnd"/>
      <w:r w:rsidR="00B73EC5" w:rsidRPr="005F0419">
        <w:rPr>
          <w:rFonts w:ascii="Times New Roman" w:hAnsi="Times New Roman" w:cs="Times New Roman"/>
          <w:sz w:val="28"/>
          <w:szCs w:val="28"/>
          <w:shd w:val="clear" w:color="auto" w:fill="FCFCFC"/>
          <w:lang w:val="uk-UA"/>
        </w:rPr>
        <w:t xml:space="preserve"> 88:721–726. </w:t>
      </w:r>
      <w:r w:rsidR="0094434C" w:rsidRPr="005F0419">
        <w:rPr>
          <w:rFonts w:ascii="Times New Roman" w:hAnsi="Times New Roman" w:cs="Times New Roman"/>
          <w:sz w:val="28"/>
          <w:szCs w:val="28"/>
          <w:shd w:val="clear" w:color="auto" w:fill="FCFCFC"/>
          <w:lang w:val="uk-UA"/>
        </w:rPr>
        <w:t xml:space="preserve">URL: </w:t>
      </w:r>
      <w:hyperlink r:id="rId83" w:history="1">
        <w:r w:rsidR="00B73EC5" w:rsidRPr="005F0419">
          <w:rPr>
            <w:rStyle w:val="a6"/>
            <w:rFonts w:ascii="Times New Roman" w:hAnsi="Times New Roman" w:cs="Times New Roman"/>
            <w:color w:val="auto"/>
            <w:sz w:val="28"/>
            <w:szCs w:val="28"/>
            <w:shd w:val="clear" w:color="auto" w:fill="FCFCFC"/>
            <w:lang w:val="uk-UA"/>
          </w:rPr>
          <w:t>https://doi.org/10.3303/CET2188120</w:t>
        </w:r>
      </w:hyperlink>
    </w:p>
    <w:p w14:paraId="746E427D" w14:textId="3B3974C9" w:rsidR="00B73EC5" w:rsidRPr="005F0419" w:rsidRDefault="008C7F3A" w:rsidP="008C7F3A">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shd w:val="clear" w:color="auto" w:fill="FCFCFC"/>
          <w:lang w:val="uk-UA"/>
        </w:rPr>
        <w:t xml:space="preserve">44. </w:t>
      </w:r>
      <w:proofErr w:type="spellStart"/>
      <w:r w:rsidR="00B73EC5" w:rsidRPr="005F0419">
        <w:rPr>
          <w:rFonts w:ascii="Times New Roman" w:hAnsi="Times New Roman" w:cs="Times New Roman"/>
          <w:sz w:val="28"/>
          <w:szCs w:val="28"/>
          <w:shd w:val="clear" w:color="auto" w:fill="FCFCFC"/>
          <w:lang w:val="uk-UA"/>
        </w:rPr>
        <w:t>Lund</w:t>
      </w:r>
      <w:proofErr w:type="spellEnd"/>
      <w:r w:rsidR="00B73EC5" w:rsidRPr="005F0419">
        <w:rPr>
          <w:rFonts w:ascii="Times New Roman" w:hAnsi="Times New Roman" w:cs="Times New Roman"/>
          <w:sz w:val="28"/>
          <w:szCs w:val="28"/>
          <w:shd w:val="clear" w:color="auto" w:fill="FCFCFC"/>
          <w:lang w:val="uk-UA"/>
        </w:rPr>
        <w:t xml:space="preserve"> 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Medellin-Azuara</w:t>
      </w:r>
      <w:proofErr w:type="spellEnd"/>
      <w:r w:rsidR="00B73EC5" w:rsidRPr="005F0419">
        <w:rPr>
          <w:rFonts w:ascii="Times New Roman" w:hAnsi="Times New Roman" w:cs="Times New Roman"/>
          <w:sz w:val="28"/>
          <w:szCs w:val="28"/>
          <w:shd w:val="clear" w:color="auto" w:fill="FCFCFC"/>
          <w:lang w:val="uk-UA"/>
        </w:rPr>
        <w:t xml:space="preserve"> 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Durand</w:t>
      </w:r>
      <w:proofErr w:type="spellEnd"/>
      <w:r w:rsidR="00B73EC5" w:rsidRPr="005F0419">
        <w:rPr>
          <w:rFonts w:ascii="Times New Roman" w:hAnsi="Times New Roman" w:cs="Times New Roman"/>
          <w:sz w:val="28"/>
          <w:szCs w:val="28"/>
          <w:shd w:val="clear" w:color="auto" w:fill="FCFCFC"/>
          <w:lang w:val="uk-UA"/>
        </w:rPr>
        <w:t xml:space="preserve"> 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Stone</w:t>
      </w:r>
      <w:proofErr w:type="spellEnd"/>
      <w:r w:rsidR="00B73EC5" w:rsidRPr="005F0419">
        <w:rPr>
          <w:rFonts w:ascii="Times New Roman" w:hAnsi="Times New Roman" w:cs="Times New Roman"/>
          <w:sz w:val="28"/>
          <w:szCs w:val="28"/>
          <w:shd w:val="clear" w:color="auto" w:fill="FCFCFC"/>
          <w:lang w:val="uk-UA"/>
        </w:rPr>
        <w:t xml:space="preserve"> K</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(2018) </w:t>
      </w:r>
      <w:proofErr w:type="spellStart"/>
      <w:r w:rsidR="00B73EC5" w:rsidRPr="005F0419">
        <w:rPr>
          <w:rFonts w:ascii="Times New Roman" w:hAnsi="Times New Roman" w:cs="Times New Roman"/>
          <w:sz w:val="28"/>
          <w:szCs w:val="28"/>
          <w:shd w:val="clear" w:color="auto" w:fill="FCFCFC"/>
          <w:lang w:val="uk-UA"/>
        </w:rPr>
        <w:t>Lessons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from</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California’s</w:t>
      </w:r>
      <w:proofErr w:type="spellEnd"/>
      <w:r w:rsidR="00B73EC5" w:rsidRPr="005F0419">
        <w:rPr>
          <w:rFonts w:ascii="Times New Roman" w:hAnsi="Times New Roman" w:cs="Times New Roman"/>
          <w:sz w:val="28"/>
          <w:szCs w:val="28"/>
          <w:shd w:val="clear" w:color="auto" w:fill="FCFCFC"/>
          <w:lang w:val="uk-UA"/>
        </w:rPr>
        <w:t xml:space="preserve"> 2012–2016 </w:t>
      </w:r>
      <w:proofErr w:type="spellStart"/>
      <w:r w:rsidR="00B73EC5" w:rsidRPr="005F0419">
        <w:rPr>
          <w:rFonts w:ascii="Times New Roman" w:hAnsi="Times New Roman" w:cs="Times New Roman"/>
          <w:sz w:val="28"/>
          <w:szCs w:val="28"/>
          <w:shd w:val="clear" w:color="auto" w:fill="FCFCFC"/>
          <w:lang w:val="uk-UA"/>
        </w:rPr>
        <w:t>drought</w:t>
      </w:r>
      <w:proofErr w:type="spellEnd"/>
      <w:r w:rsidR="00B73EC5" w:rsidRPr="005F0419">
        <w:rPr>
          <w:rFonts w:ascii="Times New Roman" w:hAnsi="Times New Roman" w:cs="Times New Roman"/>
          <w:sz w:val="28"/>
          <w:szCs w:val="28"/>
          <w:shd w:val="clear" w:color="auto" w:fill="FCFCFC"/>
          <w:lang w:val="uk-UA"/>
        </w:rPr>
        <w:t xml:space="preserve">. J </w:t>
      </w:r>
      <w:proofErr w:type="spellStart"/>
      <w:r w:rsidR="00B73EC5" w:rsidRPr="005F0419">
        <w:rPr>
          <w:rFonts w:ascii="Times New Roman" w:hAnsi="Times New Roman" w:cs="Times New Roman"/>
          <w:sz w:val="28"/>
          <w:szCs w:val="28"/>
          <w:shd w:val="clear" w:color="auto" w:fill="FCFCFC"/>
          <w:lang w:val="uk-UA"/>
        </w:rPr>
        <w:t>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Resour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Plan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Manag</w:t>
      </w:r>
      <w:proofErr w:type="spellEnd"/>
      <w:r w:rsidR="00B73EC5" w:rsidRPr="005F0419">
        <w:rPr>
          <w:rFonts w:ascii="Times New Roman" w:hAnsi="Times New Roman" w:cs="Times New Roman"/>
          <w:sz w:val="28"/>
          <w:szCs w:val="28"/>
          <w:shd w:val="clear" w:color="auto" w:fill="FCFCFC"/>
          <w:lang w:val="uk-UA"/>
        </w:rPr>
        <w:t xml:space="preserve"> 144(10):04018067. </w:t>
      </w:r>
      <w:r w:rsidR="0094434C" w:rsidRPr="005F0419">
        <w:rPr>
          <w:rFonts w:ascii="Times New Roman" w:hAnsi="Times New Roman" w:cs="Times New Roman"/>
          <w:sz w:val="28"/>
          <w:szCs w:val="28"/>
          <w:shd w:val="clear" w:color="auto" w:fill="FCFCFC"/>
          <w:lang w:val="uk-UA"/>
        </w:rPr>
        <w:t xml:space="preserve">URL: </w:t>
      </w:r>
      <w:hyperlink r:id="rId84" w:history="1">
        <w:r w:rsidR="00B73EC5" w:rsidRPr="005F0419">
          <w:rPr>
            <w:rStyle w:val="a6"/>
            <w:rFonts w:ascii="Times New Roman" w:hAnsi="Times New Roman" w:cs="Times New Roman"/>
            <w:color w:val="auto"/>
            <w:sz w:val="28"/>
            <w:szCs w:val="28"/>
            <w:shd w:val="clear" w:color="auto" w:fill="FCFCFC"/>
            <w:lang w:val="uk-UA"/>
          </w:rPr>
          <w:t>https://doi.org/10.1061/(asce)wr.1943-5452.0000984</w:t>
        </w:r>
      </w:hyperlink>
    </w:p>
    <w:p w14:paraId="44F9B131" w14:textId="5055ECA2" w:rsidR="00B73EC5" w:rsidRPr="005F0419" w:rsidRDefault="008C7F3A" w:rsidP="008C7F3A">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shd w:val="clear" w:color="auto" w:fill="FCFCFC"/>
          <w:lang w:val="uk-UA"/>
        </w:rPr>
        <w:t xml:space="preserve">45. </w:t>
      </w:r>
      <w:proofErr w:type="spellStart"/>
      <w:r w:rsidR="00B73EC5" w:rsidRPr="005F0419">
        <w:rPr>
          <w:rFonts w:ascii="Times New Roman" w:hAnsi="Times New Roman" w:cs="Times New Roman"/>
          <w:sz w:val="28"/>
          <w:szCs w:val="28"/>
          <w:shd w:val="clear" w:color="auto" w:fill="FCFCFC"/>
          <w:lang w:val="uk-UA"/>
        </w:rPr>
        <w:t>Fan</w:t>
      </w:r>
      <w:proofErr w:type="spellEnd"/>
      <w:r w:rsidR="00B73EC5" w:rsidRPr="005F0419">
        <w:rPr>
          <w:rFonts w:ascii="Times New Roman" w:hAnsi="Times New Roman" w:cs="Times New Roman"/>
          <w:sz w:val="28"/>
          <w:szCs w:val="28"/>
          <w:shd w:val="clear" w:color="auto" w:fill="FCFCFC"/>
          <w:lang w:val="uk-UA"/>
        </w:rPr>
        <w:t xml:space="preserve"> Y</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V</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Varbanov</w:t>
      </w:r>
      <w:proofErr w:type="spellEnd"/>
      <w:r w:rsidR="00B73EC5" w:rsidRPr="005F0419">
        <w:rPr>
          <w:rFonts w:ascii="Times New Roman" w:hAnsi="Times New Roman" w:cs="Times New Roman"/>
          <w:sz w:val="28"/>
          <w:szCs w:val="28"/>
          <w:shd w:val="clear" w:color="auto" w:fill="FCFCFC"/>
          <w:lang w:val="uk-UA"/>
        </w:rPr>
        <w:t xml:space="preserve"> P</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S</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Klemeš</w:t>
      </w:r>
      <w:proofErr w:type="spellEnd"/>
      <w:r w:rsidR="00B73EC5" w:rsidRPr="005F0419">
        <w:rPr>
          <w:rFonts w:ascii="Times New Roman" w:hAnsi="Times New Roman" w:cs="Times New Roman"/>
          <w:sz w:val="28"/>
          <w:szCs w:val="28"/>
          <w:shd w:val="clear" w:color="auto" w:fill="FCFCFC"/>
          <w:lang w:val="uk-UA"/>
        </w:rPr>
        <w:t xml:space="preserve"> 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Romanenko</w:t>
      </w:r>
      <w:proofErr w:type="spellEnd"/>
      <w:r w:rsidR="00B73EC5" w:rsidRPr="005F0419">
        <w:rPr>
          <w:rFonts w:ascii="Times New Roman" w:hAnsi="Times New Roman" w:cs="Times New Roman"/>
          <w:sz w:val="28"/>
          <w:szCs w:val="28"/>
          <w:shd w:val="clear" w:color="auto" w:fill="FCFCFC"/>
          <w:lang w:val="uk-UA"/>
        </w:rPr>
        <w:t xml:space="preserve"> S</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V</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(2021) </w:t>
      </w:r>
      <w:proofErr w:type="spellStart"/>
      <w:r w:rsidR="00B73EC5" w:rsidRPr="005F0419">
        <w:rPr>
          <w:rFonts w:ascii="Times New Roman" w:hAnsi="Times New Roman" w:cs="Times New Roman"/>
          <w:sz w:val="28"/>
          <w:szCs w:val="28"/>
          <w:shd w:val="clear" w:color="auto" w:fill="FCFCFC"/>
          <w:lang w:val="uk-UA"/>
        </w:rPr>
        <w:t>Urban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and</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industrial</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symbiosis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for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circular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economy</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total</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EcoSite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Integration</w:t>
      </w:r>
      <w:proofErr w:type="spellEnd"/>
      <w:r w:rsidR="00B73EC5" w:rsidRPr="005F0419">
        <w:rPr>
          <w:rFonts w:ascii="Times New Roman" w:hAnsi="Times New Roman" w:cs="Times New Roman"/>
          <w:sz w:val="28"/>
          <w:szCs w:val="28"/>
          <w:shd w:val="clear" w:color="auto" w:fill="FCFCFC"/>
          <w:lang w:val="uk-UA"/>
        </w:rPr>
        <w:t xml:space="preserve">. J </w:t>
      </w:r>
      <w:proofErr w:type="spellStart"/>
      <w:r w:rsidR="00B73EC5" w:rsidRPr="005F0419">
        <w:rPr>
          <w:rFonts w:ascii="Times New Roman" w:hAnsi="Times New Roman" w:cs="Times New Roman"/>
          <w:sz w:val="28"/>
          <w:szCs w:val="28"/>
          <w:shd w:val="clear" w:color="auto" w:fill="FCFCFC"/>
          <w:lang w:val="uk-UA"/>
        </w:rPr>
        <w:t>Environ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Manage</w:t>
      </w:r>
      <w:proofErr w:type="spellEnd"/>
      <w:r w:rsidR="00B73EC5" w:rsidRPr="005F0419">
        <w:rPr>
          <w:rFonts w:ascii="Times New Roman" w:hAnsi="Times New Roman" w:cs="Times New Roman"/>
          <w:sz w:val="28"/>
          <w:szCs w:val="28"/>
          <w:shd w:val="clear" w:color="auto" w:fill="FCFCFC"/>
          <w:lang w:val="uk-UA"/>
        </w:rPr>
        <w:t xml:space="preserve"> 279:111829. </w:t>
      </w:r>
      <w:r w:rsidR="0094434C" w:rsidRPr="005F0419">
        <w:rPr>
          <w:rFonts w:ascii="Times New Roman" w:hAnsi="Times New Roman" w:cs="Times New Roman"/>
          <w:sz w:val="28"/>
          <w:szCs w:val="28"/>
          <w:shd w:val="clear" w:color="auto" w:fill="FCFCFC"/>
          <w:lang w:val="uk-UA"/>
        </w:rPr>
        <w:t xml:space="preserve">URL: </w:t>
      </w:r>
      <w:hyperlink r:id="rId85" w:history="1">
        <w:r w:rsidR="00B73EC5" w:rsidRPr="005F0419">
          <w:rPr>
            <w:rStyle w:val="a6"/>
            <w:rFonts w:ascii="Times New Roman" w:hAnsi="Times New Roman" w:cs="Times New Roman"/>
            <w:color w:val="auto"/>
            <w:sz w:val="28"/>
            <w:szCs w:val="28"/>
            <w:shd w:val="clear" w:color="auto" w:fill="FCFCFC"/>
            <w:lang w:val="uk-UA"/>
          </w:rPr>
          <w:t>https://doi.org/10.1016/j.jenvman.2020.111829</w:t>
        </w:r>
      </w:hyperlink>
    </w:p>
    <w:p w14:paraId="3A0F8157" w14:textId="1329AF73" w:rsidR="00B73EC5" w:rsidRPr="005F0419" w:rsidRDefault="008C7F3A" w:rsidP="008C7F3A">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shd w:val="clear" w:color="auto" w:fill="FCFCFC"/>
          <w:lang w:val="uk-UA"/>
        </w:rPr>
        <w:lastRenderedPageBreak/>
        <w:t xml:space="preserve">46. </w:t>
      </w:r>
      <w:proofErr w:type="spellStart"/>
      <w:r w:rsidR="00B73EC5" w:rsidRPr="005F0419">
        <w:rPr>
          <w:rFonts w:ascii="Times New Roman" w:hAnsi="Times New Roman" w:cs="Times New Roman"/>
          <w:sz w:val="28"/>
          <w:szCs w:val="28"/>
          <w:shd w:val="clear" w:color="auto" w:fill="FCFCFC"/>
          <w:lang w:val="uk-UA"/>
        </w:rPr>
        <w:t>Hoekstra</w:t>
      </w:r>
      <w:proofErr w:type="spellEnd"/>
      <w:r w:rsidR="00B73EC5" w:rsidRPr="005F0419">
        <w:rPr>
          <w:rFonts w:ascii="Times New Roman" w:hAnsi="Times New Roman" w:cs="Times New Roman"/>
          <w:sz w:val="28"/>
          <w:szCs w:val="28"/>
          <w:shd w:val="clear" w:color="auto" w:fill="FCFCFC"/>
          <w:lang w:val="uk-UA"/>
        </w:rPr>
        <w:t xml:space="preserve"> A</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Y</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Chapagain</w:t>
      </w:r>
      <w:proofErr w:type="spellEnd"/>
      <w:r w:rsidR="00B73EC5" w:rsidRPr="005F0419">
        <w:rPr>
          <w:rFonts w:ascii="Times New Roman" w:hAnsi="Times New Roman" w:cs="Times New Roman"/>
          <w:sz w:val="28"/>
          <w:szCs w:val="28"/>
          <w:shd w:val="clear" w:color="auto" w:fill="FCFCFC"/>
          <w:lang w:val="uk-UA"/>
        </w:rPr>
        <w:t xml:space="preserve"> A</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K</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Aldaya</w:t>
      </w:r>
      <w:proofErr w:type="spellEnd"/>
      <w:r w:rsidR="00B73EC5" w:rsidRPr="005F0419">
        <w:rPr>
          <w:rFonts w:ascii="Times New Roman" w:hAnsi="Times New Roman" w:cs="Times New Roman"/>
          <w:sz w:val="28"/>
          <w:szCs w:val="28"/>
          <w:shd w:val="clear" w:color="auto" w:fill="FCFCFC"/>
          <w:lang w:val="uk-UA"/>
        </w:rPr>
        <w:t xml:space="preserve"> M</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M</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Mekonnen</w:t>
      </w:r>
      <w:proofErr w:type="spellEnd"/>
      <w:r w:rsidR="00B73EC5" w:rsidRPr="005F0419">
        <w:rPr>
          <w:rFonts w:ascii="Times New Roman" w:hAnsi="Times New Roman" w:cs="Times New Roman"/>
          <w:sz w:val="28"/>
          <w:szCs w:val="28"/>
          <w:shd w:val="clear" w:color="auto" w:fill="FCFCFC"/>
          <w:lang w:val="uk-UA"/>
        </w:rPr>
        <w:t xml:space="preserve"> M</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M</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(2011) </w:t>
      </w:r>
      <w:proofErr w:type="spellStart"/>
      <w:r w:rsidR="00B73EC5" w:rsidRPr="005F0419">
        <w:rPr>
          <w:rFonts w:ascii="Times New Roman" w:hAnsi="Times New Roman" w:cs="Times New Roman"/>
          <w:sz w:val="28"/>
          <w:szCs w:val="28"/>
          <w:shd w:val="clear" w:color="auto" w:fill="FCFCFC"/>
          <w:lang w:val="uk-UA"/>
        </w:rPr>
        <w:t>The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footprint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assessment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manual</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Setting</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the</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Global</w:t>
      </w:r>
      <w:proofErr w:type="spellEnd"/>
      <w:r w:rsidR="00B73EC5" w:rsidRPr="005F0419">
        <w:rPr>
          <w:rFonts w:ascii="Times New Roman" w:hAnsi="Times New Roman" w:cs="Times New Roman"/>
          <w:sz w:val="28"/>
          <w:szCs w:val="28"/>
          <w:shd w:val="clear" w:color="auto" w:fill="FCFCFC"/>
          <w:lang w:val="uk-UA"/>
        </w:rPr>
        <w:t xml:space="preserve"> Standard. </w:t>
      </w:r>
      <w:proofErr w:type="spellStart"/>
      <w:r w:rsidR="00B73EC5" w:rsidRPr="005F0419">
        <w:rPr>
          <w:rFonts w:ascii="Times New Roman" w:hAnsi="Times New Roman" w:cs="Times New Roman"/>
          <w:sz w:val="28"/>
          <w:szCs w:val="28"/>
          <w:shd w:val="clear" w:color="auto" w:fill="FCFCFC"/>
          <w:lang w:val="uk-UA"/>
        </w:rPr>
        <w:t>Soc</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Environ</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Account</w:t>
      </w:r>
      <w:proofErr w:type="spellEnd"/>
      <w:r w:rsidR="00B73EC5" w:rsidRPr="005F0419">
        <w:rPr>
          <w:rFonts w:ascii="Times New Roman" w:hAnsi="Times New Roman" w:cs="Times New Roman"/>
          <w:sz w:val="28"/>
          <w:szCs w:val="28"/>
          <w:shd w:val="clear" w:color="auto" w:fill="FCFCFC"/>
          <w:lang w:val="uk-UA"/>
        </w:rPr>
        <w:t xml:space="preserve"> J, 31. </w:t>
      </w:r>
      <w:r w:rsidR="0094434C" w:rsidRPr="005F0419">
        <w:rPr>
          <w:rFonts w:ascii="Times New Roman" w:hAnsi="Times New Roman" w:cs="Times New Roman"/>
          <w:sz w:val="28"/>
          <w:szCs w:val="28"/>
          <w:shd w:val="clear" w:color="auto" w:fill="FCFCFC"/>
          <w:lang w:val="uk-UA"/>
        </w:rPr>
        <w:t xml:space="preserve">URL: </w:t>
      </w:r>
      <w:hyperlink r:id="rId86" w:history="1">
        <w:r w:rsidR="00B73EC5" w:rsidRPr="005F0419">
          <w:rPr>
            <w:rStyle w:val="a6"/>
            <w:rFonts w:ascii="Times New Roman" w:hAnsi="Times New Roman" w:cs="Times New Roman"/>
            <w:color w:val="auto"/>
            <w:sz w:val="28"/>
            <w:szCs w:val="28"/>
            <w:shd w:val="clear" w:color="auto" w:fill="FCFCFC"/>
            <w:lang w:val="uk-UA"/>
          </w:rPr>
          <w:t>https://doi.org/10.1080/0969160x.2011.593864</w:t>
        </w:r>
      </w:hyperlink>
    </w:p>
    <w:p w14:paraId="7FE1A697" w14:textId="584E7829" w:rsidR="00B73EC5" w:rsidRPr="005F0419" w:rsidRDefault="008C7F3A" w:rsidP="008C7F3A">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shd w:val="clear" w:color="auto" w:fill="FCFCFC"/>
          <w:lang w:val="uk-UA"/>
        </w:rPr>
        <w:t xml:space="preserve">47. </w:t>
      </w:r>
      <w:proofErr w:type="spellStart"/>
      <w:r w:rsidR="00B73EC5" w:rsidRPr="005F0419">
        <w:rPr>
          <w:rFonts w:ascii="Times New Roman" w:hAnsi="Times New Roman" w:cs="Times New Roman"/>
          <w:sz w:val="28"/>
          <w:szCs w:val="28"/>
          <w:shd w:val="clear" w:color="auto" w:fill="FCFCFC"/>
          <w:lang w:val="uk-UA"/>
        </w:rPr>
        <w:t>Wang</w:t>
      </w:r>
      <w:proofErr w:type="spellEnd"/>
      <w:r w:rsidR="00B73EC5" w:rsidRPr="005F0419">
        <w:rPr>
          <w:rFonts w:ascii="Times New Roman" w:hAnsi="Times New Roman" w:cs="Times New Roman"/>
          <w:sz w:val="28"/>
          <w:szCs w:val="28"/>
          <w:shd w:val="clear" w:color="auto" w:fill="FCFCFC"/>
          <w:lang w:val="uk-UA"/>
        </w:rPr>
        <w:t xml:space="preserve"> X</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Klemeš</w:t>
      </w:r>
      <w:proofErr w:type="spellEnd"/>
      <w:r w:rsidR="00B73EC5" w:rsidRPr="005F0419">
        <w:rPr>
          <w:rFonts w:ascii="Times New Roman" w:hAnsi="Times New Roman" w:cs="Times New Roman"/>
          <w:sz w:val="28"/>
          <w:szCs w:val="28"/>
          <w:shd w:val="clear" w:color="auto" w:fill="FCFCFC"/>
          <w:lang w:val="uk-UA"/>
        </w:rPr>
        <w:t xml:space="preserve"> 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J</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Walmsley</w:t>
      </w:r>
      <w:proofErr w:type="spellEnd"/>
      <w:r w:rsidR="00B73EC5" w:rsidRPr="005F0419">
        <w:rPr>
          <w:rFonts w:ascii="Times New Roman" w:hAnsi="Times New Roman" w:cs="Times New Roman"/>
          <w:sz w:val="28"/>
          <w:szCs w:val="28"/>
          <w:shd w:val="clear" w:color="auto" w:fill="FCFCFC"/>
          <w:lang w:val="uk-UA"/>
        </w:rPr>
        <w:t xml:space="preserve"> T</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G</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Wang</w:t>
      </w:r>
      <w:proofErr w:type="spellEnd"/>
      <w:r w:rsidR="00B73EC5" w:rsidRPr="005F0419">
        <w:rPr>
          <w:rFonts w:ascii="Times New Roman" w:hAnsi="Times New Roman" w:cs="Times New Roman"/>
          <w:sz w:val="28"/>
          <w:szCs w:val="28"/>
          <w:shd w:val="clear" w:color="auto" w:fill="FCFCFC"/>
          <w:lang w:val="uk-UA"/>
        </w:rPr>
        <w:t xml:space="preserve"> Y</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Yu</w:t>
      </w:r>
      <w:proofErr w:type="spellEnd"/>
      <w:r w:rsidR="00B73EC5" w:rsidRPr="005F0419">
        <w:rPr>
          <w:rFonts w:ascii="Times New Roman" w:hAnsi="Times New Roman" w:cs="Times New Roman"/>
          <w:sz w:val="28"/>
          <w:szCs w:val="28"/>
          <w:shd w:val="clear" w:color="auto" w:fill="FCFCFC"/>
          <w:lang w:val="uk-UA"/>
        </w:rPr>
        <w:t xml:space="preserve"> H</w:t>
      </w:r>
      <w:r w:rsidR="0094434C" w:rsidRPr="005F0419">
        <w:rPr>
          <w:rFonts w:ascii="Times New Roman" w:hAnsi="Times New Roman" w:cs="Times New Roman"/>
          <w:sz w:val="28"/>
          <w:szCs w:val="28"/>
          <w:shd w:val="clear" w:color="auto" w:fill="FCFCFC"/>
          <w:lang w:val="uk-UA"/>
        </w:rPr>
        <w:t>.</w:t>
      </w:r>
      <w:r w:rsidR="00B73EC5" w:rsidRPr="005F0419">
        <w:rPr>
          <w:rFonts w:ascii="Times New Roman" w:hAnsi="Times New Roman" w:cs="Times New Roman"/>
          <w:sz w:val="28"/>
          <w:szCs w:val="28"/>
          <w:shd w:val="clear" w:color="auto" w:fill="FCFCFC"/>
          <w:lang w:val="uk-UA"/>
        </w:rPr>
        <w:t xml:space="preserve"> (2018) </w:t>
      </w:r>
      <w:proofErr w:type="spellStart"/>
      <w:r w:rsidR="00B73EC5" w:rsidRPr="005F0419">
        <w:rPr>
          <w:rFonts w:ascii="Times New Roman" w:hAnsi="Times New Roman" w:cs="Times New Roman"/>
          <w:sz w:val="28"/>
          <w:szCs w:val="28"/>
          <w:shd w:val="clear" w:color="auto" w:fill="FCFCFC"/>
          <w:lang w:val="uk-UA"/>
        </w:rPr>
        <w:t>Recent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developments</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of</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water</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footprint</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methodology</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Chem</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Eng</w:t>
      </w:r>
      <w:proofErr w:type="spellEnd"/>
      <w:r w:rsidR="00B73EC5" w:rsidRPr="005F0419">
        <w:rPr>
          <w:rFonts w:ascii="Times New Roman" w:hAnsi="Times New Roman" w:cs="Times New Roman"/>
          <w:sz w:val="28"/>
          <w:szCs w:val="28"/>
          <w:shd w:val="clear" w:color="auto" w:fill="FCFCFC"/>
          <w:lang w:val="uk-UA"/>
        </w:rPr>
        <w:t xml:space="preserve"> </w:t>
      </w:r>
      <w:proofErr w:type="spellStart"/>
      <w:r w:rsidR="00B73EC5" w:rsidRPr="005F0419">
        <w:rPr>
          <w:rFonts w:ascii="Times New Roman" w:hAnsi="Times New Roman" w:cs="Times New Roman"/>
          <w:sz w:val="28"/>
          <w:szCs w:val="28"/>
          <w:shd w:val="clear" w:color="auto" w:fill="FCFCFC"/>
          <w:lang w:val="uk-UA"/>
        </w:rPr>
        <w:t>Trans</w:t>
      </w:r>
      <w:proofErr w:type="spellEnd"/>
      <w:r w:rsidR="00B73EC5" w:rsidRPr="005F0419">
        <w:rPr>
          <w:rFonts w:ascii="Times New Roman" w:hAnsi="Times New Roman" w:cs="Times New Roman"/>
          <w:sz w:val="28"/>
          <w:szCs w:val="28"/>
          <w:shd w:val="clear" w:color="auto" w:fill="FCFCFC"/>
          <w:lang w:val="uk-UA"/>
        </w:rPr>
        <w:t xml:space="preserve"> 70(2010):511–516. </w:t>
      </w:r>
      <w:r w:rsidR="0094434C" w:rsidRPr="005F0419">
        <w:rPr>
          <w:rFonts w:ascii="Times New Roman" w:hAnsi="Times New Roman" w:cs="Times New Roman"/>
          <w:sz w:val="28"/>
          <w:szCs w:val="28"/>
          <w:shd w:val="clear" w:color="auto" w:fill="FCFCFC"/>
          <w:lang w:val="uk-UA"/>
        </w:rPr>
        <w:t xml:space="preserve">URL: </w:t>
      </w:r>
      <w:hyperlink r:id="rId87" w:history="1">
        <w:r w:rsidR="00B73EC5" w:rsidRPr="005F0419">
          <w:rPr>
            <w:rStyle w:val="a6"/>
            <w:rFonts w:ascii="Times New Roman" w:hAnsi="Times New Roman" w:cs="Times New Roman"/>
            <w:color w:val="auto"/>
            <w:sz w:val="28"/>
            <w:szCs w:val="28"/>
            <w:shd w:val="clear" w:color="auto" w:fill="FCFCFC"/>
            <w:lang w:val="uk-UA"/>
          </w:rPr>
          <w:t>https://doi.org/10.3303/CET1870086</w:t>
        </w:r>
      </w:hyperlink>
    </w:p>
    <w:p w14:paraId="0EC0F3B5" w14:textId="12BD445A" w:rsidR="00B73EC5" w:rsidRPr="005F0419" w:rsidRDefault="008C7F3A" w:rsidP="008C7F3A">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48. </w:t>
      </w:r>
      <w:proofErr w:type="spellStart"/>
      <w:r w:rsidR="00B73EC5" w:rsidRPr="005F0419">
        <w:rPr>
          <w:rFonts w:ascii="Times New Roman" w:hAnsi="Times New Roman" w:cs="Times New Roman"/>
          <w:sz w:val="28"/>
          <w:szCs w:val="28"/>
          <w:lang w:val="uk-UA"/>
        </w:rPr>
        <w:t>Egan</w:t>
      </w:r>
      <w:proofErr w:type="spellEnd"/>
      <w:r w:rsidR="00B73EC5" w:rsidRPr="005F0419">
        <w:rPr>
          <w:rFonts w:ascii="Times New Roman" w:hAnsi="Times New Roman" w:cs="Times New Roman"/>
          <w:sz w:val="28"/>
          <w:szCs w:val="28"/>
          <w:lang w:val="uk-UA"/>
        </w:rPr>
        <w:t xml:space="preserve"> M. </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2011</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assessment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manual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setting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standard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Social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Environmental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Accountability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Journal</w:t>
      </w:r>
      <w:proofErr w:type="spellEnd"/>
      <w:r w:rsidR="00B73EC5" w:rsidRPr="005F0419">
        <w:rPr>
          <w:rFonts w:ascii="Times New Roman" w:hAnsi="Times New Roman" w:cs="Times New Roman"/>
          <w:sz w:val="28"/>
          <w:szCs w:val="28"/>
          <w:lang w:val="uk-UA"/>
        </w:rPr>
        <w:t>, 31:2, 181-182, DOI: 10.1080/0969160X.2011.593864</w:t>
      </w:r>
    </w:p>
    <w:p w14:paraId="1B521C2E" w14:textId="7902ED34"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49. </w:t>
      </w:r>
      <w:proofErr w:type="spellStart"/>
      <w:r w:rsidR="00B73EC5" w:rsidRPr="005F0419">
        <w:rPr>
          <w:rFonts w:ascii="Times New Roman" w:hAnsi="Times New Roman" w:cs="Times New Roman"/>
          <w:sz w:val="28"/>
          <w:szCs w:val="28"/>
          <w:lang w:val="uk-UA"/>
        </w:rPr>
        <w:t>Wiedmann</w:t>
      </w:r>
      <w:proofErr w:type="spellEnd"/>
      <w:r w:rsidR="00B73EC5" w:rsidRPr="005F0419">
        <w:rPr>
          <w:rFonts w:ascii="Times New Roman" w:hAnsi="Times New Roman" w:cs="Times New Roman"/>
          <w:sz w:val="28"/>
          <w:szCs w:val="28"/>
          <w:lang w:val="uk-UA"/>
        </w:rPr>
        <w:t xml:space="preserve"> T. </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2011</w:t>
      </w:r>
      <w:r w:rsidR="0094434C"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Carbon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Input-Output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Analysis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introduction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Economic</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Systems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Research</w:t>
      </w:r>
      <w:proofErr w:type="spellEnd"/>
      <w:r w:rsidR="00B73EC5" w:rsidRPr="005F0419">
        <w:rPr>
          <w:rFonts w:ascii="Times New Roman" w:hAnsi="Times New Roman" w:cs="Times New Roman"/>
          <w:sz w:val="28"/>
          <w:szCs w:val="28"/>
          <w:lang w:val="uk-UA"/>
        </w:rPr>
        <w:t xml:space="preserve"> 21(3), 175-186.</w:t>
      </w:r>
    </w:p>
    <w:p w14:paraId="380FD7BE" w14:textId="4D4D3928" w:rsidR="00B73EC5" w:rsidRPr="005F0419" w:rsidRDefault="008C7F3A" w:rsidP="008C7F3A">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50. </w:t>
      </w:r>
      <w:r w:rsidR="00B73EC5" w:rsidRPr="005F0419">
        <w:rPr>
          <w:rFonts w:ascii="Times New Roman" w:hAnsi="Times New Roman" w:cs="Times New Roman"/>
          <w:sz w:val="28"/>
          <w:szCs w:val="28"/>
          <w:lang w:val="uk-UA"/>
        </w:rPr>
        <w:t xml:space="preserve">BSI. </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2008</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Specification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assessment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life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cycle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greenhouse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gas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emissions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goods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services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British</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Standards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London</w:t>
      </w:r>
      <w:proofErr w:type="spellEnd"/>
      <w:r w:rsidR="00B73EC5" w:rsidRPr="005F0419">
        <w:rPr>
          <w:rFonts w:ascii="Times New Roman" w:hAnsi="Times New Roman" w:cs="Times New Roman"/>
          <w:sz w:val="28"/>
          <w:szCs w:val="28"/>
          <w:lang w:val="uk-UA"/>
        </w:rPr>
        <w:t>.</w:t>
      </w:r>
      <w:r w:rsidR="0094434C" w:rsidRPr="005F0419">
        <w:rPr>
          <w:rFonts w:ascii="Times New Roman" w:hAnsi="Times New Roman" w:cs="Times New Roman"/>
          <w:sz w:val="28"/>
          <w:szCs w:val="28"/>
          <w:lang w:val="uk-UA"/>
        </w:rPr>
        <w:t xml:space="preserve"> </w:t>
      </w:r>
      <w:r w:rsidR="0094434C" w:rsidRPr="005F0419">
        <w:rPr>
          <w:rFonts w:ascii="Times New Roman" w:hAnsi="Times New Roman" w:cs="Times New Roman"/>
          <w:sz w:val="28"/>
          <w:szCs w:val="28"/>
          <w:shd w:val="clear" w:color="auto" w:fill="FCFCFC"/>
          <w:lang w:val="uk-UA"/>
        </w:rPr>
        <w:t>URL:</w:t>
      </w:r>
      <w:r w:rsidR="00262779" w:rsidRPr="005F0419">
        <w:rPr>
          <w:rFonts w:ascii="Times New Roman" w:hAnsi="Times New Roman" w:cs="Times New Roman"/>
          <w:sz w:val="28"/>
          <w:szCs w:val="28"/>
          <w:shd w:val="clear" w:color="auto" w:fill="FCFCFC"/>
          <w:lang w:val="uk-UA"/>
        </w:rPr>
        <w:t xml:space="preserve"> </w:t>
      </w:r>
      <w:hyperlink r:id="rId88" w:history="1">
        <w:r w:rsidR="00262779" w:rsidRPr="005F0419">
          <w:rPr>
            <w:rStyle w:val="a6"/>
            <w:rFonts w:ascii="Times New Roman" w:hAnsi="Times New Roman" w:cs="Times New Roman"/>
            <w:color w:val="auto"/>
            <w:sz w:val="28"/>
            <w:szCs w:val="28"/>
            <w:shd w:val="clear" w:color="auto" w:fill="FCFCFC"/>
            <w:lang w:val="uk-UA"/>
          </w:rPr>
          <w:t>https://www.bsigroup.com/</w:t>
        </w:r>
      </w:hyperlink>
      <w:r w:rsidR="00262779" w:rsidRPr="005F0419">
        <w:rPr>
          <w:rFonts w:ascii="Times New Roman" w:hAnsi="Times New Roman" w:cs="Times New Roman"/>
          <w:sz w:val="28"/>
          <w:szCs w:val="28"/>
          <w:shd w:val="clear" w:color="auto" w:fill="FCFCFC"/>
          <w:lang w:val="uk-UA"/>
        </w:rPr>
        <w:t xml:space="preserve"> </w:t>
      </w:r>
    </w:p>
    <w:p w14:paraId="52D4755B" w14:textId="37F93ACB"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51. </w:t>
      </w:r>
      <w:r w:rsidR="00B73EC5" w:rsidRPr="005F0419">
        <w:rPr>
          <w:rFonts w:ascii="Times New Roman" w:hAnsi="Times New Roman" w:cs="Times New Roman"/>
          <w:sz w:val="28"/>
          <w:szCs w:val="28"/>
          <w:lang w:val="uk-UA"/>
        </w:rPr>
        <w:t xml:space="preserve">WRI &amp; WBCSD. </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2011</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Life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Cycle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Accounting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Reporting</w:t>
      </w:r>
      <w:proofErr w:type="spellEnd"/>
      <w:r w:rsidR="00B73EC5" w:rsidRPr="005F0419">
        <w:rPr>
          <w:rFonts w:ascii="Times New Roman" w:hAnsi="Times New Roman" w:cs="Times New Roman"/>
          <w:sz w:val="28"/>
          <w:szCs w:val="28"/>
          <w:lang w:val="uk-UA"/>
        </w:rPr>
        <w:t xml:space="preserve"> Standard. </w:t>
      </w:r>
      <w:proofErr w:type="spellStart"/>
      <w:r w:rsidR="00B73EC5" w:rsidRPr="005F0419">
        <w:rPr>
          <w:rFonts w:ascii="Times New Roman" w:hAnsi="Times New Roman" w:cs="Times New Roman"/>
          <w:sz w:val="28"/>
          <w:szCs w:val="28"/>
          <w:lang w:val="uk-UA"/>
        </w:rPr>
        <w:t>World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Resources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Institute</w:t>
      </w:r>
      <w:proofErr w:type="spellEnd"/>
      <w:r w:rsidR="00B73EC5" w:rsidRPr="005F0419">
        <w:rPr>
          <w:rFonts w:ascii="Times New Roman" w:hAnsi="Times New Roman" w:cs="Times New Roman"/>
          <w:sz w:val="28"/>
          <w:szCs w:val="28"/>
          <w:lang w:val="uk-UA"/>
        </w:rPr>
        <w:t xml:space="preserve"> (WRI) &amp; </w:t>
      </w:r>
      <w:proofErr w:type="spellStart"/>
      <w:r w:rsidR="00B73EC5" w:rsidRPr="005F0419">
        <w:rPr>
          <w:rFonts w:ascii="Times New Roman" w:hAnsi="Times New Roman" w:cs="Times New Roman"/>
          <w:sz w:val="28"/>
          <w:szCs w:val="28"/>
          <w:lang w:val="uk-UA"/>
        </w:rPr>
        <w:t>World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Business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Council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Sustainable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Development</w:t>
      </w:r>
      <w:proofErr w:type="spellEnd"/>
      <w:r w:rsidR="00B73EC5" w:rsidRPr="005F0419">
        <w:rPr>
          <w:rFonts w:ascii="Times New Roman" w:hAnsi="Times New Roman" w:cs="Times New Roman"/>
          <w:sz w:val="28"/>
          <w:szCs w:val="28"/>
          <w:lang w:val="uk-UA"/>
        </w:rPr>
        <w:t xml:space="preserve"> (WBCSD).</w:t>
      </w:r>
      <w:r w:rsidR="0094434C" w:rsidRPr="005F0419">
        <w:rPr>
          <w:rFonts w:ascii="Times New Roman" w:hAnsi="Times New Roman" w:cs="Times New Roman"/>
          <w:sz w:val="28"/>
          <w:szCs w:val="28"/>
          <w:lang w:val="uk-UA"/>
        </w:rPr>
        <w:t xml:space="preserve"> </w:t>
      </w:r>
      <w:r w:rsidR="0094434C" w:rsidRPr="005F0419">
        <w:rPr>
          <w:rFonts w:ascii="Times New Roman" w:hAnsi="Times New Roman" w:cs="Times New Roman"/>
          <w:sz w:val="28"/>
          <w:szCs w:val="28"/>
          <w:shd w:val="clear" w:color="auto" w:fill="FCFCFC"/>
          <w:lang w:val="uk-UA"/>
        </w:rPr>
        <w:t>URL:</w:t>
      </w:r>
      <w:r w:rsidR="00262779" w:rsidRPr="005F0419">
        <w:rPr>
          <w:rFonts w:ascii="Times New Roman" w:hAnsi="Times New Roman" w:cs="Times New Roman"/>
          <w:sz w:val="28"/>
          <w:szCs w:val="28"/>
          <w:shd w:val="clear" w:color="auto" w:fill="FCFCFC"/>
          <w:lang w:val="uk-UA"/>
        </w:rPr>
        <w:t xml:space="preserve"> </w:t>
      </w:r>
      <w:hyperlink r:id="rId89" w:history="1">
        <w:r w:rsidR="00262779" w:rsidRPr="005F0419">
          <w:rPr>
            <w:rStyle w:val="a6"/>
            <w:rFonts w:ascii="Times New Roman" w:hAnsi="Times New Roman" w:cs="Times New Roman"/>
            <w:color w:val="auto"/>
            <w:sz w:val="28"/>
            <w:szCs w:val="28"/>
            <w:shd w:val="clear" w:color="auto" w:fill="FCFCFC"/>
            <w:lang w:val="uk-UA"/>
          </w:rPr>
          <w:t>https://www.wri.org/</w:t>
        </w:r>
      </w:hyperlink>
      <w:r w:rsidR="00262779" w:rsidRPr="005F0419">
        <w:rPr>
          <w:rFonts w:ascii="Times New Roman" w:hAnsi="Times New Roman" w:cs="Times New Roman"/>
          <w:sz w:val="28"/>
          <w:szCs w:val="28"/>
          <w:shd w:val="clear" w:color="auto" w:fill="FCFCFC"/>
          <w:lang w:val="uk-UA"/>
        </w:rPr>
        <w:t xml:space="preserve"> </w:t>
      </w:r>
      <w:hyperlink r:id="rId90" w:history="1">
        <w:r w:rsidR="00262779" w:rsidRPr="005F0419">
          <w:rPr>
            <w:rStyle w:val="a6"/>
            <w:rFonts w:ascii="Times New Roman" w:hAnsi="Times New Roman" w:cs="Times New Roman"/>
            <w:color w:val="auto"/>
            <w:sz w:val="28"/>
            <w:szCs w:val="28"/>
            <w:shd w:val="clear" w:color="auto" w:fill="FCFCFC"/>
            <w:lang w:val="uk-UA"/>
          </w:rPr>
          <w:t>https://www.wbcsd.org/</w:t>
        </w:r>
      </w:hyperlink>
      <w:r w:rsidR="00262779" w:rsidRPr="005F0419">
        <w:rPr>
          <w:rFonts w:ascii="Times New Roman" w:hAnsi="Times New Roman" w:cs="Times New Roman"/>
          <w:sz w:val="28"/>
          <w:szCs w:val="28"/>
          <w:shd w:val="clear" w:color="auto" w:fill="FCFCFC"/>
          <w:lang w:val="uk-UA"/>
        </w:rPr>
        <w:t xml:space="preserve"> </w:t>
      </w:r>
    </w:p>
    <w:p w14:paraId="3BA6FC06" w14:textId="4BEAE24E"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52. </w:t>
      </w:r>
      <w:r w:rsidR="00B73EC5" w:rsidRPr="005F0419">
        <w:rPr>
          <w:rFonts w:ascii="Times New Roman" w:hAnsi="Times New Roman" w:cs="Times New Roman"/>
          <w:sz w:val="28"/>
          <w:szCs w:val="28"/>
          <w:lang w:val="uk-UA"/>
        </w:rPr>
        <w:t xml:space="preserve">ISO. </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2012</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Carbon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products</w:t>
      </w:r>
      <w:proofErr w:type="spellEnd"/>
      <w:r w:rsidR="00B73EC5" w:rsidRPr="005F0419">
        <w:rPr>
          <w:rFonts w:ascii="Times New Roman" w:hAnsi="Times New Roman" w:cs="Times New Roman"/>
          <w:sz w:val="28"/>
          <w:szCs w:val="28"/>
          <w:lang w:val="uk-UA"/>
        </w:rPr>
        <w:t xml:space="preserve"> -- </w:t>
      </w:r>
      <w:proofErr w:type="spellStart"/>
      <w:r w:rsidR="00B73EC5" w:rsidRPr="005F0419">
        <w:rPr>
          <w:rFonts w:ascii="Times New Roman" w:hAnsi="Times New Roman" w:cs="Times New Roman"/>
          <w:sz w:val="28"/>
          <w:szCs w:val="28"/>
          <w:lang w:val="uk-UA"/>
        </w:rPr>
        <w:t>Requirements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guidelines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quantification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communication</w:t>
      </w:r>
      <w:proofErr w:type="spellEnd"/>
      <w:r w:rsidR="00B73EC5" w:rsidRPr="005F0419">
        <w:rPr>
          <w:rFonts w:ascii="Times New Roman" w:hAnsi="Times New Roman" w:cs="Times New Roman"/>
          <w:sz w:val="28"/>
          <w:szCs w:val="28"/>
          <w:lang w:val="uk-UA"/>
        </w:rPr>
        <w:t xml:space="preserve">. ISO/DIS 14067.2. </w:t>
      </w:r>
      <w:proofErr w:type="spellStart"/>
      <w:r w:rsidR="00B73EC5" w:rsidRPr="005F0419">
        <w:rPr>
          <w:rFonts w:ascii="Times New Roman" w:hAnsi="Times New Roman" w:cs="Times New Roman"/>
          <w:sz w:val="28"/>
          <w:szCs w:val="28"/>
          <w:lang w:val="uk-UA"/>
        </w:rPr>
        <w:t>International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Organization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Standardization</w:t>
      </w:r>
      <w:proofErr w:type="spellEnd"/>
      <w:r w:rsidR="00B73EC5" w:rsidRPr="005F0419">
        <w:rPr>
          <w:rFonts w:ascii="Times New Roman" w:hAnsi="Times New Roman" w:cs="Times New Roman"/>
          <w:sz w:val="28"/>
          <w:szCs w:val="28"/>
          <w:lang w:val="uk-UA"/>
        </w:rPr>
        <w:t>.</w:t>
      </w:r>
      <w:r w:rsidR="0094434C" w:rsidRPr="005F0419">
        <w:rPr>
          <w:rFonts w:ascii="Times New Roman" w:hAnsi="Times New Roman" w:cs="Times New Roman"/>
          <w:sz w:val="28"/>
          <w:szCs w:val="28"/>
          <w:lang w:val="uk-UA"/>
        </w:rPr>
        <w:t xml:space="preserve"> </w:t>
      </w:r>
      <w:r w:rsidR="0094434C" w:rsidRPr="005F0419">
        <w:rPr>
          <w:rFonts w:ascii="Times New Roman" w:hAnsi="Times New Roman" w:cs="Times New Roman"/>
          <w:sz w:val="28"/>
          <w:szCs w:val="28"/>
          <w:shd w:val="clear" w:color="auto" w:fill="FCFCFC"/>
          <w:lang w:val="uk-UA"/>
        </w:rPr>
        <w:t>URL:</w:t>
      </w:r>
      <w:r w:rsidR="00262779" w:rsidRPr="005F0419">
        <w:rPr>
          <w:rFonts w:ascii="Times New Roman" w:hAnsi="Times New Roman" w:cs="Times New Roman"/>
          <w:sz w:val="28"/>
          <w:szCs w:val="28"/>
          <w:shd w:val="clear" w:color="auto" w:fill="FCFCFC"/>
          <w:lang w:val="uk-UA"/>
        </w:rPr>
        <w:t xml:space="preserve"> </w:t>
      </w:r>
      <w:hyperlink r:id="rId91" w:history="1">
        <w:r w:rsidR="00262779" w:rsidRPr="005F0419">
          <w:rPr>
            <w:rStyle w:val="a6"/>
            <w:rFonts w:ascii="Times New Roman" w:hAnsi="Times New Roman" w:cs="Times New Roman"/>
            <w:color w:val="auto"/>
            <w:sz w:val="28"/>
            <w:szCs w:val="28"/>
            <w:shd w:val="clear" w:color="auto" w:fill="FCFCFC"/>
            <w:lang w:val="uk-UA"/>
          </w:rPr>
          <w:t>https://www.iso.org/standard/59521.html</w:t>
        </w:r>
      </w:hyperlink>
      <w:r w:rsidR="00262779" w:rsidRPr="005F0419">
        <w:rPr>
          <w:rFonts w:ascii="Times New Roman" w:hAnsi="Times New Roman" w:cs="Times New Roman"/>
          <w:sz w:val="28"/>
          <w:szCs w:val="28"/>
          <w:shd w:val="clear" w:color="auto" w:fill="FCFCFC"/>
          <w:lang w:val="uk-UA"/>
        </w:rPr>
        <w:t xml:space="preserve"> </w:t>
      </w:r>
    </w:p>
    <w:p w14:paraId="101F5577" w14:textId="3F35A08E" w:rsidR="00B73EC5" w:rsidRPr="005F0419" w:rsidRDefault="008C7F3A" w:rsidP="008C7F3A">
      <w:pPr>
        <w:spacing w:after="0" w:line="360" w:lineRule="auto"/>
        <w:ind w:firstLine="720"/>
        <w:jc w:val="both"/>
        <w:rPr>
          <w:rFonts w:ascii="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53. </w:t>
      </w:r>
      <w:proofErr w:type="spellStart"/>
      <w:r w:rsidR="00B73EC5" w:rsidRPr="005F0419">
        <w:rPr>
          <w:rFonts w:ascii="Times New Roman" w:eastAsia="Times New Roman" w:hAnsi="Times New Roman" w:cs="Times New Roman"/>
          <w:sz w:val="28"/>
          <w:szCs w:val="28"/>
          <w:lang w:val="uk-UA"/>
        </w:rPr>
        <w:t>Rosegrant</w:t>
      </w:r>
      <w:proofErr w:type="spellEnd"/>
      <w:r w:rsidR="00262779" w:rsidRPr="005F0419">
        <w:rPr>
          <w:rFonts w:ascii="Times New Roman" w:eastAsia="Times New Roman" w:hAnsi="Times New Roman" w:cs="Times New Roman"/>
          <w:sz w:val="28"/>
          <w:szCs w:val="28"/>
          <w:lang w:val="uk-UA"/>
        </w:rPr>
        <w:t xml:space="preserve"> M.W.</w:t>
      </w:r>
      <w:r w:rsidR="00B73EC5" w:rsidRPr="005F0419">
        <w:rPr>
          <w:rFonts w:ascii="Times New Roman" w:eastAsia="Times New Roman" w:hAnsi="Times New Roman" w:cs="Times New Roman"/>
          <w:sz w:val="28"/>
          <w:szCs w:val="28"/>
          <w:lang w:val="uk-UA"/>
        </w:rPr>
        <w:t>, </w:t>
      </w:r>
      <w:r w:rsidR="00262779"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Ringler</w:t>
      </w:r>
      <w:proofErr w:type="spellEnd"/>
      <w:r w:rsidR="00262779" w:rsidRPr="005F0419">
        <w:rPr>
          <w:rFonts w:ascii="Times New Roman" w:eastAsia="Times New Roman" w:hAnsi="Times New Roman" w:cs="Times New Roman"/>
          <w:sz w:val="28"/>
          <w:szCs w:val="28"/>
          <w:lang w:val="uk-UA"/>
        </w:rPr>
        <w:t xml:space="preserve"> C.</w:t>
      </w:r>
      <w:r w:rsidR="00B73EC5" w:rsidRPr="005F0419">
        <w:rPr>
          <w:rFonts w:ascii="Times New Roman" w:eastAsia="Times New Roman" w:hAnsi="Times New Roman" w:cs="Times New Roman"/>
          <w:sz w:val="28"/>
          <w:szCs w:val="28"/>
          <w:lang w:val="uk-UA"/>
        </w:rPr>
        <w:t>, </w:t>
      </w:r>
      <w:r w:rsidR="00262779"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Zhu</w:t>
      </w:r>
      <w:proofErr w:type="spellEnd"/>
      <w:r w:rsidR="00262779" w:rsidRPr="005F0419">
        <w:rPr>
          <w:rFonts w:ascii="Times New Roman" w:eastAsia="Times New Roman" w:hAnsi="Times New Roman" w:cs="Times New Roman"/>
          <w:sz w:val="28"/>
          <w:szCs w:val="28"/>
          <w:lang w:val="uk-UA"/>
        </w:rPr>
        <w:t xml:space="preserve"> T. </w:t>
      </w:r>
      <w:proofErr w:type="spellStart"/>
      <w:r w:rsidR="00B73EC5" w:rsidRPr="005F0419">
        <w:rPr>
          <w:rFonts w:ascii="Times New Roman" w:eastAsia="Times New Roman" w:hAnsi="Times New Roman" w:cs="Times New Roman"/>
          <w:sz w:val="28"/>
          <w:szCs w:val="28"/>
          <w:lang w:val="uk-UA"/>
        </w:rPr>
        <w:t>Water</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for</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agriculture</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maintaining</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food</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security</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under</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growing</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scarcity</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Annu</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Rev</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Environ</w:t>
      </w:r>
      <w:proofErr w:type="spellEnd"/>
      <w:r w:rsidR="00B73EC5" w:rsidRPr="005F0419">
        <w:rPr>
          <w:rFonts w:ascii="Times New Roman" w:eastAsia="Times New Roman" w:hAnsi="Times New Roman" w:cs="Times New Roman"/>
          <w:sz w:val="28"/>
          <w:szCs w:val="28"/>
          <w:lang w:val="uk-UA"/>
        </w:rPr>
        <w:t xml:space="preserve">. </w:t>
      </w:r>
      <w:proofErr w:type="spellStart"/>
      <w:r w:rsidR="00B73EC5" w:rsidRPr="005F0419">
        <w:rPr>
          <w:rFonts w:ascii="Times New Roman" w:eastAsia="Times New Roman" w:hAnsi="Times New Roman" w:cs="Times New Roman"/>
          <w:sz w:val="28"/>
          <w:szCs w:val="28"/>
          <w:lang w:val="uk-UA"/>
        </w:rPr>
        <w:t>Resour</w:t>
      </w:r>
      <w:proofErr w:type="spellEnd"/>
      <w:r w:rsidR="00B73EC5" w:rsidRPr="005F0419">
        <w:rPr>
          <w:rFonts w:ascii="Times New Roman" w:eastAsia="Times New Roman" w:hAnsi="Times New Roman" w:cs="Times New Roman"/>
          <w:sz w:val="28"/>
          <w:szCs w:val="28"/>
          <w:lang w:val="uk-UA"/>
        </w:rPr>
        <w:t>., 34</w:t>
      </w:r>
      <w:r w:rsidR="00262779" w:rsidRPr="005F0419">
        <w:rPr>
          <w:rFonts w:ascii="Times New Roman" w:eastAsia="Times New Roman" w:hAnsi="Times New Roman" w:cs="Times New Roman"/>
          <w:sz w:val="28"/>
          <w:szCs w:val="28"/>
          <w:lang w:val="uk-UA"/>
        </w:rPr>
        <w:t>.</w:t>
      </w:r>
      <w:r w:rsidR="00B73EC5" w:rsidRPr="005F0419">
        <w:rPr>
          <w:rFonts w:ascii="Times New Roman" w:eastAsia="Times New Roman" w:hAnsi="Times New Roman" w:cs="Times New Roman"/>
          <w:sz w:val="28"/>
          <w:szCs w:val="28"/>
          <w:lang w:val="uk-UA"/>
        </w:rPr>
        <w:t> 2009</w:t>
      </w:r>
      <w:r w:rsidR="00262779" w:rsidRPr="005F0419">
        <w:rPr>
          <w:rFonts w:ascii="Times New Roman" w:eastAsia="Times New Roman" w:hAnsi="Times New Roman" w:cs="Times New Roman"/>
          <w:sz w:val="28"/>
          <w:szCs w:val="28"/>
          <w:lang w:val="uk-UA"/>
        </w:rPr>
        <w:t>.</w:t>
      </w:r>
      <w:r w:rsidR="00B73EC5" w:rsidRPr="005F0419">
        <w:rPr>
          <w:rFonts w:ascii="Times New Roman" w:eastAsia="Times New Roman" w:hAnsi="Times New Roman" w:cs="Times New Roman"/>
          <w:sz w:val="28"/>
          <w:szCs w:val="28"/>
          <w:lang w:val="uk-UA"/>
        </w:rPr>
        <w:t xml:space="preserve"> 205-222</w:t>
      </w:r>
      <w:r w:rsidR="00262779" w:rsidRPr="005F0419">
        <w:rPr>
          <w:rFonts w:ascii="Times New Roman" w:eastAsia="Times New Roman" w:hAnsi="Times New Roman" w:cs="Times New Roman"/>
          <w:sz w:val="28"/>
          <w:szCs w:val="28"/>
          <w:lang w:val="uk-UA"/>
        </w:rPr>
        <w:t>.</w:t>
      </w:r>
    </w:p>
    <w:p w14:paraId="1D1E5D32" w14:textId="525FF68D"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54. </w:t>
      </w:r>
      <w:proofErr w:type="spellStart"/>
      <w:r w:rsidR="00B73EC5" w:rsidRPr="005F0419">
        <w:rPr>
          <w:rFonts w:ascii="Times New Roman" w:hAnsi="Times New Roman" w:cs="Times New Roman"/>
          <w:sz w:val="28"/>
          <w:szCs w:val="28"/>
          <w:lang w:val="uk-UA"/>
        </w:rPr>
        <w:t>Wiedmann</w:t>
      </w:r>
      <w:proofErr w:type="spellEnd"/>
      <w:r w:rsidR="00B73EC5" w:rsidRPr="005F0419">
        <w:rPr>
          <w:rFonts w:ascii="Times New Roman" w:hAnsi="Times New Roman" w:cs="Times New Roman"/>
          <w:sz w:val="28"/>
          <w:szCs w:val="28"/>
          <w:lang w:val="uk-UA"/>
        </w:rPr>
        <w:t xml:space="preserve"> T., </w:t>
      </w:r>
      <w:proofErr w:type="spellStart"/>
      <w:r w:rsidR="00B73EC5" w:rsidRPr="005F0419">
        <w:rPr>
          <w:rFonts w:ascii="Times New Roman" w:hAnsi="Times New Roman" w:cs="Times New Roman"/>
          <w:sz w:val="28"/>
          <w:szCs w:val="28"/>
          <w:lang w:val="uk-UA"/>
        </w:rPr>
        <w:t>Wiltin</w:t>
      </w:r>
      <w:proofErr w:type="spellEnd"/>
      <w:r w:rsidR="00B73EC5" w:rsidRPr="005F0419">
        <w:rPr>
          <w:rFonts w:ascii="Times New Roman" w:hAnsi="Times New Roman" w:cs="Times New Roman"/>
          <w:sz w:val="28"/>
          <w:szCs w:val="28"/>
          <w:lang w:val="uk-UA"/>
        </w:rPr>
        <w:t xml:space="preserve">, H.C., </w:t>
      </w:r>
      <w:proofErr w:type="spellStart"/>
      <w:r w:rsidR="00B73EC5" w:rsidRPr="005F0419">
        <w:rPr>
          <w:rFonts w:ascii="Times New Roman" w:hAnsi="Times New Roman" w:cs="Times New Roman"/>
          <w:sz w:val="28"/>
          <w:szCs w:val="28"/>
          <w:lang w:val="uk-UA"/>
        </w:rPr>
        <w:t>Lenzen</w:t>
      </w:r>
      <w:proofErr w:type="spellEnd"/>
      <w:r w:rsidR="00B73EC5" w:rsidRPr="005F0419">
        <w:rPr>
          <w:rFonts w:ascii="Times New Roman" w:hAnsi="Times New Roman" w:cs="Times New Roman"/>
          <w:sz w:val="28"/>
          <w:szCs w:val="28"/>
          <w:lang w:val="uk-UA"/>
        </w:rPr>
        <w:t xml:space="preserve"> M., </w:t>
      </w:r>
      <w:proofErr w:type="spellStart"/>
      <w:r w:rsidR="00B73EC5" w:rsidRPr="005F0419">
        <w:rPr>
          <w:rFonts w:ascii="Times New Roman" w:hAnsi="Times New Roman" w:cs="Times New Roman"/>
          <w:sz w:val="28"/>
          <w:szCs w:val="28"/>
          <w:lang w:val="uk-UA"/>
        </w:rPr>
        <w:t>Lutter</w:t>
      </w:r>
      <w:proofErr w:type="spellEnd"/>
      <w:r w:rsidR="00B73EC5" w:rsidRPr="005F0419">
        <w:rPr>
          <w:rFonts w:ascii="Times New Roman" w:hAnsi="Times New Roman" w:cs="Times New Roman"/>
          <w:sz w:val="28"/>
          <w:szCs w:val="28"/>
          <w:lang w:val="uk-UA"/>
        </w:rPr>
        <w:t xml:space="preserve"> S., </w:t>
      </w:r>
      <w:proofErr w:type="spellStart"/>
      <w:r w:rsidR="00B73EC5" w:rsidRPr="005F0419">
        <w:rPr>
          <w:rFonts w:ascii="Times New Roman" w:hAnsi="Times New Roman" w:cs="Times New Roman"/>
          <w:sz w:val="28"/>
          <w:szCs w:val="28"/>
          <w:lang w:val="uk-UA"/>
        </w:rPr>
        <w:t>Palm</w:t>
      </w:r>
      <w:proofErr w:type="spellEnd"/>
      <w:r w:rsidR="00B73EC5" w:rsidRPr="005F0419">
        <w:rPr>
          <w:rFonts w:ascii="Times New Roman" w:hAnsi="Times New Roman" w:cs="Times New Roman"/>
          <w:sz w:val="28"/>
          <w:szCs w:val="28"/>
          <w:lang w:val="uk-UA"/>
        </w:rPr>
        <w:t xml:space="preserve"> V. </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2011</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Quo</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Vadis</w:t>
      </w:r>
      <w:proofErr w:type="spellEnd"/>
      <w:r w:rsidR="00B73EC5" w:rsidRPr="005F0419">
        <w:rPr>
          <w:rFonts w:ascii="Times New Roman" w:hAnsi="Times New Roman" w:cs="Times New Roman"/>
          <w:sz w:val="28"/>
          <w:szCs w:val="28"/>
          <w:lang w:val="uk-UA"/>
        </w:rPr>
        <w:t xml:space="preserve"> MRIO? </w:t>
      </w:r>
      <w:proofErr w:type="spellStart"/>
      <w:r w:rsidR="00B73EC5" w:rsidRPr="005F0419">
        <w:rPr>
          <w:rFonts w:ascii="Times New Roman" w:hAnsi="Times New Roman" w:cs="Times New Roman"/>
          <w:sz w:val="28"/>
          <w:szCs w:val="28"/>
          <w:lang w:val="uk-UA"/>
        </w:rPr>
        <w:t>Methodological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data</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institutional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requirements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multi-region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input</w:t>
      </w:r>
      <w:proofErr w:type="spellEnd"/>
      <w:r w:rsidR="00B73EC5" w:rsidRPr="005F0419">
        <w:rPr>
          <w:rFonts w:ascii="Times New Roman" w:hAnsi="Times New Roman" w:cs="Times New Roman"/>
          <w:sz w:val="28"/>
          <w:szCs w:val="28"/>
          <w:lang w:val="uk-UA"/>
        </w:rPr>
        <w:t>–</w:t>
      </w:r>
      <w:proofErr w:type="spellStart"/>
      <w:r w:rsidR="00B73EC5" w:rsidRPr="005F0419">
        <w:rPr>
          <w:rFonts w:ascii="Times New Roman" w:hAnsi="Times New Roman" w:cs="Times New Roman"/>
          <w:sz w:val="28"/>
          <w:szCs w:val="28"/>
          <w:lang w:val="uk-UA"/>
        </w:rPr>
        <w:t>output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analysis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Ecological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Economics</w:t>
      </w:r>
      <w:proofErr w:type="spellEnd"/>
      <w:r w:rsidR="00B73EC5" w:rsidRPr="005F0419">
        <w:rPr>
          <w:rFonts w:ascii="Times New Roman" w:hAnsi="Times New Roman" w:cs="Times New Roman"/>
          <w:sz w:val="28"/>
          <w:szCs w:val="28"/>
          <w:lang w:val="uk-UA"/>
        </w:rPr>
        <w:t xml:space="preserve"> 70(11), 1937-1945.</w:t>
      </w:r>
    </w:p>
    <w:p w14:paraId="30EA0C06" w14:textId="6AAE24A2"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55. </w:t>
      </w:r>
      <w:proofErr w:type="spellStart"/>
      <w:r w:rsidR="00B73EC5" w:rsidRPr="005F0419">
        <w:rPr>
          <w:rFonts w:ascii="Times New Roman" w:hAnsi="Times New Roman" w:cs="Times New Roman"/>
          <w:sz w:val="28"/>
          <w:szCs w:val="28"/>
          <w:lang w:val="uk-UA"/>
        </w:rPr>
        <w:t>Chen</w:t>
      </w:r>
      <w:proofErr w:type="spellEnd"/>
      <w:r w:rsidR="00B73EC5" w:rsidRPr="005F0419">
        <w:rPr>
          <w:rFonts w:ascii="Times New Roman" w:hAnsi="Times New Roman" w:cs="Times New Roman"/>
          <w:sz w:val="28"/>
          <w:szCs w:val="28"/>
          <w:lang w:val="uk-UA"/>
        </w:rPr>
        <w:t xml:space="preserve"> Z.-M., </w:t>
      </w:r>
      <w:proofErr w:type="spellStart"/>
      <w:r w:rsidR="00B73EC5" w:rsidRPr="005F0419">
        <w:rPr>
          <w:rFonts w:ascii="Times New Roman" w:hAnsi="Times New Roman" w:cs="Times New Roman"/>
          <w:sz w:val="28"/>
          <w:szCs w:val="28"/>
          <w:lang w:val="uk-UA"/>
        </w:rPr>
        <w:t>Chen</w:t>
      </w:r>
      <w:proofErr w:type="spellEnd"/>
      <w:r w:rsidR="00B73EC5" w:rsidRPr="005F0419">
        <w:rPr>
          <w:rFonts w:ascii="Times New Roman" w:hAnsi="Times New Roman" w:cs="Times New Roman"/>
          <w:sz w:val="28"/>
          <w:szCs w:val="28"/>
          <w:lang w:val="uk-UA"/>
        </w:rPr>
        <w:t xml:space="preserve"> G.Q. </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2013</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Virtual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accounting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globalized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world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international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virtual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trade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Ecological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Indicators</w:t>
      </w:r>
      <w:proofErr w:type="spellEnd"/>
      <w:r w:rsidR="00B73EC5" w:rsidRPr="005F0419">
        <w:rPr>
          <w:rFonts w:ascii="Times New Roman" w:hAnsi="Times New Roman" w:cs="Times New Roman"/>
          <w:sz w:val="28"/>
          <w:szCs w:val="28"/>
          <w:lang w:val="uk-UA"/>
        </w:rPr>
        <w:t xml:space="preserve"> 28, 142-149.</w:t>
      </w:r>
    </w:p>
    <w:p w14:paraId="1DDC1940" w14:textId="21FDDF69"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56. </w:t>
      </w:r>
      <w:proofErr w:type="spellStart"/>
      <w:r w:rsidR="00B73EC5" w:rsidRPr="005F0419">
        <w:rPr>
          <w:rFonts w:ascii="Times New Roman" w:hAnsi="Times New Roman" w:cs="Times New Roman"/>
          <w:sz w:val="28"/>
          <w:szCs w:val="28"/>
          <w:lang w:val="uk-UA"/>
        </w:rPr>
        <w:t>Bruckner</w:t>
      </w:r>
      <w:proofErr w:type="spellEnd"/>
      <w:r w:rsidR="00B73EC5" w:rsidRPr="005F0419">
        <w:rPr>
          <w:rFonts w:ascii="Times New Roman" w:hAnsi="Times New Roman" w:cs="Times New Roman"/>
          <w:sz w:val="28"/>
          <w:szCs w:val="28"/>
          <w:lang w:val="uk-UA"/>
        </w:rPr>
        <w:t xml:space="preserve"> M., </w:t>
      </w:r>
      <w:proofErr w:type="spellStart"/>
      <w:r w:rsidR="00B73EC5" w:rsidRPr="005F0419">
        <w:rPr>
          <w:rFonts w:ascii="Times New Roman" w:hAnsi="Times New Roman" w:cs="Times New Roman"/>
          <w:sz w:val="28"/>
          <w:szCs w:val="28"/>
          <w:lang w:val="uk-UA"/>
        </w:rPr>
        <w:t>Giljum</w:t>
      </w:r>
      <w:proofErr w:type="spellEnd"/>
      <w:r w:rsidR="00B73EC5" w:rsidRPr="005F0419">
        <w:rPr>
          <w:rFonts w:ascii="Times New Roman" w:hAnsi="Times New Roman" w:cs="Times New Roman"/>
          <w:sz w:val="28"/>
          <w:szCs w:val="28"/>
          <w:lang w:val="uk-UA"/>
        </w:rPr>
        <w:t xml:space="preserve"> S., </w:t>
      </w:r>
      <w:proofErr w:type="spellStart"/>
      <w:r w:rsidR="00B73EC5" w:rsidRPr="005F0419">
        <w:rPr>
          <w:rFonts w:ascii="Times New Roman" w:hAnsi="Times New Roman" w:cs="Times New Roman"/>
          <w:sz w:val="28"/>
          <w:szCs w:val="28"/>
          <w:lang w:val="uk-UA"/>
        </w:rPr>
        <w:t>Lut</w:t>
      </w:r>
      <w:proofErr w:type="spellEnd"/>
      <w:r w:rsidR="00B73EC5" w:rsidRPr="005F0419">
        <w:rPr>
          <w:rFonts w:ascii="Times New Roman" w:hAnsi="Times New Roman" w:cs="Times New Roman"/>
          <w:sz w:val="28"/>
          <w:szCs w:val="28"/>
          <w:lang w:val="uk-UA"/>
        </w:rPr>
        <w:t xml:space="preserve">, C., </w:t>
      </w:r>
      <w:proofErr w:type="spellStart"/>
      <w:r w:rsidR="00B73EC5" w:rsidRPr="005F0419">
        <w:rPr>
          <w:rFonts w:ascii="Times New Roman" w:hAnsi="Times New Roman" w:cs="Times New Roman"/>
          <w:sz w:val="28"/>
          <w:szCs w:val="28"/>
          <w:lang w:val="uk-UA"/>
        </w:rPr>
        <w:t>Wiebe</w:t>
      </w:r>
      <w:proofErr w:type="spellEnd"/>
      <w:r w:rsidR="00B73EC5" w:rsidRPr="005F0419">
        <w:rPr>
          <w:rFonts w:ascii="Times New Roman" w:hAnsi="Times New Roman" w:cs="Times New Roman"/>
          <w:sz w:val="28"/>
          <w:szCs w:val="28"/>
          <w:lang w:val="uk-UA"/>
        </w:rPr>
        <w:t xml:space="preserve"> K.S. </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2012</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Materials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embodied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international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trade</w:t>
      </w:r>
      <w:proofErr w:type="spellEnd"/>
      <w:r w:rsidR="00B73EC5" w:rsidRPr="005F0419">
        <w:rPr>
          <w:rFonts w:ascii="Times New Roman" w:hAnsi="Times New Roman" w:cs="Times New Roman"/>
          <w:sz w:val="28"/>
          <w:szCs w:val="28"/>
          <w:lang w:val="uk-UA"/>
        </w:rPr>
        <w:t>–</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material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extraction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consumption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between</w:t>
      </w:r>
      <w:proofErr w:type="spellEnd"/>
      <w:r w:rsidR="00B73EC5" w:rsidRPr="005F0419">
        <w:rPr>
          <w:rFonts w:ascii="Times New Roman" w:hAnsi="Times New Roman" w:cs="Times New Roman"/>
          <w:sz w:val="28"/>
          <w:szCs w:val="28"/>
          <w:lang w:val="uk-UA"/>
        </w:rPr>
        <w:t xml:space="preserve"> 1995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2005.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Environmental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Change</w:t>
      </w:r>
      <w:proofErr w:type="spellEnd"/>
      <w:r w:rsidR="00B73EC5" w:rsidRPr="005F0419">
        <w:rPr>
          <w:rFonts w:ascii="Times New Roman" w:hAnsi="Times New Roman" w:cs="Times New Roman"/>
          <w:sz w:val="28"/>
          <w:szCs w:val="28"/>
          <w:lang w:val="uk-UA"/>
        </w:rPr>
        <w:t>.</w:t>
      </w:r>
      <w:r w:rsidR="0094434C" w:rsidRPr="005F0419">
        <w:rPr>
          <w:rFonts w:ascii="Times New Roman" w:hAnsi="Times New Roman" w:cs="Times New Roman"/>
          <w:sz w:val="28"/>
          <w:szCs w:val="28"/>
          <w:lang w:val="uk-UA"/>
        </w:rPr>
        <w:t xml:space="preserve"> </w:t>
      </w:r>
    </w:p>
    <w:p w14:paraId="1FC16247" w14:textId="3DF01EF0"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57. </w:t>
      </w:r>
      <w:proofErr w:type="spellStart"/>
      <w:r w:rsidR="00B73EC5" w:rsidRPr="005F0419">
        <w:rPr>
          <w:rFonts w:ascii="Times New Roman" w:hAnsi="Times New Roman" w:cs="Times New Roman"/>
          <w:sz w:val="28"/>
          <w:szCs w:val="28"/>
          <w:lang w:val="uk-UA"/>
        </w:rPr>
        <w:t>Daniels</w:t>
      </w:r>
      <w:proofErr w:type="spellEnd"/>
      <w:r w:rsidR="00B73EC5" w:rsidRPr="005F0419">
        <w:rPr>
          <w:rFonts w:ascii="Times New Roman" w:hAnsi="Times New Roman" w:cs="Times New Roman"/>
          <w:sz w:val="28"/>
          <w:szCs w:val="28"/>
          <w:lang w:val="uk-UA"/>
        </w:rPr>
        <w:t xml:space="preserve"> P.L., </w:t>
      </w:r>
      <w:proofErr w:type="spellStart"/>
      <w:r w:rsidR="00B73EC5" w:rsidRPr="005F0419">
        <w:rPr>
          <w:rFonts w:ascii="Times New Roman" w:hAnsi="Times New Roman" w:cs="Times New Roman"/>
          <w:sz w:val="28"/>
          <w:szCs w:val="28"/>
          <w:lang w:val="uk-UA"/>
        </w:rPr>
        <w:t>Lenzen</w:t>
      </w:r>
      <w:proofErr w:type="spellEnd"/>
      <w:r w:rsidR="00262779" w:rsidRPr="005F0419">
        <w:rPr>
          <w:rFonts w:ascii="Times New Roman" w:hAnsi="Times New Roman" w:cs="Times New Roman"/>
          <w:sz w:val="28"/>
          <w:szCs w:val="28"/>
          <w:lang w:val="uk-UA"/>
        </w:rPr>
        <w:t xml:space="preserve"> </w:t>
      </w:r>
      <w:r w:rsidR="00B73EC5" w:rsidRPr="005F0419">
        <w:rPr>
          <w:rFonts w:ascii="Times New Roman" w:hAnsi="Times New Roman" w:cs="Times New Roman"/>
          <w:sz w:val="28"/>
          <w:szCs w:val="28"/>
          <w:lang w:val="uk-UA"/>
        </w:rPr>
        <w:t xml:space="preserve">M., </w:t>
      </w:r>
      <w:proofErr w:type="spellStart"/>
      <w:r w:rsidR="00B73EC5" w:rsidRPr="005F0419">
        <w:rPr>
          <w:rFonts w:ascii="Times New Roman" w:hAnsi="Times New Roman" w:cs="Times New Roman"/>
          <w:sz w:val="28"/>
          <w:szCs w:val="28"/>
          <w:lang w:val="uk-UA"/>
        </w:rPr>
        <w:t>Kenway</w:t>
      </w:r>
      <w:proofErr w:type="spellEnd"/>
      <w:r w:rsidR="00B73EC5" w:rsidRPr="005F0419">
        <w:rPr>
          <w:rFonts w:ascii="Times New Roman" w:hAnsi="Times New Roman" w:cs="Times New Roman"/>
          <w:sz w:val="28"/>
          <w:szCs w:val="28"/>
          <w:lang w:val="uk-UA"/>
        </w:rPr>
        <w:t xml:space="preserve"> S.J. </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2011</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outs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use</w:t>
      </w:r>
      <w:proofErr w:type="spellEnd"/>
      <w:r w:rsidR="00B73EC5" w:rsidRPr="005F0419">
        <w:rPr>
          <w:rFonts w:ascii="Times New Roman" w:hAnsi="Times New Roman" w:cs="Times New Roman"/>
          <w:sz w:val="28"/>
          <w:szCs w:val="28"/>
          <w:lang w:val="uk-UA"/>
        </w:rPr>
        <w:t xml:space="preserve">–a </w:t>
      </w:r>
      <w:proofErr w:type="spellStart"/>
      <w:r w:rsidR="00B73EC5" w:rsidRPr="005F0419">
        <w:rPr>
          <w:rFonts w:ascii="Times New Roman" w:hAnsi="Times New Roman" w:cs="Times New Roman"/>
          <w:sz w:val="28"/>
          <w:szCs w:val="28"/>
          <w:lang w:val="uk-UA"/>
        </w:rPr>
        <w:t>review</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multi-region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input</w:t>
      </w:r>
      <w:proofErr w:type="spellEnd"/>
      <w:r w:rsidR="00B73EC5" w:rsidRPr="005F0419">
        <w:rPr>
          <w:rFonts w:ascii="Times New Roman" w:hAnsi="Times New Roman" w:cs="Times New Roman"/>
          <w:sz w:val="28"/>
          <w:szCs w:val="28"/>
          <w:lang w:val="uk-UA"/>
        </w:rPr>
        <w:t>–</w:t>
      </w:r>
      <w:proofErr w:type="spellStart"/>
      <w:r w:rsidR="00B73EC5" w:rsidRPr="005F0419">
        <w:rPr>
          <w:rFonts w:ascii="Times New Roman" w:hAnsi="Times New Roman" w:cs="Times New Roman"/>
          <w:sz w:val="28"/>
          <w:szCs w:val="28"/>
          <w:lang w:val="uk-UA"/>
        </w:rPr>
        <w:t>output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analysis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regional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sustainability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analysis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policy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Economic</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Systems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Research</w:t>
      </w:r>
      <w:proofErr w:type="spellEnd"/>
      <w:r w:rsidR="00B73EC5" w:rsidRPr="005F0419">
        <w:rPr>
          <w:rFonts w:ascii="Times New Roman" w:hAnsi="Times New Roman" w:cs="Times New Roman"/>
          <w:sz w:val="28"/>
          <w:szCs w:val="28"/>
          <w:lang w:val="uk-UA"/>
        </w:rPr>
        <w:t xml:space="preserve"> 23(4), 353-370.</w:t>
      </w:r>
    </w:p>
    <w:p w14:paraId="58E3EFD8" w14:textId="15FEA7EC"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58. </w:t>
      </w:r>
      <w:proofErr w:type="spellStart"/>
      <w:r w:rsidR="00B73EC5" w:rsidRPr="005F0419">
        <w:rPr>
          <w:rFonts w:ascii="Times New Roman" w:hAnsi="Times New Roman" w:cs="Times New Roman"/>
          <w:sz w:val="28"/>
          <w:szCs w:val="28"/>
          <w:lang w:val="uk-UA"/>
        </w:rPr>
        <w:t>Dittrich</w:t>
      </w:r>
      <w:proofErr w:type="spellEnd"/>
      <w:r w:rsidR="00B73EC5" w:rsidRPr="005F0419">
        <w:rPr>
          <w:rFonts w:ascii="Times New Roman" w:hAnsi="Times New Roman" w:cs="Times New Roman"/>
          <w:sz w:val="28"/>
          <w:szCs w:val="28"/>
          <w:lang w:val="uk-UA"/>
        </w:rPr>
        <w:t xml:space="preserve"> M., </w:t>
      </w:r>
      <w:proofErr w:type="spellStart"/>
      <w:r w:rsidR="00B73EC5" w:rsidRPr="005F0419">
        <w:rPr>
          <w:rFonts w:ascii="Times New Roman" w:hAnsi="Times New Roman" w:cs="Times New Roman"/>
          <w:sz w:val="28"/>
          <w:szCs w:val="28"/>
          <w:lang w:val="uk-UA"/>
        </w:rPr>
        <w:t>Bringezu</w:t>
      </w:r>
      <w:proofErr w:type="spellEnd"/>
      <w:r w:rsidR="00B73EC5" w:rsidRPr="005F0419">
        <w:rPr>
          <w:rFonts w:ascii="Times New Roman" w:hAnsi="Times New Roman" w:cs="Times New Roman"/>
          <w:sz w:val="28"/>
          <w:szCs w:val="28"/>
          <w:lang w:val="uk-UA"/>
        </w:rPr>
        <w:t xml:space="preserve"> S., </w:t>
      </w:r>
      <w:proofErr w:type="spellStart"/>
      <w:r w:rsidR="00B73EC5" w:rsidRPr="005F0419">
        <w:rPr>
          <w:rFonts w:ascii="Times New Roman" w:hAnsi="Times New Roman" w:cs="Times New Roman"/>
          <w:sz w:val="28"/>
          <w:szCs w:val="28"/>
          <w:lang w:val="uk-UA"/>
        </w:rPr>
        <w:t>Schütz</w:t>
      </w:r>
      <w:proofErr w:type="spellEnd"/>
      <w:r w:rsidR="00B73EC5" w:rsidRPr="005F0419">
        <w:rPr>
          <w:rFonts w:ascii="Times New Roman" w:hAnsi="Times New Roman" w:cs="Times New Roman"/>
          <w:sz w:val="28"/>
          <w:szCs w:val="28"/>
          <w:lang w:val="uk-UA"/>
        </w:rPr>
        <w:t xml:space="preserve"> H. </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2012</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physical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dimension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international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trade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part</w:t>
      </w:r>
      <w:proofErr w:type="spellEnd"/>
      <w:r w:rsidR="00B73EC5" w:rsidRPr="005F0419">
        <w:rPr>
          <w:rFonts w:ascii="Times New Roman" w:hAnsi="Times New Roman" w:cs="Times New Roman"/>
          <w:sz w:val="28"/>
          <w:szCs w:val="28"/>
          <w:lang w:val="uk-UA"/>
        </w:rPr>
        <w:t xml:space="preserve"> 2: </w:t>
      </w:r>
      <w:proofErr w:type="spellStart"/>
      <w:r w:rsidR="00B73EC5" w:rsidRPr="005F0419">
        <w:rPr>
          <w:rFonts w:ascii="Times New Roman" w:hAnsi="Times New Roman" w:cs="Times New Roman"/>
          <w:sz w:val="28"/>
          <w:szCs w:val="28"/>
          <w:lang w:val="uk-UA"/>
        </w:rPr>
        <w:t>Indirect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resource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flows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between</w:t>
      </w:r>
      <w:proofErr w:type="spellEnd"/>
      <w:r w:rsidR="00B73EC5" w:rsidRPr="005F0419">
        <w:rPr>
          <w:rFonts w:ascii="Times New Roman" w:hAnsi="Times New Roman" w:cs="Times New Roman"/>
          <w:sz w:val="28"/>
          <w:szCs w:val="28"/>
          <w:lang w:val="uk-UA"/>
        </w:rPr>
        <w:t xml:space="preserve"> 1962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2005. </w:t>
      </w:r>
      <w:proofErr w:type="spellStart"/>
      <w:r w:rsidR="00B73EC5" w:rsidRPr="005F0419">
        <w:rPr>
          <w:rFonts w:ascii="Times New Roman" w:hAnsi="Times New Roman" w:cs="Times New Roman"/>
          <w:sz w:val="28"/>
          <w:szCs w:val="28"/>
          <w:lang w:val="uk-UA"/>
        </w:rPr>
        <w:t>Ecological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Economics</w:t>
      </w:r>
      <w:proofErr w:type="spellEnd"/>
      <w:r w:rsidR="00B73EC5" w:rsidRPr="005F0419">
        <w:rPr>
          <w:rFonts w:ascii="Times New Roman" w:hAnsi="Times New Roman" w:cs="Times New Roman"/>
          <w:sz w:val="28"/>
          <w:szCs w:val="28"/>
          <w:lang w:val="uk-UA"/>
        </w:rPr>
        <w:t>.</w:t>
      </w:r>
    </w:p>
    <w:p w14:paraId="3B751832" w14:textId="267ADBEB"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59. </w:t>
      </w:r>
      <w:proofErr w:type="spellStart"/>
      <w:r w:rsidR="00B73EC5" w:rsidRPr="005F0419">
        <w:rPr>
          <w:rFonts w:ascii="Times New Roman" w:hAnsi="Times New Roman" w:cs="Times New Roman"/>
          <w:sz w:val="28"/>
          <w:szCs w:val="28"/>
          <w:lang w:val="uk-UA"/>
        </w:rPr>
        <w:t>Mekonnen</w:t>
      </w:r>
      <w:proofErr w:type="spellEnd"/>
      <w:r w:rsidR="00B73EC5" w:rsidRPr="005F0419">
        <w:rPr>
          <w:rFonts w:ascii="Times New Roman" w:hAnsi="Times New Roman" w:cs="Times New Roman"/>
          <w:sz w:val="28"/>
          <w:szCs w:val="28"/>
          <w:lang w:val="uk-UA"/>
        </w:rPr>
        <w:t xml:space="preserve"> M.M., </w:t>
      </w:r>
      <w:proofErr w:type="spellStart"/>
      <w:r w:rsidR="00B73EC5" w:rsidRPr="005F0419">
        <w:rPr>
          <w:rFonts w:ascii="Times New Roman" w:hAnsi="Times New Roman" w:cs="Times New Roman"/>
          <w:sz w:val="28"/>
          <w:szCs w:val="28"/>
          <w:lang w:val="uk-UA"/>
        </w:rPr>
        <w:t>Hoekstra</w:t>
      </w:r>
      <w:proofErr w:type="spellEnd"/>
      <w:r w:rsidR="00B73EC5" w:rsidRPr="005F0419">
        <w:rPr>
          <w:rFonts w:ascii="Times New Roman" w:hAnsi="Times New Roman" w:cs="Times New Roman"/>
          <w:sz w:val="28"/>
          <w:szCs w:val="28"/>
          <w:lang w:val="uk-UA"/>
        </w:rPr>
        <w:t xml:space="preserve"> A.Y. </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2011</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National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accounts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green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blue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grey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consumption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Value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Research</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Report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Series</w:t>
      </w:r>
      <w:proofErr w:type="spellEnd"/>
      <w:r w:rsidR="00B73EC5" w:rsidRPr="005F0419">
        <w:rPr>
          <w:rFonts w:ascii="Times New Roman" w:hAnsi="Times New Roman" w:cs="Times New Roman"/>
          <w:sz w:val="28"/>
          <w:szCs w:val="28"/>
          <w:lang w:val="uk-UA"/>
        </w:rPr>
        <w:t xml:space="preserve"> 50, UNESCOIHE, </w:t>
      </w:r>
      <w:proofErr w:type="spellStart"/>
      <w:r w:rsidR="00B73EC5" w:rsidRPr="005F0419">
        <w:rPr>
          <w:rFonts w:ascii="Times New Roman" w:hAnsi="Times New Roman" w:cs="Times New Roman"/>
          <w:sz w:val="28"/>
          <w:szCs w:val="28"/>
          <w:lang w:val="uk-UA"/>
        </w:rPr>
        <w:t>Delft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Netherland</w:t>
      </w:r>
      <w:proofErr w:type="spellEnd"/>
      <w:r w:rsidR="00262779" w:rsidRPr="005F0419">
        <w:rPr>
          <w:rFonts w:ascii="Times New Roman" w:hAnsi="Times New Roman" w:cs="Times New Roman"/>
          <w:sz w:val="28"/>
          <w:szCs w:val="28"/>
          <w:lang w:val="uk-UA"/>
        </w:rPr>
        <w:t>/</w:t>
      </w:r>
    </w:p>
    <w:p w14:paraId="162E1121" w14:textId="0582700B"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60. </w:t>
      </w:r>
      <w:proofErr w:type="spellStart"/>
      <w:r w:rsidR="00B73EC5" w:rsidRPr="005F0419">
        <w:rPr>
          <w:rFonts w:ascii="Times New Roman" w:hAnsi="Times New Roman" w:cs="Times New Roman"/>
          <w:sz w:val="28"/>
          <w:szCs w:val="28"/>
          <w:lang w:val="uk-UA"/>
        </w:rPr>
        <w:t>Wiedmann</w:t>
      </w:r>
      <w:proofErr w:type="spellEnd"/>
      <w:r w:rsidR="00B73EC5" w:rsidRPr="005F0419">
        <w:rPr>
          <w:rFonts w:ascii="Times New Roman" w:hAnsi="Times New Roman" w:cs="Times New Roman"/>
          <w:sz w:val="28"/>
          <w:szCs w:val="28"/>
          <w:lang w:val="uk-UA"/>
        </w:rPr>
        <w:t xml:space="preserve"> T. </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2011</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Carbon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Input-Output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Analysis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introduction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Economic</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Systems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Research</w:t>
      </w:r>
      <w:proofErr w:type="spellEnd"/>
      <w:r w:rsidR="00B73EC5" w:rsidRPr="005F0419">
        <w:rPr>
          <w:rFonts w:ascii="Times New Roman" w:hAnsi="Times New Roman" w:cs="Times New Roman"/>
          <w:sz w:val="28"/>
          <w:szCs w:val="28"/>
          <w:lang w:val="uk-UA"/>
        </w:rPr>
        <w:t xml:space="preserve"> 21(3), 175-186.</w:t>
      </w:r>
    </w:p>
    <w:p w14:paraId="0053E619" w14:textId="1C50ED08"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61. </w:t>
      </w:r>
      <w:proofErr w:type="spellStart"/>
      <w:r w:rsidR="00B73EC5" w:rsidRPr="005F0419">
        <w:rPr>
          <w:rFonts w:ascii="Times New Roman" w:hAnsi="Times New Roman" w:cs="Times New Roman"/>
          <w:sz w:val="28"/>
          <w:szCs w:val="28"/>
          <w:lang w:val="uk-UA"/>
        </w:rPr>
        <w:t>Bruckner</w:t>
      </w:r>
      <w:proofErr w:type="spellEnd"/>
      <w:r w:rsidR="00B73EC5" w:rsidRPr="005F0419">
        <w:rPr>
          <w:rFonts w:ascii="Times New Roman" w:hAnsi="Times New Roman" w:cs="Times New Roman"/>
          <w:sz w:val="28"/>
          <w:szCs w:val="28"/>
          <w:lang w:val="uk-UA"/>
        </w:rPr>
        <w:t xml:space="preserve"> M., </w:t>
      </w:r>
      <w:proofErr w:type="spellStart"/>
      <w:r w:rsidR="00B73EC5" w:rsidRPr="005F0419">
        <w:rPr>
          <w:rFonts w:ascii="Times New Roman" w:hAnsi="Times New Roman" w:cs="Times New Roman"/>
          <w:sz w:val="28"/>
          <w:szCs w:val="28"/>
          <w:lang w:val="uk-UA"/>
        </w:rPr>
        <w:t>Lugschitz</w:t>
      </w:r>
      <w:proofErr w:type="spellEnd"/>
      <w:r w:rsidR="00B73EC5" w:rsidRPr="005F0419">
        <w:rPr>
          <w:rFonts w:ascii="Times New Roman" w:hAnsi="Times New Roman" w:cs="Times New Roman"/>
          <w:sz w:val="28"/>
          <w:szCs w:val="28"/>
          <w:lang w:val="uk-UA"/>
        </w:rPr>
        <w:t xml:space="preserve"> B., </w:t>
      </w:r>
      <w:proofErr w:type="spellStart"/>
      <w:r w:rsidR="00B73EC5" w:rsidRPr="005F0419">
        <w:rPr>
          <w:rFonts w:ascii="Times New Roman" w:hAnsi="Times New Roman" w:cs="Times New Roman"/>
          <w:sz w:val="28"/>
          <w:szCs w:val="28"/>
          <w:lang w:val="uk-UA"/>
        </w:rPr>
        <w:t>Giljum</w:t>
      </w:r>
      <w:proofErr w:type="spellEnd"/>
      <w:r w:rsidR="00B73EC5" w:rsidRPr="005F0419">
        <w:rPr>
          <w:rFonts w:ascii="Times New Roman" w:hAnsi="Times New Roman" w:cs="Times New Roman"/>
          <w:sz w:val="28"/>
          <w:szCs w:val="28"/>
          <w:lang w:val="uk-UA"/>
        </w:rPr>
        <w:t xml:space="preserve"> S. </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2012</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Turkey's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virtual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demand</w:t>
      </w:r>
      <w:proofErr w:type="spellEnd"/>
      <w:r w:rsidR="00B73EC5" w:rsidRPr="005F0419">
        <w:rPr>
          <w:rFonts w:ascii="Times New Roman" w:hAnsi="Times New Roman" w:cs="Times New Roman"/>
          <w:sz w:val="28"/>
          <w:szCs w:val="28"/>
          <w:lang w:val="uk-UA"/>
        </w:rPr>
        <w:t xml:space="preserve">. A </w:t>
      </w:r>
      <w:proofErr w:type="spellStart"/>
      <w:r w:rsidR="00B73EC5" w:rsidRPr="005F0419">
        <w:rPr>
          <w:rFonts w:ascii="Times New Roman" w:hAnsi="Times New Roman" w:cs="Times New Roman"/>
          <w:sz w:val="28"/>
          <w:szCs w:val="28"/>
          <w:lang w:val="uk-UA"/>
        </w:rPr>
        <w:t>study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virtual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embodied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Turkey‘s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imports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exports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agricultural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Sustainable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Europe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Research</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Institute</w:t>
      </w:r>
      <w:proofErr w:type="spellEnd"/>
      <w:r w:rsidR="00B73EC5" w:rsidRPr="005F0419">
        <w:rPr>
          <w:rFonts w:ascii="Times New Roman" w:hAnsi="Times New Roman" w:cs="Times New Roman"/>
          <w:sz w:val="28"/>
          <w:szCs w:val="28"/>
          <w:lang w:val="uk-UA"/>
        </w:rPr>
        <w:t xml:space="preserve"> (SERI).</w:t>
      </w:r>
      <w:r w:rsidR="00262779" w:rsidRPr="005F0419">
        <w:rPr>
          <w:rFonts w:ascii="Times New Roman" w:hAnsi="Times New Roman" w:cs="Times New Roman"/>
          <w:sz w:val="28"/>
          <w:szCs w:val="28"/>
          <w:lang w:val="uk-UA"/>
        </w:rPr>
        <w:t xml:space="preserve"> URL: </w:t>
      </w:r>
      <w:hyperlink r:id="rId92" w:history="1">
        <w:r w:rsidR="00262779" w:rsidRPr="005F0419">
          <w:rPr>
            <w:rStyle w:val="a6"/>
            <w:rFonts w:ascii="Times New Roman" w:hAnsi="Times New Roman" w:cs="Times New Roman"/>
            <w:color w:val="auto"/>
            <w:sz w:val="28"/>
            <w:szCs w:val="28"/>
            <w:lang w:val="uk-UA"/>
          </w:rPr>
          <w:t>http://surl.li/raopl</w:t>
        </w:r>
      </w:hyperlink>
      <w:r w:rsidR="00262779" w:rsidRPr="005F0419">
        <w:rPr>
          <w:rFonts w:ascii="Times New Roman" w:hAnsi="Times New Roman" w:cs="Times New Roman"/>
          <w:sz w:val="28"/>
          <w:szCs w:val="28"/>
          <w:lang w:val="uk-UA"/>
        </w:rPr>
        <w:t xml:space="preserve"> </w:t>
      </w:r>
    </w:p>
    <w:p w14:paraId="2DAF0F05" w14:textId="6DD7E74C"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62. </w:t>
      </w:r>
      <w:proofErr w:type="spellStart"/>
      <w:r w:rsidR="00B73EC5" w:rsidRPr="005F0419">
        <w:rPr>
          <w:rFonts w:ascii="Times New Roman" w:hAnsi="Times New Roman" w:cs="Times New Roman"/>
          <w:sz w:val="28"/>
          <w:szCs w:val="28"/>
          <w:lang w:val="uk-UA"/>
        </w:rPr>
        <w:t>Rick</w:t>
      </w:r>
      <w:proofErr w:type="spellEnd"/>
      <w:r w:rsidR="00B73EC5" w:rsidRPr="005F0419">
        <w:rPr>
          <w:rFonts w:ascii="Times New Roman" w:hAnsi="Times New Roman" w:cs="Times New Roman"/>
          <w:sz w:val="28"/>
          <w:szCs w:val="28"/>
          <w:lang w:val="uk-UA"/>
        </w:rPr>
        <w:t xml:space="preserve"> J. </w:t>
      </w:r>
      <w:proofErr w:type="spellStart"/>
      <w:r w:rsidR="00B73EC5" w:rsidRPr="005F0419">
        <w:rPr>
          <w:rFonts w:ascii="Times New Roman" w:hAnsi="Times New Roman" w:cs="Times New Roman"/>
          <w:sz w:val="28"/>
          <w:szCs w:val="28"/>
          <w:lang w:val="uk-UA"/>
        </w:rPr>
        <w:t>Hogeboom</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Arjen</w:t>
      </w:r>
      <w:proofErr w:type="spellEnd"/>
      <w:r w:rsidR="00B73EC5" w:rsidRPr="005F0419">
        <w:rPr>
          <w:rFonts w:ascii="Times New Roman" w:hAnsi="Times New Roman" w:cs="Times New Roman"/>
          <w:sz w:val="28"/>
          <w:szCs w:val="28"/>
          <w:lang w:val="uk-UA"/>
        </w:rPr>
        <w:t xml:space="preserve"> Y. </w:t>
      </w:r>
      <w:r w:rsidRPr="005F0419">
        <w:rPr>
          <w:rFonts w:ascii="Times New Roman" w:hAnsi="Times New Roman" w:cs="Times New Roman"/>
          <w:sz w:val="28"/>
          <w:szCs w:val="28"/>
          <w:lang w:val="uk-UA"/>
        </w:rPr>
        <w:t xml:space="preserve">(2017) </w:t>
      </w:r>
      <w:proofErr w:type="spellStart"/>
      <w:r w:rsidR="00B73EC5" w:rsidRPr="005F0419">
        <w:rPr>
          <w:rFonts w:ascii="Times New Roman" w:hAnsi="Times New Roman" w:cs="Times New Roman"/>
          <w:sz w:val="28"/>
          <w:szCs w:val="28"/>
          <w:lang w:val="uk-UA"/>
        </w:rPr>
        <w:t>Hoekstra</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Economic</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Productivity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Factors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Local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Crop</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Choice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Case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Silk</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Malawi</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9, 802</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r w:rsidR="00262779" w:rsidRPr="005F0419">
        <w:rPr>
          <w:rFonts w:ascii="Times New Roman" w:hAnsi="Times New Roman" w:cs="Times New Roman"/>
          <w:sz w:val="28"/>
          <w:szCs w:val="28"/>
          <w:lang w:val="uk-UA"/>
        </w:rPr>
        <w:t>D</w:t>
      </w:r>
      <w:r w:rsidR="00B73EC5" w:rsidRPr="005F0419">
        <w:rPr>
          <w:rFonts w:ascii="Times New Roman" w:hAnsi="Times New Roman" w:cs="Times New Roman"/>
          <w:sz w:val="28"/>
          <w:szCs w:val="28"/>
          <w:lang w:val="uk-UA"/>
        </w:rPr>
        <w:t>oi:10.3390/w9100802.</w:t>
      </w:r>
    </w:p>
    <w:p w14:paraId="2FE006AA" w14:textId="66F1BACB"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63. </w:t>
      </w:r>
      <w:proofErr w:type="spellStart"/>
      <w:r w:rsidR="00B73EC5" w:rsidRPr="005F0419">
        <w:rPr>
          <w:rFonts w:ascii="Times New Roman" w:hAnsi="Times New Roman" w:cs="Times New Roman"/>
          <w:sz w:val="28"/>
          <w:szCs w:val="28"/>
          <w:lang w:val="uk-UA"/>
        </w:rPr>
        <w:t>Hoekstra</w:t>
      </w:r>
      <w:proofErr w:type="spellEnd"/>
      <w:r w:rsidR="00262779" w:rsidRPr="005F0419">
        <w:rPr>
          <w:rFonts w:ascii="Times New Roman" w:hAnsi="Times New Roman" w:cs="Times New Roman"/>
          <w:sz w:val="28"/>
          <w:szCs w:val="28"/>
          <w:lang w:val="uk-UA"/>
        </w:rPr>
        <w:t xml:space="preserve"> </w:t>
      </w:r>
      <w:r w:rsidR="00B73EC5" w:rsidRPr="005F0419">
        <w:rPr>
          <w:rFonts w:ascii="Times New Roman" w:hAnsi="Times New Roman" w:cs="Times New Roman"/>
          <w:sz w:val="28"/>
          <w:szCs w:val="28"/>
          <w:lang w:val="uk-UA"/>
        </w:rPr>
        <w:t>A.Y.</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Wiedmann</w:t>
      </w:r>
      <w:proofErr w:type="spellEnd"/>
      <w:r w:rsidR="00B73EC5" w:rsidRPr="005F0419">
        <w:rPr>
          <w:rFonts w:ascii="Times New Roman" w:hAnsi="Times New Roman" w:cs="Times New Roman"/>
          <w:sz w:val="28"/>
          <w:szCs w:val="28"/>
          <w:lang w:val="uk-UA"/>
        </w:rPr>
        <w:t xml:space="preserve"> T.O. </w:t>
      </w:r>
      <w:r w:rsidRPr="005F0419">
        <w:rPr>
          <w:rFonts w:ascii="Times New Roman" w:hAnsi="Times New Roman" w:cs="Times New Roman"/>
          <w:sz w:val="28"/>
          <w:szCs w:val="28"/>
          <w:lang w:val="uk-UA"/>
        </w:rPr>
        <w:t xml:space="preserve">(2014) </w:t>
      </w:r>
      <w:proofErr w:type="spellStart"/>
      <w:r w:rsidR="00B73EC5" w:rsidRPr="005F0419">
        <w:rPr>
          <w:rFonts w:ascii="Times New Roman" w:hAnsi="Times New Roman" w:cs="Times New Roman"/>
          <w:sz w:val="28"/>
          <w:szCs w:val="28"/>
          <w:lang w:val="uk-UA"/>
        </w:rPr>
        <w:t>Humanity’s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unsustainable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environmental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footprint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Science</w:t>
      </w:r>
      <w:proofErr w:type="spellEnd"/>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344</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1114–1117.</w:t>
      </w:r>
    </w:p>
    <w:p w14:paraId="406C7370" w14:textId="4BEA3AC4"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64. </w:t>
      </w:r>
      <w:proofErr w:type="spellStart"/>
      <w:r w:rsidR="00B73EC5" w:rsidRPr="005F0419">
        <w:rPr>
          <w:rFonts w:ascii="Times New Roman" w:hAnsi="Times New Roman" w:cs="Times New Roman"/>
          <w:sz w:val="28"/>
          <w:szCs w:val="28"/>
          <w:lang w:val="uk-UA"/>
        </w:rPr>
        <w:t>Steffen</w:t>
      </w:r>
      <w:proofErr w:type="spellEnd"/>
      <w:r w:rsidR="00B73EC5" w:rsidRPr="005F0419">
        <w:rPr>
          <w:rFonts w:ascii="Times New Roman" w:hAnsi="Times New Roman" w:cs="Times New Roman"/>
          <w:sz w:val="28"/>
          <w:szCs w:val="28"/>
          <w:lang w:val="uk-UA"/>
        </w:rPr>
        <w:t xml:space="preserve"> W.</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Richardson</w:t>
      </w:r>
      <w:proofErr w:type="spellEnd"/>
      <w:r w:rsidR="00B73EC5" w:rsidRPr="005F0419">
        <w:rPr>
          <w:rFonts w:ascii="Times New Roman" w:hAnsi="Times New Roman" w:cs="Times New Roman"/>
          <w:sz w:val="28"/>
          <w:szCs w:val="28"/>
          <w:lang w:val="uk-UA"/>
        </w:rPr>
        <w:t xml:space="preserve"> K.</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Rockstrom</w:t>
      </w:r>
      <w:proofErr w:type="spellEnd"/>
      <w:r w:rsidR="00B73EC5" w:rsidRPr="005F0419">
        <w:rPr>
          <w:rFonts w:ascii="Times New Roman" w:hAnsi="Times New Roman" w:cs="Times New Roman"/>
          <w:sz w:val="28"/>
          <w:szCs w:val="28"/>
          <w:lang w:val="uk-UA"/>
        </w:rPr>
        <w:t xml:space="preserve"> J.</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Cornell</w:t>
      </w:r>
      <w:proofErr w:type="spellEnd"/>
      <w:r w:rsidR="00B73EC5" w:rsidRPr="005F0419">
        <w:rPr>
          <w:rFonts w:ascii="Times New Roman" w:hAnsi="Times New Roman" w:cs="Times New Roman"/>
          <w:sz w:val="28"/>
          <w:szCs w:val="28"/>
          <w:lang w:val="uk-UA"/>
        </w:rPr>
        <w:t xml:space="preserve"> S.E.</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Fetzer</w:t>
      </w:r>
      <w:proofErr w:type="spellEnd"/>
      <w:r w:rsidR="00B73EC5" w:rsidRPr="005F0419">
        <w:rPr>
          <w:rFonts w:ascii="Times New Roman" w:hAnsi="Times New Roman" w:cs="Times New Roman"/>
          <w:sz w:val="28"/>
          <w:szCs w:val="28"/>
          <w:lang w:val="uk-UA"/>
        </w:rPr>
        <w:t xml:space="preserve"> I.</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Bennett</w:t>
      </w:r>
      <w:proofErr w:type="spellEnd"/>
      <w:r w:rsidR="00B73EC5" w:rsidRPr="005F0419">
        <w:rPr>
          <w:rFonts w:ascii="Times New Roman" w:hAnsi="Times New Roman" w:cs="Times New Roman"/>
          <w:sz w:val="28"/>
          <w:szCs w:val="28"/>
          <w:lang w:val="uk-UA"/>
        </w:rPr>
        <w:t xml:space="preserve"> E.M.</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Biggs</w:t>
      </w:r>
      <w:proofErr w:type="spellEnd"/>
      <w:r w:rsidR="00B73EC5" w:rsidRPr="005F0419">
        <w:rPr>
          <w:rFonts w:ascii="Times New Roman" w:hAnsi="Times New Roman" w:cs="Times New Roman"/>
          <w:sz w:val="28"/>
          <w:szCs w:val="28"/>
          <w:lang w:val="uk-UA"/>
        </w:rPr>
        <w:t xml:space="preserve"> R.</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Carpenter</w:t>
      </w:r>
      <w:proofErr w:type="spellEnd"/>
      <w:r w:rsidR="00B73EC5" w:rsidRPr="005F0419">
        <w:rPr>
          <w:rFonts w:ascii="Times New Roman" w:hAnsi="Times New Roman" w:cs="Times New Roman"/>
          <w:sz w:val="28"/>
          <w:szCs w:val="28"/>
          <w:lang w:val="uk-UA"/>
        </w:rPr>
        <w:t xml:space="preserve"> S.R.</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Vries</w:t>
      </w:r>
      <w:proofErr w:type="spellEnd"/>
      <w:r w:rsidR="00B73EC5" w:rsidRPr="005F0419">
        <w:rPr>
          <w:rFonts w:ascii="Times New Roman" w:hAnsi="Times New Roman" w:cs="Times New Roman"/>
          <w:sz w:val="28"/>
          <w:szCs w:val="28"/>
          <w:lang w:val="uk-UA"/>
        </w:rPr>
        <w:t xml:space="preserve"> W.</w:t>
      </w:r>
      <w:r w:rsidR="00262779"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Wit</w:t>
      </w:r>
      <w:proofErr w:type="spellEnd"/>
      <w:r w:rsidR="00B73EC5" w:rsidRPr="005F0419">
        <w:rPr>
          <w:rFonts w:ascii="Times New Roman" w:hAnsi="Times New Roman" w:cs="Times New Roman"/>
          <w:sz w:val="28"/>
          <w:szCs w:val="28"/>
          <w:lang w:val="uk-UA"/>
        </w:rPr>
        <w:t xml:space="preserve"> C.A. </w:t>
      </w:r>
      <w:proofErr w:type="spellStart"/>
      <w:r w:rsidR="00B73EC5" w:rsidRPr="005F0419">
        <w:rPr>
          <w:rFonts w:ascii="Times New Roman" w:hAnsi="Times New Roman" w:cs="Times New Roman"/>
          <w:sz w:val="28"/>
          <w:szCs w:val="28"/>
          <w:lang w:val="uk-UA"/>
        </w:rPr>
        <w:t>et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al</w:t>
      </w:r>
      <w:proofErr w:type="spellEnd"/>
      <w:r w:rsidR="00B73EC5"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(2015). </w:t>
      </w:r>
      <w:proofErr w:type="spellStart"/>
      <w:r w:rsidR="00B73EC5" w:rsidRPr="005F0419">
        <w:rPr>
          <w:rFonts w:ascii="Times New Roman" w:hAnsi="Times New Roman" w:cs="Times New Roman"/>
          <w:sz w:val="28"/>
          <w:szCs w:val="28"/>
          <w:lang w:val="uk-UA"/>
        </w:rPr>
        <w:t>Sustainability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Planetary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boundaries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Guiding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human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development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on</w:t>
      </w:r>
      <w:proofErr w:type="spellEnd"/>
      <w:r w:rsidR="00B73EC5" w:rsidRPr="005F0419">
        <w:rPr>
          <w:rFonts w:ascii="Times New Roman" w:hAnsi="Times New Roman" w:cs="Times New Roman"/>
          <w:sz w:val="28"/>
          <w:szCs w:val="28"/>
          <w:lang w:val="uk-UA"/>
        </w:rPr>
        <w:t xml:space="preserve"> a </w:t>
      </w:r>
      <w:proofErr w:type="spellStart"/>
      <w:r w:rsidR="00B73EC5" w:rsidRPr="005F0419">
        <w:rPr>
          <w:rFonts w:ascii="Times New Roman" w:hAnsi="Times New Roman" w:cs="Times New Roman"/>
          <w:sz w:val="28"/>
          <w:szCs w:val="28"/>
          <w:lang w:val="uk-UA"/>
        </w:rPr>
        <w:t>changing</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planet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Science</w:t>
      </w:r>
      <w:proofErr w:type="spellEnd"/>
      <w:r w:rsidR="00B73EC5" w:rsidRPr="005F0419">
        <w:rPr>
          <w:rFonts w:ascii="Times New Roman" w:hAnsi="Times New Roman" w:cs="Times New Roman"/>
          <w:sz w:val="28"/>
          <w:szCs w:val="28"/>
          <w:lang w:val="uk-UA"/>
        </w:rPr>
        <w:t xml:space="preserve">, 347. </w:t>
      </w:r>
    </w:p>
    <w:p w14:paraId="1B9554B3" w14:textId="49B699AC"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65. </w:t>
      </w:r>
      <w:proofErr w:type="spellStart"/>
      <w:r w:rsidR="00B73EC5" w:rsidRPr="005F0419">
        <w:rPr>
          <w:rFonts w:ascii="Times New Roman" w:hAnsi="Times New Roman" w:cs="Times New Roman"/>
          <w:sz w:val="28"/>
          <w:szCs w:val="28"/>
          <w:lang w:val="uk-UA"/>
        </w:rPr>
        <w:t>Vörösmarty</w:t>
      </w:r>
      <w:proofErr w:type="spellEnd"/>
      <w:r w:rsidR="00B73EC5" w:rsidRPr="005F0419">
        <w:rPr>
          <w:rFonts w:ascii="Times New Roman" w:hAnsi="Times New Roman" w:cs="Times New Roman"/>
          <w:sz w:val="28"/>
          <w:szCs w:val="28"/>
          <w:lang w:val="uk-UA"/>
        </w:rPr>
        <w:t xml:space="preserve"> C.J.</w:t>
      </w:r>
      <w:r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McIntyre</w:t>
      </w:r>
      <w:proofErr w:type="spellEnd"/>
      <w:r w:rsidR="00B73EC5" w:rsidRPr="005F0419">
        <w:rPr>
          <w:rFonts w:ascii="Times New Roman" w:hAnsi="Times New Roman" w:cs="Times New Roman"/>
          <w:sz w:val="28"/>
          <w:szCs w:val="28"/>
          <w:lang w:val="uk-UA"/>
        </w:rPr>
        <w:t xml:space="preserve"> P.B.</w:t>
      </w:r>
      <w:r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Gessner</w:t>
      </w:r>
      <w:proofErr w:type="spellEnd"/>
      <w:r w:rsidR="00B73EC5" w:rsidRPr="005F0419">
        <w:rPr>
          <w:rFonts w:ascii="Times New Roman" w:hAnsi="Times New Roman" w:cs="Times New Roman"/>
          <w:sz w:val="28"/>
          <w:szCs w:val="28"/>
          <w:lang w:val="uk-UA"/>
        </w:rPr>
        <w:t xml:space="preserve"> M.O.</w:t>
      </w:r>
      <w:r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Dudgeon</w:t>
      </w:r>
      <w:proofErr w:type="spellEnd"/>
      <w:r w:rsidR="00B73EC5" w:rsidRPr="005F0419">
        <w:rPr>
          <w:rFonts w:ascii="Times New Roman" w:hAnsi="Times New Roman" w:cs="Times New Roman"/>
          <w:sz w:val="28"/>
          <w:szCs w:val="28"/>
          <w:lang w:val="uk-UA"/>
        </w:rPr>
        <w:t xml:space="preserve"> D.</w:t>
      </w:r>
      <w:r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Prusevich</w:t>
      </w:r>
      <w:proofErr w:type="spellEnd"/>
      <w:r w:rsidR="00B73EC5" w:rsidRPr="005F0419">
        <w:rPr>
          <w:rFonts w:ascii="Times New Roman" w:hAnsi="Times New Roman" w:cs="Times New Roman"/>
          <w:sz w:val="28"/>
          <w:szCs w:val="28"/>
          <w:lang w:val="uk-UA"/>
        </w:rPr>
        <w:t xml:space="preserve"> A.</w:t>
      </w:r>
      <w:r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Green</w:t>
      </w:r>
      <w:proofErr w:type="spellEnd"/>
      <w:r w:rsidR="00B73EC5" w:rsidRPr="005F0419">
        <w:rPr>
          <w:rFonts w:ascii="Times New Roman" w:hAnsi="Times New Roman" w:cs="Times New Roman"/>
          <w:sz w:val="28"/>
          <w:szCs w:val="28"/>
          <w:lang w:val="uk-UA"/>
        </w:rPr>
        <w:t xml:space="preserve"> P.</w:t>
      </w:r>
      <w:r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Glidden</w:t>
      </w:r>
      <w:proofErr w:type="spellEnd"/>
      <w:r w:rsidR="00B73EC5" w:rsidRPr="005F0419">
        <w:rPr>
          <w:rFonts w:ascii="Times New Roman" w:hAnsi="Times New Roman" w:cs="Times New Roman"/>
          <w:sz w:val="28"/>
          <w:szCs w:val="28"/>
          <w:lang w:val="uk-UA"/>
        </w:rPr>
        <w:t xml:space="preserve"> S.</w:t>
      </w:r>
      <w:r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Bunn</w:t>
      </w:r>
      <w:proofErr w:type="spellEnd"/>
      <w:r w:rsidR="00B73EC5" w:rsidRPr="005F0419">
        <w:rPr>
          <w:rFonts w:ascii="Times New Roman" w:hAnsi="Times New Roman" w:cs="Times New Roman"/>
          <w:sz w:val="28"/>
          <w:szCs w:val="28"/>
          <w:lang w:val="uk-UA"/>
        </w:rPr>
        <w:t xml:space="preserve"> S.E.</w:t>
      </w:r>
      <w:r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Sullivan</w:t>
      </w:r>
      <w:proofErr w:type="spellEnd"/>
      <w:r w:rsidR="00B73EC5" w:rsidRPr="005F0419">
        <w:rPr>
          <w:rFonts w:ascii="Times New Roman" w:hAnsi="Times New Roman" w:cs="Times New Roman"/>
          <w:sz w:val="28"/>
          <w:szCs w:val="28"/>
          <w:lang w:val="uk-UA"/>
        </w:rPr>
        <w:t xml:space="preserve"> C.A.</w:t>
      </w:r>
      <w:r w:rsidRPr="005F0419">
        <w:rPr>
          <w:rFonts w:ascii="Times New Roman" w:hAnsi="Times New Roman" w:cs="Times New Roman"/>
          <w:sz w:val="28"/>
          <w:szCs w:val="28"/>
          <w:lang w:val="uk-UA"/>
        </w:rPr>
        <w:t>,</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Liermann</w:t>
      </w:r>
      <w:proofErr w:type="spellEnd"/>
      <w:r w:rsidR="00B73EC5" w:rsidRPr="005F0419">
        <w:rPr>
          <w:rFonts w:ascii="Times New Roman" w:hAnsi="Times New Roman" w:cs="Times New Roman"/>
          <w:sz w:val="28"/>
          <w:szCs w:val="28"/>
          <w:lang w:val="uk-UA"/>
        </w:rPr>
        <w:t xml:space="preserve"> C.R. </w:t>
      </w:r>
      <w:proofErr w:type="spellStart"/>
      <w:r w:rsidR="00B73EC5" w:rsidRPr="005F0419">
        <w:rPr>
          <w:rFonts w:ascii="Times New Roman" w:hAnsi="Times New Roman" w:cs="Times New Roman"/>
          <w:sz w:val="28"/>
          <w:szCs w:val="28"/>
          <w:lang w:val="uk-UA"/>
        </w:rPr>
        <w:t>et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al</w:t>
      </w:r>
      <w:proofErr w:type="spellEnd"/>
      <w:r w:rsidR="00B73EC5"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(2010).</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Global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threats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to</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human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water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security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and</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river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biodiversity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Nature</w:t>
      </w:r>
      <w:proofErr w:type="spellEnd"/>
      <w:r w:rsidR="00B73EC5" w:rsidRPr="005F0419">
        <w:rPr>
          <w:rFonts w:ascii="Times New Roman" w:hAnsi="Times New Roman" w:cs="Times New Roman"/>
          <w:sz w:val="28"/>
          <w:szCs w:val="28"/>
          <w:lang w:val="uk-UA"/>
        </w:rPr>
        <w:t xml:space="preserve">, 467, 555–561. </w:t>
      </w:r>
    </w:p>
    <w:p w14:paraId="4ADF15AB" w14:textId="3EDD5C57"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66. </w:t>
      </w:r>
      <w:proofErr w:type="spellStart"/>
      <w:r w:rsidR="00B73EC5" w:rsidRPr="005F0419">
        <w:rPr>
          <w:rFonts w:ascii="Times New Roman" w:hAnsi="Times New Roman" w:cs="Times New Roman"/>
          <w:sz w:val="28"/>
          <w:szCs w:val="28"/>
          <w:lang w:val="uk-UA"/>
        </w:rPr>
        <w:t>Hoekstra</w:t>
      </w:r>
      <w:proofErr w:type="spellEnd"/>
      <w:r w:rsidR="00B73EC5" w:rsidRPr="005F0419">
        <w:rPr>
          <w:rFonts w:ascii="Times New Roman" w:hAnsi="Times New Roman" w:cs="Times New Roman"/>
          <w:sz w:val="28"/>
          <w:szCs w:val="28"/>
          <w:lang w:val="uk-UA"/>
        </w:rPr>
        <w:t xml:space="preserve"> A.Y.</w:t>
      </w:r>
      <w:r w:rsidRPr="005F0419">
        <w:rPr>
          <w:rFonts w:ascii="Times New Roman" w:hAnsi="Times New Roman" w:cs="Times New Roman"/>
          <w:sz w:val="28"/>
          <w:szCs w:val="28"/>
          <w:lang w:val="uk-UA"/>
        </w:rPr>
        <w:t xml:space="preserve"> (2015).</w:t>
      </w:r>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The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sustainability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of</w:t>
      </w:r>
      <w:proofErr w:type="spellEnd"/>
      <w:r w:rsidR="00B73EC5" w:rsidRPr="005F0419">
        <w:rPr>
          <w:rFonts w:ascii="Times New Roman" w:hAnsi="Times New Roman" w:cs="Times New Roman"/>
          <w:sz w:val="28"/>
          <w:szCs w:val="28"/>
          <w:lang w:val="uk-UA"/>
        </w:rPr>
        <w:t xml:space="preserve"> a </w:t>
      </w:r>
      <w:proofErr w:type="spellStart"/>
      <w:r w:rsidR="00B73EC5" w:rsidRPr="005F0419">
        <w:rPr>
          <w:rFonts w:ascii="Times New Roman" w:hAnsi="Times New Roman" w:cs="Times New Roman"/>
          <w:sz w:val="28"/>
          <w:szCs w:val="28"/>
          <w:lang w:val="uk-UA"/>
        </w:rPr>
        <w:t>single</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activity</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production</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process</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or</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product</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Ecol</w:t>
      </w:r>
      <w:proofErr w:type="spellEnd"/>
      <w:r w:rsidR="00B73EC5" w:rsidRPr="005F0419">
        <w:rPr>
          <w:rFonts w:ascii="Times New Roman" w:hAnsi="Times New Roman" w:cs="Times New Roman"/>
          <w:sz w:val="28"/>
          <w:szCs w:val="28"/>
          <w:lang w:val="uk-UA"/>
        </w:rPr>
        <w:t xml:space="preserve">. </w:t>
      </w:r>
      <w:proofErr w:type="spellStart"/>
      <w:r w:rsidR="00B73EC5" w:rsidRPr="005F0419">
        <w:rPr>
          <w:rFonts w:ascii="Times New Roman" w:hAnsi="Times New Roman" w:cs="Times New Roman"/>
          <w:sz w:val="28"/>
          <w:szCs w:val="28"/>
          <w:lang w:val="uk-UA"/>
        </w:rPr>
        <w:t>Indic</w:t>
      </w:r>
      <w:proofErr w:type="spellEnd"/>
      <w:r w:rsidR="00B73EC5" w:rsidRPr="005F0419">
        <w:rPr>
          <w:rFonts w:ascii="Times New Roman" w:hAnsi="Times New Roman" w:cs="Times New Roman"/>
          <w:sz w:val="28"/>
          <w:szCs w:val="28"/>
          <w:lang w:val="uk-UA"/>
        </w:rPr>
        <w:t>. 57, 82–84.</w:t>
      </w:r>
    </w:p>
    <w:p w14:paraId="6B4F1543" w14:textId="4A5248A4" w:rsidR="00B73EC5" w:rsidRPr="005F0419" w:rsidRDefault="008C7F3A" w:rsidP="008C7F3A">
      <w:pPr>
        <w:tabs>
          <w:tab w:val="left" w:pos="1276"/>
        </w:tabs>
        <w:spacing w:after="0" w:line="360" w:lineRule="auto"/>
        <w:ind w:firstLine="720"/>
        <w:jc w:val="both"/>
        <w:rPr>
          <w:rFonts w:ascii="Times New Roman" w:hAnsi="Times New Roman" w:cs="Times New Roman"/>
          <w:sz w:val="28"/>
          <w:szCs w:val="28"/>
          <w:lang w:val="uk-UA"/>
        </w:rPr>
      </w:pPr>
      <w:r w:rsidRPr="005F0419">
        <w:rPr>
          <w:rStyle w:val="aa"/>
          <w:rFonts w:ascii="Times New Roman" w:hAnsi="Times New Roman" w:cs="Times New Roman"/>
          <w:i w:val="0"/>
          <w:iCs w:val="0"/>
          <w:sz w:val="28"/>
          <w:szCs w:val="28"/>
          <w:shd w:val="clear" w:color="auto" w:fill="FFFFFF"/>
          <w:lang w:val="uk-UA"/>
        </w:rPr>
        <w:lastRenderedPageBreak/>
        <w:t xml:space="preserve">67. </w:t>
      </w:r>
      <w:r w:rsidR="00B73EC5" w:rsidRPr="005F0419">
        <w:rPr>
          <w:rStyle w:val="aa"/>
          <w:rFonts w:ascii="Times New Roman" w:hAnsi="Times New Roman" w:cs="Times New Roman"/>
          <w:i w:val="0"/>
          <w:iCs w:val="0"/>
          <w:sz w:val="28"/>
          <w:szCs w:val="28"/>
          <w:shd w:val="clear" w:color="auto" w:fill="FFFFFF"/>
          <w:lang w:val="uk-UA"/>
        </w:rPr>
        <w:t>Шпак</w:t>
      </w:r>
      <w:r w:rsidR="00B73EC5" w:rsidRPr="005F0419">
        <w:rPr>
          <w:rFonts w:ascii="Times New Roman" w:hAnsi="Times New Roman" w:cs="Times New Roman"/>
          <w:sz w:val="28"/>
          <w:szCs w:val="28"/>
          <w:shd w:val="clear" w:color="auto" w:fill="FFFFFF"/>
          <w:lang w:val="uk-UA"/>
        </w:rPr>
        <w:t xml:space="preserve"> Г. М. </w:t>
      </w:r>
      <w:r w:rsidR="00B73EC5" w:rsidRPr="005F0419">
        <w:rPr>
          <w:rStyle w:val="aa"/>
          <w:rFonts w:ascii="Times New Roman" w:hAnsi="Times New Roman" w:cs="Times New Roman"/>
          <w:i w:val="0"/>
          <w:iCs w:val="0"/>
          <w:sz w:val="28"/>
          <w:szCs w:val="28"/>
          <w:shd w:val="clear" w:color="auto" w:fill="FFFFFF"/>
          <w:lang w:val="uk-UA"/>
        </w:rPr>
        <w:t>Напрями стабілізації якісного стану ґрунту</w:t>
      </w:r>
      <w:r w:rsidR="0094434C" w:rsidRPr="005F0419">
        <w:rPr>
          <w:rStyle w:val="aa"/>
          <w:rFonts w:ascii="Times New Roman" w:hAnsi="Times New Roman" w:cs="Times New Roman"/>
          <w:i w:val="0"/>
          <w:iCs w:val="0"/>
          <w:sz w:val="28"/>
          <w:szCs w:val="28"/>
          <w:shd w:val="clear" w:color="auto" w:fill="FFFFFF"/>
          <w:lang w:val="uk-UA"/>
        </w:rPr>
        <w:t>.</w:t>
      </w:r>
      <w:r w:rsidR="00B73EC5" w:rsidRPr="005F0419">
        <w:rPr>
          <w:rFonts w:ascii="Times New Roman" w:hAnsi="Times New Roman" w:cs="Times New Roman"/>
          <w:sz w:val="28"/>
          <w:szCs w:val="28"/>
          <w:shd w:val="clear" w:color="auto" w:fill="FFFFFF"/>
          <w:lang w:val="uk-UA"/>
        </w:rPr>
        <w:t> Економіка АПК. 2012. № 2. С. 130-135</w:t>
      </w:r>
      <w:r w:rsidR="0094434C" w:rsidRPr="005F0419">
        <w:rPr>
          <w:rFonts w:ascii="Times New Roman" w:hAnsi="Times New Roman" w:cs="Times New Roman"/>
          <w:sz w:val="28"/>
          <w:szCs w:val="28"/>
          <w:shd w:val="clear" w:color="auto" w:fill="FFFFFF"/>
          <w:lang w:val="uk-UA"/>
        </w:rPr>
        <w:t>.</w:t>
      </w:r>
    </w:p>
    <w:p w14:paraId="2442953A" w14:textId="29638ADE" w:rsidR="00977B8D" w:rsidRPr="005F0419" w:rsidRDefault="00977B8D" w:rsidP="00977B8D">
      <w:pPr>
        <w:pStyle w:val="a4"/>
        <w:tabs>
          <w:tab w:val="left" w:pos="1276"/>
        </w:tabs>
        <w:spacing w:after="0" w:line="360" w:lineRule="auto"/>
        <w:jc w:val="both"/>
        <w:rPr>
          <w:rStyle w:val="aa"/>
          <w:rFonts w:ascii="Times New Roman" w:hAnsi="Times New Roman" w:cs="Times New Roman"/>
          <w:sz w:val="28"/>
          <w:szCs w:val="28"/>
          <w:shd w:val="clear" w:color="auto" w:fill="FFFFFF"/>
          <w:lang w:val="uk-UA"/>
        </w:rPr>
      </w:pPr>
    </w:p>
    <w:p w14:paraId="438C2208" w14:textId="0BD6319E" w:rsidR="00977B8D" w:rsidRPr="005F0419" w:rsidRDefault="00977B8D" w:rsidP="00977B8D">
      <w:pPr>
        <w:spacing w:after="0" w:line="360" w:lineRule="auto"/>
        <w:ind w:firstLine="720"/>
        <w:rPr>
          <w:rFonts w:ascii="Times New Roman" w:hAnsi="Times New Roman" w:cs="Times New Roman"/>
          <w:bCs/>
          <w:i/>
          <w:iCs/>
          <w:sz w:val="28"/>
          <w:szCs w:val="28"/>
          <w:lang w:val="uk-UA"/>
        </w:rPr>
      </w:pPr>
      <w:r w:rsidRPr="005F0419">
        <w:rPr>
          <w:rFonts w:ascii="Times New Roman" w:eastAsia="Times New Roman" w:hAnsi="Times New Roman" w:cs="Times New Roman"/>
          <w:b/>
          <w:bCs/>
          <w:i/>
          <w:iCs/>
          <w:sz w:val="28"/>
          <w:szCs w:val="28"/>
          <w:lang w:val="uk-UA"/>
        </w:rPr>
        <w:t>Ключові слова:</w:t>
      </w:r>
      <w:r w:rsidRPr="005F0419">
        <w:rPr>
          <w:rFonts w:ascii="Times New Roman" w:eastAsia="Times New Roman" w:hAnsi="Times New Roman" w:cs="Times New Roman"/>
          <w:i/>
          <w:iCs/>
          <w:sz w:val="28"/>
          <w:szCs w:val="28"/>
          <w:lang w:val="uk-UA"/>
        </w:rPr>
        <w:t xml:space="preserve"> «земельний» слід, </w:t>
      </w:r>
      <w:r w:rsidRPr="005F0419">
        <w:rPr>
          <w:rFonts w:ascii="Times New Roman" w:hAnsi="Times New Roman" w:cs="Times New Roman"/>
          <w:bCs/>
          <w:i/>
          <w:iCs/>
          <w:sz w:val="28"/>
          <w:szCs w:val="28"/>
          <w:lang w:val="uk-UA"/>
        </w:rPr>
        <w:t>методи розрахунку сліду</w:t>
      </w:r>
      <w:r w:rsidR="008C7F3A" w:rsidRPr="005F0419">
        <w:rPr>
          <w:rFonts w:ascii="Times New Roman" w:hAnsi="Times New Roman" w:cs="Times New Roman"/>
          <w:bCs/>
          <w:i/>
          <w:iCs/>
          <w:sz w:val="28"/>
          <w:szCs w:val="28"/>
          <w:lang w:val="uk-UA"/>
        </w:rPr>
        <w:t xml:space="preserve">, </w:t>
      </w:r>
      <w:r w:rsidR="008C7F3A" w:rsidRPr="005F0419">
        <w:rPr>
          <w:rFonts w:ascii="Times New Roman" w:hAnsi="Times New Roman" w:cs="Times New Roman"/>
          <w:i/>
          <w:iCs/>
          <w:sz w:val="28"/>
          <w:szCs w:val="28"/>
          <w:lang w:val="uk-UA"/>
        </w:rPr>
        <w:t xml:space="preserve">екологічний слід, водний слід, </w:t>
      </w:r>
      <w:r w:rsidR="008C7F3A" w:rsidRPr="005F0419">
        <w:rPr>
          <w:rFonts w:ascii="Times New Roman" w:hAnsi="Times New Roman" w:cs="Times New Roman"/>
          <w:bCs/>
          <w:i/>
          <w:iCs/>
          <w:sz w:val="28"/>
          <w:szCs w:val="28"/>
          <w:lang w:val="uk-UA"/>
        </w:rPr>
        <w:t>агробізнес</w:t>
      </w:r>
      <w:r w:rsidR="00496B0B">
        <w:rPr>
          <w:rFonts w:ascii="Times New Roman" w:hAnsi="Times New Roman" w:cs="Times New Roman"/>
          <w:bCs/>
          <w:i/>
          <w:iCs/>
          <w:sz w:val="28"/>
          <w:szCs w:val="28"/>
          <w:lang w:val="uk-UA"/>
        </w:rPr>
        <w:t>.</w:t>
      </w:r>
    </w:p>
    <w:p w14:paraId="6AD33459" w14:textId="77777777" w:rsidR="00977B8D" w:rsidRPr="005F0419" w:rsidRDefault="00977B8D" w:rsidP="00977B8D">
      <w:pPr>
        <w:pStyle w:val="a4"/>
        <w:tabs>
          <w:tab w:val="left" w:pos="1276"/>
        </w:tabs>
        <w:spacing w:after="0" w:line="360" w:lineRule="auto"/>
        <w:jc w:val="both"/>
        <w:rPr>
          <w:rFonts w:ascii="Times New Roman" w:hAnsi="Times New Roman" w:cs="Times New Roman"/>
          <w:sz w:val="28"/>
          <w:szCs w:val="28"/>
          <w:lang w:val="uk-UA"/>
        </w:rPr>
      </w:pPr>
    </w:p>
    <w:p w14:paraId="0B890E78" w14:textId="77777777" w:rsidR="00115A3E" w:rsidRPr="005F0419" w:rsidRDefault="00115A3E" w:rsidP="00115A3E">
      <w:pPr>
        <w:spacing w:after="0" w:line="360" w:lineRule="auto"/>
        <w:ind w:firstLine="720"/>
        <w:jc w:val="right"/>
        <w:rPr>
          <w:rFonts w:ascii="Times New Roman" w:hAnsi="Times New Roman" w:cs="Times New Roman"/>
          <w:b/>
          <w:sz w:val="28"/>
          <w:szCs w:val="28"/>
          <w:lang w:val="uk-UA"/>
        </w:rPr>
      </w:pPr>
      <w:bookmarkStart w:id="8" w:name="_Hlk160025380"/>
    </w:p>
    <w:p w14:paraId="23FCBC3B" w14:textId="77777777" w:rsidR="00115A3E" w:rsidRPr="005F0419" w:rsidRDefault="00115A3E" w:rsidP="00115A3E">
      <w:pPr>
        <w:spacing w:after="0" w:line="360" w:lineRule="auto"/>
        <w:ind w:firstLine="720"/>
        <w:jc w:val="center"/>
        <w:rPr>
          <w:rFonts w:ascii="Times New Roman" w:hAnsi="Times New Roman" w:cs="Times New Roman"/>
          <w:b/>
          <w:sz w:val="28"/>
          <w:szCs w:val="28"/>
          <w:lang w:val="uk-UA"/>
        </w:rPr>
      </w:pPr>
    </w:p>
    <w:p w14:paraId="31CDE479" w14:textId="77777777" w:rsidR="00115A3E" w:rsidRPr="005F0419" w:rsidRDefault="00115A3E" w:rsidP="00496B0B">
      <w:pPr>
        <w:spacing w:after="0" w:line="360" w:lineRule="auto"/>
        <w:ind w:firstLine="720"/>
        <w:jc w:val="center"/>
        <w:rPr>
          <w:rFonts w:ascii="Times New Roman" w:hAnsi="Times New Roman" w:cs="Times New Roman"/>
          <w:b/>
          <w:caps/>
          <w:sz w:val="28"/>
          <w:szCs w:val="28"/>
          <w:lang w:val="uk-UA"/>
        </w:rPr>
      </w:pPr>
      <w:r w:rsidRPr="005F0419">
        <w:rPr>
          <w:rFonts w:ascii="Times New Roman" w:hAnsi="Times New Roman" w:cs="Times New Roman"/>
          <w:b/>
          <w:caps/>
          <w:sz w:val="28"/>
          <w:szCs w:val="28"/>
          <w:lang w:val="uk-UA"/>
        </w:rPr>
        <w:t>Управління організаційними та проектними комунікаціями: технологія розробки комунікаційної стратегії</w:t>
      </w:r>
    </w:p>
    <w:bookmarkEnd w:id="8"/>
    <w:p w14:paraId="42C2C2E9" w14:textId="1E8D9D86" w:rsidR="00115A3E" w:rsidRPr="005F0419" w:rsidRDefault="00115A3E" w:rsidP="00115A3E">
      <w:pPr>
        <w:spacing w:after="0" w:line="360" w:lineRule="auto"/>
        <w:ind w:firstLine="720"/>
        <w:jc w:val="center"/>
        <w:rPr>
          <w:rFonts w:ascii="Times New Roman" w:hAnsi="Times New Roman" w:cs="Times New Roman"/>
          <w:b/>
          <w:sz w:val="28"/>
          <w:szCs w:val="28"/>
          <w:lang w:val="uk-UA"/>
        </w:rPr>
      </w:pPr>
    </w:p>
    <w:p w14:paraId="39E0D008" w14:textId="207B18EC" w:rsidR="00115A3E" w:rsidRPr="005F0419" w:rsidRDefault="00115A3E" w:rsidP="00115A3E">
      <w:pPr>
        <w:spacing w:after="0" w:line="360" w:lineRule="auto"/>
        <w:ind w:firstLine="720"/>
        <w:jc w:val="center"/>
        <w:rPr>
          <w:rFonts w:ascii="Times New Roman" w:hAnsi="Times New Roman" w:cs="Times New Roman"/>
          <w:b/>
          <w:bCs/>
          <w:i/>
          <w:iCs/>
          <w:sz w:val="28"/>
          <w:szCs w:val="28"/>
          <w:lang w:val="uk-UA"/>
        </w:rPr>
      </w:pPr>
      <w:proofErr w:type="spellStart"/>
      <w:r w:rsidRPr="005F0419">
        <w:rPr>
          <w:rFonts w:ascii="Times New Roman" w:hAnsi="Times New Roman" w:cs="Times New Roman"/>
          <w:b/>
          <w:bCs/>
          <w:i/>
          <w:iCs/>
          <w:sz w:val="28"/>
          <w:szCs w:val="28"/>
          <w:lang w:val="uk-UA"/>
        </w:rPr>
        <w:t>Фроленкова</w:t>
      </w:r>
      <w:proofErr w:type="spellEnd"/>
      <w:r w:rsidRPr="005F0419">
        <w:rPr>
          <w:rFonts w:ascii="Times New Roman" w:hAnsi="Times New Roman" w:cs="Times New Roman"/>
          <w:b/>
          <w:bCs/>
          <w:i/>
          <w:iCs/>
          <w:sz w:val="28"/>
          <w:szCs w:val="28"/>
          <w:lang w:val="uk-UA"/>
        </w:rPr>
        <w:t xml:space="preserve"> Надія Анатоліївна</w:t>
      </w:r>
    </w:p>
    <w:p w14:paraId="2D77DE58" w14:textId="77777777" w:rsidR="00115A3E" w:rsidRPr="005F0419" w:rsidRDefault="00115A3E" w:rsidP="00115A3E">
      <w:pPr>
        <w:spacing w:after="0" w:line="360" w:lineRule="auto"/>
        <w:ind w:firstLine="720"/>
        <w:jc w:val="center"/>
        <w:rPr>
          <w:rFonts w:ascii="Times New Roman" w:hAnsi="Times New Roman" w:cs="Times New Roman"/>
          <w:b/>
          <w:sz w:val="28"/>
          <w:szCs w:val="28"/>
          <w:lang w:val="uk-UA"/>
        </w:rPr>
      </w:pPr>
    </w:p>
    <w:p w14:paraId="44BC2D06" w14:textId="77777777"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Fonts w:ascii="Times New Roman" w:hAnsi="Times New Roman" w:cs="Times New Roman"/>
          <w:bCs/>
          <w:sz w:val="28"/>
          <w:szCs w:val="28"/>
          <w:lang w:val="uk-UA"/>
        </w:rPr>
        <w:t>Зміна застарілих управлінських підходів на сучасну модель менеджменту зумовлює перехід від моделі інформування до моделі взаємодії всіх учасників в процесі прийняття управлінських рішень. Саме тому в</w:t>
      </w:r>
      <w:r w:rsidRPr="005F0419">
        <w:rPr>
          <w:rStyle w:val="rynqvb"/>
          <w:rFonts w:ascii="Times New Roman" w:hAnsi="Times New Roman" w:cs="Times New Roman"/>
          <w:sz w:val="28"/>
          <w:szCs w:val="28"/>
          <w:lang w:val="uk-UA"/>
        </w:rPr>
        <w:t>ажко переоцінити роль успішних комунікацій для вирішення завдань у сфері управління окремими бізнес-процесами або організаціями та проектами.</w:t>
      </w:r>
      <w:r w:rsidRPr="005F0419">
        <w:rPr>
          <w:rStyle w:val="hwtze"/>
          <w:rFonts w:ascii="Times New Roman" w:hAnsi="Times New Roman" w:cs="Times New Roman"/>
          <w:sz w:val="28"/>
          <w:szCs w:val="28"/>
          <w:lang w:val="uk-UA"/>
        </w:rPr>
        <w:t xml:space="preserve"> </w:t>
      </w:r>
    </w:p>
    <w:p w14:paraId="02182ADB"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Сучасні дослідження у сфері організаційної комунікації дозволяють виділити наступні підходи до визначення поняття:</w:t>
      </w:r>
    </w:p>
    <w:p w14:paraId="7430C7B5"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1) управлінський (комунікація як функція управління, як передача розпоряджень та пояснення процедур та операцій); </w:t>
      </w:r>
    </w:p>
    <w:p w14:paraId="0E6A54C8"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2) системний (комунікація як система взаємодіючих елементів, що забезпечують функціонування організації); </w:t>
      </w:r>
    </w:p>
    <w:p w14:paraId="204347F6"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3) культурологічний (комунікація як спосіб вираження організаційної культури); </w:t>
      </w:r>
    </w:p>
    <w:p w14:paraId="502C70E6" w14:textId="77777777"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4) гуманістичний (комунікація як фактор розвитку людського потенціалу).</w:t>
      </w:r>
    </w:p>
    <w:p w14:paraId="53F3FACD" w14:textId="77777777"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Комунікацію слід розглядати як безперервний, систематичний процес, у якому </w:t>
      </w:r>
      <w:proofErr w:type="spellStart"/>
      <w:r w:rsidRPr="005F0419">
        <w:rPr>
          <w:rStyle w:val="rynqvb"/>
          <w:rFonts w:ascii="Times New Roman" w:hAnsi="Times New Roman" w:cs="Times New Roman"/>
          <w:sz w:val="28"/>
          <w:szCs w:val="28"/>
          <w:lang w:val="uk-UA"/>
        </w:rPr>
        <w:t>стейкхолдери</w:t>
      </w:r>
      <w:proofErr w:type="spellEnd"/>
      <w:r w:rsidRPr="005F0419">
        <w:rPr>
          <w:rStyle w:val="rynqvb"/>
          <w:rFonts w:ascii="Times New Roman" w:hAnsi="Times New Roman" w:cs="Times New Roman"/>
          <w:sz w:val="28"/>
          <w:szCs w:val="28"/>
          <w:lang w:val="uk-UA"/>
        </w:rPr>
        <w:t xml:space="preserve"> компанії чи проекту отримують інформацію.</w:t>
      </w:r>
      <w:r w:rsidRPr="005F0419">
        <w:rPr>
          <w:rStyle w:val="hwtze"/>
          <w:rFonts w:ascii="Times New Roman" w:hAnsi="Times New Roman" w:cs="Times New Roman"/>
          <w:sz w:val="28"/>
          <w:szCs w:val="28"/>
          <w:lang w:val="uk-UA"/>
        </w:rPr>
        <w:t xml:space="preserve"> </w:t>
      </w:r>
    </w:p>
    <w:p w14:paraId="51E95CBE"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lastRenderedPageBreak/>
        <w:t xml:space="preserve">Концепція якісного управління сьогодні ґрунтується на припущенні, що всі учасники процесу мають доступ до всієї необхідної інформації, ефективно </w:t>
      </w:r>
      <w:proofErr w:type="spellStart"/>
      <w:r w:rsidRPr="005F0419">
        <w:rPr>
          <w:rStyle w:val="rynqvb"/>
          <w:rFonts w:ascii="Times New Roman" w:hAnsi="Times New Roman" w:cs="Times New Roman"/>
          <w:sz w:val="28"/>
          <w:szCs w:val="28"/>
          <w:lang w:val="uk-UA"/>
        </w:rPr>
        <w:t>комунікують</w:t>
      </w:r>
      <w:proofErr w:type="spellEnd"/>
      <w:r w:rsidRPr="005F0419">
        <w:rPr>
          <w:rStyle w:val="rynqvb"/>
          <w:rFonts w:ascii="Times New Roman" w:hAnsi="Times New Roman" w:cs="Times New Roman"/>
          <w:sz w:val="28"/>
          <w:szCs w:val="28"/>
          <w:lang w:val="uk-UA"/>
        </w:rPr>
        <w:t xml:space="preserve"> між собою, створюючи умови для успішного прийняття рішень, вирішення конфліктів, ведення переговорів та роботи команди. </w:t>
      </w:r>
    </w:p>
    <w:p w14:paraId="0097CFCD" w14:textId="7ADB7477" w:rsidR="00115A3E" w:rsidRPr="005F0419" w:rsidRDefault="00115A3E" w:rsidP="00115A3E">
      <w:pPr>
        <w:spacing w:after="0" w:line="360" w:lineRule="auto"/>
        <w:ind w:firstLine="720"/>
        <w:jc w:val="both"/>
        <w:rPr>
          <w:rFonts w:ascii="Times New Roman" w:hAnsi="Times New Roman" w:cs="Times New Roman"/>
          <w:bCs/>
          <w:sz w:val="28"/>
          <w:szCs w:val="28"/>
          <w:lang w:val="uk-UA"/>
        </w:rPr>
      </w:pPr>
      <w:r w:rsidRPr="005F0419">
        <w:rPr>
          <w:rStyle w:val="rynqvb"/>
          <w:rFonts w:ascii="Times New Roman" w:hAnsi="Times New Roman" w:cs="Times New Roman"/>
          <w:sz w:val="28"/>
          <w:szCs w:val="28"/>
          <w:lang w:val="uk-UA"/>
        </w:rPr>
        <w:t>Комунікація –</w:t>
      </w:r>
      <w:r w:rsidRPr="005F0419">
        <w:rPr>
          <w:rStyle w:val="hwtze"/>
          <w:rFonts w:ascii="Times New Roman" w:hAnsi="Times New Roman" w:cs="Times New Roman"/>
          <w:sz w:val="28"/>
          <w:szCs w:val="28"/>
          <w:lang w:val="uk-UA"/>
        </w:rPr>
        <w:t xml:space="preserve"> ц</w:t>
      </w:r>
      <w:r w:rsidRPr="005F0419">
        <w:rPr>
          <w:rFonts w:ascii="Times New Roman" w:hAnsi="Times New Roman" w:cs="Times New Roman"/>
          <w:bCs/>
          <w:sz w:val="28"/>
          <w:szCs w:val="28"/>
          <w:lang w:val="uk-UA"/>
        </w:rPr>
        <w:t xml:space="preserve">е ефективний інструмент управління для координації та реалізації заходів, необхідних для досягнення поставлених цілей як організації, так і окремих проектів і команд. У вузькому розумінні комунікації є засобом підвищення ефективності запланованого результату в процесі </w:t>
      </w:r>
      <w:proofErr w:type="spellStart"/>
      <w:r w:rsidRPr="005F0419">
        <w:rPr>
          <w:rFonts w:ascii="Times New Roman" w:hAnsi="Times New Roman" w:cs="Times New Roman"/>
          <w:bCs/>
          <w:sz w:val="28"/>
          <w:szCs w:val="28"/>
          <w:lang w:val="uk-UA"/>
        </w:rPr>
        <w:t>міжособових</w:t>
      </w:r>
      <w:proofErr w:type="spellEnd"/>
      <w:r w:rsidRPr="005F0419">
        <w:rPr>
          <w:rFonts w:ascii="Times New Roman" w:hAnsi="Times New Roman" w:cs="Times New Roman"/>
          <w:bCs/>
          <w:sz w:val="28"/>
          <w:szCs w:val="28"/>
          <w:lang w:val="uk-UA"/>
        </w:rPr>
        <w:t xml:space="preserve"> взаємодій.</w:t>
      </w:r>
    </w:p>
    <w:p w14:paraId="5B0B98BA" w14:textId="77777777" w:rsidR="00115A3E" w:rsidRPr="005F0419" w:rsidRDefault="00115A3E" w:rsidP="00115A3E">
      <w:pPr>
        <w:spacing w:after="0" w:line="360" w:lineRule="auto"/>
        <w:ind w:firstLine="720"/>
        <w:jc w:val="both"/>
        <w:rPr>
          <w:rFonts w:ascii="Times New Roman" w:hAnsi="Times New Roman" w:cs="Times New Roman"/>
          <w:bCs/>
          <w:sz w:val="28"/>
          <w:szCs w:val="28"/>
          <w:lang w:val="uk-UA"/>
        </w:rPr>
      </w:pPr>
      <w:r w:rsidRPr="005F0419">
        <w:rPr>
          <w:rStyle w:val="rynqvb"/>
          <w:rFonts w:ascii="Times New Roman" w:hAnsi="Times New Roman" w:cs="Times New Roman"/>
          <w:sz w:val="28"/>
          <w:szCs w:val="28"/>
          <w:lang w:val="uk-UA"/>
        </w:rPr>
        <w:t>Обмін інформацією необхідний під час реалізації будь-якої з функцій менеджменту та є найважливішою умовою прийняття обґрунтованих рішень, відіграє велику роль у міжособистісних відносинах та формуванні іміджу підприємства.</w:t>
      </w:r>
    </w:p>
    <w:p w14:paraId="66EF0CAF"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Основна ціль комунікаційного процесу – забезпечити розуміння інформації цільовою аудиторією.  Для організацій необхідним є спрямування та координація інформації таким чином, щоб вона сприяла покращенню відносин із </w:t>
      </w:r>
      <w:proofErr w:type="spellStart"/>
      <w:r w:rsidRPr="005F0419">
        <w:rPr>
          <w:rStyle w:val="rynqvb"/>
          <w:rFonts w:ascii="Times New Roman" w:hAnsi="Times New Roman" w:cs="Times New Roman"/>
          <w:sz w:val="28"/>
          <w:szCs w:val="28"/>
          <w:lang w:val="uk-UA"/>
        </w:rPr>
        <w:t>стейкхолдерами</w:t>
      </w:r>
      <w:proofErr w:type="spellEnd"/>
      <w:r w:rsidRPr="005F0419">
        <w:rPr>
          <w:rStyle w:val="rynqvb"/>
          <w:rFonts w:ascii="Times New Roman" w:hAnsi="Times New Roman" w:cs="Times New Roman"/>
          <w:sz w:val="28"/>
          <w:szCs w:val="28"/>
          <w:lang w:val="uk-UA"/>
        </w:rPr>
        <w:t>, підтримували задоволеність команди працівників, підвищували її конкурентоспроможність та імідж.</w:t>
      </w:r>
    </w:p>
    <w:p w14:paraId="7BC67734"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Отже, комунікації допомагають працівникам організації, команді проекту ефективно взаємодіяти та обмінюватися інформацією, тим самим підвищуються шанси на успіх. Це стосується як спілкування всередині організації чи команди, так і комунікацій з зовнішніми </w:t>
      </w:r>
      <w:proofErr w:type="spellStart"/>
      <w:r w:rsidRPr="005F0419">
        <w:rPr>
          <w:rStyle w:val="rynqvb"/>
          <w:rFonts w:ascii="Times New Roman" w:hAnsi="Times New Roman" w:cs="Times New Roman"/>
          <w:sz w:val="28"/>
          <w:szCs w:val="28"/>
          <w:lang w:val="uk-UA"/>
        </w:rPr>
        <w:t>стейкхолдерами</w:t>
      </w:r>
      <w:proofErr w:type="spellEnd"/>
      <w:r w:rsidRPr="005F0419">
        <w:rPr>
          <w:rStyle w:val="rynqvb"/>
          <w:rFonts w:ascii="Times New Roman" w:hAnsi="Times New Roman" w:cs="Times New Roman"/>
          <w:sz w:val="28"/>
          <w:szCs w:val="28"/>
          <w:lang w:val="uk-UA"/>
        </w:rPr>
        <w:t xml:space="preserve">. </w:t>
      </w:r>
    </w:p>
    <w:p w14:paraId="07D7F9BC"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Зростаюча роль комунікативних взаємодій у функціонуванні та розвитку сучасних організацій та </w:t>
      </w:r>
      <w:proofErr w:type="spellStart"/>
      <w:r w:rsidRPr="005F0419">
        <w:rPr>
          <w:rStyle w:val="rynqvb"/>
          <w:rFonts w:ascii="Times New Roman" w:hAnsi="Times New Roman" w:cs="Times New Roman"/>
          <w:sz w:val="28"/>
          <w:szCs w:val="28"/>
          <w:lang w:val="uk-UA"/>
        </w:rPr>
        <w:t>проктів</w:t>
      </w:r>
      <w:proofErr w:type="spellEnd"/>
      <w:r w:rsidRPr="005F0419">
        <w:rPr>
          <w:rStyle w:val="rynqvb"/>
          <w:rFonts w:ascii="Times New Roman" w:hAnsi="Times New Roman" w:cs="Times New Roman"/>
          <w:sz w:val="28"/>
          <w:szCs w:val="28"/>
          <w:lang w:val="uk-UA"/>
        </w:rPr>
        <w:t xml:space="preserve"> висуває на перший план проблему управління комунікаціями як усередині організації, так і між організацією та її середовищем з метою забезпечення ефективних комунікаційних процесів.</w:t>
      </w:r>
      <w:r w:rsidRPr="005F0419">
        <w:rPr>
          <w:rStyle w:val="hwtze"/>
          <w:rFonts w:ascii="Times New Roman" w:hAnsi="Times New Roman" w:cs="Times New Roman"/>
          <w:sz w:val="28"/>
          <w:szCs w:val="28"/>
          <w:lang w:val="uk-UA"/>
        </w:rPr>
        <w:t xml:space="preserve"> Адже е</w:t>
      </w:r>
      <w:r w:rsidRPr="005F0419">
        <w:rPr>
          <w:rStyle w:val="rynqvb"/>
          <w:rFonts w:ascii="Times New Roman" w:hAnsi="Times New Roman" w:cs="Times New Roman"/>
          <w:sz w:val="28"/>
          <w:szCs w:val="28"/>
          <w:lang w:val="uk-UA"/>
        </w:rPr>
        <w:t xml:space="preserve">фективні комунікаційні процеси є основною і необхідною умовою успішного досягнення мети, що стоять перед організацією. </w:t>
      </w:r>
    </w:p>
    <w:p w14:paraId="03944DE2"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Не меншу роль комунікації відіграють і при управлінні проектами. Адже проекти та управління ними в умовах обмежених ресурсів часу та коштів стають </w:t>
      </w:r>
      <w:r w:rsidRPr="005F0419">
        <w:rPr>
          <w:rStyle w:val="rynqvb"/>
          <w:rFonts w:ascii="Times New Roman" w:hAnsi="Times New Roman" w:cs="Times New Roman"/>
          <w:sz w:val="28"/>
          <w:szCs w:val="28"/>
          <w:lang w:val="uk-UA"/>
        </w:rPr>
        <w:lastRenderedPageBreak/>
        <w:t>все більш затребуваними в умовах конкуренції.</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Комунікація відіграє вирішальну роль в успішному здійсненні та завершенні проектів з кількох причин: по-перше, без ретельно розроблених та продуманих правил проект постійно вступатиме в протиріччя з цілями організації;</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по-друге, невміння пояснити оточуючим свою думку, відсутність лідерських якостей у керівника може поставити проект під загрозу зриву. </w:t>
      </w:r>
    </w:p>
    <w:p w14:paraId="6B7C8D7F" w14:textId="77777777"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Інститут управління проектами PMI провів дослідження, які показують, що до 56% бюджету може бути витрачено марно через погано налагоджену комунікацію всередині команди. Отже успішне управління проектами — це не лише стратегії та терміни, а й ефективна взаємодія між учасниками та основа успішного завершення проекту.</w:t>
      </w:r>
      <w:r w:rsidRPr="005F0419">
        <w:rPr>
          <w:rStyle w:val="hwtze"/>
          <w:rFonts w:ascii="Times New Roman" w:hAnsi="Times New Roman" w:cs="Times New Roman"/>
          <w:sz w:val="28"/>
          <w:szCs w:val="28"/>
          <w:lang w:val="uk-UA"/>
        </w:rPr>
        <w:t xml:space="preserve"> </w:t>
      </w:r>
    </w:p>
    <w:p w14:paraId="244D3C65"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Отже, </w:t>
      </w:r>
      <w:r w:rsidRPr="005F0419">
        <w:rPr>
          <w:rStyle w:val="rynqvb"/>
          <w:rFonts w:ascii="Times New Roman" w:hAnsi="Times New Roman" w:cs="Times New Roman"/>
          <w:i/>
          <w:sz w:val="28"/>
          <w:szCs w:val="28"/>
          <w:lang w:val="uk-UA"/>
        </w:rPr>
        <w:t>ефективні комунікації</w:t>
      </w:r>
      <w:r w:rsidRPr="005F0419">
        <w:rPr>
          <w:rStyle w:val="rynqvb"/>
          <w:rFonts w:ascii="Times New Roman" w:hAnsi="Times New Roman" w:cs="Times New Roman"/>
          <w:sz w:val="28"/>
          <w:szCs w:val="28"/>
          <w:lang w:val="uk-UA"/>
        </w:rPr>
        <w:t xml:space="preserve"> – це система або сукупність всіх каналів зв'язку організації/проекту, що забезпечує максимальну узгодженість управління та досягнення поставленої мети, а також достатню прозорість, зрозумілість та доступність для зовнішніх учасників процесу взаємодії.</w:t>
      </w:r>
    </w:p>
    <w:p w14:paraId="4212C0E3" w14:textId="77777777" w:rsidR="00115A3E" w:rsidRPr="005F0419" w:rsidRDefault="00115A3E" w:rsidP="00115A3E">
      <w:pPr>
        <w:spacing w:after="0" w:line="360" w:lineRule="auto"/>
        <w:ind w:firstLine="720"/>
        <w:jc w:val="both"/>
        <w:rPr>
          <w:rFonts w:ascii="Times New Roman" w:eastAsia="Times New Roman" w:hAnsi="Times New Roman" w:cs="Times New Roman"/>
          <w:sz w:val="28"/>
          <w:szCs w:val="28"/>
          <w:lang w:val="uk-UA" w:eastAsia="uk-UA"/>
        </w:rPr>
      </w:pPr>
      <w:r w:rsidRPr="005F0419">
        <w:rPr>
          <w:rFonts w:ascii="Times New Roman" w:eastAsia="Times New Roman" w:hAnsi="Times New Roman" w:cs="Times New Roman"/>
          <w:sz w:val="28"/>
          <w:szCs w:val="28"/>
          <w:lang w:val="uk-UA" w:eastAsia="uk-UA"/>
        </w:rPr>
        <w:t>Важливу роль в ефективності комунікаційних процесів, як внутрішніх, так і зовнішніх, відіграють поняття комунікаційний потенціал та комунікативна компетентність суб’єктів комунікаційного процесу, а також комунікативні технології, які використовуються.</w:t>
      </w:r>
    </w:p>
    <w:p w14:paraId="647EA844" w14:textId="77777777" w:rsidR="00115A3E" w:rsidRPr="005F0419" w:rsidRDefault="00115A3E" w:rsidP="00115A3E">
      <w:pPr>
        <w:spacing w:after="0" w:line="360" w:lineRule="auto"/>
        <w:ind w:firstLine="720"/>
        <w:jc w:val="both"/>
        <w:rPr>
          <w:rFonts w:ascii="Times New Roman" w:eastAsia="Times New Roman" w:hAnsi="Times New Roman" w:cs="Times New Roman"/>
          <w:sz w:val="28"/>
          <w:szCs w:val="28"/>
          <w:lang w:val="uk-UA" w:eastAsia="uk-UA"/>
        </w:rPr>
      </w:pPr>
      <w:r w:rsidRPr="005F0419">
        <w:rPr>
          <w:rStyle w:val="rynqvb"/>
          <w:rFonts w:ascii="Times New Roman" w:hAnsi="Times New Roman" w:cs="Times New Roman"/>
          <w:sz w:val="28"/>
          <w:szCs w:val="28"/>
          <w:lang w:val="uk-UA"/>
        </w:rPr>
        <w:t>У процесі комунікації на різних організаційних рівнях відбувається формування комунікативного потенціалу як окремих працівників, так і організації загалом.</w:t>
      </w:r>
    </w:p>
    <w:p w14:paraId="6A0A36CE" w14:textId="77777777" w:rsidR="00115A3E" w:rsidRPr="005F0419" w:rsidRDefault="00115A3E" w:rsidP="00115A3E">
      <w:pPr>
        <w:spacing w:after="0" w:line="360" w:lineRule="auto"/>
        <w:ind w:firstLine="720"/>
        <w:jc w:val="both"/>
        <w:rPr>
          <w:rFonts w:ascii="Times New Roman" w:eastAsia="Times New Roman" w:hAnsi="Times New Roman" w:cs="Times New Roman"/>
          <w:bCs/>
          <w:sz w:val="28"/>
          <w:szCs w:val="28"/>
          <w:lang w:val="uk-UA" w:eastAsia="uk-UA"/>
        </w:rPr>
      </w:pPr>
      <w:r w:rsidRPr="005F0419">
        <w:rPr>
          <w:rFonts w:ascii="Times New Roman" w:eastAsia="Times New Roman" w:hAnsi="Times New Roman" w:cs="Times New Roman"/>
          <w:i/>
          <w:sz w:val="28"/>
          <w:szCs w:val="28"/>
          <w:lang w:val="uk-UA" w:eastAsia="uk-UA"/>
        </w:rPr>
        <w:t>Комунікативний</w:t>
      </w:r>
      <w:r w:rsidRPr="005F0419">
        <w:rPr>
          <w:rFonts w:ascii="Times New Roman" w:eastAsia="Times New Roman" w:hAnsi="Times New Roman" w:cs="Times New Roman"/>
          <w:sz w:val="28"/>
          <w:szCs w:val="28"/>
          <w:lang w:val="uk-UA" w:eastAsia="uk-UA"/>
        </w:rPr>
        <w:t xml:space="preserve"> </w:t>
      </w:r>
      <w:r w:rsidRPr="005F0419">
        <w:rPr>
          <w:rFonts w:ascii="Times New Roman" w:eastAsia="Times New Roman" w:hAnsi="Times New Roman" w:cs="Times New Roman"/>
          <w:i/>
          <w:sz w:val="28"/>
          <w:szCs w:val="28"/>
          <w:lang w:val="uk-UA" w:eastAsia="uk-UA"/>
        </w:rPr>
        <w:t>потенціал</w:t>
      </w:r>
      <w:r w:rsidRPr="005F0419">
        <w:rPr>
          <w:rFonts w:ascii="Times New Roman" w:eastAsia="Times New Roman" w:hAnsi="Times New Roman" w:cs="Times New Roman"/>
          <w:sz w:val="28"/>
          <w:szCs w:val="28"/>
          <w:lang w:val="uk-UA" w:eastAsia="uk-UA"/>
        </w:rPr>
        <w:t xml:space="preserve"> – це </w:t>
      </w:r>
      <w:r w:rsidRPr="005F0419">
        <w:rPr>
          <w:rFonts w:ascii="Times New Roman" w:eastAsia="Times New Roman" w:hAnsi="Times New Roman" w:cs="Times New Roman"/>
          <w:bCs/>
          <w:sz w:val="28"/>
          <w:szCs w:val="28"/>
          <w:lang w:val="uk-UA" w:eastAsia="uk-UA"/>
        </w:rPr>
        <w:t>властиві особистості, команді або організації комунікативні можливості, які реалізуються під час інформаційної взаємодії. К</w:t>
      </w:r>
      <w:r w:rsidRPr="005F0419">
        <w:rPr>
          <w:rStyle w:val="rynqvb"/>
          <w:rFonts w:ascii="Times New Roman" w:hAnsi="Times New Roman" w:cs="Times New Roman"/>
          <w:sz w:val="28"/>
          <w:szCs w:val="28"/>
          <w:lang w:val="uk-UA"/>
        </w:rPr>
        <w:t>омунікація у команді, за своєю суттю, забезпечує отримання додаткових переваг з властивих індивідуальних професійних якостей її учасників.</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Інакше кажучи, командна комунікація дозволяє не тільки забезпечити краще застосування компетенцій учасників команди в своїй професійній сфері, а й сформувати механізм, що забезпечує потоки ідей, знань і спостережень, які є в одного члена команди, до всіх своїх </w:t>
      </w:r>
      <w:proofErr w:type="spellStart"/>
      <w:r w:rsidRPr="005F0419">
        <w:rPr>
          <w:rStyle w:val="rynqvb"/>
          <w:rFonts w:ascii="Times New Roman" w:hAnsi="Times New Roman" w:cs="Times New Roman"/>
          <w:sz w:val="28"/>
          <w:szCs w:val="28"/>
          <w:lang w:val="uk-UA"/>
        </w:rPr>
        <w:t>кілег</w:t>
      </w:r>
      <w:proofErr w:type="spellEnd"/>
      <w:r w:rsidRPr="005F0419">
        <w:rPr>
          <w:rStyle w:val="rynqvb"/>
          <w:rFonts w:ascii="Times New Roman" w:hAnsi="Times New Roman" w:cs="Times New Roman"/>
          <w:sz w:val="28"/>
          <w:szCs w:val="28"/>
          <w:lang w:val="uk-UA"/>
        </w:rPr>
        <w:t xml:space="preserve"> і на цій основі домогтися не тільки </w:t>
      </w:r>
      <w:r w:rsidRPr="005F0419">
        <w:rPr>
          <w:rStyle w:val="rynqvb"/>
          <w:rFonts w:ascii="Times New Roman" w:hAnsi="Times New Roman" w:cs="Times New Roman"/>
          <w:sz w:val="28"/>
          <w:szCs w:val="28"/>
          <w:lang w:val="uk-UA"/>
        </w:rPr>
        <w:lastRenderedPageBreak/>
        <w:t>кращої координації діяльності всіх членів команди, але забезпечити ефективність її функціонування як в оперативному плані, так і у довгостроковій перспективі.</w:t>
      </w:r>
    </w:p>
    <w:p w14:paraId="24E57194" w14:textId="77777777" w:rsidR="00115A3E" w:rsidRPr="005F0419" w:rsidRDefault="00115A3E" w:rsidP="00115A3E">
      <w:pPr>
        <w:spacing w:after="0" w:line="360" w:lineRule="auto"/>
        <w:ind w:firstLine="720"/>
        <w:jc w:val="both"/>
        <w:rPr>
          <w:rFonts w:ascii="Times New Roman" w:eastAsia="Times New Roman" w:hAnsi="Times New Roman" w:cs="Times New Roman"/>
          <w:bCs/>
          <w:sz w:val="28"/>
          <w:szCs w:val="28"/>
          <w:lang w:val="uk-UA" w:eastAsia="uk-UA"/>
        </w:rPr>
      </w:pPr>
      <w:r w:rsidRPr="005F0419">
        <w:rPr>
          <w:rFonts w:ascii="Times New Roman" w:eastAsia="Times New Roman" w:hAnsi="Times New Roman" w:cs="Times New Roman"/>
          <w:bCs/>
          <w:i/>
          <w:sz w:val="28"/>
          <w:szCs w:val="28"/>
          <w:lang w:val="uk-UA" w:eastAsia="uk-UA"/>
        </w:rPr>
        <w:t>Комунікативна компетентність</w:t>
      </w:r>
      <w:r w:rsidRPr="005F0419">
        <w:rPr>
          <w:rFonts w:ascii="Times New Roman" w:eastAsia="Times New Roman" w:hAnsi="Times New Roman" w:cs="Times New Roman"/>
          <w:bCs/>
          <w:sz w:val="28"/>
          <w:szCs w:val="28"/>
          <w:lang w:val="uk-UA" w:eastAsia="uk-UA"/>
        </w:rPr>
        <w:t xml:space="preserve"> – це узагальнена комунікативна властивість особистості, що включає розвинуті комунікативні здібності, сформовані уміння і навички міжособистісного спілкування, знання про основні його закономірності та правила [12]. </w:t>
      </w:r>
    </w:p>
    <w:p w14:paraId="1142EE18" w14:textId="77777777" w:rsidR="00115A3E" w:rsidRPr="005F0419" w:rsidRDefault="00115A3E" w:rsidP="00115A3E">
      <w:pPr>
        <w:spacing w:after="0" w:line="360" w:lineRule="auto"/>
        <w:ind w:firstLine="720"/>
        <w:jc w:val="both"/>
        <w:rPr>
          <w:rFonts w:ascii="Times New Roman" w:eastAsia="Times New Roman" w:hAnsi="Times New Roman" w:cs="Times New Roman"/>
          <w:sz w:val="28"/>
          <w:szCs w:val="28"/>
          <w:lang w:val="uk-UA" w:eastAsia="uk-UA"/>
        </w:rPr>
      </w:pPr>
      <w:r w:rsidRPr="005F0419">
        <w:rPr>
          <w:rFonts w:ascii="Times New Roman" w:eastAsia="Times New Roman" w:hAnsi="Times New Roman" w:cs="Times New Roman"/>
          <w:bCs/>
          <w:sz w:val="28"/>
          <w:szCs w:val="28"/>
          <w:lang w:val="uk-UA" w:eastAsia="uk-UA"/>
        </w:rPr>
        <w:t xml:space="preserve">Комунікативна компетентність означає здатність здійснювати осмислену й ефективну взаємодію з метою обміну інформацією, спираючись на знання особливостей комунікативного процесу, засобів спілкування (вербальних і невербальних), психологічних і комунікативних типів партнерів, технологій і прийомів впливу на людей [5]. </w:t>
      </w:r>
    </w:p>
    <w:p w14:paraId="4FB4D274" w14:textId="2B389ADD" w:rsidR="00115A3E" w:rsidRPr="005F0419" w:rsidRDefault="00115A3E" w:rsidP="00115A3E">
      <w:pPr>
        <w:spacing w:after="0" w:line="360" w:lineRule="auto"/>
        <w:ind w:firstLine="720"/>
        <w:jc w:val="both"/>
        <w:rPr>
          <w:rFonts w:ascii="Times New Roman" w:eastAsia="Times New Roman" w:hAnsi="Times New Roman" w:cs="Times New Roman"/>
          <w:bCs/>
          <w:sz w:val="28"/>
          <w:szCs w:val="28"/>
          <w:lang w:val="uk-UA" w:eastAsia="uk-UA"/>
        </w:rPr>
      </w:pPr>
      <w:r w:rsidRPr="005F0419">
        <w:rPr>
          <w:rFonts w:ascii="Times New Roman" w:eastAsia="Times New Roman" w:hAnsi="Times New Roman" w:cs="Times New Roman"/>
          <w:i/>
          <w:sz w:val="28"/>
          <w:szCs w:val="28"/>
          <w:lang w:val="uk-UA" w:eastAsia="uk-UA"/>
        </w:rPr>
        <w:t>Комунікативні технології</w:t>
      </w:r>
      <w:r w:rsidRPr="005F0419">
        <w:rPr>
          <w:rFonts w:ascii="Times New Roman" w:eastAsia="Times New Roman" w:hAnsi="Times New Roman" w:cs="Times New Roman"/>
          <w:sz w:val="28"/>
          <w:szCs w:val="28"/>
          <w:lang w:val="uk-UA" w:eastAsia="uk-UA"/>
        </w:rPr>
        <w:t xml:space="preserve"> – це </w:t>
      </w:r>
      <w:r w:rsidRPr="005F0419">
        <w:rPr>
          <w:rFonts w:ascii="Times New Roman" w:eastAsia="Times New Roman" w:hAnsi="Times New Roman" w:cs="Times New Roman"/>
          <w:bCs/>
          <w:sz w:val="28"/>
          <w:szCs w:val="28"/>
          <w:lang w:val="uk-UA" w:eastAsia="uk-UA"/>
        </w:rPr>
        <w:t xml:space="preserve">форми спеціальної організації комунікації, які за умови дотримання технологічного процесу  гарантують отримання наперед визначеного результату [7]. </w:t>
      </w:r>
    </w:p>
    <w:p w14:paraId="66FA8DC5" w14:textId="77777777" w:rsidR="00115A3E" w:rsidRPr="005F0419" w:rsidRDefault="00115A3E" w:rsidP="00115A3E">
      <w:pPr>
        <w:spacing w:after="0" w:line="360" w:lineRule="auto"/>
        <w:ind w:firstLine="720"/>
        <w:jc w:val="both"/>
        <w:rPr>
          <w:rFonts w:ascii="Times New Roman" w:eastAsia="Times New Roman" w:hAnsi="Times New Roman" w:cs="Times New Roman"/>
          <w:bCs/>
          <w:sz w:val="28"/>
          <w:szCs w:val="28"/>
          <w:lang w:val="uk-UA" w:eastAsia="uk-UA"/>
        </w:rPr>
      </w:pPr>
      <w:r w:rsidRPr="005F0419">
        <w:rPr>
          <w:rStyle w:val="rynqvb"/>
          <w:rFonts w:ascii="Times New Roman" w:hAnsi="Times New Roman" w:cs="Times New Roman"/>
          <w:sz w:val="28"/>
          <w:szCs w:val="28"/>
          <w:lang w:val="uk-UA"/>
        </w:rPr>
        <w:t>Також це сукупність прийомів, процедур засобів та методів, що застосовуються в процесі комунікацій з метою досягнення визначених цілей та завдань. Призначенням подібних технологій є забезпечення людей інформаційною базою для ухвалення тих чи інших рішень.</w:t>
      </w:r>
    </w:p>
    <w:p w14:paraId="351DB268" w14:textId="77777777" w:rsidR="00115A3E" w:rsidRPr="005F0419" w:rsidRDefault="00115A3E" w:rsidP="00115A3E">
      <w:pPr>
        <w:spacing w:after="0" w:line="360" w:lineRule="auto"/>
        <w:ind w:firstLine="720"/>
        <w:jc w:val="both"/>
        <w:rPr>
          <w:rFonts w:ascii="Times New Roman" w:eastAsia="Times New Roman" w:hAnsi="Times New Roman" w:cs="Times New Roman"/>
          <w:bCs/>
          <w:sz w:val="28"/>
          <w:szCs w:val="28"/>
          <w:lang w:val="uk-UA" w:eastAsia="uk-UA"/>
        </w:rPr>
      </w:pPr>
      <w:r w:rsidRPr="005F0419">
        <w:rPr>
          <w:rStyle w:val="rynqvb"/>
          <w:rFonts w:ascii="Times New Roman" w:hAnsi="Times New Roman" w:cs="Times New Roman"/>
          <w:sz w:val="28"/>
          <w:szCs w:val="28"/>
          <w:lang w:val="uk-UA"/>
        </w:rPr>
        <w:t xml:space="preserve">У вузькому змісті такі технології розглядають як сукупність методів, процесів та програмно-технічних засобів, інтегрованих з метою збирання, обробки, зберігання, поширення, відображення та використання інформації на користь її користувачів. </w:t>
      </w:r>
    </w:p>
    <w:p w14:paraId="4F521294" w14:textId="77777777" w:rsidR="00115A3E" w:rsidRPr="005F0419" w:rsidRDefault="00115A3E" w:rsidP="00115A3E">
      <w:pPr>
        <w:spacing w:after="0" w:line="360" w:lineRule="auto"/>
        <w:ind w:firstLine="720"/>
        <w:jc w:val="both"/>
        <w:rPr>
          <w:rFonts w:ascii="Times New Roman" w:eastAsia="Times New Roman" w:hAnsi="Times New Roman" w:cs="Times New Roman"/>
          <w:bCs/>
          <w:sz w:val="28"/>
          <w:szCs w:val="28"/>
          <w:lang w:val="uk-UA" w:eastAsia="uk-UA"/>
        </w:rPr>
      </w:pPr>
      <w:r w:rsidRPr="005F0419">
        <w:rPr>
          <w:rFonts w:ascii="Times New Roman" w:eastAsia="Times New Roman" w:hAnsi="Times New Roman" w:cs="Times New Roman"/>
          <w:bCs/>
          <w:sz w:val="28"/>
          <w:szCs w:val="28"/>
          <w:lang w:val="uk-UA" w:eastAsia="uk-UA"/>
        </w:rPr>
        <w:t xml:space="preserve">До сучасних комунікативних технологій відносять цифрові комунікативні технології, технології соціальних медіа, </w:t>
      </w:r>
      <w:proofErr w:type="spellStart"/>
      <w:r w:rsidRPr="005F0419">
        <w:rPr>
          <w:rFonts w:ascii="Times New Roman" w:eastAsia="Times New Roman" w:hAnsi="Times New Roman" w:cs="Times New Roman"/>
          <w:bCs/>
          <w:sz w:val="28"/>
          <w:szCs w:val="28"/>
          <w:lang w:val="uk-UA" w:eastAsia="uk-UA"/>
        </w:rPr>
        <w:t>нетворкінг</w:t>
      </w:r>
      <w:proofErr w:type="spellEnd"/>
      <w:r w:rsidRPr="005F0419">
        <w:rPr>
          <w:rFonts w:ascii="Times New Roman" w:eastAsia="Times New Roman" w:hAnsi="Times New Roman" w:cs="Times New Roman"/>
          <w:bCs/>
          <w:sz w:val="28"/>
          <w:szCs w:val="28"/>
          <w:lang w:val="uk-UA" w:eastAsia="uk-UA"/>
        </w:rPr>
        <w:t xml:space="preserve">, іміджеві технології, паблік </w:t>
      </w:r>
      <w:proofErr w:type="spellStart"/>
      <w:r w:rsidRPr="005F0419">
        <w:rPr>
          <w:rFonts w:ascii="Times New Roman" w:eastAsia="Times New Roman" w:hAnsi="Times New Roman" w:cs="Times New Roman"/>
          <w:bCs/>
          <w:sz w:val="28"/>
          <w:szCs w:val="28"/>
          <w:lang w:val="uk-UA" w:eastAsia="uk-UA"/>
        </w:rPr>
        <w:t>рілейшен</w:t>
      </w:r>
      <w:proofErr w:type="spellEnd"/>
      <w:r w:rsidRPr="005F0419">
        <w:rPr>
          <w:rFonts w:ascii="Times New Roman" w:eastAsia="Times New Roman" w:hAnsi="Times New Roman" w:cs="Times New Roman"/>
          <w:bCs/>
          <w:sz w:val="28"/>
          <w:szCs w:val="28"/>
          <w:lang w:val="uk-UA" w:eastAsia="uk-UA"/>
        </w:rPr>
        <w:t xml:space="preserve">, кризові комунікативні технології, технології конструювання реальності, контент-менеджмент, розробку скриптів тощо. </w:t>
      </w:r>
    </w:p>
    <w:p w14:paraId="1A9F8698"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Володіючи високою значимістю, комунікації вимагають розробки інструментарію управління. В процесі управління комунікаціями особливе місце належить стратегічним комунікаціям та їх плануванню. </w:t>
      </w:r>
    </w:p>
    <w:p w14:paraId="74FB2BFD"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i/>
          <w:sz w:val="28"/>
          <w:szCs w:val="28"/>
          <w:lang w:val="uk-UA"/>
        </w:rPr>
        <w:lastRenderedPageBreak/>
        <w:t>Управління комунікаціями</w:t>
      </w:r>
      <w:r w:rsidRPr="005F0419">
        <w:rPr>
          <w:rStyle w:val="rynqvb"/>
          <w:rFonts w:ascii="Times New Roman" w:hAnsi="Times New Roman" w:cs="Times New Roman"/>
          <w:sz w:val="28"/>
          <w:szCs w:val="28"/>
          <w:lang w:val="uk-UA"/>
        </w:rPr>
        <w:t xml:space="preserve"> – це наука про управління комунікаціями як всередині організації, так і між організацією та її середовищем, спрямована на формування партнерських, конструктивних, ефективних комунікаційних процесів, формування громадської думки, досягнення згоди. </w:t>
      </w:r>
    </w:p>
    <w:p w14:paraId="62D380A5"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Під управлінням організаційними комунікаціями також розуміється сукупність безперервних цілеспрямованих управлінських впливів на внутрішні та зовнішні процеси інформаційного обміну та неінформаційних взаємодій, що забезпечують задоволення комунікаційних потреб та реалізацію довгострокових інтересів розвитку підприємства. </w:t>
      </w:r>
    </w:p>
    <w:p w14:paraId="66FB1DF8" w14:textId="77777777" w:rsidR="00115A3E" w:rsidRPr="005F0419" w:rsidRDefault="00115A3E" w:rsidP="00115A3E">
      <w:pPr>
        <w:spacing w:after="0" w:line="360" w:lineRule="auto"/>
        <w:ind w:firstLine="720"/>
        <w:jc w:val="both"/>
        <w:rPr>
          <w:rStyle w:val="hgkelc"/>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У більш вузькому розумінні це систематичне планування, впровадження, моніторинг та перегляд усіх каналів зв'язку всередині організації та зовнішніми </w:t>
      </w:r>
      <w:proofErr w:type="spellStart"/>
      <w:r w:rsidRPr="005F0419">
        <w:rPr>
          <w:rStyle w:val="rynqvb"/>
          <w:rFonts w:ascii="Times New Roman" w:hAnsi="Times New Roman" w:cs="Times New Roman"/>
          <w:sz w:val="28"/>
          <w:szCs w:val="28"/>
          <w:lang w:val="uk-UA"/>
        </w:rPr>
        <w:t>стейкхолдерами</w:t>
      </w:r>
      <w:proofErr w:type="spellEnd"/>
      <w:r w:rsidRPr="005F0419">
        <w:rPr>
          <w:rStyle w:val="rynqvb"/>
          <w:rFonts w:ascii="Times New Roman" w:hAnsi="Times New Roman" w:cs="Times New Roman"/>
          <w:sz w:val="28"/>
          <w:szCs w:val="28"/>
          <w:lang w:val="uk-UA"/>
        </w:rPr>
        <w:t xml:space="preserve">. </w:t>
      </w:r>
    </w:p>
    <w:p w14:paraId="4AB99FBD"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Якщо говорити про управління комунікаціями проекту, то це  включає в себе процеси, необхідні для забезпечення своєчасного формування, збору, розподілу, зберігання, знаходження і використання </w:t>
      </w:r>
      <w:proofErr w:type="spellStart"/>
      <w:r w:rsidRPr="005F0419">
        <w:rPr>
          <w:rFonts w:ascii="Times New Roman" w:hAnsi="Times New Roman" w:cs="Times New Roman"/>
          <w:sz w:val="28"/>
          <w:szCs w:val="28"/>
          <w:lang w:val="uk-UA"/>
        </w:rPr>
        <w:t>проєктної</w:t>
      </w:r>
      <w:proofErr w:type="spellEnd"/>
      <w:r w:rsidRPr="005F0419">
        <w:rPr>
          <w:rFonts w:ascii="Times New Roman" w:hAnsi="Times New Roman" w:cs="Times New Roman"/>
          <w:sz w:val="28"/>
          <w:szCs w:val="28"/>
          <w:lang w:val="uk-UA"/>
        </w:rPr>
        <w:t xml:space="preserve"> інформації, а також організацію процесів взаємодії членів проектної команди та зацікавлених сторін проекту.</w:t>
      </w:r>
    </w:p>
    <w:p w14:paraId="4E31FE09"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Функція управління інформаційними зв'язками включає такі процеси: </w:t>
      </w:r>
    </w:p>
    <w:p w14:paraId="6EEB7A15" w14:textId="11FB76BD"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планування комунікаційної системи – оцінка інформаційних потреб учасників; </w:t>
      </w:r>
    </w:p>
    <w:p w14:paraId="5AB75729" w14:textId="258553C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збір та розподіл інформації; </w:t>
      </w:r>
    </w:p>
    <w:p w14:paraId="4697B083" w14:textId="1FB954E8"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звітність про хід виконання проекту – опрацювання фактичних результатів стану робіт проекту, співвідношення з плановими та аналіз тенденцій, прогнозування; </w:t>
      </w:r>
    </w:p>
    <w:p w14:paraId="445B6BA7" w14:textId="56E02364"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документування ходу робіт – збір, обробка та організація зберігання документації за проектом.</w:t>
      </w:r>
    </w:p>
    <w:p w14:paraId="023DCC40"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Управління комунікаціями здійснюється на наступних принципах: </w:t>
      </w:r>
    </w:p>
    <w:p w14:paraId="17D159EA" w14:textId="6BE5BC6A" w:rsidR="00115A3E" w:rsidRPr="005F0419" w:rsidRDefault="00115A3E" w:rsidP="00115A3E">
      <w:pPr>
        <w:spacing w:after="0" w:line="360" w:lineRule="auto"/>
        <w:ind w:left="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орієнтація на стратегічні цілі організації; </w:t>
      </w:r>
    </w:p>
    <w:p w14:paraId="5573355C" w14:textId="1C30D685"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наступність управлінських методів та прийомів на всіх рівнях розвитку організації та персоналу; </w:t>
      </w:r>
    </w:p>
    <w:p w14:paraId="3FD2E29D" w14:textId="66BAD59C" w:rsidR="00115A3E" w:rsidRPr="005F0419" w:rsidRDefault="00115A3E" w:rsidP="00115A3E">
      <w:pPr>
        <w:spacing w:after="0" w:line="360" w:lineRule="auto"/>
        <w:ind w:left="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lastRenderedPageBreak/>
        <w:t xml:space="preserve">- співвіднесеність розвитку внутрішніх та зовнішніх комунікацій; </w:t>
      </w:r>
    </w:p>
    <w:p w14:paraId="184C72DC" w14:textId="5FF0C78C" w:rsidR="00115A3E" w:rsidRPr="005F0419" w:rsidRDefault="00115A3E" w:rsidP="00115A3E">
      <w:pPr>
        <w:spacing w:after="0" w:line="360" w:lineRule="auto"/>
        <w:ind w:left="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визначення зон управлінського впливу; </w:t>
      </w:r>
    </w:p>
    <w:p w14:paraId="47DF22E2" w14:textId="0D22D938" w:rsidR="00115A3E" w:rsidRPr="005F0419" w:rsidRDefault="00115A3E" w:rsidP="00115A3E">
      <w:pPr>
        <w:spacing w:after="0" w:line="360" w:lineRule="auto"/>
        <w:ind w:left="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безперервний характер;</w:t>
      </w:r>
    </w:p>
    <w:p w14:paraId="564A2472" w14:textId="0491C8CF" w:rsidR="00115A3E" w:rsidRPr="005F0419" w:rsidRDefault="00115A3E" w:rsidP="00115A3E">
      <w:pPr>
        <w:spacing w:after="0" w:line="360" w:lineRule="auto"/>
        <w:ind w:left="720"/>
        <w:jc w:val="both"/>
        <w:rPr>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зворотний зв'язок.</w:t>
      </w:r>
    </w:p>
    <w:p w14:paraId="75651C47"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В цілому управління організаційними комунікаціями сприяє створенню сприятливих комунікаційних умов для підвищення ефективності діяльності організації.</w:t>
      </w:r>
    </w:p>
    <w:p w14:paraId="42FABB17"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Ефективний механізм управління комунікаціями являє собою сукупність організаційних та економічних форм, структур, методів та інструментів управління, що дозволяють приймати обґрунтовані рішення та здійснювати необхідні впливи на всіх етапах управління комунікаціями.</w:t>
      </w:r>
    </w:p>
    <w:p w14:paraId="27E83F64" w14:textId="77777777"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Першим етапом у процесі управління комунікаціями є планування.</w:t>
      </w:r>
      <w:r w:rsidRPr="005F0419">
        <w:rPr>
          <w:rStyle w:val="hwtze"/>
          <w:rFonts w:ascii="Times New Roman" w:hAnsi="Times New Roman" w:cs="Times New Roman"/>
          <w:sz w:val="28"/>
          <w:szCs w:val="28"/>
          <w:lang w:val="uk-UA"/>
        </w:rPr>
        <w:t xml:space="preserve"> </w:t>
      </w:r>
    </w:p>
    <w:p w14:paraId="13D4B799" w14:textId="0D0AAB7B"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i/>
          <w:sz w:val="28"/>
          <w:szCs w:val="28"/>
          <w:lang w:val="uk-UA"/>
        </w:rPr>
        <w:t>Планування комунікацій</w:t>
      </w:r>
      <w:r w:rsidRPr="005F0419">
        <w:rPr>
          <w:rStyle w:val="rynqvb"/>
          <w:rFonts w:ascii="Times New Roman" w:hAnsi="Times New Roman" w:cs="Times New Roman"/>
          <w:sz w:val="28"/>
          <w:szCs w:val="28"/>
          <w:lang w:val="uk-UA"/>
        </w:rPr>
        <w:t xml:space="preserve"> – це процес виявлення зацікавлених сторін, їх потреби в інформації та визначення підходу до здійснення комунікацій. Отже д</w:t>
      </w:r>
      <w:r w:rsidRPr="005F0419">
        <w:rPr>
          <w:rStyle w:val="hwtze"/>
          <w:rFonts w:ascii="Times New Roman" w:hAnsi="Times New Roman" w:cs="Times New Roman"/>
          <w:sz w:val="28"/>
          <w:szCs w:val="28"/>
          <w:lang w:val="uk-UA"/>
        </w:rPr>
        <w:t xml:space="preserve">ля початку </w:t>
      </w:r>
      <w:r w:rsidRPr="005F0419">
        <w:rPr>
          <w:rStyle w:val="rynqvb"/>
          <w:rFonts w:ascii="Times New Roman" w:hAnsi="Times New Roman" w:cs="Times New Roman"/>
          <w:sz w:val="28"/>
          <w:szCs w:val="28"/>
          <w:lang w:val="uk-UA"/>
        </w:rPr>
        <w:t xml:space="preserve">потрібно виявити інформаційні потреби учасників проекту або цільової аудиторії вашої організації, джерела, використовувані технології та зрозуміти, як ефективніше поширюватиметься інформація, що втілюється в подальшому в плани комунікацій. </w:t>
      </w:r>
    </w:p>
    <w:p w14:paraId="62941B02" w14:textId="77777777" w:rsidR="00115A3E" w:rsidRPr="005F0419" w:rsidRDefault="00115A3E" w:rsidP="00115A3E">
      <w:pPr>
        <w:spacing w:after="0" w:line="360" w:lineRule="auto"/>
        <w:ind w:firstLine="720"/>
        <w:jc w:val="both"/>
        <w:rPr>
          <w:rStyle w:val="hgkelc"/>
          <w:rFonts w:ascii="Times New Roman" w:hAnsi="Times New Roman" w:cs="Times New Roman"/>
          <w:bCs/>
          <w:sz w:val="28"/>
          <w:szCs w:val="28"/>
          <w:lang w:val="uk-UA"/>
        </w:rPr>
      </w:pPr>
      <w:r w:rsidRPr="005F0419">
        <w:rPr>
          <w:rStyle w:val="hgkelc"/>
          <w:rFonts w:ascii="Times New Roman" w:hAnsi="Times New Roman" w:cs="Times New Roman"/>
          <w:sz w:val="28"/>
          <w:szCs w:val="28"/>
          <w:lang w:val="uk-UA"/>
        </w:rPr>
        <w:t>Найбільш важливі в системі менеджменту організацій та управлінні сучасними проектами стратегічні комунікації. Через надзвичайно широке використання стратегічних комунікацій сьогодні не існує єдиного їх трактування. Аналіз популярних визначень поняття дозволяє виокремити наступні групи трактувань, де стратегічні комунікації розуміють як:</w:t>
      </w:r>
    </w:p>
    <w:p w14:paraId="66DCFEEE"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цілеспрямоване та скоординоване використання комунікацій організацією чи командою проекту для виконання своєї місії та інформаційне забезпечення діяльності; </w:t>
      </w:r>
      <w:r w:rsidRPr="005F0419">
        <w:rPr>
          <w:rStyle w:val="rynqvb"/>
          <w:rFonts w:ascii="Times New Roman" w:hAnsi="Times New Roman" w:cs="Times New Roman"/>
          <w:sz w:val="28"/>
          <w:szCs w:val="28"/>
          <w:lang w:val="uk-UA"/>
        </w:rPr>
        <w:t xml:space="preserve"> </w:t>
      </w:r>
    </w:p>
    <w:p w14:paraId="472CDD2F" w14:textId="77777777" w:rsidR="00115A3E" w:rsidRPr="005F0419" w:rsidRDefault="00115A3E" w:rsidP="00115A3E">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sz w:val="28"/>
          <w:szCs w:val="28"/>
          <w:lang w:val="uk-UA"/>
        </w:rPr>
        <w:t xml:space="preserve">- </w:t>
      </w:r>
      <w:r w:rsidRPr="005F0419">
        <w:rPr>
          <w:rFonts w:ascii="Times New Roman" w:hAnsi="Times New Roman" w:cs="Times New Roman"/>
          <w:bCs/>
          <w:sz w:val="28"/>
          <w:szCs w:val="28"/>
          <w:lang w:val="uk-UA"/>
        </w:rPr>
        <w:t>управління сприйняттям, яке полягає у координації інформаційних потоків, ідей, дій та рішень, спрямованих на приведення сприйняття цільових аудиторій у відповідність до професійних цілей;</w:t>
      </w:r>
    </w:p>
    <w:p w14:paraId="1F2E1D0F" w14:textId="6D61455A"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sz w:val="28"/>
          <w:szCs w:val="28"/>
          <w:lang w:val="uk-UA"/>
        </w:rPr>
        <w:lastRenderedPageBreak/>
        <w:t xml:space="preserve">- </w:t>
      </w:r>
      <w:r w:rsidRPr="005F0419">
        <w:rPr>
          <w:rStyle w:val="rynqvb"/>
          <w:rFonts w:ascii="Times New Roman" w:hAnsi="Times New Roman" w:cs="Times New Roman"/>
          <w:sz w:val="28"/>
          <w:szCs w:val="28"/>
          <w:lang w:val="uk-UA"/>
        </w:rPr>
        <w:t>цілеспрямовані зусилля щодо розуміння та залучення цільової  аудиторії для створення, зміцнення та збереження середовища, сприятливого для просування цілей та інтересів організації через скоординовані програми, плани, повідомлення та продукти.</w:t>
      </w:r>
    </w:p>
    <w:p w14:paraId="471D78C7"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Комунікація є стратегічною, коли вона повністю відповідає місії, візії, цінностям організації та здатна покращити позиціонування та конкурентоспроможність. </w:t>
      </w:r>
    </w:p>
    <w:p w14:paraId="50AF4A33"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i/>
          <w:sz w:val="28"/>
          <w:szCs w:val="28"/>
          <w:lang w:val="uk-UA"/>
        </w:rPr>
        <w:t>Управління стратегічними комунікаціями</w:t>
      </w:r>
      <w:r w:rsidRPr="005F0419">
        <w:rPr>
          <w:rStyle w:val="rynqvb"/>
          <w:rFonts w:ascii="Times New Roman" w:hAnsi="Times New Roman" w:cs="Times New Roman"/>
          <w:sz w:val="28"/>
          <w:szCs w:val="28"/>
          <w:lang w:val="uk-UA"/>
        </w:rPr>
        <w:t xml:space="preserve"> – це систематичне довгострокове планування, координація  та реалізація інформаційних потоків для досягнення цілей організації чи проекту. </w:t>
      </w:r>
    </w:p>
    <w:p w14:paraId="6FBE738C"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Комунікаційні потоки можна умовно поділити на: </w:t>
      </w:r>
    </w:p>
    <w:p w14:paraId="7863A6B6" w14:textId="3DD9462C"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1. Зовнішні та внутрішні. </w:t>
      </w:r>
    </w:p>
    <w:p w14:paraId="21FF80D7" w14:textId="48ADC4A9"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2. Вертикальні (тут можливий поділ на низхідні та висхідні), горизонтальні (між учасниками одного рівня ієрархії) та діагональні, якщо говорити про спрямованість усередині організації. </w:t>
      </w:r>
    </w:p>
    <w:p w14:paraId="61FE8129" w14:textId="66FAD3EA"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3. Формальні та неформальні (якщо говорити про характер комунікацій). </w:t>
      </w:r>
    </w:p>
    <w:p w14:paraId="7BADDF8D" w14:textId="57F9E6E8"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4. Керовані та некеровані.</w:t>
      </w:r>
    </w:p>
    <w:p w14:paraId="5866265F"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Надзвичайно важливим з точки зору стратегічних комунікацій є поділ їх на зовнішні та внутрішні (рис. 1). Для того, щоб вони були ефективні, п</w:t>
      </w:r>
      <w:r w:rsidRPr="005F0419">
        <w:rPr>
          <w:rStyle w:val="rynqvb"/>
          <w:rFonts w:ascii="Times New Roman" w:hAnsi="Times New Roman" w:cs="Times New Roman"/>
          <w:sz w:val="28"/>
          <w:szCs w:val="28"/>
          <w:lang w:val="uk-UA"/>
        </w:rPr>
        <w:t>отрібно виробити стратегію внутрішніх та зовнішніх комунікацій.</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Внутрішні стратегії зазвичай реалізуються як правила корпоративної етики.</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Цілі зовнішніх комунікацій описуються в місії компанії.</w:t>
      </w:r>
    </w:p>
    <w:p w14:paraId="61DAF7FB"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Внутрішні комунікації можна розглядати як функцію, що відповідає за ефективний обмін інформацією між працівниками всередині організації або учасниками команди в проекті. </w:t>
      </w:r>
      <w:r w:rsidRPr="005F0419">
        <w:rPr>
          <w:rFonts w:ascii="Times New Roman" w:hAnsi="Times New Roman" w:cs="Times New Roman"/>
          <w:sz w:val="28"/>
          <w:szCs w:val="28"/>
          <w:lang w:val="uk-UA"/>
        </w:rPr>
        <w:t>Внутрішня комунікація допомагає мотивувати співробітників, впроваджувати зміни в організації, реалізовувати програми адаптації, оцінки та навчання персоналу та ін. [4].</w:t>
      </w:r>
    </w:p>
    <w:p w14:paraId="2868407C"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Комунікація всередині організації може існувати як явище та як процес.</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Як явище, комунікація – це взаємодія між структурними підрозділами та учасниками на основі розроблених регламентів та правил (Статут організації та </w:t>
      </w:r>
      <w:r w:rsidRPr="005F0419">
        <w:rPr>
          <w:rStyle w:val="rynqvb"/>
          <w:rFonts w:ascii="Times New Roman" w:hAnsi="Times New Roman" w:cs="Times New Roman"/>
          <w:sz w:val="28"/>
          <w:szCs w:val="28"/>
          <w:lang w:val="uk-UA"/>
        </w:rPr>
        <w:lastRenderedPageBreak/>
        <w:t>проекту, посадові інструкції та розподіл обов'язків учасників проекту, попередній опис змісту проекту, правила внутрішнього трудового розпорядку, інші правила, накази</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та інструкції, на підставі яких здійснюється управління та функціонування організації). Як процес, комунікація – безпосередня взаємодія учасників проекту, співробітників організації та всіх зацікавлених осіб.</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Неправильно вибудувана комунікація створює найбільший ризик для проекту чи результатів діяльності компанії. </w:t>
      </w:r>
    </w:p>
    <w:p w14:paraId="427EA8E4" w14:textId="77777777" w:rsidR="00115A3E" w:rsidRPr="005F0419" w:rsidRDefault="00115A3E" w:rsidP="00115A3E">
      <w:pPr>
        <w:pStyle w:val="a9"/>
        <w:spacing w:before="0" w:beforeAutospacing="0" w:after="0" w:afterAutospacing="0" w:line="360" w:lineRule="auto"/>
        <w:rPr>
          <w:sz w:val="28"/>
          <w:szCs w:val="28"/>
          <w:lang w:val="uk-UA"/>
        </w:rPr>
      </w:pPr>
      <w:r w:rsidRPr="005F0419">
        <w:rPr>
          <w:noProof/>
          <w:sz w:val="28"/>
          <w:szCs w:val="28"/>
          <w:lang w:val="uk-UA"/>
        </w:rPr>
        <w:drawing>
          <wp:inline distT="0" distB="0" distL="0" distR="0" wp14:anchorId="23C13913" wp14:editId="724E07CB">
            <wp:extent cx="6076950" cy="4591050"/>
            <wp:effectExtent l="0" t="19050" r="38100" b="19050"/>
            <wp:docPr id="141" name="Схема 1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3" r:lo="rId94" r:qs="rId95" r:cs="rId96"/>
              </a:graphicData>
            </a:graphic>
          </wp:inline>
        </w:drawing>
      </w:r>
    </w:p>
    <w:p w14:paraId="1022167C" w14:textId="2631CFEC" w:rsidR="00115A3E" w:rsidRPr="005F0419" w:rsidRDefault="00115A3E" w:rsidP="00115A3E">
      <w:pPr>
        <w:pStyle w:val="a9"/>
        <w:spacing w:before="0" w:beforeAutospacing="0" w:after="0" w:afterAutospacing="0" w:line="360" w:lineRule="auto"/>
        <w:ind w:firstLine="720"/>
        <w:jc w:val="center"/>
        <w:rPr>
          <w:sz w:val="28"/>
          <w:szCs w:val="28"/>
          <w:lang w:val="uk-UA"/>
        </w:rPr>
      </w:pPr>
      <w:r w:rsidRPr="005F0419">
        <w:rPr>
          <w:sz w:val="28"/>
          <w:szCs w:val="28"/>
          <w:lang w:val="uk-UA"/>
        </w:rPr>
        <w:t>Рис. 1. Види та сфери застосування стратегічних комунікацій</w:t>
      </w:r>
    </w:p>
    <w:p w14:paraId="60025465" w14:textId="6705B95B" w:rsidR="00115A3E" w:rsidRPr="005F0419" w:rsidRDefault="00115A3E" w:rsidP="00115A3E">
      <w:pPr>
        <w:pStyle w:val="a9"/>
        <w:spacing w:before="0" w:beforeAutospacing="0" w:after="0" w:afterAutospacing="0" w:line="360" w:lineRule="auto"/>
        <w:ind w:firstLine="720"/>
        <w:rPr>
          <w:sz w:val="28"/>
          <w:szCs w:val="28"/>
          <w:lang w:val="uk-UA"/>
        </w:rPr>
      </w:pPr>
      <w:r w:rsidRPr="005F0419">
        <w:rPr>
          <w:sz w:val="28"/>
          <w:szCs w:val="28"/>
          <w:lang w:val="uk-UA"/>
        </w:rPr>
        <w:t>Джерело: побудовано автором.</w:t>
      </w:r>
    </w:p>
    <w:p w14:paraId="06C55CDB" w14:textId="77777777" w:rsidR="00115A3E" w:rsidRPr="005F0419" w:rsidRDefault="00115A3E" w:rsidP="00115A3E">
      <w:pPr>
        <w:pStyle w:val="a9"/>
        <w:spacing w:before="0" w:beforeAutospacing="0" w:after="0" w:afterAutospacing="0" w:line="360" w:lineRule="auto"/>
        <w:ind w:firstLine="720"/>
        <w:rPr>
          <w:sz w:val="28"/>
          <w:szCs w:val="28"/>
          <w:lang w:val="uk-UA"/>
        </w:rPr>
      </w:pPr>
    </w:p>
    <w:p w14:paraId="5C87EDD0"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Внутрішні комунікації забезпечують своєчасний обмін інформацією між усіма співробітниками на різних рівнях ієрархії.</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А це сприяє більш швидкому та точному ухваленню рішень.</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Компанія отримує конкурентні переваги та можливість </w:t>
      </w:r>
      <w:proofErr w:type="spellStart"/>
      <w:r w:rsidRPr="005F0419">
        <w:rPr>
          <w:rStyle w:val="rynqvb"/>
          <w:rFonts w:ascii="Times New Roman" w:hAnsi="Times New Roman" w:cs="Times New Roman"/>
          <w:sz w:val="28"/>
          <w:szCs w:val="28"/>
          <w:lang w:val="uk-UA"/>
        </w:rPr>
        <w:t>оперативно</w:t>
      </w:r>
      <w:proofErr w:type="spellEnd"/>
      <w:r w:rsidRPr="005F0419">
        <w:rPr>
          <w:rStyle w:val="rynqvb"/>
          <w:rFonts w:ascii="Times New Roman" w:hAnsi="Times New Roman" w:cs="Times New Roman"/>
          <w:sz w:val="28"/>
          <w:szCs w:val="28"/>
          <w:lang w:val="uk-UA"/>
        </w:rPr>
        <w:t xml:space="preserve"> реагувати на зміни у зовнішньому середовищі. Крім </w:t>
      </w:r>
      <w:r w:rsidRPr="005F0419">
        <w:rPr>
          <w:rStyle w:val="rynqvb"/>
          <w:rFonts w:ascii="Times New Roman" w:hAnsi="Times New Roman" w:cs="Times New Roman"/>
          <w:sz w:val="28"/>
          <w:szCs w:val="28"/>
          <w:lang w:val="uk-UA"/>
        </w:rPr>
        <w:lastRenderedPageBreak/>
        <w:t>того, якісне спілкування всередині колективу сприяє покращенню робочої атмосфери, що позитивно позначається на мотивації та лояльності співробітників.</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Прозора та відкрита комунікація допомагає вирішувати проблеми на ранніх етапах та запобігає довгостроковим негативним наслідкам.</w:t>
      </w:r>
    </w:p>
    <w:p w14:paraId="65BB1D80" w14:textId="77777777"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Створення ефективної стратегії внутрішньої комунікації — чудовий спосіб зробити організацію продуктивнішою, спонукати працівників бути більш залученими та зацікавленими в результатах. Досвід успішних компаній свідчить про те, що вони схильні розглядати внутрішню комунікацію як стратегічний інструмент для збільшення своєї конкурентної переваги та вирішення проблем.</w:t>
      </w:r>
      <w:r w:rsidRPr="005F0419">
        <w:rPr>
          <w:rStyle w:val="hwtze"/>
          <w:rFonts w:ascii="Times New Roman" w:hAnsi="Times New Roman" w:cs="Times New Roman"/>
          <w:sz w:val="28"/>
          <w:szCs w:val="28"/>
          <w:lang w:val="uk-UA"/>
        </w:rPr>
        <w:t xml:space="preserve"> </w:t>
      </w:r>
    </w:p>
    <w:p w14:paraId="5667A8A4" w14:textId="77777777"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Ефективна система корпоративних комунікацій дозволяє створити таке середовище, в якому всі співробітники будуть почуватися комфортно і краще досягати своїх робочих цілей, реалізовувати свої поточні завдання та функції.</w:t>
      </w:r>
    </w:p>
    <w:p w14:paraId="61BD800E" w14:textId="77777777"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Зміст внутрішньої комунікаційної стратегії </w:t>
      </w:r>
      <w:proofErr w:type="spellStart"/>
      <w:r w:rsidRPr="005F0419">
        <w:rPr>
          <w:rStyle w:val="rynqvb"/>
          <w:rFonts w:ascii="Times New Roman" w:hAnsi="Times New Roman" w:cs="Times New Roman"/>
          <w:sz w:val="28"/>
          <w:szCs w:val="28"/>
          <w:lang w:val="uk-UA"/>
        </w:rPr>
        <w:t>залежатиме</w:t>
      </w:r>
      <w:proofErr w:type="spellEnd"/>
      <w:r w:rsidRPr="005F0419">
        <w:rPr>
          <w:rStyle w:val="rynqvb"/>
          <w:rFonts w:ascii="Times New Roman" w:hAnsi="Times New Roman" w:cs="Times New Roman"/>
          <w:sz w:val="28"/>
          <w:szCs w:val="28"/>
          <w:lang w:val="uk-UA"/>
        </w:rPr>
        <w:t xml:space="preserve"> від розміру компанії, напряму її діяльності, а також від принципів, яких дотримуються топ-менеджери та власники (інвестори) бізнесу. Єдиних та універсальних правил формування таких стратегій не існує. Також на характер комунікаційної стратегії точно впливатимуть: мета компанії, її цінності, місія, корпоративна культура, прийнята система мотивації, система KPI та багато інших факторів. Стратегію внутрішньої комунікації часто не оформляють окремим документом, її </w:t>
      </w:r>
      <w:proofErr w:type="spellStart"/>
      <w:r w:rsidRPr="005F0419">
        <w:rPr>
          <w:rStyle w:val="rynqvb"/>
          <w:rFonts w:ascii="Times New Roman" w:hAnsi="Times New Roman" w:cs="Times New Roman"/>
          <w:sz w:val="28"/>
          <w:szCs w:val="28"/>
          <w:lang w:val="uk-UA"/>
        </w:rPr>
        <w:t>логічно</w:t>
      </w:r>
      <w:proofErr w:type="spellEnd"/>
      <w:r w:rsidRPr="005F0419">
        <w:rPr>
          <w:rStyle w:val="rynqvb"/>
          <w:rFonts w:ascii="Times New Roman" w:hAnsi="Times New Roman" w:cs="Times New Roman"/>
          <w:sz w:val="28"/>
          <w:szCs w:val="28"/>
          <w:lang w:val="uk-UA"/>
        </w:rPr>
        <w:t xml:space="preserve"> </w:t>
      </w:r>
      <w:proofErr w:type="spellStart"/>
      <w:r w:rsidRPr="005F0419">
        <w:rPr>
          <w:rStyle w:val="rynqvb"/>
          <w:rFonts w:ascii="Times New Roman" w:hAnsi="Times New Roman" w:cs="Times New Roman"/>
          <w:sz w:val="28"/>
          <w:szCs w:val="28"/>
          <w:lang w:val="uk-UA"/>
        </w:rPr>
        <w:t>внести</w:t>
      </w:r>
      <w:proofErr w:type="spellEnd"/>
      <w:r w:rsidRPr="005F0419">
        <w:rPr>
          <w:rStyle w:val="rynqvb"/>
          <w:rFonts w:ascii="Times New Roman" w:hAnsi="Times New Roman" w:cs="Times New Roman"/>
          <w:sz w:val="28"/>
          <w:szCs w:val="28"/>
          <w:lang w:val="uk-UA"/>
        </w:rPr>
        <w:t xml:space="preserve"> на інші управляючі документи як конкретні пункти, доповнення, правила тощо.</w:t>
      </w:r>
    </w:p>
    <w:p w14:paraId="3DE6892E"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Зовнішні стратегічні комунікації спрямовані на залучення та утримання клієнтів і споживачів, формування позитивного іміджу організації, пошук партнерів та інвесторів, прибутків,  залучення талантів тощо [4]. </w:t>
      </w:r>
      <w:r w:rsidRPr="005F0419">
        <w:rPr>
          <w:rStyle w:val="rynqvb"/>
          <w:rFonts w:ascii="Times New Roman" w:hAnsi="Times New Roman" w:cs="Times New Roman"/>
          <w:sz w:val="28"/>
          <w:szCs w:val="28"/>
          <w:lang w:val="uk-UA"/>
        </w:rPr>
        <w:t xml:space="preserve">На сьогоднішній день у світі, де бізнес активно процвітає в основному завдяки ефективному спілкуванню, як ніколи раніше актуально вивчати шляхи будування стратегій зовнішньої комунікації і специфічні аспекти, які супроводжують цей процес. </w:t>
      </w:r>
    </w:p>
    <w:p w14:paraId="5029795C" w14:textId="65B3DE13"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Зовнішні комунікації служать інструментом донесення до потенційної цільової аудиторії індивідуальності організації, висвітлення її цілей та ідей Одним з важливих завдань зовнішніх комунікацій є пошук грамотного способу </w:t>
      </w:r>
      <w:r w:rsidRPr="005F0419">
        <w:rPr>
          <w:rStyle w:val="rynqvb"/>
          <w:rFonts w:ascii="Times New Roman" w:hAnsi="Times New Roman" w:cs="Times New Roman"/>
          <w:sz w:val="28"/>
          <w:szCs w:val="28"/>
          <w:lang w:val="uk-UA"/>
        </w:rPr>
        <w:lastRenderedPageBreak/>
        <w:t>зв'язку із аудиторією. Інструменти зовнішньої комунікації відповідають за те, як компанія сприймається з боку, з чого складається впізнавання бренду.</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Правильний підхід до формування стратегії сприяє зростанню та розвитку бізнесу. Це вимагає детального і глибокого аналізу того, як ефективніше транслювати концепцію та посил організації для різних рівнів цільової аудиторії.</w:t>
      </w:r>
    </w:p>
    <w:p w14:paraId="62219B7B" w14:textId="77777777" w:rsidR="00115A3E" w:rsidRPr="005F0419" w:rsidRDefault="00115A3E" w:rsidP="00115A3E">
      <w:pPr>
        <w:spacing w:after="0" w:line="360" w:lineRule="auto"/>
        <w:ind w:firstLine="720"/>
        <w:jc w:val="both"/>
        <w:rPr>
          <w:rFonts w:ascii="Times New Roman" w:hAnsi="Times New Roman" w:cs="Times New Roman"/>
          <w:bCs/>
          <w:sz w:val="28"/>
          <w:szCs w:val="28"/>
          <w:lang w:val="uk-UA"/>
        </w:rPr>
      </w:pPr>
      <w:r w:rsidRPr="005F0419">
        <w:rPr>
          <w:rStyle w:val="rynqvb"/>
          <w:rFonts w:ascii="Times New Roman" w:hAnsi="Times New Roman" w:cs="Times New Roman"/>
          <w:sz w:val="28"/>
          <w:szCs w:val="28"/>
          <w:lang w:val="uk-UA"/>
        </w:rPr>
        <w:t xml:space="preserve">Отже, стратегічні комунікації організовують і координують діяльність в команді чи організації, виявляють та </w:t>
      </w:r>
      <w:proofErr w:type="spellStart"/>
      <w:r w:rsidRPr="005F0419">
        <w:rPr>
          <w:rStyle w:val="rynqvb"/>
          <w:rFonts w:ascii="Times New Roman" w:hAnsi="Times New Roman" w:cs="Times New Roman"/>
          <w:sz w:val="28"/>
          <w:szCs w:val="28"/>
          <w:lang w:val="uk-UA"/>
        </w:rPr>
        <w:t>вербалізують</w:t>
      </w:r>
      <w:proofErr w:type="spellEnd"/>
      <w:r w:rsidRPr="005F0419">
        <w:rPr>
          <w:rStyle w:val="rynqvb"/>
          <w:rFonts w:ascii="Times New Roman" w:hAnsi="Times New Roman" w:cs="Times New Roman"/>
          <w:sz w:val="28"/>
          <w:szCs w:val="28"/>
          <w:lang w:val="uk-UA"/>
        </w:rPr>
        <w:t xml:space="preserve"> внутрішню та зовнішню комунікативну політику. </w:t>
      </w:r>
      <w:r w:rsidRPr="005F0419">
        <w:rPr>
          <w:rFonts w:ascii="Times New Roman" w:hAnsi="Times New Roman" w:cs="Times New Roman"/>
          <w:bCs/>
          <w:sz w:val="28"/>
          <w:szCs w:val="28"/>
          <w:lang w:val="uk-UA"/>
        </w:rPr>
        <w:t xml:space="preserve">Роль стратегічних комунікацій в загальному полягає в тому, щоб здійснювати інформування цільових аудиторій, спонукати їх до певних дій, долати стереотипи та змінювати думки і поведінку, стимулювати до змін. </w:t>
      </w:r>
    </w:p>
    <w:p w14:paraId="3E56AE73" w14:textId="13FAE3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Для більшості організацій дорога до успіху вимощена саме аналітикою та формуванням комунікативних стратегій.</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Грамотне управління зовнішніми і внутрішніми комунікаціями є ключем до вибудовування здорової атмосфери всередині колективу, формуванню впізнавання та думки про компанію і зростання ефективності управління брендом. </w:t>
      </w:r>
    </w:p>
    <w:p w14:paraId="1E6F59C8" w14:textId="2256498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Запорука ефективної стратегічної комунікації – це побудова комунікаційної стратегії на основі місії, цілей, завдань та плану розвитку організації [4].</w:t>
      </w:r>
    </w:p>
    <w:p w14:paraId="30D405A1"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Комунікація є стратегічною за таких умов: </w:t>
      </w:r>
    </w:p>
    <w:p w14:paraId="50E8BF43"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сфера комунікаційної діяльності орієнтована на безліч та різноманітність аудиторій (а не на загальну чи конкретну аудиторію); </w:t>
      </w:r>
    </w:p>
    <w:p w14:paraId="0BFE5C03"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комунікації здійснюються безперервно (а не дискретно в один момент часу); </w:t>
      </w:r>
    </w:p>
    <w:p w14:paraId="381C9D6E"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комунікація орієнтована на одержувача або адаптована для аудиторії (а чи не на відправника); </w:t>
      </w:r>
    </w:p>
    <w:p w14:paraId="3CD06399"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інформація та дії сформовані  у відповідності до місії і цілей.</w:t>
      </w:r>
    </w:p>
    <w:p w14:paraId="2189A7DF" w14:textId="634F782A"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Загалом, стратегія – загальний, не деталізований план будь-якої діяльності, що охоплює тривалий період часу, спосіб досягнення складної мети, що є невизначеною і головною для команди чи організації на поточний момент. </w:t>
      </w:r>
      <w:r w:rsidRPr="005F0419">
        <w:rPr>
          <w:rStyle w:val="rynqvb"/>
          <w:sz w:val="28"/>
          <w:szCs w:val="28"/>
          <w:lang w:val="uk-UA"/>
        </w:rPr>
        <w:lastRenderedPageBreak/>
        <w:t xml:space="preserve">Завданням стратегії є ефективне використання ресурсів задля досягнення основної мети. </w:t>
      </w:r>
    </w:p>
    <w:p w14:paraId="38F9CDD6"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Будь-яка стратегія включає: план (</w:t>
      </w:r>
      <w:proofErr w:type="spellStart"/>
      <w:r w:rsidRPr="005F0419">
        <w:rPr>
          <w:rStyle w:val="rynqvb"/>
          <w:sz w:val="28"/>
          <w:szCs w:val="28"/>
          <w:lang w:val="uk-UA"/>
        </w:rPr>
        <w:t>plan</w:t>
      </w:r>
      <w:proofErr w:type="spellEnd"/>
      <w:r w:rsidRPr="005F0419">
        <w:rPr>
          <w:rStyle w:val="rynqvb"/>
          <w:sz w:val="28"/>
          <w:szCs w:val="28"/>
          <w:lang w:val="uk-UA"/>
        </w:rPr>
        <w:t>);</w:t>
      </w:r>
      <w:r w:rsidRPr="005F0419">
        <w:rPr>
          <w:rStyle w:val="hwtze"/>
          <w:sz w:val="28"/>
          <w:szCs w:val="28"/>
          <w:lang w:val="uk-UA"/>
        </w:rPr>
        <w:t xml:space="preserve"> </w:t>
      </w:r>
      <w:r w:rsidRPr="005F0419">
        <w:rPr>
          <w:rStyle w:val="rynqvb"/>
          <w:sz w:val="28"/>
          <w:szCs w:val="28"/>
          <w:lang w:val="uk-UA"/>
        </w:rPr>
        <w:t>прийом як тактичний хід (</w:t>
      </w:r>
      <w:proofErr w:type="spellStart"/>
      <w:r w:rsidRPr="005F0419">
        <w:rPr>
          <w:rStyle w:val="rynqvb"/>
          <w:sz w:val="28"/>
          <w:szCs w:val="28"/>
          <w:lang w:val="uk-UA"/>
        </w:rPr>
        <w:t>ploy</w:t>
      </w:r>
      <w:proofErr w:type="spellEnd"/>
      <w:r w:rsidRPr="005F0419">
        <w:rPr>
          <w:rStyle w:val="rynqvb"/>
          <w:sz w:val="28"/>
          <w:szCs w:val="28"/>
          <w:lang w:val="uk-UA"/>
        </w:rPr>
        <w:t>);</w:t>
      </w:r>
      <w:r w:rsidRPr="005F0419">
        <w:rPr>
          <w:rStyle w:val="hwtze"/>
          <w:sz w:val="28"/>
          <w:szCs w:val="28"/>
          <w:lang w:val="uk-UA"/>
        </w:rPr>
        <w:t xml:space="preserve"> </w:t>
      </w:r>
      <w:r w:rsidRPr="005F0419">
        <w:rPr>
          <w:rStyle w:val="rynqvb"/>
          <w:sz w:val="28"/>
          <w:szCs w:val="28"/>
          <w:lang w:val="uk-UA"/>
        </w:rPr>
        <w:t>поведінкову модель (</w:t>
      </w:r>
      <w:proofErr w:type="spellStart"/>
      <w:r w:rsidRPr="005F0419">
        <w:rPr>
          <w:rStyle w:val="rynqvb"/>
          <w:sz w:val="28"/>
          <w:szCs w:val="28"/>
          <w:lang w:val="uk-UA"/>
        </w:rPr>
        <w:t>pattern</w:t>
      </w:r>
      <w:proofErr w:type="spellEnd"/>
      <w:r w:rsidRPr="005F0419">
        <w:rPr>
          <w:rStyle w:val="rynqvb"/>
          <w:sz w:val="28"/>
          <w:szCs w:val="28"/>
          <w:lang w:val="uk-UA"/>
        </w:rPr>
        <w:t xml:space="preserve"> </w:t>
      </w:r>
      <w:proofErr w:type="spellStart"/>
      <w:r w:rsidRPr="005F0419">
        <w:rPr>
          <w:rStyle w:val="rynqvb"/>
          <w:sz w:val="28"/>
          <w:szCs w:val="28"/>
          <w:lang w:val="uk-UA"/>
        </w:rPr>
        <w:t>of</w:t>
      </w:r>
      <w:proofErr w:type="spellEnd"/>
      <w:r w:rsidRPr="005F0419">
        <w:rPr>
          <w:rStyle w:val="rynqvb"/>
          <w:sz w:val="28"/>
          <w:szCs w:val="28"/>
          <w:lang w:val="uk-UA"/>
        </w:rPr>
        <w:t xml:space="preserve"> </w:t>
      </w:r>
      <w:proofErr w:type="spellStart"/>
      <w:r w:rsidRPr="005F0419">
        <w:rPr>
          <w:rStyle w:val="rynqvb"/>
          <w:sz w:val="28"/>
          <w:szCs w:val="28"/>
          <w:lang w:val="uk-UA"/>
        </w:rPr>
        <w:t>behaviour</w:t>
      </w:r>
      <w:proofErr w:type="spellEnd"/>
      <w:r w:rsidRPr="005F0419">
        <w:rPr>
          <w:rStyle w:val="rynqvb"/>
          <w:sz w:val="28"/>
          <w:szCs w:val="28"/>
          <w:lang w:val="uk-UA"/>
        </w:rPr>
        <w:t>);</w:t>
      </w:r>
      <w:r w:rsidRPr="005F0419">
        <w:rPr>
          <w:rStyle w:val="hwtze"/>
          <w:sz w:val="28"/>
          <w:szCs w:val="28"/>
          <w:lang w:val="uk-UA"/>
        </w:rPr>
        <w:t xml:space="preserve"> </w:t>
      </w:r>
      <w:r w:rsidRPr="005F0419">
        <w:rPr>
          <w:rStyle w:val="rynqvb"/>
          <w:sz w:val="28"/>
          <w:szCs w:val="28"/>
          <w:lang w:val="uk-UA"/>
        </w:rPr>
        <w:t>позицію щодо інших (</w:t>
      </w:r>
      <w:proofErr w:type="spellStart"/>
      <w:r w:rsidRPr="005F0419">
        <w:rPr>
          <w:rStyle w:val="rynqvb"/>
          <w:sz w:val="28"/>
          <w:szCs w:val="28"/>
          <w:lang w:val="uk-UA"/>
        </w:rPr>
        <w:t>position</w:t>
      </w:r>
      <w:proofErr w:type="spellEnd"/>
      <w:r w:rsidRPr="005F0419">
        <w:rPr>
          <w:rStyle w:val="rynqvb"/>
          <w:sz w:val="28"/>
          <w:szCs w:val="28"/>
          <w:lang w:val="uk-UA"/>
        </w:rPr>
        <w:t xml:space="preserve"> </w:t>
      </w:r>
      <w:proofErr w:type="spellStart"/>
      <w:r w:rsidRPr="005F0419">
        <w:rPr>
          <w:rStyle w:val="rynqvb"/>
          <w:sz w:val="28"/>
          <w:szCs w:val="28"/>
          <w:lang w:val="uk-UA"/>
        </w:rPr>
        <w:t>inrespect</w:t>
      </w:r>
      <w:proofErr w:type="spellEnd"/>
      <w:r w:rsidRPr="005F0419">
        <w:rPr>
          <w:rStyle w:val="rynqvb"/>
          <w:sz w:val="28"/>
          <w:szCs w:val="28"/>
          <w:lang w:val="uk-UA"/>
        </w:rPr>
        <w:t xml:space="preserve"> </w:t>
      </w:r>
      <w:proofErr w:type="spellStart"/>
      <w:r w:rsidRPr="005F0419">
        <w:rPr>
          <w:rStyle w:val="rynqvb"/>
          <w:sz w:val="28"/>
          <w:szCs w:val="28"/>
          <w:lang w:val="uk-UA"/>
        </w:rPr>
        <w:t>to</w:t>
      </w:r>
      <w:proofErr w:type="spellEnd"/>
      <w:r w:rsidRPr="005F0419">
        <w:rPr>
          <w:rStyle w:val="rynqvb"/>
          <w:sz w:val="28"/>
          <w:szCs w:val="28"/>
          <w:lang w:val="uk-UA"/>
        </w:rPr>
        <w:t xml:space="preserve"> </w:t>
      </w:r>
      <w:proofErr w:type="spellStart"/>
      <w:r w:rsidRPr="005F0419">
        <w:rPr>
          <w:rStyle w:val="rynqvb"/>
          <w:sz w:val="28"/>
          <w:szCs w:val="28"/>
          <w:lang w:val="uk-UA"/>
        </w:rPr>
        <w:t>others</w:t>
      </w:r>
      <w:proofErr w:type="spellEnd"/>
      <w:r w:rsidRPr="005F0419">
        <w:rPr>
          <w:rStyle w:val="rynqvb"/>
          <w:sz w:val="28"/>
          <w:szCs w:val="28"/>
          <w:lang w:val="uk-UA"/>
        </w:rPr>
        <w:t>);</w:t>
      </w:r>
      <w:r w:rsidRPr="005F0419">
        <w:rPr>
          <w:rStyle w:val="hwtze"/>
          <w:sz w:val="28"/>
          <w:szCs w:val="28"/>
          <w:lang w:val="uk-UA"/>
        </w:rPr>
        <w:t xml:space="preserve"> </w:t>
      </w:r>
      <w:r w:rsidRPr="005F0419">
        <w:rPr>
          <w:rStyle w:val="rynqvb"/>
          <w:sz w:val="28"/>
          <w:szCs w:val="28"/>
          <w:lang w:val="uk-UA"/>
        </w:rPr>
        <w:t>перспективу (</w:t>
      </w:r>
      <w:proofErr w:type="spellStart"/>
      <w:r w:rsidRPr="005F0419">
        <w:rPr>
          <w:rStyle w:val="rynqvb"/>
          <w:sz w:val="28"/>
          <w:szCs w:val="28"/>
          <w:lang w:val="uk-UA"/>
        </w:rPr>
        <w:t>perspective</w:t>
      </w:r>
      <w:proofErr w:type="spellEnd"/>
      <w:r w:rsidRPr="005F0419">
        <w:rPr>
          <w:rStyle w:val="rynqvb"/>
          <w:sz w:val="28"/>
          <w:szCs w:val="28"/>
          <w:lang w:val="uk-UA"/>
        </w:rPr>
        <w:t>).</w:t>
      </w:r>
    </w:p>
    <w:p w14:paraId="625A4A94" w14:textId="75C81685"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Якщо говорити про комунікативну стратегію, вона являє собою частину загальної корпоративної стратегії організації чи команди і стосується вибудовування довгострокової комунікації як усередині організації, так і поза нею. Метою комунікаційної стратегії є створення механізму ефективного обміну інформацією з цільовими аудиторіями та отримання зворотного зв'язку. Ґрунтуючись на корпоративній стратегії компанії, комунікаційна стратегія виявляє найбільш ефективні інструменти та шляхи впливу на цільові аудиторії.</w:t>
      </w:r>
    </w:p>
    <w:p w14:paraId="3CEC06AD"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Комунікаційна стратегія завжди включає концепцію побудови зовнішніх та внутрішніх комунікацій, оскільки перші завжди доповнюють, зміцнюють другий і навпаки.</w:t>
      </w:r>
    </w:p>
    <w:p w14:paraId="45C8FECD"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Єдиного і конкретного трактування комунікаційної стратегії сьогодні немає і це зрозуміло. Адже кожен автор розглядає різні сторони цього комплексного процесу залежно від галузі, потреб, особливостей діяльності, переліку </w:t>
      </w:r>
      <w:proofErr w:type="spellStart"/>
      <w:r w:rsidRPr="005F0419">
        <w:rPr>
          <w:rFonts w:ascii="Times New Roman" w:hAnsi="Times New Roman" w:cs="Times New Roman"/>
          <w:sz w:val="28"/>
          <w:szCs w:val="28"/>
          <w:lang w:val="uk-UA"/>
        </w:rPr>
        <w:t>стейкхолдерів</w:t>
      </w:r>
      <w:proofErr w:type="spellEnd"/>
      <w:r w:rsidRPr="005F0419">
        <w:rPr>
          <w:rFonts w:ascii="Times New Roman" w:hAnsi="Times New Roman" w:cs="Times New Roman"/>
          <w:sz w:val="28"/>
          <w:szCs w:val="28"/>
          <w:lang w:val="uk-UA"/>
        </w:rPr>
        <w:t>.</w:t>
      </w:r>
    </w:p>
    <w:p w14:paraId="4AE3E426"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Комунікаційна стратегія може розглядатись як сучасна комунікативна технологія, яка дозволяє організувати ефективні комунікації з різними цільовими групами організації чи проекту за умови дотримання логіки, алгоритму та послідовності її розробки та реалізації, а також використання відповідних сучасних інструментів на кожному етапі. </w:t>
      </w:r>
    </w:p>
    <w:p w14:paraId="23B4724E"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 практичної точки зору комунікаційна стратегія — це докладна відповідь на питання що, кому, як, в яких умовах, коли та навіщо ми </w:t>
      </w:r>
      <w:proofErr w:type="spellStart"/>
      <w:r w:rsidRPr="005F0419">
        <w:rPr>
          <w:rFonts w:ascii="Times New Roman" w:hAnsi="Times New Roman" w:cs="Times New Roman"/>
          <w:sz w:val="28"/>
          <w:szCs w:val="28"/>
          <w:lang w:val="uk-UA"/>
        </w:rPr>
        <w:t>комунікуємо</w:t>
      </w:r>
      <w:proofErr w:type="spellEnd"/>
      <w:r w:rsidRPr="005F0419">
        <w:rPr>
          <w:rFonts w:ascii="Times New Roman" w:hAnsi="Times New Roman" w:cs="Times New Roman"/>
          <w:sz w:val="28"/>
          <w:szCs w:val="28"/>
          <w:lang w:val="uk-UA"/>
        </w:rPr>
        <w:t xml:space="preserve"> [4].</w:t>
      </w:r>
    </w:p>
    <w:p w14:paraId="5C91CE69"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Комунікаційна стратегія може розглядатись як набір правил, принципів та підходів до взаємодії організації (компанії,  проекту, підприємства, бренду) зі своєю потенційною аудиторією. </w:t>
      </w:r>
    </w:p>
    <w:p w14:paraId="60A87533" w14:textId="3C1C7502"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lastRenderedPageBreak/>
        <w:t xml:space="preserve">Ще одне визначення терміну дають американські маркетологи </w:t>
      </w:r>
      <w:proofErr w:type="spellStart"/>
      <w:r w:rsidRPr="005F0419">
        <w:rPr>
          <w:rStyle w:val="rynqvb"/>
          <w:rFonts w:ascii="Times New Roman" w:hAnsi="Times New Roman" w:cs="Times New Roman"/>
          <w:sz w:val="28"/>
          <w:szCs w:val="28"/>
          <w:lang w:val="uk-UA"/>
        </w:rPr>
        <w:t>Дж</w:t>
      </w:r>
      <w:proofErr w:type="spellEnd"/>
      <w:r w:rsidRPr="005F0419">
        <w:rPr>
          <w:rStyle w:val="rynqvb"/>
          <w:rFonts w:ascii="Times New Roman" w:hAnsi="Times New Roman" w:cs="Times New Roman"/>
          <w:sz w:val="28"/>
          <w:szCs w:val="28"/>
          <w:lang w:val="uk-UA"/>
        </w:rPr>
        <w:t xml:space="preserve">. </w:t>
      </w:r>
      <w:proofErr w:type="spellStart"/>
      <w:r w:rsidRPr="005F0419">
        <w:rPr>
          <w:rStyle w:val="rynqvb"/>
          <w:rFonts w:ascii="Times New Roman" w:hAnsi="Times New Roman" w:cs="Times New Roman"/>
          <w:sz w:val="28"/>
          <w:szCs w:val="28"/>
          <w:lang w:val="uk-UA"/>
        </w:rPr>
        <w:t>Еванс</w:t>
      </w:r>
      <w:proofErr w:type="spellEnd"/>
      <w:r w:rsidRPr="005F0419">
        <w:rPr>
          <w:rStyle w:val="rynqvb"/>
          <w:rFonts w:ascii="Times New Roman" w:hAnsi="Times New Roman" w:cs="Times New Roman"/>
          <w:sz w:val="28"/>
          <w:szCs w:val="28"/>
          <w:lang w:val="uk-UA"/>
        </w:rPr>
        <w:t xml:space="preserve"> і Б. </w:t>
      </w:r>
      <w:proofErr w:type="spellStart"/>
      <w:r w:rsidRPr="005F0419">
        <w:rPr>
          <w:rStyle w:val="rynqvb"/>
          <w:rFonts w:ascii="Times New Roman" w:hAnsi="Times New Roman" w:cs="Times New Roman"/>
          <w:sz w:val="28"/>
          <w:szCs w:val="28"/>
          <w:lang w:val="uk-UA"/>
        </w:rPr>
        <w:t>Берман</w:t>
      </w:r>
      <w:proofErr w:type="spellEnd"/>
      <w:r w:rsidRPr="005F0419">
        <w:rPr>
          <w:rStyle w:val="rynqvb"/>
          <w:rFonts w:ascii="Times New Roman" w:hAnsi="Times New Roman" w:cs="Times New Roman"/>
          <w:sz w:val="28"/>
          <w:szCs w:val="28"/>
          <w:lang w:val="uk-UA"/>
        </w:rPr>
        <w:t>. Під комунікаційною стратегією вони розуміють комплекс методів та заходів, дій у сфері комунікації компанії, які спрямовані на здійснення ефективного обміну інформацією з іншими суб'єктами ринку на основі складеного плану управління комплексом комунікативних</w:t>
      </w:r>
      <w:r w:rsidRPr="005F0419">
        <w:rPr>
          <w:rStyle w:val="hwtze"/>
          <w:rFonts w:ascii="Times New Roman" w:hAnsi="Times New Roman" w:cs="Times New Roman"/>
          <w:sz w:val="28"/>
          <w:szCs w:val="28"/>
          <w:lang w:val="uk-UA"/>
        </w:rPr>
        <w:t xml:space="preserve"> засобів. </w:t>
      </w:r>
    </w:p>
    <w:p w14:paraId="39A50450" w14:textId="01F80BCE"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Комунікаційна стратегія з точки зору бізнесу – це комплексний вплив компанії на зовнішнє оточення з метою створення сприятливих умов для продуктивної та стабільної діяльності на ринку через комунікації з клієнтом.  А також комплекс заходів, спрямований досягнення цілей компанії через налагодження </w:t>
      </w:r>
      <w:proofErr w:type="spellStart"/>
      <w:r w:rsidRPr="005F0419">
        <w:rPr>
          <w:rStyle w:val="rynqvb"/>
          <w:rFonts w:ascii="Times New Roman" w:hAnsi="Times New Roman" w:cs="Times New Roman"/>
          <w:sz w:val="28"/>
          <w:szCs w:val="28"/>
          <w:lang w:val="uk-UA"/>
        </w:rPr>
        <w:t>зв’язків</w:t>
      </w:r>
      <w:proofErr w:type="spellEnd"/>
      <w:r w:rsidRPr="005F0419">
        <w:rPr>
          <w:rStyle w:val="rynqvb"/>
          <w:rFonts w:ascii="Times New Roman" w:hAnsi="Times New Roman" w:cs="Times New Roman"/>
          <w:sz w:val="28"/>
          <w:szCs w:val="28"/>
          <w:lang w:val="uk-UA"/>
        </w:rPr>
        <w:t xml:space="preserve"> із її аудиторією. Комунікативна стратегія потрібна для того, щоб:</w:t>
      </w:r>
    </w:p>
    <w:p w14:paraId="0AA3424A" w14:textId="67E6F399"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інформувати потенційного споживача про продукт;</w:t>
      </w:r>
    </w:p>
    <w:p w14:paraId="3432C077" w14:textId="1AF612D6"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сформувати лояльне ставлення до бренду;</w:t>
      </w:r>
    </w:p>
    <w:p w14:paraId="1A0E55D2" w14:textId="64376776"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допомогти представникам цільової аудиторії вирішити їхні проблеми, тим самим розвинути довіру до бренду. </w:t>
      </w:r>
    </w:p>
    <w:p w14:paraId="32FF22CB"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sz w:val="28"/>
          <w:szCs w:val="28"/>
          <w:lang w:val="uk-UA"/>
        </w:rPr>
        <w:t>Аналіз існуючих трактувань дозволяє виокремити спільні риси, характерні для більшості стратегічних комунікацій:</w:t>
      </w:r>
    </w:p>
    <w:p w14:paraId="00E6A6DB" w14:textId="64C53F52"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це процеси та дії організації або команди, спрямовані на формування та розвиток  взаємин зі </w:t>
      </w:r>
      <w:proofErr w:type="spellStart"/>
      <w:r w:rsidRPr="005F0419">
        <w:rPr>
          <w:rFonts w:ascii="Times New Roman" w:hAnsi="Times New Roman" w:cs="Times New Roman"/>
          <w:sz w:val="28"/>
          <w:szCs w:val="28"/>
          <w:lang w:val="uk-UA"/>
        </w:rPr>
        <w:t>стейкхолдерами</w:t>
      </w:r>
      <w:proofErr w:type="spellEnd"/>
      <w:r w:rsidRPr="005F0419">
        <w:rPr>
          <w:rFonts w:ascii="Times New Roman" w:hAnsi="Times New Roman" w:cs="Times New Roman"/>
          <w:sz w:val="28"/>
          <w:szCs w:val="28"/>
          <w:lang w:val="uk-UA"/>
        </w:rPr>
        <w:t>, формування необхідного організації сприйняття та іміджу;</w:t>
      </w:r>
    </w:p>
    <w:p w14:paraId="2B9BE29F" w14:textId="4CE241E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наявність місії, візії, загальної мети, стратегічних та оперативних цілей, завдань комунікації;</w:t>
      </w:r>
    </w:p>
    <w:p w14:paraId="1651B70C" w14:textId="6D0C16AD"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виявлення цільової аудиторії, їх мотивів і потреб;</w:t>
      </w:r>
    </w:p>
    <w:p w14:paraId="57E7F8B3" w14:textId="33CBA71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довгострокова направленість з метою побудови тривалих довгих відносин зі </w:t>
      </w:r>
      <w:proofErr w:type="spellStart"/>
      <w:r w:rsidRPr="005F0419">
        <w:rPr>
          <w:rFonts w:ascii="Times New Roman" w:hAnsi="Times New Roman" w:cs="Times New Roman"/>
          <w:sz w:val="28"/>
          <w:szCs w:val="28"/>
          <w:lang w:val="uk-UA"/>
        </w:rPr>
        <w:t>стейкхолдерами</w:t>
      </w:r>
      <w:proofErr w:type="spellEnd"/>
      <w:r w:rsidRPr="005F0419">
        <w:rPr>
          <w:rFonts w:ascii="Times New Roman" w:hAnsi="Times New Roman" w:cs="Times New Roman"/>
          <w:sz w:val="28"/>
          <w:szCs w:val="28"/>
          <w:lang w:val="uk-UA"/>
        </w:rPr>
        <w:t>, як внутрішніми, так і зовнішніми;</w:t>
      </w:r>
    </w:p>
    <w:p w14:paraId="793CC919" w14:textId="7A7E9F10"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формування концепції та ключових ідей для позиціонування організації на ринку;</w:t>
      </w:r>
    </w:p>
    <w:p w14:paraId="2BFBB2FA" w14:textId="7C4D04E3"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підбір каналів, </w:t>
      </w:r>
      <w:proofErr w:type="spellStart"/>
      <w:r w:rsidRPr="005F0419">
        <w:rPr>
          <w:rFonts w:ascii="Times New Roman" w:hAnsi="Times New Roman" w:cs="Times New Roman"/>
          <w:sz w:val="28"/>
          <w:szCs w:val="28"/>
          <w:lang w:val="uk-UA"/>
        </w:rPr>
        <w:t>тематик</w:t>
      </w:r>
      <w:proofErr w:type="spellEnd"/>
      <w:r w:rsidRPr="005F0419">
        <w:rPr>
          <w:rFonts w:ascii="Times New Roman" w:hAnsi="Times New Roman" w:cs="Times New Roman"/>
          <w:sz w:val="28"/>
          <w:szCs w:val="28"/>
          <w:lang w:val="uk-UA"/>
        </w:rPr>
        <w:t xml:space="preserve"> і форматів передачі інформації у відповідності до цілей та потреб цільової аудиторії;</w:t>
      </w:r>
    </w:p>
    <w:p w14:paraId="720DF410" w14:textId="65504EC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наявність цільових показників ефективності, які досягаються в результаті реалізації комунікаційної стратегії.</w:t>
      </w:r>
    </w:p>
    <w:p w14:paraId="1C590273"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sz w:val="28"/>
          <w:szCs w:val="28"/>
          <w:lang w:val="uk-UA"/>
        </w:rPr>
        <w:t>Основною метою будь-якої комунікаційної стратегії є забезпечення інформаційної підтримки розвитку організації. В основі комунікаційної стратегії завжди є ключова думка та концепція  позиціонування,  яку організація хоче донести до ключових аудиторій</w:t>
      </w:r>
      <w:r w:rsidRPr="005F0419">
        <w:rPr>
          <w:rFonts w:ascii="Times New Roman" w:hAnsi="Times New Roman" w:cs="Times New Roman"/>
          <w:sz w:val="28"/>
          <w:szCs w:val="28"/>
          <w:lang w:val="uk-UA"/>
        </w:rPr>
        <w:t>.</w:t>
      </w:r>
    </w:p>
    <w:p w14:paraId="1DBFBA57" w14:textId="030E816C"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Формування комунікаційної стратегії підприємства є двостороннім процесом: з одного боку, передбачається дія на цільові і інші аудиторії, а з іншою, – отримання зустрічної інформації про реакцію цих аудиторій на здійснювану дію. </w:t>
      </w:r>
    </w:p>
    <w:p w14:paraId="5F5C56CC"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Комунікативна стратегія має бути побудована таким чином, щоб сприяти встановленню взаємин із ключовими групами зацікавлених осіб, які можуть вплинути на досягнення наперед намічених стратегічних цілей.</w:t>
      </w:r>
    </w:p>
    <w:p w14:paraId="747ABCFA"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Комунікативна стратегія може допомогти у досягненні конкурентної переваги за допомогою програм, призначених до створення, зміцнення чи захисту репутації чи бренду, для побудови чіткої мережі взаємин із різними групами населення. Комунікативні стратегії повинні будуватися на аналізі ключових проблем, важливих для цільової аудиторії. </w:t>
      </w:r>
    </w:p>
    <w:p w14:paraId="23B0C01A"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Стратегічний рівень передбачає формування комунікаційної стратегії організації, що є широкомасштабною і довгостроковою програмою досягнення цілей через використання всіх можливих комунікаційних ресурсів та організації комунікативного простору.</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Основу такої програми складає система загальних установок, критеріїв, орієнтирів, прийнятих організацією для дій та прийняття рішень у сфері комунікацій, що забезпечують досягнення її цілей. </w:t>
      </w:r>
    </w:p>
    <w:p w14:paraId="4EC673E5"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На тактичному рівні формується комунікативне середовище, під яким ми розуміємо сукупність умов, що дозволяють організації та її членам реалізувати взаємодію з партнерами з метою обміну інформацією та формування взаємовідносин.</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Формування комунікативного середовища забезпечує цілісність та координацію дій для швидкого адекватного реагування на динамічні зміни довкілля. </w:t>
      </w:r>
    </w:p>
    <w:p w14:paraId="2E58F8DA"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lastRenderedPageBreak/>
        <w:t>Зміст оперативного управління внутрішніми комунікаціями включає розробку, впровадження та актуалізацію, виходячи із завдань організації, системи корпоративних домовленостей та комунікативних стандартів, розробленої з орієнтацією на корпоративні цінності та визначає взаємодію працівників організації на всіх ієрархічних рівнях, як між собою, так і із зацікавленими сторонами</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у зовнішньому середовищі.</w:t>
      </w:r>
    </w:p>
    <w:p w14:paraId="264F82D0"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sz w:val="28"/>
          <w:szCs w:val="28"/>
          <w:lang w:val="uk-UA"/>
        </w:rPr>
        <w:t>Результатами розробки комунікаційної стратегії</w:t>
      </w:r>
      <w:r w:rsidRPr="005F0419">
        <w:rPr>
          <w:rFonts w:ascii="Times New Roman" w:hAnsi="Times New Roman" w:cs="Times New Roman"/>
          <w:b/>
          <w:bCs/>
          <w:sz w:val="28"/>
          <w:szCs w:val="28"/>
          <w:lang w:val="uk-UA"/>
        </w:rPr>
        <w:t xml:space="preserve"> </w:t>
      </w:r>
      <w:r w:rsidRPr="005F0419">
        <w:rPr>
          <w:rFonts w:ascii="Times New Roman" w:hAnsi="Times New Roman" w:cs="Times New Roman"/>
          <w:sz w:val="28"/>
          <w:szCs w:val="28"/>
          <w:lang w:val="uk-UA"/>
        </w:rPr>
        <w:t xml:space="preserve">є: загальний стратегічний план комунікацій, комунікаційні плани в розрізі окремих проектів, відділів та рівнів, </w:t>
      </w:r>
      <w:proofErr w:type="spellStart"/>
      <w:r w:rsidRPr="005F0419">
        <w:rPr>
          <w:rFonts w:ascii="Times New Roman" w:hAnsi="Times New Roman" w:cs="Times New Roman"/>
          <w:sz w:val="28"/>
          <w:szCs w:val="28"/>
          <w:lang w:val="uk-UA"/>
        </w:rPr>
        <w:t>стейкхолдерів</w:t>
      </w:r>
      <w:proofErr w:type="spellEnd"/>
      <w:r w:rsidRPr="005F0419">
        <w:rPr>
          <w:rFonts w:ascii="Times New Roman" w:hAnsi="Times New Roman" w:cs="Times New Roman"/>
          <w:sz w:val="28"/>
          <w:szCs w:val="28"/>
          <w:lang w:val="uk-UA"/>
        </w:rPr>
        <w:t xml:space="preserve"> або каналів комунікацій.  </w:t>
      </w:r>
    </w:p>
    <w:p w14:paraId="535A2134"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Комунікаційна стратегія може вважатися успішною, якщо у вас є повні відповіді на питання:</w:t>
      </w:r>
    </w:p>
    <w:p w14:paraId="43B8B835"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1. Якого результату буде досягнуто організацією чи проектом, яку проблему вона зможе вирішити за допомогою комунікацій, описаних у стратегії? </w:t>
      </w:r>
    </w:p>
    <w:p w14:paraId="207FADCF"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2. На які групи цільових аудиторій спрямовано комунікацію? </w:t>
      </w:r>
    </w:p>
    <w:p w14:paraId="5D3BAEE5"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3. Що для них важливе? Що має сказати компанія кожному із споживачів? </w:t>
      </w:r>
    </w:p>
    <w:p w14:paraId="55B17915"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4. Яким чином найефективніше донести цю інформацію? </w:t>
      </w:r>
    </w:p>
    <w:p w14:paraId="147EF811"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5. У який час повинні бути використані канали та інструменти, щоб досягти необхідного результату </w:t>
      </w:r>
    </w:p>
    <w:p w14:paraId="65FF6B0E"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6. Яким має бути бюджет, які ресурси та кошти знадобляться, щоб реалізувати план? </w:t>
      </w:r>
    </w:p>
    <w:p w14:paraId="12BAF1D9"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7. Як і коли буде ясно, що мети компанії досягнуто?</w:t>
      </w:r>
    </w:p>
    <w:p w14:paraId="28DCCBAE"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Технологія розробки загальної комунікаційної стратегії та окремих планів представлена на рис. 2. Розглянемо детальніше основні складові. </w:t>
      </w:r>
    </w:p>
    <w:p w14:paraId="4728F39C" w14:textId="77777777" w:rsidR="00115A3E" w:rsidRPr="005F0419" w:rsidRDefault="00115A3E" w:rsidP="00115A3E">
      <w:pPr>
        <w:spacing w:after="0" w:line="360" w:lineRule="auto"/>
        <w:ind w:firstLine="720"/>
        <w:jc w:val="both"/>
        <w:rPr>
          <w:rFonts w:ascii="Times New Roman" w:hAnsi="Times New Roman" w:cs="Times New Roman"/>
          <w:bCs/>
          <w:i/>
          <w:sz w:val="28"/>
          <w:szCs w:val="28"/>
          <w:lang w:val="uk-UA"/>
        </w:rPr>
      </w:pPr>
      <w:r w:rsidRPr="005F0419">
        <w:rPr>
          <w:rFonts w:ascii="Times New Roman" w:hAnsi="Times New Roman" w:cs="Times New Roman"/>
          <w:bCs/>
          <w:i/>
          <w:sz w:val="28"/>
          <w:szCs w:val="28"/>
          <w:lang w:val="uk-UA"/>
        </w:rPr>
        <w:t>Комунікаційний аудит.</w:t>
      </w:r>
    </w:p>
    <w:p w14:paraId="09166F62"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більшості випадків прийняття будь-яких управлінських рішень починаєтеся з аналізу середовища, ситуації, позицій компанії на ринку, конкуренції тощо. Аналітичний етап дозволяє більш чітко та </w:t>
      </w:r>
      <w:proofErr w:type="spellStart"/>
      <w:r w:rsidRPr="005F0419">
        <w:rPr>
          <w:rFonts w:ascii="Times New Roman" w:hAnsi="Times New Roman" w:cs="Times New Roman"/>
          <w:sz w:val="28"/>
          <w:szCs w:val="28"/>
          <w:lang w:val="uk-UA"/>
        </w:rPr>
        <w:t>релевантно</w:t>
      </w:r>
      <w:proofErr w:type="spellEnd"/>
      <w:r w:rsidRPr="005F0419">
        <w:rPr>
          <w:rFonts w:ascii="Times New Roman" w:hAnsi="Times New Roman" w:cs="Times New Roman"/>
          <w:sz w:val="28"/>
          <w:szCs w:val="28"/>
          <w:lang w:val="uk-UA"/>
        </w:rPr>
        <w:t xml:space="preserve"> сформувати майбутні цілі та зрозуміти ризики і перешкоди, з якими може стикатись ваша діяльність. </w:t>
      </w:r>
    </w:p>
    <w:p w14:paraId="3CBBAF8F"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Style w:val="rynqvb"/>
          <w:rFonts w:ascii="Times New Roman" w:hAnsi="Times New Roman" w:cs="Times New Roman"/>
          <w:i/>
          <w:sz w:val="28"/>
          <w:szCs w:val="28"/>
          <w:lang w:val="uk-UA"/>
        </w:rPr>
        <w:lastRenderedPageBreak/>
        <w:t>Комунікаційний аудит</w:t>
      </w:r>
      <w:r w:rsidRPr="005F0419">
        <w:rPr>
          <w:rStyle w:val="rynqvb"/>
          <w:rFonts w:ascii="Times New Roman" w:hAnsi="Times New Roman" w:cs="Times New Roman"/>
          <w:sz w:val="28"/>
          <w:szCs w:val="28"/>
          <w:lang w:val="uk-UA"/>
        </w:rPr>
        <w:t xml:space="preserve"> – це комплексне дослідження зовнішніх і внутрішніх комунікаційних потоків, що проходять через організацію, а також каналів комунікації, що дозволяє систематизувати інформацію про організацію і представити її образ, що склався у цільових аудиторій.</w:t>
      </w:r>
    </w:p>
    <w:p w14:paraId="27ACCFED"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0378A831" wp14:editId="368DEEC8">
            <wp:extent cx="5585460" cy="3578087"/>
            <wp:effectExtent l="0" t="0" r="15240" b="0"/>
            <wp:docPr id="142" name="Схема 1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8" r:lo="rId99" r:qs="rId100" r:cs="rId101"/>
              </a:graphicData>
            </a:graphic>
          </wp:inline>
        </w:drawing>
      </w:r>
    </w:p>
    <w:p w14:paraId="2BB178A9" w14:textId="7BA65007" w:rsidR="00115A3E" w:rsidRPr="005F0419" w:rsidRDefault="00115A3E" w:rsidP="00115A3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2.  Складові комунікаційної стратегії</w:t>
      </w:r>
    </w:p>
    <w:p w14:paraId="365913D4" w14:textId="39D6B6C7" w:rsidR="00115A3E" w:rsidRPr="005F0419" w:rsidRDefault="00115A3E" w:rsidP="00115A3E">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побудовано автором.</w:t>
      </w:r>
    </w:p>
    <w:p w14:paraId="526EC2C3"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p>
    <w:p w14:paraId="7D2EBD51"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Щоб формування комунікаційної стратегії не стало порожньою втратою часу, необхідно правильно оцінити поточне становище компанії на ринку.</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Неправильна оцінка призведе до невірного вибору інструментів та каналів взаємодії з аудиторією, що призведе до втрати коштів та часу. </w:t>
      </w:r>
    </w:p>
    <w:p w14:paraId="7E3284BC" w14:textId="0521C224"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Внутрішній комунікаційний аудит дозволяє виявити сприйняття організації її співробітниками.</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Це важлива частина загального аналізу ситуації, оскільки саме співробітники є основною рушійною силою, і від їх настрою та продуктивності залежить успішність організації на ринку.</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До того ж сьогодні саме особисті комунікації є найбільш перспективними.</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У розрізі комунікаційного аудиту аналіз </w:t>
      </w:r>
      <w:proofErr w:type="spellStart"/>
      <w:r w:rsidRPr="005F0419">
        <w:rPr>
          <w:rStyle w:val="rynqvb"/>
          <w:rFonts w:ascii="Times New Roman" w:hAnsi="Times New Roman" w:cs="Times New Roman"/>
          <w:sz w:val="28"/>
          <w:szCs w:val="28"/>
          <w:lang w:val="uk-UA"/>
        </w:rPr>
        <w:t>внутрішньоорганізаційних</w:t>
      </w:r>
      <w:proofErr w:type="spellEnd"/>
      <w:r w:rsidRPr="005F0419">
        <w:rPr>
          <w:rStyle w:val="rynqvb"/>
          <w:rFonts w:ascii="Times New Roman" w:hAnsi="Times New Roman" w:cs="Times New Roman"/>
          <w:sz w:val="28"/>
          <w:szCs w:val="28"/>
          <w:lang w:val="uk-UA"/>
        </w:rPr>
        <w:t xml:space="preserve"> </w:t>
      </w:r>
      <w:proofErr w:type="spellStart"/>
      <w:r w:rsidRPr="005F0419">
        <w:rPr>
          <w:rStyle w:val="rynqvb"/>
          <w:rFonts w:ascii="Times New Roman" w:hAnsi="Times New Roman" w:cs="Times New Roman"/>
          <w:sz w:val="28"/>
          <w:szCs w:val="28"/>
          <w:lang w:val="uk-UA"/>
        </w:rPr>
        <w:t>зв'язків</w:t>
      </w:r>
      <w:proofErr w:type="spellEnd"/>
      <w:r w:rsidRPr="005F0419">
        <w:rPr>
          <w:rStyle w:val="rynqvb"/>
          <w:rFonts w:ascii="Times New Roman" w:hAnsi="Times New Roman" w:cs="Times New Roman"/>
          <w:sz w:val="28"/>
          <w:szCs w:val="28"/>
          <w:lang w:val="uk-UA"/>
        </w:rPr>
        <w:t xml:space="preserve"> дозволяє виявити рівень задоволеності співробітників умовами роботи, політикою </w:t>
      </w:r>
      <w:r w:rsidRPr="005F0419">
        <w:rPr>
          <w:rStyle w:val="rynqvb"/>
          <w:rFonts w:ascii="Times New Roman" w:hAnsi="Times New Roman" w:cs="Times New Roman"/>
          <w:sz w:val="28"/>
          <w:szCs w:val="28"/>
          <w:lang w:val="uk-UA"/>
        </w:rPr>
        <w:lastRenderedPageBreak/>
        <w:t>компанії, рівень кореляції їх власних цінностей з корпоративними.</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Через співробітників дуже важливо передавати повідомлення компанії.</w:t>
      </w:r>
      <w:r w:rsidRPr="005F0419">
        <w:rPr>
          <w:rStyle w:val="hwtze"/>
          <w:rFonts w:ascii="Times New Roman" w:hAnsi="Times New Roman" w:cs="Times New Roman"/>
          <w:sz w:val="28"/>
          <w:szCs w:val="28"/>
          <w:lang w:val="uk-UA"/>
        </w:rPr>
        <w:t xml:space="preserve"> Отже, і</w:t>
      </w:r>
      <w:r w:rsidRPr="005F0419">
        <w:rPr>
          <w:rStyle w:val="rynqvb"/>
          <w:rFonts w:ascii="Times New Roman" w:hAnsi="Times New Roman" w:cs="Times New Roman"/>
          <w:sz w:val="28"/>
          <w:szCs w:val="28"/>
          <w:lang w:val="uk-UA"/>
        </w:rPr>
        <w:t>нформація про цілі, завдання, структуру, технології, персонал та керівництво свідчить про стан внутрішнього середовища організації.</w:t>
      </w:r>
      <w:r w:rsidRPr="005F0419">
        <w:rPr>
          <w:rStyle w:val="hwtze"/>
          <w:rFonts w:ascii="Times New Roman" w:hAnsi="Times New Roman" w:cs="Times New Roman"/>
          <w:sz w:val="28"/>
          <w:szCs w:val="28"/>
          <w:lang w:val="uk-UA"/>
        </w:rPr>
        <w:t xml:space="preserve"> </w:t>
      </w:r>
    </w:p>
    <w:p w14:paraId="731B0E97"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Аналіз зовнішнього середовища організації дає уявлення про економічну, політичну, соціально-культурну ситуацію, про стан взаємозв'язку з ключовими контактними аудиторіями. Також даний етап дозволяє оцінити вплив конкурентів, особливості їх позиціонування та інструментів просування, аналіз слабких та сильних сторін організації чи команди проекту. </w:t>
      </w:r>
    </w:p>
    <w:p w14:paraId="700B9F14"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Говорячи загальними словами, такий аудит дозволяє дати найбільш повну оцінку ситуативної поведінки компанії – таким чином, результат дослідження дає можливість визначити шляхи системного вдосконалення організації, причому як у комунікаційному плані, так і бізнес-процесах.</w:t>
      </w:r>
    </w:p>
    <w:p w14:paraId="08E2B595" w14:textId="6E6B666A"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Крім того, результатом проведеного аналізу стає розуміння «картини світу» компанії (тобто те, як компанія бачить себе) та образ компанії в очах різних аудиторій.</w:t>
      </w:r>
      <w:r w:rsidRPr="005F0419">
        <w:rPr>
          <w:rStyle w:val="hwtze"/>
          <w:sz w:val="28"/>
          <w:szCs w:val="28"/>
          <w:lang w:val="uk-UA"/>
        </w:rPr>
        <w:t xml:space="preserve"> </w:t>
      </w:r>
      <w:r w:rsidRPr="005F0419">
        <w:rPr>
          <w:rStyle w:val="rynqvb"/>
          <w:sz w:val="28"/>
          <w:szCs w:val="28"/>
          <w:lang w:val="uk-UA"/>
        </w:rPr>
        <w:t>Подібний вид робіт називається репутаційним аудитом, або іншими словами моніторинг іміджу.</w:t>
      </w:r>
      <w:r w:rsidRPr="005F0419">
        <w:rPr>
          <w:rStyle w:val="hwtze"/>
          <w:sz w:val="28"/>
          <w:szCs w:val="28"/>
          <w:lang w:val="uk-UA"/>
        </w:rPr>
        <w:t xml:space="preserve"> </w:t>
      </w:r>
      <w:r w:rsidRPr="005F0419">
        <w:rPr>
          <w:rStyle w:val="rynqvb"/>
          <w:sz w:val="28"/>
          <w:szCs w:val="28"/>
          <w:lang w:val="uk-UA"/>
        </w:rPr>
        <w:t>Він необхідний для того, щоб зрозуміти «точку відліку» та виявити протиріччя між існуючим та бажаним, щоб у результаті реалізації комунікаційної стратегії усунути недоліки в образі компанії.</w:t>
      </w:r>
    </w:p>
    <w:p w14:paraId="7C5CDD95"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sz w:val="28"/>
          <w:szCs w:val="28"/>
          <w:lang w:val="uk-UA"/>
        </w:rPr>
        <w:t>Аналітичний етап передбачає використання різноманітних інструментів, наприклад, ситуаційний аналіз, SWOT аналіз, PEST аналіз, експертні оцінки, анкетування, моніторинг та інші методи маркетингових, статистичних  та соціологічних, досліджень.</w:t>
      </w:r>
    </w:p>
    <w:p w14:paraId="11AD8FC6"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rStyle w:val="rynqvb"/>
          <w:sz w:val="28"/>
          <w:szCs w:val="28"/>
          <w:lang w:val="uk-UA"/>
        </w:rPr>
        <w:t>Якісно проведений аналіз допомагає визначити правильні підходи щодо реалізації комунікаційної стратегії.</w:t>
      </w:r>
    </w:p>
    <w:p w14:paraId="4A714F1C"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На цьому ж етапі можна здійснити аналіз комунікаційної спроможності, яка являє собою систему ресурсів та функцій організації, які забезпечують здатність здійснювати комунікаційну діяльність. </w:t>
      </w:r>
    </w:p>
    <w:p w14:paraId="77F4B724"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lastRenderedPageBreak/>
        <w:t xml:space="preserve">Отже, процес аудиту комунікацій – це повний аналіз комунікацій організації, внутрішніх та/або зовнішніх, з метою створення картини комунікаційних потреб, політики, практики та можливостей для отримання даних, які дозволяли б вищому керівництву приймати усвідомлені, економічно виправдані рішення щодо подальших цілей. </w:t>
      </w:r>
    </w:p>
    <w:p w14:paraId="0222D558"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До цілей аудиту внутрішніх комунікацій організації відносять: </w:t>
      </w:r>
    </w:p>
    <w:p w14:paraId="0D5F4ECA"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вивчити особливості сприйняття різних засобів внутрішніх комунікацій персоналом організації;</w:t>
      </w:r>
    </w:p>
    <w:p w14:paraId="1C5E493E"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отримати зворотний зв'язок від співробітників щодо змісту одержуваної інформації та каналів її поширення;</w:t>
      </w:r>
    </w:p>
    <w:p w14:paraId="682CA04B"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описати образ організації в очах співробітників, атмосферу організації;</w:t>
      </w:r>
      <w:r w:rsidRPr="005F0419">
        <w:rPr>
          <w:rStyle w:val="hwtze"/>
          <w:sz w:val="28"/>
          <w:szCs w:val="28"/>
          <w:lang w:val="uk-UA"/>
        </w:rPr>
        <w:t xml:space="preserve"> </w:t>
      </w:r>
      <w:r w:rsidRPr="005F0419">
        <w:rPr>
          <w:rStyle w:val="rynqvb"/>
          <w:sz w:val="28"/>
          <w:szCs w:val="28"/>
          <w:lang w:val="uk-UA"/>
        </w:rPr>
        <w:t xml:space="preserve">оцінити, наскільки добре організація говорить і слухає співробітників. </w:t>
      </w:r>
    </w:p>
    <w:p w14:paraId="130E561C" w14:textId="47FD70AD"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Цілі аудиту зовнішніх комунікацій </w:t>
      </w:r>
      <w:r w:rsidR="00213C3B" w:rsidRPr="005F0419">
        <w:rPr>
          <w:rStyle w:val="rynqvb"/>
          <w:sz w:val="28"/>
          <w:szCs w:val="28"/>
          <w:lang w:val="uk-UA"/>
        </w:rPr>
        <w:t>–</w:t>
      </w:r>
      <w:r w:rsidRPr="005F0419">
        <w:rPr>
          <w:rStyle w:val="rynqvb"/>
          <w:sz w:val="28"/>
          <w:szCs w:val="28"/>
          <w:lang w:val="uk-UA"/>
        </w:rPr>
        <w:t xml:space="preserve"> це: </w:t>
      </w:r>
    </w:p>
    <w:p w14:paraId="280A2320"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виявити та описати існуючий образ організації в очах зовнішніх цільових аудиторій;</w:t>
      </w:r>
    </w:p>
    <w:p w14:paraId="27F249E2"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rStyle w:val="rynqvb"/>
          <w:sz w:val="28"/>
          <w:szCs w:val="28"/>
          <w:lang w:val="uk-UA"/>
        </w:rPr>
        <w:t>- визначити основні характеристики ділової репутації організації,  що визначають відношення різних цільових груп.</w:t>
      </w:r>
    </w:p>
    <w:p w14:paraId="150932FA"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Розроблена на основі проведеної оцінки комунікаційна стратегія має забезпечувати інформаційні та комунікаційні потреби організації на трьох рівнях: </w:t>
      </w:r>
    </w:p>
    <w:p w14:paraId="1CF56C6D"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1) стратегічні потреби (реалізуються через комунікаційну політику); </w:t>
      </w:r>
    </w:p>
    <w:p w14:paraId="0E4D4FA4"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2) оперативні потреби (реалізуються через комунікаційні технології); </w:t>
      </w:r>
    </w:p>
    <w:p w14:paraId="46F50957"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rStyle w:val="rynqvb"/>
          <w:sz w:val="28"/>
          <w:szCs w:val="28"/>
          <w:lang w:val="uk-UA"/>
        </w:rPr>
        <w:t>3) тактичні потреби (реалізуються через комунікаційну діяльність).</w:t>
      </w:r>
    </w:p>
    <w:p w14:paraId="1F579990" w14:textId="77777777" w:rsidR="00115A3E" w:rsidRPr="005F0419" w:rsidRDefault="00115A3E" w:rsidP="00115A3E">
      <w:pPr>
        <w:pStyle w:val="a9"/>
        <w:spacing w:before="0" w:beforeAutospacing="0" w:after="0" w:afterAutospacing="0" w:line="360" w:lineRule="auto"/>
        <w:ind w:firstLine="720"/>
        <w:jc w:val="both"/>
        <w:rPr>
          <w:bCs/>
          <w:i/>
          <w:sz w:val="28"/>
          <w:szCs w:val="28"/>
          <w:lang w:val="uk-UA"/>
        </w:rPr>
      </w:pPr>
      <w:r w:rsidRPr="005F0419">
        <w:rPr>
          <w:bCs/>
          <w:i/>
          <w:sz w:val="28"/>
          <w:szCs w:val="28"/>
          <w:lang w:val="uk-UA"/>
        </w:rPr>
        <w:t xml:space="preserve">Стратегічна ідея та орієнтири. </w:t>
      </w:r>
    </w:p>
    <w:p w14:paraId="7EAAF73C" w14:textId="60D87CE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Коли ви знаєте, який імідж у компанії на поточний момент, а також особливості середов</w:t>
      </w:r>
      <w:r w:rsidR="00213C3B" w:rsidRPr="005F0419">
        <w:rPr>
          <w:rStyle w:val="rynqvb"/>
          <w:sz w:val="28"/>
          <w:szCs w:val="28"/>
          <w:lang w:val="uk-UA"/>
        </w:rPr>
        <w:t>и</w:t>
      </w:r>
      <w:r w:rsidRPr="005F0419">
        <w:rPr>
          <w:rStyle w:val="rynqvb"/>
          <w:sz w:val="28"/>
          <w:szCs w:val="28"/>
          <w:lang w:val="uk-UA"/>
        </w:rPr>
        <w:t xml:space="preserve">ща, в якому вона функціонує, потрібно визначити мету здійснення комунікацій. Адже комунікації покликані створити у </w:t>
      </w:r>
      <w:proofErr w:type="spellStart"/>
      <w:r w:rsidRPr="005F0419">
        <w:rPr>
          <w:rStyle w:val="rynqvb"/>
          <w:sz w:val="28"/>
          <w:szCs w:val="28"/>
          <w:lang w:val="uk-UA"/>
        </w:rPr>
        <w:t>стейкхолдерів</w:t>
      </w:r>
      <w:proofErr w:type="spellEnd"/>
      <w:r w:rsidRPr="005F0419">
        <w:rPr>
          <w:rStyle w:val="rynqvb"/>
          <w:sz w:val="28"/>
          <w:szCs w:val="28"/>
          <w:lang w:val="uk-UA"/>
        </w:rPr>
        <w:t xml:space="preserve"> певне уявлення про організацію чи проект, про їх базові принципи.</w:t>
      </w:r>
      <w:r w:rsidRPr="005F0419">
        <w:rPr>
          <w:rStyle w:val="hwtze"/>
          <w:sz w:val="28"/>
          <w:szCs w:val="28"/>
          <w:lang w:val="uk-UA"/>
        </w:rPr>
        <w:t xml:space="preserve"> </w:t>
      </w:r>
      <w:r w:rsidRPr="005F0419">
        <w:rPr>
          <w:rStyle w:val="rynqvb"/>
          <w:sz w:val="28"/>
          <w:szCs w:val="28"/>
          <w:lang w:val="uk-UA"/>
        </w:rPr>
        <w:t>Керівництво має чітко уявляти, як саме компанія має виглядати в очах потенційних споживачів її продуктів чи послуг.</w:t>
      </w:r>
    </w:p>
    <w:p w14:paraId="7FDBB566"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sz w:val="28"/>
          <w:szCs w:val="28"/>
          <w:lang w:val="uk-UA"/>
        </w:rPr>
        <w:lastRenderedPageBreak/>
        <w:t xml:space="preserve">Формування комунікаційної стратегії, як і будь-якої іншої стратегії, починається з місії, візії, цінностей, цілей різного рівня, завдань, бажаних результатів, визначення ключових показників ефективності. </w:t>
      </w:r>
    </w:p>
    <w:p w14:paraId="2ACB0CF5"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sz w:val="28"/>
          <w:szCs w:val="28"/>
          <w:lang w:val="uk-UA"/>
        </w:rPr>
        <w:t>Стратегічна ідея містить стратегічні установки (місія), стратегічне бачення (</w:t>
      </w:r>
      <w:proofErr w:type="spellStart"/>
      <w:r w:rsidRPr="005F0419">
        <w:rPr>
          <w:sz w:val="28"/>
          <w:szCs w:val="28"/>
          <w:lang w:val="uk-UA"/>
        </w:rPr>
        <w:t>візія</w:t>
      </w:r>
      <w:proofErr w:type="spellEnd"/>
      <w:r w:rsidRPr="005F0419">
        <w:rPr>
          <w:sz w:val="28"/>
          <w:szCs w:val="28"/>
          <w:lang w:val="uk-UA"/>
        </w:rPr>
        <w:t xml:space="preserve">), філософію (цінності). </w:t>
      </w:r>
    </w:p>
    <w:p w14:paraId="48FA18A1"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noProof/>
          <w:sz w:val="28"/>
          <w:szCs w:val="28"/>
          <w:lang w:val="uk-UA"/>
        </w:rPr>
        <w:drawing>
          <wp:inline distT="0" distB="0" distL="0" distR="0" wp14:anchorId="12C7E552" wp14:editId="7E0E4831">
            <wp:extent cx="4619708" cy="2997642"/>
            <wp:effectExtent l="19050" t="0" r="28575" b="12700"/>
            <wp:docPr id="143" name="Схема 14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3" r:lo="rId104" r:qs="rId105" r:cs="rId106"/>
              </a:graphicData>
            </a:graphic>
          </wp:inline>
        </w:drawing>
      </w:r>
    </w:p>
    <w:p w14:paraId="4C62D611" w14:textId="6C3CA4DF" w:rsidR="00115A3E" w:rsidRPr="005F0419" w:rsidRDefault="00115A3E" w:rsidP="00115A3E">
      <w:pPr>
        <w:pStyle w:val="a9"/>
        <w:spacing w:before="0" w:beforeAutospacing="0" w:after="0" w:afterAutospacing="0" w:line="360" w:lineRule="auto"/>
        <w:ind w:firstLine="720"/>
        <w:jc w:val="center"/>
        <w:rPr>
          <w:sz w:val="28"/>
          <w:szCs w:val="28"/>
          <w:lang w:val="uk-UA"/>
        </w:rPr>
      </w:pPr>
      <w:r w:rsidRPr="005F0419">
        <w:rPr>
          <w:sz w:val="28"/>
          <w:szCs w:val="28"/>
          <w:lang w:val="uk-UA"/>
        </w:rPr>
        <w:t>Рис. 3. Декомпозиція стратегічної ідеї та орієнтирів</w:t>
      </w:r>
    </w:p>
    <w:p w14:paraId="6D8E01FC" w14:textId="61791EED" w:rsidR="00213C3B" w:rsidRPr="005F0419" w:rsidRDefault="00213C3B" w:rsidP="00213C3B">
      <w:pPr>
        <w:pStyle w:val="a9"/>
        <w:spacing w:before="0" w:beforeAutospacing="0" w:after="0" w:afterAutospacing="0" w:line="360" w:lineRule="auto"/>
        <w:ind w:firstLine="720"/>
        <w:rPr>
          <w:sz w:val="28"/>
          <w:szCs w:val="28"/>
          <w:lang w:val="uk-UA"/>
        </w:rPr>
      </w:pPr>
      <w:r w:rsidRPr="005F0419">
        <w:rPr>
          <w:sz w:val="28"/>
          <w:szCs w:val="28"/>
          <w:lang w:val="uk-UA"/>
        </w:rPr>
        <w:t>Джерело: сформовано автором.</w:t>
      </w:r>
    </w:p>
    <w:p w14:paraId="06BB2C1C"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p>
    <w:p w14:paraId="5597F128" w14:textId="5368B641"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i/>
          <w:sz w:val="28"/>
          <w:szCs w:val="28"/>
          <w:lang w:val="uk-UA"/>
        </w:rPr>
        <w:t>Місія</w:t>
      </w:r>
      <w:r w:rsidRPr="005F0419">
        <w:rPr>
          <w:sz w:val="28"/>
          <w:szCs w:val="28"/>
          <w:lang w:val="uk-UA"/>
        </w:rPr>
        <w:t xml:space="preserve"> </w:t>
      </w:r>
      <w:r w:rsidR="00213C3B" w:rsidRPr="005F0419">
        <w:rPr>
          <w:sz w:val="28"/>
          <w:szCs w:val="28"/>
          <w:lang w:val="uk-UA"/>
        </w:rPr>
        <w:t>–</w:t>
      </w:r>
      <w:r w:rsidRPr="005F0419">
        <w:rPr>
          <w:sz w:val="28"/>
          <w:szCs w:val="28"/>
          <w:lang w:val="uk-UA"/>
        </w:rPr>
        <w:t xml:space="preserve"> це</w:t>
      </w:r>
      <w:r w:rsidR="00213C3B" w:rsidRPr="005F0419">
        <w:rPr>
          <w:sz w:val="28"/>
          <w:szCs w:val="28"/>
          <w:lang w:val="uk-UA"/>
        </w:rPr>
        <w:t xml:space="preserve"> </w:t>
      </w:r>
      <w:r w:rsidRPr="005F0419">
        <w:rPr>
          <w:sz w:val="28"/>
          <w:szCs w:val="28"/>
          <w:lang w:val="uk-UA"/>
        </w:rPr>
        <w:t>фундаментальне призначення,  причина існування організації чи ініціювання проекту, яка визначає, який вплив хочеться здійснювати на суспільство. Ц</w:t>
      </w:r>
      <w:r w:rsidRPr="005F0419">
        <w:rPr>
          <w:rStyle w:val="rynqvb"/>
          <w:sz w:val="28"/>
          <w:szCs w:val="28"/>
          <w:lang w:val="uk-UA"/>
        </w:rPr>
        <w:t xml:space="preserve">е коротке пояснення того, хто ваша компанія, у що вірить ваша компанія, що вона робить для розвитку бізнесу та досягнення ще більшого успіху у майбутньому. </w:t>
      </w:r>
    </w:p>
    <w:p w14:paraId="410B7435"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rStyle w:val="rynqvb"/>
          <w:sz w:val="28"/>
          <w:szCs w:val="28"/>
          <w:lang w:val="uk-UA"/>
        </w:rPr>
        <w:t>Місія дає працівникам  розуміння того, яка їх роль у досягненні цілей підприємства. Чітка і лаконічна місія - невід'ємна частина культури компанії. Чітко сформульована місія допомагає клієнту відрізнити вашу компанію від конкурентів.</w:t>
      </w:r>
      <w:r w:rsidRPr="005F0419">
        <w:rPr>
          <w:rStyle w:val="hwtze"/>
          <w:sz w:val="28"/>
          <w:szCs w:val="28"/>
          <w:lang w:val="uk-UA"/>
        </w:rPr>
        <w:t xml:space="preserve"> </w:t>
      </w:r>
      <w:r w:rsidRPr="005F0419">
        <w:rPr>
          <w:rStyle w:val="rynqvb"/>
          <w:sz w:val="28"/>
          <w:szCs w:val="28"/>
          <w:lang w:val="uk-UA"/>
        </w:rPr>
        <w:t xml:space="preserve">Вона зміцнює імідж організації у суспільстві. Місія визначає напрямок розвитку компанії,  служить орієнтиром для розуміння напряму діяльності організації, визначає майбутнє, якого прагне компанія, допомагає сформулювати цінності та принципи компанії, які об'єднуються у бачення. Місія </w:t>
      </w:r>
      <w:r w:rsidRPr="005F0419">
        <w:rPr>
          <w:rStyle w:val="rynqvb"/>
          <w:sz w:val="28"/>
          <w:szCs w:val="28"/>
          <w:lang w:val="uk-UA"/>
        </w:rPr>
        <w:lastRenderedPageBreak/>
        <w:t xml:space="preserve">допомагає згуртувати всіх співробітників у досягненні єдиної мети,  формує стратегію компанії,  допомагає власникам бізнесу створювати найбільш ефективні стратегії, завдяки яким компанія матиме прибуток і визнання серед клієнтів,  формує цінність продукту. </w:t>
      </w:r>
    </w:p>
    <w:p w14:paraId="6F75E593"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sz w:val="28"/>
          <w:szCs w:val="28"/>
          <w:lang w:val="uk-UA"/>
        </w:rPr>
        <w:t>Місія повинна містити наступні аспекти:</w:t>
      </w:r>
    </w:p>
    <w:p w14:paraId="18F52DD1" w14:textId="7CF67431" w:rsidR="00115A3E" w:rsidRPr="005F0419" w:rsidRDefault="00213C3B" w:rsidP="00213C3B">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 </w:t>
      </w:r>
      <w:r w:rsidR="00115A3E" w:rsidRPr="005F0419">
        <w:rPr>
          <w:sz w:val="28"/>
          <w:szCs w:val="28"/>
          <w:lang w:val="uk-UA"/>
        </w:rPr>
        <w:t>цільові орієнтири комунікаційної стратегії;</w:t>
      </w:r>
    </w:p>
    <w:p w14:paraId="10EB76AE" w14:textId="4C02F0A4" w:rsidR="00115A3E" w:rsidRPr="005F0419" w:rsidRDefault="00213C3B" w:rsidP="00213C3B">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 </w:t>
      </w:r>
      <w:r w:rsidR="00115A3E" w:rsidRPr="005F0419">
        <w:rPr>
          <w:sz w:val="28"/>
          <w:szCs w:val="28"/>
          <w:lang w:val="uk-UA"/>
        </w:rPr>
        <w:t xml:space="preserve">потреби </w:t>
      </w:r>
      <w:proofErr w:type="spellStart"/>
      <w:r w:rsidR="00115A3E" w:rsidRPr="005F0419">
        <w:rPr>
          <w:sz w:val="28"/>
          <w:szCs w:val="28"/>
          <w:lang w:val="uk-UA"/>
        </w:rPr>
        <w:t>стейкхолдерів</w:t>
      </w:r>
      <w:proofErr w:type="spellEnd"/>
      <w:r w:rsidR="00115A3E" w:rsidRPr="005F0419">
        <w:rPr>
          <w:sz w:val="28"/>
          <w:szCs w:val="28"/>
          <w:lang w:val="uk-UA"/>
        </w:rPr>
        <w:t>, які  покликана задовольняти стратегія;</w:t>
      </w:r>
    </w:p>
    <w:p w14:paraId="3434BD30" w14:textId="7213C481" w:rsidR="00115A3E" w:rsidRPr="005F0419" w:rsidRDefault="00213C3B" w:rsidP="00213C3B">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 </w:t>
      </w:r>
      <w:r w:rsidR="00115A3E" w:rsidRPr="005F0419">
        <w:rPr>
          <w:sz w:val="28"/>
          <w:szCs w:val="28"/>
          <w:lang w:val="uk-UA"/>
        </w:rPr>
        <w:t>сферу діяльності, результати діяльності, цільові ринки;</w:t>
      </w:r>
    </w:p>
    <w:p w14:paraId="664ABB51" w14:textId="2316176E" w:rsidR="00115A3E" w:rsidRPr="005F0419" w:rsidRDefault="00213C3B" w:rsidP="00213C3B">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 </w:t>
      </w:r>
      <w:r w:rsidR="00115A3E" w:rsidRPr="005F0419">
        <w:rPr>
          <w:sz w:val="28"/>
          <w:szCs w:val="28"/>
          <w:lang w:val="uk-UA"/>
        </w:rPr>
        <w:t>комунікаційні можливості та ресурси, засоби здійснення комунікацій;</w:t>
      </w:r>
    </w:p>
    <w:p w14:paraId="5C010D4F" w14:textId="5288485F" w:rsidR="00115A3E" w:rsidRPr="005F0419" w:rsidRDefault="00213C3B" w:rsidP="00213C3B">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 </w:t>
      </w:r>
      <w:r w:rsidR="00115A3E" w:rsidRPr="005F0419">
        <w:rPr>
          <w:sz w:val="28"/>
          <w:szCs w:val="28"/>
          <w:lang w:val="uk-UA"/>
        </w:rPr>
        <w:t>філософію та концепцію стратегії (цінності та принципи);</w:t>
      </w:r>
    </w:p>
    <w:p w14:paraId="2F686558" w14:textId="1A3E614D" w:rsidR="00115A3E" w:rsidRPr="005F0419" w:rsidRDefault="00213C3B" w:rsidP="00213C3B">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 </w:t>
      </w:r>
      <w:r w:rsidR="00115A3E" w:rsidRPr="005F0419">
        <w:rPr>
          <w:sz w:val="28"/>
          <w:szCs w:val="28"/>
          <w:lang w:val="uk-UA"/>
        </w:rPr>
        <w:t>позиціонування та імідж.</w:t>
      </w:r>
    </w:p>
    <w:p w14:paraId="5304AC0C"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sz w:val="28"/>
          <w:szCs w:val="28"/>
          <w:lang w:val="uk-UA"/>
        </w:rPr>
        <w:t>Місія створює орієнтири для визначення цілей, задач і бажаних результатів. Визначення конкретних цілей, задач та майбутніх результатів  конкретизують загальну місію і допомагають перейти до  окремих планів, за допомогою яких реалізується мета організації чи проекту.</w:t>
      </w:r>
    </w:p>
    <w:p w14:paraId="75492258"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proofErr w:type="spellStart"/>
      <w:r w:rsidRPr="005F0419">
        <w:rPr>
          <w:i/>
          <w:sz w:val="28"/>
          <w:szCs w:val="28"/>
          <w:lang w:val="uk-UA"/>
        </w:rPr>
        <w:t>Візія</w:t>
      </w:r>
      <w:proofErr w:type="spellEnd"/>
      <w:r w:rsidRPr="005F0419">
        <w:rPr>
          <w:sz w:val="28"/>
          <w:szCs w:val="28"/>
          <w:lang w:val="uk-UA"/>
        </w:rPr>
        <w:t xml:space="preserve"> відображає образ організації, якого вона прагне досягти завдяки виконанню комунікаційної стратегії. </w:t>
      </w:r>
    </w:p>
    <w:p w14:paraId="11B78FF2" w14:textId="4EE2A3AE"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i/>
          <w:sz w:val="28"/>
          <w:szCs w:val="28"/>
          <w:lang w:val="uk-UA"/>
        </w:rPr>
        <w:t>Мета, ціль</w:t>
      </w:r>
      <w:r w:rsidRPr="005F0419">
        <w:rPr>
          <w:sz w:val="28"/>
          <w:szCs w:val="28"/>
          <w:lang w:val="uk-UA"/>
        </w:rPr>
        <w:t xml:space="preserve"> </w:t>
      </w:r>
      <w:r w:rsidR="00213C3B" w:rsidRPr="005F0419">
        <w:rPr>
          <w:sz w:val="28"/>
          <w:szCs w:val="28"/>
          <w:lang w:val="uk-UA"/>
        </w:rPr>
        <w:t>–</w:t>
      </w:r>
      <w:r w:rsidRPr="005F0419">
        <w:rPr>
          <w:sz w:val="28"/>
          <w:szCs w:val="28"/>
          <w:lang w:val="uk-UA"/>
        </w:rPr>
        <w:t xml:space="preserve"> це</w:t>
      </w:r>
      <w:r w:rsidR="00213C3B" w:rsidRPr="005F0419">
        <w:rPr>
          <w:sz w:val="28"/>
          <w:szCs w:val="28"/>
          <w:lang w:val="uk-UA"/>
        </w:rPr>
        <w:t xml:space="preserve"> </w:t>
      </w:r>
      <w:r w:rsidRPr="005F0419">
        <w:rPr>
          <w:sz w:val="28"/>
          <w:szCs w:val="28"/>
          <w:lang w:val="uk-UA"/>
        </w:rPr>
        <w:t xml:space="preserve">конкретний і вимірюваний результат, якого організація чи проект прагне досягти за певний період часу. Цілі, на відміну від місії організації, визначають більш конкретні результати, до яких прагне організація чи команда проекту. Цілі мають бути чітко сформульованими, обмеженими в часі  і вимірюваними. </w:t>
      </w:r>
    </w:p>
    <w:p w14:paraId="02ED6E14" w14:textId="4B0A2C3D"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Стратегічні цілі </w:t>
      </w:r>
      <w:r w:rsidR="00213C3B" w:rsidRPr="005F0419">
        <w:rPr>
          <w:sz w:val="28"/>
          <w:szCs w:val="28"/>
          <w:lang w:val="uk-UA"/>
        </w:rPr>
        <w:t>–</w:t>
      </w:r>
      <w:r w:rsidRPr="005F0419">
        <w:rPr>
          <w:sz w:val="28"/>
          <w:szCs w:val="28"/>
          <w:lang w:val="uk-UA"/>
        </w:rPr>
        <w:t xml:space="preserve"> це</w:t>
      </w:r>
      <w:r w:rsidR="00213C3B" w:rsidRPr="005F0419">
        <w:rPr>
          <w:sz w:val="28"/>
          <w:szCs w:val="28"/>
          <w:lang w:val="uk-UA"/>
        </w:rPr>
        <w:t xml:space="preserve"> </w:t>
      </w:r>
      <w:r w:rsidRPr="005F0419">
        <w:rPr>
          <w:sz w:val="28"/>
          <w:szCs w:val="28"/>
          <w:lang w:val="uk-UA"/>
        </w:rPr>
        <w:t>етапи на шляху досягнення мети, що допомагають розуміти, як ми рухаємося вперед.</w:t>
      </w:r>
      <w:r w:rsidR="00213C3B" w:rsidRPr="005F0419">
        <w:rPr>
          <w:sz w:val="28"/>
          <w:szCs w:val="28"/>
          <w:lang w:val="uk-UA"/>
        </w:rPr>
        <w:t xml:space="preserve"> </w:t>
      </w:r>
      <w:r w:rsidRPr="005F0419">
        <w:rPr>
          <w:sz w:val="28"/>
          <w:szCs w:val="28"/>
          <w:lang w:val="uk-UA"/>
        </w:rPr>
        <w:t xml:space="preserve">Операційні цілі </w:t>
      </w:r>
      <w:r w:rsidR="00213C3B" w:rsidRPr="005F0419">
        <w:rPr>
          <w:sz w:val="28"/>
          <w:szCs w:val="28"/>
          <w:lang w:val="uk-UA"/>
        </w:rPr>
        <w:t>–</w:t>
      </w:r>
      <w:r w:rsidRPr="005F0419">
        <w:rPr>
          <w:sz w:val="28"/>
          <w:szCs w:val="28"/>
          <w:lang w:val="uk-UA"/>
        </w:rPr>
        <w:t xml:space="preserve"> це</w:t>
      </w:r>
      <w:r w:rsidR="00213C3B" w:rsidRPr="005F0419">
        <w:rPr>
          <w:sz w:val="28"/>
          <w:szCs w:val="28"/>
          <w:lang w:val="uk-UA"/>
        </w:rPr>
        <w:t xml:space="preserve"> </w:t>
      </w:r>
      <w:r w:rsidRPr="005F0419">
        <w:rPr>
          <w:sz w:val="28"/>
          <w:szCs w:val="28"/>
          <w:lang w:val="uk-UA"/>
        </w:rPr>
        <w:t>короткострокові завдання, що слугують кроками для досягнення стратегічної цілі.</w:t>
      </w:r>
      <w:r w:rsidR="00213C3B" w:rsidRPr="005F0419">
        <w:rPr>
          <w:sz w:val="28"/>
          <w:szCs w:val="28"/>
          <w:lang w:val="uk-UA"/>
        </w:rPr>
        <w:t xml:space="preserve"> </w:t>
      </w:r>
      <w:r w:rsidRPr="005F0419">
        <w:rPr>
          <w:sz w:val="28"/>
          <w:szCs w:val="28"/>
          <w:lang w:val="uk-UA"/>
        </w:rPr>
        <w:t xml:space="preserve">Завдання – перелік конкретних дій для досягнення бажаних цілей. </w:t>
      </w:r>
      <w:r w:rsidRPr="005F0419">
        <w:rPr>
          <w:rStyle w:val="hgkelc"/>
          <w:sz w:val="28"/>
          <w:szCs w:val="28"/>
          <w:lang w:val="uk-UA"/>
        </w:rPr>
        <w:t>Якщо ціль це певний орієнтир на результат, то задачі це перелік конкретних дій.</w:t>
      </w:r>
    </w:p>
    <w:p w14:paraId="69A49808" w14:textId="79C4AF9B"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Типовими цілями комунікаційної стратегії можуть вважатися: підвищення впізнаван</w:t>
      </w:r>
      <w:r w:rsidR="00213C3B" w:rsidRPr="005F0419">
        <w:rPr>
          <w:rStyle w:val="rynqvb"/>
          <w:sz w:val="28"/>
          <w:szCs w:val="28"/>
          <w:lang w:val="uk-UA"/>
        </w:rPr>
        <w:t>ня</w:t>
      </w:r>
      <w:r w:rsidRPr="005F0419">
        <w:rPr>
          <w:rStyle w:val="rynqvb"/>
          <w:sz w:val="28"/>
          <w:szCs w:val="28"/>
          <w:lang w:val="uk-UA"/>
        </w:rPr>
        <w:t xml:space="preserve"> бренду, збільшення поінформованості аудиторії (про діяльність, продукти, послуги компанії та ін.), донесення будь-яких повідомлень до </w:t>
      </w:r>
      <w:r w:rsidRPr="005F0419">
        <w:rPr>
          <w:rStyle w:val="rynqvb"/>
          <w:sz w:val="28"/>
          <w:szCs w:val="28"/>
          <w:lang w:val="uk-UA"/>
        </w:rPr>
        <w:lastRenderedPageBreak/>
        <w:t xml:space="preserve">конкретних груп споживачів, нейтралізація негативу, збільшення кількості запитів через вхідні канали комунікації, зміцнення </w:t>
      </w:r>
      <w:proofErr w:type="spellStart"/>
      <w:r w:rsidRPr="005F0419">
        <w:rPr>
          <w:rStyle w:val="rynqvb"/>
          <w:sz w:val="28"/>
          <w:szCs w:val="28"/>
          <w:lang w:val="uk-UA"/>
        </w:rPr>
        <w:t>зв'язків</w:t>
      </w:r>
      <w:proofErr w:type="spellEnd"/>
      <w:r w:rsidRPr="005F0419">
        <w:rPr>
          <w:rStyle w:val="rynqvb"/>
          <w:sz w:val="28"/>
          <w:szCs w:val="28"/>
          <w:lang w:val="uk-UA"/>
        </w:rPr>
        <w:t xml:space="preserve"> із партнерами,  коригування іміджу тощо.</w:t>
      </w:r>
    </w:p>
    <w:p w14:paraId="6A694F89"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Якщо говорити про внутрішні комунікації, то зазвичай це трансляція стратегії компанії, створення єдиного інформаційного простору, підвищення залученості та лояльності співробітників, відстеження настроїв у колективі, утримання цінних співробітників, розвиток HR-бренду, розповідь про компанію, її місію та цінності, підтримка співробітників у період змін та ін.</w:t>
      </w:r>
    </w:p>
    <w:p w14:paraId="651D2970"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Важливо, щоб цілі та завдання були конкретними, досяжними та включали точні терміни їх досягнення. Будь-яка з цілей має бути вимірною, тоді стратегія вийде більш реалістичної та точною. </w:t>
      </w:r>
    </w:p>
    <w:p w14:paraId="2ACB9265"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Правильно сформульовані цілі дозволяють сформувати перелік показників ефективності комунікаційної стратегії, або так званих метрик, за якими оцінюється ступінь досягнення цілей. </w:t>
      </w:r>
    </w:p>
    <w:p w14:paraId="5EBBE4F6"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Ефективність комунікацій оцінюється за кожним окремим каналом.</w:t>
      </w:r>
      <w:r w:rsidRPr="005F0419">
        <w:rPr>
          <w:rStyle w:val="hwtze"/>
          <w:sz w:val="28"/>
          <w:szCs w:val="28"/>
          <w:lang w:val="uk-UA"/>
        </w:rPr>
        <w:t xml:space="preserve"> </w:t>
      </w:r>
      <w:r w:rsidRPr="005F0419">
        <w:rPr>
          <w:rStyle w:val="rynqvb"/>
          <w:sz w:val="28"/>
          <w:szCs w:val="28"/>
          <w:lang w:val="uk-UA"/>
        </w:rPr>
        <w:t xml:space="preserve">Плюс, при формуванні метрик потрібно правильно сформулювати цілі та завдання, заради яких ці метрики впроваджуватимуться. </w:t>
      </w:r>
    </w:p>
    <w:p w14:paraId="694B9B04"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Так, для оцінювання таких каналів комунікації як власні інтернет-ресурси, можуть використовуватися такі метрики: показник відвідуваності, показник відмов, середній час сесій, охоплення цільової аудиторії, кількість зовнішніх посилань та згадок у ЗМІ, задоволеність клієнтів та ін.</w:t>
      </w:r>
    </w:p>
    <w:p w14:paraId="1486C6A4"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При аналізі соціальних медіа можуть використовуватися інші метрики, наприклад індекс </w:t>
      </w:r>
      <w:proofErr w:type="spellStart"/>
      <w:r w:rsidRPr="005F0419">
        <w:rPr>
          <w:rStyle w:val="rynqvb"/>
          <w:sz w:val="28"/>
          <w:szCs w:val="28"/>
          <w:lang w:val="uk-UA"/>
        </w:rPr>
        <w:t>цитованості</w:t>
      </w:r>
      <w:proofErr w:type="spellEnd"/>
      <w:r w:rsidRPr="005F0419">
        <w:rPr>
          <w:rStyle w:val="rynqvb"/>
          <w:sz w:val="28"/>
          <w:szCs w:val="28"/>
          <w:lang w:val="uk-UA"/>
        </w:rPr>
        <w:t xml:space="preserve">, кількість </w:t>
      </w:r>
      <w:proofErr w:type="spellStart"/>
      <w:r w:rsidRPr="005F0419">
        <w:rPr>
          <w:rStyle w:val="rynqvb"/>
          <w:sz w:val="28"/>
          <w:szCs w:val="28"/>
          <w:lang w:val="uk-UA"/>
        </w:rPr>
        <w:t>лайків</w:t>
      </w:r>
      <w:proofErr w:type="spellEnd"/>
      <w:r w:rsidRPr="005F0419">
        <w:rPr>
          <w:rStyle w:val="rynqvb"/>
          <w:sz w:val="28"/>
          <w:szCs w:val="28"/>
          <w:lang w:val="uk-UA"/>
        </w:rPr>
        <w:t>/</w:t>
      </w:r>
      <w:proofErr w:type="spellStart"/>
      <w:r w:rsidRPr="005F0419">
        <w:rPr>
          <w:rStyle w:val="rynqvb"/>
          <w:sz w:val="28"/>
          <w:szCs w:val="28"/>
          <w:lang w:val="uk-UA"/>
        </w:rPr>
        <w:t>дизлайків</w:t>
      </w:r>
      <w:proofErr w:type="spellEnd"/>
      <w:r w:rsidRPr="005F0419">
        <w:rPr>
          <w:rStyle w:val="rynqvb"/>
          <w:sz w:val="28"/>
          <w:szCs w:val="28"/>
          <w:lang w:val="uk-UA"/>
        </w:rPr>
        <w:t xml:space="preserve">, кількість переглядів постів та ін. </w:t>
      </w:r>
    </w:p>
    <w:p w14:paraId="117F416C"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В цілому до популярних показників ефективності комунікаційної стратегії в інтернет-середовищі прийнято відносить: кількість згадок у медіа, тональність згадок, роль згадок,  якість згадок, частка голосу, резонанс,  якість комунікацій, </w:t>
      </w:r>
      <w:proofErr w:type="spellStart"/>
      <w:r w:rsidRPr="005F0419">
        <w:rPr>
          <w:rStyle w:val="rynqvb"/>
          <w:sz w:val="28"/>
          <w:szCs w:val="28"/>
          <w:lang w:val="uk-UA"/>
        </w:rPr>
        <w:t>брендовий</w:t>
      </w:r>
      <w:proofErr w:type="spellEnd"/>
      <w:r w:rsidRPr="005F0419">
        <w:rPr>
          <w:rStyle w:val="rynqvb"/>
          <w:sz w:val="28"/>
          <w:szCs w:val="28"/>
          <w:lang w:val="uk-UA"/>
        </w:rPr>
        <w:t xml:space="preserve"> та прямий веб-трафік. В подальшому для оцінки ступеня досягнення визначених показників використовують інструменти  </w:t>
      </w:r>
      <w:proofErr w:type="spellStart"/>
      <w:r w:rsidRPr="005F0419">
        <w:rPr>
          <w:rStyle w:val="rynqvb"/>
          <w:sz w:val="28"/>
          <w:szCs w:val="28"/>
          <w:lang w:val="uk-UA"/>
        </w:rPr>
        <w:t>Google</w:t>
      </w:r>
      <w:proofErr w:type="spellEnd"/>
      <w:r w:rsidRPr="005F0419">
        <w:rPr>
          <w:rStyle w:val="rynqvb"/>
          <w:sz w:val="28"/>
          <w:szCs w:val="28"/>
          <w:lang w:val="uk-UA"/>
        </w:rPr>
        <w:t xml:space="preserve"> </w:t>
      </w:r>
      <w:proofErr w:type="spellStart"/>
      <w:r w:rsidRPr="005F0419">
        <w:rPr>
          <w:rStyle w:val="rynqvb"/>
          <w:sz w:val="28"/>
          <w:szCs w:val="28"/>
          <w:lang w:val="uk-UA"/>
        </w:rPr>
        <w:t>Alerts</w:t>
      </w:r>
      <w:proofErr w:type="spellEnd"/>
      <w:r w:rsidRPr="005F0419">
        <w:rPr>
          <w:rStyle w:val="rynqvb"/>
          <w:sz w:val="28"/>
          <w:szCs w:val="28"/>
          <w:lang w:val="uk-UA"/>
        </w:rPr>
        <w:t xml:space="preserve">,  </w:t>
      </w:r>
      <w:proofErr w:type="spellStart"/>
      <w:r w:rsidRPr="005F0419">
        <w:rPr>
          <w:rStyle w:val="rynqvb"/>
          <w:sz w:val="28"/>
          <w:szCs w:val="28"/>
          <w:lang w:val="uk-UA"/>
        </w:rPr>
        <w:t>Google</w:t>
      </w:r>
      <w:proofErr w:type="spellEnd"/>
      <w:r w:rsidRPr="005F0419">
        <w:rPr>
          <w:rStyle w:val="rynqvb"/>
          <w:sz w:val="28"/>
          <w:szCs w:val="28"/>
          <w:lang w:val="uk-UA"/>
        </w:rPr>
        <w:t xml:space="preserve"> </w:t>
      </w:r>
      <w:proofErr w:type="spellStart"/>
      <w:r w:rsidRPr="005F0419">
        <w:rPr>
          <w:rStyle w:val="rynqvb"/>
          <w:sz w:val="28"/>
          <w:szCs w:val="28"/>
          <w:lang w:val="uk-UA"/>
        </w:rPr>
        <w:t>Data</w:t>
      </w:r>
      <w:proofErr w:type="spellEnd"/>
      <w:r w:rsidRPr="005F0419">
        <w:rPr>
          <w:rStyle w:val="rynqvb"/>
          <w:sz w:val="28"/>
          <w:szCs w:val="28"/>
          <w:lang w:val="uk-UA"/>
        </w:rPr>
        <w:t xml:space="preserve"> </w:t>
      </w:r>
      <w:proofErr w:type="spellStart"/>
      <w:r w:rsidRPr="005F0419">
        <w:rPr>
          <w:rStyle w:val="rynqvb"/>
          <w:sz w:val="28"/>
          <w:szCs w:val="28"/>
          <w:lang w:val="uk-UA"/>
        </w:rPr>
        <w:lastRenderedPageBreak/>
        <w:t>Studio</w:t>
      </w:r>
      <w:proofErr w:type="spellEnd"/>
      <w:r w:rsidRPr="005F0419">
        <w:rPr>
          <w:rStyle w:val="rynqvb"/>
          <w:sz w:val="28"/>
          <w:szCs w:val="28"/>
          <w:lang w:val="uk-UA"/>
        </w:rPr>
        <w:t xml:space="preserve">,  </w:t>
      </w:r>
      <w:proofErr w:type="spellStart"/>
      <w:r w:rsidRPr="005F0419">
        <w:rPr>
          <w:rStyle w:val="rynqvb"/>
          <w:sz w:val="28"/>
          <w:szCs w:val="28"/>
          <w:lang w:val="uk-UA"/>
        </w:rPr>
        <w:t>Google</w:t>
      </w:r>
      <w:proofErr w:type="spellEnd"/>
      <w:r w:rsidRPr="005F0419">
        <w:rPr>
          <w:rStyle w:val="rynqvb"/>
          <w:sz w:val="28"/>
          <w:szCs w:val="28"/>
          <w:lang w:val="uk-UA"/>
        </w:rPr>
        <w:t xml:space="preserve"> </w:t>
      </w:r>
      <w:proofErr w:type="spellStart"/>
      <w:r w:rsidRPr="005F0419">
        <w:rPr>
          <w:rStyle w:val="rynqvb"/>
          <w:sz w:val="28"/>
          <w:szCs w:val="28"/>
          <w:lang w:val="uk-UA"/>
        </w:rPr>
        <w:t>Analytics</w:t>
      </w:r>
      <w:proofErr w:type="spellEnd"/>
      <w:r w:rsidRPr="005F0419">
        <w:rPr>
          <w:rStyle w:val="rynqvb"/>
          <w:sz w:val="28"/>
          <w:szCs w:val="28"/>
          <w:lang w:val="uk-UA"/>
        </w:rPr>
        <w:t xml:space="preserve">, </w:t>
      </w:r>
      <w:proofErr w:type="spellStart"/>
      <w:r w:rsidRPr="005F0419">
        <w:rPr>
          <w:rStyle w:val="rynqvb"/>
          <w:sz w:val="28"/>
          <w:szCs w:val="28"/>
          <w:lang w:val="uk-UA"/>
        </w:rPr>
        <w:t>Facebook</w:t>
      </w:r>
      <w:proofErr w:type="spellEnd"/>
      <w:r w:rsidRPr="005F0419">
        <w:rPr>
          <w:rStyle w:val="rynqvb"/>
          <w:sz w:val="28"/>
          <w:szCs w:val="28"/>
          <w:lang w:val="uk-UA"/>
        </w:rPr>
        <w:t xml:space="preserve"> </w:t>
      </w:r>
      <w:proofErr w:type="spellStart"/>
      <w:r w:rsidRPr="005F0419">
        <w:rPr>
          <w:rStyle w:val="rynqvb"/>
          <w:sz w:val="28"/>
          <w:szCs w:val="28"/>
          <w:lang w:val="uk-UA"/>
        </w:rPr>
        <w:t>Audience</w:t>
      </w:r>
      <w:proofErr w:type="spellEnd"/>
      <w:r w:rsidRPr="005F0419">
        <w:rPr>
          <w:rStyle w:val="rynqvb"/>
          <w:sz w:val="28"/>
          <w:szCs w:val="28"/>
          <w:lang w:val="uk-UA"/>
        </w:rPr>
        <w:t xml:space="preserve"> </w:t>
      </w:r>
      <w:proofErr w:type="spellStart"/>
      <w:r w:rsidRPr="005F0419">
        <w:rPr>
          <w:rStyle w:val="rynqvb"/>
          <w:sz w:val="28"/>
          <w:szCs w:val="28"/>
          <w:lang w:val="uk-UA"/>
        </w:rPr>
        <w:t>Insights</w:t>
      </w:r>
      <w:proofErr w:type="spellEnd"/>
      <w:r w:rsidRPr="005F0419">
        <w:rPr>
          <w:rStyle w:val="rynqvb"/>
          <w:sz w:val="28"/>
          <w:szCs w:val="28"/>
          <w:lang w:val="uk-UA"/>
        </w:rPr>
        <w:t xml:space="preserve">,  </w:t>
      </w:r>
      <w:proofErr w:type="spellStart"/>
      <w:r w:rsidRPr="005F0419">
        <w:rPr>
          <w:rStyle w:val="rynqvb"/>
          <w:sz w:val="28"/>
          <w:szCs w:val="28"/>
          <w:lang w:val="uk-UA"/>
        </w:rPr>
        <w:t>LinkedIn</w:t>
      </w:r>
      <w:proofErr w:type="spellEnd"/>
      <w:r w:rsidRPr="005F0419">
        <w:rPr>
          <w:rStyle w:val="rynqvb"/>
          <w:sz w:val="28"/>
          <w:szCs w:val="28"/>
          <w:lang w:val="uk-UA"/>
        </w:rPr>
        <w:t xml:space="preserve"> </w:t>
      </w:r>
      <w:proofErr w:type="spellStart"/>
      <w:r w:rsidRPr="005F0419">
        <w:rPr>
          <w:rStyle w:val="rynqvb"/>
          <w:sz w:val="28"/>
          <w:szCs w:val="28"/>
          <w:lang w:val="uk-UA"/>
        </w:rPr>
        <w:t>Social</w:t>
      </w:r>
      <w:proofErr w:type="spellEnd"/>
      <w:r w:rsidRPr="005F0419">
        <w:rPr>
          <w:rStyle w:val="rynqvb"/>
          <w:sz w:val="28"/>
          <w:szCs w:val="28"/>
          <w:lang w:val="uk-UA"/>
        </w:rPr>
        <w:t xml:space="preserve"> </w:t>
      </w:r>
      <w:proofErr w:type="spellStart"/>
      <w:r w:rsidRPr="005F0419">
        <w:rPr>
          <w:rStyle w:val="rynqvb"/>
          <w:sz w:val="28"/>
          <w:szCs w:val="28"/>
          <w:lang w:val="uk-UA"/>
        </w:rPr>
        <w:t>Selling</w:t>
      </w:r>
      <w:proofErr w:type="spellEnd"/>
      <w:r w:rsidRPr="005F0419">
        <w:rPr>
          <w:rStyle w:val="rynqvb"/>
          <w:sz w:val="28"/>
          <w:szCs w:val="28"/>
          <w:lang w:val="uk-UA"/>
        </w:rPr>
        <w:t xml:space="preserve"> </w:t>
      </w:r>
      <w:proofErr w:type="spellStart"/>
      <w:r w:rsidRPr="005F0419">
        <w:rPr>
          <w:rStyle w:val="rynqvb"/>
          <w:sz w:val="28"/>
          <w:szCs w:val="28"/>
          <w:lang w:val="uk-UA"/>
        </w:rPr>
        <w:t>Index</w:t>
      </w:r>
      <w:proofErr w:type="spellEnd"/>
      <w:r w:rsidRPr="005F0419">
        <w:rPr>
          <w:rStyle w:val="rynqvb"/>
          <w:sz w:val="28"/>
          <w:szCs w:val="28"/>
          <w:lang w:val="uk-UA"/>
        </w:rPr>
        <w:t>,  LOOQME  та ін.</w:t>
      </w:r>
    </w:p>
    <w:p w14:paraId="59FD766B"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Сьогодні популярною концепцією оцінювання ефективності будь якої діяльності є система ключових показників ефективності. </w:t>
      </w:r>
    </w:p>
    <w:p w14:paraId="6BB4CAD3" w14:textId="14781BB0"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Ключові показники ефективності (KPI) </w:t>
      </w:r>
      <w:r w:rsidR="00213C3B" w:rsidRPr="005F0419">
        <w:rPr>
          <w:rStyle w:val="rynqvb"/>
          <w:sz w:val="28"/>
          <w:szCs w:val="28"/>
          <w:lang w:val="uk-UA"/>
        </w:rPr>
        <w:t>–</w:t>
      </w:r>
      <w:r w:rsidRPr="005F0419">
        <w:rPr>
          <w:rStyle w:val="rynqvb"/>
          <w:sz w:val="28"/>
          <w:szCs w:val="28"/>
          <w:lang w:val="uk-UA"/>
        </w:rPr>
        <w:t xml:space="preserve"> це</w:t>
      </w:r>
      <w:r w:rsidR="00213C3B" w:rsidRPr="005F0419">
        <w:rPr>
          <w:rStyle w:val="rynqvb"/>
          <w:sz w:val="28"/>
          <w:szCs w:val="28"/>
          <w:lang w:val="uk-UA"/>
        </w:rPr>
        <w:t xml:space="preserve"> </w:t>
      </w:r>
      <w:r w:rsidRPr="005F0419">
        <w:rPr>
          <w:rStyle w:val="rynqvb"/>
          <w:sz w:val="28"/>
          <w:szCs w:val="28"/>
          <w:lang w:val="uk-UA"/>
        </w:rPr>
        <w:t>показники досягнення успіху у певній діяльності чи досягненні певних цілей.</w:t>
      </w:r>
      <w:r w:rsidRPr="005F0419">
        <w:rPr>
          <w:rStyle w:val="hwtze"/>
          <w:sz w:val="28"/>
          <w:szCs w:val="28"/>
          <w:lang w:val="uk-UA"/>
        </w:rPr>
        <w:t xml:space="preserve"> </w:t>
      </w:r>
      <w:r w:rsidRPr="005F0419">
        <w:rPr>
          <w:rStyle w:val="rynqvb"/>
          <w:sz w:val="28"/>
          <w:szCs w:val="28"/>
          <w:lang w:val="uk-UA"/>
        </w:rPr>
        <w:t xml:space="preserve">Можна сказати, що KPI </w:t>
      </w:r>
      <w:r w:rsidR="00213C3B" w:rsidRPr="005F0419">
        <w:rPr>
          <w:rStyle w:val="rynqvb"/>
          <w:sz w:val="28"/>
          <w:szCs w:val="28"/>
          <w:lang w:val="uk-UA"/>
        </w:rPr>
        <w:t>–</w:t>
      </w:r>
      <w:r w:rsidRPr="005F0419">
        <w:rPr>
          <w:rStyle w:val="rynqvb"/>
          <w:sz w:val="28"/>
          <w:szCs w:val="28"/>
          <w:lang w:val="uk-UA"/>
        </w:rPr>
        <w:t xml:space="preserve"> це</w:t>
      </w:r>
      <w:r w:rsidR="00213C3B" w:rsidRPr="005F0419">
        <w:rPr>
          <w:rStyle w:val="rynqvb"/>
          <w:sz w:val="28"/>
          <w:szCs w:val="28"/>
          <w:lang w:val="uk-UA"/>
        </w:rPr>
        <w:t xml:space="preserve"> </w:t>
      </w:r>
      <w:r w:rsidRPr="005F0419">
        <w:rPr>
          <w:rStyle w:val="rynqvb"/>
          <w:sz w:val="28"/>
          <w:szCs w:val="28"/>
          <w:lang w:val="uk-UA"/>
        </w:rPr>
        <w:t xml:space="preserve">інструмент, який допомагає оцінити ефективність діяльності та рівень досягнення поставлених цілей. </w:t>
      </w:r>
    </w:p>
    <w:p w14:paraId="11D5E655"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За видами ключові показники можуть бути такими: </w:t>
      </w:r>
    </w:p>
    <w:p w14:paraId="55F21116" w14:textId="49C5236A"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1. KPI результату </w:t>
      </w:r>
      <w:r w:rsidR="00213C3B" w:rsidRPr="005F0419">
        <w:rPr>
          <w:rStyle w:val="rynqvb"/>
          <w:sz w:val="28"/>
          <w:szCs w:val="28"/>
          <w:lang w:val="uk-UA"/>
        </w:rPr>
        <w:t>–</w:t>
      </w:r>
      <w:r w:rsidRPr="005F0419">
        <w:rPr>
          <w:rStyle w:val="rynqvb"/>
          <w:sz w:val="28"/>
          <w:szCs w:val="28"/>
          <w:lang w:val="uk-UA"/>
        </w:rPr>
        <w:t xml:space="preserve"> відображають</w:t>
      </w:r>
      <w:r w:rsidR="00213C3B" w:rsidRPr="005F0419">
        <w:rPr>
          <w:rStyle w:val="rynqvb"/>
          <w:sz w:val="28"/>
          <w:szCs w:val="28"/>
          <w:lang w:val="uk-UA"/>
        </w:rPr>
        <w:t xml:space="preserve"> </w:t>
      </w:r>
      <w:r w:rsidRPr="005F0419">
        <w:rPr>
          <w:rStyle w:val="rynqvb"/>
          <w:sz w:val="28"/>
          <w:szCs w:val="28"/>
          <w:lang w:val="uk-UA"/>
        </w:rPr>
        <w:t xml:space="preserve">кількість та якість результату; </w:t>
      </w:r>
    </w:p>
    <w:p w14:paraId="42865A66"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2. KPI витрат – показують витрачені ресурси; </w:t>
      </w:r>
    </w:p>
    <w:p w14:paraId="3746D9FD"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3. KPI функціонування – показує відповідність процесу необхідному алгоритму його виконання; </w:t>
      </w:r>
    </w:p>
    <w:p w14:paraId="34259E12"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4. KPI продуктивності – показує співвідношення отриманого результату та часу, витраченого на досягнення цього результату; </w:t>
      </w:r>
    </w:p>
    <w:p w14:paraId="222DE63E"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5. KPI ефективності – показує співвідношення отриманого результату до витрачених ресурсів.</w:t>
      </w:r>
    </w:p>
    <w:p w14:paraId="55E699DC"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KPI  – обов'язковий елемент комунікаційної стратегії.</w:t>
      </w:r>
      <w:r w:rsidRPr="005F0419">
        <w:rPr>
          <w:rStyle w:val="hwtze"/>
          <w:sz w:val="28"/>
          <w:szCs w:val="28"/>
          <w:lang w:val="uk-UA"/>
        </w:rPr>
        <w:t xml:space="preserve"> </w:t>
      </w:r>
      <w:r w:rsidRPr="005F0419">
        <w:rPr>
          <w:rStyle w:val="rynqvb"/>
          <w:sz w:val="28"/>
          <w:szCs w:val="28"/>
          <w:lang w:val="uk-UA"/>
        </w:rPr>
        <w:t xml:space="preserve">Вони допомагають оцінити, наскільки реальний результат відповідає встановленим цілям різного рівня, наскільки успішна комунікаційна стратегія та які аспекти потребують покращення. Правильно сформульовані KPI допоможуть визначити ефективність стратегії, скоригувати тактику та </w:t>
      </w:r>
      <w:proofErr w:type="spellStart"/>
      <w:r w:rsidRPr="005F0419">
        <w:rPr>
          <w:rStyle w:val="rynqvb"/>
          <w:sz w:val="28"/>
          <w:szCs w:val="28"/>
          <w:lang w:val="uk-UA"/>
        </w:rPr>
        <w:t>гнучко</w:t>
      </w:r>
      <w:proofErr w:type="spellEnd"/>
      <w:r w:rsidRPr="005F0419">
        <w:rPr>
          <w:rStyle w:val="rynqvb"/>
          <w:sz w:val="28"/>
          <w:szCs w:val="28"/>
          <w:lang w:val="uk-UA"/>
        </w:rPr>
        <w:t xml:space="preserve"> керувати комунікаціями. З певною періодичністю слід оцінювати якість комунікацій та його ефективність.</w:t>
      </w:r>
      <w:r w:rsidRPr="005F0419">
        <w:rPr>
          <w:rStyle w:val="hwtze"/>
          <w:sz w:val="28"/>
          <w:szCs w:val="28"/>
          <w:lang w:val="uk-UA"/>
        </w:rPr>
        <w:t xml:space="preserve"> </w:t>
      </w:r>
      <w:r w:rsidRPr="005F0419">
        <w:rPr>
          <w:rStyle w:val="rynqvb"/>
          <w:sz w:val="28"/>
          <w:szCs w:val="28"/>
          <w:lang w:val="uk-UA"/>
        </w:rPr>
        <w:t>Регулярний моніторинг дозволить виявити проблеми та своєчасно їх усунути.</w:t>
      </w:r>
    </w:p>
    <w:p w14:paraId="2216FEA6" w14:textId="77777777" w:rsidR="00115A3E" w:rsidRPr="005F0419" w:rsidRDefault="00115A3E" w:rsidP="00115A3E">
      <w:pPr>
        <w:pStyle w:val="a9"/>
        <w:spacing w:before="0" w:beforeAutospacing="0" w:after="0" w:afterAutospacing="0" w:line="360" w:lineRule="auto"/>
        <w:ind w:firstLine="720"/>
        <w:jc w:val="both"/>
        <w:rPr>
          <w:bCs/>
          <w:i/>
          <w:sz w:val="28"/>
          <w:szCs w:val="28"/>
          <w:lang w:val="uk-UA"/>
        </w:rPr>
      </w:pPr>
      <w:r w:rsidRPr="005F0419">
        <w:rPr>
          <w:bCs/>
          <w:i/>
          <w:sz w:val="28"/>
          <w:szCs w:val="28"/>
          <w:lang w:val="uk-UA"/>
        </w:rPr>
        <w:t>Цільова аудиторія комунікаційної стратегії.</w:t>
      </w:r>
    </w:p>
    <w:p w14:paraId="6733ED1C" w14:textId="60766F53"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rStyle w:val="rynqvb"/>
          <w:sz w:val="28"/>
          <w:szCs w:val="28"/>
          <w:lang w:val="uk-UA"/>
        </w:rPr>
        <w:t xml:space="preserve">У відповідності до теорії комунікації, її головна мета </w:t>
      </w:r>
      <w:r w:rsidR="00213C3B" w:rsidRPr="005F0419">
        <w:rPr>
          <w:rStyle w:val="rynqvb"/>
          <w:sz w:val="28"/>
          <w:szCs w:val="28"/>
          <w:lang w:val="uk-UA"/>
        </w:rPr>
        <w:t>–</w:t>
      </w:r>
      <w:r w:rsidRPr="005F0419">
        <w:rPr>
          <w:rStyle w:val="rynqvb"/>
          <w:sz w:val="28"/>
          <w:szCs w:val="28"/>
          <w:lang w:val="uk-UA"/>
        </w:rPr>
        <w:t xml:space="preserve"> вплив</w:t>
      </w:r>
      <w:r w:rsidR="00213C3B" w:rsidRPr="005F0419">
        <w:rPr>
          <w:rStyle w:val="rynqvb"/>
          <w:sz w:val="28"/>
          <w:szCs w:val="28"/>
          <w:lang w:val="uk-UA"/>
        </w:rPr>
        <w:t xml:space="preserve"> </w:t>
      </w:r>
      <w:r w:rsidRPr="005F0419">
        <w:rPr>
          <w:rStyle w:val="rynqvb"/>
          <w:sz w:val="28"/>
          <w:szCs w:val="28"/>
          <w:lang w:val="uk-UA"/>
        </w:rPr>
        <w:t>на отримувача, який забезпечує необхідну реакцію.</w:t>
      </w:r>
      <w:r w:rsidRPr="005F0419">
        <w:rPr>
          <w:rStyle w:val="hwtze"/>
          <w:sz w:val="28"/>
          <w:szCs w:val="28"/>
          <w:lang w:val="uk-UA"/>
        </w:rPr>
        <w:t xml:space="preserve"> Отже, к</w:t>
      </w:r>
      <w:r w:rsidRPr="005F0419">
        <w:rPr>
          <w:rStyle w:val="rynqvb"/>
          <w:sz w:val="28"/>
          <w:szCs w:val="28"/>
          <w:lang w:val="uk-UA"/>
        </w:rPr>
        <w:t xml:space="preserve">омунікатор повинен точно уявляти найважливіші характеристики цільової аудиторії організації чи проекту. </w:t>
      </w:r>
      <w:r w:rsidRPr="005F0419">
        <w:rPr>
          <w:bCs/>
          <w:sz w:val="28"/>
          <w:szCs w:val="28"/>
          <w:lang w:val="uk-UA"/>
        </w:rPr>
        <w:t xml:space="preserve"> </w:t>
      </w:r>
    </w:p>
    <w:p w14:paraId="4E1C3DF6" w14:textId="77777777"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i/>
          <w:sz w:val="28"/>
          <w:szCs w:val="28"/>
          <w:lang w:val="uk-UA"/>
        </w:rPr>
        <w:lastRenderedPageBreak/>
        <w:t>Цільова аудиторія</w:t>
      </w:r>
      <w:r w:rsidRPr="005F0419">
        <w:rPr>
          <w:bCs/>
          <w:sz w:val="28"/>
          <w:szCs w:val="28"/>
          <w:lang w:val="uk-UA"/>
        </w:rPr>
        <w:t xml:space="preserve"> (</w:t>
      </w:r>
      <w:proofErr w:type="spellStart"/>
      <w:r w:rsidRPr="005F0419">
        <w:rPr>
          <w:bCs/>
          <w:sz w:val="28"/>
          <w:szCs w:val="28"/>
          <w:lang w:val="uk-UA"/>
        </w:rPr>
        <w:t>стейкхолдери</w:t>
      </w:r>
      <w:proofErr w:type="spellEnd"/>
      <w:r w:rsidRPr="005F0419">
        <w:rPr>
          <w:bCs/>
          <w:sz w:val="28"/>
          <w:szCs w:val="28"/>
          <w:lang w:val="uk-UA"/>
        </w:rPr>
        <w:t>) комунікаційної стратегії – це будь-яка група, яка має реальний або потенційний інтерес до організації чи проекту або впливає чи потенційно може впливати на її здатність досягати своїх цілей.</w:t>
      </w:r>
    </w:p>
    <w:p w14:paraId="2C81EAB3" w14:textId="2F2E9A72" w:rsidR="00115A3E" w:rsidRPr="005F0419" w:rsidRDefault="00213C3B" w:rsidP="00115A3E">
      <w:pPr>
        <w:pStyle w:val="a9"/>
        <w:spacing w:before="0" w:beforeAutospacing="0" w:after="0" w:afterAutospacing="0" w:line="360" w:lineRule="auto"/>
        <w:ind w:firstLine="720"/>
        <w:jc w:val="both"/>
        <w:rPr>
          <w:bCs/>
          <w:sz w:val="28"/>
          <w:szCs w:val="28"/>
          <w:lang w:val="uk-UA"/>
        </w:rPr>
      </w:pPr>
      <w:r w:rsidRPr="005F0419">
        <w:rPr>
          <w:noProof/>
          <w:sz w:val="28"/>
          <w:szCs w:val="28"/>
          <w:lang w:val="uk-UA"/>
        </w:rPr>
        <w:drawing>
          <wp:inline distT="0" distB="0" distL="0" distR="0" wp14:anchorId="29E7DF02" wp14:editId="04F48254">
            <wp:extent cx="5486400" cy="5828306"/>
            <wp:effectExtent l="0" t="0" r="0" b="1270"/>
            <wp:docPr id="144" name="Схема 1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8" r:lo="rId109" r:qs="rId110" r:cs="rId111"/>
              </a:graphicData>
            </a:graphic>
          </wp:inline>
        </w:drawing>
      </w:r>
    </w:p>
    <w:p w14:paraId="4961A02E" w14:textId="2BF70820" w:rsidR="00115A3E" w:rsidRPr="005F0419" w:rsidRDefault="00115A3E" w:rsidP="00115A3E">
      <w:pPr>
        <w:pStyle w:val="a9"/>
        <w:spacing w:before="0" w:beforeAutospacing="0" w:after="0" w:afterAutospacing="0" w:line="360" w:lineRule="auto"/>
        <w:ind w:firstLine="720"/>
        <w:jc w:val="center"/>
        <w:rPr>
          <w:sz w:val="28"/>
          <w:szCs w:val="28"/>
          <w:lang w:val="uk-UA"/>
        </w:rPr>
      </w:pPr>
      <w:r w:rsidRPr="005F0419">
        <w:rPr>
          <w:sz w:val="28"/>
          <w:szCs w:val="28"/>
          <w:lang w:val="uk-UA"/>
        </w:rPr>
        <w:t>Рис. 4. Цільова аудиторія комунікаційної стратегії</w:t>
      </w:r>
    </w:p>
    <w:p w14:paraId="6BEBAB06" w14:textId="77777777" w:rsidR="00213C3B" w:rsidRPr="005F0419" w:rsidRDefault="00213C3B" w:rsidP="00213C3B">
      <w:pPr>
        <w:pStyle w:val="a9"/>
        <w:spacing w:before="0" w:beforeAutospacing="0" w:after="0" w:afterAutospacing="0" w:line="360" w:lineRule="auto"/>
        <w:ind w:firstLine="720"/>
        <w:rPr>
          <w:sz w:val="28"/>
          <w:szCs w:val="28"/>
          <w:lang w:val="uk-UA"/>
        </w:rPr>
      </w:pPr>
      <w:r w:rsidRPr="005F0419">
        <w:rPr>
          <w:sz w:val="28"/>
          <w:szCs w:val="28"/>
          <w:lang w:val="uk-UA"/>
        </w:rPr>
        <w:t>Джерело: сформовано автором.</w:t>
      </w:r>
    </w:p>
    <w:p w14:paraId="414AE106"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p>
    <w:p w14:paraId="70A774A0" w14:textId="7B6B4125"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rStyle w:val="rynqvb"/>
          <w:sz w:val="28"/>
          <w:szCs w:val="28"/>
          <w:lang w:val="uk-UA"/>
        </w:rPr>
        <w:t xml:space="preserve">Від правильного вибору цільової аудиторії залежить рішення комунікатора у тому, що, як, коли, де треба сказати і хто це зробить. Найпоширеніші помилки на старті просування компанії чи проекту </w:t>
      </w:r>
      <w:r w:rsidR="00213C3B" w:rsidRPr="005F0419">
        <w:rPr>
          <w:rStyle w:val="rynqvb"/>
          <w:sz w:val="28"/>
          <w:szCs w:val="28"/>
          <w:lang w:val="uk-UA"/>
        </w:rPr>
        <w:t>–</w:t>
      </w:r>
      <w:r w:rsidRPr="005F0419">
        <w:rPr>
          <w:rStyle w:val="rynqvb"/>
          <w:sz w:val="28"/>
          <w:szCs w:val="28"/>
          <w:lang w:val="uk-UA"/>
        </w:rPr>
        <w:t xml:space="preserve"> неправильне чи неточне визначення цільової аудиторії, ігнорування її поділу на цільові групи.</w:t>
      </w:r>
    </w:p>
    <w:p w14:paraId="633208F9"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lastRenderedPageBreak/>
        <w:t>Насамперед визначення правильного сегмента дозволяє економічно ефективно сконцентрувати свої зусилля і ресурси.</w:t>
      </w:r>
      <w:r w:rsidRPr="005F0419">
        <w:rPr>
          <w:rStyle w:val="hwtze"/>
          <w:sz w:val="28"/>
          <w:szCs w:val="28"/>
          <w:lang w:val="uk-UA"/>
        </w:rPr>
        <w:t xml:space="preserve"> </w:t>
      </w:r>
      <w:r w:rsidRPr="005F0419">
        <w:rPr>
          <w:rStyle w:val="rynqvb"/>
          <w:sz w:val="28"/>
          <w:szCs w:val="28"/>
          <w:lang w:val="uk-UA"/>
        </w:rPr>
        <w:t>Зосередившись на конкретній аудиторії, ви мінімізуєте витрати на комунікації та зможете уникнути помилок.</w:t>
      </w:r>
    </w:p>
    <w:p w14:paraId="118F1333" w14:textId="77777777"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Сегментація цільових аудиторій комунікаційної діяльності дозволяє врахувати їхні потреби та обрати найбільш оптимальні канали, види та формати  комунікації  з ними. </w:t>
      </w:r>
    </w:p>
    <w:p w14:paraId="38E03DBB"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Крім внутрішньої та зовнішньої аудиторії, виділяють ще основну та непряму.</w:t>
      </w:r>
      <w:r w:rsidRPr="005F0419">
        <w:rPr>
          <w:rStyle w:val="hwtze"/>
          <w:sz w:val="28"/>
          <w:szCs w:val="28"/>
          <w:lang w:val="uk-UA"/>
        </w:rPr>
        <w:t xml:space="preserve"> </w:t>
      </w:r>
      <w:r w:rsidRPr="005F0419">
        <w:rPr>
          <w:rStyle w:val="rynqvb"/>
          <w:sz w:val="28"/>
          <w:szCs w:val="28"/>
          <w:lang w:val="uk-UA"/>
        </w:rPr>
        <w:t>До першого виду належать ті, хто зацікавлений у продукції чи послугах компанії та активно їх шукають.</w:t>
      </w:r>
      <w:r w:rsidRPr="005F0419">
        <w:rPr>
          <w:rStyle w:val="hwtze"/>
          <w:sz w:val="28"/>
          <w:szCs w:val="28"/>
          <w:lang w:val="uk-UA"/>
        </w:rPr>
        <w:t xml:space="preserve">  </w:t>
      </w:r>
      <w:r w:rsidRPr="005F0419">
        <w:rPr>
          <w:rStyle w:val="rynqvb"/>
          <w:sz w:val="28"/>
          <w:szCs w:val="28"/>
          <w:lang w:val="uk-UA"/>
        </w:rPr>
        <w:t xml:space="preserve">Непряма цільова аудиторія - це особи чи організації, які не є прямими споживачами, але можуть впливати на діяльність організації чи долю проекту. </w:t>
      </w:r>
    </w:p>
    <w:p w14:paraId="0DACFD3D" w14:textId="77777777" w:rsidR="00115A3E" w:rsidRPr="005F0419" w:rsidRDefault="00115A3E" w:rsidP="00115A3E">
      <w:pPr>
        <w:pStyle w:val="a9"/>
        <w:spacing w:before="0" w:beforeAutospacing="0" w:after="0" w:afterAutospacing="0" w:line="360" w:lineRule="auto"/>
        <w:ind w:firstLine="720"/>
        <w:jc w:val="both"/>
        <w:rPr>
          <w:rStyle w:val="hwtze"/>
          <w:sz w:val="28"/>
          <w:szCs w:val="28"/>
          <w:lang w:val="uk-UA"/>
        </w:rPr>
      </w:pPr>
      <w:r w:rsidRPr="005F0419">
        <w:rPr>
          <w:rStyle w:val="rynqvb"/>
          <w:sz w:val="28"/>
          <w:szCs w:val="28"/>
          <w:lang w:val="uk-UA"/>
        </w:rPr>
        <w:t>Щоб знайти основну цільову аудиторію, необхідно врахувати велику кількість факторів.</w:t>
      </w:r>
      <w:r w:rsidRPr="005F0419">
        <w:rPr>
          <w:rStyle w:val="hwtze"/>
          <w:sz w:val="28"/>
          <w:szCs w:val="28"/>
          <w:lang w:val="uk-UA"/>
        </w:rPr>
        <w:t xml:space="preserve"> Традиційно аналіз проводять за наступними групами факторів:</w:t>
      </w:r>
    </w:p>
    <w:p w14:paraId="407BB985" w14:textId="77777777" w:rsidR="00115A3E" w:rsidRPr="005F0419" w:rsidRDefault="00115A3E" w:rsidP="00115A3E">
      <w:pPr>
        <w:pStyle w:val="a9"/>
        <w:spacing w:before="0" w:beforeAutospacing="0" w:after="0" w:afterAutospacing="0" w:line="360" w:lineRule="auto"/>
        <w:ind w:firstLine="720"/>
        <w:jc w:val="both"/>
        <w:rPr>
          <w:rStyle w:val="hwtze"/>
          <w:sz w:val="28"/>
          <w:szCs w:val="28"/>
          <w:lang w:val="uk-UA"/>
        </w:rPr>
      </w:pPr>
      <w:r w:rsidRPr="005F0419">
        <w:rPr>
          <w:rStyle w:val="hwtze"/>
          <w:sz w:val="28"/>
          <w:szCs w:val="28"/>
          <w:lang w:val="uk-UA"/>
        </w:rPr>
        <w:t xml:space="preserve">1. </w:t>
      </w:r>
      <w:r w:rsidRPr="005F0419">
        <w:rPr>
          <w:rStyle w:val="rynqvb"/>
          <w:sz w:val="28"/>
          <w:szCs w:val="28"/>
          <w:lang w:val="uk-UA"/>
        </w:rPr>
        <w:t>Демографічні дані: вік, стать, сімейний стан, раса, релігія, етнічна приналежність, дохід.</w:t>
      </w:r>
      <w:r w:rsidRPr="005F0419">
        <w:rPr>
          <w:rStyle w:val="hwtze"/>
          <w:sz w:val="28"/>
          <w:szCs w:val="28"/>
          <w:lang w:val="uk-UA"/>
        </w:rPr>
        <w:t xml:space="preserve"> </w:t>
      </w:r>
    </w:p>
    <w:p w14:paraId="6588EB2C"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hwtze"/>
          <w:sz w:val="28"/>
          <w:szCs w:val="28"/>
          <w:lang w:val="uk-UA"/>
        </w:rPr>
        <w:t xml:space="preserve">2. </w:t>
      </w:r>
      <w:proofErr w:type="spellStart"/>
      <w:r w:rsidRPr="005F0419">
        <w:rPr>
          <w:rStyle w:val="rynqvb"/>
          <w:sz w:val="28"/>
          <w:szCs w:val="28"/>
          <w:lang w:val="uk-UA"/>
        </w:rPr>
        <w:t>Геодані</w:t>
      </w:r>
      <w:proofErr w:type="spellEnd"/>
      <w:r w:rsidRPr="005F0419">
        <w:rPr>
          <w:rStyle w:val="rynqvb"/>
          <w:sz w:val="28"/>
          <w:szCs w:val="28"/>
          <w:lang w:val="uk-UA"/>
        </w:rPr>
        <w:t xml:space="preserve">: інформація про місцезнаходження користувачів </w:t>
      </w:r>
    </w:p>
    <w:p w14:paraId="50B2D83E" w14:textId="77777777" w:rsidR="00115A3E" w:rsidRPr="005F0419" w:rsidRDefault="00115A3E" w:rsidP="00115A3E">
      <w:pPr>
        <w:pStyle w:val="a9"/>
        <w:spacing w:before="0" w:beforeAutospacing="0" w:after="0" w:afterAutospacing="0" w:line="360" w:lineRule="auto"/>
        <w:ind w:firstLine="720"/>
        <w:jc w:val="both"/>
        <w:rPr>
          <w:rStyle w:val="hwtze"/>
          <w:sz w:val="28"/>
          <w:szCs w:val="28"/>
          <w:lang w:val="uk-UA"/>
        </w:rPr>
      </w:pPr>
      <w:r w:rsidRPr="005F0419">
        <w:rPr>
          <w:rStyle w:val="rynqvb"/>
          <w:sz w:val="28"/>
          <w:szCs w:val="28"/>
          <w:lang w:val="uk-UA"/>
        </w:rPr>
        <w:t xml:space="preserve">3. </w:t>
      </w:r>
      <w:proofErr w:type="spellStart"/>
      <w:r w:rsidRPr="005F0419">
        <w:rPr>
          <w:rStyle w:val="rynqvb"/>
          <w:sz w:val="28"/>
          <w:szCs w:val="28"/>
          <w:lang w:val="uk-UA"/>
        </w:rPr>
        <w:t>Психографічна</w:t>
      </w:r>
      <w:proofErr w:type="spellEnd"/>
      <w:r w:rsidRPr="005F0419">
        <w:rPr>
          <w:rStyle w:val="rynqvb"/>
          <w:sz w:val="28"/>
          <w:szCs w:val="28"/>
          <w:lang w:val="uk-UA"/>
        </w:rPr>
        <w:t xml:space="preserve"> інформація.</w:t>
      </w:r>
      <w:r w:rsidRPr="005F0419">
        <w:rPr>
          <w:rStyle w:val="hwtze"/>
          <w:sz w:val="28"/>
          <w:szCs w:val="28"/>
          <w:lang w:val="uk-UA"/>
        </w:rPr>
        <w:t xml:space="preserve"> </w:t>
      </w:r>
      <w:r w:rsidRPr="005F0419">
        <w:rPr>
          <w:rStyle w:val="rynqvb"/>
          <w:sz w:val="28"/>
          <w:szCs w:val="28"/>
          <w:lang w:val="uk-UA"/>
        </w:rPr>
        <w:t>Це дані про особисті якості користувачів, спосіб життя, соціальний клас, переконання, інтереси, переваги і хобі.</w:t>
      </w:r>
      <w:r w:rsidRPr="005F0419">
        <w:rPr>
          <w:rStyle w:val="hwtze"/>
          <w:sz w:val="28"/>
          <w:szCs w:val="28"/>
          <w:lang w:val="uk-UA"/>
        </w:rPr>
        <w:t xml:space="preserve"> </w:t>
      </w:r>
    </w:p>
    <w:p w14:paraId="781E9385"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rStyle w:val="hwtze"/>
          <w:sz w:val="28"/>
          <w:szCs w:val="28"/>
          <w:lang w:val="uk-UA"/>
        </w:rPr>
        <w:t xml:space="preserve">4. </w:t>
      </w:r>
      <w:r w:rsidRPr="005F0419">
        <w:rPr>
          <w:rStyle w:val="rynqvb"/>
          <w:sz w:val="28"/>
          <w:szCs w:val="28"/>
          <w:lang w:val="uk-UA"/>
        </w:rPr>
        <w:t xml:space="preserve">Поведінкові дані – реакції аудиторії на дії організації. </w:t>
      </w:r>
    </w:p>
    <w:p w14:paraId="653C2BCB" w14:textId="77777777" w:rsidR="00115A3E" w:rsidRPr="005F0419" w:rsidRDefault="00115A3E" w:rsidP="00115A3E">
      <w:pPr>
        <w:pStyle w:val="a9"/>
        <w:spacing w:before="0" w:beforeAutospacing="0" w:after="0" w:afterAutospacing="0" w:line="360" w:lineRule="auto"/>
        <w:ind w:firstLine="720"/>
        <w:jc w:val="both"/>
        <w:rPr>
          <w:bCs/>
          <w:i/>
          <w:sz w:val="28"/>
          <w:szCs w:val="28"/>
          <w:lang w:val="uk-UA"/>
        </w:rPr>
      </w:pPr>
      <w:r w:rsidRPr="005F0419">
        <w:rPr>
          <w:bCs/>
          <w:i/>
          <w:sz w:val="28"/>
          <w:szCs w:val="28"/>
          <w:lang w:val="uk-UA"/>
        </w:rPr>
        <w:t>Концепція  комунікаційної стратегії</w:t>
      </w:r>
    </w:p>
    <w:p w14:paraId="5068F97D"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Коли склали портрет цільового споживача вашої інформації, варто перейти до формування концепції комунікаційної стратегії.</w:t>
      </w:r>
    </w:p>
    <w:p w14:paraId="66381C15"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bCs/>
          <w:sz w:val="28"/>
          <w:szCs w:val="28"/>
          <w:lang w:val="uk-UA"/>
        </w:rPr>
        <w:t>Концепція</w:t>
      </w:r>
      <w:r w:rsidRPr="005F0419">
        <w:rPr>
          <w:sz w:val="28"/>
          <w:szCs w:val="28"/>
          <w:lang w:val="uk-UA"/>
        </w:rPr>
        <w:t xml:space="preserve"> стратегічних комунікацій є сукупністю сучасних поглядів, цільових установок, принципів та напрямів у діяльності організації щодо створення та впровадження системи стратегічних комунікацій  [6.]. </w:t>
      </w:r>
      <w:r w:rsidRPr="005F0419">
        <w:rPr>
          <w:rStyle w:val="rynqvb"/>
          <w:sz w:val="28"/>
          <w:szCs w:val="28"/>
          <w:lang w:val="uk-UA"/>
        </w:rPr>
        <w:t>Концепція спрямована на формування образу компанії, що запам'ятовується.</w:t>
      </w:r>
      <w:r w:rsidRPr="005F0419">
        <w:rPr>
          <w:rStyle w:val="hwtze"/>
          <w:sz w:val="28"/>
          <w:szCs w:val="28"/>
          <w:lang w:val="uk-UA"/>
        </w:rPr>
        <w:t xml:space="preserve"> </w:t>
      </w:r>
      <w:r w:rsidRPr="005F0419">
        <w:rPr>
          <w:rStyle w:val="rynqvb"/>
          <w:sz w:val="28"/>
          <w:szCs w:val="28"/>
          <w:lang w:val="uk-UA"/>
        </w:rPr>
        <w:t>Це дуже важливо для побудови міцних взаємин з цільовою аудиторією, завоювання її лояльності та формування іміджу.</w:t>
      </w:r>
    </w:p>
    <w:p w14:paraId="119A2C25"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lastRenderedPageBreak/>
        <w:t>Концепція повинна бути креативною, щоб найбільш ефективно та яскраво донести необхідну інформацію до споживачів та реалізувати цілі комунікаційної стратегії. Цей етап має на меті створення ідеального образу організації чи її продукту або послуг, моделювання її сприйняття.</w:t>
      </w:r>
    </w:p>
    <w:p w14:paraId="629C4B1A"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sz w:val="28"/>
          <w:szCs w:val="28"/>
          <w:lang w:val="uk-UA"/>
        </w:rPr>
        <w:t xml:space="preserve">Концепція комунікаційної стратегії відображає позиціонування організації чи проекту, основну чи ключову ідею комунікацій, ключові повідомлення (меседжі), </w:t>
      </w:r>
      <w:proofErr w:type="spellStart"/>
      <w:r w:rsidRPr="005F0419">
        <w:rPr>
          <w:sz w:val="28"/>
          <w:szCs w:val="28"/>
          <w:lang w:val="uk-UA"/>
        </w:rPr>
        <w:t>інсайти</w:t>
      </w:r>
      <w:proofErr w:type="spellEnd"/>
      <w:r w:rsidRPr="005F0419">
        <w:rPr>
          <w:sz w:val="28"/>
          <w:szCs w:val="28"/>
          <w:lang w:val="uk-UA"/>
        </w:rPr>
        <w:t xml:space="preserve">, </w:t>
      </w:r>
      <w:proofErr w:type="spellStart"/>
      <w:r w:rsidRPr="005F0419">
        <w:rPr>
          <w:rStyle w:val="rynqvb"/>
          <w:sz w:val="28"/>
          <w:szCs w:val="28"/>
          <w:lang w:val="uk-UA"/>
        </w:rPr>
        <w:t>Tone</w:t>
      </w:r>
      <w:proofErr w:type="spellEnd"/>
      <w:r w:rsidRPr="005F0419">
        <w:rPr>
          <w:rStyle w:val="rynqvb"/>
          <w:sz w:val="28"/>
          <w:szCs w:val="28"/>
          <w:lang w:val="uk-UA"/>
        </w:rPr>
        <w:t xml:space="preserve"> </w:t>
      </w:r>
      <w:proofErr w:type="spellStart"/>
      <w:r w:rsidRPr="005F0419">
        <w:rPr>
          <w:rStyle w:val="rynqvb"/>
          <w:sz w:val="28"/>
          <w:szCs w:val="28"/>
          <w:lang w:val="uk-UA"/>
        </w:rPr>
        <w:t>of</w:t>
      </w:r>
      <w:proofErr w:type="spellEnd"/>
      <w:r w:rsidRPr="005F0419">
        <w:rPr>
          <w:rStyle w:val="rynqvb"/>
          <w:sz w:val="28"/>
          <w:szCs w:val="28"/>
          <w:lang w:val="uk-UA"/>
        </w:rPr>
        <w:t xml:space="preserve"> </w:t>
      </w:r>
      <w:proofErr w:type="spellStart"/>
      <w:r w:rsidRPr="005F0419">
        <w:rPr>
          <w:rStyle w:val="rynqvb"/>
          <w:sz w:val="28"/>
          <w:szCs w:val="28"/>
          <w:lang w:val="uk-UA"/>
        </w:rPr>
        <w:t>voice</w:t>
      </w:r>
      <w:proofErr w:type="spellEnd"/>
      <w:r w:rsidRPr="005F0419">
        <w:rPr>
          <w:rStyle w:val="rynqvb"/>
          <w:sz w:val="28"/>
          <w:szCs w:val="28"/>
          <w:lang w:val="uk-UA"/>
        </w:rPr>
        <w:t>,</w:t>
      </w:r>
      <w:r w:rsidRPr="005F0419">
        <w:rPr>
          <w:sz w:val="28"/>
          <w:szCs w:val="28"/>
          <w:lang w:val="uk-UA"/>
        </w:rPr>
        <w:t xml:space="preserve"> а також візуальний стиль та оформлення контенту. </w:t>
      </w:r>
    </w:p>
    <w:p w14:paraId="20F9FF1C"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В основі комунікаційної стратегії завжди є основна ідея, концепція позиціонування, яку компанія хоче донести до ключових аудиторій. </w:t>
      </w:r>
    </w:p>
    <w:p w14:paraId="31BCA6C5"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i/>
          <w:sz w:val="28"/>
          <w:szCs w:val="28"/>
          <w:lang w:val="uk-UA"/>
        </w:rPr>
        <w:t>Концепція позиціонування</w:t>
      </w:r>
      <w:r w:rsidRPr="005F0419">
        <w:rPr>
          <w:rStyle w:val="rynqvb"/>
          <w:sz w:val="28"/>
          <w:szCs w:val="28"/>
          <w:lang w:val="uk-UA"/>
        </w:rPr>
        <w:t xml:space="preserve"> – це стислий виклад суті того, як має виглядати компанія в очах споживачів, якщо комунікаційна стратегія буде реалізована. </w:t>
      </w:r>
    </w:p>
    <w:p w14:paraId="2D56A5FD"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Сутність позиціонування полягає у визначенні позиції організації у свідомості споживачів з урахуванням конкуруючих ринкових пропозицій,  процес позиціонування дуже тісно пов'язаний із сегментацією ринку.</w:t>
      </w:r>
      <w:r w:rsidRPr="005F0419">
        <w:rPr>
          <w:rStyle w:val="hwtze"/>
          <w:sz w:val="28"/>
          <w:szCs w:val="28"/>
          <w:lang w:val="uk-UA"/>
        </w:rPr>
        <w:t xml:space="preserve"> </w:t>
      </w:r>
      <w:r w:rsidRPr="005F0419">
        <w:rPr>
          <w:rStyle w:val="rynqvb"/>
          <w:sz w:val="28"/>
          <w:szCs w:val="28"/>
          <w:lang w:val="uk-UA"/>
        </w:rPr>
        <w:t>Позиціювання дозволяє відбудуватися від конкурентів, завоювати лояльність аудиторії та підвищити ефективність її утримання.</w:t>
      </w:r>
      <w:r w:rsidRPr="005F0419">
        <w:rPr>
          <w:rStyle w:val="hwtze"/>
          <w:sz w:val="28"/>
          <w:szCs w:val="28"/>
          <w:lang w:val="uk-UA"/>
        </w:rPr>
        <w:t xml:space="preserve"> </w:t>
      </w:r>
      <w:r w:rsidRPr="005F0419">
        <w:rPr>
          <w:rStyle w:val="rynqvb"/>
          <w:sz w:val="28"/>
          <w:szCs w:val="28"/>
          <w:lang w:val="uk-UA"/>
        </w:rPr>
        <w:t xml:space="preserve">Саме це мотивує клієнтів купувати продукти компанії, навіть не замислюючись. </w:t>
      </w:r>
    </w:p>
    <w:p w14:paraId="702AAD41"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Основні переваги розробки стратегії позиціонування бренду: допомагає донести клієнтам переваги та цінності компанії; підвищує рівень довіри користувачів до бренду; збільшує лояльність споживачів; зміцнює позитивний імідж бренду.</w:t>
      </w:r>
    </w:p>
    <w:p w14:paraId="3045885B"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Розрізняють такі види стратегії позиціонування: позиціювання за атрибутом, позиціонування за користю, цінове позиціонування, конкурентне позиціювання, позиціювання за категорією, позиціювання за споживачем.</w:t>
      </w:r>
      <w:r w:rsidRPr="005F0419">
        <w:rPr>
          <w:rStyle w:val="hwtze"/>
          <w:sz w:val="28"/>
          <w:szCs w:val="28"/>
          <w:lang w:val="uk-UA"/>
        </w:rPr>
        <w:t xml:space="preserve"> </w:t>
      </w:r>
    </w:p>
    <w:p w14:paraId="768CDAB4"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В основі позиціонування завжди покладена ключова ідея (</w:t>
      </w:r>
      <w:proofErr w:type="spellStart"/>
      <w:r w:rsidRPr="005F0419">
        <w:rPr>
          <w:rStyle w:val="rynqvb"/>
          <w:sz w:val="28"/>
          <w:szCs w:val="28"/>
          <w:lang w:val="uk-UA"/>
        </w:rPr>
        <w:t>Big</w:t>
      </w:r>
      <w:proofErr w:type="spellEnd"/>
      <w:r w:rsidRPr="005F0419">
        <w:rPr>
          <w:rStyle w:val="rynqvb"/>
          <w:sz w:val="28"/>
          <w:szCs w:val="28"/>
          <w:lang w:val="uk-UA"/>
        </w:rPr>
        <w:t xml:space="preserve"> </w:t>
      </w:r>
      <w:proofErr w:type="spellStart"/>
      <w:r w:rsidRPr="005F0419">
        <w:rPr>
          <w:rStyle w:val="rynqvb"/>
          <w:sz w:val="28"/>
          <w:szCs w:val="28"/>
          <w:lang w:val="uk-UA"/>
        </w:rPr>
        <w:t>Idea</w:t>
      </w:r>
      <w:proofErr w:type="spellEnd"/>
      <w:r w:rsidRPr="005F0419">
        <w:rPr>
          <w:rStyle w:val="rynqvb"/>
          <w:sz w:val="28"/>
          <w:szCs w:val="28"/>
          <w:lang w:val="uk-UA"/>
        </w:rPr>
        <w:t xml:space="preserve">). Це головний посил, з яким має асоціюватися організація чи проект, стрижень, на якому будуватиметься вся комунікаційна стратегія. </w:t>
      </w:r>
    </w:p>
    <w:p w14:paraId="14AF2ED1"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Використовувати ключову ідею можна у двох варіантах: червона нитка (з</w:t>
      </w:r>
      <w:r w:rsidRPr="005F0419">
        <w:rPr>
          <w:rStyle w:val="hwtze"/>
          <w:sz w:val="28"/>
          <w:szCs w:val="28"/>
          <w:lang w:val="uk-UA"/>
        </w:rPr>
        <w:t xml:space="preserve">астосовується, якщо ідея велика і складна, </w:t>
      </w:r>
      <w:r w:rsidRPr="005F0419">
        <w:rPr>
          <w:rStyle w:val="rynqvb"/>
          <w:sz w:val="28"/>
          <w:szCs w:val="28"/>
          <w:lang w:val="uk-UA"/>
        </w:rPr>
        <w:t xml:space="preserve">її не можна коротко сформулювати, </w:t>
      </w:r>
      <w:r w:rsidRPr="005F0419">
        <w:rPr>
          <w:rStyle w:val="rynqvb"/>
          <w:sz w:val="28"/>
          <w:szCs w:val="28"/>
          <w:lang w:val="uk-UA"/>
        </w:rPr>
        <w:lastRenderedPageBreak/>
        <w:t xml:space="preserve">тому вона не використовується як слоган, але ця думка проходить червоною ниткою через усі канали та формати комунікацій) або слоган. </w:t>
      </w:r>
    </w:p>
    <w:p w14:paraId="1FA3D27B" w14:textId="77777777" w:rsidR="00115A3E" w:rsidRPr="005F0419" w:rsidRDefault="00115A3E" w:rsidP="00115A3E">
      <w:pPr>
        <w:pStyle w:val="a9"/>
        <w:spacing w:before="0" w:beforeAutospacing="0" w:after="0" w:afterAutospacing="0" w:line="360" w:lineRule="auto"/>
        <w:ind w:firstLine="720"/>
        <w:jc w:val="both"/>
        <w:rPr>
          <w:rStyle w:val="rynqvb"/>
          <w:i/>
          <w:sz w:val="28"/>
          <w:szCs w:val="28"/>
          <w:lang w:val="uk-UA"/>
        </w:rPr>
      </w:pPr>
      <w:r w:rsidRPr="005F0419">
        <w:rPr>
          <w:rStyle w:val="rynqvb"/>
          <w:sz w:val="28"/>
          <w:szCs w:val="28"/>
          <w:lang w:val="uk-UA"/>
        </w:rPr>
        <w:t>У ключовій ідеї закладено принципи, яких компанія дотримується у побудові бізнес-процесів.</w:t>
      </w:r>
    </w:p>
    <w:p w14:paraId="6ACE8841" w14:textId="1C249E46" w:rsidR="00115A3E" w:rsidRPr="005F0419" w:rsidRDefault="00115A3E" w:rsidP="00115A3E">
      <w:pPr>
        <w:pStyle w:val="a9"/>
        <w:spacing w:before="0" w:beforeAutospacing="0" w:after="0" w:afterAutospacing="0" w:line="360" w:lineRule="auto"/>
        <w:ind w:firstLine="720"/>
        <w:jc w:val="both"/>
        <w:rPr>
          <w:rStyle w:val="hwtze"/>
          <w:sz w:val="28"/>
          <w:szCs w:val="28"/>
          <w:lang w:val="uk-UA"/>
        </w:rPr>
      </w:pPr>
      <w:r w:rsidRPr="005F0419">
        <w:rPr>
          <w:rStyle w:val="rynqvb"/>
          <w:i/>
          <w:sz w:val="28"/>
          <w:szCs w:val="28"/>
          <w:lang w:val="uk-UA"/>
        </w:rPr>
        <w:t>Інсайт</w:t>
      </w:r>
      <w:r w:rsidRPr="005F0419">
        <w:rPr>
          <w:rStyle w:val="rynqvb"/>
          <w:sz w:val="28"/>
          <w:szCs w:val="28"/>
          <w:lang w:val="uk-UA"/>
        </w:rPr>
        <w:t xml:space="preserve">. Джерело зростання бізнесу </w:t>
      </w:r>
      <w:r w:rsidR="00113886" w:rsidRPr="005F0419">
        <w:rPr>
          <w:rStyle w:val="rynqvb"/>
          <w:sz w:val="28"/>
          <w:szCs w:val="28"/>
          <w:lang w:val="uk-UA"/>
        </w:rPr>
        <w:t>–</w:t>
      </w:r>
      <w:r w:rsidRPr="005F0419">
        <w:rPr>
          <w:rStyle w:val="rynqvb"/>
          <w:sz w:val="28"/>
          <w:szCs w:val="28"/>
          <w:lang w:val="uk-UA"/>
        </w:rPr>
        <w:t xml:space="preserve"> це</w:t>
      </w:r>
      <w:r w:rsidR="00113886" w:rsidRPr="005F0419">
        <w:rPr>
          <w:rStyle w:val="rynqvb"/>
          <w:sz w:val="28"/>
          <w:szCs w:val="28"/>
          <w:lang w:val="uk-UA"/>
        </w:rPr>
        <w:t xml:space="preserve"> </w:t>
      </w:r>
      <w:r w:rsidRPr="005F0419">
        <w:rPr>
          <w:rStyle w:val="rynqvb"/>
          <w:sz w:val="28"/>
          <w:szCs w:val="28"/>
          <w:lang w:val="uk-UA"/>
        </w:rPr>
        <w:t xml:space="preserve">розуміння проблем людей, їх справжніх мотивів та почуттів, а також пошук </w:t>
      </w:r>
      <w:proofErr w:type="spellStart"/>
      <w:r w:rsidRPr="005F0419">
        <w:rPr>
          <w:rStyle w:val="rynqvb"/>
          <w:sz w:val="28"/>
          <w:szCs w:val="28"/>
          <w:lang w:val="uk-UA"/>
        </w:rPr>
        <w:t>інсайтів</w:t>
      </w:r>
      <w:proofErr w:type="spellEnd"/>
      <w:r w:rsidRPr="005F0419">
        <w:rPr>
          <w:rStyle w:val="rynqvb"/>
          <w:sz w:val="28"/>
          <w:szCs w:val="28"/>
          <w:lang w:val="uk-UA"/>
        </w:rPr>
        <w:t xml:space="preserve">. Хороший продукт повинен не лише вирішувати якусь проблему користувачів, а й знаходити їх глибші мотиви. Якщо знайти правильний інсайт, то це допоможе бренду </w:t>
      </w:r>
      <w:proofErr w:type="spellStart"/>
      <w:r w:rsidRPr="005F0419">
        <w:rPr>
          <w:rStyle w:val="rynqvb"/>
          <w:sz w:val="28"/>
          <w:szCs w:val="28"/>
          <w:lang w:val="uk-UA"/>
        </w:rPr>
        <w:t>релевантніше</w:t>
      </w:r>
      <w:proofErr w:type="spellEnd"/>
      <w:r w:rsidRPr="005F0419">
        <w:rPr>
          <w:rStyle w:val="rynqvb"/>
          <w:sz w:val="28"/>
          <w:szCs w:val="28"/>
          <w:lang w:val="uk-UA"/>
        </w:rPr>
        <w:t xml:space="preserve"> спілкуватися з користувачами, відрізнятися від конкурентів, надихати на нові маркетингові ходи та рішення.</w:t>
      </w:r>
      <w:r w:rsidRPr="005F0419">
        <w:rPr>
          <w:rStyle w:val="hwtze"/>
          <w:sz w:val="28"/>
          <w:szCs w:val="28"/>
          <w:lang w:val="uk-UA"/>
        </w:rPr>
        <w:t xml:space="preserve"> </w:t>
      </w:r>
      <w:r w:rsidRPr="005F0419">
        <w:rPr>
          <w:rStyle w:val="rynqvb"/>
          <w:sz w:val="28"/>
          <w:szCs w:val="28"/>
          <w:lang w:val="uk-UA"/>
        </w:rPr>
        <w:t>Створити інсайт потрібно за допомогою аналітики, інтерв'ю з людьми із цільової аудиторії.</w:t>
      </w:r>
      <w:r w:rsidRPr="005F0419">
        <w:rPr>
          <w:rStyle w:val="hwtze"/>
          <w:sz w:val="28"/>
          <w:szCs w:val="28"/>
          <w:lang w:val="uk-UA"/>
        </w:rPr>
        <w:t xml:space="preserve"> </w:t>
      </w:r>
    </w:p>
    <w:p w14:paraId="104E2213" w14:textId="190E6A29" w:rsidR="00115A3E" w:rsidRPr="005F0419" w:rsidRDefault="00115A3E" w:rsidP="00115A3E">
      <w:pPr>
        <w:pStyle w:val="a9"/>
        <w:spacing w:before="0" w:beforeAutospacing="0" w:after="0" w:afterAutospacing="0" w:line="360" w:lineRule="auto"/>
        <w:ind w:firstLine="720"/>
        <w:jc w:val="both"/>
        <w:rPr>
          <w:rStyle w:val="hwtze"/>
          <w:sz w:val="28"/>
          <w:szCs w:val="28"/>
          <w:lang w:val="uk-UA"/>
        </w:rPr>
      </w:pPr>
      <w:r w:rsidRPr="005F0419">
        <w:rPr>
          <w:rStyle w:val="rynqvb"/>
          <w:sz w:val="28"/>
          <w:szCs w:val="28"/>
          <w:lang w:val="uk-UA"/>
        </w:rPr>
        <w:t xml:space="preserve">У контексті комунікаційної стратегії інсайт </w:t>
      </w:r>
      <w:r w:rsidR="00213C3B" w:rsidRPr="005F0419">
        <w:rPr>
          <w:rStyle w:val="rynqvb"/>
          <w:sz w:val="28"/>
          <w:szCs w:val="28"/>
          <w:lang w:val="uk-UA"/>
        </w:rPr>
        <w:t>–</w:t>
      </w:r>
      <w:r w:rsidRPr="005F0419">
        <w:rPr>
          <w:rStyle w:val="rynqvb"/>
          <w:sz w:val="28"/>
          <w:szCs w:val="28"/>
          <w:lang w:val="uk-UA"/>
        </w:rPr>
        <w:t xml:space="preserve"> це</w:t>
      </w:r>
      <w:r w:rsidR="00213C3B" w:rsidRPr="005F0419">
        <w:rPr>
          <w:rStyle w:val="rynqvb"/>
          <w:sz w:val="28"/>
          <w:szCs w:val="28"/>
          <w:lang w:val="uk-UA"/>
        </w:rPr>
        <w:t xml:space="preserve"> </w:t>
      </w:r>
      <w:r w:rsidRPr="005F0419">
        <w:rPr>
          <w:rStyle w:val="rynqvb"/>
          <w:sz w:val="28"/>
          <w:szCs w:val="28"/>
          <w:lang w:val="uk-UA"/>
        </w:rPr>
        <w:t>дуже близька для споживача ситуація, яка описує актуальну для нього проблему та результат її вирішення. Інсайт необхідний для того, щоб задати правильне позиціонування компанії для клієнта. Він дозволяє будувати всі повідомлення бренду не від характеристик товару, а від глибинних потреб споживачів.</w:t>
      </w:r>
    </w:p>
    <w:p w14:paraId="207DDB24"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bCs/>
          <w:i/>
          <w:sz w:val="28"/>
          <w:szCs w:val="28"/>
          <w:lang w:val="uk-UA"/>
        </w:rPr>
        <w:t>Ключові повідомлення (меседж)</w:t>
      </w:r>
      <w:r w:rsidRPr="005F0419">
        <w:rPr>
          <w:bCs/>
          <w:sz w:val="28"/>
          <w:szCs w:val="28"/>
          <w:lang w:val="uk-UA"/>
        </w:rPr>
        <w:t xml:space="preserve"> </w:t>
      </w:r>
      <w:r w:rsidRPr="005F0419">
        <w:rPr>
          <w:sz w:val="28"/>
          <w:szCs w:val="28"/>
          <w:lang w:val="uk-UA"/>
        </w:rPr>
        <w:t xml:space="preserve">– твердження щодо цінностей організації чи проекту, які мають слугувати орієнтиром для організації комунікацій з цільовими аудиторіями. Меседжі (ключові повідомлення) висловлюють основні думки, які намагається донести організація чи команда проекту у спілкуванні зі своїми аудиторіями. Меседжі ґрунтуються на місії  і відображають очікування аудиторій. </w:t>
      </w:r>
    </w:p>
    <w:p w14:paraId="174CBC50"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Необхідно вказати на те, що для кожної цільової аудиторії необхідно формувати релевантні комунікаційні повідомлення.</w:t>
      </w:r>
      <w:r w:rsidRPr="005F0419">
        <w:rPr>
          <w:rStyle w:val="hwtze"/>
          <w:sz w:val="28"/>
          <w:szCs w:val="28"/>
          <w:lang w:val="uk-UA"/>
        </w:rPr>
        <w:t xml:space="preserve"> </w:t>
      </w:r>
      <w:r w:rsidRPr="005F0419">
        <w:rPr>
          <w:rStyle w:val="rynqvb"/>
          <w:sz w:val="28"/>
          <w:szCs w:val="28"/>
          <w:lang w:val="uk-UA"/>
        </w:rPr>
        <w:t>Це важливо враховувати і при трансляції цих повідомлень – для кожної цільової аудиторії зазвичай використовуються унікальні канали і формати комунікацій.</w:t>
      </w:r>
    </w:p>
    <w:p w14:paraId="75E1006E"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Отже, необхідно визначити основні теми та посилання, які ви хочете донести до вашої аудиторії, структурувати їх відповідно до інтересів та пріоритетів тих, до кого звертаєтесь.</w:t>
      </w:r>
    </w:p>
    <w:p w14:paraId="53DA8514"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lastRenderedPageBreak/>
        <w:t xml:space="preserve">Концепцію комунікаційної стратегії можна підсилити, використовуючи сучасні маркетингові інструменти, такі як </w:t>
      </w:r>
      <w:proofErr w:type="spellStart"/>
      <w:r w:rsidRPr="005F0419">
        <w:rPr>
          <w:rStyle w:val="hwtze"/>
          <w:sz w:val="28"/>
          <w:szCs w:val="28"/>
          <w:lang w:val="uk-UA"/>
        </w:rPr>
        <w:t>Т</w:t>
      </w:r>
      <w:r w:rsidRPr="005F0419">
        <w:rPr>
          <w:rStyle w:val="rynqvb"/>
          <w:sz w:val="28"/>
          <w:szCs w:val="28"/>
          <w:lang w:val="uk-UA"/>
        </w:rPr>
        <w:t>one</w:t>
      </w:r>
      <w:proofErr w:type="spellEnd"/>
      <w:r w:rsidRPr="005F0419">
        <w:rPr>
          <w:rStyle w:val="rynqvb"/>
          <w:sz w:val="28"/>
          <w:szCs w:val="28"/>
          <w:lang w:val="uk-UA"/>
        </w:rPr>
        <w:t xml:space="preserve"> </w:t>
      </w:r>
      <w:proofErr w:type="spellStart"/>
      <w:r w:rsidRPr="005F0419">
        <w:rPr>
          <w:rStyle w:val="rynqvb"/>
          <w:sz w:val="28"/>
          <w:szCs w:val="28"/>
          <w:lang w:val="uk-UA"/>
        </w:rPr>
        <w:t>of</w:t>
      </w:r>
      <w:proofErr w:type="spellEnd"/>
      <w:r w:rsidRPr="005F0419">
        <w:rPr>
          <w:rStyle w:val="rynqvb"/>
          <w:sz w:val="28"/>
          <w:szCs w:val="28"/>
          <w:lang w:val="uk-UA"/>
        </w:rPr>
        <w:t xml:space="preserve"> </w:t>
      </w:r>
      <w:proofErr w:type="spellStart"/>
      <w:r w:rsidRPr="005F0419">
        <w:rPr>
          <w:rStyle w:val="rynqvb"/>
          <w:sz w:val="28"/>
          <w:szCs w:val="28"/>
          <w:lang w:val="uk-UA"/>
        </w:rPr>
        <w:t>voice</w:t>
      </w:r>
      <w:proofErr w:type="spellEnd"/>
      <w:r w:rsidRPr="005F0419">
        <w:rPr>
          <w:rStyle w:val="rynqvb"/>
          <w:sz w:val="28"/>
          <w:szCs w:val="28"/>
          <w:lang w:val="uk-UA"/>
        </w:rPr>
        <w:t xml:space="preserve"> та архетип бренду. </w:t>
      </w:r>
    </w:p>
    <w:p w14:paraId="013039B2" w14:textId="695AD71B"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proofErr w:type="spellStart"/>
      <w:r w:rsidRPr="005F0419">
        <w:rPr>
          <w:rStyle w:val="hwtze"/>
          <w:i/>
          <w:sz w:val="28"/>
          <w:szCs w:val="28"/>
          <w:lang w:val="uk-UA"/>
        </w:rPr>
        <w:t>Т</w:t>
      </w:r>
      <w:r w:rsidRPr="005F0419">
        <w:rPr>
          <w:rStyle w:val="rynqvb"/>
          <w:i/>
          <w:sz w:val="28"/>
          <w:szCs w:val="28"/>
          <w:lang w:val="uk-UA"/>
        </w:rPr>
        <w:t>one</w:t>
      </w:r>
      <w:proofErr w:type="spellEnd"/>
      <w:r w:rsidRPr="005F0419">
        <w:rPr>
          <w:rStyle w:val="rynqvb"/>
          <w:i/>
          <w:sz w:val="28"/>
          <w:szCs w:val="28"/>
          <w:lang w:val="uk-UA"/>
        </w:rPr>
        <w:t xml:space="preserve"> </w:t>
      </w:r>
      <w:proofErr w:type="spellStart"/>
      <w:r w:rsidRPr="005F0419">
        <w:rPr>
          <w:rStyle w:val="rynqvb"/>
          <w:i/>
          <w:sz w:val="28"/>
          <w:szCs w:val="28"/>
          <w:lang w:val="uk-UA"/>
        </w:rPr>
        <w:t>of</w:t>
      </w:r>
      <w:proofErr w:type="spellEnd"/>
      <w:r w:rsidRPr="005F0419">
        <w:rPr>
          <w:rStyle w:val="rynqvb"/>
          <w:i/>
          <w:sz w:val="28"/>
          <w:szCs w:val="28"/>
          <w:lang w:val="uk-UA"/>
        </w:rPr>
        <w:t xml:space="preserve"> </w:t>
      </w:r>
      <w:proofErr w:type="spellStart"/>
      <w:r w:rsidRPr="005F0419">
        <w:rPr>
          <w:rStyle w:val="rynqvb"/>
          <w:i/>
          <w:sz w:val="28"/>
          <w:szCs w:val="28"/>
          <w:lang w:val="uk-UA"/>
        </w:rPr>
        <w:t>voice</w:t>
      </w:r>
      <w:proofErr w:type="spellEnd"/>
      <w:r w:rsidRPr="005F0419">
        <w:rPr>
          <w:rStyle w:val="rynqvb"/>
          <w:sz w:val="28"/>
          <w:szCs w:val="28"/>
          <w:lang w:val="uk-UA"/>
        </w:rPr>
        <w:t xml:space="preserve"> </w:t>
      </w:r>
      <w:r w:rsidR="00213C3B" w:rsidRPr="005F0419">
        <w:rPr>
          <w:rStyle w:val="rynqvb"/>
          <w:sz w:val="28"/>
          <w:szCs w:val="28"/>
          <w:lang w:val="uk-UA"/>
        </w:rPr>
        <w:t>–</w:t>
      </w:r>
      <w:r w:rsidRPr="005F0419">
        <w:rPr>
          <w:rStyle w:val="rynqvb"/>
          <w:sz w:val="28"/>
          <w:szCs w:val="28"/>
          <w:lang w:val="uk-UA"/>
        </w:rPr>
        <w:t xml:space="preserve"> це</w:t>
      </w:r>
      <w:r w:rsidR="00213C3B" w:rsidRPr="005F0419">
        <w:rPr>
          <w:rStyle w:val="rynqvb"/>
          <w:sz w:val="28"/>
          <w:szCs w:val="28"/>
          <w:lang w:val="uk-UA"/>
        </w:rPr>
        <w:t xml:space="preserve"> </w:t>
      </w:r>
      <w:r w:rsidRPr="005F0419">
        <w:rPr>
          <w:rStyle w:val="rynqvb"/>
          <w:sz w:val="28"/>
          <w:szCs w:val="28"/>
          <w:lang w:val="uk-UA"/>
        </w:rPr>
        <w:t>тональність, яку бренд використовує під час спілкування зі своєю аудиторією.</w:t>
      </w:r>
      <w:r w:rsidRPr="005F0419">
        <w:rPr>
          <w:rStyle w:val="hwtze"/>
          <w:sz w:val="28"/>
          <w:szCs w:val="28"/>
          <w:lang w:val="uk-UA"/>
        </w:rPr>
        <w:t xml:space="preserve"> Це </w:t>
      </w:r>
      <w:r w:rsidRPr="005F0419">
        <w:rPr>
          <w:rStyle w:val="rynqvb"/>
          <w:sz w:val="28"/>
          <w:szCs w:val="28"/>
          <w:lang w:val="uk-UA"/>
        </w:rPr>
        <w:t xml:space="preserve">стиль комунікацій, звучання бренду, яке простежується у всіх точках взаємодії з користувачем. </w:t>
      </w:r>
    </w:p>
    <w:p w14:paraId="32220495"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Вона складається з цінностей бренду (те, про що він говорить) та його особистості (як саме він це робить).</w:t>
      </w:r>
      <w:r w:rsidRPr="005F0419">
        <w:rPr>
          <w:rStyle w:val="hwtze"/>
          <w:sz w:val="28"/>
          <w:szCs w:val="28"/>
          <w:lang w:val="uk-UA"/>
        </w:rPr>
        <w:t xml:space="preserve"> </w:t>
      </w:r>
      <w:r w:rsidRPr="005F0419">
        <w:rPr>
          <w:rStyle w:val="rynqvb"/>
          <w:sz w:val="28"/>
          <w:szCs w:val="28"/>
          <w:lang w:val="uk-UA"/>
        </w:rPr>
        <w:t xml:space="preserve">Це набір правил, за якими бренд спілкується зі своєю аудиторією з різних каналів комунікації. </w:t>
      </w:r>
    </w:p>
    <w:p w14:paraId="5E169455" w14:textId="76A5A520"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i/>
          <w:sz w:val="28"/>
          <w:szCs w:val="28"/>
          <w:lang w:val="uk-UA"/>
        </w:rPr>
        <w:t>Архетип бренду</w:t>
      </w:r>
      <w:r w:rsidRPr="005F0419">
        <w:rPr>
          <w:rStyle w:val="rynqvb"/>
          <w:sz w:val="28"/>
          <w:szCs w:val="28"/>
          <w:lang w:val="uk-UA"/>
        </w:rPr>
        <w:t xml:space="preserve"> </w:t>
      </w:r>
      <w:r w:rsidR="00213C3B" w:rsidRPr="005F0419">
        <w:rPr>
          <w:rStyle w:val="rynqvb"/>
          <w:sz w:val="28"/>
          <w:szCs w:val="28"/>
          <w:lang w:val="uk-UA"/>
        </w:rPr>
        <w:t>–</w:t>
      </w:r>
      <w:r w:rsidRPr="005F0419">
        <w:rPr>
          <w:rStyle w:val="rynqvb"/>
          <w:sz w:val="28"/>
          <w:szCs w:val="28"/>
          <w:lang w:val="uk-UA"/>
        </w:rPr>
        <w:t xml:space="preserve"> це</w:t>
      </w:r>
      <w:r w:rsidR="00213C3B" w:rsidRPr="005F0419">
        <w:rPr>
          <w:rStyle w:val="rynqvb"/>
          <w:sz w:val="28"/>
          <w:szCs w:val="28"/>
          <w:lang w:val="uk-UA"/>
        </w:rPr>
        <w:t xml:space="preserve"> </w:t>
      </w:r>
      <w:r w:rsidRPr="005F0419">
        <w:rPr>
          <w:rStyle w:val="rynqvb"/>
          <w:sz w:val="28"/>
          <w:szCs w:val="28"/>
          <w:lang w:val="uk-UA"/>
        </w:rPr>
        <w:t xml:space="preserve">універсальний образ, сукупність певних якостей, характеристик, цінностей та </w:t>
      </w:r>
      <w:proofErr w:type="spellStart"/>
      <w:r w:rsidRPr="005F0419">
        <w:rPr>
          <w:rStyle w:val="rynqvb"/>
          <w:sz w:val="28"/>
          <w:szCs w:val="28"/>
          <w:lang w:val="uk-UA"/>
        </w:rPr>
        <w:t>патернів</w:t>
      </w:r>
      <w:proofErr w:type="spellEnd"/>
      <w:r w:rsidRPr="005F0419">
        <w:rPr>
          <w:rStyle w:val="rynqvb"/>
          <w:sz w:val="28"/>
          <w:szCs w:val="28"/>
          <w:lang w:val="uk-UA"/>
        </w:rPr>
        <w:t xml:space="preserve"> комунікації.</w:t>
      </w:r>
      <w:r w:rsidRPr="005F0419">
        <w:rPr>
          <w:rStyle w:val="hwtze"/>
          <w:sz w:val="28"/>
          <w:szCs w:val="28"/>
          <w:lang w:val="uk-UA"/>
        </w:rPr>
        <w:t xml:space="preserve"> </w:t>
      </w:r>
      <w:r w:rsidRPr="005F0419">
        <w:rPr>
          <w:rStyle w:val="rynqvb"/>
          <w:sz w:val="28"/>
          <w:szCs w:val="28"/>
          <w:lang w:val="uk-UA"/>
        </w:rPr>
        <w:t xml:space="preserve">Архетип визначає, як цільова аудиторія сприймає бренд, які емоції та очікування відчуває. </w:t>
      </w:r>
    </w:p>
    <w:p w14:paraId="23455BCE" w14:textId="393A4EA9"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Це частина комунікаційної стратегії, що визначає загальний напрямок комунікації.</w:t>
      </w:r>
      <w:r w:rsidRPr="005F0419">
        <w:rPr>
          <w:rStyle w:val="hwtze"/>
          <w:sz w:val="28"/>
          <w:szCs w:val="28"/>
          <w:lang w:val="uk-UA"/>
        </w:rPr>
        <w:t xml:space="preserve"> </w:t>
      </w:r>
      <w:r w:rsidRPr="005F0419">
        <w:rPr>
          <w:rStyle w:val="rynqvb"/>
          <w:sz w:val="28"/>
          <w:szCs w:val="28"/>
          <w:lang w:val="uk-UA"/>
        </w:rPr>
        <w:t>Робить її більш емоційною, впливовою на рівні підсвідомості і тому зрозумілою аудиторії.</w:t>
      </w:r>
      <w:r w:rsidRPr="005F0419">
        <w:rPr>
          <w:rStyle w:val="hwtze"/>
          <w:sz w:val="28"/>
          <w:szCs w:val="28"/>
          <w:lang w:val="uk-UA"/>
        </w:rPr>
        <w:t xml:space="preserve"> </w:t>
      </w:r>
      <w:r w:rsidRPr="005F0419">
        <w:rPr>
          <w:rStyle w:val="rynqvb"/>
          <w:sz w:val="28"/>
          <w:szCs w:val="28"/>
          <w:lang w:val="uk-UA"/>
        </w:rPr>
        <w:t>Це дозволяє підвищити впізнаван</w:t>
      </w:r>
      <w:r w:rsidR="00213C3B" w:rsidRPr="005F0419">
        <w:rPr>
          <w:rStyle w:val="rynqvb"/>
          <w:sz w:val="28"/>
          <w:szCs w:val="28"/>
          <w:lang w:val="uk-UA"/>
        </w:rPr>
        <w:t>ня</w:t>
      </w:r>
      <w:r w:rsidRPr="005F0419">
        <w:rPr>
          <w:rStyle w:val="rynqvb"/>
          <w:sz w:val="28"/>
          <w:szCs w:val="28"/>
          <w:lang w:val="uk-UA"/>
        </w:rPr>
        <w:t xml:space="preserve"> бренду та кількість лояльної аудиторії. На їх основі розробляються комунікаційні посилання та формат спілкування з аудиторією бренду, компанії чи продукту. </w:t>
      </w:r>
    </w:p>
    <w:p w14:paraId="36DFC49B"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Надзвичайно важливий елемент комунікаційної стратегії – це візуальне оформлення, стиль. Цей інструмент необхідний для створення іміджу компанії, її сприйняття цільовими аудиторіями. Правильно складені та послідовно застосовувані елементи візуальної ідентифікації створюють ідентичність, яка вважається професійною та заслуговує на довіру клієнта. </w:t>
      </w:r>
    </w:p>
    <w:p w14:paraId="53BF1730" w14:textId="316706ED" w:rsidR="00115A3E" w:rsidRPr="005F0419" w:rsidRDefault="00115A3E" w:rsidP="00213C3B">
      <w:pPr>
        <w:pStyle w:val="a9"/>
        <w:spacing w:before="0" w:beforeAutospacing="0" w:after="0" w:afterAutospacing="0" w:line="360" w:lineRule="auto"/>
        <w:ind w:firstLine="720"/>
        <w:jc w:val="both"/>
        <w:rPr>
          <w:rStyle w:val="hwtze"/>
          <w:sz w:val="28"/>
          <w:szCs w:val="28"/>
          <w:lang w:val="uk-UA"/>
        </w:rPr>
      </w:pPr>
      <w:r w:rsidRPr="005F0419">
        <w:rPr>
          <w:rStyle w:val="rynqvb"/>
          <w:sz w:val="28"/>
          <w:szCs w:val="28"/>
          <w:lang w:val="uk-UA"/>
        </w:rPr>
        <w:t>Це набір візуальних елементів, який складається з: фірмового знак</w:t>
      </w:r>
      <w:r w:rsidR="00496B0B">
        <w:rPr>
          <w:rStyle w:val="rynqvb"/>
          <w:sz w:val="28"/>
          <w:szCs w:val="28"/>
          <w:lang w:val="uk-UA"/>
        </w:rPr>
        <w:t>у</w:t>
      </w:r>
      <w:r w:rsidRPr="005F0419">
        <w:rPr>
          <w:rStyle w:val="rynqvb"/>
          <w:sz w:val="28"/>
          <w:szCs w:val="28"/>
          <w:lang w:val="uk-UA"/>
        </w:rPr>
        <w:t xml:space="preserve"> (логотипу), кольорів, візуального ключа, </w:t>
      </w:r>
      <w:r w:rsidRPr="005F0419">
        <w:rPr>
          <w:rStyle w:val="hwtze"/>
          <w:sz w:val="28"/>
          <w:szCs w:val="28"/>
          <w:lang w:val="uk-UA"/>
        </w:rPr>
        <w:t xml:space="preserve">стилю оформлення документів або інтернет-ресурсів, шрифтів, бренд буку тощо. </w:t>
      </w:r>
      <w:r w:rsidRPr="005F0419">
        <w:rPr>
          <w:rStyle w:val="rynqvb"/>
          <w:bCs/>
          <w:sz w:val="28"/>
          <w:szCs w:val="28"/>
          <w:lang w:val="uk-UA"/>
        </w:rPr>
        <w:t>Ці елементи мають бути послідовними та відображати ідентичність бренду – його історію, ідею, характер галузі та її відмінні риси від конкурентів.</w:t>
      </w:r>
      <w:r w:rsidRPr="005F0419">
        <w:rPr>
          <w:rStyle w:val="hwtze"/>
          <w:bCs/>
          <w:sz w:val="28"/>
          <w:szCs w:val="28"/>
          <w:lang w:val="uk-UA"/>
        </w:rPr>
        <w:t xml:space="preserve"> </w:t>
      </w:r>
      <w:r w:rsidRPr="005F0419">
        <w:rPr>
          <w:rStyle w:val="rynqvb"/>
          <w:bCs/>
          <w:sz w:val="28"/>
          <w:szCs w:val="28"/>
          <w:lang w:val="uk-UA"/>
        </w:rPr>
        <w:t>Основна мета – полегшити клієнтам розпізнавання бренду на основі його візуального представлення  [13].</w:t>
      </w:r>
      <w:r w:rsidRPr="005F0419">
        <w:rPr>
          <w:rStyle w:val="hwtze"/>
          <w:bCs/>
          <w:sz w:val="28"/>
          <w:szCs w:val="28"/>
          <w:lang w:val="uk-UA"/>
        </w:rPr>
        <w:t xml:space="preserve"> </w:t>
      </w:r>
    </w:p>
    <w:p w14:paraId="7DAE5EAC" w14:textId="77777777" w:rsidR="00496B0B" w:rsidRDefault="00115A3E" w:rsidP="00115A3E">
      <w:pPr>
        <w:pStyle w:val="a9"/>
        <w:spacing w:before="0" w:beforeAutospacing="0" w:after="0" w:afterAutospacing="0" w:line="360" w:lineRule="auto"/>
        <w:ind w:firstLine="720"/>
        <w:jc w:val="both"/>
        <w:rPr>
          <w:rStyle w:val="hwtze"/>
          <w:sz w:val="28"/>
          <w:szCs w:val="28"/>
          <w:lang w:val="uk-UA"/>
        </w:rPr>
      </w:pPr>
      <w:r w:rsidRPr="005F0419">
        <w:rPr>
          <w:rStyle w:val="hwtze"/>
          <w:sz w:val="28"/>
          <w:szCs w:val="28"/>
          <w:lang w:val="uk-UA"/>
        </w:rPr>
        <w:t xml:space="preserve">Все це дозволяє сформувати </w:t>
      </w:r>
      <w:r w:rsidRPr="005F0419">
        <w:rPr>
          <w:rStyle w:val="rynqvb"/>
          <w:sz w:val="28"/>
          <w:szCs w:val="28"/>
          <w:lang w:val="uk-UA"/>
        </w:rPr>
        <w:t xml:space="preserve">набір найбільш ефективних каналів, </w:t>
      </w:r>
      <w:proofErr w:type="spellStart"/>
      <w:r w:rsidRPr="005F0419">
        <w:rPr>
          <w:rStyle w:val="rynqvb"/>
          <w:sz w:val="28"/>
          <w:szCs w:val="28"/>
          <w:lang w:val="uk-UA"/>
        </w:rPr>
        <w:t>тематик</w:t>
      </w:r>
      <w:proofErr w:type="spellEnd"/>
      <w:r w:rsidRPr="005F0419">
        <w:rPr>
          <w:rStyle w:val="rynqvb"/>
          <w:sz w:val="28"/>
          <w:szCs w:val="28"/>
          <w:lang w:val="uk-UA"/>
        </w:rPr>
        <w:t>, форматів та інструментів, які здатні донести необхідну інформацію до аудиторій, для яких вона призначається.</w:t>
      </w:r>
      <w:r w:rsidRPr="005F0419">
        <w:rPr>
          <w:rStyle w:val="hwtze"/>
          <w:sz w:val="28"/>
          <w:szCs w:val="28"/>
          <w:lang w:val="uk-UA"/>
        </w:rPr>
        <w:t xml:space="preserve"> </w:t>
      </w:r>
    </w:p>
    <w:p w14:paraId="64E971AA" w14:textId="58819141"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hwtze"/>
          <w:sz w:val="28"/>
          <w:szCs w:val="28"/>
          <w:lang w:val="uk-UA"/>
        </w:rPr>
        <w:lastRenderedPageBreak/>
        <w:t>У підсумку може бути сформована комунікаційна матриця, яка являє собою систематизацію і структурування</w:t>
      </w:r>
      <w:r w:rsidRPr="005F0419">
        <w:rPr>
          <w:rStyle w:val="rynqvb"/>
          <w:sz w:val="28"/>
          <w:szCs w:val="28"/>
          <w:lang w:val="uk-UA"/>
        </w:rPr>
        <w:t xml:space="preserve"> ключових повідомлень, цільових аудиторій, каналів і форматів, а також того результату, який має бути досягнутий у результаті реалізації стратегії. </w:t>
      </w:r>
    </w:p>
    <w:p w14:paraId="3C7851CF" w14:textId="7CF8F208"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i/>
          <w:sz w:val="28"/>
          <w:szCs w:val="28"/>
          <w:lang w:val="uk-UA"/>
        </w:rPr>
        <w:t>Канали комунікацій</w:t>
      </w:r>
      <w:r w:rsidR="00213C3B" w:rsidRPr="005F0419">
        <w:rPr>
          <w:bCs/>
          <w:i/>
          <w:sz w:val="28"/>
          <w:szCs w:val="28"/>
          <w:lang w:val="uk-UA"/>
        </w:rPr>
        <w:t xml:space="preserve"> </w:t>
      </w:r>
      <w:r w:rsidR="00213C3B" w:rsidRPr="005F0419">
        <w:rPr>
          <w:bCs/>
          <w:sz w:val="28"/>
          <w:szCs w:val="28"/>
          <w:lang w:val="uk-UA"/>
        </w:rPr>
        <w:t>–</w:t>
      </w:r>
      <w:r w:rsidRPr="005F0419">
        <w:rPr>
          <w:bCs/>
          <w:sz w:val="28"/>
          <w:szCs w:val="28"/>
          <w:lang w:val="uk-UA"/>
        </w:rPr>
        <w:t xml:space="preserve"> це</w:t>
      </w:r>
      <w:r w:rsidR="00213C3B" w:rsidRPr="005F0419">
        <w:rPr>
          <w:bCs/>
          <w:sz w:val="28"/>
          <w:szCs w:val="28"/>
          <w:lang w:val="uk-UA"/>
        </w:rPr>
        <w:t xml:space="preserve"> </w:t>
      </w:r>
      <w:r w:rsidRPr="005F0419">
        <w:rPr>
          <w:bCs/>
          <w:sz w:val="28"/>
          <w:szCs w:val="28"/>
          <w:lang w:val="uk-UA"/>
        </w:rPr>
        <w:t>засіб або технологія, за допомогою якою цільова аудиторія отримує інформацію від підприємства чи проекту.</w:t>
      </w:r>
    </w:p>
    <w:p w14:paraId="2DADFAD4" w14:textId="77777777" w:rsidR="00213C3B" w:rsidRPr="005F0419" w:rsidRDefault="00115A3E" w:rsidP="00213C3B">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Кількість каналів комунікації у суспільстві зростає в геометричної прогресії.</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Насамперед це пов'язано зі збільшенням числа гаджетів, удосконалення онлайн мереж комунікації. При виборі комунікаційних каналів просування необхідно розглянути 2 показники: </w:t>
      </w:r>
    </w:p>
    <w:p w14:paraId="392661ED" w14:textId="3DB73634" w:rsidR="00213C3B" w:rsidRPr="005F0419" w:rsidRDefault="00213C3B" w:rsidP="00213C3B">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w:t>
      </w:r>
      <w:r w:rsidR="00115A3E" w:rsidRPr="005F0419">
        <w:rPr>
          <w:rStyle w:val="rynqvb"/>
          <w:rFonts w:ascii="Times New Roman" w:hAnsi="Times New Roman" w:cs="Times New Roman"/>
          <w:sz w:val="28"/>
          <w:szCs w:val="28"/>
          <w:lang w:val="uk-UA"/>
        </w:rPr>
        <w:t>можливість каналу вирішити поставлені цілі комунікації;</w:t>
      </w:r>
    </w:p>
    <w:p w14:paraId="74ECCCCE" w14:textId="74B9FD45" w:rsidR="00115A3E" w:rsidRPr="005F0419" w:rsidRDefault="00213C3B" w:rsidP="00213C3B">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w:t>
      </w:r>
      <w:r w:rsidR="00115A3E" w:rsidRPr="005F0419">
        <w:rPr>
          <w:rStyle w:val="rynqvb"/>
          <w:rFonts w:ascii="Times New Roman" w:hAnsi="Times New Roman" w:cs="Times New Roman"/>
          <w:sz w:val="28"/>
          <w:szCs w:val="28"/>
          <w:lang w:val="uk-UA"/>
        </w:rPr>
        <w:t xml:space="preserve">вартість каналу з погляду доступності та окупності інвестицій. </w:t>
      </w:r>
    </w:p>
    <w:p w14:paraId="3B79E649" w14:textId="29BBDE9E"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Можливі канали для внутрішніх комунікацій представлені на рис. 5. </w:t>
      </w:r>
    </w:p>
    <w:p w14:paraId="4E844447" w14:textId="77777777" w:rsidR="00115A3E" w:rsidRPr="005F0419" w:rsidRDefault="00115A3E" w:rsidP="00496B0B">
      <w:pPr>
        <w:pStyle w:val="a9"/>
        <w:spacing w:before="0" w:beforeAutospacing="0" w:after="0" w:afterAutospacing="0" w:line="360" w:lineRule="auto"/>
        <w:jc w:val="both"/>
        <w:rPr>
          <w:sz w:val="28"/>
          <w:szCs w:val="28"/>
          <w:lang w:val="uk-UA"/>
        </w:rPr>
      </w:pPr>
      <w:r w:rsidRPr="005F0419">
        <w:rPr>
          <w:noProof/>
          <w:sz w:val="28"/>
          <w:szCs w:val="28"/>
          <w:lang w:val="uk-UA"/>
        </w:rPr>
        <w:drawing>
          <wp:inline distT="0" distB="0" distL="0" distR="0" wp14:anchorId="1F3DB9FE" wp14:editId="6AC96885">
            <wp:extent cx="6324600" cy="4343400"/>
            <wp:effectExtent l="0" t="0" r="19050" b="19050"/>
            <wp:docPr id="145" name="Схема 14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3" r:lo="rId114" r:qs="rId115" r:cs="rId116"/>
              </a:graphicData>
            </a:graphic>
          </wp:inline>
        </w:drawing>
      </w:r>
    </w:p>
    <w:p w14:paraId="433C35C1" w14:textId="32C7E528" w:rsidR="00115A3E" w:rsidRPr="005F0419" w:rsidRDefault="00115A3E" w:rsidP="00115A3E">
      <w:pPr>
        <w:pStyle w:val="a9"/>
        <w:spacing w:before="0" w:beforeAutospacing="0" w:after="0" w:afterAutospacing="0" w:line="360" w:lineRule="auto"/>
        <w:ind w:firstLine="720"/>
        <w:jc w:val="center"/>
        <w:rPr>
          <w:sz w:val="28"/>
          <w:szCs w:val="28"/>
          <w:lang w:val="uk-UA"/>
        </w:rPr>
      </w:pPr>
      <w:r w:rsidRPr="005F0419">
        <w:rPr>
          <w:sz w:val="28"/>
          <w:szCs w:val="28"/>
          <w:lang w:val="uk-UA"/>
        </w:rPr>
        <w:t>Рис. 5. Канали внутрішніх комунікацій</w:t>
      </w:r>
    </w:p>
    <w:p w14:paraId="07E27766" w14:textId="77777777" w:rsidR="00213C3B" w:rsidRPr="005F0419" w:rsidRDefault="00213C3B" w:rsidP="00213C3B">
      <w:pPr>
        <w:pStyle w:val="a9"/>
        <w:spacing w:before="0" w:beforeAutospacing="0" w:after="0" w:afterAutospacing="0" w:line="360" w:lineRule="auto"/>
        <w:ind w:firstLine="720"/>
        <w:rPr>
          <w:sz w:val="28"/>
          <w:szCs w:val="28"/>
          <w:lang w:val="uk-UA"/>
        </w:rPr>
      </w:pPr>
      <w:r w:rsidRPr="005F0419">
        <w:rPr>
          <w:sz w:val="28"/>
          <w:szCs w:val="28"/>
          <w:lang w:val="uk-UA"/>
        </w:rPr>
        <w:t>Джерело: сформовано автором.</w:t>
      </w:r>
    </w:p>
    <w:p w14:paraId="4BBB9E9E" w14:textId="77777777" w:rsidR="00496B0B" w:rsidRPr="005F0419" w:rsidRDefault="00496B0B" w:rsidP="00496B0B">
      <w:pPr>
        <w:pStyle w:val="a9"/>
        <w:spacing w:before="0" w:beforeAutospacing="0" w:after="0" w:afterAutospacing="0" w:line="360" w:lineRule="auto"/>
        <w:ind w:firstLine="720"/>
        <w:jc w:val="both"/>
        <w:rPr>
          <w:bCs/>
          <w:sz w:val="28"/>
          <w:szCs w:val="28"/>
          <w:lang w:val="uk-UA"/>
        </w:rPr>
      </w:pPr>
      <w:r w:rsidRPr="005F0419">
        <w:rPr>
          <w:bCs/>
          <w:sz w:val="28"/>
          <w:szCs w:val="28"/>
          <w:lang w:val="uk-UA"/>
        </w:rPr>
        <w:lastRenderedPageBreak/>
        <w:t>Можливі канали для зовнішніх комунікацій з цільовими аудиторіями представлені на рис. 6.</w:t>
      </w:r>
    </w:p>
    <w:p w14:paraId="630BFEEA"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noProof/>
          <w:sz w:val="28"/>
          <w:szCs w:val="28"/>
          <w:lang w:val="uk-UA"/>
        </w:rPr>
        <w:drawing>
          <wp:inline distT="0" distB="0" distL="0" distR="0" wp14:anchorId="25279478" wp14:editId="1C995D03">
            <wp:extent cx="5368925" cy="4482548"/>
            <wp:effectExtent l="38100" t="0" r="60325" b="13335"/>
            <wp:docPr id="146" name="Схема 1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8" r:lo="rId119" r:qs="rId120" r:cs="rId121"/>
              </a:graphicData>
            </a:graphic>
          </wp:inline>
        </w:drawing>
      </w:r>
    </w:p>
    <w:p w14:paraId="3CA01FB5" w14:textId="73B7FAC0" w:rsidR="00115A3E" w:rsidRPr="005F0419" w:rsidRDefault="00115A3E" w:rsidP="00115A3E">
      <w:pPr>
        <w:pStyle w:val="a9"/>
        <w:spacing w:before="0" w:beforeAutospacing="0" w:after="0" w:afterAutospacing="0" w:line="360" w:lineRule="auto"/>
        <w:ind w:firstLine="720"/>
        <w:jc w:val="center"/>
        <w:rPr>
          <w:sz w:val="28"/>
          <w:szCs w:val="28"/>
          <w:lang w:val="uk-UA"/>
        </w:rPr>
      </w:pPr>
      <w:r w:rsidRPr="005F0419">
        <w:rPr>
          <w:sz w:val="28"/>
          <w:szCs w:val="28"/>
          <w:lang w:val="uk-UA"/>
        </w:rPr>
        <w:t>Рис. 6. Канали зовнішніх комунікацій</w:t>
      </w:r>
    </w:p>
    <w:p w14:paraId="6153A0CD" w14:textId="77777777" w:rsidR="00213C3B" w:rsidRPr="005F0419" w:rsidRDefault="00213C3B" w:rsidP="00213C3B">
      <w:pPr>
        <w:pStyle w:val="a9"/>
        <w:spacing w:before="0" w:beforeAutospacing="0" w:after="0" w:afterAutospacing="0" w:line="360" w:lineRule="auto"/>
        <w:ind w:firstLine="720"/>
        <w:rPr>
          <w:sz w:val="28"/>
          <w:szCs w:val="28"/>
          <w:lang w:val="uk-UA"/>
        </w:rPr>
      </w:pPr>
      <w:r w:rsidRPr="005F0419">
        <w:rPr>
          <w:sz w:val="28"/>
          <w:szCs w:val="28"/>
          <w:lang w:val="uk-UA"/>
        </w:rPr>
        <w:t>Джерело: сформовано автором.</w:t>
      </w:r>
    </w:p>
    <w:p w14:paraId="65ED3373"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p>
    <w:p w14:paraId="57DBB4AB"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На етапі вибору каналів комунікації, необхідна аналітична інформація щодо комунікаційних кампаній, які були реалізовані раніше організацією, їх ключових складових та ефективності.</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Ця інформація допоможе врахувати попередній досвід, уникнути помилок та вибрати дійсно ефективні канали комунікації.</w:t>
      </w:r>
    </w:p>
    <w:p w14:paraId="22AEE18F"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Процес вибору каналів комунікацій складається із трьох послідовних етапів: </w:t>
      </w:r>
    </w:p>
    <w:p w14:paraId="2A0FF1D5"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1. Визначення всіх можливостей для комунікації. </w:t>
      </w:r>
    </w:p>
    <w:p w14:paraId="40BD4BC6"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2. Виділення обов'язкових та другорядних каналів просування, адже кожен канал комунікації призначений для вирішення різних завдань. </w:t>
      </w:r>
    </w:p>
    <w:p w14:paraId="3910CB23"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lastRenderedPageBreak/>
        <w:t xml:space="preserve">3. Вибір каналів комунікації у відповідності до концепції та потреб цільових аудиторій. </w:t>
      </w:r>
    </w:p>
    <w:p w14:paraId="544DE03F"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Вибір конкретних каналів </w:t>
      </w:r>
      <w:proofErr w:type="spellStart"/>
      <w:r w:rsidRPr="005F0419">
        <w:rPr>
          <w:rStyle w:val="rynqvb"/>
          <w:sz w:val="28"/>
          <w:szCs w:val="28"/>
          <w:lang w:val="uk-UA"/>
        </w:rPr>
        <w:t>залежатиме</w:t>
      </w:r>
      <w:proofErr w:type="spellEnd"/>
      <w:r w:rsidRPr="005F0419">
        <w:rPr>
          <w:rStyle w:val="rynqvb"/>
          <w:sz w:val="28"/>
          <w:szCs w:val="28"/>
          <w:lang w:val="uk-UA"/>
        </w:rPr>
        <w:t xml:space="preserve"> від цілей комунікаційної стратегії. Важливо і необхідно знайти такі канали, які дозволять максимально охопити цільову аудиторію та здійснити цільовий контакт, який буде забезпечувати високу залученість і готовність цільової аудиторії сприймати повідомлення бренду; максимальне охоплення аудиторії у поєднанні з високою швидкістю доставки меседжів та прийнятним обсягом витрат на проведення кампаній [6].</w:t>
      </w:r>
    </w:p>
    <w:p w14:paraId="4AA0A541"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rStyle w:val="rynqvb"/>
          <w:sz w:val="28"/>
          <w:szCs w:val="28"/>
          <w:lang w:val="uk-UA"/>
        </w:rPr>
        <w:t xml:space="preserve">Перелік обраних каналів комунікацій має бути оптимальним та  узгоджуватися з місією та завданнями стратегії. </w:t>
      </w:r>
      <w:r w:rsidRPr="005F0419">
        <w:rPr>
          <w:rStyle w:val="hwtze"/>
          <w:sz w:val="28"/>
          <w:szCs w:val="28"/>
          <w:lang w:val="uk-UA"/>
        </w:rPr>
        <w:t xml:space="preserve"> </w:t>
      </w:r>
      <w:r w:rsidRPr="005F0419">
        <w:rPr>
          <w:rStyle w:val="rynqvb"/>
          <w:sz w:val="28"/>
          <w:szCs w:val="28"/>
          <w:lang w:val="uk-UA"/>
        </w:rPr>
        <w:t>Канали комунікацій повинні регулярно переглядатись і за необхідності розширюватись.</w:t>
      </w:r>
    </w:p>
    <w:p w14:paraId="5B329224" w14:textId="77777777" w:rsidR="00213C3B" w:rsidRPr="005F0419" w:rsidRDefault="00115A3E" w:rsidP="00115A3E">
      <w:pPr>
        <w:pStyle w:val="a9"/>
        <w:spacing w:before="0" w:beforeAutospacing="0" w:after="0" w:afterAutospacing="0" w:line="360" w:lineRule="auto"/>
        <w:ind w:firstLine="720"/>
        <w:jc w:val="both"/>
        <w:rPr>
          <w:sz w:val="28"/>
          <w:szCs w:val="28"/>
          <w:lang w:val="uk-UA"/>
        </w:rPr>
      </w:pPr>
      <w:r w:rsidRPr="005F0419">
        <w:rPr>
          <w:bCs/>
          <w:i/>
          <w:sz w:val="28"/>
          <w:szCs w:val="28"/>
          <w:lang w:val="uk-UA"/>
        </w:rPr>
        <w:t>Види контенту</w:t>
      </w:r>
      <w:r w:rsidRPr="005F0419">
        <w:rPr>
          <w:sz w:val="28"/>
          <w:szCs w:val="28"/>
          <w:lang w:val="uk-UA"/>
        </w:rPr>
        <w:tab/>
      </w:r>
    </w:p>
    <w:p w14:paraId="27CD399E" w14:textId="77777777" w:rsidR="00213C3B" w:rsidRPr="005F0419" w:rsidRDefault="00115A3E" w:rsidP="00213C3B">
      <w:pPr>
        <w:pStyle w:val="a9"/>
        <w:spacing w:before="0" w:beforeAutospacing="0" w:after="0" w:afterAutospacing="0" w:line="360" w:lineRule="auto"/>
        <w:ind w:firstLine="720"/>
        <w:jc w:val="both"/>
        <w:rPr>
          <w:rStyle w:val="hwtze"/>
          <w:sz w:val="28"/>
          <w:szCs w:val="28"/>
          <w:lang w:val="uk-UA"/>
        </w:rPr>
      </w:pPr>
      <w:r w:rsidRPr="005F0419">
        <w:rPr>
          <w:sz w:val="28"/>
          <w:szCs w:val="28"/>
          <w:lang w:val="uk-UA"/>
        </w:rPr>
        <w:t xml:space="preserve">Сьогодні для позначення інформації, яка транслюється через </w:t>
      </w:r>
      <w:proofErr w:type="spellStart"/>
      <w:r w:rsidRPr="005F0419">
        <w:rPr>
          <w:sz w:val="28"/>
          <w:szCs w:val="28"/>
          <w:lang w:val="uk-UA"/>
        </w:rPr>
        <w:t>канли</w:t>
      </w:r>
      <w:proofErr w:type="spellEnd"/>
      <w:r w:rsidRPr="005F0419">
        <w:rPr>
          <w:sz w:val="28"/>
          <w:szCs w:val="28"/>
          <w:lang w:val="uk-UA"/>
        </w:rPr>
        <w:t xml:space="preserve"> комунікацій часто використовується термін «контент». Тобто це дані, інформація, яку транслює організація чи команда проекту для своєї цільової аудиторії.</w:t>
      </w:r>
      <w:r w:rsidR="00213C3B" w:rsidRPr="005F0419">
        <w:rPr>
          <w:sz w:val="28"/>
          <w:szCs w:val="28"/>
          <w:lang w:val="uk-UA"/>
        </w:rPr>
        <w:t xml:space="preserve"> </w:t>
      </w:r>
      <w:r w:rsidRPr="005F0419">
        <w:rPr>
          <w:rStyle w:val="rynqvb"/>
          <w:sz w:val="28"/>
          <w:szCs w:val="28"/>
          <w:lang w:val="uk-UA"/>
        </w:rPr>
        <w:t>Щоб донести необхідну інформацію, потрібно розрізняти її різновиди (рис. 7).</w:t>
      </w:r>
      <w:r w:rsidRPr="005F0419">
        <w:rPr>
          <w:rStyle w:val="hwtze"/>
          <w:sz w:val="28"/>
          <w:szCs w:val="28"/>
          <w:lang w:val="uk-UA"/>
        </w:rPr>
        <w:t xml:space="preserve"> </w:t>
      </w:r>
    </w:p>
    <w:p w14:paraId="190D22FF" w14:textId="2C906DDC" w:rsidR="00115A3E" w:rsidRPr="005F0419" w:rsidRDefault="00115A3E" w:rsidP="00213C3B">
      <w:pPr>
        <w:pStyle w:val="a9"/>
        <w:spacing w:before="0" w:beforeAutospacing="0" w:after="0" w:afterAutospacing="0" w:line="360" w:lineRule="auto"/>
        <w:ind w:firstLine="720"/>
        <w:jc w:val="both"/>
        <w:rPr>
          <w:rStyle w:val="rynqvb"/>
          <w:b/>
          <w:sz w:val="28"/>
          <w:szCs w:val="28"/>
          <w:lang w:val="uk-UA"/>
        </w:rPr>
      </w:pPr>
      <w:r w:rsidRPr="005F0419">
        <w:rPr>
          <w:rStyle w:val="rynqvb"/>
          <w:sz w:val="28"/>
          <w:szCs w:val="28"/>
          <w:lang w:val="uk-UA"/>
        </w:rPr>
        <w:t>Такий підхід дозволить тісно взаємодіяти з аудиторією на різних каналах у правильному форматі, правильно розставляти акценти.</w:t>
      </w:r>
      <w:r w:rsidR="00213C3B" w:rsidRPr="005F0419">
        <w:rPr>
          <w:rStyle w:val="rynqvb"/>
          <w:sz w:val="28"/>
          <w:szCs w:val="28"/>
          <w:lang w:val="uk-UA"/>
        </w:rPr>
        <w:t xml:space="preserve"> </w:t>
      </w:r>
      <w:r w:rsidRPr="005F0419">
        <w:rPr>
          <w:rStyle w:val="rynqvb"/>
          <w:sz w:val="28"/>
          <w:szCs w:val="28"/>
          <w:lang w:val="uk-UA"/>
        </w:rPr>
        <w:t>Різні типи контенту можна комбінувати та чергувати, що дозволить тримати компанію чи проект у фокусі у цільових груп, підігрівати інтерес.</w:t>
      </w:r>
    </w:p>
    <w:p w14:paraId="1EE85107" w14:textId="77777777" w:rsidR="00213C3B" w:rsidRPr="005F0419" w:rsidRDefault="00115A3E" w:rsidP="00213C3B">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i/>
          <w:sz w:val="28"/>
          <w:szCs w:val="28"/>
          <w:lang w:val="uk-UA"/>
        </w:rPr>
        <w:t>Інформаційний контент</w:t>
      </w:r>
      <w:r w:rsidRPr="005F0419">
        <w:rPr>
          <w:rStyle w:val="rynqvb"/>
          <w:rFonts w:ascii="Times New Roman" w:hAnsi="Times New Roman" w:cs="Times New Roman"/>
          <w:sz w:val="28"/>
          <w:szCs w:val="28"/>
          <w:lang w:val="uk-UA"/>
        </w:rPr>
        <w:t>. Головне його завдання – завоювати довіру та увагу цільових аудиторій.</w:t>
      </w:r>
      <w:r w:rsidRPr="005F0419">
        <w:rPr>
          <w:rStyle w:val="hwtze"/>
          <w:rFonts w:ascii="Times New Roman" w:hAnsi="Times New Roman" w:cs="Times New Roman"/>
          <w:sz w:val="28"/>
          <w:szCs w:val="28"/>
          <w:lang w:val="uk-UA"/>
        </w:rPr>
        <w:t xml:space="preserve"> Саме т</w:t>
      </w:r>
      <w:r w:rsidRPr="005F0419">
        <w:rPr>
          <w:rStyle w:val="rynqvb"/>
          <w:rFonts w:ascii="Times New Roman" w:hAnsi="Times New Roman" w:cs="Times New Roman"/>
          <w:sz w:val="28"/>
          <w:szCs w:val="28"/>
          <w:lang w:val="uk-UA"/>
        </w:rPr>
        <w:t xml:space="preserve">ому даний тип інформації повинен займати не менше половини всього контенту. Інформаційний контент </w:t>
      </w:r>
      <w:r w:rsidR="00213C3B" w:rsidRPr="005F0419">
        <w:rPr>
          <w:rStyle w:val="rynqvb"/>
          <w:rFonts w:ascii="Times New Roman" w:hAnsi="Times New Roman" w:cs="Times New Roman"/>
          <w:sz w:val="28"/>
          <w:szCs w:val="28"/>
          <w:lang w:val="uk-UA"/>
        </w:rPr>
        <w:t>–</w:t>
      </w:r>
      <w:r w:rsidRPr="005F0419">
        <w:rPr>
          <w:rStyle w:val="rynqvb"/>
          <w:rFonts w:ascii="Times New Roman" w:hAnsi="Times New Roman" w:cs="Times New Roman"/>
          <w:sz w:val="28"/>
          <w:szCs w:val="28"/>
          <w:lang w:val="uk-UA"/>
        </w:rPr>
        <w:t xml:space="preserve"> достовірна</w:t>
      </w:r>
      <w:r w:rsidR="00213C3B" w:rsidRPr="005F0419">
        <w:rPr>
          <w:rStyle w:val="rynqvb"/>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інформація про вашу діяльність чи продукт.</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Це може бути історія вашої компанії або проекту, успіхи та досягнення, інформація про працівників, переваги та корисність продукції чи послуг, їх основні характеристики, новини, корисні новинки та майстер-класи, експертні огляди, думки фахівців, прогнози,  тренди та огляди. Інформаційні матеріали повинні бути корисними для </w:t>
      </w:r>
      <w:proofErr w:type="spellStart"/>
      <w:r w:rsidRPr="005F0419">
        <w:rPr>
          <w:rStyle w:val="rynqvb"/>
          <w:rFonts w:ascii="Times New Roman" w:hAnsi="Times New Roman" w:cs="Times New Roman"/>
          <w:sz w:val="28"/>
          <w:szCs w:val="28"/>
          <w:lang w:val="uk-UA"/>
        </w:rPr>
        <w:t>стейкхолдерів</w:t>
      </w:r>
      <w:proofErr w:type="spellEnd"/>
      <w:r w:rsidRPr="005F0419">
        <w:rPr>
          <w:rStyle w:val="rynqvb"/>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lastRenderedPageBreak/>
        <w:t xml:space="preserve">формувати думку про організацію чи учасників проекту як про експертів у своїй галузі. </w:t>
      </w:r>
    </w:p>
    <w:p w14:paraId="1C9BFAC9" w14:textId="77777777" w:rsidR="00213C3B" w:rsidRPr="005F0419" w:rsidRDefault="00213C3B" w:rsidP="00213C3B">
      <w:pPr>
        <w:pStyle w:val="a9"/>
        <w:spacing w:before="0" w:beforeAutospacing="0" w:after="0" w:afterAutospacing="0" w:line="360" w:lineRule="auto"/>
        <w:ind w:firstLine="720"/>
        <w:jc w:val="both"/>
        <w:rPr>
          <w:sz w:val="28"/>
          <w:szCs w:val="28"/>
          <w:lang w:val="uk-UA"/>
        </w:rPr>
      </w:pPr>
      <w:r w:rsidRPr="005F0419">
        <w:rPr>
          <w:noProof/>
          <w:sz w:val="28"/>
          <w:szCs w:val="28"/>
          <w:lang w:val="uk-UA"/>
        </w:rPr>
        <w:drawing>
          <wp:inline distT="0" distB="0" distL="0" distR="0" wp14:anchorId="7A72FBD4" wp14:editId="42920DB0">
            <wp:extent cx="5387009" cy="5807710"/>
            <wp:effectExtent l="0" t="0" r="0" b="21590"/>
            <wp:docPr id="147" name="Схема 14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3" r:lo="rId124" r:qs="rId125" r:cs="rId126"/>
              </a:graphicData>
            </a:graphic>
          </wp:inline>
        </w:drawing>
      </w:r>
    </w:p>
    <w:p w14:paraId="26F0AEEA" w14:textId="73ADACC9" w:rsidR="00213C3B" w:rsidRPr="005F0419" w:rsidRDefault="00213C3B" w:rsidP="00213C3B">
      <w:pPr>
        <w:spacing w:after="0" w:line="360" w:lineRule="auto"/>
        <w:ind w:firstLine="720"/>
        <w:jc w:val="center"/>
        <w:rPr>
          <w:rFonts w:ascii="Times New Roman" w:eastAsia="Times New Roman" w:hAnsi="Times New Roman" w:cs="Times New Roman"/>
          <w:sz w:val="28"/>
          <w:szCs w:val="28"/>
          <w:lang w:val="uk-UA" w:eastAsia="uk-UA"/>
        </w:rPr>
      </w:pPr>
      <w:r w:rsidRPr="005F0419">
        <w:rPr>
          <w:rFonts w:ascii="Times New Roman" w:eastAsia="Times New Roman" w:hAnsi="Times New Roman" w:cs="Times New Roman"/>
          <w:sz w:val="28"/>
          <w:szCs w:val="28"/>
          <w:lang w:val="uk-UA" w:eastAsia="uk-UA"/>
        </w:rPr>
        <w:t>Рис. 7. Види контенту</w:t>
      </w:r>
    </w:p>
    <w:p w14:paraId="408C21A0" w14:textId="77777777" w:rsidR="00213C3B" w:rsidRPr="005F0419" w:rsidRDefault="00213C3B" w:rsidP="00213C3B">
      <w:pPr>
        <w:pStyle w:val="a9"/>
        <w:spacing w:before="0" w:beforeAutospacing="0" w:after="0" w:afterAutospacing="0" w:line="360" w:lineRule="auto"/>
        <w:ind w:firstLine="720"/>
        <w:rPr>
          <w:sz w:val="28"/>
          <w:szCs w:val="28"/>
          <w:lang w:val="uk-UA"/>
        </w:rPr>
      </w:pPr>
      <w:r w:rsidRPr="005F0419">
        <w:rPr>
          <w:sz w:val="28"/>
          <w:szCs w:val="28"/>
          <w:lang w:val="uk-UA"/>
        </w:rPr>
        <w:t>Джерело: сформовано автором.</w:t>
      </w:r>
    </w:p>
    <w:p w14:paraId="7105B0B8" w14:textId="77777777" w:rsidR="00213C3B" w:rsidRPr="005F0419" w:rsidRDefault="00213C3B" w:rsidP="00213C3B">
      <w:pPr>
        <w:spacing w:after="0" w:line="360" w:lineRule="auto"/>
        <w:ind w:firstLine="720"/>
        <w:jc w:val="center"/>
        <w:rPr>
          <w:rFonts w:ascii="Times New Roman" w:eastAsia="Times New Roman" w:hAnsi="Times New Roman" w:cs="Times New Roman"/>
          <w:sz w:val="28"/>
          <w:szCs w:val="28"/>
          <w:lang w:val="uk-UA" w:eastAsia="uk-UA"/>
        </w:rPr>
      </w:pPr>
    </w:p>
    <w:p w14:paraId="493F80FB" w14:textId="630DAE65" w:rsidR="00115A3E" w:rsidRPr="005F0419" w:rsidRDefault="00115A3E" w:rsidP="00213C3B">
      <w:pPr>
        <w:spacing w:after="0" w:line="360" w:lineRule="auto"/>
        <w:ind w:firstLine="720"/>
        <w:jc w:val="both"/>
        <w:rPr>
          <w:rStyle w:val="rynqvb"/>
          <w:rFonts w:ascii="Times New Roman" w:hAnsi="Times New Roman" w:cs="Times New Roman"/>
          <w:bCs/>
          <w:i/>
          <w:sz w:val="28"/>
          <w:szCs w:val="28"/>
          <w:lang w:val="uk-UA"/>
        </w:rPr>
      </w:pPr>
      <w:r w:rsidRPr="005F0419">
        <w:rPr>
          <w:rStyle w:val="rynqvb"/>
          <w:rFonts w:ascii="Times New Roman" w:hAnsi="Times New Roman" w:cs="Times New Roman"/>
          <w:bCs/>
          <w:i/>
          <w:iCs/>
          <w:sz w:val="28"/>
          <w:szCs w:val="28"/>
          <w:lang w:val="uk-UA"/>
        </w:rPr>
        <w:t>Експертний контент.</w:t>
      </w:r>
      <w:r w:rsidRPr="005F0419">
        <w:rPr>
          <w:rStyle w:val="rynqvb"/>
          <w:rFonts w:ascii="Times New Roman" w:hAnsi="Times New Roman" w:cs="Times New Roman"/>
          <w:bCs/>
          <w:sz w:val="28"/>
          <w:szCs w:val="28"/>
          <w:lang w:val="uk-UA"/>
        </w:rPr>
        <w:t xml:space="preserve"> Такий тип контенту часто не відокремлюють від інформаційного, припускаючись помилки.</w:t>
      </w:r>
      <w:r w:rsidRPr="005F0419">
        <w:rPr>
          <w:rStyle w:val="hwtze"/>
          <w:rFonts w:ascii="Times New Roman" w:hAnsi="Times New Roman" w:cs="Times New Roman"/>
          <w:bCs/>
          <w:sz w:val="28"/>
          <w:szCs w:val="28"/>
          <w:lang w:val="uk-UA"/>
        </w:rPr>
        <w:t xml:space="preserve"> </w:t>
      </w:r>
      <w:r w:rsidRPr="005F0419">
        <w:rPr>
          <w:rStyle w:val="rynqvb"/>
          <w:rFonts w:ascii="Times New Roman" w:hAnsi="Times New Roman" w:cs="Times New Roman"/>
          <w:bCs/>
          <w:sz w:val="28"/>
          <w:szCs w:val="28"/>
          <w:lang w:val="uk-UA"/>
        </w:rPr>
        <w:t>Для успішного просування в комунікаційному середовищі дуже важливо володіти репутацією експерта у своїй галузі.</w:t>
      </w:r>
      <w:r w:rsidRPr="005F0419">
        <w:rPr>
          <w:rStyle w:val="hwtze"/>
          <w:rFonts w:ascii="Times New Roman" w:hAnsi="Times New Roman" w:cs="Times New Roman"/>
          <w:bCs/>
          <w:sz w:val="28"/>
          <w:szCs w:val="28"/>
          <w:lang w:val="uk-UA"/>
        </w:rPr>
        <w:t xml:space="preserve"> Експертний контент </w:t>
      </w:r>
      <w:r w:rsidRPr="005F0419">
        <w:rPr>
          <w:rStyle w:val="rynqvb"/>
          <w:rFonts w:ascii="Times New Roman" w:hAnsi="Times New Roman" w:cs="Times New Roman"/>
          <w:bCs/>
          <w:sz w:val="28"/>
          <w:szCs w:val="28"/>
          <w:lang w:val="uk-UA"/>
        </w:rPr>
        <w:t xml:space="preserve">демонструє компанію, команду проекту або окремих представників як професіоналів, що підвищує рівень довіри цільової </w:t>
      </w:r>
      <w:r w:rsidRPr="005F0419">
        <w:rPr>
          <w:rStyle w:val="rynqvb"/>
          <w:rFonts w:ascii="Times New Roman" w:hAnsi="Times New Roman" w:cs="Times New Roman"/>
          <w:bCs/>
          <w:sz w:val="28"/>
          <w:szCs w:val="28"/>
          <w:lang w:val="uk-UA"/>
        </w:rPr>
        <w:lastRenderedPageBreak/>
        <w:t>аудиторії та підвищує репутацію. Це можуть бути корисні статті; пости, що розкривають вашу компетентність; консультації; залучення сторонніх експертів; інфографіка та інтелект-карти, дослідження, особисті думки, досягнення,  історії успіху, інтерв'ю тощо.</w:t>
      </w:r>
    </w:p>
    <w:p w14:paraId="2CE360D5" w14:textId="77777777" w:rsidR="00213C3B" w:rsidRPr="005F0419" w:rsidRDefault="00115A3E" w:rsidP="00213C3B">
      <w:pPr>
        <w:pStyle w:val="a9"/>
        <w:spacing w:before="0" w:beforeAutospacing="0" w:after="0" w:afterAutospacing="0" w:line="360" w:lineRule="auto"/>
        <w:ind w:firstLine="720"/>
        <w:jc w:val="both"/>
        <w:rPr>
          <w:rStyle w:val="rynqvb"/>
          <w:sz w:val="28"/>
          <w:szCs w:val="28"/>
          <w:lang w:val="uk-UA"/>
        </w:rPr>
      </w:pPr>
      <w:r w:rsidRPr="005F0419">
        <w:rPr>
          <w:rStyle w:val="rynqvb"/>
          <w:i/>
          <w:sz w:val="28"/>
          <w:szCs w:val="28"/>
          <w:lang w:val="uk-UA"/>
        </w:rPr>
        <w:t>Рекламний контент</w:t>
      </w:r>
      <w:r w:rsidRPr="005F0419">
        <w:rPr>
          <w:rStyle w:val="rynqvb"/>
          <w:sz w:val="28"/>
          <w:szCs w:val="28"/>
          <w:lang w:val="uk-UA"/>
        </w:rPr>
        <w:t xml:space="preserve">. Його мета – підштовхнути потенційного клієнта до вибору вашої компанії. Частина такого типу інформації не повинна перевищувати 30% від загальної кількості (зазвичай 10-15%). Рекламний контент формується за певними маркетинговими правилами і містить яскраві та креативні матеріали, які демонструють як вирішуються проблеми потенційної аудиторії, містять інструкції щодо користування продукцією, оригінальні вигоди, цінову політику, процеси здійснення купівлі, відгуки клієнтів тощо. </w:t>
      </w:r>
    </w:p>
    <w:p w14:paraId="62EB8CC0" w14:textId="77777777" w:rsidR="00D206B5" w:rsidRPr="005F0419" w:rsidRDefault="00115A3E" w:rsidP="00D206B5">
      <w:pPr>
        <w:pStyle w:val="a9"/>
        <w:spacing w:before="0" w:beforeAutospacing="0" w:after="0" w:afterAutospacing="0" w:line="360" w:lineRule="auto"/>
        <w:ind w:firstLine="720"/>
        <w:jc w:val="both"/>
        <w:rPr>
          <w:rStyle w:val="hwtze"/>
          <w:sz w:val="28"/>
          <w:szCs w:val="28"/>
          <w:lang w:val="uk-UA"/>
        </w:rPr>
      </w:pPr>
      <w:r w:rsidRPr="005F0419">
        <w:rPr>
          <w:rStyle w:val="rynqvb"/>
          <w:i/>
          <w:sz w:val="28"/>
          <w:szCs w:val="28"/>
          <w:lang w:val="uk-UA"/>
        </w:rPr>
        <w:t xml:space="preserve">Розважальний контент. </w:t>
      </w:r>
      <w:r w:rsidRPr="005F0419">
        <w:rPr>
          <w:rStyle w:val="rynqvb"/>
          <w:sz w:val="28"/>
          <w:szCs w:val="28"/>
          <w:lang w:val="uk-UA"/>
        </w:rPr>
        <w:t xml:space="preserve"> Якщо мова йде про комунікації в інтернет-середовищі, особливо в </w:t>
      </w:r>
      <w:proofErr w:type="spellStart"/>
      <w:r w:rsidRPr="005F0419">
        <w:rPr>
          <w:rStyle w:val="rynqvb"/>
          <w:sz w:val="28"/>
          <w:szCs w:val="28"/>
          <w:lang w:val="uk-UA"/>
        </w:rPr>
        <w:t>соцмереждах</w:t>
      </w:r>
      <w:proofErr w:type="spellEnd"/>
      <w:r w:rsidRPr="005F0419">
        <w:rPr>
          <w:rStyle w:val="rynqvb"/>
          <w:sz w:val="28"/>
          <w:szCs w:val="28"/>
          <w:lang w:val="uk-UA"/>
        </w:rPr>
        <w:t>, то фахівці радять, що подібного типу контенту має бути не менше 30% від загальної кількості, хоча звичайно розважальний контент не вирішує ваших стратегічних цілей.</w:t>
      </w:r>
      <w:r w:rsidRPr="005F0419">
        <w:rPr>
          <w:rStyle w:val="hwtze"/>
          <w:sz w:val="28"/>
          <w:szCs w:val="28"/>
          <w:lang w:val="uk-UA"/>
        </w:rPr>
        <w:t xml:space="preserve"> </w:t>
      </w:r>
      <w:r w:rsidRPr="005F0419">
        <w:rPr>
          <w:rStyle w:val="rynqvb"/>
          <w:sz w:val="28"/>
          <w:szCs w:val="28"/>
          <w:lang w:val="uk-UA"/>
        </w:rPr>
        <w:t>Зацікавивши аудиторію  і створивши їм гарний настрій, ви можете розраховувати на те, що й решта інформації, яку ви пропонуєте, не залишиться без уваги. Серед прикладів розважального контенту: конкурси, ігри, опитування та розіграші, історії, цитати, меми та смішні картинки, цікаві факти, лайфхаки, загадки та головоломки, цікаві добірки.</w:t>
      </w:r>
      <w:r w:rsidRPr="005F0419">
        <w:rPr>
          <w:rStyle w:val="hwtze"/>
          <w:sz w:val="28"/>
          <w:szCs w:val="28"/>
          <w:lang w:val="uk-UA"/>
        </w:rPr>
        <w:t xml:space="preserve"> </w:t>
      </w:r>
      <w:r w:rsidRPr="005F0419">
        <w:rPr>
          <w:rStyle w:val="rynqvb"/>
          <w:sz w:val="28"/>
          <w:szCs w:val="28"/>
          <w:lang w:val="uk-UA"/>
        </w:rPr>
        <w:t>Розважальні види контенту допомагають налагодити неформальні комунікаціє з аудиторією, що в підсумку  підвищить лояльність до бренду.</w:t>
      </w:r>
      <w:r w:rsidRPr="005F0419">
        <w:rPr>
          <w:rStyle w:val="hwtze"/>
          <w:sz w:val="28"/>
          <w:szCs w:val="28"/>
          <w:lang w:val="uk-UA"/>
        </w:rPr>
        <w:t xml:space="preserve"> </w:t>
      </w:r>
    </w:p>
    <w:p w14:paraId="2755B6C5" w14:textId="77C886E2" w:rsidR="00115A3E" w:rsidRPr="005F0419" w:rsidRDefault="00115A3E" w:rsidP="00D206B5">
      <w:pPr>
        <w:pStyle w:val="a9"/>
        <w:spacing w:before="0" w:beforeAutospacing="0" w:after="0" w:afterAutospacing="0" w:line="360" w:lineRule="auto"/>
        <w:ind w:firstLine="720"/>
        <w:jc w:val="both"/>
        <w:rPr>
          <w:rStyle w:val="rynqvb"/>
          <w:bCs/>
          <w:sz w:val="28"/>
          <w:szCs w:val="28"/>
          <w:lang w:val="uk-UA"/>
        </w:rPr>
      </w:pPr>
      <w:proofErr w:type="spellStart"/>
      <w:r w:rsidRPr="005F0419">
        <w:rPr>
          <w:rStyle w:val="rynqvb"/>
          <w:bCs/>
          <w:i/>
          <w:sz w:val="28"/>
          <w:szCs w:val="28"/>
          <w:lang w:val="uk-UA"/>
        </w:rPr>
        <w:t>Залучаючий</w:t>
      </w:r>
      <w:proofErr w:type="spellEnd"/>
      <w:r w:rsidRPr="005F0419">
        <w:rPr>
          <w:rStyle w:val="rynqvb"/>
          <w:bCs/>
          <w:i/>
          <w:sz w:val="28"/>
          <w:szCs w:val="28"/>
          <w:lang w:val="uk-UA"/>
        </w:rPr>
        <w:t xml:space="preserve"> контент. </w:t>
      </w:r>
      <w:r w:rsidRPr="005F0419">
        <w:rPr>
          <w:rStyle w:val="rynqvb"/>
          <w:bCs/>
          <w:sz w:val="28"/>
          <w:szCs w:val="28"/>
          <w:lang w:val="uk-UA"/>
        </w:rPr>
        <w:t>Його мета – отримати зворотній зв'язок, збільшити активність аудиторії, підвищити кількість переглядів та реакцій, а також краще дізнатися аудиторію, знайти спільні теми та точки дотику.</w:t>
      </w:r>
      <w:r w:rsidRPr="005F0419">
        <w:rPr>
          <w:rStyle w:val="hwtze"/>
          <w:bCs/>
          <w:sz w:val="28"/>
          <w:szCs w:val="28"/>
          <w:lang w:val="uk-UA"/>
        </w:rPr>
        <w:t xml:space="preserve"> </w:t>
      </w:r>
      <w:proofErr w:type="spellStart"/>
      <w:r w:rsidRPr="005F0419">
        <w:rPr>
          <w:rStyle w:val="rynqvb"/>
          <w:bCs/>
          <w:sz w:val="28"/>
          <w:szCs w:val="28"/>
          <w:lang w:val="uk-UA"/>
        </w:rPr>
        <w:t>Залучаючим</w:t>
      </w:r>
      <w:proofErr w:type="spellEnd"/>
      <w:r w:rsidRPr="005F0419">
        <w:rPr>
          <w:rStyle w:val="rynqvb"/>
          <w:bCs/>
          <w:sz w:val="28"/>
          <w:szCs w:val="28"/>
          <w:lang w:val="uk-UA"/>
        </w:rPr>
        <w:t xml:space="preserve"> можна назвати будь-яку інформацію, яка мотивує користувачів на активність та спілкування між собою або з брендом/командою. Часто такі типи публікацій використовуються у медіа-просторі для привернення уваги.</w:t>
      </w:r>
      <w:r w:rsidRPr="005F0419">
        <w:rPr>
          <w:rStyle w:val="hwtze"/>
          <w:bCs/>
          <w:sz w:val="28"/>
          <w:szCs w:val="28"/>
          <w:lang w:val="uk-UA"/>
        </w:rPr>
        <w:t xml:space="preserve"> </w:t>
      </w:r>
      <w:r w:rsidRPr="005F0419">
        <w:rPr>
          <w:rStyle w:val="rynqvb"/>
          <w:bCs/>
          <w:sz w:val="28"/>
          <w:szCs w:val="28"/>
          <w:lang w:val="uk-UA"/>
        </w:rPr>
        <w:t xml:space="preserve">Аудиторія активно реагує за допомогою коментарів, </w:t>
      </w:r>
      <w:proofErr w:type="spellStart"/>
      <w:r w:rsidRPr="005F0419">
        <w:rPr>
          <w:rStyle w:val="rynqvb"/>
          <w:bCs/>
          <w:sz w:val="28"/>
          <w:szCs w:val="28"/>
          <w:lang w:val="uk-UA"/>
        </w:rPr>
        <w:t>лайків</w:t>
      </w:r>
      <w:proofErr w:type="spellEnd"/>
      <w:r w:rsidRPr="005F0419">
        <w:rPr>
          <w:rStyle w:val="rynqvb"/>
          <w:bCs/>
          <w:sz w:val="28"/>
          <w:szCs w:val="28"/>
          <w:lang w:val="uk-UA"/>
        </w:rPr>
        <w:t xml:space="preserve">, поширення. До </w:t>
      </w:r>
      <w:proofErr w:type="spellStart"/>
      <w:r w:rsidRPr="005F0419">
        <w:rPr>
          <w:rStyle w:val="rynqvb"/>
          <w:bCs/>
          <w:sz w:val="28"/>
          <w:szCs w:val="28"/>
          <w:lang w:val="uk-UA"/>
        </w:rPr>
        <w:t>залучаючого</w:t>
      </w:r>
      <w:proofErr w:type="spellEnd"/>
      <w:r w:rsidRPr="005F0419">
        <w:rPr>
          <w:rStyle w:val="rynqvb"/>
          <w:bCs/>
          <w:sz w:val="28"/>
          <w:szCs w:val="28"/>
          <w:lang w:val="uk-UA"/>
        </w:rPr>
        <w:t xml:space="preserve"> контенту можна віднести: статті на актуальні чи спірні теми та подальше їхнє обговорення; </w:t>
      </w:r>
      <w:r w:rsidRPr="005F0419">
        <w:rPr>
          <w:rStyle w:val="rynqvb"/>
          <w:bCs/>
          <w:sz w:val="28"/>
          <w:szCs w:val="28"/>
          <w:lang w:val="uk-UA"/>
        </w:rPr>
        <w:lastRenderedPageBreak/>
        <w:t xml:space="preserve">статті-думки; рубрика питання/відповідь; </w:t>
      </w:r>
      <w:proofErr w:type="spellStart"/>
      <w:r w:rsidRPr="005F0419">
        <w:rPr>
          <w:rStyle w:val="rynqvb"/>
          <w:bCs/>
          <w:sz w:val="28"/>
          <w:szCs w:val="28"/>
          <w:lang w:val="uk-UA"/>
        </w:rPr>
        <w:t>інтерактив</w:t>
      </w:r>
      <w:proofErr w:type="spellEnd"/>
      <w:r w:rsidRPr="005F0419">
        <w:rPr>
          <w:rStyle w:val="rynqvb"/>
          <w:bCs/>
          <w:sz w:val="28"/>
          <w:szCs w:val="28"/>
          <w:lang w:val="uk-UA"/>
        </w:rPr>
        <w:t xml:space="preserve"> (тести, вікторини, анімована графіка, онлайн-калькулятор, флешмоб чи </w:t>
      </w:r>
      <w:proofErr w:type="spellStart"/>
      <w:r w:rsidRPr="005F0419">
        <w:rPr>
          <w:rStyle w:val="rynqvb"/>
          <w:bCs/>
          <w:sz w:val="28"/>
          <w:szCs w:val="28"/>
          <w:lang w:val="uk-UA"/>
        </w:rPr>
        <w:t>челендж</w:t>
      </w:r>
      <w:proofErr w:type="spellEnd"/>
      <w:r w:rsidRPr="005F0419">
        <w:rPr>
          <w:rStyle w:val="rynqvb"/>
          <w:bCs/>
          <w:sz w:val="28"/>
          <w:szCs w:val="28"/>
          <w:lang w:val="uk-UA"/>
        </w:rPr>
        <w:t xml:space="preserve">, </w:t>
      </w:r>
      <w:proofErr w:type="spellStart"/>
      <w:r w:rsidRPr="005F0419">
        <w:rPr>
          <w:rStyle w:val="rynqvb"/>
          <w:bCs/>
          <w:sz w:val="28"/>
          <w:szCs w:val="28"/>
          <w:lang w:val="uk-UA"/>
        </w:rPr>
        <w:t>live</w:t>
      </w:r>
      <w:proofErr w:type="spellEnd"/>
      <w:r w:rsidRPr="005F0419">
        <w:rPr>
          <w:rStyle w:val="rynqvb"/>
          <w:bCs/>
          <w:sz w:val="28"/>
          <w:szCs w:val="28"/>
          <w:lang w:val="uk-UA"/>
        </w:rPr>
        <w:t>-ефір тощо)  [11].</w:t>
      </w:r>
    </w:p>
    <w:p w14:paraId="1E5160B6"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i/>
          <w:sz w:val="28"/>
          <w:szCs w:val="28"/>
          <w:lang w:val="uk-UA"/>
        </w:rPr>
        <w:t>Вірусний контент.</w:t>
      </w:r>
      <w:r w:rsidRPr="005F0419">
        <w:rPr>
          <w:rStyle w:val="rynqvb"/>
          <w:sz w:val="28"/>
          <w:szCs w:val="28"/>
          <w:lang w:val="uk-UA"/>
        </w:rPr>
        <w:t xml:space="preserve"> Вірусним в інтернет-мережі називають контент, який здатний розповсюджуватися як вірус.</w:t>
      </w:r>
      <w:r w:rsidRPr="005F0419">
        <w:rPr>
          <w:rStyle w:val="hwtze"/>
          <w:sz w:val="28"/>
          <w:szCs w:val="28"/>
          <w:lang w:val="uk-UA"/>
        </w:rPr>
        <w:t xml:space="preserve"> </w:t>
      </w:r>
      <w:r w:rsidRPr="005F0419">
        <w:rPr>
          <w:rStyle w:val="rynqvb"/>
          <w:sz w:val="28"/>
          <w:szCs w:val="28"/>
          <w:lang w:val="uk-UA"/>
        </w:rPr>
        <w:t xml:space="preserve">Він буквально «заражає» користувачів епідемією </w:t>
      </w:r>
      <w:proofErr w:type="spellStart"/>
      <w:r w:rsidRPr="005F0419">
        <w:rPr>
          <w:rStyle w:val="rynqvb"/>
          <w:sz w:val="28"/>
          <w:szCs w:val="28"/>
          <w:lang w:val="uk-UA"/>
        </w:rPr>
        <w:t>ріпостів</w:t>
      </w:r>
      <w:proofErr w:type="spellEnd"/>
      <w:r w:rsidRPr="005F0419">
        <w:rPr>
          <w:rStyle w:val="rynqvb"/>
          <w:sz w:val="28"/>
          <w:szCs w:val="28"/>
          <w:lang w:val="uk-UA"/>
        </w:rPr>
        <w:t xml:space="preserve"> та підвищує охоплення аудиторії. Вірусний пост або публікація мають бути таким, що запам'ятовуються, щоб про нього знали і хотіли поділитися. Приклади вірусних матеріалів:  смішні картинки, меми; випробування; статті з корисною добіркою (наприклад, книг, популярних каналів, статистикою);  відео [11]. </w:t>
      </w:r>
    </w:p>
    <w:p w14:paraId="32F7E1FC" w14:textId="77777777" w:rsidR="00115A3E" w:rsidRPr="005F0419" w:rsidRDefault="00115A3E" w:rsidP="00115A3E">
      <w:pPr>
        <w:pStyle w:val="a9"/>
        <w:spacing w:before="0" w:beforeAutospacing="0" w:after="0" w:afterAutospacing="0" w:line="360" w:lineRule="auto"/>
        <w:ind w:firstLine="720"/>
        <w:jc w:val="both"/>
        <w:rPr>
          <w:b/>
          <w:bCs/>
          <w:i/>
          <w:iCs/>
          <w:sz w:val="28"/>
          <w:szCs w:val="28"/>
          <w:lang w:val="uk-UA"/>
        </w:rPr>
      </w:pPr>
      <w:r w:rsidRPr="005F0419">
        <w:rPr>
          <w:rStyle w:val="rynqvb"/>
          <w:i/>
          <w:sz w:val="28"/>
          <w:szCs w:val="28"/>
          <w:lang w:val="uk-UA"/>
        </w:rPr>
        <w:t>Контент користувачів</w:t>
      </w:r>
      <w:r w:rsidRPr="005F0419">
        <w:rPr>
          <w:rStyle w:val="rynqvb"/>
          <w:sz w:val="28"/>
          <w:szCs w:val="28"/>
          <w:lang w:val="uk-UA"/>
        </w:rPr>
        <w:t xml:space="preserve">.  Є зворотним зв'язком з цільовою аудиторією. </w:t>
      </w:r>
      <w:r w:rsidRPr="005F0419">
        <w:rPr>
          <w:rStyle w:val="hwtze"/>
          <w:sz w:val="28"/>
          <w:szCs w:val="28"/>
          <w:lang w:val="uk-UA"/>
        </w:rPr>
        <w:t xml:space="preserve"> </w:t>
      </w:r>
      <w:r w:rsidRPr="005F0419">
        <w:rPr>
          <w:rStyle w:val="rynqvb"/>
          <w:sz w:val="28"/>
          <w:szCs w:val="28"/>
          <w:lang w:val="uk-UA"/>
        </w:rPr>
        <w:t>Це можуть бути відгуки та згадки про ваш продукт або події, цікаві історії, пов'язані з компанією, фото та відео.</w:t>
      </w:r>
      <w:r w:rsidRPr="005F0419">
        <w:rPr>
          <w:rStyle w:val="hwtze"/>
          <w:sz w:val="28"/>
          <w:szCs w:val="28"/>
          <w:lang w:val="uk-UA"/>
        </w:rPr>
        <w:t xml:space="preserve"> </w:t>
      </w:r>
      <w:r w:rsidRPr="005F0419">
        <w:rPr>
          <w:rStyle w:val="rynqvb"/>
          <w:sz w:val="28"/>
          <w:szCs w:val="28"/>
          <w:lang w:val="uk-UA"/>
        </w:rPr>
        <w:t>Користувальницький контент здатний збільшити рівень довіри та лояльності до бренду.</w:t>
      </w:r>
      <w:r w:rsidRPr="005F0419">
        <w:rPr>
          <w:rStyle w:val="hwtze"/>
          <w:sz w:val="28"/>
          <w:szCs w:val="28"/>
          <w:lang w:val="uk-UA"/>
        </w:rPr>
        <w:t xml:space="preserve"> </w:t>
      </w:r>
      <w:r w:rsidRPr="005F0419">
        <w:rPr>
          <w:rStyle w:val="rynqvb"/>
          <w:sz w:val="28"/>
          <w:szCs w:val="28"/>
          <w:lang w:val="uk-UA"/>
        </w:rPr>
        <w:t>Думка звичайних споживачів викликає довіру, а гарний відгук вкотре доведе, що ви працюєте на високому рівні.</w:t>
      </w:r>
    </w:p>
    <w:p w14:paraId="6AA55F67" w14:textId="77777777" w:rsidR="00115A3E" w:rsidRPr="005F0419" w:rsidRDefault="00115A3E" w:rsidP="00115A3E">
      <w:pPr>
        <w:pStyle w:val="a9"/>
        <w:spacing w:before="0" w:beforeAutospacing="0" w:after="0" w:afterAutospacing="0" w:line="360" w:lineRule="auto"/>
        <w:ind w:firstLine="720"/>
        <w:jc w:val="both"/>
        <w:rPr>
          <w:rStyle w:val="hwtze"/>
          <w:sz w:val="28"/>
          <w:szCs w:val="28"/>
          <w:lang w:val="uk-UA"/>
        </w:rPr>
      </w:pPr>
      <w:r w:rsidRPr="005F0419">
        <w:rPr>
          <w:rStyle w:val="rynqvb"/>
          <w:i/>
          <w:sz w:val="28"/>
          <w:szCs w:val="28"/>
          <w:lang w:val="uk-UA"/>
        </w:rPr>
        <w:t>Навчальний контент</w:t>
      </w:r>
      <w:r w:rsidRPr="005F0419">
        <w:rPr>
          <w:rStyle w:val="rynqvb"/>
          <w:b/>
          <w:sz w:val="28"/>
          <w:szCs w:val="28"/>
          <w:lang w:val="uk-UA"/>
        </w:rPr>
        <w:t xml:space="preserve">. </w:t>
      </w:r>
      <w:r w:rsidRPr="005F0419">
        <w:rPr>
          <w:rStyle w:val="rynqvb"/>
          <w:sz w:val="28"/>
          <w:szCs w:val="28"/>
          <w:lang w:val="uk-UA"/>
        </w:rPr>
        <w:t>Це</w:t>
      </w:r>
      <w:r w:rsidRPr="005F0419">
        <w:rPr>
          <w:rStyle w:val="rynqvb"/>
          <w:b/>
          <w:sz w:val="28"/>
          <w:szCs w:val="28"/>
          <w:lang w:val="uk-UA"/>
        </w:rPr>
        <w:t xml:space="preserve"> </w:t>
      </w:r>
      <w:r w:rsidRPr="005F0419">
        <w:rPr>
          <w:rStyle w:val="rynqvb"/>
          <w:sz w:val="28"/>
          <w:szCs w:val="28"/>
          <w:lang w:val="uk-UA"/>
        </w:rPr>
        <w:t>вид контенту, спрямований на навчання аудиторії.</w:t>
      </w:r>
      <w:r w:rsidRPr="005F0419">
        <w:rPr>
          <w:rStyle w:val="hwtze"/>
          <w:sz w:val="28"/>
          <w:szCs w:val="28"/>
          <w:lang w:val="uk-UA"/>
        </w:rPr>
        <w:t xml:space="preserve"> </w:t>
      </w:r>
      <w:r w:rsidRPr="005F0419">
        <w:rPr>
          <w:rStyle w:val="rynqvb"/>
          <w:sz w:val="28"/>
          <w:szCs w:val="28"/>
          <w:lang w:val="uk-UA"/>
        </w:rPr>
        <w:t xml:space="preserve">Це можуть бути </w:t>
      </w:r>
      <w:proofErr w:type="spellStart"/>
      <w:r w:rsidRPr="005F0419">
        <w:rPr>
          <w:rStyle w:val="rynqvb"/>
          <w:sz w:val="28"/>
          <w:szCs w:val="28"/>
          <w:lang w:val="uk-UA"/>
        </w:rPr>
        <w:t>уроки</w:t>
      </w:r>
      <w:proofErr w:type="spellEnd"/>
      <w:r w:rsidRPr="005F0419">
        <w:rPr>
          <w:rStyle w:val="rynqvb"/>
          <w:sz w:val="28"/>
          <w:szCs w:val="28"/>
          <w:lang w:val="uk-UA"/>
        </w:rPr>
        <w:t>, інструкції, добірки, рекомендації та лайфхаки, результати досліджень. Користувачі люблять дізнаватися про щось нове, особливо якщо ця інформація допомагає досягати поставлених цілей, а також часто цілеспрямовано шукають щось практичне та корисне.</w:t>
      </w:r>
      <w:r w:rsidRPr="005F0419">
        <w:rPr>
          <w:rStyle w:val="hwtze"/>
          <w:sz w:val="28"/>
          <w:szCs w:val="28"/>
          <w:lang w:val="uk-UA"/>
        </w:rPr>
        <w:t xml:space="preserve"> </w:t>
      </w:r>
    </w:p>
    <w:p w14:paraId="6549F0F8" w14:textId="297F3947" w:rsidR="00115A3E" w:rsidRPr="005F0419" w:rsidRDefault="00115A3E" w:rsidP="00115A3E">
      <w:pPr>
        <w:pStyle w:val="a9"/>
        <w:spacing w:before="0" w:beforeAutospacing="0" w:after="0" w:afterAutospacing="0" w:line="360" w:lineRule="auto"/>
        <w:ind w:firstLine="720"/>
        <w:jc w:val="both"/>
        <w:rPr>
          <w:b/>
          <w:bCs/>
          <w:i/>
          <w:iCs/>
          <w:sz w:val="28"/>
          <w:szCs w:val="28"/>
          <w:lang w:val="uk-UA"/>
        </w:rPr>
      </w:pPr>
      <w:proofErr w:type="spellStart"/>
      <w:r w:rsidRPr="005F0419">
        <w:rPr>
          <w:rStyle w:val="rynqvb"/>
          <w:sz w:val="28"/>
          <w:szCs w:val="28"/>
          <w:lang w:val="uk-UA"/>
        </w:rPr>
        <w:t>Грамотно</w:t>
      </w:r>
      <w:proofErr w:type="spellEnd"/>
      <w:r w:rsidRPr="005F0419">
        <w:rPr>
          <w:rStyle w:val="rynqvb"/>
          <w:sz w:val="28"/>
          <w:szCs w:val="28"/>
          <w:lang w:val="uk-UA"/>
        </w:rPr>
        <w:t xml:space="preserve"> написаний, корисний та актуальний навчальний контент дозволяє вирішувати такі завдання: демонстрація </w:t>
      </w:r>
      <w:proofErr w:type="spellStart"/>
      <w:r w:rsidRPr="005F0419">
        <w:rPr>
          <w:rStyle w:val="rynqvb"/>
          <w:sz w:val="28"/>
          <w:szCs w:val="28"/>
          <w:lang w:val="uk-UA"/>
        </w:rPr>
        <w:t>експертності</w:t>
      </w:r>
      <w:proofErr w:type="spellEnd"/>
      <w:r w:rsidRPr="005F0419">
        <w:rPr>
          <w:rStyle w:val="rynqvb"/>
          <w:sz w:val="28"/>
          <w:szCs w:val="28"/>
          <w:lang w:val="uk-UA"/>
        </w:rPr>
        <w:t>, прояв  піклування про користувачів, підвищення впізнаван</w:t>
      </w:r>
      <w:r w:rsidR="00D206B5" w:rsidRPr="005F0419">
        <w:rPr>
          <w:rStyle w:val="rynqvb"/>
          <w:sz w:val="28"/>
          <w:szCs w:val="28"/>
          <w:lang w:val="uk-UA"/>
        </w:rPr>
        <w:t>ня</w:t>
      </w:r>
      <w:r w:rsidRPr="005F0419">
        <w:rPr>
          <w:rStyle w:val="rynqvb"/>
          <w:sz w:val="28"/>
          <w:szCs w:val="28"/>
          <w:lang w:val="uk-UA"/>
        </w:rPr>
        <w:t xml:space="preserve">, непряма реклама, збір бази читачів для розсилки, знайомство із продуктом, компанією, проектом. Освітній контент зміцнює позиції комунікаційних ресурсів компанії чи проекту на ринку, дозволяє вийти на нову цільову аудиторію, сформувати імідж, підвищити лояльність </w:t>
      </w:r>
      <w:proofErr w:type="spellStart"/>
      <w:r w:rsidRPr="005F0419">
        <w:rPr>
          <w:rStyle w:val="rynqvb"/>
          <w:sz w:val="28"/>
          <w:szCs w:val="28"/>
          <w:lang w:val="uk-UA"/>
        </w:rPr>
        <w:t>стейкхолдерів</w:t>
      </w:r>
      <w:proofErr w:type="spellEnd"/>
      <w:r w:rsidRPr="005F0419">
        <w:rPr>
          <w:rStyle w:val="rynqvb"/>
          <w:sz w:val="28"/>
          <w:szCs w:val="28"/>
          <w:lang w:val="uk-UA"/>
        </w:rPr>
        <w:t xml:space="preserve">. А створювати освітній контент можна практично у будь-якій сфері. </w:t>
      </w:r>
    </w:p>
    <w:p w14:paraId="60AE5247"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bCs/>
          <w:i/>
          <w:iCs/>
          <w:sz w:val="28"/>
          <w:szCs w:val="28"/>
          <w:lang w:val="uk-UA"/>
        </w:rPr>
        <w:t xml:space="preserve">Репутаційний контент. </w:t>
      </w:r>
      <w:r w:rsidRPr="005F0419">
        <w:rPr>
          <w:bCs/>
          <w:iCs/>
          <w:sz w:val="28"/>
          <w:szCs w:val="28"/>
          <w:lang w:val="uk-UA"/>
        </w:rPr>
        <w:t xml:space="preserve">Це </w:t>
      </w:r>
      <w:r w:rsidRPr="005F0419">
        <w:rPr>
          <w:rStyle w:val="rynqvb"/>
          <w:sz w:val="28"/>
          <w:szCs w:val="28"/>
          <w:lang w:val="uk-UA"/>
        </w:rPr>
        <w:t xml:space="preserve">матеріали про компанію, які покликані підтримати та покращити її репутацію в очах </w:t>
      </w:r>
      <w:proofErr w:type="spellStart"/>
      <w:r w:rsidRPr="005F0419">
        <w:rPr>
          <w:rStyle w:val="rynqvb"/>
          <w:sz w:val="28"/>
          <w:szCs w:val="28"/>
          <w:lang w:val="uk-UA"/>
        </w:rPr>
        <w:t>стейкхолдерів</w:t>
      </w:r>
      <w:proofErr w:type="spellEnd"/>
      <w:r w:rsidRPr="005F0419">
        <w:rPr>
          <w:rStyle w:val="rynqvb"/>
          <w:sz w:val="28"/>
          <w:szCs w:val="28"/>
          <w:lang w:val="uk-UA"/>
        </w:rPr>
        <w:t xml:space="preserve">. Вибирати вид </w:t>
      </w:r>
      <w:r w:rsidRPr="005F0419">
        <w:rPr>
          <w:rStyle w:val="rynqvb"/>
          <w:sz w:val="28"/>
          <w:szCs w:val="28"/>
          <w:lang w:val="uk-UA"/>
        </w:rPr>
        <w:lastRenderedPageBreak/>
        <w:t xml:space="preserve">репутаційного контенту необхідно з урахуванням цільової аудиторії та інших учасників ринку. За допомогою репутаційного контенту можна знімати заперечення потенційного клієнта ще до процесу прямих комунікацій з ним. До видів репутаційного контенту відносяться відгуки, кейси, FAQ, публікації в ЗМІ, </w:t>
      </w:r>
      <w:proofErr w:type="spellStart"/>
      <w:r w:rsidRPr="005F0419">
        <w:rPr>
          <w:rStyle w:val="rynqvb"/>
          <w:sz w:val="28"/>
          <w:szCs w:val="28"/>
          <w:lang w:val="uk-UA"/>
        </w:rPr>
        <w:t>бекстейджі</w:t>
      </w:r>
      <w:proofErr w:type="spellEnd"/>
      <w:r w:rsidRPr="005F0419">
        <w:rPr>
          <w:rStyle w:val="rynqvb"/>
          <w:sz w:val="28"/>
          <w:szCs w:val="28"/>
          <w:lang w:val="uk-UA"/>
        </w:rPr>
        <w:t xml:space="preserve"> та інформація про ключові фігури компанії, рубрика До/Після чи Було/Стало, експерименти,  експертний чат,  факти та цифри про компанію, реальні фото. </w:t>
      </w:r>
    </w:p>
    <w:p w14:paraId="1A97551F"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i/>
          <w:sz w:val="28"/>
          <w:szCs w:val="28"/>
          <w:lang w:val="uk-UA"/>
        </w:rPr>
        <w:t>Сервісний контент</w:t>
      </w:r>
      <w:r w:rsidRPr="005F0419">
        <w:rPr>
          <w:rStyle w:val="rynqvb"/>
          <w:sz w:val="28"/>
          <w:szCs w:val="28"/>
          <w:lang w:val="uk-UA"/>
        </w:rPr>
        <w:t xml:space="preserve"> – це різновид освітнього та інформаційного контенту.</w:t>
      </w:r>
      <w:r w:rsidRPr="005F0419">
        <w:rPr>
          <w:rStyle w:val="hwtze"/>
          <w:sz w:val="28"/>
          <w:szCs w:val="28"/>
          <w:lang w:val="uk-UA"/>
        </w:rPr>
        <w:t xml:space="preserve"> Використовується для інформування </w:t>
      </w:r>
      <w:r w:rsidRPr="005F0419">
        <w:rPr>
          <w:rStyle w:val="rynqvb"/>
          <w:sz w:val="28"/>
          <w:szCs w:val="28"/>
          <w:lang w:val="uk-UA"/>
        </w:rPr>
        <w:t>аудиторії про важливі події, зміни, що стосуються продукції чи послуг, навчає користуватися чимось, наприклад, новою програмою.</w:t>
      </w:r>
      <w:r w:rsidRPr="005F0419">
        <w:rPr>
          <w:rStyle w:val="hwtze"/>
          <w:sz w:val="28"/>
          <w:szCs w:val="28"/>
          <w:lang w:val="uk-UA"/>
        </w:rPr>
        <w:t xml:space="preserve"> </w:t>
      </w:r>
      <w:r w:rsidRPr="005F0419">
        <w:rPr>
          <w:rStyle w:val="rynqvb"/>
          <w:sz w:val="28"/>
          <w:szCs w:val="28"/>
          <w:lang w:val="uk-UA"/>
        </w:rPr>
        <w:t xml:space="preserve">Це турбота про користувачів: хороший сервісний контент підвищує лояльність до компанії, допомагає зробити продукт </w:t>
      </w:r>
      <w:proofErr w:type="spellStart"/>
      <w:r w:rsidRPr="005F0419">
        <w:rPr>
          <w:rStyle w:val="rynqvb"/>
          <w:sz w:val="28"/>
          <w:szCs w:val="28"/>
          <w:lang w:val="uk-UA"/>
        </w:rPr>
        <w:t>user</w:t>
      </w:r>
      <w:proofErr w:type="spellEnd"/>
      <w:r w:rsidRPr="005F0419">
        <w:rPr>
          <w:rStyle w:val="rynqvb"/>
          <w:sz w:val="28"/>
          <w:szCs w:val="28"/>
          <w:lang w:val="uk-UA"/>
        </w:rPr>
        <w:t xml:space="preserve"> </w:t>
      </w:r>
      <w:proofErr w:type="spellStart"/>
      <w:r w:rsidRPr="005F0419">
        <w:rPr>
          <w:rStyle w:val="rynqvb"/>
          <w:sz w:val="28"/>
          <w:szCs w:val="28"/>
          <w:lang w:val="uk-UA"/>
        </w:rPr>
        <w:t>friendly</w:t>
      </w:r>
      <w:proofErr w:type="spellEnd"/>
      <w:r w:rsidRPr="005F0419">
        <w:rPr>
          <w:rStyle w:val="rynqvb"/>
          <w:sz w:val="28"/>
          <w:szCs w:val="28"/>
          <w:lang w:val="uk-UA"/>
        </w:rPr>
        <w:t>.</w:t>
      </w:r>
    </w:p>
    <w:p w14:paraId="0BDED964" w14:textId="77777777" w:rsidR="00115A3E" w:rsidRPr="005F0419" w:rsidRDefault="00115A3E" w:rsidP="00115A3E">
      <w:pPr>
        <w:pStyle w:val="a9"/>
        <w:spacing w:before="0" w:beforeAutospacing="0" w:after="0" w:afterAutospacing="0" w:line="360" w:lineRule="auto"/>
        <w:ind w:firstLine="720"/>
        <w:jc w:val="both"/>
        <w:rPr>
          <w:sz w:val="28"/>
          <w:szCs w:val="28"/>
          <w:lang w:val="uk-UA"/>
        </w:rPr>
      </w:pPr>
      <w:r w:rsidRPr="005F0419">
        <w:rPr>
          <w:i/>
          <w:iCs/>
          <w:sz w:val="28"/>
          <w:szCs w:val="28"/>
          <w:lang w:val="uk-UA"/>
        </w:rPr>
        <w:t>Формати контенту.</w:t>
      </w:r>
    </w:p>
    <w:p w14:paraId="7F469642"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Будь-який канал комунікацій потребує різноманітності матеріалів, причому не лише за змістом, а й за форматами. Розуміння форматів допомагає зробити хороші комунікаційні плани та розрахувати бюджет, збалансувати контент та правильно запакувати матеріал.</w:t>
      </w:r>
    </w:p>
    <w:p w14:paraId="51FF6660" w14:textId="77777777"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i/>
          <w:iCs/>
          <w:sz w:val="28"/>
          <w:szCs w:val="28"/>
          <w:lang w:val="uk-UA"/>
        </w:rPr>
        <w:t>Формати контенту</w:t>
      </w:r>
      <w:r w:rsidRPr="005F0419">
        <w:rPr>
          <w:b/>
          <w:bCs/>
          <w:sz w:val="28"/>
          <w:szCs w:val="28"/>
          <w:lang w:val="uk-UA"/>
        </w:rPr>
        <w:t xml:space="preserve"> - </w:t>
      </w:r>
      <w:r w:rsidRPr="005F0419">
        <w:rPr>
          <w:bCs/>
          <w:sz w:val="28"/>
          <w:szCs w:val="28"/>
          <w:lang w:val="uk-UA"/>
        </w:rPr>
        <w:t>це різні форми повідомлення одного і того ж змісту по конкретній темі (рис. 8).</w:t>
      </w:r>
    </w:p>
    <w:p w14:paraId="4E074937" w14:textId="77777777"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Важливо володіти сучасними технологіями та інструментами створення контенту. Графічні та текстові редактори, програми і сервіси для створення відео, курсів, анімації, ілюстрацій, списків; програми для розсилок повідомлень; інструменти для автоматизації контенту, його дослідження. Все це незамінні помічники при плануванні та реалізації вашої комунікаційної стратегії. </w:t>
      </w:r>
    </w:p>
    <w:p w14:paraId="2FC00BBF" w14:textId="77777777" w:rsidR="00115A3E" w:rsidRPr="005F0419" w:rsidRDefault="00115A3E" w:rsidP="00115A3E">
      <w:pPr>
        <w:pStyle w:val="a9"/>
        <w:spacing w:before="0" w:beforeAutospacing="0" w:after="0" w:afterAutospacing="0" w:line="360" w:lineRule="auto"/>
        <w:ind w:firstLine="720"/>
        <w:jc w:val="both"/>
        <w:rPr>
          <w:i/>
          <w:sz w:val="28"/>
          <w:szCs w:val="28"/>
          <w:lang w:val="uk-UA"/>
        </w:rPr>
      </w:pPr>
      <w:r w:rsidRPr="005F0419">
        <w:rPr>
          <w:i/>
          <w:sz w:val="28"/>
          <w:szCs w:val="28"/>
          <w:lang w:val="uk-UA"/>
        </w:rPr>
        <w:t>Розробка системи планів і програм комунікацій</w:t>
      </w:r>
    </w:p>
    <w:p w14:paraId="758F651E" w14:textId="77777777"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sz w:val="28"/>
          <w:szCs w:val="28"/>
          <w:lang w:val="uk-UA"/>
        </w:rPr>
        <w:t>Як вже було відзначено вище, інформацію про цільові аудиторії, ключові повідомлення для них, обрані канали, види та формати контенту зручно оформити у вигляді комунікаційної матриці.</w:t>
      </w:r>
    </w:p>
    <w:p w14:paraId="736C2A9B" w14:textId="77777777" w:rsidR="00115A3E" w:rsidRPr="005F0419" w:rsidRDefault="00115A3E" w:rsidP="00115A3E">
      <w:pPr>
        <w:pStyle w:val="a9"/>
        <w:spacing w:before="0" w:beforeAutospacing="0" w:after="0" w:afterAutospacing="0" w:line="360" w:lineRule="auto"/>
        <w:ind w:firstLine="720"/>
        <w:jc w:val="both"/>
        <w:rPr>
          <w:bCs/>
          <w:sz w:val="28"/>
          <w:szCs w:val="28"/>
          <w:lang w:val="uk-UA"/>
        </w:rPr>
      </w:pPr>
    </w:p>
    <w:p w14:paraId="17AB78B1" w14:textId="77777777" w:rsidR="00115A3E" w:rsidRPr="005F0419" w:rsidRDefault="00115A3E" w:rsidP="00115A3E">
      <w:pPr>
        <w:pStyle w:val="a9"/>
        <w:spacing w:before="0" w:beforeAutospacing="0" w:after="0" w:afterAutospacing="0" w:line="360" w:lineRule="auto"/>
        <w:ind w:firstLine="720"/>
        <w:jc w:val="both"/>
        <w:rPr>
          <w:b/>
          <w:bCs/>
          <w:sz w:val="28"/>
          <w:szCs w:val="28"/>
          <w:lang w:val="uk-UA"/>
        </w:rPr>
      </w:pPr>
      <w:r w:rsidRPr="005F0419">
        <w:rPr>
          <w:b/>
          <w:bCs/>
          <w:noProof/>
          <w:sz w:val="28"/>
          <w:szCs w:val="28"/>
          <w:lang w:val="uk-UA"/>
        </w:rPr>
        <w:lastRenderedPageBreak/>
        <w:drawing>
          <wp:inline distT="0" distB="0" distL="0" distR="0" wp14:anchorId="6861ED46" wp14:editId="7823EB5B">
            <wp:extent cx="5695122" cy="8418444"/>
            <wp:effectExtent l="0" t="0" r="0" b="20955"/>
            <wp:docPr id="148" name="Схема 14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8" r:lo="rId129" r:qs="rId130" r:cs="rId131"/>
              </a:graphicData>
            </a:graphic>
          </wp:inline>
        </w:drawing>
      </w:r>
    </w:p>
    <w:p w14:paraId="2841E5DC" w14:textId="33938A0F" w:rsidR="00115A3E" w:rsidRPr="005F0419" w:rsidRDefault="00115A3E" w:rsidP="00115A3E">
      <w:pPr>
        <w:pStyle w:val="a9"/>
        <w:spacing w:before="0" w:beforeAutospacing="0" w:after="0" w:afterAutospacing="0" w:line="360" w:lineRule="auto"/>
        <w:ind w:firstLine="720"/>
        <w:jc w:val="center"/>
        <w:rPr>
          <w:bCs/>
          <w:sz w:val="28"/>
          <w:szCs w:val="28"/>
          <w:lang w:val="uk-UA"/>
        </w:rPr>
      </w:pPr>
      <w:r w:rsidRPr="005F0419">
        <w:rPr>
          <w:bCs/>
          <w:sz w:val="28"/>
          <w:szCs w:val="28"/>
          <w:lang w:val="uk-UA"/>
        </w:rPr>
        <w:t>Рис. 8. Формати контенту</w:t>
      </w:r>
    </w:p>
    <w:p w14:paraId="3E242F60" w14:textId="5E5300B8" w:rsidR="00D206B5" w:rsidRPr="005F0419" w:rsidRDefault="00D206B5" w:rsidP="00D206B5">
      <w:pPr>
        <w:pStyle w:val="a9"/>
        <w:spacing w:before="0" w:beforeAutospacing="0" w:after="0" w:afterAutospacing="0" w:line="360" w:lineRule="auto"/>
        <w:ind w:firstLine="720"/>
        <w:rPr>
          <w:bCs/>
          <w:sz w:val="28"/>
          <w:szCs w:val="28"/>
          <w:lang w:val="uk-UA"/>
        </w:rPr>
      </w:pPr>
      <w:r w:rsidRPr="005F0419">
        <w:rPr>
          <w:bCs/>
          <w:sz w:val="28"/>
          <w:szCs w:val="28"/>
          <w:lang w:val="uk-UA"/>
        </w:rPr>
        <w:t>Джерело: побудовано автором.</w:t>
      </w:r>
    </w:p>
    <w:p w14:paraId="36CBC1B0" w14:textId="77777777" w:rsidR="00D206B5" w:rsidRPr="005F0419" w:rsidRDefault="00D206B5"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lastRenderedPageBreak/>
        <w:t xml:space="preserve">На основі даної інформації відбувається безпосередньо процес планування, формуються різні види комунікаційних планів. Це </w:t>
      </w:r>
      <w:r w:rsidRPr="005F0419">
        <w:rPr>
          <w:rStyle w:val="rynqvb"/>
          <w:sz w:val="28"/>
          <w:szCs w:val="28"/>
          <w:lang w:val="uk-UA"/>
        </w:rPr>
        <w:t>плани дій, які зазвичай включають терміни, відповідальних осіб та ресурси, необхідні для реалізації вашої комунікаційної стратегії.</w:t>
      </w:r>
    </w:p>
    <w:p w14:paraId="41D25F65" w14:textId="77777777" w:rsidR="00D206B5" w:rsidRPr="005F0419" w:rsidRDefault="00D206B5"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В залежності від встановлених цілей організації, потреб </w:t>
      </w:r>
      <w:proofErr w:type="spellStart"/>
      <w:r w:rsidRPr="005F0419">
        <w:rPr>
          <w:bCs/>
          <w:sz w:val="28"/>
          <w:szCs w:val="28"/>
          <w:lang w:val="uk-UA"/>
        </w:rPr>
        <w:t>стейкхолдерів</w:t>
      </w:r>
      <w:proofErr w:type="spellEnd"/>
      <w:r w:rsidRPr="005F0419">
        <w:rPr>
          <w:bCs/>
          <w:sz w:val="28"/>
          <w:szCs w:val="28"/>
          <w:lang w:val="uk-UA"/>
        </w:rPr>
        <w:t xml:space="preserve">, рівня комунікацій, обраних каналів комунікацій це можуть бути різні форми довгострокових або поточних планів комунікацій організації, план комунікацій команди проекту всередині або зі </w:t>
      </w:r>
      <w:proofErr w:type="spellStart"/>
      <w:r w:rsidRPr="005F0419">
        <w:rPr>
          <w:bCs/>
          <w:sz w:val="28"/>
          <w:szCs w:val="28"/>
          <w:lang w:val="uk-UA"/>
        </w:rPr>
        <w:t>стейкхолдерами</w:t>
      </w:r>
      <w:proofErr w:type="spellEnd"/>
      <w:r w:rsidRPr="005F0419">
        <w:rPr>
          <w:bCs/>
          <w:sz w:val="28"/>
          <w:szCs w:val="28"/>
          <w:lang w:val="uk-UA"/>
        </w:rPr>
        <w:t xml:space="preserve">, контент-матриця, контент-план, медіа-план та багато інших різновидів. Розглянемо деякі з них. </w:t>
      </w:r>
    </w:p>
    <w:p w14:paraId="3EA27318" w14:textId="77777777" w:rsidR="00D206B5" w:rsidRPr="005F0419" w:rsidRDefault="00D206B5" w:rsidP="00D206B5">
      <w:pPr>
        <w:pStyle w:val="a9"/>
        <w:spacing w:before="0" w:beforeAutospacing="0" w:after="0" w:afterAutospacing="0" w:line="360" w:lineRule="auto"/>
        <w:ind w:firstLine="720"/>
        <w:jc w:val="both"/>
        <w:rPr>
          <w:rStyle w:val="rynqvb"/>
          <w:sz w:val="28"/>
          <w:szCs w:val="28"/>
          <w:lang w:val="uk-UA"/>
        </w:rPr>
      </w:pPr>
      <w:r w:rsidRPr="005F0419">
        <w:rPr>
          <w:rStyle w:val="rynqvb"/>
          <w:i/>
          <w:sz w:val="28"/>
          <w:szCs w:val="28"/>
          <w:lang w:val="uk-UA"/>
        </w:rPr>
        <w:t>План управління комунікаціями проекту</w:t>
      </w:r>
      <w:r w:rsidRPr="005F0419">
        <w:rPr>
          <w:rStyle w:val="rynqvb"/>
          <w:sz w:val="28"/>
          <w:szCs w:val="28"/>
          <w:lang w:val="uk-UA"/>
        </w:rPr>
        <w:t xml:space="preserve"> - це документ, в якому прописані регламенти для взаємодії, канали зв'язку та формати обміну інформацією всередині проектної команди, самого проекту та його </w:t>
      </w:r>
      <w:proofErr w:type="spellStart"/>
      <w:r w:rsidRPr="005F0419">
        <w:rPr>
          <w:rStyle w:val="rynqvb"/>
          <w:sz w:val="28"/>
          <w:szCs w:val="28"/>
          <w:lang w:val="uk-UA"/>
        </w:rPr>
        <w:t>стейкхолдерами</w:t>
      </w:r>
      <w:proofErr w:type="spellEnd"/>
      <w:r w:rsidRPr="005F0419">
        <w:rPr>
          <w:rStyle w:val="rynqvb"/>
          <w:sz w:val="28"/>
          <w:szCs w:val="28"/>
          <w:lang w:val="uk-UA"/>
        </w:rPr>
        <w:t xml:space="preserve">. Цей документ встановлює цілі комунікацій та визначає, яким чином будуть задоволені потреби зацікавлених сторін. </w:t>
      </w:r>
    </w:p>
    <w:p w14:paraId="79262B8B" w14:textId="314F8CAE" w:rsidR="00D206B5" w:rsidRPr="005F0419" w:rsidRDefault="00D206B5" w:rsidP="00D206B5">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План комунікацій є складовою плану проекту.</w:t>
      </w:r>
      <w:r w:rsidRPr="005F0419">
        <w:rPr>
          <w:rStyle w:val="hwtze"/>
          <w:sz w:val="28"/>
          <w:szCs w:val="28"/>
          <w:lang w:val="uk-UA"/>
        </w:rPr>
        <w:t xml:space="preserve"> </w:t>
      </w:r>
      <w:r w:rsidRPr="005F0419">
        <w:rPr>
          <w:rStyle w:val="rynqvb"/>
          <w:sz w:val="28"/>
          <w:szCs w:val="28"/>
          <w:lang w:val="uk-UA"/>
        </w:rPr>
        <w:t xml:space="preserve">Він включає [8]: </w:t>
      </w:r>
    </w:p>
    <w:p w14:paraId="48616CCE" w14:textId="3B6A574A" w:rsidR="00D206B5" w:rsidRPr="005F0419" w:rsidRDefault="00D206B5" w:rsidP="00D206B5">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 план збору інформації, у якому визначаються джерела інформації та методи її отримання; </w:t>
      </w:r>
    </w:p>
    <w:p w14:paraId="5C97F7AC" w14:textId="1C07CBE7" w:rsidR="00D206B5" w:rsidRPr="005F0419" w:rsidRDefault="00D206B5" w:rsidP="00D206B5">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 план розподілу інформації, у якому визначаються споживачі інформації та способи її доставки; </w:t>
      </w:r>
    </w:p>
    <w:p w14:paraId="4D055D59" w14:textId="39838209" w:rsidR="00D206B5" w:rsidRPr="005F0419" w:rsidRDefault="00D206B5" w:rsidP="00D206B5">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 детальний опис кожного документа, який має бути отриманий або переданий, включаючи формат, зміст, рівень детальності та використовувані визначення; </w:t>
      </w:r>
    </w:p>
    <w:p w14:paraId="031BEE4F" w14:textId="48571939" w:rsidR="00115A3E" w:rsidRPr="005F0419" w:rsidRDefault="00D206B5" w:rsidP="00D206B5">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 </w:t>
      </w:r>
      <w:r w:rsidR="00115A3E" w:rsidRPr="005F0419">
        <w:rPr>
          <w:rStyle w:val="rynqvb"/>
          <w:sz w:val="28"/>
          <w:szCs w:val="28"/>
          <w:lang w:val="uk-UA"/>
        </w:rPr>
        <w:t xml:space="preserve">план введення у дію тих чи інших видів комунікацій; </w:t>
      </w:r>
    </w:p>
    <w:p w14:paraId="619207D1" w14:textId="5F7A02D3" w:rsidR="00115A3E" w:rsidRPr="005F0419" w:rsidRDefault="00D206B5" w:rsidP="00D206B5">
      <w:pPr>
        <w:pStyle w:val="a9"/>
        <w:spacing w:before="0" w:beforeAutospacing="0" w:after="0" w:afterAutospacing="0" w:line="360" w:lineRule="auto"/>
        <w:ind w:firstLine="720"/>
        <w:jc w:val="both"/>
        <w:rPr>
          <w:rStyle w:val="hwtze"/>
          <w:sz w:val="28"/>
          <w:szCs w:val="28"/>
          <w:lang w:val="uk-UA"/>
        </w:rPr>
      </w:pPr>
      <w:r w:rsidRPr="005F0419">
        <w:rPr>
          <w:rStyle w:val="rynqvb"/>
          <w:sz w:val="28"/>
          <w:szCs w:val="28"/>
          <w:lang w:val="uk-UA"/>
        </w:rPr>
        <w:t xml:space="preserve">- </w:t>
      </w:r>
      <w:r w:rsidR="00115A3E" w:rsidRPr="005F0419">
        <w:rPr>
          <w:rStyle w:val="rynqvb"/>
          <w:sz w:val="28"/>
          <w:szCs w:val="28"/>
          <w:lang w:val="uk-UA"/>
        </w:rPr>
        <w:t>методи оновлення та вдосконалення плану комунікацій.</w:t>
      </w:r>
      <w:r w:rsidR="00115A3E" w:rsidRPr="005F0419">
        <w:rPr>
          <w:rStyle w:val="hwtze"/>
          <w:sz w:val="28"/>
          <w:szCs w:val="28"/>
          <w:lang w:val="uk-UA"/>
        </w:rPr>
        <w:t xml:space="preserve"> </w:t>
      </w:r>
    </w:p>
    <w:p w14:paraId="3A42C2D5"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План комунікацій формалізується та деталізується залежно від потреб проекту. Елементами такого плану є фіксація </w:t>
      </w:r>
      <w:proofErr w:type="spellStart"/>
      <w:r w:rsidRPr="005F0419">
        <w:rPr>
          <w:rStyle w:val="rynqvb"/>
          <w:sz w:val="28"/>
          <w:szCs w:val="28"/>
          <w:lang w:val="uk-UA"/>
        </w:rPr>
        <w:t>стейкхолдерів</w:t>
      </w:r>
      <w:proofErr w:type="spellEnd"/>
      <w:r w:rsidRPr="005F0419">
        <w:rPr>
          <w:rStyle w:val="rynqvb"/>
          <w:sz w:val="28"/>
          <w:szCs w:val="28"/>
          <w:lang w:val="uk-UA"/>
        </w:rPr>
        <w:t xml:space="preserve">, цільової аудиторії, визначення їх потреб, ключові повідомлення, терміни, методи комунікацій. </w:t>
      </w:r>
    </w:p>
    <w:p w14:paraId="7A75744D" w14:textId="77777777" w:rsidR="00D206B5"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План управління комунікаціями, згідно з </w:t>
      </w:r>
      <w:proofErr w:type="spellStart"/>
      <w:r w:rsidRPr="005F0419">
        <w:rPr>
          <w:rStyle w:val="rynqvb"/>
          <w:rFonts w:ascii="Times New Roman" w:hAnsi="Times New Roman" w:cs="Times New Roman"/>
          <w:sz w:val="28"/>
          <w:szCs w:val="28"/>
          <w:lang w:val="uk-UA"/>
        </w:rPr>
        <w:t>РМВоК</w:t>
      </w:r>
      <w:proofErr w:type="spellEnd"/>
      <w:r w:rsidRPr="005F0419">
        <w:rPr>
          <w:rStyle w:val="rynqvb"/>
          <w:rFonts w:ascii="Times New Roman" w:hAnsi="Times New Roman" w:cs="Times New Roman"/>
          <w:sz w:val="28"/>
          <w:szCs w:val="28"/>
          <w:lang w:val="uk-UA"/>
        </w:rPr>
        <w:t xml:space="preserve">, у загальному випадку має включати: </w:t>
      </w:r>
    </w:p>
    <w:p w14:paraId="631BD175" w14:textId="1CB8D94F"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вимоги зацікавлених сторін до комунікацій; </w:t>
      </w:r>
    </w:p>
    <w:p w14:paraId="3D3F5A82"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lastRenderedPageBreak/>
        <w:t xml:space="preserve">• відомості про передану інформацію, включаючи мову, формат, рівень деталізації; </w:t>
      </w:r>
    </w:p>
    <w:p w14:paraId="4280015F"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причину розповсюдження інформації; </w:t>
      </w:r>
    </w:p>
    <w:p w14:paraId="43C172AD"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терміни та періодичність поширення інформації; </w:t>
      </w:r>
    </w:p>
    <w:p w14:paraId="6F593687"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відповідальних осіб за передачу інформації; </w:t>
      </w:r>
    </w:p>
    <w:p w14:paraId="4C8DD785"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уточнення особи, яка видає дозвіл на розкриття конфіденційної інформації; </w:t>
      </w:r>
    </w:p>
    <w:p w14:paraId="7891FA88" w14:textId="54BF5B7E"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перелік осіб </w:t>
      </w:r>
      <w:r w:rsidR="00D206B5" w:rsidRPr="005F0419">
        <w:rPr>
          <w:rStyle w:val="rynqvb"/>
          <w:rFonts w:ascii="Times New Roman" w:hAnsi="Times New Roman" w:cs="Times New Roman"/>
          <w:sz w:val="28"/>
          <w:szCs w:val="28"/>
          <w:lang w:val="uk-UA"/>
        </w:rPr>
        <w:t>–</w:t>
      </w:r>
      <w:r w:rsidRPr="005F0419">
        <w:rPr>
          <w:rStyle w:val="rynqvb"/>
          <w:rFonts w:ascii="Times New Roman" w:hAnsi="Times New Roman" w:cs="Times New Roman"/>
          <w:sz w:val="28"/>
          <w:szCs w:val="28"/>
          <w:lang w:val="uk-UA"/>
        </w:rPr>
        <w:t xml:space="preserve"> одержувачів</w:t>
      </w:r>
      <w:r w:rsidR="00D206B5" w:rsidRPr="005F0419">
        <w:rPr>
          <w:rStyle w:val="rynqvb"/>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інформації; </w:t>
      </w:r>
    </w:p>
    <w:p w14:paraId="13451EDB"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методи та технології, що використовуються для поширення інформації; </w:t>
      </w:r>
    </w:p>
    <w:p w14:paraId="5DBD7D51"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ресурси (тимчасові та фінансові), виділені на організацію комунікацій; </w:t>
      </w:r>
    </w:p>
    <w:p w14:paraId="497D6A63"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методи актуалізації та уточнення плану управління комунікаціями в ході виконання проекту; </w:t>
      </w:r>
    </w:p>
    <w:p w14:paraId="6B672942"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глосарій прийнятих термінів; </w:t>
      </w:r>
    </w:p>
    <w:p w14:paraId="6FA6CC40"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 схеми організації потоків проектної інформації; </w:t>
      </w:r>
    </w:p>
    <w:p w14:paraId="6CF69614"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обмеження комунікаційних процесів (політичні, нормативно-правові, технологічні та ін.).</w:t>
      </w:r>
    </w:p>
    <w:p w14:paraId="4AE86D95"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Використання планування в проектних комунікаціях дає наступні переваги:</w:t>
      </w:r>
    </w:p>
    <w:p w14:paraId="51C0D1C2" w14:textId="29194510" w:rsidR="00115A3E" w:rsidRPr="005F0419" w:rsidRDefault="00D206B5" w:rsidP="00D206B5">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 </w:t>
      </w:r>
      <w:r w:rsidR="00115A3E" w:rsidRPr="005F0419">
        <w:rPr>
          <w:rStyle w:val="rynqvb"/>
          <w:sz w:val="28"/>
          <w:szCs w:val="28"/>
          <w:lang w:val="uk-UA"/>
        </w:rPr>
        <w:t>забезпечує ефективне та взаємовигідне спілкування між усіма учасниками;</w:t>
      </w:r>
    </w:p>
    <w:p w14:paraId="6D3BD724" w14:textId="070B1EF6" w:rsidR="00115A3E" w:rsidRPr="005F0419" w:rsidRDefault="00D206B5" w:rsidP="00D206B5">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 </w:t>
      </w:r>
      <w:r w:rsidR="00115A3E" w:rsidRPr="005F0419">
        <w:rPr>
          <w:rStyle w:val="rynqvb"/>
          <w:sz w:val="28"/>
          <w:szCs w:val="28"/>
          <w:lang w:val="uk-UA"/>
        </w:rPr>
        <w:t>дозволяє підвищити дисциплінованість, уникнути непорозумінь, покращує узгодженість у команді та посилює довіру з боку зацікавлених груп;</w:t>
      </w:r>
    </w:p>
    <w:p w14:paraId="2BB96DDA" w14:textId="762FD0FC" w:rsidR="00115A3E" w:rsidRPr="005F0419" w:rsidRDefault="00D206B5" w:rsidP="00D206B5">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 </w:t>
      </w:r>
      <w:r w:rsidR="00115A3E" w:rsidRPr="005F0419">
        <w:rPr>
          <w:rStyle w:val="rynqvb"/>
          <w:sz w:val="28"/>
          <w:szCs w:val="28"/>
          <w:lang w:val="uk-UA"/>
        </w:rPr>
        <w:t>сприяє дотриманню термінів виконання завдань, дедлайнів, економії часу;</w:t>
      </w:r>
    </w:p>
    <w:p w14:paraId="03B7FBB9" w14:textId="49EC696F" w:rsidR="00115A3E" w:rsidRPr="005F0419" w:rsidRDefault="00D206B5" w:rsidP="00D206B5">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 </w:t>
      </w:r>
      <w:r w:rsidR="00115A3E" w:rsidRPr="005F0419">
        <w:rPr>
          <w:rStyle w:val="rynqvb"/>
          <w:sz w:val="28"/>
          <w:szCs w:val="28"/>
          <w:lang w:val="uk-UA"/>
        </w:rPr>
        <w:t>забезпечує учасників проекту об’єктивною, вчасною та релевантною інформацією;</w:t>
      </w:r>
    </w:p>
    <w:p w14:paraId="44408C2C" w14:textId="3F6044EC" w:rsidR="00115A3E" w:rsidRPr="005F0419" w:rsidRDefault="00D206B5" w:rsidP="00D206B5">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 </w:t>
      </w:r>
      <w:r w:rsidR="00115A3E" w:rsidRPr="005F0419">
        <w:rPr>
          <w:rStyle w:val="rynqvb"/>
          <w:sz w:val="28"/>
          <w:szCs w:val="28"/>
          <w:lang w:val="uk-UA"/>
        </w:rPr>
        <w:t>підвищує ефективність ухвалених управлінських рішень.</w:t>
      </w:r>
    </w:p>
    <w:p w14:paraId="7B4E5503"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Практично всі комунікації у проекті можна віднести до трьох основних груп: обов'язкові, робочі та маркетингові. </w:t>
      </w:r>
    </w:p>
    <w:p w14:paraId="07205CEA"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lastRenderedPageBreak/>
        <w:t>Необхідність обов'язкових комунікацій може регулюватися правилами, що існують у компанії, галузевими вимогами чи законодавством.</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При цьому інформація повинна доставлятися адресатам автоматично, без запиту з їхнього боку. До заходів цього розділу можуть належати: звіти про статус проекту, статус-наради, наради з керівниками або інвесторами, регулярні звіти,  регламентована звітність державним органам, корпоративна фінансова звітність та ін. </w:t>
      </w:r>
    </w:p>
    <w:p w14:paraId="7F992431" w14:textId="0A0A41AB"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Робочі комунікації. Цей різновид комунікацій надає </w:t>
      </w:r>
      <w:proofErr w:type="spellStart"/>
      <w:r w:rsidRPr="005F0419">
        <w:rPr>
          <w:rStyle w:val="rynqvb"/>
          <w:rFonts w:ascii="Times New Roman" w:hAnsi="Times New Roman" w:cs="Times New Roman"/>
          <w:sz w:val="28"/>
          <w:szCs w:val="28"/>
          <w:lang w:val="uk-UA"/>
        </w:rPr>
        <w:t>стейкхолдерам</w:t>
      </w:r>
      <w:proofErr w:type="spellEnd"/>
      <w:r w:rsidRPr="005F0419">
        <w:rPr>
          <w:rStyle w:val="rynqvb"/>
          <w:rFonts w:ascii="Times New Roman" w:hAnsi="Times New Roman" w:cs="Times New Roman"/>
          <w:sz w:val="28"/>
          <w:szCs w:val="28"/>
          <w:lang w:val="uk-UA"/>
        </w:rPr>
        <w:t xml:space="preserve"> можливість отримувати інформацію, яка їх цікавить чи потрібна їм для виконання робіт або покладених обов'язків.</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Така інформація про проект має бути доступною для отримання споживачам з їхньої ініціативи.</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Заходи цього розділу можуть включати: ознайомчі (інформаційні) сесії, на які запрошуються всі бажаючі отримати інформацію про проект; проміжні результати, шаблони документів, плани та робочі документи проекту, розміщені у спільному сховищі, каталозі, веб-сайті чи бібліотеці, куди мають доступ потенційно зацікавлені сторони; часті питання та відповіді, інструкції; презентаційні матеріали та ін. </w:t>
      </w:r>
    </w:p>
    <w:p w14:paraId="310E6BEE"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Маркетингові комунікації. Цей різновид комунікацій служить для створення та підтримки позитивного ставлення до проекту та його результатів.</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Цей розділ плану зазвичай вимагає глибокого припрацювання для того, щоб наведені в ньому заходи викликали інтерес у цільової аудиторії, позитивно сприймалися і формували у неї необхідну лояльність до проекту та його результатів.</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Наприклад, серед таких заходів можуть бути: нотатки про проект з інформацією, що подається у позитивному ключі; регулярні особисті зустрічі із ключовими учасниками; дорожні презентації (</w:t>
      </w:r>
      <w:proofErr w:type="spellStart"/>
      <w:r w:rsidRPr="005F0419">
        <w:rPr>
          <w:rStyle w:val="rynqvb"/>
          <w:rFonts w:ascii="Times New Roman" w:hAnsi="Times New Roman" w:cs="Times New Roman"/>
          <w:sz w:val="28"/>
          <w:szCs w:val="28"/>
          <w:lang w:val="uk-UA"/>
        </w:rPr>
        <w:t>road</w:t>
      </w:r>
      <w:proofErr w:type="spellEnd"/>
      <w:r w:rsidRPr="005F0419">
        <w:rPr>
          <w:rStyle w:val="rynqvb"/>
          <w:rFonts w:ascii="Times New Roman" w:hAnsi="Times New Roman" w:cs="Times New Roman"/>
          <w:sz w:val="28"/>
          <w:szCs w:val="28"/>
          <w:lang w:val="uk-UA"/>
        </w:rPr>
        <w:t xml:space="preserve"> </w:t>
      </w:r>
      <w:proofErr w:type="spellStart"/>
      <w:r w:rsidRPr="005F0419">
        <w:rPr>
          <w:rStyle w:val="rynqvb"/>
          <w:rFonts w:ascii="Times New Roman" w:hAnsi="Times New Roman" w:cs="Times New Roman"/>
          <w:sz w:val="28"/>
          <w:szCs w:val="28"/>
          <w:lang w:val="uk-UA"/>
        </w:rPr>
        <w:t>show</w:t>
      </w:r>
      <w:proofErr w:type="spellEnd"/>
      <w:r w:rsidRPr="005F0419">
        <w:rPr>
          <w:rStyle w:val="rynqvb"/>
          <w:rFonts w:ascii="Times New Roman" w:hAnsi="Times New Roman" w:cs="Times New Roman"/>
          <w:sz w:val="28"/>
          <w:szCs w:val="28"/>
          <w:lang w:val="uk-UA"/>
        </w:rPr>
        <w:t xml:space="preserve">) для віддалених офісів та підрозділів, присвячені роз'ясненню переваг, пов'язаних із проектом; публікація “історій успіху” учасників аналогічних проектів, у яких висвітлюються отримані переваги; конкурси із призами для привернення уваги до проекту; красивий акронім та слоган проекту, що носять позитивне емоційне забарвлення; табло з відліком днів до отримання результату або до ключової події у проекті; ініціювання дискусій про переваги, пов'язані з результатами </w:t>
      </w:r>
      <w:r w:rsidRPr="005F0419">
        <w:rPr>
          <w:rStyle w:val="rynqvb"/>
          <w:rFonts w:ascii="Times New Roman" w:hAnsi="Times New Roman" w:cs="Times New Roman"/>
          <w:sz w:val="28"/>
          <w:szCs w:val="28"/>
          <w:lang w:val="uk-UA"/>
        </w:rPr>
        <w:lastRenderedPageBreak/>
        <w:t>проекту; урочисте підбиття підсумків фази проекту із заохоченням зацікавлених сторін, що активно беруть участь; пам'ятні сувеніри з логотипом або назвою проекту; пропагування успіхів проекту у ЗМІ та інтернет-медіа.</w:t>
      </w:r>
    </w:p>
    <w:p w14:paraId="114F5451"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План управління комунікаціями дає змогу всім зацікавленим сторонам проекту визначити свої комунікаційні можливості, а також представляти загальну структуру системи комунікацій проекту.</w:t>
      </w:r>
    </w:p>
    <w:p w14:paraId="2B626C83" w14:textId="77777777" w:rsidR="00115A3E" w:rsidRPr="005F0419" w:rsidRDefault="00115A3E" w:rsidP="00115A3E">
      <w:pPr>
        <w:spacing w:after="0" w:line="360" w:lineRule="auto"/>
        <w:ind w:firstLine="720"/>
        <w:jc w:val="both"/>
        <w:rPr>
          <w:rFonts w:ascii="Times New Roman" w:eastAsia="Times New Roman" w:hAnsi="Times New Roman" w:cs="Times New Roman"/>
          <w:sz w:val="28"/>
          <w:szCs w:val="28"/>
          <w:lang w:val="uk-UA" w:eastAsia="uk-UA"/>
        </w:rPr>
      </w:pPr>
      <w:r w:rsidRPr="005F0419">
        <w:rPr>
          <w:rStyle w:val="rynqvb"/>
          <w:rFonts w:ascii="Times New Roman" w:hAnsi="Times New Roman" w:cs="Times New Roman"/>
          <w:i/>
          <w:sz w:val="28"/>
          <w:szCs w:val="28"/>
          <w:lang w:val="uk-UA"/>
        </w:rPr>
        <w:t>Плани внутрішніх комунікацій</w:t>
      </w:r>
      <w:r w:rsidRPr="005F0419">
        <w:rPr>
          <w:rStyle w:val="rynqvb"/>
          <w:rFonts w:ascii="Times New Roman" w:hAnsi="Times New Roman" w:cs="Times New Roman"/>
          <w:sz w:val="28"/>
          <w:szCs w:val="28"/>
          <w:lang w:val="uk-UA"/>
        </w:rPr>
        <w:t>. Розробка плану внутрішніх комунікацій включає так обов’язкові елементи, як розподіл обов'язків та призначення комунікаційних ролей в організації.</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Крім того, необхідне передбачення механізму зворотного зв'язку для оцінки ефективності плану та внесення необхідних коригувань.</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Нарешті, план повинен включати заходи з постійного моніторингу та покращення внутрішніх комунікацій.</w:t>
      </w:r>
    </w:p>
    <w:p w14:paraId="79E9A332" w14:textId="4685FA43"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Внутрішнє спілкування всередині організації можна розділити на чотири різних типи, кожен з яких є унікальною метою і включає різні рівні та напрямки спілкування, що повинно бути відображено у плані внутрішніх комунікацій: висхідний зв'язок (тип комунікації перетікає з нижчих рівнів організаційної ієрархії на більш високі рівні, дозволяє співробітникам ділитися відгуками, пропозиціями та проблемами зі своїми менеджерами чи керівниками вищого рівня); низхідний зв'язок (включає потік інформації від вищих рівнів організаційної ієрархії до нижчих рівнів, використовується для передачі директив, цілей, стратегій та важливих оновлень від керівництва до співробітників); горизонтальна комунікація (відбувається між окремими особами чи групами на одному ієрархічному рівні організації); діагональне спілкування (включає комунікації між різними рівнями і підрозділами всередині організації, перетинаючи формальний ланцюжок підпорядкування).</w:t>
      </w:r>
      <w:r w:rsidRPr="005F0419">
        <w:rPr>
          <w:rStyle w:val="hwtze"/>
          <w:rFonts w:ascii="Times New Roman" w:hAnsi="Times New Roman" w:cs="Times New Roman"/>
          <w:sz w:val="28"/>
          <w:szCs w:val="28"/>
          <w:lang w:val="uk-UA"/>
        </w:rPr>
        <w:t xml:space="preserve"> </w:t>
      </w:r>
    </w:p>
    <w:p w14:paraId="1326AB8E"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Виділення в плані комунікацій цих типів внутрішньої комунікації, дозволяє оптимально підібрати канали та формати комунікацій. </w:t>
      </w:r>
    </w:p>
    <w:p w14:paraId="4D9019C3" w14:textId="77777777"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i/>
          <w:sz w:val="28"/>
          <w:szCs w:val="28"/>
          <w:lang w:val="uk-UA"/>
        </w:rPr>
        <w:t>Матриця контенту</w:t>
      </w:r>
      <w:r w:rsidRPr="005F0419">
        <w:rPr>
          <w:bCs/>
          <w:sz w:val="28"/>
          <w:szCs w:val="28"/>
          <w:lang w:val="uk-UA"/>
        </w:rPr>
        <w:t xml:space="preserve"> – це інструмент планування, який допомагає генерувати ідеї публікацій, джерело тем для майбутніх статей і постів. Це таблиця або схема, де фіксуються певні категорії, пов'язані з концепцією </w:t>
      </w:r>
      <w:r w:rsidRPr="005F0419">
        <w:rPr>
          <w:bCs/>
          <w:sz w:val="28"/>
          <w:szCs w:val="28"/>
          <w:lang w:val="uk-UA"/>
        </w:rPr>
        <w:lastRenderedPageBreak/>
        <w:t xml:space="preserve">комунікаційної стратегії, а потім наповнюються  ключовими фразами і ідеями для тем. </w:t>
      </w:r>
    </w:p>
    <w:p w14:paraId="2C392A01" w14:textId="77777777"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sz w:val="28"/>
          <w:szCs w:val="28"/>
          <w:lang w:val="uk-UA"/>
        </w:rPr>
        <w:t>Складають матрицю на тривалий період і корегують у міру зміни контент-стратегії. Класична ідея контент-матриці заснована на двох елементах:</w:t>
      </w:r>
    </w:p>
    <w:p w14:paraId="280D2BE0" w14:textId="67AC0E61" w:rsidR="00115A3E" w:rsidRPr="005F0419" w:rsidRDefault="00D206B5" w:rsidP="00D206B5">
      <w:pPr>
        <w:pStyle w:val="a9"/>
        <w:spacing w:before="0" w:beforeAutospacing="0" w:after="0" w:afterAutospacing="0" w:line="360" w:lineRule="auto"/>
        <w:ind w:left="720"/>
        <w:jc w:val="both"/>
        <w:rPr>
          <w:bCs/>
          <w:sz w:val="28"/>
          <w:szCs w:val="28"/>
          <w:lang w:val="uk-UA"/>
        </w:rPr>
      </w:pPr>
      <w:r w:rsidRPr="005F0419">
        <w:rPr>
          <w:bCs/>
          <w:sz w:val="28"/>
          <w:szCs w:val="28"/>
          <w:lang w:val="uk-UA"/>
        </w:rPr>
        <w:t xml:space="preserve">- </w:t>
      </w:r>
      <w:r w:rsidR="00115A3E" w:rsidRPr="005F0419">
        <w:rPr>
          <w:bCs/>
          <w:sz w:val="28"/>
          <w:szCs w:val="28"/>
          <w:lang w:val="uk-UA"/>
        </w:rPr>
        <w:t xml:space="preserve">фокус </w:t>
      </w:r>
      <w:r w:rsidRPr="005F0419">
        <w:rPr>
          <w:bCs/>
          <w:sz w:val="28"/>
          <w:szCs w:val="28"/>
          <w:lang w:val="uk-UA"/>
        </w:rPr>
        <w:t>–</w:t>
      </w:r>
      <w:r w:rsidR="00115A3E" w:rsidRPr="005F0419">
        <w:rPr>
          <w:bCs/>
          <w:sz w:val="28"/>
          <w:szCs w:val="28"/>
          <w:lang w:val="uk-UA"/>
        </w:rPr>
        <w:t xml:space="preserve"> про</w:t>
      </w:r>
      <w:r w:rsidRPr="005F0419">
        <w:rPr>
          <w:bCs/>
          <w:sz w:val="28"/>
          <w:szCs w:val="28"/>
          <w:lang w:val="uk-UA"/>
        </w:rPr>
        <w:t xml:space="preserve"> </w:t>
      </w:r>
      <w:r w:rsidR="00115A3E" w:rsidRPr="005F0419">
        <w:rPr>
          <w:bCs/>
          <w:sz w:val="28"/>
          <w:szCs w:val="28"/>
          <w:lang w:val="uk-UA"/>
        </w:rPr>
        <w:t>що розповімо (вид контенту);</w:t>
      </w:r>
    </w:p>
    <w:p w14:paraId="1C58FD1B" w14:textId="508129C9" w:rsidR="00115A3E" w:rsidRPr="005F0419" w:rsidRDefault="00D206B5" w:rsidP="00D206B5">
      <w:pPr>
        <w:pStyle w:val="a9"/>
        <w:spacing w:before="0" w:beforeAutospacing="0" w:after="0" w:afterAutospacing="0" w:line="360" w:lineRule="auto"/>
        <w:ind w:left="720"/>
        <w:jc w:val="both"/>
        <w:rPr>
          <w:bCs/>
          <w:sz w:val="28"/>
          <w:szCs w:val="28"/>
          <w:lang w:val="uk-UA"/>
        </w:rPr>
      </w:pPr>
      <w:r w:rsidRPr="005F0419">
        <w:rPr>
          <w:bCs/>
          <w:sz w:val="28"/>
          <w:szCs w:val="28"/>
          <w:lang w:val="uk-UA"/>
        </w:rPr>
        <w:t xml:space="preserve">- </w:t>
      </w:r>
      <w:r w:rsidR="00115A3E" w:rsidRPr="005F0419">
        <w:rPr>
          <w:bCs/>
          <w:sz w:val="28"/>
          <w:szCs w:val="28"/>
          <w:lang w:val="uk-UA"/>
        </w:rPr>
        <w:t xml:space="preserve">формат </w:t>
      </w:r>
      <w:r w:rsidRPr="005F0419">
        <w:rPr>
          <w:bCs/>
          <w:sz w:val="28"/>
          <w:szCs w:val="28"/>
          <w:lang w:val="uk-UA"/>
        </w:rPr>
        <w:t>–</w:t>
      </w:r>
      <w:r w:rsidR="00115A3E" w:rsidRPr="005F0419">
        <w:rPr>
          <w:bCs/>
          <w:sz w:val="28"/>
          <w:szCs w:val="28"/>
          <w:lang w:val="uk-UA"/>
        </w:rPr>
        <w:t xml:space="preserve"> в</w:t>
      </w:r>
      <w:r w:rsidRPr="005F0419">
        <w:rPr>
          <w:bCs/>
          <w:sz w:val="28"/>
          <w:szCs w:val="28"/>
          <w:lang w:val="uk-UA"/>
        </w:rPr>
        <w:t xml:space="preserve"> </w:t>
      </w:r>
      <w:r w:rsidR="00115A3E" w:rsidRPr="005F0419">
        <w:rPr>
          <w:bCs/>
          <w:sz w:val="28"/>
          <w:szCs w:val="28"/>
          <w:lang w:val="uk-UA"/>
        </w:rPr>
        <w:t>якому форматі розповімо.</w:t>
      </w:r>
    </w:p>
    <w:p w14:paraId="1CF2A849" w14:textId="77777777" w:rsidR="00115A3E" w:rsidRPr="005F0419" w:rsidRDefault="00115A3E" w:rsidP="00115A3E">
      <w:pPr>
        <w:pStyle w:val="a9"/>
        <w:spacing w:before="0" w:beforeAutospacing="0" w:after="0" w:afterAutospacing="0" w:line="360" w:lineRule="auto"/>
        <w:ind w:firstLine="720"/>
        <w:jc w:val="both"/>
        <w:rPr>
          <w:bCs/>
          <w:iCs/>
          <w:sz w:val="28"/>
          <w:szCs w:val="28"/>
          <w:lang w:val="uk-UA"/>
        </w:rPr>
      </w:pPr>
      <w:r w:rsidRPr="005F0419">
        <w:rPr>
          <w:bCs/>
          <w:sz w:val="28"/>
          <w:szCs w:val="28"/>
          <w:lang w:val="uk-UA"/>
        </w:rPr>
        <w:t>Типовими елементами матриці контенту є: р</w:t>
      </w:r>
      <w:r w:rsidRPr="005F0419">
        <w:rPr>
          <w:bCs/>
          <w:iCs/>
          <w:sz w:val="28"/>
          <w:szCs w:val="28"/>
          <w:lang w:val="uk-UA"/>
        </w:rPr>
        <w:t>убрики та підрубрики; ситуації,</w:t>
      </w:r>
      <w:r w:rsidRPr="005F0419">
        <w:rPr>
          <w:bCs/>
          <w:sz w:val="28"/>
          <w:szCs w:val="28"/>
          <w:lang w:val="uk-UA"/>
        </w:rPr>
        <w:t xml:space="preserve"> при яких люди звертаються до вас; ц</w:t>
      </w:r>
      <w:r w:rsidRPr="005F0419">
        <w:rPr>
          <w:bCs/>
          <w:iCs/>
          <w:sz w:val="28"/>
          <w:szCs w:val="28"/>
          <w:lang w:val="uk-UA"/>
        </w:rPr>
        <w:t>ільова аудиторія, мета</w:t>
      </w:r>
      <w:r w:rsidRPr="005F0419">
        <w:rPr>
          <w:bCs/>
          <w:sz w:val="28"/>
          <w:szCs w:val="28"/>
          <w:lang w:val="uk-UA"/>
        </w:rPr>
        <w:t xml:space="preserve"> (підігрів інтересу, зміцнення лояльності до бренду, продаж), к</w:t>
      </w:r>
      <w:r w:rsidRPr="005F0419">
        <w:rPr>
          <w:bCs/>
          <w:iCs/>
          <w:sz w:val="28"/>
          <w:szCs w:val="28"/>
          <w:lang w:val="uk-UA"/>
        </w:rPr>
        <w:t xml:space="preserve">лючові напрямки діяльності компанії, категорії товарів та послуг, основні характеристики товарів та послуг  тощо. </w:t>
      </w:r>
    </w:p>
    <w:p w14:paraId="242ECA32" w14:textId="77777777"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i/>
          <w:sz w:val="28"/>
          <w:szCs w:val="28"/>
          <w:lang w:val="uk-UA"/>
        </w:rPr>
        <w:t>Контент-план</w:t>
      </w:r>
      <w:r w:rsidRPr="005F0419">
        <w:rPr>
          <w:bCs/>
          <w:sz w:val="28"/>
          <w:szCs w:val="28"/>
          <w:lang w:val="uk-UA"/>
        </w:rPr>
        <w:t xml:space="preserve"> – це</w:t>
      </w:r>
      <w:r w:rsidRPr="005F0419">
        <w:rPr>
          <w:b/>
          <w:bCs/>
          <w:sz w:val="28"/>
          <w:szCs w:val="28"/>
          <w:lang w:val="uk-UA"/>
        </w:rPr>
        <w:t xml:space="preserve"> </w:t>
      </w:r>
      <w:r w:rsidRPr="005F0419">
        <w:rPr>
          <w:bCs/>
          <w:sz w:val="28"/>
          <w:szCs w:val="28"/>
          <w:lang w:val="uk-UA"/>
        </w:rPr>
        <w:t>розклад часу, порядку і структури публікацій і транслювання інформації.   Це графік публікацій з конкретною темою, датою та часом, які розташовані у певній послідовності. Контент-план дозволяє:</w:t>
      </w:r>
    </w:p>
    <w:p w14:paraId="320F9331" w14:textId="1B283163" w:rsidR="00115A3E" w:rsidRPr="005F0419" w:rsidRDefault="00D206B5"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 </w:t>
      </w:r>
      <w:r w:rsidR="00115A3E" w:rsidRPr="005F0419">
        <w:rPr>
          <w:bCs/>
          <w:sz w:val="28"/>
          <w:szCs w:val="28"/>
          <w:lang w:val="uk-UA"/>
        </w:rPr>
        <w:t>заздалегідь продумати структуру і час виходу матеріалів;</w:t>
      </w:r>
    </w:p>
    <w:p w14:paraId="1A8E8D07" w14:textId="30DAC5E1" w:rsidR="00115A3E" w:rsidRPr="005F0419" w:rsidRDefault="00D206B5"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 </w:t>
      </w:r>
      <w:proofErr w:type="spellStart"/>
      <w:r w:rsidR="00115A3E" w:rsidRPr="005F0419">
        <w:rPr>
          <w:bCs/>
          <w:sz w:val="28"/>
          <w:szCs w:val="28"/>
          <w:lang w:val="uk-UA"/>
        </w:rPr>
        <w:t>логічно</w:t>
      </w:r>
      <w:proofErr w:type="spellEnd"/>
      <w:r w:rsidR="00115A3E" w:rsidRPr="005F0419">
        <w:rPr>
          <w:bCs/>
          <w:sz w:val="28"/>
          <w:szCs w:val="28"/>
          <w:lang w:val="uk-UA"/>
        </w:rPr>
        <w:t xml:space="preserve"> вибудувати порядок публікацій;</w:t>
      </w:r>
    </w:p>
    <w:p w14:paraId="69C5114B" w14:textId="3CAFD19F" w:rsidR="00115A3E" w:rsidRPr="005F0419" w:rsidRDefault="00D206B5"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 </w:t>
      </w:r>
      <w:r w:rsidR="00115A3E" w:rsidRPr="005F0419">
        <w:rPr>
          <w:bCs/>
          <w:sz w:val="28"/>
          <w:szCs w:val="28"/>
          <w:lang w:val="uk-UA"/>
        </w:rPr>
        <w:t>зберегти баланс між інформацією та рекламою, запобігти перекосу в сторону останньої;</w:t>
      </w:r>
    </w:p>
    <w:p w14:paraId="48355C96" w14:textId="4BECF293" w:rsidR="00115A3E" w:rsidRPr="005F0419" w:rsidRDefault="00D206B5"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 </w:t>
      </w:r>
      <w:r w:rsidR="00115A3E" w:rsidRPr="005F0419">
        <w:rPr>
          <w:bCs/>
          <w:sz w:val="28"/>
          <w:szCs w:val="28"/>
          <w:lang w:val="uk-UA"/>
        </w:rPr>
        <w:t>уникнути розміщення порожніх, неосмислених і рідких записів, які відштовхують користувачів</w:t>
      </w:r>
    </w:p>
    <w:p w14:paraId="422DC760" w14:textId="77777777"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У контент-плані доцільно зазначати наступну інформацію: </w:t>
      </w:r>
    </w:p>
    <w:p w14:paraId="71468264" w14:textId="3B0FF0EA" w:rsidR="00115A3E" w:rsidRPr="005F0419" w:rsidRDefault="00D206B5"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 </w:t>
      </w:r>
      <w:r w:rsidR="00115A3E" w:rsidRPr="005F0419">
        <w:rPr>
          <w:bCs/>
          <w:sz w:val="28"/>
          <w:szCs w:val="28"/>
          <w:lang w:val="uk-UA"/>
        </w:rPr>
        <w:t xml:space="preserve">дата і час розміщення; </w:t>
      </w:r>
    </w:p>
    <w:p w14:paraId="39053256" w14:textId="07D2271B" w:rsidR="00115A3E" w:rsidRPr="005F0419" w:rsidRDefault="00D206B5"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 </w:t>
      </w:r>
      <w:r w:rsidR="00115A3E" w:rsidRPr="005F0419">
        <w:rPr>
          <w:bCs/>
          <w:sz w:val="28"/>
          <w:szCs w:val="28"/>
          <w:lang w:val="uk-UA"/>
        </w:rPr>
        <w:t xml:space="preserve">тип контенту (для зручності можна виділяти різними кольорами); </w:t>
      </w:r>
    </w:p>
    <w:p w14:paraId="1768D866" w14:textId="4E3EFC1E" w:rsidR="00115A3E" w:rsidRPr="005F0419" w:rsidRDefault="00D206B5"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 </w:t>
      </w:r>
      <w:r w:rsidR="00115A3E" w:rsidRPr="005F0419">
        <w:rPr>
          <w:bCs/>
          <w:sz w:val="28"/>
          <w:szCs w:val="28"/>
          <w:lang w:val="uk-UA"/>
        </w:rPr>
        <w:t xml:space="preserve">тема посту; </w:t>
      </w:r>
    </w:p>
    <w:p w14:paraId="2C427BA6" w14:textId="7639E183" w:rsidR="00115A3E" w:rsidRPr="005F0419" w:rsidRDefault="00D206B5"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 </w:t>
      </w:r>
      <w:r w:rsidR="00115A3E" w:rsidRPr="005F0419">
        <w:rPr>
          <w:bCs/>
          <w:sz w:val="28"/>
          <w:szCs w:val="28"/>
          <w:lang w:val="uk-UA"/>
        </w:rPr>
        <w:t>джерела інформації для постів, посилання на них  або готові тексти.</w:t>
      </w:r>
    </w:p>
    <w:p w14:paraId="0D8E6ACC" w14:textId="77777777" w:rsidR="00115A3E" w:rsidRPr="005F0419" w:rsidRDefault="00115A3E" w:rsidP="00115A3E">
      <w:pPr>
        <w:pStyle w:val="a9"/>
        <w:spacing w:before="0" w:beforeAutospacing="0" w:after="0" w:afterAutospacing="0" w:line="360" w:lineRule="auto"/>
        <w:ind w:firstLine="720"/>
        <w:jc w:val="both"/>
        <w:rPr>
          <w:bCs/>
          <w:sz w:val="28"/>
          <w:szCs w:val="28"/>
          <w:lang w:val="uk-UA"/>
        </w:rPr>
      </w:pPr>
      <w:r w:rsidRPr="005F0419">
        <w:rPr>
          <w:bCs/>
          <w:sz w:val="28"/>
          <w:szCs w:val="28"/>
          <w:lang w:val="uk-UA"/>
        </w:rPr>
        <w:t>Типові помилки при складанні контент-плану:</w:t>
      </w:r>
    </w:p>
    <w:p w14:paraId="2BA3BF45" w14:textId="77777777" w:rsidR="00115A3E" w:rsidRPr="005F0419" w:rsidRDefault="00115A3E"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 xml:space="preserve">1. Немає мети. Метою може бути все, що завгодно: певна кількість нових підписників, </w:t>
      </w:r>
      <w:proofErr w:type="spellStart"/>
      <w:r w:rsidRPr="005F0419">
        <w:rPr>
          <w:bCs/>
          <w:sz w:val="28"/>
          <w:szCs w:val="28"/>
          <w:lang w:val="uk-UA"/>
        </w:rPr>
        <w:t>лайків</w:t>
      </w:r>
      <w:proofErr w:type="spellEnd"/>
      <w:r w:rsidRPr="005F0419">
        <w:rPr>
          <w:bCs/>
          <w:sz w:val="28"/>
          <w:szCs w:val="28"/>
          <w:lang w:val="uk-UA"/>
        </w:rPr>
        <w:t xml:space="preserve">, коментарів, </w:t>
      </w:r>
      <w:proofErr w:type="spellStart"/>
      <w:r w:rsidRPr="005F0419">
        <w:rPr>
          <w:bCs/>
          <w:sz w:val="28"/>
          <w:szCs w:val="28"/>
          <w:lang w:val="uk-UA"/>
        </w:rPr>
        <w:t>лідів</w:t>
      </w:r>
      <w:proofErr w:type="spellEnd"/>
      <w:r w:rsidRPr="005F0419">
        <w:rPr>
          <w:bCs/>
          <w:sz w:val="28"/>
          <w:szCs w:val="28"/>
          <w:lang w:val="uk-UA"/>
        </w:rPr>
        <w:t xml:space="preserve">, покупців, залучення аудиторії до заходів і </w:t>
      </w:r>
      <w:proofErr w:type="spellStart"/>
      <w:r w:rsidRPr="005F0419">
        <w:rPr>
          <w:bCs/>
          <w:sz w:val="28"/>
          <w:szCs w:val="28"/>
          <w:lang w:val="uk-UA"/>
        </w:rPr>
        <w:t>т.д</w:t>
      </w:r>
      <w:proofErr w:type="spellEnd"/>
      <w:r w:rsidRPr="005F0419">
        <w:rPr>
          <w:bCs/>
          <w:sz w:val="28"/>
          <w:szCs w:val="28"/>
          <w:lang w:val="uk-UA"/>
        </w:rPr>
        <w:t>. Це дозволить надалі коригувати стратегію, виявляти ефективні формати та видаляти невдалі.</w:t>
      </w:r>
    </w:p>
    <w:p w14:paraId="43ED8585" w14:textId="77777777" w:rsidR="00115A3E" w:rsidRPr="005F0419" w:rsidRDefault="00115A3E"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lastRenderedPageBreak/>
        <w:t>2. Незнання своєї цільової аудиторії. Перетворіться на клієнта своєї компанії, зрозумійте, чого він хоче, про що ще не знає і яка інформація буде для нього корисною і цікавою.</w:t>
      </w:r>
    </w:p>
    <w:p w14:paraId="0A2815CA" w14:textId="77777777" w:rsidR="00115A3E" w:rsidRPr="005F0419" w:rsidRDefault="00115A3E"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3. Занадто розумні  або великі тексти.</w:t>
      </w:r>
    </w:p>
    <w:p w14:paraId="3ED88B06" w14:textId="77777777" w:rsidR="00115A3E" w:rsidRPr="005F0419" w:rsidRDefault="00115A3E"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4. Тексти з помилками. Це удар по вашій репутації чи репутації вашої компанії. Обов’язково вичитуйте свої тексти за допомогою колег-редакторів або спеціальних сервісів. Ніколи не допускайте публікації неграмотних текстів.</w:t>
      </w:r>
    </w:p>
    <w:p w14:paraId="145A3834" w14:textId="77777777" w:rsidR="00115A3E" w:rsidRPr="005F0419" w:rsidRDefault="00115A3E" w:rsidP="00D206B5">
      <w:pPr>
        <w:pStyle w:val="a9"/>
        <w:spacing w:before="0" w:beforeAutospacing="0" w:after="0" w:afterAutospacing="0" w:line="360" w:lineRule="auto"/>
        <w:ind w:firstLine="720"/>
        <w:jc w:val="both"/>
        <w:rPr>
          <w:bCs/>
          <w:sz w:val="28"/>
          <w:szCs w:val="28"/>
          <w:lang w:val="uk-UA"/>
        </w:rPr>
      </w:pPr>
      <w:r w:rsidRPr="005F0419">
        <w:rPr>
          <w:bCs/>
          <w:sz w:val="28"/>
          <w:szCs w:val="28"/>
          <w:lang w:val="uk-UA"/>
        </w:rPr>
        <w:t>5. Ігнорування співвідношення рекламних та корисних публікацій. Оптимальна формула співвідношення публікацій приблизно така: 40% — розважальні пости, 30% — інформаційні, 25% — навчальні та лише 5% можна виділити рекламним публікаціям.</w:t>
      </w:r>
    </w:p>
    <w:p w14:paraId="642AE041" w14:textId="1050A5DC"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i/>
          <w:sz w:val="28"/>
          <w:szCs w:val="28"/>
          <w:lang w:val="uk-UA"/>
        </w:rPr>
        <w:t>План маркетингових комунікацій</w:t>
      </w:r>
      <w:r w:rsidRPr="005F0419">
        <w:rPr>
          <w:rStyle w:val="rynqvb"/>
          <w:rFonts w:ascii="Times New Roman" w:hAnsi="Times New Roman" w:cs="Times New Roman"/>
          <w:sz w:val="28"/>
          <w:szCs w:val="28"/>
          <w:lang w:val="uk-UA"/>
        </w:rPr>
        <w:t>. Маркетингові комунікації — це процес передачі інформації про бренд, його товари та послуги цільовій аудиторії через різні канали взаємодії. Маркетингові комунікації спрямовані на підвищення впізнаван</w:t>
      </w:r>
      <w:r w:rsidR="00D206B5" w:rsidRPr="005F0419">
        <w:rPr>
          <w:rStyle w:val="rynqvb"/>
          <w:rFonts w:ascii="Times New Roman" w:hAnsi="Times New Roman" w:cs="Times New Roman"/>
          <w:sz w:val="28"/>
          <w:szCs w:val="28"/>
          <w:lang w:val="uk-UA"/>
        </w:rPr>
        <w:t>ня</w:t>
      </w:r>
      <w:r w:rsidRPr="005F0419">
        <w:rPr>
          <w:rStyle w:val="rynqvb"/>
          <w:rFonts w:ascii="Times New Roman" w:hAnsi="Times New Roman" w:cs="Times New Roman"/>
          <w:sz w:val="28"/>
          <w:szCs w:val="28"/>
          <w:lang w:val="uk-UA"/>
        </w:rPr>
        <w:t xml:space="preserve"> бренду, побудову взаємовідносин із цільовою аудиторією та зміцнення емоційного зв'язку.</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Цілі таких комунікацій встановлюють залежно від ніші та специфіки роботи. Правильно використовуючи маркетингові комунікації підприємства можуть ефективніше досягти свого цільового ринку та досягти бажаних результатів. План маркетингової комунікації – це інструмент, який допомагає підприємствам координувати свої маркетингові зусилля по всіх каналах. Це гарантує, що весь обмін повідомленнями є послідовним, скоординованим та слугує досягненню маркетингових цілей. </w:t>
      </w:r>
    </w:p>
    <w:p w14:paraId="5BEA14BF" w14:textId="39304339" w:rsidR="00115A3E" w:rsidRPr="005F0419" w:rsidRDefault="00115A3E" w:rsidP="00D206B5">
      <w:pPr>
        <w:spacing w:after="0" w:line="360" w:lineRule="auto"/>
        <w:ind w:firstLine="720"/>
        <w:jc w:val="both"/>
        <w:rPr>
          <w:rStyle w:val="rynqvb"/>
          <w:rFonts w:ascii="Times New Roman" w:hAnsi="Times New Roman" w:cs="Times New Roman"/>
          <w:sz w:val="28"/>
          <w:szCs w:val="28"/>
          <w:lang w:val="uk-UA"/>
        </w:rPr>
      </w:pPr>
      <w:proofErr w:type="spellStart"/>
      <w:r w:rsidRPr="005F0419">
        <w:rPr>
          <w:rStyle w:val="rynqvb"/>
          <w:rFonts w:ascii="Times New Roman" w:hAnsi="Times New Roman" w:cs="Times New Roman"/>
          <w:i/>
          <w:sz w:val="28"/>
          <w:szCs w:val="28"/>
          <w:lang w:val="uk-UA"/>
        </w:rPr>
        <w:t>Медіаплан</w:t>
      </w:r>
      <w:proofErr w:type="spellEnd"/>
      <w:r w:rsidRPr="005F0419">
        <w:rPr>
          <w:rStyle w:val="rynqvb"/>
          <w:rFonts w:ascii="Times New Roman" w:hAnsi="Times New Roman" w:cs="Times New Roman"/>
          <w:sz w:val="28"/>
          <w:szCs w:val="28"/>
          <w:lang w:val="uk-UA"/>
        </w:rPr>
        <w:t xml:space="preserve"> – це докладний документ, який показує ключову інформацію про плановані маркетингові заходи.</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У </w:t>
      </w:r>
      <w:proofErr w:type="spellStart"/>
      <w:r w:rsidRPr="005F0419">
        <w:rPr>
          <w:rStyle w:val="rynqvb"/>
          <w:rFonts w:ascii="Times New Roman" w:hAnsi="Times New Roman" w:cs="Times New Roman"/>
          <w:sz w:val="28"/>
          <w:szCs w:val="28"/>
          <w:lang w:val="uk-UA"/>
        </w:rPr>
        <w:t>медіаплані</w:t>
      </w:r>
      <w:proofErr w:type="spellEnd"/>
      <w:r w:rsidRPr="005F0419">
        <w:rPr>
          <w:rStyle w:val="rynqvb"/>
          <w:rFonts w:ascii="Times New Roman" w:hAnsi="Times New Roman" w:cs="Times New Roman"/>
          <w:sz w:val="28"/>
          <w:szCs w:val="28"/>
          <w:lang w:val="uk-UA"/>
        </w:rPr>
        <w:t xml:space="preserve"> прописуються канали та формати реклами, терміни кампаній, KPI, бюджет на кожен канал, можливий прибуток та інші важливі показники.  </w:t>
      </w:r>
      <w:proofErr w:type="spellStart"/>
      <w:r w:rsidRPr="005F0419">
        <w:rPr>
          <w:rStyle w:val="rynqvb"/>
          <w:rFonts w:ascii="Times New Roman" w:hAnsi="Times New Roman" w:cs="Times New Roman"/>
          <w:sz w:val="28"/>
          <w:szCs w:val="28"/>
          <w:lang w:val="uk-UA"/>
        </w:rPr>
        <w:t>Медіапланування</w:t>
      </w:r>
      <w:proofErr w:type="spellEnd"/>
      <w:r w:rsidRPr="005F0419">
        <w:rPr>
          <w:rStyle w:val="rynqvb"/>
          <w:rFonts w:ascii="Times New Roman" w:hAnsi="Times New Roman" w:cs="Times New Roman"/>
          <w:sz w:val="28"/>
          <w:szCs w:val="28"/>
          <w:lang w:val="uk-UA"/>
        </w:rPr>
        <w:t xml:space="preserve"> </w:t>
      </w:r>
      <w:r w:rsidR="00D206B5" w:rsidRPr="005F0419">
        <w:rPr>
          <w:rStyle w:val="rynqvb"/>
          <w:rFonts w:ascii="Times New Roman" w:hAnsi="Times New Roman" w:cs="Times New Roman"/>
          <w:sz w:val="28"/>
          <w:szCs w:val="28"/>
          <w:lang w:val="uk-UA"/>
        </w:rPr>
        <w:t>–</w:t>
      </w:r>
      <w:r w:rsidRPr="005F0419">
        <w:rPr>
          <w:rStyle w:val="rynqvb"/>
          <w:rFonts w:ascii="Times New Roman" w:hAnsi="Times New Roman" w:cs="Times New Roman"/>
          <w:sz w:val="28"/>
          <w:szCs w:val="28"/>
          <w:lang w:val="uk-UA"/>
        </w:rPr>
        <w:t xml:space="preserve"> складання</w:t>
      </w:r>
      <w:r w:rsidR="00D206B5" w:rsidRPr="005F0419">
        <w:rPr>
          <w:rStyle w:val="rynqvb"/>
          <w:rFonts w:ascii="Times New Roman" w:hAnsi="Times New Roman" w:cs="Times New Roman"/>
          <w:sz w:val="28"/>
          <w:szCs w:val="28"/>
          <w:lang w:val="uk-UA"/>
        </w:rPr>
        <w:t xml:space="preserve"> </w:t>
      </w:r>
      <w:proofErr w:type="spellStart"/>
      <w:r w:rsidRPr="005F0419">
        <w:rPr>
          <w:rStyle w:val="rynqvb"/>
          <w:rFonts w:ascii="Times New Roman" w:hAnsi="Times New Roman" w:cs="Times New Roman"/>
          <w:sz w:val="28"/>
          <w:szCs w:val="28"/>
          <w:lang w:val="uk-UA"/>
        </w:rPr>
        <w:t>медіапланів</w:t>
      </w:r>
      <w:proofErr w:type="spellEnd"/>
      <w:r w:rsidRPr="005F0419">
        <w:rPr>
          <w:rStyle w:val="rynqvb"/>
          <w:rFonts w:ascii="Times New Roman" w:hAnsi="Times New Roman" w:cs="Times New Roman"/>
          <w:sz w:val="28"/>
          <w:szCs w:val="28"/>
          <w:lang w:val="uk-UA"/>
        </w:rPr>
        <w:t xml:space="preserve"> (розкладів показів рекламних матеріалів), основа якого полягає у виборі медіа (ТВ, преса, радіо, зовнішня реклама, інтернет) для трансляції рекламних повідомлень та оптимізації розміщення за різними характеристикам. </w:t>
      </w:r>
      <w:proofErr w:type="spellStart"/>
      <w:r w:rsidRPr="005F0419">
        <w:rPr>
          <w:rStyle w:val="rynqvb"/>
          <w:rFonts w:ascii="Times New Roman" w:hAnsi="Times New Roman" w:cs="Times New Roman"/>
          <w:sz w:val="28"/>
          <w:szCs w:val="28"/>
          <w:lang w:val="uk-UA"/>
        </w:rPr>
        <w:t>Медіаплани</w:t>
      </w:r>
      <w:proofErr w:type="spellEnd"/>
      <w:r w:rsidRPr="005F0419">
        <w:rPr>
          <w:rStyle w:val="rynqvb"/>
          <w:rFonts w:ascii="Times New Roman" w:hAnsi="Times New Roman" w:cs="Times New Roman"/>
          <w:sz w:val="28"/>
          <w:szCs w:val="28"/>
          <w:lang w:val="uk-UA"/>
        </w:rPr>
        <w:t xml:space="preserve"> </w:t>
      </w:r>
      <w:r w:rsidR="00D206B5" w:rsidRPr="005F0419">
        <w:rPr>
          <w:rStyle w:val="rynqvb"/>
          <w:rFonts w:ascii="Times New Roman" w:hAnsi="Times New Roman" w:cs="Times New Roman"/>
          <w:sz w:val="28"/>
          <w:szCs w:val="28"/>
          <w:lang w:val="uk-UA"/>
        </w:rPr>
        <w:lastRenderedPageBreak/>
        <w:t>–</w:t>
      </w:r>
      <w:r w:rsidRPr="005F0419">
        <w:rPr>
          <w:rStyle w:val="rynqvb"/>
          <w:rFonts w:ascii="Times New Roman" w:hAnsi="Times New Roman" w:cs="Times New Roman"/>
          <w:sz w:val="28"/>
          <w:szCs w:val="28"/>
          <w:lang w:val="uk-UA"/>
        </w:rPr>
        <w:t xml:space="preserve"> це</w:t>
      </w:r>
      <w:r w:rsidR="00D206B5" w:rsidRPr="005F0419">
        <w:rPr>
          <w:rStyle w:val="rynqvb"/>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частина маркетингової стратегії, яка забезпечує контакт цільової аудиторії з рекламним повідомленням.</w:t>
      </w:r>
    </w:p>
    <w:p w14:paraId="3E2ADC3F" w14:textId="33B9EB59" w:rsidR="00115A3E" w:rsidRPr="005F0419" w:rsidRDefault="00115A3E" w:rsidP="00D206B5">
      <w:pPr>
        <w:pStyle w:val="1"/>
        <w:numPr>
          <w:ilvl w:val="0"/>
          <w:numId w:val="0"/>
        </w:numPr>
        <w:spacing w:before="0" w:beforeAutospacing="0" w:after="0" w:afterAutospacing="0" w:line="360" w:lineRule="auto"/>
        <w:ind w:firstLine="720"/>
        <w:jc w:val="both"/>
        <w:rPr>
          <w:rStyle w:val="rynqvb"/>
          <w:b w:val="0"/>
          <w:sz w:val="28"/>
          <w:szCs w:val="28"/>
          <w:lang w:val="uk-UA"/>
        </w:rPr>
      </w:pPr>
      <w:r w:rsidRPr="005F0419">
        <w:rPr>
          <w:rStyle w:val="aentry-posttitle-text"/>
          <w:b w:val="0"/>
          <w:i/>
          <w:sz w:val="28"/>
          <w:szCs w:val="28"/>
          <w:lang w:val="uk-UA"/>
        </w:rPr>
        <w:t>PR-план</w:t>
      </w:r>
      <w:r w:rsidRPr="005F0419">
        <w:rPr>
          <w:rStyle w:val="aentry-posttitle-text"/>
          <w:b w:val="0"/>
          <w:sz w:val="28"/>
          <w:szCs w:val="28"/>
          <w:lang w:val="uk-UA"/>
        </w:rPr>
        <w:t xml:space="preserve">. </w:t>
      </w:r>
      <w:r w:rsidRPr="005F0419">
        <w:rPr>
          <w:rStyle w:val="rynqvb"/>
          <w:b w:val="0"/>
          <w:sz w:val="28"/>
          <w:szCs w:val="28"/>
          <w:lang w:val="uk-UA"/>
        </w:rPr>
        <w:t xml:space="preserve"> </w:t>
      </w:r>
      <w:proofErr w:type="spellStart"/>
      <w:r w:rsidRPr="005F0419">
        <w:rPr>
          <w:rStyle w:val="rynqvb"/>
          <w:b w:val="0"/>
          <w:sz w:val="28"/>
          <w:szCs w:val="28"/>
          <w:lang w:val="uk-UA"/>
        </w:rPr>
        <w:t>Public</w:t>
      </w:r>
      <w:proofErr w:type="spellEnd"/>
      <w:r w:rsidRPr="005F0419">
        <w:rPr>
          <w:rStyle w:val="rynqvb"/>
          <w:b w:val="0"/>
          <w:sz w:val="28"/>
          <w:szCs w:val="28"/>
          <w:lang w:val="uk-UA"/>
        </w:rPr>
        <w:t xml:space="preserve"> </w:t>
      </w:r>
      <w:proofErr w:type="spellStart"/>
      <w:r w:rsidRPr="005F0419">
        <w:rPr>
          <w:rStyle w:val="rynqvb"/>
          <w:b w:val="0"/>
          <w:sz w:val="28"/>
          <w:szCs w:val="28"/>
          <w:lang w:val="uk-UA"/>
        </w:rPr>
        <w:t>Relations</w:t>
      </w:r>
      <w:proofErr w:type="spellEnd"/>
      <w:r w:rsidRPr="005F0419">
        <w:rPr>
          <w:rStyle w:val="rynqvb"/>
          <w:b w:val="0"/>
          <w:sz w:val="28"/>
          <w:szCs w:val="28"/>
          <w:lang w:val="uk-UA"/>
        </w:rPr>
        <w:t xml:space="preserve"> (</w:t>
      </w:r>
      <w:proofErr w:type="spellStart"/>
      <w:r w:rsidRPr="005F0419">
        <w:rPr>
          <w:rStyle w:val="rynqvb"/>
          <w:b w:val="0"/>
          <w:sz w:val="28"/>
          <w:szCs w:val="28"/>
          <w:lang w:val="uk-UA"/>
        </w:rPr>
        <w:t>зв'язкі</w:t>
      </w:r>
      <w:proofErr w:type="spellEnd"/>
      <w:r w:rsidRPr="005F0419">
        <w:rPr>
          <w:rStyle w:val="rynqvb"/>
          <w:b w:val="0"/>
          <w:sz w:val="28"/>
          <w:szCs w:val="28"/>
          <w:lang w:val="uk-UA"/>
        </w:rPr>
        <w:t xml:space="preserve"> з громадськістю) </w:t>
      </w:r>
      <w:r w:rsidR="00D206B5" w:rsidRPr="005F0419">
        <w:rPr>
          <w:rStyle w:val="rynqvb"/>
          <w:b w:val="0"/>
          <w:sz w:val="28"/>
          <w:szCs w:val="28"/>
          <w:lang w:val="uk-UA"/>
        </w:rPr>
        <w:t>–</w:t>
      </w:r>
      <w:r w:rsidRPr="005F0419">
        <w:rPr>
          <w:rStyle w:val="rynqvb"/>
          <w:b w:val="0"/>
          <w:sz w:val="28"/>
          <w:szCs w:val="28"/>
          <w:lang w:val="uk-UA"/>
        </w:rPr>
        <w:t xml:space="preserve"> це</w:t>
      </w:r>
      <w:r w:rsidR="00D206B5" w:rsidRPr="005F0419">
        <w:rPr>
          <w:rStyle w:val="rynqvb"/>
          <w:b w:val="0"/>
          <w:sz w:val="28"/>
          <w:szCs w:val="28"/>
          <w:lang w:val="uk-UA"/>
        </w:rPr>
        <w:t xml:space="preserve"> </w:t>
      </w:r>
      <w:r w:rsidRPr="005F0419">
        <w:rPr>
          <w:rStyle w:val="rynqvb"/>
          <w:b w:val="0"/>
          <w:sz w:val="28"/>
          <w:szCs w:val="28"/>
          <w:lang w:val="uk-UA"/>
        </w:rPr>
        <w:t xml:space="preserve">комплекс технік та стратегій, спрямованих на побудову комунікації та взаєморозуміння з цільовою аудиторією для зміцнення довіри, управління репутацією, підвищення </w:t>
      </w:r>
      <w:proofErr w:type="spellStart"/>
      <w:r w:rsidRPr="005F0419">
        <w:rPr>
          <w:rStyle w:val="rynqvb"/>
          <w:b w:val="0"/>
          <w:sz w:val="28"/>
          <w:szCs w:val="28"/>
          <w:lang w:val="uk-UA"/>
        </w:rPr>
        <w:t>впізнаваності</w:t>
      </w:r>
      <w:proofErr w:type="spellEnd"/>
      <w:r w:rsidRPr="005F0419">
        <w:rPr>
          <w:rStyle w:val="rynqvb"/>
          <w:b w:val="0"/>
          <w:sz w:val="28"/>
          <w:szCs w:val="28"/>
          <w:lang w:val="uk-UA"/>
        </w:rPr>
        <w:t xml:space="preserve"> та просування бренду, особистості чи іншого суб'єкта. Особливістю PR планування є те, що такі плани передбачають двосторонню комунікацію.</w:t>
      </w:r>
      <w:r w:rsidRPr="005F0419">
        <w:rPr>
          <w:rStyle w:val="hwtze"/>
          <w:b w:val="0"/>
          <w:sz w:val="28"/>
          <w:szCs w:val="28"/>
          <w:lang w:val="uk-UA"/>
        </w:rPr>
        <w:t xml:space="preserve"> Крім того, в</w:t>
      </w:r>
      <w:r w:rsidRPr="005F0419">
        <w:rPr>
          <w:rStyle w:val="rynqvb"/>
          <w:b w:val="0"/>
          <w:sz w:val="28"/>
          <w:szCs w:val="28"/>
          <w:lang w:val="uk-UA"/>
        </w:rPr>
        <w:t xml:space="preserve">елику увагу приділяють </w:t>
      </w:r>
      <w:proofErr w:type="spellStart"/>
      <w:r w:rsidRPr="005F0419">
        <w:rPr>
          <w:rStyle w:val="rynqvb"/>
          <w:b w:val="0"/>
          <w:sz w:val="28"/>
          <w:szCs w:val="28"/>
          <w:lang w:val="uk-UA"/>
        </w:rPr>
        <w:t>зворотньому</w:t>
      </w:r>
      <w:proofErr w:type="spellEnd"/>
      <w:r w:rsidRPr="005F0419">
        <w:rPr>
          <w:rStyle w:val="rynqvb"/>
          <w:b w:val="0"/>
          <w:sz w:val="28"/>
          <w:szCs w:val="28"/>
          <w:lang w:val="uk-UA"/>
        </w:rPr>
        <w:t xml:space="preserve"> зв'язку від цільової аудиторії, вивчення її думок, бажань </w:t>
      </w:r>
      <w:proofErr w:type="spellStart"/>
      <w:r w:rsidRPr="005F0419">
        <w:rPr>
          <w:rStyle w:val="rynqvb"/>
          <w:b w:val="0"/>
          <w:sz w:val="28"/>
          <w:szCs w:val="28"/>
          <w:lang w:val="uk-UA"/>
        </w:rPr>
        <w:t>іпотреб</w:t>
      </w:r>
      <w:proofErr w:type="spellEnd"/>
      <w:r w:rsidRPr="005F0419">
        <w:rPr>
          <w:rStyle w:val="rynqvb"/>
          <w:b w:val="0"/>
          <w:sz w:val="28"/>
          <w:szCs w:val="28"/>
          <w:lang w:val="uk-UA"/>
        </w:rPr>
        <w:t>.</w:t>
      </w:r>
      <w:r w:rsidRPr="005F0419">
        <w:rPr>
          <w:rStyle w:val="hwtze"/>
          <w:b w:val="0"/>
          <w:sz w:val="28"/>
          <w:szCs w:val="28"/>
          <w:lang w:val="uk-UA"/>
        </w:rPr>
        <w:t xml:space="preserve"> </w:t>
      </w:r>
      <w:r w:rsidRPr="005F0419">
        <w:rPr>
          <w:rStyle w:val="rynqvb"/>
          <w:b w:val="0"/>
          <w:sz w:val="28"/>
          <w:szCs w:val="28"/>
          <w:lang w:val="uk-UA"/>
        </w:rPr>
        <w:t>На підставі цієї інформації фахівці продумують стратегії просування компанії та підвищення довіри у суспільстві.</w:t>
      </w:r>
    </w:p>
    <w:p w14:paraId="0D503634" w14:textId="481B858F" w:rsidR="00115A3E" w:rsidRPr="005F0419" w:rsidRDefault="00115A3E" w:rsidP="00D206B5">
      <w:pPr>
        <w:pStyle w:val="1"/>
        <w:numPr>
          <w:ilvl w:val="0"/>
          <w:numId w:val="0"/>
        </w:numPr>
        <w:spacing w:before="0" w:beforeAutospacing="0" w:after="0" w:afterAutospacing="0" w:line="360" w:lineRule="auto"/>
        <w:ind w:firstLine="720"/>
        <w:jc w:val="both"/>
        <w:rPr>
          <w:rStyle w:val="rynqvb"/>
          <w:b w:val="0"/>
          <w:sz w:val="28"/>
          <w:szCs w:val="28"/>
          <w:lang w:val="uk-UA"/>
        </w:rPr>
      </w:pPr>
      <w:r w:rsidRPr="005F0419">
        <w:rPr>
          <w:rStyle w:val="rynqvb"/>
          <w:b w:val="0"/>
          <w:sz w:val="28"/>
          <w:szCs w:val="28"/>
          <w:lang w:val="uk-UA"/>
        </w:rPr>
        <w:t xml:space="preserve">Робота над планом у РR починається зі складання </w:t>
      </w:r>
      <w:proofErr w:type="spellStart"/>
      <w:r w:rsidRPr="005F0419">
        <w:rPr>
          <w:rStyle w:val="rynqvb"/>
          <w:b w:val="0"/>
          <w:sz w:val="28"/>
          <w:szCs w:val="28"/>
          <w:lang w:val="uk-UA"/>
        </w:rPr>
        <w:t>медіаліста</w:t>
      </w:r>
      <w:proofErr w:type="spellEnd"/>
      <w:r w:rsidRPr="005F0419">
        <w:rPr>
          <w:rStyle w:val="rynqvb"/>
          <w:b w:val="0"/>
          <w:sz w:val="28"/>
          <w:szCs w:val="28"/>
          <w:lang w:val="uk-UA"/>
        </w:rPr>
        <w:t xml:space="preserve"> та </w:t>
      </w:r>
      <w:proofErr w:type="spellStart"/>
      <w:r w:rsidRPr="005F0419">
        <w:rPr>
          <w:rStyle w:val="rynqvb"/>
          <w:b w:val="0"/>
          <w:sz w:val="28"/>
          <w:szCs w:val="28"/>
          <w:lang w:val="uk-UA"/>
        </w:rPr>
        <w:t>медіакарти</w:t>
      </w:r>
      <w:proofErr w:type="spellEnd"/>
      <w:r w:rsidRPr="005F0419">
        <w:rPr>
          <w:rStyle w:val="rynqvb"/>
          <w:b w:val="0"/>
          <w:sz w:val="28"/>
          <w:szCs w:val="28"/>
          <w:lang w:val="uk-UA"/>
        </w:rPr>
        <w:t>.</w:t>
      </w:r>
      <w:r w:rsidRPr="005F0419">
        <w:rPr>
          <w:rStyle w:val="hwtze"/>
          <w:b w:val="0"/>
          <w:sz w:val="28"/>
          <w:szCs w:val="28"/>
          <w:lang w:val="uk-UA"/>
        </w:rPr>
        <w:t xml:space="preserve"> </w:t>
      </w:r>
      <w:r w:rsidRPr="005F0419">
        <w:rPr>
          <w:rStyle w:val="rynqvb"/>
          <w:b w:val="0"/>
          <w:sz w:val="28"/>
          <w:szCs w:val="28"/>
          <w:lang w:val="uk-UA"/>
        </w:rPr>
        <w:t>Медіа-лист являє собою бланк спеціальної форми, до якого заносяться перелік найцікавіших для організації ЗМІ та їх характеристика (тираж, аудиторія, спрямованість, періодичність тощо).</w:t>
      </w:r>
      <w:r w:rsidRPr="005F0419">
        <w:rPr>
          <w:rStyle w:val="hwtze"/>
          <w:b w:val="0"/>
          <w:sz w:val="28"/>
          <w:szCs w:val="28"/>
          <w:lang w:val="uk-UA"/>
        </w:rPr>
        <w:t xml:space="preserve"> </w:t>
      </w:r>
      <w:r w:rsidRPr="005F0419">
        <w:rPr>
          <w:rStyle w:val="rynqvb"/>
          <w:b w:val="0"/>
          <w:sz w:val="28"/>
          <w:szCs w:val="28"/>
          <w:lang w:val="uk-UA"/>
        </w:rPr>
        <w:t xml:space="preserve">У низці організацій до </w:t>
      </w:r>
      <w:proofErr w:type="spellStart"/>
      <w:r w:rsidRPr="005F0419">
        <w:rPr>
          <w:rStyle w:val="rynqvb"/>
          <w:b w:val="0"/>
          <w:sz w:val="28"/>
          <w:szCs w:val="28"/>
          <w:lang w:val="uk-UA"/>
        </w:rPr>
        <w:t>медіаліста</w:t>
      </w:r>
      <w:proofErr w:type="spellEnd"/>
      <w:r w:rsidRPr="005F0419">
        <w:rPr>
          <w:rStyle w:val="rynqvb"/>
          <w:b w:val="0"/>
          <w:sz w:val="28"/>
          <w:szCs w:val="28"/>
          <w:lang w:val="uk-UA"/>
        </w:rPr>
        <w:t xml:space="preserve"> додається так званий чорний список </w:t>
      </w:r>
      <w:r w:rsidR="00D206B5" w:rsidRPr="005F0419">
        <w:rPr>
          <w:rStyle w:val="rynqvb"/>
          <w:b w:val="0"/>
          <w:sz w:val="28"/>
          <w:szCs w:val="28"/>
          <w:lang w:val="uk-UA"/>
        </w:rPr>
        <w:t>–</w:t>
      </w:r>
      <w:r w:rsidRPr="005F0419">
        <w:rPr>
          <w:rStyle w:val="rynqvb"/>
          <w:b w:val="0"/>
          <w:sz w:val="28"/>
          <w:szCs w:val="28"/>
          <w:lang w:val="uk-UA"/>
        </w:rPr>
        <w:t xml:space="preserve"> перелік</w:t>
      </w:r>
      <w:r w:rsidR="00D206B5" w:rsidRPr="005F0419">
        <w:rPr>
          <w:rStyle w:val="rynqvb"/>
          <w:b w:val="0"/>
          <w:sz w:val="28"/>
          <w:szCs w:val="28"/>
          <w:lang w:val="uk-UA"/>
        </w:rPr>
        <w:t xml:space="preserve"> </w:t>
      </w:r>
      <w:r w:rsidRPr="005F0419">
        <w:rPr>
          <w:rStyle w:val="rynqvb"/>
          <w:b w:val="0"/>
          <w:sz w:val="28"/>
          <w:szCs w:val="28"/>
          <w:lang w:val="uk-UA"/>
        </w:rPr>
        <w:t>видань, співробітництво з якими неприйнятно ні за яких умов.</w:t>
      </w:r>
      <w:r w:rsidRPr="005F0419">
        <w:rPr>
          <w:rStyle w:val="hwtze"/>
          <w:b w:val="0"/>
          <w:sz w:val="28"/>
          <w:szCs w:val="28"/>
          <w:lang w:val="uk-UA"/>
        </w:rPr>
        <w:t xml:space="preserve"> </w:t>
      </w:r>
      <w:proofErr w:type="spellStart"/>
      <w:r w:rsidRPr="005F0419">
        <w:rPr>
          <w:rStyle w:val="rynqvb"/>
          <w:b w:val="0"/>
          <w:sz w:val="28"/>
          <w:szCs w:val="28"/>
          <w:lang w:val="uk-UA"/>
        </w:rPr>
        <w:t>Медіакарта</w:t>
      </w:r>
      <w:proofErr w:type="spellEnd"/>
      <w:r w:rsidRPr="005F0419">
        <w:rPr>
          <w:rStyle w:val="rynqvb"/>
          <w:b w:val="0"/>
          <w:sz w:val="28"/>
          <w:szCs w:val="28"/>
          <w:lang w:val="uk-UA"/>
        </w:rPr>
        <w:t xml:space="preserve"> («досьє») складається на одне ЗМІ та містить конкретну та розширену інформацію про нього.</w:t>
      </w:r>
      <w:r w:rsidRPr="005F0419">
        <w:rPr>
          <w:rStyle w:val="hwtze"/>
          <w:b w:val="0"/>
          <w:sz w:val="28"/>
          <w:szCs w:val="28"/>
          <w:lang w:val="uk-UA"/>
        </w:rPr>
        <w:t xml:space="preserve"> </w:t>
      </w:r>
      <w:proofErr w:type="spellStart"/>
      <w:r w:rsidRPr="005F0419">
        <w:rPr>
          <w:rStyle w:val="rynqvb"/>
          <w:b w:val="0"/>
          <w:sz w:val="28"/>
          <w:szCs w:val="28"/>
          <w:lang w:val="uk-UA"/>
        </w:rPr>
        <w:t>Медіакарти</w:t>
      </w:r>
      <w:proofErr w:type="spellEnd"/>
      <w:r w:rsidRPr="005F0419">
        <w:rPr>
          <w:rStyle w:val="rynqvb"/>
          <w:b w:val="0"/>
          <w:sz w:val="28"/>
          <w:szCs w:val="28"/>
          <w:lang w:val="uk-UA"/>
        </w:rPr>
        <w:t xml:space="preserve"> дозволяють адресно направляти інформацію особі для передбачуваної публікації у конкретній рубриці. Після цього переходять до складання власне , який являє собою перелік передбачуваних публікацій у конкретних ЗМІ із зазначенням термінів, пов'язаних із групами цілей основних етапів РR-</w:t>
      </w:r>
      <w:proofErr w:type="spellStart"/>
      <w:r w:rsidRPr="005F0419">
        <w:rPr>
          <w:rStyle w:val="rynqvb"/>
          <w:b w:val="0"/>
          <w:sz w:val="28"/>
          <w:szCs w:val="28"/>
          <w:lang w:val="uk-UA"/>
        </w:rPr>
        <w:t>деятельности</w:t>
      </w:r>
      <w:proofErr w:type="spellEnd"/>
      <w:r w:rsidRPr="005F0419">
        <w:rPr>
          <w:rStyle w:val="rynqvb"/>
          <w:b w:val="0"/>
          <w:sz w:val="28"/>
          <w:szCs w:val="28"/>
          <w:lang w:val="uk-UA"/>
        </w:rPr>
        <w:t>.</w:t>
      </w:r>
    </w:p>
    <w:p w14:paraId="593C3025"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Плани комунікацій дозволяють наочно уявити та оцінити, наскільки </w:t>
      </w:r>
      <w:proofErr w:type="spellStart"/>
      <w:r w:rsidRPr="005F0419">
        <w:rPr>
          <w:rStyle w:val="rynqvb"/>
          <w:rFonts w:ascii="Times New Roman" w:hAnsi="Times New Roman" w:cs="Times New Roman"/>
          <w:sz w:val="28"/>
          <w:szCs w:val="28"/>
          <w:lang w:val="uk-UA"/>
        </w:rPr>
        <w:t>логічно</w:t>
      </w:r>
      <w:proofErr w:type="spellEnd"/>
      <w:r w:rsidRPr="005F0419">
        <w:rPr>
          <w:rStyle w:val="rynqvb"/>
          <w:rFonts w:ascii="Times New Roman" w:hAnsi="Times New Roman" w:cs="Times New Roman"/>
          <w:sz w:val="28"/>
          <w:szCs w:val="28"/>
          <w:lang w:val="uk-UA"/>
        </w:rPr>
        <w:t xml:space="preserve"> обрані канали комунікації, наскільки ефективно і в який період вони взаємодіють між собою, скласти план необхідних ресурсів, як матеріальних, так і людських.</w:t>
      </w:r>
      <w:r w:rsidRPr="005F0419">
        <w:rPr>
          <w:rStyle w:val="hwtze"/>
          <w:rFonts w:ascii="Times New Roman" w:hAnsi="Times New Roman" w:cs="Times New Roman"/>
          <w:sz w:val="28"/>
          <w:szCs w:val="28"/>
          <w:lang w:val="uk-UA"/>
        </w:rPr>
        <w:t xml:space="preserve"> Отже, розробка комунікаційної стратегії завершується </w:t>
      </w:r>
      <w:r w:rsidRPr="005F0419">
        <w:rPr>
          <w:rStyle w:val="rynqvb"/>
          <w:rFonts w:ascii="Times New Roman" w:hAnsi="Times New Roman" w:cs="Times New Roman"/>
          <w:sz w:val="28"/>
          <w:szCs w:val="28"/>
          <w:lang w:val="uk-UA"/>
        </w:rPr>
        <w:t>плануванням бюджету.</w:t>
      </w:r>
    </w:p>
    <w:p w14:paraId="3AAFEF0B"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Щоб впровадити у роботу комунікативну стратегію, незалежно від її типу, потрібні ресурси. Бюджет комунікаційної стратегії відображає, яку суму ви готові виділити на її реалізацію, визначення обсягу коштів, що витрачаються на </w:t>
      </w:r>
      <w:r w:rsidRPr="005F0419">
        <w:rPr>
          <w:rStyle w:val="rynqvb"/>
          <w:rFonts w:ascii="Times New Roman" w:hAnsi="Times New Roman" w:cs="Times New Roman"/>
          <w:sz w:val="28"/>
          <w:szCs w:val="28"/>
          <w:lang w:val="uk-UA"/>
        </w:rPr>
        <w:lastRenderedPageBreak/>
        <w:t>комунікації по кожному з каналів і має бути розрахований на основі цілей, вибраних інструментів та планів.</w:t>
      </w:r>
    </w:p>
    <w:p w14:paraId="0A7242CE" w14:textId="77777777"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Бюджетування є одним з етапів процесу планування комунікаційної кампанії і є важливим кроком у комплексі стратегічного планування.</w:t>
      </w:r>
      <w:r w:rsidRPr="005F0419">
        <w:rPr>
          <w:rStyle w:val="hwtze"/>
          <w:rFonts w:ascii="Times New Roman" w:hAnsi="Times New Roman" w:cs="Times New Roman"/>
          <w:sz w:val="28"/>
          <w:szCs w:val="28"/>
          <w:lang w:val="uk-UA"/>
        </w:rPr>
        <w:t xml:space="preserve"> </w:t>
      </w:r>
    </w:p>
    <w:p w14:paraId="5C798917" w14:textId="77777777"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Розробка бюджету сприяє більш ефективному розподілу ресурсів, допомагає тримати витрати у певних рамках та контролювати їх.</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Водночас планування бюджету може значно обмежити можливості компанії під час планування та вибору комунікаційних каналів. Розрахунок та розподіл бюджету мають бути повністю обґрунтованими.</w:t>
      </w:r>
      <w:r w:rsidRPr="005F0419">
        <w:rPr>
          <w:rStyle w:val="hwtze"/>
          <w:rFonts w:ascii="Times New Roman" w:hAnsi="Times New Roman" w:cs="Times New Roman"/>
          <w:sz w:val="28"/>
          <w:szCs w:val="28"/>
          <w:lang w:val="uk-UA"/>
        </w:rPr>
        <w:t xml:space="preserve"> </w:t>
      </w:r>
    </w:p>
    <w:p w14:paraId="3D8D104C" w14:textId="77777777" w:rsidR="00115A3E" w:rsidRPr="005F0419" w:rsidRDefault="00115A3E" w:rsidP="00115A3E">
      <w:pPr>
        <w:spacing w:after="0" w:line="360" w:lineRule="auto"/>
        <w:ind w:firstLine="720"/>
        <w:jc w:val="both"/>
        <w:rPr>
          <w:rStyle w:val="hwtze"/>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Процес визначення оптимального рівня комунікаційного бюджету пов'язаний із певними обмеженнями та складнощами.</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Основна складність визначення бюджету комунікацій полягає в тому, що вкрай важко простежити залежність між кількістю витрат та характером реакції аудиторії, іншими словами, визначити, яка залежність між кількістю витрачених коштів та зміною обізнаності споживачів, їх відношення та кількості покупок.</w:t>
      </w:r>
    </w:p>
    <w:p w14:paraId="67B6FE63"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Процес планування бюджету включає: </w:t>
      </w:r>
    </w:p>
    <w:p w14:paraId="724A0071"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1. Оцінку фінансових можливостей компанії; </w:t>
      </w:r>
    </w:p>
    <w:p w14:paraId="1BFFDF25"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2. Визначення ключових напрямів інвестицій; </w:t>
      </w:r>
    </w:p>
    <w:p w14:paraId="42205E17" w14:textId="66903D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3. Складання плану </w:t>
      </w:r>
      <w:r w:rsidR="007715AB">
        <w:rPr>
          <w:rStyle w:val="rynqvb"/>
          <w:rFonts w:ascii="Times New Roman" w:hAnsi="Times New Roman" w:cs="Times New Roman"/>
          <w:sz w:val="28"/>
          <w:szCs w:val="28"/>
          <w:lang w:val="uk-UA"/>
        </w:rPr>
        <w:t>–</w:t>
      </w:r>
      <w:r w:rsidRPr="005F0419">
        <w:rPr>
          <w:rStyle w:val="rynqvb"/>
          <w:rFonts w:ascii="Times New Roman" w:hAnsi="Times New Roman" w:cs="Times New Roman"/>
          <w:sz w:val="28"/>
          <w:szCs w:val="28"/>
          <w:lang w:val="uk-UA"/>
        </w:rPr>
        <w:t xml:space="preserve"> </w:t>
      </w:r>
      <w:proofErr w:type="spellStart"/>
      <w:r w:rsidRPr="005F0419">
        <w:rPr>
          <w:rStyle w:val="rynqvb"/>
          <w:rFonts w:ascii="Times New Roman" w:hAnsi="Times New Roman" w:cs="Times New Roman"/>
          <w:sz w:val="28"/>
          <w:szCs w:val="28"/>
          <w:lang w:val="uk-UA"/>
        </w:rPr>
        <w:t>про</w:t>
      </w:r>
      <w:r w:rsidR="007715AB">
        <w:rPr>
          <w:rStyle w:val="rynqvb"/>
          <w:rFonts w:ascii="Times New Roman" w:hAnsi="Times New Roman" w:cs="Times New Roman"/>
          <w:sz w:val="28"/>
          <w:szCs w:val="28"/>
          <w:lang w:val="uk-UA"/>
        </w:rPr>
        <w:t>є</w:t>
      </w:r>
      <w:r w:rsidRPr="005F0419">
        <w:rPr>
          <w:rStyle w:val="rynqvb"/>
          <w:rFonts w:ascii="Times New Roman" w:hAnsi="Times New Roman" w:cs="Times New Roman"/>
          <w:sz w:val="28"/>
          <w:szCs w:val="28"/>
          <w:lang w:val="uk-UA"/>
        </w:rPr>
        <w:t>кту</w:t>
      </w:r>
      <w:proofErr w:type="spellEnd"/>
      <w:r w:rsidRPr="005F0419">
        <w:rPr>
          <w:rStyle w:val="rynqvb"/>
          <w:rFonts w:ascii="Times New Roman" w:hAnsi="Times New Roman" w:cs="Times New Roman"/>
          <w:sz w:val="28"/>
          <w:szCs w:val="28"/>
          <w:lang w:val="uk-UA"/>
        </w:rPr>
        <w:t xml:space="preserve"> бюджету; </w:t>
      </w:r>
    </w:p>
    <w:p w14:paraId="6EC6756A"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4. Розгляд та затвердження бюджету керівництвом; </w:t>
      </w:r>
    </w:p>
    <w:p w14:paraId="4E935446"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Найбільш поширені (необов'язково найефективніші) способи бюджетування: метод можливих витрат; метод фіксованого відсотка; метод максимальних витрат; метод відповідності конкурентам; метод відповідності цілям та завданням фірми.</w:t>
      </w:r>
    </w:p>
    <w:p w14:paraId="0E4EDF2B" w14:textId="6AACD2FD" w:rsidR="00115A3E" w:rsidRPr="005F0419" w:rsidRDefault="00115A3E" w:rsidP="00D206B5">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Методика складання бюджетів залежить від наступних факторів: організаційна культура, організаційна політика, контроль інформації, децентралізація відповідальності за результати, структура управління,  важливість проекту тощо.</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Ефективна комунікаційна стратегія передбачає постійний моніторинг, коригування запланованих заходів, а також впровадження дій щодо покращення комунікаційних процесів. </w:t>
      </w:r>
    </w:p>
    <w:p w14:paraId="02D43E48"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lastRenderedPageBreak/>
        <w:t>Оцінка організаційних комунікацій повинна носити регулярний характер, що дозволяє виділити комунікаційний моніторинг як інструмент управління, змістом якого є систематичне спостереження та аналіз динаміки розвитку організаційних комунікацій.</w:t>
      </w:r>
      <w:r w:rsidRPr="005F0419">
        <w:rPr>
          <w:rStyle w:val="hwtze"/>
          <w:sz w:val="28"/>
          <w:szCs w:val="28"/>
          <w:lang w:val="uk-UA"/>
        </w:rPr>
        <w:t xml:space="preserve"> </w:t>
      </w:r>
      <w:r w:rsidRPr="005F0419">
        <w:rPr>
          <w:rStyle w:val="rynqvb"/>
          <w:sz w:val="28"/>
          <w:szCs w:val="28"/>
          <w:lang w:val="uk-UA"/>
        </w:rPr>
        <w:t xml:space="preserve">Моніторинг комунікаційних процесів сприяє накопиченню практичного досвіду в управлінні комунікаціями та підвищення точності прогнозування наслідків рішень. </w:t>
      </w:r>
    </w:p>
    <w:p w14:paraId="2365F27A"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Наприклад, до найбільш традиційних способів  підвищення ефективності внутрішньої комунікації відносять:</w:t>
      </w:r>
    </w:p>
    <w:p w14:paraId="1913ED25"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чітке визначення цілей та очікувань.</w:t>
      </w:r>
      <w:r w:rsidRPr="005F0419">
        <w:rPr>
          <w:rStyle w:val="hwtze"/>
          <w:sz w:val="28"/>
          <w:szCs w:val="28"/>
          <w:lang w:val="uk-UA"/>
        </w:rPr>
        <w:t xml:space="preserve"> Необхідно бути впевненим, що кожен учасник комунікаційних процесів </w:t>
      </w:r>
      <w:r w:rsidRPr="005F0419">
        <w:rPr>
          <w:rStyle w:val="rynqvb"/>
          <w:sz w:val="28"/>
          <w:szCs w:val="28"/>
          <w:lang w:val="uk-UA"/>
        </w:rPr>
        <w:t>добре розуміє та усвідомлює завдання, що стоять перед ним, а також загальні цілі бізнесу.</w:t>
      </w:r>
      <w:r w:rsidRPr="005F0419">
        <w:rPr>
          <w:rStyle w:val="hwtze"/>
          <w:sz w:val="28"/>
          <w:szCs w:val="28"/>
          <w:lang w:val="uk-UA"/>
        </w:rPr>
        <w:t xml:space="preserve"> </w:t>
      </w:r>
      <w:r w:rsidRPr="005F0419">
        <w:rPr>
          <w:rStyle w:val="rynqvb"/>
          <w:sz w:val="28"/>
          <w:szCs w:val="28"/>
          <w:lang w:val="uk-UA"/>
        </w:rPr>
        <w:t>Це допоможе працювати більш зосереджено та націлено на результат, що, у свою чергу, покращить спілкування всередині колективу;</w:t>
      </w:r>
    </w:p>
    <w:p w14:paraId="2C7D5F1D"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постійне навчання та розвиток навичок.</w:t>
      </w:r>
      <w:r w:rsidRPr="005F0419">
        <w:rPr>
          <w:rStyle w:val="hwtze"/>
          <w:sz w:val="28"/>
          <w:szCs w:val="28"/>
          <w:lang w:val="uk-UA"/>
        </w:rPr>
        <w:t xml:space="preserve"> </w:t>
      </w:r>
      <w:r w:rsidRPr="005F0419">
        <w:rPr>
          <w:rStyle w:val="rynqvb"/>
          <w:sz w:val="28"/>
          <w:szCs w:val="28"/>
          <w:lang w:val="uk-UA"/>
        </w:rPr>
        <w:t>Інвестуйте у навчання та розвиток комунікативних умінь працівників.</w:t>
      </w:r>
      <w:r w:rsidRPr="005F0419">
        <w:rPr>
          <w:rStyle w:val="hwtze"/>
          <w:sz w:val="28"/>
          <w:szCs w:val="28"/>
          <w:lang w:val="uk-UA"/>
        </w:rPr>
        <w:t xml:space="preserve"> </w:t>
      </w:r>
      <w:r w:rsidRPr="005F0419">
        <w:rPr>
          <w:rStyle w:val="rynqvb"/>
          <w:sz w:val="28"/>
          <w:szCs w:val="28"/>
          <w:lang w:val="uk-UA"/>
        </w:rPr>
        <w:t>Регулярні тренінги та семінари допоможуть прокачати навички спілкування;</w:t>
      </w:r>
    </w:p>
    <w:p w14:paraId="60B697A0" w14:textId="010A68A2"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удосконалення каналів комунікації.</w:t>
      </w:r>
      <w:r w:rsidRPr="005F0419">
        <w:rPr>
          <w:rStyle w:val="hwtze"/>
          <w:sz w:val="28"/>
          <w:szCs w:val="28"/>
          <w:lang w:val="uk-UA"/>
        </w:rPr>
        <w:t xml:space="preserve"> </w:t>
      </w:r>
      <w:r w:rsidRPr="005F0419">
        <w:rPr>
          <w:rStyle w:val="rynqvb"/>
          <w:sz w:val="28"/>
          <w:szCs w:val="28"/>
          <w:lang w:val="uk-UA"/>
        </w:rPr>
        <w:t>Визначте найбільш підходящі способи взаємодії для вашої організації та впровадьте їх.</w:t>
      </w:r>
      <w:r w:rsidRPr="005F0419">
        <w:rPr>
          <w:rStyle w:val="hwtze"/>
          <w:sz w:val="28"/>
          <w:szCs w:val="28"/>
          <w:lang w:val="uk-UA"/>
        </w:rPr>
        <w:t xml:space="preserve"> </w:t>
      </w:r>
      <w:r w:rsidRPr="005F0419">
        <w:rPr>
          <w:rStyle w:val="rynqvb"/>
          <w:sz w:val="28"/>
          <w:szCs w:val="28"/>
          <w:lang w:val="uk-UA"/>
        </w:rPr>
        <w:t xml:space="preserve">Упевніться, що працівники знають, як правильно використовувати </w:t>
      </w:r>
      <w:r w:rsidR="00D206B5" w:rsidRPr="005F0419">
        <w:rPr>
          <w:rStyle w:val="rynqvb"/>
          <w:sz w:val="28"/>
          <w:szCs w:val="28"/>
          <w:lang w:val="uk-UA"/>
        </w:rPr>
        <w:t>о</w:t>
      </w:r>
      <w:r w:rsidRPr="005F0419">
        <w:rPr>
          <w:rStyle w:val="rynqvb"/>
          <w:sz w:val="28"/>
          <w:szCs w:val="28"/>
          <w:lang w:val="uk-UA"/>
        </w:rPr>
        <w:t>брані канали, та забезпечте їх доступність та зручність;</w:t>
      </w:r>
    </w:p>
    <w:p w14:paraId="57E3C8E3"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створення прозорої системи інформаційного обміну.</w:t>
      </w:r>
      <w:r w:rsidRPr="005F0419">
        <w:rPr>
          <w:rStyle w:val="hwtze"/>
          <w:sz w:val="28"/>
          <w:szCs w:val="28"/>
          <w:lang w:val="uk-UA"/>
        </w:rPr>
        <w:t xml:space="preserve"> </w:t>
      </w:r>
      <w:r w:rsidRPr="005F0419">
        <w:rPr>
          <w:rStyle w:val="rynqvb"/>
          <w:sz w:val="28"/>
          <w:szCs w:val="28"/>
          <w:lang w:val="uk-UA"/>
        </w:rPr>
        <w:t>Розробіть та впровадьте таку систему для обміну інформацією, яка буде прозорою, легкодоступною та організованою.</w:t>
      </w:r>
      <w:r w:rsidRPr="005F0419">
        <w:rPr>
          <w:rStyle w:val="hwtze"/>
          <w:sz w:val="28"/>
          <w:szCs w:val="28"/>
          <w:lang w:val="uk-UA"/>
        </w:rPr>
        <w:t xml:space="preserve"> </w:t>
      </w:r>
      <w:r w:rsidRPr="005F0419">
        <w:rPr>
          <w:rStyle w:val="rynqvb"/>
          <w:sz w:val="28"/>
          <w:szCs w:val="28"/>
          <w:lang w:val="uk-UA"/>
        </w:rPr>
        <w:t>Це може включати корпоративний портал, бази знань, дошки та інші інструменти;</w:t>
      </w:r>
    </w:p>
    <w:p w14:paraId="589E9EA8" w14:textId="42CDFC0E"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xml:space="preserve">- культура </w:t>
      </w:r>
      <w:r w:rsidR="00D206B5" w:rsidRPr="005F0419">
        <w:rPr>
          <w:rStyle w:val="rynqvb"/>
          <w:sz w:val="28"/>
          <w:szCs w:val="28"/>
          <w:lang w:val="uk-UA"/>
        </w:rPr>
        <w:t>зворотного</w:t>
      </w:r>
      <w:r w:rsidRPr="005F0419">
        <w:rPr>
          <w:rStyle w:val="rynqvb"/>
          <w:sz w:val="28"/>
          <w:szCs w:val="28"/>
          <w:lang w:val="uk-UA"/>
        </w:rPr>
        <w:t xml:space="preserve"> зв'язку.</w:t>
      </w:r>
      <w:r w:rsidRPr="005F0419">
        <w:rPr>
          <w:rStyle w:val="hwtze"/>
          <w:sz w:val="28"/>
          <w:szCs w:val="28"/>
          <w:lang w:val="uk-UA"/>
        </w:rPr>
        <w:t xml:space="preserve"> </w:t>
      </w:r>
      <w:r w:rsidRPr="005F0419">
        <w:rPr>
          <w:rStyle w:val="rynqvb"/>
          <w:sz w:val="28"/>
          <w:szCs w:val="28"/>
          <w:lang w:val="uk-UA"/>
        </w:rPr>
        <w:t>Впровадьте її у ваше підприємство, хай у кожного робітника буде можливість висловлювати свою думку та пропозиції.</w:t>
      </w:r>
      <w:r w:rsidRPr="005F0419">
        <w:rPr>
          <w:rStyle w:val="hwtze"/>
          <w:sz w:val="28"/>
          <w:szCs w:val="28"/>
          <w:lang w:val="uk-UA"/>
        </w:rPr>
        <w:t xml:space="preserve"> </w:t>
      </w:r>
      <w:r w:rsidRPr="005F0419">
        <w:rPr>
          <w:rStyle w:val="rynqvb"/>
          <w:sz w:val="28"/>
          <w:szCs w:val="28"/>
          <w:lang w:val="uk-UA"/>
        </w:rPr>
        <w:t>Створіть систему, завдяки якій працівники зможуть без страху та ризику ділитися своїми ідеями та зауваженнями.</w:t>
      </w:r>
      <w:r w:rsidRPr="005F0419">
        <w:rPr>
          <w:rStyle w:val="hwtze"/>
          <w:sz w:val="28"/>
          <w:szCs w:val="28"/>
          <w:lang w:val="uk-UA"/>
        </w:rPr>
        <w:t xml:space="preserve"> </w:t>
      </w:r>
      <w:r w:rsidRPr="005F0419">
        <w:rPr>
          <w:rStyle w:val="rynqvb"/>
          <w:sz w:val="28"/>
          <w:szCs w:val="28"/>
          <w:lang w:val="uk-UA"/>
        </w:rPr>
        <w:t>Такі системи становлять частину системи контрольно-управлінської інформаційної системи в організації.</w:t>
      </w:r>
      <w:r w:rsidRPr="005F0419">
        <w:rPr>
          <w:rStyle w:val="hwtze"/>
          <w:sz w:val="28"/>
          <w:szCs w:val="28"/>
          <w:lang w:val="uk-UA"/>
        </w:rPr>
        <w:t xml:space="preserve"> </w:t>
      </w:r>
      <w:r w:rsidRPr="005F0419">
        <w:rPr>
          <w:rStyle w:val="rynqvb"/>
          <w:sz w:val="28"/>
          <w:szCs w:val="28"/>
          <w:lang w:val="uk-UA"/>
        </w:rPr>
        <w:t xml:space="preserve">Один із варіантів системи зворотного зв'язку </w:t>
      </w:r>
      <w:r w:rsidR="00D206B5" w:rsidRPr="005F0419">
        <w:rPr>
          <w:rStyle w:val="rynqvb"/>
          <w:sz w:val="28"/>
          <w:szCs w:val="28"/>
          <w:lang w:val="uk-UA"/>
        </w:rPr>
        <w:t>–</w:t>
      </w:r>
      <w:r w:rsidRPr="005F0419">
        <w:rPr>
          <w:rStyle w:val="rynqvb"/>
          <w:sz w:val="28"/>
          <w:szCs w:val="28"/>
          <w:lang w:val="uk-UA"/>
        </w:rPr>
        <w:t xml:space="preserve"> переміщення</w:t>
      </w:r>
      <w:r w:rsidR="00D206B5" w:rsidRPr="005F0419">
        <w:rPr>
          <w:rStyle w:val="rynqvb"/>
          <w:sz w:val="28"/>
          <w:szCs w:val="28"/>
          <w:lang w:val="uk-UA"/>
        </w:rPr>
        <w:t xml:space="preserve"> </w:t>
      </w:r>
      <w:r w:rsidRPr="005F0419">
        <w:rPr>
          <w:rStyle w:val="rynqvb"/>
          <w:sz w:val="28"/>
          <w:szCs w:val="28"/>
          <w:lang w:val="uk-UA"/>
        </w:rPr>
        <w:t xml:space="preserve">людей з однієї частини </w:t>
      </w:r>
      <w:r w:rsidRPr="005F0419">
        <w:rPr>
          <w:rStyle w:val="rynqvb"/>
          <w:sz w:val="28"/>
          <w:szCs w:val="28"/>
          <w:lang w:val="uk-UA"/>
        </w:rPr>
        <w:lastRenderedPageBreak/>
        <w:t xml:space="preserve">організації до іншої з метою обговорення певних питань. Опитування працівників </w:t>
      </w:r>
      <w:r w:rsidR="00D206B5" w:rsidRPr="005F0419">
        <w:rPr>
          <w:rStyle w:val="rynqvb"/>
          <w:sz w:val="28"/>
          <w:szCs w:val="28"/>
          <w:lang w:val="uk-UA"/>
        </w:rPr>
        <w:t>–</w:t>
      </w:r>
      <w:r w:rsidRPr="005F0419">
        <w:rPr>
          <w:rStyle w:val="rynqvb"/>
          <w:sz w:val="28"/>
          <w:szCs w:val="28"/>
          <w:lang w:val="uk-UA"/>
        </w:rPr>
        <w:t xml:space="preserve"> ще</w:t>
      </w:r>
      <w:r w:rsidR="00D206B5" w:rsidRPr="005F0419">
        <w:rPr>
          <w:rStyle w:val="rynqvb"/>
          <w:sz w:val="28"/>
          <w:szCs w:val="28"/>
          <w:lang w:val="uk-UA"/>
        </w:rPr>
        <w:t xml:space="preserve"> </w:t>
      </w:r>
      <w:r w:rsidRPr="005F0419">
        <w:rPr>
          <w:rStyle w:val="rynqvb"/>
          <w:sz w:val="28"/>
          <w:szCs w:val="28"/>
          <w:lang w:val="uk-UA"/>
        </w:rPr>
        <w:t>один варіант системи зворотного зв'язку;</w:t>
      </w:r>
    </w:p>
    <w:p w14:paraId="583965FA"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зміцнення корпоративної культури та довіри.</w:t>
      </w:r>
      <w:r w:rsidRPr="005F0419">
        <w:rPr>
          <w:rStyle w:val="hwtze"/>
          <w:sz w:val="28"/>
          <w:szCs w:val="28"/>
          <w:lang w:val="uk-UA"/>
        </w:rPr>
        <w:t xml:space="preserve"> </w:t>
      </w:r>
      <w:r w:rsidRPr="005F0419">
        <w:rPr>
          <w:rStyle w:val="rynqvb"/>
          <w:sz w:val="28"/>
          <w:szCs w:val="28"/>
          <w:lang w:val="uk-UA"/>
        </w:rPr>
        <w:t>Створіть атмосферу відкритості, в якій працівники будуть почуватись комфортно та зможуть спокійно ділитися інформацією.</w:t>
      </w:r>
      <w:r w:rsidRPr="005F0419">
        <w:rPr>
          <w:rStyle w:val="hwtze"/>
          <w:sz w:val="28"/>
          <w:szCs w:val="28"/>
          <w:lang w:val="uk-UA"/>
        </w:rPr>
        <w:t xml:space="preserve"> </w:t>
      </w:r>
      <w:r w:rsidRPr="005F0419">
        <w:rPr>
          <w:rStyle w:val="rynqvb"/>
          <w:sz w:val="28"/>
          <w:szCs w:val="28"/>
          <w:lang w:val="uk-UA"/>
        </w:rPr>
        <w:t>Виявляйте увагу та підтримку до своїх підлеглих, і вони дадуть вам відповідь тим самим;</w:t>
      </w:r>
    </w:p>
    <w:p w14:paraId="2D0A0495" w14:textId="77777777" w:rsidR="00115A3E" w:rsidRPr="005F0419" w:rsidRDefault="00115A3E" w:rsidP="00115A3E">
      <w:pPr>
        <w:pStyle w:val="a9"/>
        <w:spacing w:before="0" w:beforeAutospacing="0" w:after="0" w:afterAutospacing="0" w:line="360" w:lineRule="auto"/>
        <w:ind w:firstLine="720"/>
        <w:jc w:val="both"/>
        <w:rPr>
          <w:rStyle w:val="hwtze"/>
          <w:sz w:val="28"/>
          <w:szCs w:val="28"/>
          <w:lang w:val="uk-UA"/>
        </w:rPr>
      </w:pPr>
      <w:r w:rsidRPr="005F0419">
        <w:rPr>
          <w:rStyle w:val="rynqvb"/>
          <w:sz w:val="28"/>
          <w:szCs w:val="28"/>
          <w:lang w:val="uk-UA"/>
        </w:rPr>
        <w:t>- регулювання інформаційних потоків.</w:t>
      </w:r>
      <w:r w:rsidRPr="005F0419">
        <w:rPr>
          <w:rStyle w:val="hwtze"/>
          <w:sz w:val="28"/>
          <w:szCs w:val="28"/>
          <w:lang w:val="uk-UA"/>
        </w:rPr>
        <w:t xml:space="preserve"> </w:t>
      </w:r>
      <w:r w:rsidRPr="005F0419">
        <w:rPr>
          <w:rStyle w:val="rynqvb"/>
          <w:sz w:val="28"/>
          <w:szCs w:val="28"/>
          <w:lang w:val="uk-UA"/>
        </w:rPr>
        <w:t>Керівники на всіх рівнях організації мають представляти потреби у інформації: власні, своїх начальників, колег і підлеглих.</w:t>
      </w:r>
      <w:r w:rsidRPr="005F0419">
        <w:rPr>
          <w:rStyle w:val="hwtze"/>
          <w:sz w:val="28"/>
          <w:szCs w:val="28"/>
          <w:lang w:val="uk-UA"/>
        </w:rPr>
        <w:t xml:space="preserve"> </w:t>
      </w:r>
      <w:r w:rsidRPr="005F0419">
        <w:rPr>
          <w:rStyle w:val="rynqvb"/>
          <w:sz w:val="28"/>
          <w:szCs w:val="28"/>
          <w:lang w:val="uk-UA"/>
        </w:rPr>
        <w:t>Керівник повинен навчитися оцінювати якісну та кількісну сторони своїх інформаційних потреб, а також інших споживачів інформації в організації;</w:t>
      </w:r>
      <w:r w:rsidRPr="005F0419">
        <w:rPr>
          <w:rStyle w:val="hwtze"/>
          <w:sz w:val="28"/>
          <w:szCs w:val="28"/>
          <w:lang w:val="uk-UA"/>
        </w:rPr>
        <w:t xml:space="preserve"> </w:t>
      </w:r>
    </w:p>
    <w:p w14:paraId="745E9D05" w14:textId="440EF3DA"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управлінські дії.</w:t>
      </w:r>
      <w:r w:rsidRPr="005F0419">
        <w:rPr>
          <w:rStyle w:val="hwtze"/>
          <w:sz w:val="28"/>
          <w:szCs w:val="28"/>
          <w:lang w:val="uk-UA"/>
        </w:rPr>
        <w:t xml:space="preserve"> </w:t>
      </w:r>
      <w:r w:rsidRPr="005F0419">
        <w:rPr>
          <w:rStyle w:val="rynqvb"/>
          <w:sz w:val="28"/>
          <w:szCs w:val="28"/>
          <w:lang w:val="uk-UA"/>
        </w:rPr>
        <w:t>Керівник може практикувати короткі зустрічі з підлеглими для обговорення змін, нових пріоритетів, розподілу роботи тощо.</w:t>
      </w:r>
      <w:r w:rsidRPr="005F0419">
        <w:rPr>
          <w:rStyle w:val="hwtze"/>
          <w:sz w:val="28"/>
          <w:szCs w:val="28"/>
          <w:lang w:val="uk-UA"/>
        </w:rPr>
        <w:t xml:space="preserve"> </w:t>
      </w:r>
      <w:r w:rsidRPr="005F0419">
        <w:rPr>
          <w:rStyle w:val="rynqvb"/>
          <w:sz w:val="28"/>
          <w:szCs w:val="28"/>
          <w:lang w:val="uk-UA"/>
        </w:rPr>
        <w:t>Керівник може також на свій розсуд віддати перевагу періодичним зустрічам за участю підлеглих для розгляду тих самих питань. Планування, реалізація та контроль формують додаткові можливості управлінської діяльності у напрямку вдосконалення інформаційного обміну.</w:t>
      </w:r>
      <w:r w:rsidRPr="005F0419">
        <w:rPr>
          <w:rStyle w:val="hwtze"/>
          <w:sz w:val="28"/>
          <w:szCs w:val="28"/>
          <w:lang w:val="uk-UA"/>
        </w:rPr>
        <w:t xml:space="preserve"> </w:t>
      </w:r>
      <w:r w:rsidRPr="005F0419">
        <w:rPr>
          <w:rStyle w:val="rynqvb"/>
          <w:sz w:val="28"/>
          <w:szCs w:val="28"/>
          <w:lang w:val="uk-UA"/>
        </w:rPr>
        <w:t xml:space="preserve">Обговорення нових планів, варіантів стратегії, цілей та завдань, необхідних для більш ефективної реалізації наміченого, контроль ходу робіт із плану-графіка, звіти за результатами такого контролю </w:t>
      </w:r>
      <w:r w:rsidR="00D206B5" w:rsidRPr="005F0419">
        <w:rPr>
          <w:rStyle w:val="rynqvb"/>
          <w:sz w:val="28"/>
          <w:szCs w:val="28"/>
          <w:lang w:val="uk-UA"/>
        </w:rPr>
        <w:t>–</w:t>
      </w:r>
      <w:r w:rsidRPr="005F0419">
        <w:rPr>
          <w:rStyle w:val="rynqvb"/>
          <w:sz w:val="28"/>
          <w:szCs w:val="28"/>
          <w:lang w:val="uk-UA"/>
        </w:rPr>
        <w:t xml:space="preserve"> це</w:t>
      </w:r>
      <w:r w:rsidR="00D206B5" w:rsidRPr="005F0419">
        <w:rPr>
          <w:rStyle w:val="rynqvb"/>
          <w:sz w:val="28"/>
          <w:szCs w:val="28"/>
          <w:lang w:val="uk-UA"/>
        </w:rPr>
        <w:t xml:space="preserve"> </w:t>
      </w:r>
      <w:r w:rsidRPr="005F0419">
        <w:rPr>
          <w:rStyle w:val="rynqvb"/>
          <w:sz w:val="28"/>
          <w:szCs w:val="28"/>
          <w:lang w:val="uk-UA"/>
        </w:rPr>
        <w:t>додаткові дії, підвладні керівнику;</w:t>
      </w:r>
    </w:p>
    <w:p w14:paraId="6CBAC14C"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системи збирання пропозицій.</w:t>
      </w:r>
      <w:r w:rsidRPr="005F0419">
        <w:rPr>
          <w:rStyle w:val="hwtze"/>
          <w:sz w:val="28"/>
          <w:szCs w:val="28"/>
          <w:lang w:val="uk-UA"/>
        </w:rPr>
        <w:t xml:space="preserve"> </w:t>
      </w:r>
      <w:r w:rsidRPr="005F0419">
        <w:rPr>
          <w:rStyle w:val="rynqvb"/>
          <w:sz w:val="28"/>
          <w:szCs w:val="28"/>
          <w:lang w:val="uk-UA"/>
        </w:rPr>
        <w:t>Вони розроблені з метою полегшення надходження інформації нагору.</w:t>
      </w:r>
      <w:r w:rsidRPr="005F0419">
        <w:rPr>
          <w:rStyle w:val="hwtze"/>
          <w:sz w:val="28"/>
          <w:szCs w:val="28"/>
          <w:lang w:val="uk-UA"/>
        </w:rPr>
        <w:t xml:space="preserve"> </w:t>
      </w:r>
      <w:r w:rsidRPr="005F0419">
        <w:rPr>
          <w:rStyle w:val="rynqvb"/>
          <w:sz w:val="28"/>
          <w:szCs w:val="28"/>
          <w:lang w:val="uk-UA"/>
        </w:rPr>
        <w:t>Усі працівники отримують можливість генерувати ідеї, що стосуються вдосконалення будь-якого аспекту діяльності організації.</w:t>
      </w:r>
      <w:r w:rsidRPr="005F0419">
        <w:rPr>
          <w:rStyle w:val="hwtze"/>
          <w:sz w:val="28"/>
          <w:szCs w:val="28"/>
          <w:lang w:val="uk-UA"/>
        </w:rPr>
        <w:t xml:space="preserve"> </w:t>
      </w:r>
      <w:r w:rsidRPr="005F0419">
        <w:rPr>
          <w:rStyle w:val="rynqvb"/>
          <w:sz w:val="28"/>
          <w:szCs w:val="28"/>
          <w:lang w:val="uk-UA"/>
        </w:rPr>
        <w:t>Мета подібних систем - зниження гостроти тенденції фільтрації або ігнорування ідей по дорозі знизу вгору;</w:t>
      </w:r>
    </w:p>
    <w:p w14:paraId="539683CF" w14:textId="77777777" w:rsidR="00115A3E" w:rsidRPr="005F0419" w:rsidRDefault="00115A3E" w:rsidP="00115A3E">
      <w:pPr>
        <w:pStyle w:val="a9"/>
        <w:spacing w:before="0" w:beforeAutospacing="0" w:after="0" w:afterAutospacing="0" w:line="360" w:lineRule="auto"/>
        <w:ind w:firstLine="720"/>
        <w:jc w:val="both"/>
        <w:rPr>
          <w:rStyle w:val="rynqvb"/>
          <w:sz w:val="28"/>
          <w:szCs w:val="28"/>
          <w:lang w:val="uk-UA"/>
        </w:rPr>
      </w:pPr>
      <w:r w:rsidRPr="005F0419">
        <w:rPr>
          <w:rStyle w:val="rynqvb"/>
          <w:sz w:val="28"/>
          <w:szCs w:val="28"/>
          <w:lang w:val="uk-UA"/>
        </w:rPr>
        <w:t>- інформаційні бюлетені, публікації організації.</w:t>
      </w:r>
      <w:r w:rsidRPr="005F0419">
        <w:rPr>
          <w:rStyle w:val="hwtze"/>
          <w:sz w:val="28"/>
          <w:szCs w:val="28"/>
          <w:lang w:val="uk-UA"/>
        </w:rPr>
        <w:t xml:space="preserve"> </w:t>
      </w:r>
      <w:r w:rsidRPr="005F0419">
        <w:rPr>
          <w:rStyle w:val="rynqvb"/>
          <w:sz w:val="28"/>
          <w:szCs w:val="28"/>
          <w:lang w:val="uk-UA"/>
        </w:rPr>
        <w:t>До них можуть входити статті з оглядом пропозицій щодо управління, на соціальні теми, нового контракту, нового виду продукції чи послуги, які планується запропонувати у найближчому майбутньому споживачам, добірка «працівник місяця», відповіді керівництва на запитання пересічних працівників та ін.</w:t>
      </w:r>
    </w:p>
    <w:p w14:paraId="504B7823" w14:textId="77777777"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lastRenderedPageBreak/>
        <w:t>Отже, ефективна внутрішня комунікація відіграє ключову роль у створенні згуртованого та продуктивного робочого середовища.</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Розробивши чітко визначені стратегії внутрішніх комунікацій та впровадивши комплексний план внутрішніх комунікацій, організації можуть забезпечити безперешкодний обмін інформацією усередині своїх команд.</w:t>
      </w:r>
      <w:r w:rsidRPr="005F0419">
        <w:rPr>
          <w:rStyle w:val="hwtze"/>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Використання правильних інструментів для внутрішніх комунікацій ще більше покращує співпрацю та взаємодію між співробітниками. Крім того, він сприяє ефективній командній роботі, заохочує узгодженість дій та підвищує залученість та прозорість співробітників.</w:t>
      </w:r>
    </w:p>
    <w:p w14:paraId="7A4CABAE" w14:textId="0E969A82"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Що стосується зовнішніх комунікацій, то їх завдання </w:t>
      </w:r>
      <w:r w:rsidR="00D206B5" w:rsidRPr="005F0419">
        <w:rPr>
          <w:rStyle w:val="rynqvb"/>
          <w:rFonts w:ascii="Times New Roman" w:hAnsi="Times New Roman" w:cs="Times New Roman"/>
          <w:sz w:val="28"/>
          <w:szCs w:val="28"/>
          <w:lang w:val="uk-UA"/>
        </w:rPr>
        <w:t>–</w:t>
      </w:r>
      <w:r w:rsidRPr="005F0419">
        <w:rPr>
          <w:rStyle w:val="rynqvb"/>
          <w:rFonts w:ascii="Times New Roman" w:hAnsi="Times New Roman" w:cs="Times New Roman"/>
          <w:sz w:val="28"/>
          <w:szCs w:val="28"/>
          <w:lang w:val="uk-UA"/>
        </w:rPr>
        <w:t xml:space="preserve"> задовольнити</w:t>
      </w:r>
      <w:r w:rsidR="00D206B5" w:rsidRPr="005F0419">
        <w:rPr>
          <w:rStyle w:val="rynqvb"/>
          <w:rFonts w:ascii="Times New Roman" w:hAnsi="Times New Roman" w:cs="Times New Roman"/>
          <w:sz w:val="28"/>
          <w:szCs w:val="28"/>
          <w:lang w:val="uk-UA"/>
        </w:rPr>
        <w:t xml:space="preserve"> </w:t>
      </w:r>
      <w:r w:rsidRPr="005F0419">
        <w:rPr>
          <w:rStyle w:val="rynqvb"/>
          <w:rFonts w:ascii="Times New Roman" w:hAnsi="Times New Roman" w:cs="Times New Roman"/>
          <w:sz w:val="28"/>
          <w:szCs w:val="28"/>
          <w:lang w:val="uk-UA"/>
        </w:rPr>
        <w:t xml:space="preserve">інформаційні потреби організації, налагодити зв'язки із зовнішніми зацікавленими аудиторіями, сформувати позитивний імідж. Вони будуть зосереджені на трансляції цінності вашої пропозиції, індивідуальності, інновацій та корисності. </w:t>
      </w:r>
    </w:p>
    <w:p w14:paraId="6A6331A9"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Дослідження показують, що зростання доходів компаній збільшується на третину, коли бренд послідовно розвиває як зовнішню, так і внутрішню комунікацію. Комунікаційні стратегії докладно описують цілі, цільові аудиторії, ключові повідомлення, інструменти чи канали та плани дій і дозволяють втілювати ідеї в конкретні події.</w:t>
      </w:r>
    </w:p>
    <w:p w14:paraId="7A751F8B"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p>
    <w:p w14:paraId="76620CC8" w14:textId="77777777" w:rsidR="00CD5C0E" w:rsidRPr="005F0419" w:rsidRDefault="00CD5C0E" w:rsidP="00CD5C0E">
      <w:pPr>
        <w:spacing w:after="0" w:line="360" w:lineRule="auto"/>
        <w:ind w:firstLine="720"/>
        <w:jc w:val="center"/>
        <w:rPr>
          <w:rFonts w:ascii="Times New Roman" w:hAnsi="Times New Roman" w:cs="Times New Roman"/>
          <w:b/>
          <w:bCs/>
          <w:sz w:val="28"/>
          <w:szCs w:val="28"/>
          <w:lang w:val="uk-UA"/>
        </w:rPr>
      </w:pPr>
      <w:r w:rsidRPr="005F0419">
        <w:rPr>
          <w:rFonts w:ascii="Times New Roman" w:hAnsi="Times New Roman" w:cs="Times New Roman"/>
          <w:b/>
          <w:bCs/>
          <w:sz w:val="28"/>
          <w:szCs w:val="28"/>
          <w:lang w:val="uk-UA"/>
        </w:rPr>
        <w:t>Список використаних джерел</w:t>
      </w:r>
    </w:p>
    <w:p w14:paraId="3C294F89" w14:textId="7F177389" w:rsidR="00115A3E" w:rsidRPr="005F0419" w:rsidRDefault="00115A3E" w:rsidP="00115A3E">
      <w:pPr>
        <w:spacing w:after="0" w:line="360" w:lineRule="auto"/>
        <w:ind w:firstLine="720"/>
        <w:jc w:val="both"/>
        <w:rPr>
          <w:rStyle w:val="rynqvb"/>
          <w:rFonts w:ascii="Times New Roman" w:hAnsi="Times New Roman" w:cs="Times New Roman"/>
          <w:sz w:val="28"/>
          <w:szCs w:val="28"/>
          <w:lang w:val="uk-UA"/>
        </w:rPr>
      </w:pPr>
      <w:r w:rsidRPr="005F0419">
        <w:rPr>
          <w:rStyle w:val="rynqvb"/>
          <w:rFonts w:ascii="Times New Roman" w:hAnsi="Times New Roman" w:cs="Times New Roman"/>
          <w:sz w:val="28"/>
          <w:szCs w:val="28"/>
          <w:lang w:val="uk-UA"/>
        </w:rPr>
        <w:t xml:space="preserve">1. Андрєєв А. </w:t>
      </w:r>
      <w:r w:rsidR="00CD5C0E" w:rsidRPr="005F0419">
        <w:rPr>
          <w:rStyle w:val="rynqvb"/>
          <w:rFonts w:ascii="Times New Roman" w:hAnsi="Times New Roman" w:cs="Times New Roman"/>
          <w:sz w:val="28"/>
          <w:szCs w:val="28"/>
          <w:lang w:val="uk-UA"/>
        </w:rPr>
        <w:t>Комунікаційна стратегія</w:t>
      </w:r>
      <w:r w:rsidRPr="005F0419">
        <w:rPr>
          <w:rFonts w:ascii="Times New Roman" w:eastAsia="Times New Roman" w:hAnsi="Times New Roman" w:cs="Times New Roman"/>
          <w:bCs/>
          <w:kern w:val="36"/>
          <w:sz w:val="28"/>
          <w:szCs w:val="28"/>
          <w:lang w:val="uk-UA" w:eastAsia="uk-UA"/>
        </w:rPr>
        <w:t>. URL:</w:t>
      </w:r>
      <w:r w:rsidRPr="005F0419">
        <w:rPr>
          <w:rFonts w:ascii="Times New Roman" w:eastAsia="Times New Roman" w:hAnsi="Times New Roman" w:cs="Times New Roman"/>
          <w:b/>
          <w:bCs/>
          <w:kern w:val="36"/>
          <w:sz w:val="28"/>
          <w:szCs w:val="28"/>
          <w:lang w:val="uk-UA" w:eastAsia="uk-UA"/>
        </w:rPr>
        <w:t xml:space="preserve"> </w:t>
      </w:r>
      <w:hyperlink r:id="rId133" w:history="1">
        <w:r w:rsidRPr="005F0419">
          <w:rPr>
            <w:rStyle w:val="a6"/>
            <w:rFonts w:ascii="Times New Roman" w:hAnsi="Times New Roman" w:cs="Times New Roman"/>
            <w:color w:val="auto"/>
            <w:sz w:val="28"/>
            <w:szCs w:val="28"/>
            <w:lang w:val="uk-UA"/>
          </w:rPr>
          <w:t>http://surl.li/ppnmw</w:t>
        </w:r>
      </w:hyperlink>
    </w:p>
    <w:p w14:paraId="17DD03D4" w14:textId="77777777" w:rsidR="00115A3E" w:rsidRPr="005F0419" w:rsidRDefault="00115A3E" w:rsidP="00115A3E">
      <w:pPr>
        <w:spacing w:after="0" w:line="360" w:lineRule="auto"/>
        <w:ind w:firstLine="720"/>
        <w:jc w:val="both"/>
        <w:outlineLvl w:val="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w:t>
      </w:r>
      <w:proofErr w:type="spellStart"/>
      <w:r w:rsidRPr="005F0419">
        <w:rPr>
          <w:rFonts w:ascii="Times New Roman" w:hAnsi="Times New Roman" w:cs="Times New Roman"/>
          <w:sz w:val="28"/>
          <w:szCs w:val="28"/>
          <w:lang w:val="uk-UA"/>
        </w:rPr>
        <w:t>Бобало</w:t>
      </w:r>
      <w:proofErr w:type="spellEnd"/>
      <w:r w:rsidRPr="005F0419">
        <w:rPr>
          <w:rFonts w:ascii="Times New Roman" w:hAnsi="Times New Roman" w:cs="Times New Roman"/>
          <w:sz w:val="28"/>
          <w:szCs w:val="28"/>
          <w:lang w:val="uk-UA"/>
        </w:rPr>
        <w:t xml:space="preserve"> О.Ю. Комунікативні стратегії. Навчальний посібник. Львів: Видавництво Львівської політехніки.  2015. 344 с.</w:t>
      </w:r>
    </w:p>
    <w:p w14:paraId="14E89351"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 Гребенюк М.В. Основи стратегічних комунікацій за стандартами НАТО: </w:t>
      </w:r>
      <w:proofErr w:type="spellStart"/>
      <w:r w:rsidRPr="005F0419">
        <w:rPr>
          <w:rFonts w:ascii="Times New Roman" w:hAnsi="Times New Roman" w:cs="Times New Roman"/>
          <w:sz w:val="28"/>
          <w:szCs w:val="28"/>
          <w:lang w:val="uk-UA"/>
        </w:rPr>
        <w:t>навч</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посіб</w:t>
      </w:r>
      <w:proofErr w:type="spellEnd"/>
      <w:r w:rsidRPr="005F0419">
        <w:rPr>
          <w:rFonts w:ascii="Times New Roman" w:hAnsi="Times New Roman" w:cs="Times New Roman"/>
          <w:sz w:val="28"/>
          <w:szCs w:val="28"/>
          <w:lang w:val="uk-UA"/>
        </w:rPr>
        <w:t>. Київ: НУОУ ім. Івана Черняховського, 2017. 180 с.</w:t>
      </w:r>
    </w:p>
    <w:p w14:paraId="39683FDA" w14:textId="77777777" w:rsidR="00115A3E" w:rsidRPr="005F0419" w:rsidRDefault="00115A3E" w:rsidP="00115A3E">
      <w:pPr>
        <w:spacing w:after="0" w:line="360" w:lineRule="auto"/>
        <w:ind w:firstLine="720"/>
        <w:jc w:val="both"/>
        <w:outlineLvl w:val="0"/>
        <w:rPr>
          <w:rFonts w:ascii="Times New Roman" w:hAnsi="Times New Roman" w:cs="Times New Roman"/>
          <w:sz w:val="28"/>
          <w:szCs w:val="28"/>
          <w:lang w:val="uk-UA"/>
        </w:rPr>
      </w:pPr>
      <w:r w:rsidRPr="005F0419">
        <w:rPr>
          <w:rFonts w:ascii="Times New Roman" w:eastAsia="Times New Roman" w:hAnsi="Times New Roman" w:cs="Times New Roman"/>
          <w:bCs/>
          <w:kern w:val="36"/>
          <w:sz w:val="28"/>
          <w:szCs w:val="28"/>
          <w:lang w:val="uk-UA" w:eastAsia="uk-UA"/>
        </w:rPr>
        <w:t>4. Картки: що таке стратегічна комунікація і кому вона потрібна. Центр політичного консалтингу. Електронний ресурс. URL:</w:t>
      </w:r>
      <w:r w:rsidRPr="005F0419">
        <w:rPr>
          <w:rFonts w:ascii="Times New Roman" w:eastAsia="Times New Roman" w:hAnsi="Times New Roman" w:cs="Times New Roman"/>
          <w:b/>
          <w:bCs/>
          <w:kern w:val="36"/>
          <w:sz w:val="28"/>
          <w:szCs w:val="28"/>
          <w:lang w:val="uk-UA" w:eastAsia="uk-UA"/>
        </w:rPr>
        <w:t xml:space="preserve"> </w:t>
      </w:r>
      <w:hyperlink r:id="rId134" w:history="1">
        <w:r w:rsidRPr="005F0419">
          <w:rPr>
            <w:rStyle w:val="a6"/>
            <w:rFonts w:ascii="Times New Roman" w:hAnsi="Times New Roman" w:cs="Times New Roman"/>
            <w:color w:val="auto"/>
            <w:sz w:val="28"/>
            <w:szCs w:val="28"/>
            <w:lang w:val="uk-UA"/>
          </w:rPr>
          <w:t>http://surl.li/hvbhh</w:t>
        </w:r>
      </w:hyperlink>
    </w:p>
    <w:p w14:paraId="6F66553A" w14:textId="77777777" w:rsidR="00115A3E" w:rsidRPr="005F0419" w:rsidRDefault="00115A3E" w:rsidP="00115A3E">
      <w:pPr>
        <w:spacing w:after="0" w:line="360" w:lineRule="auto"/>
        <w:ind w:firstLine="720"/>
        <w:jc w:val="both"/>
        <w:rPr>
          <w:rFonts w:ascii="Times New Roman" w:eastAsia="Times New Roman" w:hAnsi="Times New Roman" w:cs="Times New Roman"/>
          <w:bCs/>
          <w:kern w:val="36"/>
          <w:sz w:val="28"/>
          <w:szCs w:val="28"/>
          <w:lang w:val="uk-UA" w:eastAsia="uk-UA"/>
        </w:rPr>
      </w:pPr>
      <w:r w:rsidRPr="005F0419">
        <w:rPr>
          <w:rFonts w:ascii="Times New Roman" w:hAnsi="Times New Roman" w:cs="Times New Roman"/>
          <w:sz w:val="28"/>
          <w:szCs w:val="28"/>
          <w:lang w:val="uk-UA"/>
        </w:rPr>
        <w:t xml:space="preserve">5. Крилова К.В. Комунікативна компетентність як педагогічна категорія. Електронний ресурс. </w:t>
      </w:r>
      <w:r w:rsidRPr="005F0419">
        <w:rPr>
          <w:rFonts w:ascii="Times New Roman" w:eastAsia="Times New Roman" w:hAnsi="Times New Roman" w:cs="Times New Roman"/>
          <w:bCs/>
          <w:kern w:val="36"/>
          <w:sz w:val="28"/>
          <w:szCs w:val="28"/>
          <w:lang w:val="uk-UA" w:eastAsia="uk-UA"/>
        </w:rPr>
        <w:t xml:space="preserve">URL: </w:t>
      </w:r>
      <w:hyperlink r:id="rId135" w:history="1">
        <w:r w:rsidRPr="005F0419">
          <w:rPr>
            <w:rStyle w:val="a6"/>
            <w:rFonts w:ascii="Times New Roman" w:eastAsia="Times New Roman" w:hAnsi="Times New Roman" w:cs="Times New Roman"/>
            <w:bCs/>
            <w:color w:val="auto"/>
            <w:kern w:val="36"/>
            <w:sz w:val="28"/>
            <w:szCs w:val="28"/>
            <w:lang w:val="uk-UA" w:eastAsia="uk-UA"/>
          </w:rPr>
          <w:t>http://surl.li/ppnke</w:t>
        </w:r>
      </w:hyperlink>
    </w:p>
    <w:p w14:paraId="43E07367" w14:textId="41B84262"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lang w:val="uk-UA"/>
        </w:rPr>
        <w:lastRenderedPageBreak/>
        <w:t>6. Комунікаційна стратегія громади: тренд чи необхідність?</w:t>
      </w:r>
      <w:r w:rsidRPr="005F0419">
        <w:rPr>
          <w:rFonts w:ascii="Times New Roman" w:hAnsi="Times New Roman" w:cs="Times New Roman"/>
          <w:sz w:val="28"/>
          <w:szCs w:val="28"/>
          <w:lang w:val="uk-UA"/>
        </w:rPr>
        <w:t xml:space="preserve"> Агенція місцевого економічного розвитку Яворівщини. </w:t>
      </w:r>
      <w:r w:rsidRPr="005F0419">
        <w:rPr>
          <w:rFonts w:ascii="Times New Roman" w:eastAsia="Times New Roman" w:hAnsi="Times New Roman" w:cs="Times New Roman"/>
          <w:bCs/>
          <w:kern w:val="36"/>
          <w:sz w:val="28"/>
          <w:szCs w:val="28"/>
          <w:lang w:val="uk-UA" w:eastAsia="uk-UA"/>
        </w:rPr>
        <w:t>URL:</w:t>
      </w:r>
      <w:r w:rsidRPr="005F0419">
        <w:rPr>
          <w:rFonts w:ascii="Times New Roman" w:hAnsi="Times New Roman" w:cs="Times New Roman"/>
          <w:sz w:val="28"/>
          <w:szCs w:val="28"/>
          <w:lang w:val="uk-UA"/>
        </w:rPr>
        <w:t xml:space="preserve"> </w:t>
      </w:r>
      <w:hyperlink r:id="rId136" w:history="1">
        <w:r w:rsidRPr="005F0419">
          <w:rPr>
            <w:rStyle w:val="a6"/>
            <w:rFonts w:ascii="Times New Roman" w:hAnsi="Times New Roman" w:cs="Times New Roman"/>
            <w:color w:val="auto"/>
            <w:sz w:val="28"/>
            <w:szCs w:val="28"/>
            <w:lang w:val="uk-UA"/>
          </w:rPr>
          <w:t>http://surl.li/iqmth</w:t>
        </w:r>
      </w:hyperlink>
    </w:p>
    <w:p w14:paraId="14B80E76"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7. </w:t>
      </w:r>
      <w:proofErr w:type="spellStart"/>
      <w:r w:rsidRPr="005F0419">
        <w:rPr>
          <w:rFonts w:ascii="Times New Roman" w:hAnsi="Times New Roman" w:cs="Times New Roman"/>
          <w:sz w:val="28"/>
          <w:szCs w:val="28"/>
          <w:lang w:val="uk-UA"/>
        </w:rPr>
        <w:t>Малімон</w:t>
      </w:r>
      <w:proofErr w:type="spellEnd"/>
      <w:r w:rsidRPr="005F0419">
        <w:rPr>
          <w:rFonts w:ascii="Times New Roman" w:hAnsi="Times New Roman" w:cs="Times New Roman"/>
          <w:sz w:val="28"/>
          <w:szCs w:val="28"/>
          <w:lang w:val="uk-UA"/>
        </w:rPr>
        <w:t xml:space="preserve"> В.І. Комунікативні технології в публічному управлінні: навчально-методичні матеріали. Івано-Франківськ, ІФОЦППК. 2018.  51 с.</w:t>
      </w:r>
    </w:p>
    <w:p w14:paraId="12FE1D52" w14:textId="736F0154"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8. Основи управління IT проектами: </w:t>
      </w:r>
      <w:proofErr w:type="spellStart"/>
      <w:r w:rsidRPr="005F0419">
        <w:rPr>
          <w:rFonts w:ascii="Times New Roman" w:hAnsi="Times New Roman" w:cs="Times New Roman"/>
          <w:sz w:val="28"/>
          <w:szCs w:val="28"/>
          <w:lang w:val="uk-UA"/>
        </w:rPr>
        <w:t>навч</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посіб</w:t>
      </w:r>
      <w:proofErr w:type="spellEnd"/>
      <w:r w:rsidRPr="005F0419">
        <w:rPr>
          <w:rFonts w:ascii="Times New Roman" w:hAnsi="Times New Roman" w:cs="Times New Roman"/>
          <w:sz w:val="28"/>
          <w:szCs w:val="28"/>
          <w:lang w:val="uk-UA"/>
        </w:rPr>
        <w:t xml:space="preserve">. для </w:t>
      </w:r>
      <w:proofErr w:type="spellStart"/>
      <w:r w:rsidRPr="005F0419">
        <w:rPr>
          <w:rFonts w:ascii="Times New Roman" w:hAnsi="Times New Roman" w:cs="Times New Roman"/>
          <w:sz w:val="28"/>
          <w:szCs w:val="28"/>
          <w:lang w:val="uk-UA"/>
        </w:rPr>
        <w:t>студ</w:t>
      </w:r>
      <w:proofErr w:type="spellEnd"/>
      <w:r w:rsidRPr="005F0419">
        <w:rPr>
          <w:rFonts w:ascii="Times New Roman" w:hAnsi="Times New Roman" w:cs="Times New Roman"/>
          <w:sz w:val="28"/>
          <w:szCs w:val="28"/>
          <w:lang w:val="uk-UA"/>
        </w:rPr>
        <w:t>.</w:t>
      </w:r>
      <w:r w:rsidR="00CD5C0E"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спеціальності 122 «Комп’ютерні науки»</w:t>
      </w:r>
      <w:r w:rsidR="00CD5C0E" w:rsidRPr="005F0419">
        <w:rPr>
          <w:rFonts w:ascii="Times New Roman" w:hAnsi="Times New Roman" w:cs="Times New Roman"/>
          <w:sz w:val="28"/>
          <w:szCs w:val="28"/>
          <w:lang w:val="uk-UA"/>
        </w:rPr>
        <w:t>. Ук</w:t>
      </w:r>
      <w:r w:rsidRPr="005F0419">
        <w:rPr>
          <w:rFonts w:ascii="Times New Roman" w:hAnsi="Times New Roman" w:cs="Times New Roman"/>
          <w:sz w:val="28"/>
          <w:szCs w:val="28"/>
          <w:lang w:val="uk-UA"/>
        </w:rPr>
        <w:t>лад.: В. О. Кузьміних, Р. А. Тараненко.   Київ : КПІ ім. Ігоря Сікорського, 2019.  75 с.</w:t>
      </w:r>
    </w:p>
    <w:p w14:paraId="39B79819" w14:textId="18B4B712"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9. Побережна М. П. Комунікаційна стратегія: основні поняття та визначення</w:t>
      </w:r>
      <w:r w:rsidR="00CD5C0E"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Управління сучасним підприємством: матеріали ІХ-ї </w:t>
      </w:r>
      <w:proofErr w:type="spellStart"/>
      <w:r w:rsidRPr="005F0419">
        <w:rPr>
          <w:rFonts w:ascii="Times New Roman" w:hAnsi="Times New Roman" w:cs="Times New Roman"/>
          <w:sz w:val="28"/>
          <w:szCs w:val="28"/>
          <w:lang w:val="uk-UA"/>
        </w:rPr>
        <w:t>Міжнародої</w:t>
      </w:r>
      <w:proofErr w:type="spellEnd"/>
      <w:r w:rsidRPr="005F0419">
        <w:rPr>
          <w:rFonts w:ascii="Times New Roman" w:hAnsi="Times New Roman" w:cs="Times New Roman"/>
          <w:sz w:val="28"/>
          <w:szCs w:val="28"/>
          <w:lang w:val="uk-UA"/>
        </w:rPr>
        <w:t xml:space="preserve"> науково-практичної конференції.  2013. С. 25–27</w:t>
      </w:r>
      <w:r w:rsidR="00CD5C0E" w:rsidRPr="005F0419">
        <w:rPr>
          <w:rFonts w:ascii="Times New Roman" w:hAnsi="Times New Roman" w:cs="Times New Roman"/>
          <w:sz w:val="28"/>
          <w:szCs w:val="28"/>
          <w:lang w:val="uk-UA"/>
        </w:rPr>
        <w:t>.</w:t>
      </w:r>
    </w:p>
    <w:p w14:paraId="5352D198" w14:textId="77777777"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10. </w:t>
      </w:r>
      <w:proofErr w:type="spellStart"/>
      <w:r w:rsidRPr="005F0419">
        <w:rPr>
          <w:rFonts w:ascii="Times New Roman" w:hAnsi="Times New Roman" w:cs="Times New Roman"/>
          <w:sz w:val="28"/>
          <w:szCs w:val="28"/>
          <w:lang w:val="uk-UA"/>
        </w:rPr>
        <w:t>Почепцов</w:t>
      </w:r>
      <w:proofErr w:type="spellEnd"/>
      <w:r w:rsidRPr="005F0419">
        <w:rPr>
          <w:rFonts w:ascii="Times New Roman" w:hAnsi="Times New Roman" w:cs="Times New Roman"/>
          <w:sz w:val="28"/>
          <w:szCs w:val="28"/>
          <w:lang w:val="uk-UA"/>
        </w:rPr>
        <w:t xml:space="preserve"> Г.Г. Стратегічні комунікації: стратегічні комунікації в політиці, бізнесі і державному управлінні. Київ: </w:t>
      </w:r>
      <w:proofErr w:type="spellStart"/>
      <w:r w:rsidRPr="005F0419">
        <w:rPr>
          <w:rFonts w:ascii="Times New Roman" w:hAnsi="Times New Roman" w:cs="Times New Roman"/>
          <w:sz w:val="28"/>
          <w:szCs w:val="28"/>
          <w:lang w:val="uk-UA"/>
        </w:rPr>
        <w:t>Альтерпрес</w:t>
      </w:r>
      <w:proofErr w:type="spellEnd"/>
      <w:r w:rsidRPr="005F0419">
        <w:rPr>
          <w:rFonts w:ascii="Times New Roman" w:hAnsi="Times New Roman" w:cs="Times New Roman"/>
          <w:sz w:val="28"/>
          <w:szCs w:val="28"/>
          <w:lang w:val="uk-UA"/>
        </w:rPr>
        <w:t>, 2008. 216 с.</w:t>
      </w:r>
    </w:p>
    <w:p w14:paraId="4BE90E77" w14:textId="7E36DEE5" w:rsidR="00CD5C0E" w:rsidRPr="005F0419" w:rsidRDefault="00115A3E" w:rsidP="00CD5C0E">
      <w:pPr>
        <w:spacing w:after="0" w:line="360" w:lineRule="auto"/>
        <w:ind w:firstLine="720"/>
        <w:jc w:val="both"/>
        <w:rPr>
          <w:rStyle w:val="a6"/>
          <w:rFonts w:ascii="Times New Roman" w:hAnsi="Times New Roman" w:cs="Times New Roman"/>
          <w:color w:val="auto"/>
          <w:sz w:val="28"/>
          <w:szCs w:val="28"/>
          <w:lang w:val="uk-UA"/>
        </w:rPr>
      </w:pPr>
      <w:r w:rsidRPr="005F0419">
        <w:rPr>
          <w:rFonts w:ascii="Times New Roman" w:hAnsi="Times New Roman" w:cs="Times New Roman"/>
          <w:sz w:val="28"/>
          <w:szCs w:val="28"/>
          <w:lang w:val="uk-UA"/>
        </w:rPr>
        <w:t xml:space="preserve">11. Сомова О. Види контенту. Яким він буває та де його використовувати? </w:t>
      </w:r>
      <w:r w:rsidR="00CD5C0E" w:rsidRPr="005F0419">
        <w:rPr>
          <w:rFonts w:ascii="Times New Roman" w:hAnsi="Times New Roman" w:cs="Times New Roman"/>
          <w:sz w:val="28"/>
          <w:szCs w:val="28"/>
          <w:lang w:val="uk-UA"/>
        </w:rPr>
        <w:t>Агентство</w:t>
      </w:r>
      <w:r w:rsidRPr="005F0419">
        <w:rPr>
          <w:rFonts w:ascii="Times New Roman" w:hAnsi="Times New Roman" w:cs="Times New Roman"/>
          <w:sz w:val="28"/>
          <w:szCs w:val="28"/>
          <w:lang w:val="uk-UA"/>
        </w:rPr>
        <w:t xml:space="preserve"> інтернет-маркетингу. </w:t>
      </w:r>
      <w:r w:rsidRPr="005F0419">
        <w:rPr>
          <w:rFonts w:ascii="Times New Roman" w:eastAsia="Times New Roman" w:hAnsi="Times New Roman" w:cs="Times New Roman"/>
          <w:bCs/>
          <w:kern w:val="36"/>
          <w:sz w:val="28"/>
          <w:szCs w:val="28"/>
          <w:lang w:val="uk-UA" w:eastAsia="uk-UA"/>
        </w:rPr>
        <w:t>URL:</w:t>
      </w:r>
      <w:r w:rsidRPr="005F0419">
        <w:rPr>
          <w:rFonts w:ascii="Times New Roman" w:eastAsia="Times New Roman" w:hAnsi="Times New Roman" w:cs="Times New Roman"/>
          <w:b/>
          <w:bCs/>
          <w:kern w:val="36"/>
          <w:sz w:val="28"/>
          <w:szCs w:val="28"/>
          <w:lang w:val="uk-UA" w:eastAsia="uk-UA"/>
        </w:rPr>
        <w:t xml:space="preserve"> </w:t>
      </w:r>
      <w:r w:rsidRPr="005F0419">
        <w:rPr>
          <w:rFonts w:ascii="Times New Roman" w:hAnsi="Times New Roman" w:cs="Times New Roman"/>
          <w:sz w:val="28"/>
          <w:szCs w:val="28"/>
          <w:lang w:val="uk-UA"/>
        </w:rPr>
        <w:t xml:space="preserve"> </w:t>
      </w:r>
      <w:hyperlink r:id="rId137" w:history="1">
        <w:r w:rsidRPr="005F0419">
          <w:rPr>
            <w:rStyle w:val="a6"/>
            <w:rFonts w:ascii="Times New Roman" w:hAnsi="Times New Roman" w:cs="Times New Roman"/>
            <w:color w:val="auto"/>
            <w:sz w:val="28"/>
            <w:szCs w:val="28"/>
            <w:lang w:val="uk-UA"/>
          </w:rPr>
          <w:t>http://surl.li/gsghn</w:t>
        </w:r>
      </w:hyperlink>
    </w:p>
    <w:p w14:paraId="42A68B30" w14:textId="01218854" w:rsidR="00115A3E" w:rsidRPr="005F0419" w:rsidRDefault="00115A3E" w:rsidP="00CD5C0E">
      <w:pPr>
        <w:spacing w:after="0" w:line="360" w:lineRule="auto"/>
        <w:ind w:firstLine="720"/>
        <w:jc w:val="both"/>
        <w:rPr>
          <w:rStyle w:val="a7"/>
          <w:rFonts w:ascii="Times New Roman" w:hAnsi="Times New Roman" w:cs="Times New Roman"/>
          <w:bCs w:val="0"/>
          <w:sz w:val="28"/>
          <w:szCs w:val="28"/>
          <w:lang w:val="uk-UA"/>
        </w:rPr>
      </w:pPr>
      <w:r w:rsidRPr="005F0419">
        <w:rPr>
          <w:rFonts w:ascii="Times New Roman" w:hAnsi="Times New Roman" w:cs="Times New Roman"/>
          <w:bCs/>
          <w:sz w:val="28"/>
          <w:szCs w:val="28"/>
          <w:lang w:val="uk-UA"/>
        </w:rPr>
        <w:t xml:space="preserve">12. </w:t>
      </w:r>
      <w:proofErr w:type="spellStart"/>
      <w:r w:rsidRPr="005F0419">
        <w:rPr>
          <w:rFonts w:ascii="Times New Roman" w:hAnsi="Times New Roman" w:cs="Times New Roman"/>
          <w:bCs/>
          <w:sz w:val="28"/>
          <w:szCs w:val="28"/>
          <w:lang w:val="uk-UA"/>
        </w:rPr>
        <w:t>Чиханцова</w:t>
      </w:r>
      <w:proofErr w:type="spellEnd"/>
      <w:r w:rsidRPr="005F0419">
        <w:rPr>
          <w:rFonts w:ascii="Times New Roman" w:hAnsi="Times New Roman" w:cs="Times New Roman"/>
          <w:bCs/>
          <w:sz w:val="28"/>
          <w:szCs w:val="28"/>
          <w:lang w:val="uk-UA"/>
        </w:rPr>
        <w:t xml:space="preserve"> О. Роль іншомовної професійної комунікаційної компетенції під час оволодіння фахом у ВНЗ. Український науковий журнал «Освіта регіону». URL: </w:t>
      </w:r>
      <w:hyperlink r:id="rId138" w:history="1">
        <w:r w:rsidRPr="005F0419">
          <w:rPr>
            <w:rStyle w:val="a6"/>
            <w:rFonts w:ascii="Times New Roman" w:hAnsi="Times New Roman" w:cs="Times New Roman"/>
            <w:bCs/>
            <w:color w:val="auto"/>
            <w:sz w:val="28"/>
            <w:szCs w:val="28"/>
            <w:lang w:val="uk-UA"/>
          </w:rPr>
          <w:t>https://social-science.uu.edu.ua/article/695</w:t>
        </w:r>
      </w:hyperlink>
    </w:p>
    <w:p w14:paraId="0A36820A" w14:textId="5C38910D" w:rsidR="00115A3E" w:rsidRPr="005F0419" w:rsidRDefault="00115A3E" w:rsidP="00115A3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13. Як візуальна ідентифікація бренду може допомогти вашому бізнесу? </w:t>
      </w:r>
      <w:r w:rsidRPr="005F0419">
        <w:rPr>
          <w:rFonts w:ascii="Times New Roman" w:eastAsia="Times New Roman" w:hAnsi="Times New Roman" w:cs="Times New Roman"/>
          <w:bCs/>
          <w:kern w:val="36"/>
          <w:sz w:val="28"/>
          <w:szCs w:val="28"/>
          <w:lang w:val="uk-UA" w:eastAsia="uk-UA"/>
        </w:rPr>
        <w:t>URL:</w:t>
      </w:r>
      <w:r w:rsidRPr="005F0419">
        <w:rPr>
          <w:rFonts w:ascii="Times New Roman" w:eastAsia="Times New Roman" w:hAnsi="Times New Roman" w:cs="Times New Roman"/>
          <w:b/>
          <w:bCs/>
          <w:kern w:val="36"/>
          <w:sz w:val="28"/>
          <w:szCs w:val="28"/>
          <w:lang w:val="uk-UA" w:eastAsia="uk-UA"/>
        </w:rPr>
        <w:t xml:space="preserve"> </w:t>
      </w:r>
      <w:r w:rsidRPr="005F0419">
        <w:rPr>
          <w:rFonts w:ascii="Times New Roman" w:hAnsi="Times New Roman" w:cs="Times New Roman"/>
          <w:sz w:val="28"/>
          <w:szCs w:val="28"/>
          <w:lang w:val="uk-UA"/>
        </w:rPr>
        <w:t xml:space="preserve"> </w:t>
      </w:r>
      <w:hyperlink r:id="rId139" w:history="1">
        <w:r w:rsidRPr="005F0419">
          <w:rPr>
            <w:rStyle w:val="a6"/>
            <w:rFonts w:ascii="Times New Roman" w:hAnsi="Times New Roman" w:cs="Times New Roman"/>
            <w:color w:val="auto"/>
            <w:sz w:val="28"/>
            <w:szCs w:val="28"/>
            <w:lang w:val="uk-UA"/>
          </w:rPr>
          <w:t>http://surl.li/hguow</w:t>
        </w:r>
      </w:hyperlink>
    </w:p>
    <w:p w14:paraId="682765B0" w14:textId="77777777" w:rsidR="00115A3E" w:rsidRPr="005F0419" w:rsidRDefault="00115A3E" w:rsidP="00115A3E">
      <w:pPr>
        <w:spacing w:after="0" w:line="360" w:lineRule="auto"/>
        <w:ind w:firstLine="720"/>
        <w:jc w:val="both"/>
        <w:rPr>
          <w:rStyle w:val="a7"/>
          <w:rFonts w:ascii="Times New Roman" w:hAnsi="Times New Roman" w:cs="Times New Roman"/>
          <w:sz w:val="28"/>
          <w:szCs w:val="28"/>
          <w:lang w:val="uk-UA"/>
        </w:rPr>
      </w:pPr>
    </w:p>
    <w:p w14:paraId="06FFF0B0" w14:textId="6625DA52" w:rsidR="00115A3E" w:rsidRPr="005F0419" w:rsidRDefault="00115A3E" w:rsidP="00115A3E">
      <w:pPr>
        <w:spacing w:after="0" w:line="360" w:lineRule="auto"/>
        <w:ind w:firstLine="720"/>
        <w:jc w:val="both"/>
        <w:rPr>
          <w:rFonts w:ascii="Times New Roman" w:hAnsi="Times New Roman" w:cs="Times New Roman"/>
          <w:i/>
          <w:sz w:val="28"/>
          <w:szCs w:val="28"/>
          <w:lang w:val="uk-UA"/>
        </w:rPr>
      </w:pPr>
      <w:r w:rsidRPr="005F0419">
        <w:rPr>
          <w:rFonts w:ascii="Times New Roman" w:hAnsi="Times New Roman" w:cs="Times New Roman"/>
          <w:b/>
          <w:bCs/>
          <w:i/>
          <w:sz w:val="28"/>
          <w:szCs w:val="28"/>
          <w:lang w:val="uk-UA"/>
        </w:rPr>
        <w:t>Ключові слова:</w:t>
      </w:r>
      <w:r w:rsidRPr="005F0419">
        <w:rPr>
          <w:rFonts w:ascii="Times New Roman" w:hAnsi="Times New Roman" w:cs="Times New Roman"/>
          <w:i/>
          <w:sz w:val="28"/>
          <w:szCs w:val="28"/>
          <w:lang w:val="uk-UA"/>
        </w:rPr>
        <w:t xml:space="preserve"> управління комунікаціями, комунікаційна стратегія, цільова аудиторія, план комунікацій, канали комунікацій, види комунікацій, формати комунікацій. </w:t>
      </w:r>
    </w:p>
    <w:p w14:paraId="55356A4F" w14:textId="685E0FDA" w:rsidR="00B84F8E" w:rsidRPr="005F0419" w:rsidRDefault="00B84F8E" w:rsidP="00115A3E">
      <w:pPr>
        <w:spacing w:after="0" w:line="360" w:lineRule="auto"/>
        <w:ind w:firstLine="720"/>
        <w:jc w:val="both"/>
        <w:rPr>
          <w:rFonts w:ascii="Times New Roman" w:hAnsi="Times New Roman" w:cs="Times New Roman"/>
          <w:i/>
          <w:sz w:val="28"/>
          <w:szCs w:val="28"/>
          <w:lang w:val="uk-UA"/>
        </w:rPr>
      </w:pPr>
    </w:p>
    <w:p w14:paraId="7B93031F" w14:textId="7A7FF9D3" w:rsidR="00B84F8E" w:rsidRPr="005F0419" w:rsidRDefault="00113886" w:rsidP="00113886">
      <w:pPr>
        <w:pageBreakBefore/>
        <w:widowControl w:val="0"/>
        <w:spacing w:after="0" w:line="360" w:lineRule="auto"/>
        <w:ind w:firstLine="720"/>
        <w:jc w:val="center"/>
        <w:rPr>
          <w:rFonts w:ascii="Times New Roman" w:hAnsi="Times New Roman" w:cs="Times New Roman"/>
          <w:b/>
          <w:bCs/>
          <w:iCs/>
          <w:caps/>
          <w:sz w:val="28"/>
          <w:szCs w:val="28"/>
          <w:lang w:val="uk-UA"/>
        </w:rPr>
      </w:pPr>
      <w:r w:rsidRPr="005F0419">
        <w:rPr>
          <w:rFonts w:ascii="Times New Roman" w:hAnsi="Times New Roman" w:cs="Times New Roman"/>
          <w:b/>
          <w:bCs/>
          <w:iCs/>
          <w:caps/>
          <w:sz w:val="28"/>
          <w:szCs w:val="28"/>
          <w:lang w:val="uk-UA"/>
        </w:rPr>
        <w:lastRenderedPageBreak/>
        <w:t>Аналіз управлінської діяльності галузей сільського господарства України математичними методами</w:t>
      </w:r>
    </w:p>
    <w:p w14:paraId="08212196" w14:textId="77777777" w:rsidR="00113886" w:rsidRPr="005F0419" w:rsidRDefault="00113886" w:rsidP="00113886">
      <w:pPr>
        <w:spacing w:after="0" w:line="360" w:lineRule="auto"/>
        <w:ind w:firstLine="720"/>
        <w:jc w:val="center"/>
        <w:rPr>
          <w:rFonts w:ascii="Times New Roman" w:hAnsi="Times New Roman" w:cs="Times New Roman"/>
          <w:b/>
          <w:bCs/>
          <w:i/>
          <w:iCs/>
          <w:sz w:val="28"/>
          <w:szCs w:val="28"/>
          <w:lang w:val="uk-UA"/>
        </w:rPr>
      </w:pPr>
    </w:p>
    <w:p w14:paraId="08F5CF1C" w14:textId="567379A0" w:rsidR="00B84F8E" w:rsidRPr="005F0419" w:rsidRDefault="00B84F8E" w:rsidP="00113886">
      <w:pPr>
        <w:spacing w:after="0" w:line="360" w:lineRule="auto"/>
        <w:ind w:firstLine="720"/>
        <w:jc w:val="center"/>
        <w:rPr>
          <w:rFonts w:ascii="Times New Roman" w:hAnsi="Times New Roman" w:cs="Times New Roman"/>
          <w:b/>
          <w:bCs/>
          <w:i/>
          <w:iCs/>
          <w:sz w:val="28"/>
          <w:szCs w:val="28"/>
          <w:lang w:val="uk-UA"/>
        </w:rPr>
      </w:pPr>
      <w:r w:rsidRPr="005F0419">
        <w:rPr>
          <w:rFonts w:ascii="Times New Roman" w:hAnsi="Times New Roman" w:cs="Times New Roman"/>
          <w:b/>
          <w:bCs/>
          <w:i/>
          <w:iCs/>
          <w:sz w:val="28"/>
          <w:szCs w:val="28"/>
          <w:lang w:val="uk-UA"/>
        </w:rPr>
        <w:t>Шинкаренко Лариса Василівна</w:t>
      </w:r>
    </w:p>
    <w:p w14:paraId="270DDD92" w14:textId="59F9F9D6" w:rsidR="00113886" w:rsidRPr="005F0419" w:rsidRDefault="00113886" w:rsidP="00113886">
      <w:pPr>
        <w:spacing w:after="0" w:line="360" w:lineRule="auto"/>
        <w:ind w:firstLine="720"/>
        <w:jc w:val="center"/>
        <w:rPr>
          <w:rFonts w:ascii="Times New Roman" w:hAnsi="Times New Roman" w:cs="Times New Roman"/>
          <w:b/>
          <w:bCs/>
          <w:i/>
          <w:iCs/>
          <w:sz w:val="28"/>
          <w:szCs w:val="28"/>
          <w:lang w:val="uk-UA"/>
        </w:rPr>
      </w:pPr>
    </w:p>
    <w:p w14:paraId="281C43F3" w14:textId="77777777" w:rsidR="00113886" w:rsidRPr="005F0419" w:rsidRDefault="00113886" w:rsidP="00113886">
      <w:pPr>
        <w:spacing w:after="0" w:line="360" w:lineRule="auto"/>
        <w:ind w:firstLine="709"/>
        <w:jc w:val="both"/>
        <w:rPr>
          <w:rFonts w:ascii="Times New Roman" w:hAnsi="Times New Roman" w:cs="Times New Roman"/>
          <w:spacing w:val="-4"/>
          <w:sz w:val="28"/>
          <w:szCs w:val="28"/>
          <w:lang w:val="uk-UA"/>
        </w:rPr>
      </w:pPr>
      <w:r w:rsidRPr="005F0419">
        <w:rPr>
          <w:rFonts w:ascii="Times New Roman" w:hAnsi="Times New Roman" w:cs="Times New Roman"/>
          <w:spacing w:val="-4"/>
          <w:sz w:val="28"/>
          <w:szCs w:val="28"/>
          <w:lang w:val="uk-UA"/>
        </w:rPr>
        <w:t xml:space="preserve">Україна традиційно вважається державою з потужним аграрним потенціалом. Родючі українські землі складаються з понад чверті світових запасів чорнозему. Цілком зрозуміло, що аграрна промисловість є пріоритетним напрямком економічної політики держави та уряду. Згідно стратегії розвитку галузі,  схваленої Кабінетом Міністрів України, аграрний сектор України, базовою складовою якого є сільське господарство, є </w:t>
      </w:r>
      <w:proofErr w:type="spellStart"/>
      <w:r w:rsidRPr="005F0419">
        <w:rPr>
          <w:rFonts w:ascii="Times New Roman" w:hAnsi="Times New Roman" w:cs="Times New Roman"/>
          <w:spacing w:val="-4"/>
          <w:sz w:val="28"/>
          <w:szCs w:val="28"/>
          <w:lang w:val="uk-UA"/>
        </w:rPr>
        <w:t>системоутворювальним</w:t>
      </w:r>
      <w:proofErr w:type="spellEnd"/>
      <w:r w:rsidRPr="005F0419">
        <w:rPr>
          <w:rFonts w:ascii="Times New Roman" w:hAnsi="Times New Roman" w:cs="Times New Roman"/>
          <w:spacing w:val="-4"/>
          <w:sz w:val="28"/>
          <w:szCs w:val="28"/>
          <w:lang w:val="uk-UA"/>
        </w:rPr>
        <w:t xml:space="preserve"> у національній економіці, формує засади збереження суверенності держави – продовольчу та, у визначених межах, економічну, екологічну та енергетичну безпеку, забезпечує розвиток технологічно пов’язаних галузей національної економіки та формує соціально-економічні основи розвитку сільських територій [1]. </w:t>
      </w:r>
    </w:p>
    <w:p w14:paraId="5F678071"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Руйнівна повномасштабна військова агресія, розв’язана російським режимом на початку 2022 року, негативно вплинула на економіку України. Незважаючи на величезні втрати, сільськогосподарське виробництво стало основою для продовольчої та фінансової безпеки українського суспільства. Активна господарча діяльність аграрної галузі не призупинилась попри втрату посівних територій, обстріл логістичних шляхів, пошкодження інфраструктури, кадрові проблеми. </w:t>
      </w:r>
    </w:p>
    <w:p w14:paraId="20B74D9D"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Суттєвим сектором післявоєнного відновлення економіки України буде розвиток аграрної галузі. Вторгнення ворога показало, що світ зацікавлений в українській сільськогосподарській продукції. Модернізація матеріально-технічної бази аграрної галузі, застосування новітніх технологій обробки ґрунтів, розширення товарного асортименту переробних підприємств, вдосконалення системи менеджменту і організації садівництва та виробництва дозволяють аграріям пристосовуватися до важких швидкозмінних умов як </w:t>
      </w:r>
      <w:r w:rsidRPr="005F0419">
        <w:rPr>
          <w:rFonts w:ascii="Times New Roman" w:hAnsi="Times New Roman" w:cs="Times New Roman"/>
          <w:sz w:val="28"/>
          <w:szCs w:val="28"/>
          <w:lang w:val="uk-UA"/>
        </w:rPr>
        <w:lastRenderedPageBreak/>
        <w:t xml:space="preserve">зовнішнього середовища так і проблем, пов’язаних із військовою агресією та фінансовою нестабільністю. </w:t>
      </w:r>
    </w:p>
    <w:p w14:paraId="33293C5B"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Вдосконалення технологічного процесу у сільському господарстві нерозривно пов'язано з інноваційною діяльністю, що включає розробку нововведень, їх апробацію та використання в масовому виробництві. Ключовим фактором інноваційного розвитку агропромислового комплексу є інвестування, оскільки впровадження новітніх технологій вимагає залучення значних фінансових ресурсів.</w:t>
      </w:r>
    </w:p>
    <w:p w14:paraId="4FFD2B00"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Інвестування аграрного сектора економіки має свої особливості, пов’язані із специфікою сільськогосподарського виробництва. Головна з них полягає у тому, що аграрна галузь об’єктивно є більш ризикованою порівняно з іншими секторами економіки сферою залучення капіталу. Нерідко інвестиційні проекти в аграрну сферу супроводжуються отриманням збитків, часом значних, що знижує інвестиційну привабливість.</w:t>
      </w:r>
    </w:p>
    <w:p w14:paraId="3E6784D4"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Поряд із залученням ресурсів у матеріальні об'єкти, як і в інших галузях, у сільському господарстві здійснюється інвестування в біологічні активи та землю. За інших рівних умов це призводить до збільшення капіталомісткості господарювання аграрних товаровиробників, зростання періоду окупності, вищої ризикованості, оскільки на ефективність використання названих активів впливають безліч факторів, які не залежать від суб’єктів господарювання. Управління більшістю з можливих ризиків або неможливе, або ресурсномістке.</w:t>
      </w:r>
    </w:p>
    <w:p w14:paraId="245F8D16"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Зважаючи на провідне місце аграрної галузі в економіці України, проблемам ефективного управління господарчою діяльністю сільськогосподарських підприємств присвячено низку праць українських дослідників. Серед них виділимо праці В. Андрійчука, В. Гриньова, С. Кваші, В. </w:t>
      </w:r>
      <w:proofErr w:type="spellStart"/>
      <w:r w:rsidRPr="005F0419">
        <w:rPr>
          <w:rFonts w:ascii="Times New Roman" w:hAnsi="Times New Roman" w:cs="Times New Roman"/>
          <w:sz w:val="28"/>
          <w:szCs w:val="28"/>
          <w:lang w:val="uk-UA"/>
        </w:rPr>
        <w:t>Лагутіна</w:t>
      </w:r>
      <w:proofErr w:type="spellEnd"/>
      <w:r w:rsidRPr="005F0419">
        <w:rPr>
          <w:rFonts w:ascii="Times New Roman" w:hAnsi="Times New Roman" w:cs="Times New Roman"/>
          <w:sz w:val="28"/>
          <w:szCs w:val="28"/>
          <w:lang w:val="uk-UA"/>
        </w:rPr>
        <w:t>, Т. Лозинської, П. </w:t>
      </w:r>
      <w:proofErr w:type="spellStart"/>
      <w:r w:rsidRPr="005F0419">
        <w:rPr>
          <w:rFonts w:ascii="Times New Roman" w:hAnsi="Times New Roman" w:cs="Times New Roman"/>
          <w:sz w:val="28"/>
          <w:szCs w:val="28"/>
          <w:lang w:val="uk-UA"/>
        </w:rPr>
        <w:t>Несененка</w:t>
      </w:r>
      <w:proofErr w:type="spellEnd"/>
      <w:r w:rsidRPr="005F0419">
        <w:rPr>
          <w:rFonts w:ascii="Times New Roman" w:hAnsi="Times New Roman" w:cs="Times New Roman"/>
          <w:sz w:val="28"/>
          <w:szCs w:val="28"/>
          <w:lang w:val="uk-UA"/>
        </w:rPr>
        <w:t>, Г. Тимофієва, Л. Швайки, О. </w:t>
      </w:r>
      <w:proofErr w:type="spellStart"/>
      <w:r w:rsidRPr="005F0419">
        <w:rPr>
          <w:rFonts w:ascii="Times New Roman" w:hAnsi="Times New Roman" w:cs="Times New Roman"/>
          <w:sz w:val="28"/>
          <w:szCs w:val="28"/>
          <w:lang w:val="uk-UA"/>
        </w:rPr>
        <w:t>Школьного</w:t>
      </w:r>
      <w:proofErr w:type="spellEnd"/>
      <w:r w:rsidRPr="005F0419">
        <w:rPr>
          <w:rFonts w:ascii="Times New Roman" w:hAnsi="Times New Roman" w:cs="Times New Roman"/>
          <w:sz w:val="28"/>
          <w:szCs w:val="28"/>
          <w:lang w:val="uk-UA"/>
        </w:rPr>
        <w:t xml:space="preserve">, О. </w:t>
      </w:r>
      <w:proofErr w:type="spellStart"/>
      <w:r w:rsidRPr="005F0419">
        <w:rPr>
          <w:rFonts w:ascii="Times New Roman" w:hAnsi="Times New Roman" w:cs="Times New Roman"/>
          <w:sz w:val="28"/>
          <w:szCs w:val="28"/>
          <w:lang w:val="uk-UA"/>
        </w:rPr>
        <w:t>Шебаніної</w:t>
      </w:r>
      <w:proofErr w:type="spellEnd"/>
      <w:r w:rsidRPr="005F0419">
        <w:rPr>
          <w:rFonts w:ascii="Times New Roman" w:hAnsi="Times New Roman" w:cs="Times New Roman"/>
          <w:sz w:val="28"/>
          <w:szCs w:val="28"/>
          <w:lang w:val="uk-UA"/>
        </w:rPr>
        <w:t xml:space="preserve">, В. Яценко та інших. </w:t>
      </w:r>
    </w:p>
    <w:p w14:paraId="00B45731"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монографії П. </w:t>
      </w:r>
      <w:proofErr w:type="spellStart"/>
      <w:r w:rsidRPr="005F0419">
        <w:rPr>
          <w:rFonts w:ascii="Times New Roman" w:hAnsi="Times New Roman" w:cs="Times New Roman"/>
          <w:sz w:val="28"/>
          <w:szCs w:val="28"/>
          <w:lang w:val="uk-UA"/>
        </w:rPr>
        <w:t>Несененка</w:t>
      </w:r>
      <w:proofErr w:type="spellEnd"/>
      <w:r w:rsidRPr="005F0419">
        <w:rPr>
          <w:rFonts w:ascii="Times New Roman" w:hAnsi="Times New Roman" w:cs="Times New Roman"/>
          <w:sz w:val="28"/>
          <w:szCs w:val="28"/>
          <w:lang w:val="uk-UA"/>
        </w:rPr>
        <w:t xml:space="preserve"> розглянуто теоретичні та практичні питання процесу регулювання розвитку аграрного сектору, а також сучасного стану інвестування та інфраструктурного забезпечення розвитку аграрного сектору у </w:t>
      </w:r>
      <w:r w:rsidRPr="005F0419">
        <w:rPr>
          <w:rFonts w:ascii="Times New Roman" w:hAnsi="Times New Roman" w:cs="Times New Roman"/>
          <w:sz w:val="28"/>
          <w:szCs w:val="28"/>
          <w:lang w:val="uk-UA"/>
        </w:rPr>
        <w:lastRenderedPageBreak/>
        <w:t xml:space="preserve">контексті економічної політики України. Здійснено аналіз національних особливостей економічного розвитку та зарубіжного досвіду політики державної підтримки аграрного сектору. Проведено узагальнення теоретичних положень та методичних аспектів економічної політики стратегічного розвитку аграрного сектору. Обґрунтовано стратегічні пріоритети розвитку аграрного сектору в контексті економічної політики України [2]. </w:t>
      </w:r>
    </w:p>
    <w:p w14:paraId="2181B03F"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науковій статті П. Дяченко та О. Чеберяко досліджено та проаналізовано інвестиційну привабливість підприємств агропромислового сектору з використанням методу аналізу фінансових показників [3]. Авторами були виявлені фактори, що впливають на інвестиційну привабливість агропідприємств для потенційних інвесторів, а також визначено головні показники, які використовуються для оцінки інвестиційної привабливості. Також у статті були зазначені основні недоліки наявних методів оцінки інвестиційної привабливості підприємств в умовах нестабільної економіки та широкомасштабної війни з ціллю їх усунення при розробці нових інноваційних  методів оцінки, що сприятиме покращенню процесу оцінювання інвестиційної привабливості та залученню потенційних інвесторів для розвитку агропромислового сектору в період післявоєнного відновлення.</w:t>
      </w:r>
    </w:p>
    <w:p w14:paraId="07531245"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роботі О. </w:t>
      </w:r>
      <w:proofErr w:type="spellStart"/>
      <w:r w:rsidRPr="005F0419">
        <w:rPr>
          <w:rFonts w:ascii="Times New Roman" w:hAnsi="Times New Roman" w:cs="Times New Roman"/>
          <w:sz w:val="28"/>
          <w:szCs w:val="28"/>
          <w:lang w:val="uk-UA"/>
        </w:rPr>
        <w:t>Шебаніної</w:t>
      </w:r>
      <w:proofErr w:type="spellEnd"/>
      <w:r w:rsidRPr="005F0419">
        <w:rPr>
          <w:rFonts w:ascii="Times New Roman" w:hAnsi="Times New Roman" w:cs="Times New Roman"/>
          <w:sz w:val="28"/>
          <w:szCs w:val="28"/>
          <w:lang w:val="uk-UA"/>
        </w:rPr>
        <w:t>, І. </w:t>
      </w:r>
      <w:proofErr w:type="spellStart"/>
      <w:r w:rsidRPr="005F0419">
        <w:rPr>
          <w:rFonts w:ascii="Times New Roman" w:hAnsi="Times New Roman" w:cs="Times New Roman"/>
          <w:sz w:val="28"/>
          <w:szCs w:val="28"/>
          <w:lang w:val="uk-UA"/>
        </w:rPr>
        <w:t>Шаповалової</w:t>
      </w:r>
      <w:proofErr w:type="spellEnd"/>
      <w:r w:rsidRPr="005F0419">
        <w:rPr>
          <w:rFonts w:ascii="Times New Roman" w:hAnsi="Times New Roman" w:cs="Times New Roman"/>
          <w:sz w:val="28"/>
          <w:szCs w:val="28"/>
          <w:lang w:val="uk-UA"/>
        </w:rPr>
        <w:t>, А. </w:t>
      </w:r>
      <w:proofErr w:type="spellStart"/>
      <w:r w:rsidRPr="005F0419">
        <w:rPr>
          <w:rFonts w:ascii="Times New Roman" w:hAnsi="Times New Roman" w:cs="Times New Roman"/>
          <w:sz w:val="28"/>
          <w:szCs w:val="28"/>
          <w:lang w:val="uk-UA"/>
        </w:rPr>
        <w:t>Твердовської</w:t>
      </w:r>
      <w:proofErr w:type="spellEnd"/>
      <w:r w:rsidRPr="005F0419">
        <w:rPr>
          <w:rFonts w:ascii="Times New Roman" w:hAnsi="Times New Roman" w:cs="Times New Roman"/>
          <w:sz w:val="28"/>
          <w:szCs w:val="28"/>
          <w:lang w:val="uk-UA"/>
        </w:rPr>
        <w:t xml:space="preserve"> встановлено, що на конкурентоспроможність вітчизняного аграрного сектора впливає ринкове, державне та недержавне регулювання. У такому контексті наголошено на необхідності взаємовигідної співпраці державних органів влади, недержавних та громадських організацій і самих сільськогосподарських підприємств. Визначено тенденції розвитку ринку </w:t>
      </w:r>
      <w:proofErr w:type="spellStart"/>
      <w:r w:rsidRPr="005F0419">
        <w:rPr>
          <w:rFonts w:ascii="Times New Roman" w:hAnsi="Times New Roman" w:cs="Times New Roman"/>
          <w:sz w:val="28"/>
          <w:szCs w:val="28"/>
          <w:lang w:val="uk-UA"/>
        </w:rPr>
        <w:t>агрострахування</w:t>
      </w:r>
      <w:proofErr w:type="spellEnd"/>
      <w:r w:rsidRPr="005F0419">
        <w:rPr>
          <w:rFonts w:ascii="Times New Roman" w:hAnsi="Times New Roman" w:cs="Times New Roman"/>
          <w:sz w:val="28"/>
          <w:szCs w:val="28"/>
          <w:lang w:val="uk-UA"/>
        </w:rPr>
        <w:t xml:space="preserve"> в Україні та схеми його активізації як одного з найбільш важливих та нерегульованих напрямів забезпечення конкурентоспроможності аграрного сектора економіки [4].</w:t>
      </w:r>
    </w:p>
    <w:p w14:paraId="18F09495"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Різнопланові питання, пов’язані з покращенням діяльності господарств агропромислового комплексу, знаходили місце і в роботах іноземних дослідників. Працю </w:t>
      </w:r>
      <w:proofErr w:type="spellStart"/>
      <w:r w:rsidRPr="005F0419">
        <w:rPr>
          <w:rFonts w:ascii="Times New Roman" w:hAnsi="Times New Roman" w:cs="Times New Roman"/>
          <w:sz w:val="28"/>
          <w:szCs w:val="28"/>
          <w:lang w:val="uk-UA"/>
        </w:rPr>
        <w:t>Гамелі</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Джокото</w:t>
      </w:r>
      <w:proofErr w:type="spellEnd"/>
      <w:r w:rsidRPr="005F0419">
        <w:rPr>
          <w:rFonts w:ascii="Times New Roman" w:hAnsi="Times New Roman" w:cs="Times New Roman"/>
          <w:sz w:val="28"/>
          <w:szCs w:val="28"/>
          <w:lang w:val="uk-UA"/>
        </w:rPr>
        <w:t xml:space="preserve"> [5] присвячено іноземним інвестиціям у харчову промисловість та внутрішнім інвестиціям у країнах, що розвиваються. </w:t>
      </w:r>
      <w:r w:rsidRPr="005F0419">
        <w:rPr>
          <w:rFonts w:ascii="Times New Roman" w:hAnsi="Times New Roman" w:cs="Times New Roman"/>
          <w:sz w:val="28"/>
          <w:szCs w:val="28"/>
          <w:lang w:val="uk-UA"/>
        </w:rPr>
        <w:lastRenderedPageBreak/>
        <w:t>Автором проведено оцінку впливу іноземних інвестицій у виробничий сектор продовольства із використанням незбалансованої панелі 29 країн з 1991 по 2019 рік. Доведено, що іноземні інвестиції витіснили внутрішні в країнах, що розвиваються, як у короткостроковій так і в довгостроковій перспективах. З точки зору абсолютного скорочення внутрішніх інвестицій, короткостроковий ефект є вищим, ніж довготривалий ефект. Доведено необхідність проведення державної політики залучення прямих іноземних інвестицій в агропромисловий сектор країн, що розвиваються.</w:t>
      </w:r>
    </w:p>
    <w:p w14:paraId="6080DA1A"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 статті </w:t>
      </w:r>
      <w:proofErr w:type="spellStart"/>
      <w:r w:rsidRPr="005F0419">
        <w:rPr>
          <w:rFonts w:ascii="Times New Roman" w:hAnsi="Times New Roman" w:cs="Times New Roman"/>
          <w:sz w:val="28"/>
          <w:szCs w:val="28"/>
          <w:lang w:val="uk-UA"/>
        </w:rPr>
        <w:t>Tao</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Zhai</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Daqing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Wang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Qi</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Zhang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Parvaneh</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Saeidi</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Arunodaya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Raj</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Mishra</w:t>
      </w:r>
      <w:proofErr w:type="spellEnd"/>
      <w:r w:rsidRPr="005F0419">
        <w:rPr>
          <w:rFonts w:ascii="Times New Roman" w:hAnsi="Times New Roman" w:cs="Times New Roman"/>
          <w:sz w:val="28"/>
          <w:szCs w:val="28"/>
          <w:lang w:val="uk-UA"/>
        </w:rPr>
        <w:t xml:space="preserve"> [6] проведено оцінку ризиків ланцюга поставок інвестицій у підприємства малого та середнього сільськогосподарського виробництва за допомогою моделі підтримки прийняття рішень. Автори доводять гіпотезу, що сільськогосподарське виробництво часто є довготривалим процесом та вимагає постійних інвестицій, які можуть не дати очікуваних результатів протягом тривалого періоду, тому є дуже чутливими до рівня ризикованості. Сільськогосподарське виробництво, як правило, схильне до різних впливових типів ризиків таких, як захворювання культур, погодні умови та зараження шкідниками. Запропоновано переходити до цифрових технологій, щоб вирішити масштаб проблеми. Розроблено інтегровану систему прийняття рішень з використанням нечітких методів Піфагора, методу видалення ефектів та критеріїв, рангової суми і оцінки отриманого та втраченого домінування.</w:t>
      </w:r>
    </w:p>
    <w:p w14:paraId="4A3C01F5"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Дослідниками Університету міста Яси (Румунія) </w:t>
      </w:r>
      <w:proofErr w:type="spellStart"/>
      <w:r w:rsidRPr="005F0419">
        <w:rPr>
          <w:rFonts w:ascii="Times New Roman" w:hAnsi="Times New Roman" w:cs="Times New Roman"/>
          <w:sz w:val="28"/>
          <w:szCs w:val="28"/>
          <w:lang w:val="uk-UA"/>
        </w:rPr>
        <w:t>Oana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Coca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Diana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Creanga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Stefan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Viziteu</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Ioan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Sebastian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Bruma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Gavril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Stefan</w:t>
      </w:r>
      <w:proofErr w:type="spellEnd"/>
      <w:r w:rsidRPr="005F0419">
        <w:rPr>
          <w:rFonts w:ascii="Times New Roman" w:hAnsi="Times New Roman" w:cs="Times New Roman"/>
          <w:sz w:val="28"/>
          <w:szCs w:val="28"/>
          <w:lang w:val="uk-UA"/>
        </w:rPr>
        <w:t xml:space="preserve"> проведено аналіз впливу продуктивності сільського господарства на ВВП в країнах Європейського Союзу [7]. Дослідження спрямоване на аналіз ефективності сільського господарства Європейського Союзу через призму кореляцій і зав’язків, які встановлюються між різними детермінантами, які дають набагато чіткішу картину сільськогосподарського сектора, ніж аналіз його внеску у ВВП. Методика роботи полягала в порівняльному аналізі статистичних даних, пов’язаних із державами-членами, та агрегованими країнами з використанням даних EUROSTAT шляхом </w:t>
      </w:r>
      <w:r w:rsidRPr="005F0419">
        <w:rPr>
          <w:rFonts w:ascii="Times New Roman" w:hAnsi="Times New Roman" w:cs="Times New Roman"/>
          <w:sz w:val="28"/>
          <w:szCs w:val="28"/>
          <w:lang w:val="uk-UA"/>
        </w:rPr>
        <w:lastRenderedPageBreak/>
        <w:t xml:space="preserve">їх обробки з метою досягнення запропонованої мети. Отримані результати свідчать про високий рівень продуктивності для низки країн, які не вважаються дуже важливими у цій сфері та, навпаки, нижчим рівнем продуктивності для ряду держав, які вважаються вершиною піраміди з точки зору ефективності. </w:t>
      </w:r>
    </w:p>
    <w:p w14:paraId="7B23E260"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Враховуючи особливий статус сільського господарства в українській економіці та масштаб збитків, що завдані військовими діями, проблема післявоєнного відновлення аграрної галузі потребує різностороннього наукового аналізу.</w:t>
      </w:r>
    </w:p>
    <w:p w14:paraId="2AB07CEE" w14:textId="791FF28A"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аналізу інвестиційної привабливості потрібно детальне дослідження фінансової та господарської діяльності підприємств сільськогосподарської галузі за останні роки перед повномасштабною війною. Оцінка рівня прибутковості та ступеня ризикованості капіталовкладень в суб’єкти господарської діяльності у різних сферах виробництва з використанням статистичних та математичних методів для запровадженої інвестиційної політики, запропонована у роботах [8, 9]. Метою  дослідження є оцінювання інвестиційної привабливості галузей індустрії аграрного виробництва за допомогою статистично-математичного моделювання для планування процесу сталого розвитку сільськогосподарських підприємств.</w:t>
      </w:r>
    </w:p>
    <w:p w14:paraId="4FB57A45"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Досліджуючи особливості інвестицій в сільське господарство Л. </w:t>
      </w:r>
      <w:proofErr w:type="spellStart"/>
      <w:r w:rsidRPr="005F0419">
        <w:rPr>
          <w:rFonts w:ascii="Times New Roman" w:hAnsi="Times New Roman" w:cs="Times New Roman"/>
          <w:sz w:val="28"/>
          <w:szCs w:val="28"/>
          <w:lang w:val="uk-UA"/>
        </w:rPr>
        <w:t>Кустріч</w:t>
      </w:r>
      <w:proofErr w:type="spellEnd"/>
      <w:r w:rsidRPr="005F0419">
        <w:rPr>
          <w:rFonts w:ascii="Times New Roman" w:hAnsi="Times New Roman" w:cs="Times New Roman"/>
          <w:sz w:val="28"/>
          <w:szCs w:val="28"/>
          <w:lang w:val="uk-UA"/>
        </w:rPr>
        <w:t xml:space="preserve"> [10] та М. Макаров [11], констатують, що вони проявляються в тому, що поряд із вкладенням капіталу в об’єкти результатів праці людини, як в інших галузях економіки, в сільському господарстві вони здійснюються ще і в природні об’єкти, що при інших досить рівних стартових умовах робить їх діяльність більш капіталомісткою та трудомісткою з довготривалим терміном окупності та високим ступенем ризику.</w:t>
      </w:r>
    </w:p>
    <w:p w14:paraId="002091AC"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Необхідною умовою розвитку аграрного сектора економіки є не залучення разових інвестицій, а й належний рівень інвестиційного державного забезпечення, достатній для ефективного функціонування підприємств сільського господарства та використання їх підприємницького потенціалу. Під інвестиційним забезпеченням українські дослідники розуміють: види </w:t>
      </w:r>
      <w:r w:rsidRPr="005F0419">
        <w:rPr>
          <w:rFonts w:ascii="Times New Roman" w:hAnsi="Times New Roman" w:cs="Times New Roman"/>
          <w:sz w:val="28"/>
          <w:szCs w:val="28"/>
          <w:lang w:val="uk-UA"/>
        </w:rPr>
        <w:lastRenderedPageBreak/>
        <w:t>матеріальних і інтелектуальних цінностей, що вкладаються в підприємницьку та інші види діяльності, в результаті якої створюється прибуток або досягається позитивний соціальний ефект (С. </w:t>
      </w:r>
      <w:proofErr w:type="spellStart"/>
      <w:r w:rsidRPr="005F0419">
        <w:rPr>
          <w:rFonts w:ascii="Times New Roman" w:hAnsi="Times New Roman" w:cs="Times New Roman"/>
          <w:sz w:val="28"/>
          <w:szCs w:val="28"/>
          <w:lang w:val="uk-UA"/>
        </w:rPr>
        <w:t>Параконний</w:t>
      </w:r>
      <w:proofErr w:type="spellEnd"/>
      <w:r w:rsidRPr="005F0419">
        <w:rPr>
          <w:rFonts w:ascii="Times New Roman" w:hAnsi="Times New Roman" w:cs="Times New Roman"/>
          <w:sz w:val="28"/>
          <w:szCs w:val="28"/>
          <w:lang w:val="uk-UA"/>
        </w:rPr>
        <w:t xml:space="preserve">, Л. </w:t>
      </w:r>
      <w:proofErr w:type="spellStart"/>
      <w:r w:rsidRPr="005F0419">
        <w:rPr>
          <w:rFonts w:ascii="Times New Roman" w:hAnsi="Times New Roman" w:cs="Times New Roman"/>
          <w:sz w:val="28"/>
          <w:szCs w:val="28"/>
          <w:lang w:val="uk-UA"/>
        </w:rPr>
        <w:t>Войшвілло</w:t>
      </w:r>
      <w:proofErr w:type="spellEnd"/>
      <w:r w:rsidRPr="005F0419">
        <w:rPr>
          <w:rFonts w:ascii="Times New Roman" w:hAnsi="Times New Roman" w:cs="Times New Roman"/>
          <w:sz w:val="28"/>
          <w:szCs w:val="28"/>
          <w:lang w:val="uk-UA"/>
        </w:rPr>
        <w:t xml:space="preserve">, І. </w:t>
      </w:r>
      <w:proofErr w:type="spellStart"/>
      <w:r w:rsidRPr="005F0419">
        <w:rPr>
          <w:rFonts w:ascii="Times New Roman" w:hAnsi="Times New Roman" w:cs="Times New Roman"/>
          <w:sz w:val="28"/>
          <w:szCs w:val="28"/>
          <w:lang w:val="uk-UA"/>
        </w:rPr>
        <w:t>Шпанковський</w:t>
      </w:r>
      <w:proofErr w:type="spellEnd"/>
      <w:r w:rsidRPr="005F0419">
        <w:rPr>
          <w:rFonts w:ascii="Times New Roman" w:hAnsi="Times New Roman" w:cs="Times New Roman"/>
          <w:sz w:val="28"/>
          <w:szCs w:val="28"/>
          <w:lang w:val="uk-UA"/>
        </w:rPr>
        <w:t xml:space="preserve"> [12]); сукупність різнопланових умов, ресурсів, економічних механізмів, важелів впливу і заходів, необхідних для ефективного забезпечення інвестиційних процесів (М. </w:t>
      </w:r>
      <w:proofErr w:type="spellStart"/>
      <w:r w:rsidRPr="005F0419">
        <w:rPr>
          <w:rFonts w:ascii="Times New Roman" w:hAnsi="Times New Roman" w:cs="Times New Roman"/>
          <w:sz w:val="28"/>
          <w:szCs w:val="28"/>
          <w:lang w:val="uk-UA"/>
        </w:rPr>
        <w:t>Кісіль</w:t>
      </w:r>
      <w:proofErr w:type="spellEnd"/>
      <w:r w:rsidRPr="005F0419">
        <w:rPr>
          <w:rFonts w:ascii="Times New Roman" w:hAnsi="Times New Roman" w:cs="Times New Roman"/>
          <w:sz w:val="28"/>
          <w:szCs w:val="28"/>
          <w:lang w:val="uk-UA"/>
        </w:rPr>
        <w:t xml:space="preserve"> [13; 14], О. Колесник [15], Г. Павлова, О. </w:t>
      </w:r>
      <w:proofErr w:type="spellStart"/>
      <w:r w:rsidRPr="005F0419">
        <w:rPr>
          <w:rFonts w:ascii="Times New Roman" w:hAnsi="Times New Roman" w:cs="Times New Roman"/>
          <w:sz w:val="28"/>
          <w:szCs w:val="28"/>
          <w:lang w:val="uk-UA"/>
        </w:rPr>
        <w:t>Білоткач</w:t>
      </w:r>
      <w:proofErr w:type="spellEnd"/>
      <w:r w:rsidRPr="005F0419">
        <w:rPr>
          <w:rFonts w:ascii="Times New Roman" w:hAnsi="Times New Roman" w:cs="Times New Roman"/>
          <w:sz w:val="28"/>
          <w:szCs w:val="28"/>
          <w:lang w:val="uk-UA"/>
        </w:rPr>
        <w:t xml:space="preserve"> [16]); науково та економічно обґрунтований безперервний процес пошуку, залучення та використання різноманітних типів інвестиційних ресурсів, необхідних для здійснення інноваційної діяльності (І. </w:t>
      </w:r>
      <w:proofErr w:type="spellStart"/>
      <w:r w:rsidRPr="005F0419">
        <w:rPr>
          <w:rFonts w:ascii="Times New Roman" w:hAnsi="Times New Roman" w:cs="Times New Roman"/>
          <w:sz w:val="28"/>
          <w:szCs w:val="28"/>
          <w:lang w:val="uk-UA"/>
        </w:rPr>
        <w:t>Яненкова</w:t>
      </w:r>
      <w:proofErr w:type="spellEnd"/>
      <w:r w:rsidRPr="005F0419">
        <w:rPr>
          <w:rFonts w:ascii="Times New Roman" w:hAnsi="Times New Roman" w:cs="Times New Roman"/>
          <w:sz w:val="28"/>
          <w:szCs w:val="28"/>
          <w:lang w:val="uk-UA"/>
        </w:rPr>
        <w:t xml:space="preserve"> [17], В. </w:t>
      </w:r>
      <w:proofErr w:type="spellStart"/>
      <w:r w:rsidRPr="005F0419">
        <w:rPr>
          <w:rFonts w:ascii="Times New Roman" w:hAnsi="Times New Roman" w:cs="Times New Roman"/>
          <w:sz w:val="28"/>
          <w:szCs w:val="28"/>
          <w:lang w:val="uk-UA"/>
        </w:rPr>
        <w:t>Горлачук</w:t>
      </w:r>
      <w:proofErr w:type="spellEnd"/>
      <w:r w:rsidRPr="005F0419">
        <w:rPr>
          <w:rFonts w:ascii="Times New Roman" w:hAnsi="Times New Roman" w:cs="Times New Roman"/>
          <w:sz w:val="28"/>
          <w:szCs w:val="28"/>
          <w:lang w:val="uk-UA"/>
        </w:rPr>
        <w:t xml:space="preserve"> [18], А. </w:t>
      </w:r>
      <w:proofErr w:type="spellStart"/>
      <w:r w:rsidRPr="005F0419">
        <w:rPr>
          <w:rFonts w:ascii="Times New Roman" w:hAnsi="Times New Roman" w:cs="Times New Roman"/>
          <w:sz w:val="28"/>
          <w:szCs w:val="28"/>
          <w:lang w:val="uk-UA"/>
        </w:rPr>
        <w:t>Дунська</w:t>
      </w:r>
      <w:proofErr w:type="spellEnd"/>
      <w:r w:rsidRPr="005F0419">
        <w:rPr>
          <w:rFonts w:ascii="Times New Roman" w:hAnsi="Times New Roman" w:cs="Times New Roman"/>
          <w:sz w:val="28"/>
          <w:szCs w:val="28"/>
          <w:lang w:val="uk-UA"/>
        </w:rPr>
        <w:t xml:space="preserve"> [19]).</w:t>
      </w:r>
    </w:p>
    <w:p w14:paraId="7C811679"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При цьому важливо констатувати, що інвестування в агропромисловий комплекс має свої особливості, серед яких найбільш суттєвими виступають: вплив природно-географічних чинників Так, використання земельних ресурсів, живих організмів, а також облік природно-кліматичних умов при виробництві продукції АПК зумовлюють виникнення значущих сезонних факторів як у залученні та використанні інвестиційних та інших ресурсів, так і при реалізації продукції та надходженні фінансових засобів. Важливо також враховувати об'єктивні закони розвитку природи (наприклад, незамінності та сукупності життєвих факторів: селекцією неможливо компенсувати добрива, сорт не може відшкодувати недоліки аграрної технології); фактори обмеження інвестиційного попиту та пропозиції; недолік власних фінансових ресурсів; складності у вибудовуванні та стійкої підтримці привабливого середовища для інвесторів; висока </w:t>
      </w:r>
      <w:proofErr w:type="spellStart"/>
      <w:r w:rsidRPr="005F0419">
        <w:rPr>
          <w:rFonts w:ascii="Times New Roman" w:hAnsi="Times New Roman" w:cs="Times New Roman"/>
          <w:sz w:val="28"/>
          <w:szCs w:val="28"/>
          <w:lang w:val="uk-UA"/>
        </w:rPr>
        <w:t>волатильність</w:t>
      </w:r>
      <w:proofErr w:type="spellEnd"/>
      <w:r w:rsidRPr="005F0419">
        <w:rPr>
          <w:rFonts w:ascii="Times New Roman" w:hAnsi="Times New Roman" w:cs="Times New Roman"/>
          <w:sz w:val="28"/>
          <w:szCs w:val="28"/>
          <w:lang w:val="uk-UA"/>
        </w:rPr>
        <w:t xml:space="preserve"> ринкової кон’юнктури на продовольчих ринках, у тому числі цінових умов; інвестиційні ризики; непаритетний рівень цін на продукцію сільгоспвиробників; нееквівалентно високий рівень процентних ставок за комерційними кредитами; невідпрацьовані механізми залучення інвестицій в основний капітал та ін.</w:t>
      </w:r>
    </w:p>
    <w:p w14:paraId="7F48197D" w14:textId="53A873D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Частка сільського господарства у структурі валового внутрішнього продукту України за 2010 – 2021 р. знаходилась у межах від 7,4% до 12,06% </w:t>
      </w:r>
      <w:r w:rsidRPr="005F0419">
        <w:rPr>
          <w:rFonts w:ascii="Times New Roman" w:hAnsi="Times New Roman" w:cs="Times New Roman"/>
          <w:sz w:val="28"/>
          <w:szCs w:val="28"/>
          <w:lang w:val="uk-UA"/>
        </w:rPr>
        <w:lastRenderedPageBreak/>
        <w:t xml:space="preserve">(табл. 1). Це значно вище ніж у будь-якої країни Європейського Союзу, що показує винятковість аграрного сектору економіки. </w:t>
      </w:r>
    </w:p>
    <w:p w14:paraId="0C06D077" w14:textId="59A88CCC" w:rsidR="00113886" w:rsidRPr="005F0419" w:rsidRDefault="00113886" w:rsidP="00113886">
      <w:pPr>
        <w:spacing w:after="0" w:line="360" w:lineRule="auto"/>
        <w:ind w:firstLine="709"/>
        <w:jc w:val="right"/>
        <w:rPr>
          <w:rFonts w:ascii="Times New Roman" w:hAnsi="Times New Roman" w:cs="Times New Roman"/>
          <w:i/>
          <w:sz w:val="28"/>
          <w:szCs w:val="28"/>
          <w:lang w:val="uk-UA"/>
        </w:rPr>
      </w:pPr>
      <w:r w:rsidRPr="005F0419">
        <w:rPr>
          <w:rFonts w:ascii="Times New Roman" w:hAnsi="Times New Roman" w:cs="Times New Roman"/>
          <w:sz w:val="28"/>
          <w:szCs w:val="28"/>
          <w:lang w:val="uk-UA"/>
        </w:rPr>
        <w:t>Таблиця 1</w:t>
      </w:r>
    </w:p>
    <w:p w14:paraId="7C78290A" w14:textId="77777777" w:rsidR="00113886" w:rsidRPr="005F0419" w:rsidRDefault="00113886" w:rsidP="00113886">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Динаміка частки валової доданої вартості, створеної у сільському господарстві країн Європи у 2010-2021 рр. (% до ВВП)</w:t>
      </w:r>
    </w:p>
    <w:tbl>
      <w:tblPr>
        <w:tblW w:w="91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
        <w:gridCol w:w="1626"/>
        <w:gridCol w:w="1625"/>
        <w:gridCol w:w="1732"/>
        <w:gridCol w:w="2683"/>
      </w:tblGrid>
      <w:tr w:rsidR="00113886" w:rsidRPr="005F0419" w14:paraId="6243507D" w14:textId="77777777" w:rsidTr="00113886">
        <w:trPr>
          <w:trHeight w:val="657"/>
          <w:jc w:val="center"/>
        </w:trPr>
        <w:tc>
          <w:tcPr>
            <w:tcW w:w="0" w:type="auto"/>
            <w:vAlign w:val="center"/>
          </w:tcPr>
          <w:p w14:paraId="28CB4D3C"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Країни</w:t>
            </w:r>
          </w:p>
        </w:tc>
        <w:tc>
          <w:tcPr>
            <w:tcW w:w="0" w:type="auto"/>
            <w:vAlign w:val="center"/>
          </w:tcPr>
          <w:p w14:paraId="1A5EC028"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Україна</w:t>
            </w:r>
          </w:p>
        </w:tc>
        <w:tc>
          <w:tcPr>
            <w:tcW w:w="0" w:type="auto"/>
            <w:vAlign w:val="center"/>
          </w:tcPr>
          <w:p w14:paraId="3FFE6B57"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Польща</w:t>
            </w:r>
          </w:p>
        </w:tc>
        <w:tc>
          <w:tcPr>
            <w:tcW w:w="0" w:type="auto"/>
            <w:vAlign w:val="center"/>
          </w:tcPr>
          <w:p w14:paraId="1E68B3E9"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Болгарія</w:t>
            </w:r>
          </w:p>
        </w:tc>
        <w:tc>
          <w:tcPr>
            <w:tcW w:w="0" w:type="auto"/>
            <w:vAlign w:val="center"/>
          </w:tcPr>
          <w:p w14:paraId="31CABA2D"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Європейський</w:t>
            </w:r>
          </w:p>
          <w:p w14:paraId="49552398"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Союз</w:t>
            </w:r>
          </w:p>
        </w:tc>
      </w:tr>
      <w:tr w:rsidR="00113886" w:rsidRPr="005F0419" w14:paraId="208E021D" w14:textId="77777777" w:rsidTr="00113886">
        <w:trPr>
          <w:trHeight w:val="320"/>
          <w:jc w:val="center"/>
        </w:trPr>
        <w:tc>
          <w:tcPr>
            <w:tcW w:w="0" w:type="auto"/>
            <w:vAlign w:val="center"/>
          </w:tcPr>
          <w:p w14:paraId="4B73B62F"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2010</w:t>
            </w:r>
          </w:p>
        </w:tc>
        <w:tc>
          <w:tcPr>
            <w:tcW w:w="0" w:type="auto"/>
            <w:vAlign w:val="center"/>
          </w:tcPr>
          <w:p w14:paraId="3120FCB2"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7,4</w:t>
            </w:r>
          </w:p>
        </w:tc>
        <w:tc>
          <w:tcPr>
            <w:tcW w:w="0" w:type="auto"/>
            <w:vAlign w:val="center"/>
          </w:tcPr>
          <w:p w14:paraId="598B076A"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2,86</w:t>
            </w:r>
          </w:p>
        </w:tc>
        <w:tc>
          <w:tcPr>
            <w:tcW w:w="0" w:type="auto"/>
            <w:vAlign w:val="center"/>
          </w:tcPr>
          <w:p w14:paraId="45A843AD"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4,03</w:t>
            </w:r>
          </w:p>
        </w:tc>
        <w:tc>
          <w:tcPr>
            <w:tcW w:w="0" w:type="auto"/>
            <w:vAlign w:val="center"/>
          </w:tcPr>
          <w:p w14:paraId="63391957"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1,64</w:t>
            </w:r>
          </w:p>
        </w:tc>
      </w:tr>
      <w:tr w:rsidR="00113886" w:rsidRPr="005F0419" w14:paraId="62ACBBBC" w14:textId="77777777" w:rsidTr="00113886">
        <w:trPr>
          <w:trHeight w:val="320"/>
          <w:jc w:val="center"/>
        </w:trPr>
        <w:tc>
          <w:tcPr>
            <w:tcW w:w="0" w:type="auto"/>
            <w:vAlign w:val="center"/>
          </w:tcPr>
          <w:p w14:paraId="02F3CE68"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2011</w:t>
            </w:r>
          </w:p>
        </w:tc>
        <w:tc>
          <w:tcPr>
            <w:tcW w:w="0" w:type="auto"/>
            <w:vAlign w:val="center"/>
          </w:tcPr>
          <w:p w14:paraId="5E422447"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8,15</w:t>
            </w:r>
          </w:p>
        </w:tc>
        <w:tc>
          <w:tcPr>
            <w:tcW w:w="0" w:type="auto"/>
            <w:vAlign w:val="center"/>
          </w:tcPr>
          <w:p w14:paraId="2A768FFD"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3,09</w:t>
            </w:r>
          </w:p>
        </w:tc>
        <w:tc>
          <w:tcPr>
            <w:tcW w:w="0" w:type="auto"/>
            <w:vAlign w:val="center"/>
          </w:tcPr>
          <w:p w14:paraId="217E9F60"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4,66</w:t>
            </w:r>
          </w:p>
        </w:tc>
        <w:tc>
          <w:tcPr>
            <w:tcW w:w="0" w:type="auto"/>
            <w:vAlign w:val="center"/>
          </w:tcPr>
          <w:p w14:paraId="11B4DDC6"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1,72</w:t>
            </w:r>
          </w:p>
        </w:tc>
      </w:tr>
      <w:tr w:rsidR="00113886" w:rsidRPr="005F0419" w14:paraId="0075A242" w14:textId="77777777" w:rsidTr="00113886">
        <w:trPr>
          <w:trHeight w:val="320"/>
          <w:jc w:val="center"/>
        </w:trPr>
        <w:tc>
          <w:tcPr>
            <w:tcW w:w="0" w:type="auto"/>
            <w:vAlign w:val="center"/>
          </w:tcPr>
          <w:p w14:paraId="17AB0E17"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2012</w:t>
            </w:r>
          </w:p>
        </w:tc>
        <w:tc>
          <w:tcPr>
            <w:tcW w:w="0" w:type="auto"/>
            <w:vAlign w:val="center"/>
          </w:tcPr>
          <w:p w14:paraId="18484653"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7,76</w:t>
            </w:r>
          </w:p>
        </w:tc>
        <w:tc>
          <w:tcPr>
            <w:tcW w:w="0" w:type="auto"/>
            <w:vAlign w:val="center"/>
          </w:tcPr>
          <w:p w14:paraId="27BE99F2"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2,91</w:t>
            </w:r>
          </w:p>
        </w:tc>
        <w:tc>
          <w:tcPr>
            <w:tcW w:w="0" w:type="auto"/>
            <w:vAlign w:val="center"/>
          </w:tcPr>
          <w:p w14:paraId="5624B0CE"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4,43</w:t>
            </w:r>
          </w:p>
        </w:tc>
        <w:tc>
          <w:tcPr>
            <w:tcW w:w="0" w:type="auto"/>
            <w:vAlign w:val="center"/>
          </w:tcPr>
          <w:p w14:paraId="589FAB25"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1,70</w:t>
            </w:r>
          </w:p>
        </w:tc>
      </w:tr>
      <w:tr w:rsidR="00113886" w:rsidRPr="005F0419" w14:paraId="1537A016" w14:textId="77777777" w:rsidTr="00113886">
        <w:trPr>
          <w:trHeight w:val="336"/>
          <w:jc w:val="center"/>
        </w:trPr>
        <w:tc>
          <w:tcPr>
            <w:tcW w:w="0" w:type="auto"/>
            <w:vAlign w:val="center"/>
          </w:tcPr>
          <w:p w14:paraId="3BDE5C19"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2013</w:t>
            </w:r>
          </w:p>
        </w:tc>
        <w:tc>
          <w:tcPr>
            <w:tcW w:w="0" w:type="auto"/>
            <w:vAlign w:val="center"/>
          </w:tcPr>
          <w:p w14:paraId="5C8005AC"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8,69</w:t>
            </w:r>
          </w:p>
        </w:tc>
        <w:tc>
          <w:tcPr>
            <w:tcW w:w="0" w:type="auto"/>
            <w:vAlign w:val="center"/>
          </w:tcPr>
          <w:p w14:paraId="36666D94"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3,09</w:t>
            </w:r>
          </w:p>
        </w:tc>
        <w:tc>
          <w:tcPr>
            <w:tcW w:w="0" w:type="auto"/>
            <w:vAlign w:val="center"/>
          </w:tcPr>
          <w:p w14:paraId="1286954B"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4,52</w:t>
            </w:r>
          </w:p>
        </w:tc>
        <w:tc>
          <w:tcPr>
            <w:tcW w:w="0" w:type="auto"/>
            <w:vAlign w:val="center"/>
          </w:tcPr>
          <w:p w14:paraId="501A1F82"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1,74</w:t>
            </w:r>
          </w:p>
        </w:tc>
      </w:tr>
      <w:tr w:rsidR="00113886" w:rsidRPr="005F0419" w14:paraId="56966C52" w14:textId="77777777" w:rsidTr="00113886">
        <w:trPr>
          <w:trHeight w:val="320"/>
          <w:jc w:val="center"/>
        </w:trPr>
        <w:tc>
          <w:tcPr>
            <w:tcW w:w="0" w:type="auto"/>
            <w:vAlign w:val="center"/>
          </w:tcPr>
          <w:p w14:paraId="12052803"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2014</w:t>
            </w:r>
          </w:p>
        </w:tc>
        <w:tc>
          <w:tcPr>
            <w:tcW w:w="0" w:type="auto"/>
            <w:vAlign w:val="center"/>
          </w:tcPr>
          <w:p w14:paraId="6ADCC185"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10,15</w:t>
            </w:r>
          </w:p>
        </w:tc>
        <w:tc>
          <w:tcPr>
            <w:tcW w:w="0" w:type="auto"/>
            <w:vAlign w:val="center"/>
          </w:tcPr>
          <w:p w14:paraId="31F901A1"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2,85</w:t>
            </w:r>
          </w:p>
        </w:tc>
        <w:tc>
          <w:tcPr>
            <w:tcW w:w="0" w:type="auto"/>
            <w:vAlign w:val="center"/>
          </w:tcPr>
          <w:p w14:paraId="38C05023"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4,56</w:t>
            </w:r>
          </w:p>
        </w:tc>
        <w:tc>
          <w:tcPr>
            <w:tcW w:w="0" w:type="auto"/>
            <w:vAlign w:val="center"/>
          </w:tcPr>
          <w:p w14:paraId="44CF0F9A"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1,70</w:t>
            </w:r>
          </w:p>
        </w:tc>
      </w:tr>
      <w:tr w:rsidR="00113886" w:rsidRPr="005F0419" w14:paraId="4E0E63A9" w14:textId="77777777" w:rsidTr="00113886">
        <w:trPr>
          <w:trHeight w:val="320"/>
          <w:jc w:val="center"/>
        </w:trPr>
        <w:tc>
          <w:tcPr>
            <w:tcW w:w="0" w:type="auto"/>
            <w:vAlign w:val="center"/>
          </w:tcPr>
          <w:p w14:paraId="63C67CC6"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2015</w:t>
            </w:r>
          </w:p>
        </w:tc>
        <w:tc>
          <w:tcPr>
            <w:tcW w:w="0" w:type="auto"/>
            <w:vAlign w:val="center"/>
          </w:tcPr>
          <w:p w14:paraId="50ADA2DA"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12,06</w:t>
            </w:r>
          </w:p>
        </w:tc>
        <w:tc>
          <w:tcPr>
            <w:tcW w:w="0" w:type="auto"/>
            <w:vAlign w:val="center"/>
          </w:tcPr>
          <w:p w14:paraId="304D66C1"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2,37</w:t>
            </w:r>
          </w:p>
        </w:tc>
        <w:tc>
          <w:tcPr>
            <w:tcW w:w="0" w:type="auto"/>
            <w:vAlign w:val="center"/>
          </w:tcPr>
          <w:p w14:paraId="246BC09F"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4,06</w:t>
            </w:r>
          </w:p>
        </w:tc>
        <w:tc>
          <w:tcPr>
            <w:tcW w:w="0" w:type="auto"/>
            <w:vAlign w:val="center"/>
          </w:tcPr>
          <w:p w14:paraId="54C96AAD"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1,63</w:t>
            </w:r>
          </w:p>
        </w:tc>
      </w:tr>
      <w:tr w:rsidR="00113886" w:rsidRPr="005F0419" w14:paraId="7EE55909" w14:textId="77777777" w:rsidTr="00113886">
        <w:trPr>
          <w:trHeight w:val="320"/>
          <w:jc w:val="center"/>
        </w:trPr>
        <w:tc>
          <w:tcPr>
            <w:tcW w:w="0" w:type="auto"/>
            <w:vAlign w:val="center"/>
          </w:tcPr>
          <w:p w14:paraId="19122B0E"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2016</w:t>
            </w:r>
          </w:p>
        </w:tc>
        <w:tc>
          <w:tcPr>
            <w:tcW w:w="0" w:type="auto"/>
            <w:vAlign w:val="center"/>
          </w:tcPr>
          <w:p w14:paraId="690A77B3"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11,73</w:t>
            </w:r>
          </w:p>
        </w:tc>
        <w:tc>
          <w:tcPr>
            <w:tcW w:w="0" w:type="auto"/>
            <w:vAlign w:val="center"/>
          </w:tcPr>
          <w:p w14:paraId="519EF008"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2,54</w:t>
            </w:r>
          </w:p>
        </w:tc>
        <w:tc>
          <w:tcPr>
            <w:tcW w:w="0" w:type="auto"/>
            <w:vAlign w:val="center"/>
          </w:tcPr>
          <w:p w14:paraId="596B5339"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4,05</w:t>
            </w:r>
          </w:p>
        </w:tc>
        <w:tc>
          <w:tcPr>
            <w:tcW w:w="0" w:type="auto"/>
            <w:vAlign w:val="center"/>
          </w:tcPr>
          <w:p w14:paraId="05649644"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1,59</w:t>
            </w:r>
          </w:p>
        </w:tc>
      </w:tr>
      <w:tr w:rsidR="00113886" w:rsidRPr="005F0419" w14:paraId="72016BE4" w14:textId="77777777" w:rsidTr="00113886">
        <w:trPr>
          <w:trHeight w:val="320"/>
          <w:jc w:val="center"/>
        </w:trPr>
        <w:tc>
          <w:tcPr>
            <w:tcW w:w="0" w:type="auto"/>
            <w:vAlign w:val="center"/>
          </w:tcPr>
          <w:p w14:paraId="3F95A029"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2017</w:t>
            </w:r>
          </w:p>
        </w:tc>
        <w:tc>
          <w:tcPr>
            <w:tcW w:w="0" w:type="auto"/>
            <w:vAlign w:val="center"/>
          </w:tcPr>
          <w:p w14:paraId="6A2E2254"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10,18</w:t>
            </w:r>
          </w:p>
        </w:tc>
        <w:tc>
          <w:tcPr>
            <w:tcW w:w="0" w:type="auto"/>
            <w:vAlign w:val="center"/>
          </w:tcPr>
          <w:p w14:paraId="06E7DDC4"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2,87</w:t>
            </w:r>
          </w:p>
        </w:tc>
        <w:tc>
          <w:tcPr>
            <w:tcW w:w="0" w:type="auto"/>
            <w:vAlign w:val="center"/>
          </w:tcPr>
          <w:p w14:paraId="0833553D"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4,04</w:t>
            </w:r>
          </w:p>
        </w:tc>
        <w:tc>
          <w:tcPr>
            <w:tcW w:w="0" w:type="auto"/>
            <w:vAlign w:val="center"/>
          </w:tcPr>
          <w:p w14:paraId="3459BF01"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1,69</w:t>
            </w:r>
          </w:p>
        </w:tc>
      </w:tr>
      <w:tr w:rsidR="00113886" w:rsidRPr="005F0419" w14:paraId="3B3CB8FB" w14:textId="77777777" w:rsidTr="00113886">
        <w:trPr>
          <w:trHeight w:val="336"/>
          <w:jc w:val="center"/>
        </w:trPr>
        <w:tc>
          <w:tcPr>
            <w:tcW w:w="0" w:type="auto"/>
            <w:vAlign w:val="center"/>
          </w:tcPr>
          <w:p w14:paraId="3B950490"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2018</w:t>
            </w:r>
          </w:p>
        </w:tc>
        <w:tc>
          <w:tcPr>
            <w:tcW w:w="0" w:type="auto"/>
            <w:vAlign w:val="center"/>
          </w:tcPr>
          <w:p w14:paraId="5EDCD02B"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10,14</w:t>
            </w:r>
          </w:p>
        </w:tc>
        <w:tc>
          <w:tcPr>
            <w:tcW w:w="0" w:type="auto"/>
            <w:vAlign w:val="center"/>
          </w:tcPr>
          <w:p w14:paraId="582AE2E0"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2,34</w:t>
            </w:r>
          </w:p>
        </w:tc>
        <w:tc>
          <w:tcPr>
            <w:tcW w:w="0" w:type="auto"/>
            <w:vAlign w:val="center"/>
          </w:tcPr>
          <w:p w14:paraId="004EA2BD"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3,38</w:t>
            </w:r>
          </w:p>
        </w:tc>
        <w:tc>
          <w:tcPr>
            <w:tcW w:w="0" w:type="auto"/>
            <w:vAlign w:val="center"/>
          </w:tcPr>
          <w:p w14:paraId="63C5EDB2"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1,61</w:t>
            </w:r>
          </w:p>
        </w:tc>
      </w:tr>
      <w:tr w:rsidR="00113886" w:rsidRPr="005F0419" w14:paraId="24A0AE58" w14:textId="77777777" w:rsidTr="00113886">
        <w:trPr>
          <w:trHeight w:val="320"/>
          <w:jc w:val="center"/>
        </w:trPr>
        <w:tc>
          <w:tcPr>
            <w:tcW w:w="0" w:type="auto"/>
            <w:vAlign w:val="center"/>
          </w:tcPr>
          <w:p w14:paraId="23914BF4"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2019</w:t>
            </w:r>
          </w:p>
        </w:tc>
        <w:tc>
          <w:tcPr>
            <w:tcW w:w="0" w:type="auto"/>
            <w:vAlign w:val="center"/>
          </w:tcPr>
          <w:p w14:paraId="181B9028"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8,97</w:t>
            </w:r>
          </w:p>
        </w:tc>
        <w:tc>
          <w:tcPr>
            <w:tcW w:w="0" w:type="auto"/>
            <w:vAlign w:val="center"/>
          </w:tcPr>
          <w:p w14:paraId="74761111"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2,32</w:t>
            </w:r>
          </w:p>
        </w:tc>
        <w:tc>
          <w:tcPr>
            <w:tcW w:w="0" w:type="auto"/>
            <w:vAlign w:val="center"/>
          </w:tcPr>
          <w:p w14:paraId="70799E67"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3,24</w:t>
            </w:r>
          </w:p>
        </w:tc>
        <w:tc>
          <w:tcPr>
            <w:tcW w:w="0" w:type="auto"/>
            <w:vAlign w:val="center"/>
          </w:tcPr>
          <w:p w14:paraId="04BEBE8C"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1,59</w:t>
            </w:r>
          </w:p>
        </w:tc>
      </w:tr>
      <w:tr w:rsidR="00113886" w:rsidRPr="005F0419" w14:paraId="15F44481" w14:textId="77777777" w:rsidTr="00113886">
        <w:trPr>
          <w:trHeight w:val="320"/>
          <w:jc w:val="center"/>
        </w:trPr>
        <w:tc>
          <w:tcPr>
            <w:tcW w:w="0" w:type="auto"/>
            <w:vAlign w:val="center"/>
          </w:tcPr>
          <w:p w14:paraId="434D2343"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2020</w:t>
            </w:r>
          </w:p>
        </w:tc>
        <w:tc>
          <w:tcPr>
            <w:tcW w:w="0" w:type="auto"/>
            <w:vAlign w:val="center"/>
          </w:tcPr>
          <w:p w14:paraId="014E8B26"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9,31</w:t>
            </w:r>
          </w:p>
        </w:tc>
        <w:tc>
          <w:tcPr>
            <w:tcW w:w="0" w:type="auto"/>
            <w:vAlign w:val="center"/>
          </w:tcPr>
          <w:p w14:paraId="3D3CE10F"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2,5</w:t>
            </w:r>
          </w:p>
        </w:tc>
        <w:tc>
          <w:tcPr>
            <w:tcW w:w="0" w:type="auto"/>
            <w:vAlign w:val="center"/>
          </w:tcPr>
          <w:p w14:paraId="6392D563"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3,51</w:t>
            </w:r>
          </w:p>
        </w:tc>
        <w:tc>
          <w:tcPr>
            <w:tcW w:w="0" w:type="auto"/>
            <w:vAlign w:val="center"/>
          </w:tcPr>
          <w:p w14:paraId="13113393"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1,66</w:t>
            </w:r>
          </w:p>
        </w:tc>
      </w:tr>
      <w:tr w:rsidR="00113886" w:rsidRPr="005F0419" w14:paraId="1FEF8CB4" w14:textId="77777777" w:rsidTr="00113886">
        <w:trPr>
          <w:trHeight w:val="320"/>
          <w:jc w:val="center"/>
        </w:trPr>
        <w:tc>
          <w:tcPr>
            <w:tcW w:w="0" w:type="auto"/>
            <w:vAlign w:val="center"/>
          </w:tcPr>
          <w:p w14:paraId="56F4C1E2"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2021</w:t>
            </w:r>
          </w:p>
        </w:tc>
        <w:tc>
          <w:tcPr>
            <w:tcW w:w="0" w:type="auto"/>
            <w:vAlign w:val="center"/>
          </w:tcPr>
          <w:p w14:paraId="06BEDDB6"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10,65</w:t>
            </w:r>
          </w:p>
        </w:tc>
        <w:tc>
          <w:tcPr>
            <w:tcW w:w="0" w:type="auto"/>
            <w:vAlign w:val="center"/>
          </w:tcPr>
          <w:p w14:paraId="634C4417"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2,37</w:t>
            </w:r>
          </w:p>
        </w:tc>
        <w:tc>
          <w:tcPr>
            <w:tcW w:w="0" w:type="auto"/>
            <w:vAlign w:val="center"/>
          </w:tcPr>
          <w:p w14:paraId="7FDD104D"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3,73</w:t>
            </w:r>
          </w:p>
        </w:tc>
        <w:tc>
          <w:tcPr>
            <w:tcW w:w="0" w:type="auto"/>
            <w:vAlign w:val="center"/>
          </w:tcPr>
          <w:p w14:paraId="5EC75407" w14:textId="77777777" w:rsidR="00113886" w:rsidRPr="005F0419" w:rsidRDefault="00113886" w:rsidP="00113886">
            <w:pPr>
              <w:spacing w:after="0" w:line="240" w:lineRule="auto"/>
              <w:jc w:val="center"/>
              <w:rPr>
                <w:rFonts w:ascii="Times New Roman" w:hAnsi="Times New Roman" w:cs="Times New Roman"/>
                <w:iCs/>
                <w:sz w:val="28"/>
                <w:szCs w:val="28"/>
                <w:lang w:val="uk-UA"/>
              </w:rPr>
            </w:pPr>
            <w:r w:rsidRPr="005F0419">
              <w:rPr>
                <w:rFonts w:ascii="Times New Roman" w:hAnsi="Times New Roman" w:cs="Times New Roman"/>
                <w:iCs/>
                <w:sz w:val="28"/>
                <w:szCs w:val="28"/>
                <w:lang w:val="uk-UA"/>
              </w:rPr>
              <w:t>1,63</w:t>
            </w:r>
          </w:p>
        </w:tc>
      </w:tr>
    </w:tbl>
    <w:p w14:paraId="43F5880B"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за даними Світового банку [20].</w:t>
      </w:r>
    </w:p>
    <w:p w14:paraId="6904FE39"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p>
    <w:p w14:paraId="3D70DFBE" w14:textId="4A9A1032"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 рисунку 1 зображено ламані, що відображають динаміку частки валової доданої вартості, створеної у сільському господарстві України, Польщі, Болгарії та ЄС у 2010-2021 рр. (% до ВВП). </w:t>
      </w:r>
    </w:p>
    <w:p w14:paraId="2E445C62" w14:textId="2D0488F7" w:rsidR="00113886" w:rsidRPr="005F0419" w:rsidRDefault="00113886" w:rsidP="00113886">
      <w:pPr>
        <w:spacing w:after="0" w:line="360" w:lineRule="auto"/>
        <w:jc w:val="center"/>
        <w:rPr>
          <w:rFonts w:ascii="Times New Roman" w:hAnsi="Times New Roman" w:cs="Times New Roman"/>
          <w:i/>
          <w:sz w:val="28"/>
          <w:szCs w:val="28"/>
          <w:lang w:val="uk-UA"/>
        </w:rPr>
      </w:pPr>
      <w:r w:rsidRPr="005F0419">
        <w:rPr>
          <w:rFonts w:ascii="Times New Roman" w:hAnsi="Times New Roman" w:cs="Times New Roman"/>
          <w:i/>
          <w:noProof/>
          <w:sz w:val="28"/>
          <w:szCs w:val="28"/>
          <w:lang w:val="uk-UA"/>
        </w:rPr>
        <w:drawing>
          <wp:inline distT="0" distB="0" distL="0" distR="0" wp14:anchorId="350BEDCC" wp14:editId="1508FAC5">
            <wp:extent cx="5824220" cy="2405269"/>
            <wp:effectExtent l="0" t="0" r="508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842460" cy="2412802"/>
                    </a:xfrm>
                    <a:prstGeom prst="rect">
                      <a:avLst/>
                    </a:prstGeom>
                    <a:noFill/>
                    <a:ln>
                      <a:noFill/>
                    </a:ln>
                  </pic:spPr>
                </pic:pic>
              </a:graphicData>
            </a:graphic>
          </wp:inline>
        </w:drawing>
      </w:r>
    </w:p>
    <w:p w14:paraId="0F98E5B5" w14:textId="77777777" w:rsidR="00113886" w:rsidRPr="005F0419" w:rsidRDefault="00113886" w:rsidP="00113886">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1. Динаміка частки валової доданої вартості, створеної у сільському господарстві України, Польщі, Болгарії та ЄС у 2010-2021 рр. (% до ВВП)</w:t>
      </w:r>
    </w:p>
    <w:p w14:paraId="52BC5EDA"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Діаграма є наочним підтвердженням суттєвого впливу аграрного сектора на  стабільне зростання української економіки.  </w:t>
      </w:r>
    </w:p>
    <w:p w14:paraId="77B11CE1" w14:textId="387DF212"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Сільське господарство, є провідною галуззю економіки України. В той же час воно виступає як особливо складна сфера діяльності, складність якої визначається суттєвим внеском аграрного сектора в економічний розвиток держави. Незважаючи на нестабільний розвиток національної економіки, аграрне виробництво, будучи стратегічним сектором країни, показує стійке зростання виробництва.</w:t>
      </w:r>
    </w:p>
    <w:p w14:paraId="60ADD28E"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дослідження інвестиційної привабливості вітчизняних галузей аграрного виробництва взято за основу наступні статистичні показники: обсяг реалізованої продукції (товарів, послуг) підприємств за видами економічної діяльності у 2010 – 2021 роках та отриманий чистий прибуток (збиток) підприємств за видами економічної діяльності за той же період. Вони розміщені на сайті Державної служби статистики України [21]. Обрано наступні галузі «Вирощування однорічних і дворічних культур» (код за Класифікатором видів економічної діяльності (КВЕД) – 01.1): «Вирощування багаторічних культур» (код за КВЕД – 01.2); «Відтворення рослин» (код за КВЕД – 01.3); «Тваринництво» (код за КВЕД – 01.4); «Змішане сільське господарство» (код за КВЕД – 01.5).</w:t>
      </w:r>
    </w:p>
    <w:p w14:paraId="0773844E"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Опишемо основні види аграрного виробництва за КВЕД. </w:t>
      </w:r>
    </w:p>
    <w:p w14:paraId="75A75B55"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01. Сільське господарство, мисливство та надання пов’язаних із ними послуг. До цього розділу належать два основні види діяльності, а саме: виробництво продукції рослинництва та виробництво продукції тваринництва. Цей розділ включає вирощування будь-яких рослинницьких культур як на відкритому ґрунті, так і в оранжереях та теплицях.</w:t>
      </w:r>
    </w:p>
    <w:p w14:paraId="3067B228"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01.1. Вирощування однорічних і дворічних культур. До цього розділу належать вирощування небагаторічних культур, що існують не більше двох вегетаційних періодів. До виду також уключено вирощування цих культур із метою отримання їх насіння. Включає наступні класи: вирощування зернових культур і рису, бобових культур і насіння олійних культур, овочів і баштанних </w:t>
      </w:r>
      <w:r w:rsidRPr="005F0419">
        <w:rPr>
          <w:rFonts w:ascii="Times New Roman" w:hAnsi="Times New Roman" w:cs="Times New Roman"/>
          <w:sz w:val="28"/>
          <w:szCs w:val="28"/>
          <w:lang w:val="uk-UA"/>
        </w:rPr>
        <w:lastRenderedPageBreak/>
        <w:t>культур, коренеплодів і бульбоплодів, цукрової тростини, тютюну, прядивних культур та інших однорічних і дворічних культур.</w:t>
      </w:r>
    </w:p>
    <w:p w14:paraId="152A8020" w14:textId="482520C9"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таблиці 2 наведено основні фінансові показники виду «Вирощування однорічних і дворічних культур» сільськогосподарської галузі у період 2010-2021 років. </w:t>
      </w:r>
    </w:p>
    <w:p w14:paraId="1A820C11" w14:textId="77777777" w:rsidR="00113886" w:rsidRPr="005F0419" w:rsidRDefault="00113886" w:rsidP="00113886">
      <w:pPr>
        <w:spacing w:after="0" w:line="360" w:lineRule="auto"/>
        <w:ind w:firstLine="709"/>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Таблиця 2</w:t>
      </w:r>
    </w:p>
    <w:p w14:paraId="0A15A3BF"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Деякі фінансові показники діяльності </w:t>
      </w:r>
    </w:p>
    <w:p w14:paraId="7B37995F"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виду «Вирощування однорічних і дворічних культур» у 2010-2021 рр..</w:t>
      </w:r>
    </w:p>
    <w:tbl>
      <w:tblPr>
        <w:tblW w:w="4985" w:type="pct"/>
        <w:tblInd w:w="-5"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1680"/>
        <w:gridCol w:w="2584"/>
        <w:gridCol w:w="3550"/>
        <w:gridCol w:w="1785"/>
      </w:tblGrid>
      <w:tr w:rsidR="00113886" w:rsidRPr="005F0419" w14:paraId="275280B8" w14:textId="77777777" w:rsidTr="00113886">
        <w:trPr>
          <w:trHeight w:val="288"/>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F03BA30"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Роки</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0A93D5"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Чистий прибуток (збиток), </w:t>
            </w:r>
          </w:p>
          <w:p w14:paraId="49D64EC2"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тис. грн</w:t>
            </w:r>
          </w:p>
        </w:tc>
        <w:tc>
          <w:tcPr>
            <w:tcW w:w="1849" w:type="pct"/>
            <w:tcBorders>
              <w:top w:val="single" w:sz="4" w:space="0" w:color="auto"/>
              <w:left w:val="single" w:sz="4" w:space="0" w:color="auto"/>
              <w:bottom w:val="single" w:sz="4" w:space="0" w:color="auto"/>
              <w:right w:val="single" w:sz="4" w:space="0" w:color="auto"/>
            </w:tcBorders>
            <w:shd w:val="clear" w:color="auto" w:fill="auto"/>
            <w:vAlign w:val="center"/>
          </w:tcPr>
          <w:p w14:paraId="3D985666"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Обсяг реалізованої продукції, </w:t>
            </w:r>
          </w:p>
          <w:p w14:paraId="18374C71"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тис. грн.</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C7C462C"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Прибут</w:t>
            </w:r>
            <w:proofErr w:type="spellEnd"/>
            <w:r w:rsidRPr="005F0419">
              <w:rPr>
                <w:rFonts w:ascii="Times New Roman" w:eastAsia="Times New Roman" w:hAnsi="Times New Roman" w:cs="Times New Roman"/>
                <w:sz w:val="28"/>
                <w:szCs w:val="28"/>
                <w:lang w:val="uk-UA"/>
              </w:rPr>
              <w:t>-</w:t>
            </w:r>
          </w:p>
          <w:p w14:paraId="669CC586"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ковість</w:t>
            </w:r>
            <w:proofErr w:type="spellEnd"/>
            <w:r w:rsidRPr="005F0419">
              <w:rPr>
                <w:rFonts w:ascii="Times New Roman" w:eastAsia="Times New Roman" w:hAnsi="Times New Roman" w:cs="Times New Roman"/>
                <w:sz w:val="28"/>
                <w:szCs w:val="28"/>
                <w:lang w:val="uk-UA"/>
              </w:rPr>
              <w:t xml:space="preserve"> (%)</w:t>
            </w:r>
          </w:p>
        </w:tc>
      </w:tr>
      <w:tr w:rsidR="00113886" w:rsidRPr="005F0419" w14:paraId="522BDDA3"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320E0E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2010</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F617B8D"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13300500,0</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9CDA472"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64409633,5</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12A6330"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20,65</w:t>
            </w:r>
          </w:p>
        </w:tc>
      </w:tr>
      <w:tr w:rsidR="00113886" w:rsidRPr="005F0419" w14:paraId="7094C066"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7E28EB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2011</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989888D"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20562478,1</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C48581F"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86067016,7</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E69815E"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23,89</w:t>
            </w:r>
          </w:p>
        </w:tc>
      </w:tr>
      <w:tr w:rsidR="00113886" w:rsidRPr="005F0419" w14:paraId="721A3F6C"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5A5ED50"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2012</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98DCB0A"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18479881,2</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B30237"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116345994,0</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168F20A"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15,88</w:t>
            </w:r>
          </w:p>
        </w:tc>
      </w:tr>
      <w:tr w:rsidR="00113886" w:rsidRPr="005F0419" w14:paraId="072B94F9"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400119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2013</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1B085C8"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7552216,4</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C092A17"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109615994,3</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6A0856D"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6,89</w:t>
            </w:r>
          </w:p>
        </w:tc>
      </w:tr>
      <w:tr w:rsidR="00113886" w:rsidRPr="005F0419" w14:paraId="3328906D"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DFEB700"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2014</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FBF4ABA"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16098033,8</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8A27F3D"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155150332,1</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F80D71"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10,38</w:t>
            </w:r>
          </w:p>
        </w:tc>
      </w:tr>
      <w:tr w:rsidR="00113886" w:rsidRPr="005F0419" w14:paraId="03B658F0"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639806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2015</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7001BAD"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88289949,2</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A32AC6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282213288,7</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50C4B6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31,28</w:t>
            </w:r>
          </w:p>
        </w:tc>
      </w:tr>
      <w:tr w:rsidR="00113886" w:rsidRPr="005F0419" w14:paraId="1BD5708C"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57E957B"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2016</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4393C30"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81759932,5</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2C6F99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318225622,5</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62153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25,69</w:t>
            </w:r>
          </w:p>
        </w:tc>
      </w:tr>
      <w:tr w:rsidR="00113886" w:rsidRPr="005F0419" w14:paraId="301F442A"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64B7BDB"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2017</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8DB67F5"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58712615,1</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301552"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362582385,9</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3AEB33F"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16,19</w:t>
            </w:r>
          </w:p>
        </w:tc>
      </w:tr>
      <w:tr w:rsidR="00113886" w:rsidRPr="005F0419" w14:paraId="007DE84A"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A86D5A7"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2018</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BF2BB3"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62786765,5</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DFC6F87"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416716395,0</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84F97C3"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15,07</w:t>
            </w:r>
          </w:p>
        </w:tc>
      </w:tr>
      <w:tr w:rsidR="00113886" w:rsidRPr="005F0419" w14:paraId="6EA012E1"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9450731"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2019</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831D85D"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84544147,4</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B464D03"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449176011,0</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305552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18,82</w:t>
            </w:r>
          </w:p>
        </w:tc>
      </w:tr>
      <w:tr w:rsidR="00113886" w:rsidRPr="005F0419" w14:paraId="06429BD9"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E01228D"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2020</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97226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81023339,1</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D0FEFE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497325934,8</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773885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16,29</w:t>
            </w:r>
          </w:p>
        </w:tc>
      </w:tr>
      <w:tr w:rsidR="00113886" w:rsidRPr="005F0419" w14:paraId="0640D407" w14:textId="77777777" w:rsidTr="00113886">
        <w:trPr>
          <w:trHeight w:val="454"/>
        </w:trPr>
        <w:tc>
          <w:tcPr>
            <w:tcW w:w="87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4617B52"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2021</w:t>
            </w:r>
          </w:p>
        </w:tc>
        <w:tc>
          <w:tcPr>
            <w:tcW w:w="134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AC4C810"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225726136,7</w:t>
            </w:r>
          </w:p>
        </w:tc>
        <w:tc>
          <w:tcPr>
            <w:tcW w:w="184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A3BEE66"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784707704,0</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83577C7"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28,77</w:t>
            </w:r>
          </w:p>
        </w:tc>
      </w:tr>
    </w:tbl>
    <w:p w14:paraId="0012D601"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за даними Державної служби статистики України [21].</w:t>
      </w:r>
    </w:p>
    <w:p w14:paraId="64343A5D"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p>
    <w:p w14:paraId="764EBED2" w14:textId="1F8FA185"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Обсяг реалізованої продукції (тис. грн.) та чистий прибуток (збиток) (тис. грн.) наведено згідно даним Державної служби статистики України [21].  Розраховуємо прибутковість капіталовкладень як відношення чистого прибутку (збитку) в певному році до обсягу реалізованої продукції у цьому році. Обсяг реалізованої продукції підприємств, що займаються вирощуванням однорічних та дворічних культур у досліджуваному періоді знаходився у межах від </w:t>
      </w:r>
      <w:r w:rsidRPr="005F0419">
        <w:rPr>
          <w:rFonts w:ascii="Times New Roman" w:hAnsi="Times New Roman" w:cs="Times New Roman"/>
          <w:sz w:val="28"/>
          <w:szCs w:val="28"/>
          <w:lang w:val="uk-UA"/>
        </w:rPr>
        <w:lastRenderedPageBreak/>
        <w:t>64409633,5 тис. грн. до 449176011,0 тис. грн., чистий прибуток сільськогосподарської галузі збільшувався від 13300500,0 тис. грн. до 88289949,2 тис. грн. Прибутковість капіталовкладень коливалась у межах від 6,89% до 28,77%.</w:t>
      </w:r>
    </w:p>
    <w:p w14:paraId="6DA8A673" w14:textId="20CD2708"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 розрахованими у таблиці 2 рівнями прибутковості капіталовкладень у галузь «Вирощування однорічних і дворічних культур» у період 2010-2021 років побудуємо діаграму (рис. 2). Діаграма наочно відображає досить високий, проте нестабільний рівень  прибутковості капіталовкладень у вирощування однорічних і дворічних культур. Знайдено ступінь ризику залучення інвестиційних коштів  у галузь за допомогою знаходження середнього квадратичного відхилення рівня прибутковості капіталовкладень на протязі 2010-2021 років, він складає 5,76%.</w:t>
      </w:r>
    </w:p>
    <w:p w14:paraId="7A066B8F" w14:textId="608C113B" w:rsidR="00113886" w:rsidRPr="005F0419" w:rsidRDefault="00113886" w:rsidP="0011388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6C02733D" wp14:editId="14892306">
            <wp:extent cx="5065513" cy="2286000"/>
            <wp:effectExtent l="0" t="0" r="190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5108082" cy="2305211"/>
                    </a:xfrm>
                    <a:prstGeom prst="rect">
                      <a:avLst/>
                    </a:prstGeom>
                    <a:noFill/>
                  </pic:spPr>
                </pic:pic>
              </a:graphicData>
            </a:graphic>
          </wp:inline>
        </w:drawing>
      </w:r>
    </w:p>
    <w:p w14:paraId="63593612" w14:textId="3C7DF0E7" w:rsidR="00113886" w:rsidRPr="005F0419" w:rsidRDefault="00113886" w:rsidP="00113886">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2. Рівень прибутковості інвестицій, вкладених у галузь «Вирощування однорічних і дворічних культур» у 2010-2021 рр., %</w:t>
      </w:r>
    </w:p>
    <w:p w14:paraId="468FA50F" w14:textId="7079D03A" w:rsidR="00113886" w:rsidRPr="005F0419" w:rsidRDefault="00113886" w:rsidP="00113886">
      <w:pPr>
        <w:spacing w:after="0" w:line="360" w:lineRule="auto"/>
        <w:ind w:firstLine="709"/>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побудовано автором.</w:t>
      </w:r>
    </w:p>
    <w:p w14:paraId="7987C1D3" w14:textId="77777777" w:rsidR="00113886" w:rsidRPr="005F0419" w:rsidRDefault="00113886" w:rsidP="00113886">
      <w:pPr>
        <w:spacing w:after="0" w:line="360" w:lineRule="auto"/>
        <w:ind w:firstLine="709"/>
        <w:rPr>
          <w:rFonts w:ascii="Times New Roman" w:hAnsi="Times New Roman" w:cs="Times New Roman"/>
          <w:sz w:val="28"/>
          <w:szCs w:val="28"/>
          <w:lang w:val="uk-UA"/>
        </w:rPr>
      </w:pPr>
    </w:p>
    <w:p w14:paraId="707C4ABF"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01.2. Вирощування багаторічних культур. До цього розділу належать вирощування багаторічних культур, тобто рослин, що існують більше двох вегетаційних періодів, які не відмирають після кожного сезону або безперервно ростуть протягом деякого багаторічного періоду. До виду також включено вирощування зазначених культур із метою отримання їх насіння. Включає наступні класи: вирощування винограду, тропічних і субтропічних фруктів, цитрусових, зерняткових і кісточкових фруктів, ягід, горіхів та інших фруктів, </w:t>
      </w:r>
      <w:r w:rsidRPr="005F0419">
        <w:rPr>
          <w:rFonts w:ascii="Times New Roman" w:hAnsi="Times New Roman" w:cs="Times New Roman"/>
          <w:sz w:val="28"/>
          <w:szCs w:val="28"/>
          <w:lang w:val="uk-UA"/>
        </w:rPr>
        <w:lastRenderedPageBreak/>
        <w:t>олійних плодів, культур для виробництва напоїв, пряних, ароматичних і лікарських культур та інших багаторічних культур.</w:t>
      </w:r>
    </w:p>
    <w:p w14:paraId="6B4C650A" w14:textId="379833DA"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таблиці 3 наведено основні фінансові показники виду «Вирощування багаторічних культур» сільськогосподарської галузі у період 2010-2021 років. </w:t>
      </w:r>
    </w:p>
    <w:p w14:paraId="6CCD20F3" w14:textId="77777777" w:rsidR="00113886" w:rsidRPr="005F0419" w:rsidRDefault="00113886" w:rsidP="00113886">
      <w:pPr>
        <w:spacing w:after="0" w:line="360" w:lineRule="auto"/>
        <w:ind w:firstLine="709"/>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Таблиця 3</w:t>
      </w:r>
    </w:p>
    <w:p w14:paraId="1475EEE9"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Деякі фінансові показники діяльності </w:t>
      </w:r>
    </w:p>
    <w:p w14:paraId="3FCF3E8E" w14:textId="1AE5D0E5"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виду «Вирощування багаторічних культур» у 2010-2021 рр..</w:t>
      </w:r>
    </w:p>
    <w:tbl>
      <w:tblPr>
        <w:tblW w:w="4910" w:type="pct"/>
        <w:tblInd w:w="-5"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1981"/>
        <w:gridCol w:w="2678"/>
        <w:gridCol w:w="2903"/>
        <w:gridCol w:w="1893"/>
      </w:tblGrid>
      <w:tr w:rsidR="00113886" w:rsidRPr="005F0419" w14:paraId="4AE23C61" w14:textId="77777777" w:rsidTr="00113886">
        <w:trPr>
          <w:trHeight w:val="288"/>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C9FA747" w14:textId="77777777" w:rsidR="00113886" w:rsidRPr="005F0419" w:rsidRDefault="00113886" w:rsidP="00DD13DC">
            <w:pPr>
              <w:spacing w:after="0" w:line="240" w:lineRule="auto"/>
              <w:contextualSpacing/>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Роки</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3E11287" w14:textId="77777777" w:rsidR="00113886" w:rsidRPr="005F0419" w:rsidRDefault="00113886" w:rsidP="00DD13DC">
            <w:pPr>
              <w:spacing w:after="0" w:line="240" w:lineRule="auto"/>
              <w:contextualSpacing/>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Чистий прибуток (збиток), </w:t>
            </w:r>
          </w:p>
          <w:p w14:paraId="4C90A6AD" w14:textId="77777777" w:rsidR="00113886" w:rsidRPr="005F0419" w:rsidRDefault="00113886" w:rsidP="00DD13DC">
            <w:pPr>
              <w:spacing w:after="0" w:line="240" w:lineRule="auto"/>
              <w:contextualSpacing/>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тис. грн.</w:t>
            </w:r>
          </w:p>
        </w:tc>
        <w:tc>
          <w:tcPr>
            <w:tcW w:w="1535" w:type="pct"/>
            <w:tcBorders>
              <w:top w:val="single" w:sz="4" w:space="0" w:color="auto"/>
              <w:left w:val="single" w:sz="4" w:space="0" w:color="auto"/>
              <w:bottom w:val="single" w:sz="4" w:space="0" w:color="auto"/>
              <w:right w:val="single" w:sz="4" w:space="0" w:color="auto"/>
            </w:tcBorders>
            <w:shd w:val="clear" w:color="auto" w:fill="auto"/>
            <w:vAlign w:val="center"/>
          </w:tcPr>
          <w:p w14:paraId="64570852" w14:textId="77777777" w:rsidR="00113886" w:rsidRPr="005F0419" w:rsidRDefault="00113886" w:rsidP="00DD13DC">
            <w:pPr>
              <w:spacing w:after="0" w:line="240" w:lineRule="auto"/>
              <w:contextualSpacing/>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Обсяг реалізованої продукції, </w:t>
            </w:r>
          </w:p>
          <w:p w14:paraId="79E72AF2" w14:textId="77777777" w:rsidR="00113886" w:rsidRPr="005F0419" w:rsidRDefault="00113886" w:rsidP="00DD13DC">
            <w:pPr>
              <w:spacing w:after="0" w:line="240" w:lineRule="auto"/>
              <w:contextualSpacing/>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тис. грн.</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4677B1A" w14:textId="77777777" w:rsidR="00113886" w:rsidRPr="005F0419" w:rsidRDefault="00113886" w:rsidP="00DD13DC">
            <w:pPr>
              <w:spacing w:after="0" w:line="240" w:lineRule="auto"/>
              <w:contextualSpacing/>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Прибут</w:t>
            </w:r>
            <w:proofErr w:type="spellEnd"/>
            <w:r w:rsidRPr="005F0419">
              <w:rPr>
                <w:rFonts w:ascii="Times New Roman" w:eastAsia="Times New Roman" w:hAnsi="Times New Roman" w:cs="Times New Roman"/>
                <w:sz w:val="28"/>
                <w:szCs w:val="28"/>
                <w:lang w:val="uk-UA"/>
              </w:rPr>
              <w:t>-</w:t>
            </w:r>
          </w:p>
          <w:p w14:paraId="00EA7196" w14:textId="77777777" w:rsidR="00113886" w:rsidRPr="005F0419" w:rsidRDefault="00113886" w:rsidP="00DD13DC">
            <w:pPr>
              <w:spacing w:after="0" w:line="240" w:lineRule="auto"/>
              <w:contextualSpacing/>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ковість</w:t>
            </w:r>
            <w:proofErr w:type="spellEnd"/>
          </w:p>
          <w:p w14:paraId="3D143280" w14:textId="77777777" w:rsidR="00113886" w:rsidRPr="005F0419" w:rsidRDefault="00113886" w:rsidP="00DD13DC">
            <w:pPr>
              <w:spacing w:after="0" w:line="240" w:lineRule="auto"/>
              <w:contextualSpacing/>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p>
        </w:tc>
      </w:tr>
      <w:tr w:rsidR="00113886" w:rsidRPr="005F0419" w14:paraId="77863077"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4333F69"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2010</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D1487BF"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241326,6</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7A873BE"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2398073,1</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46D1331"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10,06</w:t>
            </w:r>
          </w:p>
        </w:tc>
      </w:tr>
      <w:tr w:rsidR="00113886" w:rsidRPr="005F0419" w14:paraId="3F5EBAF9"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1FE341F"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2011</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02282DF"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399786,0</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703775D"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2735818,6</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B06CFCD"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14,61</w:t>
            </w:r>
          </w:p>
        </w:tc>
      </w:tr>
      <w:tr w:rsidR="00113886" w:rsidRPr="005F0419" w14:paraId="063F4EFB"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037B195"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2012</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3A473C6"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1268378,4</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6FA5A2F"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3682534,5</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D627C17"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34,44</w:t>
            </w:r>
          </w:p>
        </w:tc>
      </w:tr>
      <w:tr w:rsidR="00113886" w:rsidRPr="005F0419" w14:paraId="059F2DCE"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5C5B7BE"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2013</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D26D594"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1825723,0</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5DC7BA2"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3969416,6</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67FF321"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45,99</w:t>
            </w:r>
          </w:p>
        </w:tc>
      </w:tr>
      <w:tr w:rsidR="00113886" w:rsidRPr="005F0419" w14:paraId="535A2997"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6ACF221"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2014</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3D1C1F6"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2303062,6</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0B02BC"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4677681,6</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E74D69E"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49,24</w:t>
            </w:r>
          </w:p>
        </w:tc>
      </w:tr>
      <w:tr w:rsidR="00113886" w:rsidRPr="005F0419" w14:paraId="03D66A01"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4FA568E"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2015</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2D7511D"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1451132,1</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94FA2F9"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4246733,9</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2BF156"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34,17</w:t>
            </w:r>
          </w:p>
        </w:tc>
      </w:tr>
      <w:tr w:rsidR="00113886" w:rsidRPr="005F0419" w14:paraId="793823F5"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3AD6248"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2016</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DA04DA8"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648327,7</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9CFF647"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3796979,2</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A27F03D"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17,07</w:t>
            </w:r>
          </w:p>
        </w:tc>
      </w:tr>
      <w:tr w:rsidR="00113886" w:rsidRPr="005F0419" w14:paraId="24E5EF6F"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9C85900"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2017</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0B3D87"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1209792,8</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8442681"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6226713,2</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986011F"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19,43</w:t>
            </w:r>
          </w:p>
        </w:tc>
      </w:tr>
      <w:tr w:rsidR="00113886" w:rsidRPr="005F0419" w14:paraId="0528164F"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41F41D4"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2018</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2D26F3"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546510,2</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53C1651"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5148500,9</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30D353"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10,61</w:t>
            </w:r>
          </w:p>
        </w:tc>
      </w:tr>
      <w:tr w:rsidR="00113886" w:rsidRPr="005F0419" w14:paraId="208396EF"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EC919D"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2019</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79B27BA"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787315,1</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64FCF6F"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4710181,3</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ED58607"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16,72</w:t>
            </w:r>
          </w:p>
        </w:tc>
      </w:tr>
      <w:tr w:rsidR="00113886" w:rsidRPr="005F0419" w14:paraId="609B9870"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34200E0"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2020</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628781A"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159014,1</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994587C"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4482683,0</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B135B1F"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3,55</w:t>
            </w:r>
          </w:p>
        </w:tc>
      </w:tr>
      <w:tr w:rsidR="00113886" w:rsidRPr="005F0419" w14:paraId="47268EFF" w14:textId="77777777" w:rsidTr="00113886">
        <w:trPr>
          <w:trHeight w:val="397"/>
        </w:trPr>
        <w:tc>
          <w:tcPr>
            <w:tcW w:w="10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C33FB58"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2021</w:t>
            </w:r>
          </w:p>
        </w:tc>
        <w:tc>
          <w:tcPr>
            <w:tcW w:w="141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13E4613"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753091,8</w:t>
            </w:r>
          </w:p>
        </w:tc>
        <w:tc>
          <w:tcPr>
            <w:tcW w:w="1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D12F7FB"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6399919,0</w:t>
            </w:r>
          </w:p>
        </w:tc>
        <w:tc>
          <w:tcPr>
            <w:tcW w:w="10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BC0310C" w14:textId="77777777" w:rsidR="00113886" w:rsidRPr="005F0419" w:rsidRDefault="00113886"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11,77</w:t>
            </w:r>
          </w:p>
        </w:tc>
      </w:tr>
    </w:tbl>
    <w:p w14:paraId="2D48AD5F"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за даними Державної служби статистики України [21].</w:t>
      </w:r>
    </w:p>
    <w:p w14:paraId="4A8888F4"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p>
    <w:p w14:paraId="72FADBB1"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Обсяг реалізованої продукції (тис. грн.) та чистий прибуток (збиток) (тис. грн.) наведено згідно даним Державної служби статистики України [21].  Прибутковість капіталовкладень у кожному році розраховуємо як відношення чистого прибутку (збитку) в певному році до обсягу реалізованої продукції у цьому році. Обсяг реалізованої продукції підприємств, що займаються вирощуванням багаторічних культур у досліджуваному періоді знаходився у межах від 2398073,1 тис. грн. до 6399919,0  тис. грн., чистий прибуток виду «Вирощування багаторічних культур» збільшувався від 241326,6 тис. грн. до </w:t>
      </w:r>
      <w:r w:rsidRPr="005F0419">
        <w:rPr>
          <w:rFonts w:ascii="Times New Roman" w:hAnsi="Times New Roman" w:cs="Times New Roman"/>
          <w:sz w:val="28"/>
          <w:szCs w:val="28"/>
          <w:lang w:val="uk-UA"/>
        </w:rPr>
        <w:lastRenderedPageBreak/>
        <w:t>2303062,6 тис. грн. Прибутковість капіталовкладень коливалась у межах від 3,55% до 49,24%.</w:t>
      </w:r>
    </w:p>
    <w:p w14:paraId="582FDC18" w14:textId="6509F854"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 розрахованими у таблиці 3 рівнями прибутковості капіталовкладень у вирощування багаторічних культур у період 2010-2021 років побудуємо діаграму (рисунок 3). Діаграма наочно відображає досить високий, проте нестабільний рівень  прибутковості капіталовкладень у галузь «Вирощування багаторічних культур». Знайдено ступінь ризику залучення інвестиційних коштів  у галузь за допомогою знаходження середнього квадратичного відхилення рівня прибутковості капіталовкладень на протязі 2010-2021 років, він складає 12,44%.</w:t>
      </w:r>
    </w:p>
    <w:p w14:paraId="3F1B629B" w14:textId="2E4160C3"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3448E347" wp14:editId="6C114D48">
            <wp:extent cx="3892550" cy="2439670"/>
            <wp:effectExtent l="0" t="0" r="12700" b="17780"/>
            <wp:docPr id="37" name="Диаграмма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14:paraId="18A29EA4" w14:textId="36C27F13" w:rsidR="00113886" w:rsidRPr="005F0419" w:rsidRDefault="00113886" w:rsidP="00113886">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3. Рівень прибутковості інвестицій, вкладених у галузь «Вирощування багаторічних культур» у 2010-2021 рр. %</w:t>
      </w:r>
    </w:p>
    <w:p w14:paraId="31ACB440" w14:textId="1956FB34"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побудовано автором.</w:t>
      </w:r>
    </w:p>
    <w:p w14:paraId="38EFCC16"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p>
    <w:p w14:paraId="498BB758"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01.3. Відтворення рослин. До цього розділу належать: вирощування рослин для висаджування, рослин для декоративних цілей, у тому числі дернини для пересаджування, вирощування рослин для одержування цибулин, бульб і коренеплодів; паростків і пагонів; грибниць (міцелію), діяльність розсадників дерев, крім лісорозсадників.</w:t>
      </w:r>
    </w:p>
    <w:p w14:paraId="1005785F"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таблиці 4 наведено основні фінансові показники виду «Відтворення рослин» сільськогосподарської галузі у період 2010-2021 років. Обсяг </w:t>
      </w:r>
      <w:r w:rsidRPr="005F0419">
        <w:rPr>
          <w:rFonts w:ascii="Times New Roman" w:hAnsi="Times New Roman" w:cs="Times New Roman"/>
          <w:sz w:val="28"/>
          <w:szCs w:val="28"/>
          <w:lang w:val="uk-UA"/>
        </w:rPr>
        <w:lastRenderedPageBreak/>
        <w:t xml:space="preserve">реалізованої продукції (тис. грн.) та чистий прибуток (збиток) (тис. грн.) наведено згідно даним Державної служби статистики України [21].  </w:t>
      </w:r>
    </w:p>
    <w:p w14:paraId="21628A40" w14:textId="112915C1" w:rsidR="00113886" w:rsidRPr="005F0419" w:rsidRDefault="00113886" w:rsidP="00113886">
      <w:pPr>
        <w:spacing w:after="0" w:line="360" w:lineRule="auto"/>
        <w:ind w:firstLine="709"/>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Таблиця 4</w:t>
      </w:r>
    </w:p>
    <w:p w14:paraId="5C5E76B1"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Деякі фінансові показники діяльності </w:t>
      </w:r>
    </w:p>
    <w:p w14:paraId="2EFC3C0B"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виду «Відтворення рослин» у 2010-2021 рр..</w:t>
      </w:r>
    </w:p>
    <w:tbl>
      <w:tblPr>
        <w:tblW w:w="4985" w:type="pct"/>
        <w:tblInd w:w="-5"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2233"/>
        <w:gridCol w:w="2678"/>
        <w:gridCol w:w="2903"/>
        <w:gridCol w:w="1785"/>
      </w:tblGrid>
      <w:tr w:rsidR="00113886" w:rsidRPr="005F0419" w14:paraId="7803EA81" w14:textId="77777777" w:rsidTr="00113886">
        <w:trPr>
          <w:trHeight w:val="288"/>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D984060"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Роки</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4EA5633"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Чистий прибуток (збиток), </w:t>
            </w:r>
          </w:p>
          <w:p w14:paraId="5CF9CCA0"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тис. грн.</w:t>
            </w:r>
          </w:p>
        </w:tc>
        <w:tc>
          <w:tcPr>
            <w:tcW w:w="1512" w:type="pct"/>
            <w:tcBorders>
              <w:top w:val="single" w:sz="4" w:space="0" w:color="auto"/>
              <w:left w:val="single" w:sz="4" w:space="0" w:color="auto"/>
              <w:bottom w:val="single" w:sz="4" w:space="0" w:color="auto"/>
              <w:right w:val="single" w:sz="4" w:space="0" w:color="auto"/>
            </w:tcBorders>
            <w:shd w:val="clear" w:color="auto" w:fill="auto"/>
            <w:vAlign w:val="center"/>
          </w:tcPr>
          <w:p w14:paraId="762BF7C1"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Обсяг реалізованої продукції, </w:t>
            </w:r>
          </w:p>
          <w:p w14:paraId="0FCC9AF5"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тис. грн.</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7615596"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Прибут</w:t>
            </w:r>
            <w:proofErr w:type="spellEnd"/>
            <w:r w:rsidRPr="005F0419">
              <w:rPr>
                <w:rFonts w:ascii="Times New Roman" w:eastAsia="Times New Roman" w:hAnsi="Times New Roman" w:cs="Times New Roman"/>
                <w:sz w:val="28"/>
                <w:szCs w:val="28"/>
                <w:lang w:val="uk-UA"/>
              </w:rPr>
              <w:t>-</w:t>
            </w:r>
          </w:p>
          <w:p w14:paraId="2C1D3841"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ковість</w:t>
            </w:r>
            <w:proofErr w:type="spellEnd"/>
            <w:r w:rsidRPr="005F0419">
              <w:rPr>
                <w:rFonts w:ascii="Times New Roman" w:eastAsia="Times New Roman" w:hAnsi="Times New Roman" w:cs="Times New Roman"/>
                <w:sz w:val="28"/>
                <w:szCs w:val="28"/>
                <w:lang w:val="uk-UA"/>
              </w:rPr>
              <w:t xml:space="preserve"> (%)</w:t>
            </w:r>
          </w:p>
        </w:tc>
      </w:tr>
      <w:tr w:rsidR="00113886" w:rsidRPr="005F0419" w14:paraId="675A534F"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9484F5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2010</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618E62A"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11780,4</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442DB7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108561,9</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3EAF233"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10,85</w:t>
            </w:r>
          </w:p>
        </w:tc>
      </w:tr>
      <w:tr w:rsidR="00113886" w:rsidRPr="005F0419" w14:paraId="46582B51"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F3AF42A"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2011</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3B5A966"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9044,9</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B30AC75"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96346,5</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54EEC1"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9,39</w:t>
            </w:r>
          </w:p>
        </w:tc>
      </w:tr>
      <w:tr w:rsidR="00113886" w:rsidRPr="005F0419" w14:paraId="343CA0AB"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F82AE06"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2012</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35AEFBA"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108363,9</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2AB7A5B"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303265,0</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781A8F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35,73</w:t>
            </w:r>
          </w:p>
        </w:tc>
      </w:tr>
      <w:tr w:rsidR="00113886" w:rsidRPr="005F0419" w14:paraId="7E154E8C"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EC80CA"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2013</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0156F7E"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66027,5</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6311C2"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314905,5</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0AD2947"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20,97</w:t>
            </w:r>
          </w:p>
        </w:tc>
      </w:tr>
      <w:tr w:rsidR="00113886" w:rsidRPr="005F0419" w14:paraId="33439247"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2735530"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2014</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97BD85"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65160,1</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14E822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288911,0</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BE45FFE"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22,55</w:t>
            </w:r>
          </w:p>
        </w:tc>
      </w:tr>
      <w:tr w:rsidR="00113886" w:rsidRPr="005F0419" w14:paraId="2A649DB0"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24F8323"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2015</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66AB48"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99161,0</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0C5D3A2"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382699,4</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054A5A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25,91</w:t>
            </w:r>
          </w:p>
        </w:tc>
      </w:tr>
      <w:tr w:rsidR="00113886" w:rsidRPr="005F0419" w14:paraId="5712460F"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102397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2016</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D642DFF"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162010,3</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7459BD5"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526505,0</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77E82A"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30,77</w:t>
            </w:r>
          </w:p>
        </w:tc>
      </w:tr>
      <w:tr w:rsidR="00113886" w:rsidRPr="005F0419" w14:paraId="296926E5"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3168D21"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2017</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3312978"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47048,7</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010AB72"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321974,7</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A8E1FDD"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14,61</w:t>
            </w:r>
          </w:p>
        </w:tc>
      </w:tr>
      <w:tr w:rsidR="00113886" w:rsidRPr="005F0419" w14:paraId="6F1E60A1"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205EF37"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2018</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8B6EA8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-14256,9</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C4FCC7B"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453873,1</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C644E58"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-3,14</w:t>
            </w:r>
          </w:p>
        </w:tc>
      </w:tr>
      <w:tr w:rsidR="00113886" w:rsidRPr="005F0419" w14:paraId="468045B5"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B6DF872"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2019</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4E12646"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77383,4</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C8624D3"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590369,7</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13F5A8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13,11</w:t>
            </w:r>
          </w:p>
        </w:tc>
      </w:tr>
      <w:tr w:rsidR="00113886" w:rsidRPr="005F0419" w14:paraId="33937987"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1FEFCBB"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2020</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E3272D0"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77708,9</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06B9072"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594683,5</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9913B0E"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13,07</w:t>
            </w:r>
          </w:p>
        </w:tc>
      </w:tr>
      <w:tr w:rsidR="00113886" w:rsidRPr="005F0419" w14:paraId="2AA1FCF2"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BAA0A08"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2021</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54FB485"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78412,6</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DCCFD1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960127,9</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C169D6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8,17</w:t>
            </w:r>
          </w:p>
        </w:tc>
      </w:tr>
    </w:tbl>
    <w:p w14:paraId="2371990C"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за даними Державної служби статистики України [21].</w:t>
      </w:r>
    </w:p>
    <w:p w14:paraId="238425A7"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p>
    <w:p w14:paraId="1FA54692"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Прибутковість капіталовкладень у кожному році розраховуємо як відношення чистого прибутку (збитку) в певному році до обсягу реалізованої продукції у цьому році. </w:t>
      </w:r>
    </w:p>
    <w:p w14:paraId="22910CC8"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Обсяг реалізованої продукції підприємств, що займаються економічною діяльністю з відтворення рослин у досліджуваному періоді знаходився у межах від 2398073,1 тис. грн. до 6399919,0 тис. грн.</w:t>
      </w:r>
    </w:p>
    <w:p w14:paraId="31A421E9"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Чистий прибуток (збиток) галузі «Відтворення рослин» збільшувався від 9044,9 тис. грн. до 162010,3  тис. грн. </w:t>
      </w:r>
    </w:p>
    <w:p w14:paraId="00B5A58A"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Прибутковість капіталовкладень коливалась у межах від 3,55% до 49,24%.</w:t>
      </w:r>
    </w:p>
    <w:p w14:paraId="58091FA0" w14:textId="6914F1F8"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 розрахованими у таблиці 4 рівнями прибутковості капіталовкладень у відтворення рослинних культур у період 2010-2021 років побудуємо діаграму </w:t>
      </w:r>
      <w:r w:rsidRPr="005F0419">
        <w:rPr>
          <w:rFonts w:ascii="Times New Roman" w:hAnsi="Times New Roman" w:cs="Times New Roman"/>
          <w:sz w:val="28"/>
          <w:szCs w:val="28"/>
          <w:lang w:val="uk-UA"/>
        </w:rPr>
        <w:lastRenderedPageBreak/>
        <w:t>(рис. 4). Діаграма наочно відображає невисокий та нестабільний рівень  прибутковості капіталовкладень у галузь «Відтворення рослин». Знайдено ступінь ризику залучення інвестиційних коштів  у галузь за допомогою знаходження середнього квадратичного відхилення рівня прибутковості капіталовкладень на протязі 2010-2021 років, він складає 8,63%.</w:t>
      </w:r>
    </w:p>
    <w:p w14:paraId="710F14CA" w14:textId="2D6AD32B"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6B43DFF3" wp14:editId="6ECEB485">
            <wp:extent cx="5247861" cy="2156460"/>
            <wp:effectExtent l="0" t="0" r="10160" b="15240"/>
            <wp:docPr id="36" name="Диаграмма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14:paraId="6A9D7727" w14:textId="6393A2C4" w:rsidR="00113886" w:rsidRPr="005F0419" w:rsidRDefault="00113886" w:rsidP="00113886">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4. Рівень прибутковості інвестицій, вкладених у галузь «Відтворення рослин» у 2010-2021 рр. (%)</w:t>
      </w:r>
    </w:p>
    <w:p w14:paraId="31D813B8" w14:textId="27164CBA"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побудовано автором.</w:t>
      </w:r>
    </w:p>
    <w:p w14:paraId="011AC526" w14:textId="77777777" w:rsidR="00DD13DC" w:rsidRPr="005F0419" w:rsidRDefault="00DD13DC" w:rsidP="00113886">
      <w:pPr>
        <w:spacing w:after="0" w:line="360" w:lineRule="auto"/>
        <w:ind w:firstLine="709"/>
        <w:jc w:val="both"/>
        <w:rPr>
          <w:rFonts w:ascii="Times New Roman" w:hAnsi="Times New Roman" w:cs="Times New Roman"/>
          <w:sz w:val="28"/>
          <w:szCs w:val="28"/>
          <w:lang w:val="uk-UA"/>
        </w:rPr>
      </w:pPr>
    </w:p>
    <w:p w14:paraId="35F0F10E" w14:textId="39760E99"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01.4. Тваринництво. До цього розділу належать вирощування та розведення всіх видів тварин, крім водних. Включає класи: розведення великої рогатої худоби молочних порід, іншої великої рогатої худоби та буйволів, коней та інших тварин родини конячих, верблюдів та інших тварин родини верблюдячих, вівець і кіз, свиней, свійської птиці. Крім того до цієї групи включено клас розведення інших тварин, а саме: вирощування та розведення </w:t>
      </w:r>
      <w:proofErr w:type="spellStart"/>
      <w:r w:rsidRPr="005F0419">
        <w:rPr>
          <w:rFonts w:ascii="Times New Roman" w:hAnsi="Times New Roman" w:cs="Times New Roman"/>
          <w:sz w:val="28"/>
          <w:szCs w:val="28"/>
          <w:lang w:val="uk-UA"/>
        </w:rPr>
        <w:t>напівсвійських</w:t>
      </w:r>
      <w:proofErr w:type="spellEnd"/>
      <w:r w:rsidRPr="005F0419">
        <w:rPr>
          <w:rFonts w:ascii="Times New Roman" w:hAnsi="Times New Roman" w:cs="Times New Roman"/>
          <w:sz w:val="28"/>
          <w:szCs w:val="28"/>
          <w:lang w:val="uk-UA"/>
        </w:rPr>
        <w:t xml:space="preserve"> та інших тварин: страусів, інших видів птиці, наприклад перепелів, комах, королів та інших хутрових тварин з цінним хутром; одержування шкур хутрових сільськогосподарських тварин, шкіри плазунів і птахів у результаті діяльності з їх розведення на фермах, діяльність ферм із розведення хробаків, равликів, молюсків тощо, розведення шовкопряда, коконів шовкопряда, бджільництво, одержування меду та бджолиного воску; </w:t>
      </w:r>
      <w:r w:rsidRPr="005F0419">
        <w:rPr>
          <w:rFonts w:ascii="Times New Roman" w:hAnsi="Times New Roman" w:cs="Times New Roman"/>
          <w:sz w:val="28"/>
          <w:szCs w:val="28"/>
          <w:lang w:val="uk-UA"/>
        </w:rPr>
        <w:lastRenderedPageBreak/>
        <w:t>вирощування та розведення домашніх тварин (крім рибок): котів і собак, птахів (таких як довгохвості папуги тощо), хом’яків тощо, інших видів тварин.</w:t>
      </w:r>
    </w:p>
    <w:p w14:paraId="775C7069" w14:textId="28CA94A1"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таблиці 5 наведено основні фінансові показники виду «Тваринництво» сільськогосподарської галузі у період 2010-2021 років. </w:t>
      </w:r>
    </w:p>
    <w:p w14:paraId="3051738B" w14:textId="77777777" w:rsidR="00113886" w:rsidRPr="005F0419" w:rsidRDefault="00113886" w:rsidP="00113886">
      <w:pPr>
        <w:spacing w:after="0" w:line="360" w:lineRule="auto"/>
        <w:ind w:firstLine="709"/>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Таблиця 5</w:t>
      </w:r>
    </w:p>
    <w:p w14:paraId="3FCA57AA"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Деякі фінансові показники діяльності </w:t>
      </w:r>
    </w:p>
    <w:p w14:paraId="5091E920"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виду «Тваринництво» у 2010-2021 рр..</w:t>
      </w:r>
    </w:p>
    <w:tbl>
      <w:tblPr>
        <w:tblW w:w="4985" w:type="pct"/>
        <w:tblInd w:w="-5"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2233"/>
        <w:gridCol w:w="2678"/>
        <w:gridCol w:w="2903"/>
        <w:gridCol w:w="1785"/>
      </w:tblGrid>
      <w:tr w:rsidR="00113886" w:rsidRPr="005F0419" w14:paraId="35B05EAE" w14:textId="77777777" w:rsidTr="00113886">
        <w:trPr>
          <w:trHeight w:val="288"/>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8A95EB3"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Роки</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4A2A5FB"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Чистий прибуток (збиток), </w:t>
            </w:r>
          </w:p>
          <w:p w14:paraId="4EC68DC9"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тис. грн.</w:t>
            </w:r>
          </w:p>
        </w:tc>
        <w:tc>
          <w:tcPr>
            <w:tcW w:w="1512" w:type="pct"/>
            <w:tcBorders>
              <w:top w:val="single" w:sz="4" w:space="0" w:color="auto"/>
              <w:left w:val="single" w:sz="4" w:space="0" w:color="auto"/>
              <w:bottom w:val="single" w:sz="4" w:space="0" w:color="auto"/>
              <w:right w:val="single" w:sz="4" w:space="0" w:color="auto"/>
            </w:tcBorders>
            <w:shd w:val="clear" w:color="auto" w:fill="auto"/>
            <w:vAlign w:val="center"/>
          </w:tcPr>
          <w:p w14:paraId="323A3EAC"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Обсяг реалізованої продукції, </w:t>
            </w:r>
          </w:p>
          <w:p w14:paraId="7F83207A"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тис. грн.</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481D9E9"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Прибут</w:t>
            </w:r>
            <w:proofErr w:type="spellEnd"/>
            <w:r w:rsidRPr="005F0419">
              <w:rPr>
                <w:rFonts w:ascii="Times New Roman" w:eastAsia="Times New Roman" w:hAnsi="Times New Roman" w:cs="Times New Roman"/>
                <w:sz w:val="28"/>
                <w:szCs w:val="28"/>
                <w:lang w:val="uk-UA"/>
              </w:rPr>
              <w:t>-</w:t>
            </w:r>
          </w:p>
          <w:p w14:paraId="6491A791"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ковість</w:t>
            </w:r>
            <w:proofErr w:type="spellEnd"/>
          </w:p>
          <w:p w14:paraId="42D66368"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p>
        </w:tc>
      </w:tr>
      <w:tr w:rsidR="00113886" w:rsidRPr="005F0419" w14:paraId="41C2061F"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A2D012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2010</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B91AA4E"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4031010,2</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3F3F36"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26016818,0</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B68E265"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15,49</w:t>
            </w:r>
          </w:p>
        </w:tc>
      </w:tr>
      <w:tr w:rsidR="00113886" w:rsidRPr="005F0419" w14:paraId="2F8B7467"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B71AD66"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2011</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3160F9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4294687,0</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0614FD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28022088,2</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0412DE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15,33</w:t>
            </w:r>
          </w:p>
        </w:tc>
      </w:tr>
      <w:tr w:rsidR="00113886" w:rsidRPr="005F0419" w14:paraId="20747C47"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3FD59B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2012</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9671066"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6823280,0</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1ED1A3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31351815,4</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01428F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21,76</w:t>
            </w:r>
          </w:p>
        </w:tc>
      </w:tr>
      <w:tr w:rsidR="00113886" w:rsidRPr="005F0419" w14:paraId="5F38BE4B"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FD07386"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2013</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AECAC56"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6274057,3</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9C60D5"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31616065,0</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E3B97BB"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19,84</w:t>
            </w:r>
          </w:p>
        </w:tc>
      </w:tr>
      <w:tr w:rsidR="00113886" w:rsidRPr="005F0419" w14:paraId="31676EC9"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EE92987"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2014</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1EAD131"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6928161,2</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8684AFF"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39331700,3</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411FEC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17,61</w:t>
            </w:r>
          </w:p>
        </w:tc>
      </w:tr>
      <w:tr w:rsidR="00113886" w:rsidRPr="005F0419" w14:paraId="6143EF7D"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811D6BB"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2015</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F67A93D"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13742139,3</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D452D1"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55173791,4</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A79E49B"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24,91</w:t>
            </w:r>
          </w:p>
        </w:tc>
      </w:tr>
      <w:tr w:rsidR="00113886" w:rsidRPr="005F0419" w14:paraId="6EB524C1"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6477ECE"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2016</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FD869FE"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7074846,7</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C672837"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57630678,7</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C7E920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12,28</w:t>
            </w:r>
          </w:p>
        </w:tc>
      </w:tr>
      <w:tr w:rsidR="00113886" w:rsidRPr="005F0419" w14:paraId="3287778A"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64FF6E0"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2017</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4BEC578"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8264640,6</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5AA5B1F"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52892228,1</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3767586"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15,63</w:t>
            </w:r>
          </w:p>
        </w:tc>
      </w:tr>
      <w:tr w:rsidR="00113886" w:rsidRPr="005F0419" w14:paraId="6EC7D61F"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201A527"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2018</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4298F9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7381394,8</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976D6E5"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64282042,5</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F1EE1C3"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11,48</w:t>
            </w:r>
          </w:p>
        </w:tc>
      </w:tr>
      <w:tr w:rsidR="00113886" w:rsidRPr="005F0419" w14:paraId="51797B0B"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36E4CC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2019</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983A517"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6389159,1</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A612B71"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63616542,5</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CCC377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10,04</w:t>
            </w:r>
          </w:p>
        </w:tc>
      </w:tr>
      <w:tr w:rsidR="00113886" w:rsidRPr="005F0419" w14:paraId="534989BB"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C723D86"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2020</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5AF0012"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881579,5</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A26378"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65830237,2</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CEBD85"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1,34</w:t>
            </w:r>
          </w:p>
        </w:tc>
      </w:tr>
      <w:tr w:rsidR="00113886" w:rsidRPr="005F0419" w14:paraId="3BA8D059" w14:textId="77777777" w:rsidTr="00113886">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735B2C9"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2021</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218996A"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9456357,8</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4C273E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74967208,4</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2E4B963"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12,61</w:t>
            </w:r>
          </w:p>
        </w:tc>
      </w:tr>
    </w:tbl>
    <w:p w14:paraId="564DC7D0"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за даними Державної служби статистики України [21].</w:t>
      </w:r>
    </w:p>
    <w:p w14:paraId="47DB1E19" w14:textId="77777777" w:rsidR="00DD13DC" w:rsidRPr="005F0419" w:rsidRDefault="00DD13DC" w:rsidP="00113886">
      <w:pPr>
        <w:spacing w:after="0" w:line="360" w:lineRule="auto"/>
        <w:ind w:firstLine="709"/>
        <w:jc w:val="both"/>
        <w:rPr>
          <w:rFonts w:ascii="Times New Roman" w:hAnsi="Times New Roman" w:cs="Times New Roman"/>
          <w:sz w:val="28"/>
          <w:szCs w:val="28"/>
          <w:lang w:val="uk-UA"/>
        </w:rPr>
      </w:pPr>
    </w:p>
    <w:p w14:paraId="775C4467" w14:textId="7B09F3CE"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Обсяг реалізованої продукції (тис. грн.) та чистий прибуток (збиток) (тис. грн.) наведено згідно даним Державної служби статистики України [21].  Прибутковість капіталовкладень у кожному році розраховуємо як відношення чистого прибутку (збитку) в певному році до обсягу реалізованої продукції у цьому році. Обсяг реалізованої продукції підприємств, що займаються тваринництвом у досліджуваному періоді знаходився у межах від 26016818,0 тис. грн. до 74967208,4 тис. грн.,  чистий прибуток (збиток) галузі «Тваринництво» збільшувався від 881579,5 тис. грн. до прибутку 13742139,3 тис. грн. Прибутковість капіталовкладень коливалась у межах від 1,34% до 24,91%.</w:t>
      </w:r>
    </w:p>
    <w:p w14:paraId="00F75C78" w14:textId="61CD92A8"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За розрахованими у таблиці 5 рівнями прибутковості капіталовкладень у вирощування свійських тварин у період 2010-2021 років побудуємо діаграму (рис</w:t>
      </w:r>
      <w:r w:rsidR="00DD13DC"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5). Діаграма наочно відображає невисокий та нестабільний рівень  прибутковості капіталовкладень у галузь «Тваринництво». Знайдено ступінь ризику залучення інвестиційних коштів  у галузь за допомогою знаходження середнього квадратичного відхилення рівня прибутковості капіталовкладень на протязі 2010-2021 років, він складає 4,42%.</w:t>
      </w:r>
    </w:p>
    <w:p w14:paraId="2CA31C45" w14:textId="54B1CF68" w:rsidR="00113886" w:rsidRPr="005F0419" w:rsidRDefault="00113886" w:rsidP="00DD13DC">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25F36038" wp14:editId="0AF04BC7">
            <wp:extent cx="5436704" cy="2345690"/>
            <wp:effectExtent l="0" t="0" r="12065" b="16510"/>
            <wp:docPr id="35" name="Диаграмма 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14:paraId="08805126" w14:textId="77777777" w:rsidR="00113886" w:rsidRPr="005F0419" w:rsidRDefault="00113886" w:rsidP="00DD13DC">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5. Рівень прибутковості інвестицій, вкладених у галузь «Тваринництво» у 2010-2021 рр. (%)</w:t>
      </w:r>
    </w:p>
    <w:p w14:paraId="740508C8" w14:textId="77777777" w:rsidR="00DD13DC" w:rsidRPr="005F0419" w:rsidRDefault="00DD13DC" w:rsidP="00DD13DC">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побудовано автором.</w:t>
      </w:r>
    </w:p>
    <w:p w14:paraId="13D44BDA" w14:textId="77777777" w:rsidR="00DD13DC" w:rsidRPr="005F0419" w:rsidRDefault="00DD13DC" w:rsidP="00113886">
      <w:pPr>
        <w:spacing w:after="0" w:line="360" w:lineRule="auto"/>
        <w:ind w:firstLine="709"/>
        <w:jc w:val="both"/>
        <w:rPr>
          <w:rFonts w:ascii="Times New Roman" w:hAnsi="Times New Roman" w:cs="Times New Roman"/>
          <w:sz w:val="28"/>
          <w:szCs w:val="28"/>
          <w:lang w:val="uk-UA"/>
        </w:rPr>
      </w:pPr>
    </w:p>
    <w:p w14:paraId="3DB5C1C2" w14:textId="7646C3D9"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01.5. Змішане сільське господарство. До цього розділу належать діяльність сільськогосподарських одиниць, які поєднують рослинництво і тваринництво без визначення спеціалізації. Обсяг усіх видів сільськогосподарських операцій, виконуваних одиницею, не є визначальним фактором. Якщо для окремо взятої одиниці один з вироблених продуктів у рослинництві чи у тваринництві складає 66% і більше валової доданої вартості, її діяльність не повинна відноситися до цього класу. Зазначена одиниця класифікується за перевагою або в рослинництві, або у тваринництві.</w:t>
      </w:r>
    </w:p>
    <w:p w14:paraId="00D71259"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01.6. Допоміжна діяльність у сільському господарстві та </w:t>
      </w:r>
      <w:proofErr w:type="spellStart"/>
      <w:r w:rsidRPr="005F0419">
        <w:rPr>
          <w:rFonts w:ascii="Times New Roman" w:hAnsi="Times New Roman" w:cs="Times New Roman"/>
          <w:sz w:val="28"/>
          <w:szCs w:val="28"/>
          <w:lang w:val="uk-UA"/>
        </w:rPr>
        <w:t>післяурожайна</w:t>
      </w:r>
      <w:proofErr w:type="spellEnd"/>
      <w:r w:rsidRPr="005F0419">
        <w:rPr>
          <w:rFonts w:ascii="Times New Roman" w:hAnsi="Times New Roman" w:cs="Times New Roman"/>
          <w:sz w:val="28"/>
          <w:szCs w:val="28"/>
          <w:lang w:val="uk-UA"/>
        </w:rPr>
        <w:t xml:space="preserve"> діяльність. До цього розділу належать допоміжні види сільськогосподарської діяльності, а також види діяльності, подібні до сільськогосподарських, але не </w:t>
      </w:r>
      <w:r w:rsidRPr="005F0419">
        <w:rPr>
          <w:rFonts w:ascii="Times New Roman" w:hAnsi="Times New Roman" w:cs="Times New Roman"/>
          <w:sz w:val="28"/>
          <w:szCs w:val="28"/>
          <w:lang w:val="uk-UA"/>
        </w:rPr>
        <w:lastRenderedPageBreak/>
        <w:t xml:space="preserve">спрямовані на виробництво продукції (збирання сільськогосподарської продукції), які виконують за винагороду або на основі контракту, а також </w:t>
      </w:r>
      <w:proofErr w:type="spellStart"/>
      <w:r w:rsidRPr="005F0419">
        <w:rPr>
          <w:rFonts w:ascii="Times New Roman" w:hAnsi="Times New Roman" w:cs="Times New Roman"/>
          <w:sz w:val="28"/>
          <w:szCs w:val="28"/>
          <w:lang w:val="uk-UA"/>
        </w:rPr>
        <w:t>післяурожайну</w:t>
      </w:r>
      <w:proofErr w:type="spellEnd"/>
      <w:r w:rsidRPr="005F0419">
        <w:rPr>
          <w:rFonts w:ascii="Times New Roman" w:hAnsi="Times New Roman" w:cs="Times New Roman"/>
          <w:sz w:val="28"/>
          <w:szCs w:val="28"/>
          <w:lang w:val="uk-UA"/>
        </w:rPr>
        <w:t xml:space="preserve"> діяльність, спрямовану на підготовку сільськогосподарської продукції до первісної реалізації. </w:t>
      </w:r>
    </w:p>
    <w:p w14:paraId="556120C6" w14:textId="77777777" w:rsidR="00DD13DC" w:rsidRPr="005F0419" w:rsidRDefault="00113886" w:rsidP="00DD13DC">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таблиці 6 наведено основні фінансові показники галузі у період 2010-2021 років. </w:t>
      </w:r>
    </w:p>
    <w:p w14:paraId="718F4950" w14:textId="6073CBDF" w:rsidR="00DD13DC" w:rsidRPr="005F0419" w:rsidRDefault="00DD13DC" w:rsidP="00DD13DC">
      <w:pPr>
        <w:spacing w:after="0" w:line="360" w:lineRule="auto"/>
        <w:ind w:firstLine="709"/>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Таблиця 6</w:t>
      </w:r>
    </w:p>
    <w:p w14:paraId="20FC7814" w14:textId="77777777" w:rsidR="00DD13DC" w:rsidRPr="005F0419" w:rsidRDefault="00DD13DC" w:rsidP="00DD13DC">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Деякі фінансові показники діяльності </w:t>
      </w:r>
    </w:p>
    <w:p w14:paraId="10974E0B" w14:textId="77777777" w:rsidR="00DD13DC" w:rsidRPr="005F0419" w:rsidRDefault="00DD13DC" w:rsidP="00DD13DC">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сільського господарства у 2010-2021 рр..</w:t>
      </w:r>
    </w:p>
    <w:tbl>
      <w:tblPr>
        <w:tblW w:w="4985" w:type="pct"/>
        <w:tblInd w:w="-5"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2233"/>
        <w:gridCol w:w="2678"/>
        <w:gridCol w:w="2903"/>
        <w:gridCol w:w="1785"/>
      </w:tblGrid>
      <w:tr w:rsidR="00DD13DC" w:rsidRPr="005F0419" w14:paraId="5F709FBC" w14:textId="77777777" w:rsidTr="007C43B0">
        <w:trPr>
          <w:trHeight w:val="288"/>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799A702" w14:textId="77777777" w:rsidR="00DD13DC" w:rsidRPr="005F0419" w:rsidRDefault="00DD13DC"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Роки</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CA8B53D" w14:textId="77777777" w:rsidR="00DD13DC" w:rsidRPr="005F0419" w:rsidRDefault="00DD13DC"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Чистий прибуток (збиток), </w:t>
            </w:r>
          </w:p>
          <w:p w14:paraId="6F3DEA3B" w14:textId="77777777" w:rsidR="00DD13DC" w:rsidRPr="005F0419" w:rsidRDefault="00DD13DC"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тис. грн.</w:t>
            </w:r>
          </w:p>
        </w:tc>
        <w:tc>
          <w:tcPr>
            <w:tcW w:w="1512" w:type="pct"/>
            <w:tcBorders>
              <w:top w:val="single" w:sz="4" w:space="0" w:color="auto"/>
              <w:left w:val="single" w:sz="4" w:space="0" w:color="auto"/>
              <w:bottom w:val="single" w:sz="4" w:space="0" w:color="auto"/>
              <w:right w:val="single" w:sz="4" w:space="0" w:color="auto"/>
            </w:tcBorders>
            <w:shd w:val="clear" w:color="auto" w:fill="auto"/>
            <w:vAlign w:val="center"/>
          </w:tcPr>
          <w:p w14:paraId="354FCA0D" w14:textId="77777777" w:rsidR="00DD13DC" w:rsidRPr="005F0419" w:rsidRDefault="00DD13DC"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Обсяг реалізованої продукції, </w:t>
            </w:r>
          </w:p>
          <w:p w14:paraId="51072EDC" w14:textId="77777777" w:rsidR="00DD13DC" w:rsidRPr="005F0419" w:rsidRDefault="00DD13DC"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тис. грн.</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B9D9B78" w14:textId="77777777" w:rsidR="00DD13DC" w:rsidRPr="005F0419" w:rsidRDefault="00DD13DC" w:rsidP="00DD13DC">
            <w:pPr>
              <w:spacing w:after="0" w:line="240" w:lineRule="auto"/>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Прибут</w:t>
            </w:r>
            <w:proofErr w:type="spellEnd"/>
            <w:r w:rsidRPr="005F0419">
              <w:rPr>
                <w:rFonts w:ascii="Times New Roman" w:eastAsia="Times New Roman" w:hAnsi="Times New Roman" w:cs="Times New Roman"/>
                <w:sz w:val="28"/>
                <w:szCs w:val="28"/>
                <w:lang w:val="uk-UA"/>
              </w:rPr>
              <w:t>-</w:t>
            </w:r>
          </w:p>
          <w:p w14:paraId="08621381" w14:textId="77777777" w:rsidR="00DD13DC" w:rsidRPr="005F0419" w:rsidRDefault="00DD13DC" w:rsidP="00DD13DC">
            <w:pPr>
              <w:spacing w:after="0" w:line="240" w:lineRule="auto"/>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ковість</w:t>
            </w:r>
            <w:proofErr w:type="spellEnd"/>
          </w:p>
          <w:p w14:paraId="3592E53A" w14:textId="77777777" w:rsidR="00DD13DC" w:rsidRPr="005F0419" w:rsidRDefault="00DD13DC"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p>
        </w:tc>
      </w:tr>
      <w:tr w:rsidR="00DD13DC" w:rsidRPr="005F0419" w14:paraId="7C2B2CC7"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EACDBF0"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2010</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87E94ED"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17170562,4</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B2422FC"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99891436,0</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45F040C"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17,19</w:t>
            </w:r>
          </w:p>
        </w:tc>
      </w:tr>
      <w:tr w:rsidR="00DD13DC" w:rsidRPr="005F0419" w14:paraId="6728A296"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F61C834"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2011</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54A3AC0"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25341327,5</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BBC92A6"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126961245,2</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C5294F0"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19,96</w:t>
            </w:r>
          </w:p>
        </w:tc>
      </w:tr>
      <w:tr w:rsidR="00DD13DC" w:rsidRPr="005F0419" w14:paraId="6D6E5E8C"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CF247CF"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2012</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5B99895"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26787229,9</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C1F5171"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162611131,2</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8841034"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16,47</w:t>
            </w:r>
          </w:p>
        </w:tc>
      </w:tr>
      <w:tr w:rsidR="00DD13DC" w:rsidRPr="005F0419" w14:paraId="6CCC9E4C"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E2E21E3"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2013</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AD6D337"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14984442,7</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E719EF9"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161130336,0</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7ECA6ED"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9,30</w:t>
            </w:r>
          </w:p>
        </w:tc>
      </w:tr>
      <w:tr w:rsidR="00DD13DC" w:rsidRPr="005F0419" w14:paraId="3B427D61"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0E1BF67"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2014</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F787435"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21481346,8</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B0F1262"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213929847,2</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C412C05" w14:textId="77777777" w:rsidR="00DD13DC" w:rsidRPr="005F0419" w:rsidRDefault="00DD13DC" w:rsidP="00DD13DC">
            <w:pPr>
              <w:spacing w:after="0" w:line="24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10,04</w:t>
            </w:r>
          </w:p>
        </w:tc>
      </w:tr>
      <w:tr w:rsidR="00DD13DC" w:rsidRPr="005F0419" w14:paraId="60630010"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0D0C99C"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2015</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4D31134"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102849068,0</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047E631"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362309989,7</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1568CC4"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28,39</w:t>
            </w:r>
          </w:p>
        </w:tc>
      </w:tr>
      <w:tr w:rsidR="00DD13DC" w:rsidRPr="005F0419" w14:paraId="452B5663"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063CE1"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2016</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75A601F"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90613153,7</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26840A"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403645802,4</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DA45A5D"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22,45</w:t>
            </w:r>
          </w:p>
        </w:tc>
      </w:tr>
      <w:tr w:rsidR="00DD13DC" w:rsidRPr="005F0419" w14:paraId="6D9F03A0"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A9DDB13"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2017</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4EA29D8"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68858525,0</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53F0F4"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454380102,6</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D4F7DEE"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15,15</w:t>
            </w:r>
          </w:p>
        </w:tc>
      </w:tr>
      <w:tr w:rsidR="00DD13DC" w:rsidRPr="005F0419" w14:paraId="380F3AFB"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85B0E2F"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2018</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83BDAB2"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71002592,3</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B41AC4B"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525096891,4</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17B739E"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13,52</w:t>
            </w:r>
          </w:p>
        </w:tc>
      </w:tr>
      <w:tr w:rsidR="00DD13DC" w:rsidRPr="005F0419" w14:paraId="7CC91B99"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B568D12"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2019</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26EB5DF"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93255372,7</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C43E6AE"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556325872,1</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3F583AC"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16,76</w:t>
            </w:r>
          </w:p>
        </w:tc>
      </w:tr>
      <w:tr w:rsidR="00DD13DC" w:rsidRPr="005F0419" w14:paraId="31E26D76"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A34ACAD"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2020</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D1387F"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81618534,5</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2713D33"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605483122,2</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D4597EE"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13,48</w:t>
            </w:r>
          </w:p>
        </w:tc>
      </w:tr>
      <w:tr w:rsidR="00DD13DC" w:rsidRPr="005F0419" w14:paraId="10C0209C" w14:textId="77777777" w:rsidTr="007C43B0">
        <w:trPr>
          <w:trHeight w:val="397"/>
        </w:trPr>
        <w:tc>
          <w:tcPr>
            <w:tcW w:w="116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68E2633"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2021</w:t>
            </w:r>
          </w:p>
        </w:tc>
        <w:tc>
          <w:tcPr>
            <w:tcW w:w="139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5C66AB"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238806950,0</w:t>
            </w:r>
          </w:p>
        </w:tc>
        <w:tc>
          <w:tcPr>
            <w:tcW w:w="151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1DB766D"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918661145,6</w:t>
            </w:r>
          </w:p>
        </w:tc>
        <w:tc>
          <w:tcPr>
            <w:tcW w:w="93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B5B184E" w14:textId="77777777" w:rsidR="00DD13DC" w:rsidRPr="005F0419" w:rsidRDefault="00DD13DC"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26,00</w:t>
            </w:r>
          </w:p>
        </w:tc>
      </w:tr>
    </w:tbl>
    <w:p w14:paraId="35AFC3F5" w14:textId="29D38D21" w:rsidR="00DD13DC" w:rsidRPr="005F0419" w:rsidRDefault="00DD13DC" w:rsidP="00DD13DC">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за даними Державної служби статистики України [21].</w:t>
      </w:r>
    </w:p>
    <w:p w14:paraId="33D9E61C" w14:textId="495D7FB6" w:rsidR="00DD13DC" w:rsidRPr="005F0419" w:rsidRDefault="00DD13DC" w:rsidP="00DD13DC">
      <w:pPr>
        <w:spacing w:after="0" w:line="360" w:lineRule="auto"/>
        <w:ind w:firstLine="709"/>
        <w:jc w:val="both"/>
        <w:rPr>
          <w:rFonts w:ascii="Times New Roman" w:hAnsi="Times New Roman" w:cs="Times New Roman"/>
          <w:sz w:val="28"/>
          <w:szCs w:val="28"/>
          <w:lang w:val="uk-UA"/>
        </w:rPr>
      </w:pPr>
    </w:p>
    <w:p w14:paraId="4FB8809B" w14:textId="77777777" w:rsidR="00DD13DC" w:rsidRPr="005F0419" w:rsidRDefault="00DD13DC" w:rsidP="00DD13DC">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Обсяг реалізованої продукції (тис. грн.) та чистий прибуток (тис. грн.) наведено згідно даним Державної служби статистики України [21].  Розраховуємо прибутковість капіталовкладень у галузь сільського господарства в кожному році як відношення чистого прибутку  в певному році до обсягу реалізованої продукції у цьому році. Обсяг реалізованої продукції підприємств сільського господарства у досліджуваному періоді поступово збільшувався у межах від 17170562,4 тис. грн. до 238806950,0 тис. грн.,  чистий прибуток </w:t>
      </w:r>
      <w:r w:rsidRPr="005F0419">
        <w:rPr>
          <w:rFonts w:ascii="Times New Roman" w:hAnsi="Times New Roman" w:cs="Times New Roman"/>
          <w:sz w:val="28"/>
          <w:szCs w:val="28"/>
          <w:lang w:val="uk-UA"/>
        </w:rPr>
        <w:lastRenderedPageBreak/>
        <w:t>сільськогосподарської галузі збільшувався від 99891436,0 тис. грн. до 918661145,6 тис. грн. Прибутковість капіталовкладень коливалась у межах від 9,30% до 28,39%.</w:t>
      </w:r>
    </w:p>
    <w:p w14:paraId="742A9E7C" w14:textId="77777777" w:rsidR="00DD13DC" w:rsidRPr="005F0419" w:rsidRDefault="00DD13DC" w:rsidP="00DD13DC">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 розрахованими у таблиці 6 рівнями прибутковості капіталовкладень у галузь сільського господарства у період 2010-2021 років побудуємо діаграму (рис. 6). Діаграма наочно відображає досить високий, проте нестабільний рівень  прибутковості капіталовкладень у підприємства сільського господарства.</w:t>
      </w:r>
    </w:p>
    <w:p w14:paraId="2FA3EEA8" w14:textId="2048D6B7" w:rsidR="00113886" w:rsidRPr="005F0419" w:rsidRDefault="00113886" w:rsidP="00113886">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04BF1066" wp14:editId="3F97D5B4">
            <wp:extent cx="6191885" cy="2892287"/>
            <wp:effectExtent l="0" t="0" r="18415" b="3810"/>
            <wp:docPr id="34" name="Диаграмма 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14:paraId="3F077647" w14:textId="549231B9" w:rsidR="00113886" w:rsidRPr="005F0419" w:rsidRDefault="00113886" w:rsidP="00DD13DC">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6. Рівень прибутковості інвестицій, вкладених у сільське господарство України у 2010-2021 рр.</w:t>
      </w:r>
      <w:r w:rsidR="00DD13DC"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w:t>
      </w:r>
    </w:p>
    <w:p w14:paraId="078A6B37" w14:textId="550B2306" w:rsidR="00DD13DC" w:rsidRPr="005F0419" w:rsidRDefault="00DD13DC" w:rsidP="00DD13DC">
      <w:pPr>
        <w:spacing w:after="0" w:line="360" w:lineRule="auto"/>
        <w:ind w:firstLine="709"/>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побудовано автором.</w:t>
      </w:r>
    </w:p>
    <w:p w14:paraId="274B8AF4" w14:textId="77777777" w:rsidR="00DD13DC" w:rsidRPr="005F0419" w:rsidRDefault="00DD13DC" w:rsidP="00DD13DC">
      <w:pPr>
        <w:spacing w:after="0" w:line="360" w:lineRule="auto"/>
        <w:ind w:firstLine="709"/>
        <w:rPr>
          <w:rFonts w:ascii="Times New Roman" w:hAnsi="Times New Roman" w:cs="Times New Roman"/>
          <w:sz w:val="28"/>
          <w:szCs w:val="28"/>
          <w:lang w:val="uk-UA"/>
        </w:rPr>
      </w:pPr>
    </w:p>
    <w:p w14:paraId="1C515411"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контексті дослідження ефективності інвестиційного менеджменту в системі визначальних її показників виділимо два, на наш погляд базисних, до таких відносимо рівень прибутковості (рентабельності) та ступень ризику. Пропонуємо проводити оцінку на підставі темпів зростання або зниження першого із аналізованих параметрів у часовому інтервалі та другого в кінці терміну, що характеризує сукупний кінцевий результат інвестиційної діяльності господарчої галузі.</w:t>
      </w:r>
    </w:p>
    <w:p w14:paraId="7712D495" w14:textId="501344EF"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Оскільки до галузі сільського господарства за Класифікатором видів економічної діяльності входить шість основних видів діяльності, виникає </w:t>
      </w:r>
      <w:r w:rsidRPr="005F0419">
        <w:rPr>
          <w:rFonts w:ascii="Times New Roman" w:hAnsi="Times New Roman" w:cs="Times New Roman"/>
          <w:sz w:val="28"/>
          <w:szCs w:val="28"/>
          <w:lang w:val="uk-UA"/>
        </w:rPr>
        <w:lastRenderedPageBreak/>
        <w:t>питання щодо виду з найбільш оптимальними умовами для інвестування коштів. У роботах [8,</w:t>
      </w:r>
      <w:r w:rsidR="00DD13DC"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9] запропоновано методику, що дозволяє поєднати традиційні методи фінансового та банківського інвестування з управлінськими рішеннями у економічній діяльності різних сфер господарювання. За допомогою зазначеної методики проведемо оцінку інвестиційної привабливості шести видів економічної діяльності сільськогосподарської галузі. </w:t>
      </w:r>
    </w:p>
    <w:p w14:paraId="2872521D"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Однією із основних теорій на сучасному фондовому ринку інвестицій є концепція оптимального портфелю залучення інвестицій. Започатковано зазначену концепцію у працях лауреата Нобелівської премії з економіки, американського економіста Г. </w:t>
      </w:r>
      <w:proofErr w:type="spellStart"/>
      <w:r w:rsidRPr="005F0419">
        <w:rPr>
          <w:rFonts w:ascii="Times New Roman" w:hAnsi="Times New Roman" w:cs="Times New Roman"/>
          <w:sz w:val="28"/>
          <w:szCs w:val="28"/>
          <w:lang w:val="uk-UA"/>
        </w:rPr>
        <w:t>Марковіца</w:t>
      </w:r>
      <w:proofErr w:type="spellEnd"/>
      <w:r w:rsidRPr="005F0419">
        <w:rPr>
          <w:rFonts w:ascii="Times New Roman" w:hAnsi="Times New Roman" w:cs="Times New Roman"/>
          <w:sz w:val="28"/>
          <w:szCs w:val="28"/>
          <w:lang w:val="uk-UA"/>
        </w:rPr>
        <w:t xml:space="preserve"> [22, 23]. За допомогою оптимізаційних економіко-математичних методів він обґрунтовано показав, що інвестиції у декілька видів акцій або господарських об’єктів (диверсифікація) є менш ризикованою операцією на відміну від інвестування одного, навіть більш прибуткового та надійного проекту. Ефективним (оптимальним) або домінуючим, за означенням Г. </w:t>
      </w:r>
      <w:proofErr w:type="spellStart"/>
      <w:r w:rsidRPr="005F0419">
        <w:rPr>
          <w:rFonts w:ascii="Times New Roman" w:hAnsi="Times New Roman" w:cs="Times New Roman"/>
          <w:sz w:val="28"/>
          <w:szCs w:val="28"/>
          <w:lang w:val="uk-UA"/>
        </w:rPr>
        <w:t>Марковіца</w:t>
      </w:r>
      <w:proofErr w:type="spellEnd"/>
      <w:r w:rsidRPr="005F0419">
        <w:rPr>
          <w:rFonts w:ascii="Times New Roman" w:hAnsi="Times New Roman" w:cs="Times New Roman"/>
          <w:sz w:val="28"/>
          <w:szCs w:val="28"/>
          <w:lang w:val="uk-UA"/>
        </w:rPr>
        <w:t xml:space="preserve">, є портфель інвестицій, що забезпечує максимальний прибуток для заданого рівня ризику. Згідно теорії двоїстості має сенс  споріднена задача отримання портфелю інвестицій з  мінімальним ризиком для заданого рівня прибутковості. У подальшому портфельна теорія диверсифікації інвестицій доповнювалась та удосконалювалась дослідниками у галузі інвестиційної діяльності, а загальні її припущення було застосовано для вирішення реальних економічних ситуацій щодо залучення коштів в господарчі галузі. </w:t>
      </w:r>
    </w:p>
    <w:p w14:paraId="44C4F149"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Модель </w:t>
      </w:r>
      <w:proofErr w:type="spellStart"/>
      <w:r w:rsidRPr="005F0419">
        <w:rPr>
          <w:rFonts w:ascii="Times New Roman" w:hAnsi="Times New Roman" w:cs="Times New Roman"/>
          <w:sz w:val="28"/>
          <w:szCs w:val="28"/>
          <w:lang w:val="uk-UA"/>
        </w:rPr>
        <w:t>Марковіца</w:t>
      </w:r>
      <w:proofErr w:type="spellEnd"/>
      <w:r w:rsidRPr="005F0419">
        <w:rPr>
          <w:rFonts w:ascii="Times New Roman" w:hAnsi="Times New Roman" w:cs="Times New Roman"/>
          <w:sz w:val="28"/>
          <w:szCs w:val="28"/>
          <w:lang w:val="uk-UA"/>
        </w:rPr>
        <w:t>, що традиційно використовується в банківській справі, фінансово-інвестиційній діяльності та фондовому ринку, може бути використана для аналізу інвестиційної привабливості галузей сільського господарства. Так, прибутковість цінного паперу аналогічна прибутковості суб’єктів господарської діяльності підприємств сільського господарства, мисливства та надання пов’язаних із ними послуг. Ризик цінного паперу кожного виду акцій аналогічний ризику вкладення інвестицій в одну із шести перелічених вище галузей господарської діяльності підприємств сільського господарства.</w:t>
      </w:r>
    </w:p>
    <w:p w14:paraId="526953B0"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Прибутковість та рівень ризику інвестицій у фінансову діяльність галузей господарської діяльності підприємств сільського господарства обчислюється за наступною схемою. Розраховуємо прибутковість кожної із шести галузей в кожному році за формулою:</w:t>
      </w:r>
    </w:p>
    <w:p w14:paraId="2DBC5C6F" w14:textId="11E16013" w:rsidR="00113886" w:rsidRPr="005F0419" w:rsidRDefault="00113886" w:rsidP="00113886">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position w:val="-38"/>
          <w:sz w:val="28"/>
          <w:szCs w:val="28"/>
          <w:lang w:val="uk-UA"/>
        </w:rPr>
        <w:object w:dxaOrig="1719" w:dyaOrig="859" w14:anchorId="30E4DA8B">
          <v:shape id="_x0000_i1026" type="#_x0000_t75" style="width:86.25pt;height:42pt" o:ole="">
            <v:imagedata r:id="rId146" o:title=""/>
          </v:shape>
          <o:OLEObject Type="Embed" ProgID="Equation.3" ShapeID="_x0000_i1026" DrawAspect="Content" ObjectID="_1773432088" r:id="rId147"/>
        </w:object>
      </w:r>
      <w:r w:rsidRPr="005F0419">
        <w:rPr>
          <w:rFonts w:ascii="Times New Roman" w:hAnsi="Times New Roman" w:cs="Times New Roman"/>
          <w:sz w:val="28"/>
          <w:szCs w:val="28"/>
          <w:lang w:val="uk-UA"/>
        </w:rPr>
        <w:t>,</w:t>
      </w:r>
      <w:r w:rsidR="00DD13DC" w:rsidRPr="005F0419">
        <w:rPr>
          <w:rFonts w:ascii="Times New Roman" w:hAnsi="Times New Roman" w:cs="Times New Roman"/>
          <w:sz w:val="28"/>
          <w:szCs w:val="28"/>
          <w:lang w:val="uk-UA"/>
        </w:rPr>
        <w:t xml:space="preserve">              (1)</w:t>
      </w:r>
    </w:p>
    <w:p w14:paraId="2E32CB78" w14:textId="64B045D4" w:rsidR="00113886" w:rsidRPr="005F0419" w:rsidRDefault="00113886" w:rsidP="00DD13D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w:proofErr w:type="spellStart"/>
      <w:r w:rsidRPr="005F0419">
        <w:rPr>
          <w:rFonts w:ascii="Times New Roman" w:hAnsi="Times New Roman" w:cs="Times New Roman"/>
          <w:sz w:val="28"/>
          <w:szCs w:val="28"/>
          <w:lang w:val="uk-UA"/>
        </w:rPr>
        <w:t>Пр</w:t>
      </w:r>
      <w:r w:rsidRPr="005F0419">
        <w:rPr>
          <w:rFonts w:ascii="Times New Roman" w:hAnsi="Times New Roman" w:cs="Times New Roman"/>
          <w:sz w:val="28"/>
          <w:szCs w:val="28"/>
          <w:vertAlign w:val="subscript"/>
          <w:lang w:val="uk-UA"/>
        </w:rPr>
        <w:t>ij</w:t>
      </w:r>
      <w:proofErr w:type="spellEnd"/>
      <w:r w:rsidRPr="005F0419">
        <w:rPr>
          <w:rFonts w:ascii="Times New Roman" w:hAnsi="Times New Roman" w:cs="Times New Roman"/>
          <w:sz w:val="28"/>
          <w:szCs w:val="28"/>
          <w:lang w:val="uk-UA"/>
        </w:rPr>
        <w:t xml:space="preserve"> – прибутковість </w:t>
      </w:r>
      <w:r w:rsidRPr="005F0419">
        <w:rPr>
          <w:rFonts w:ascii="Times New Roman" w:hAnsi="Times New Roman" w:cs="Times New Roman"/>
          <w:i/>
          <w:sz w:val="28"/>
          <w:szCs w:val="28"/>
          <w:lang w:val="uk-UA"/>
        </w:rPr>
        <w:t>і</w:t>
      </w:r>
      <w:r w:rsidRPr="005F0419">
        <w:rPr>
          <w:rFonts w:ascii="Times New Roman" w:hAnsi="Times New Roman" w:cs="Times New Roman"/>
          <w:sz w:val="28"/>
          <w:szCs w:val="28"/>
          <w:lang w:val="uk-UA"/>
        </w:rPr>
        <w:t>-</w:t>
      </w:r>
      <w:proofErr w:type="spellStart"/>
      <w:r w:rsidRPr="005F0419">
        <w:rPr>
          <w:rFonts w:ascii="Times New Roman" w:hAnsi="Times New Roman" w:cs="Times New Roman"/>
          <w:sz w:val="28"/>
          <w:szCs w:val="28"/>
          <w:lang w:val="uk-UA"/>
        </w:rPr>
        <w:t>ої</w:t>
      </w:r>
      <w:proofErr w:type="spellEnd"/>
      <w:r w:rsidRPr="005F0419">
        <w:rPr>
          <w:rFonts w:ascii="Times New Roman" w:hAnsi="Times New Roman" w:cs="Times New Roman"/>
          <w:sz w:val="28"/>
          <w:szCs w:val="28"/>
          <w:lang w:val="uk-UA"/>
        </w:rPr>
        <w:t xml:space="preserve"> галузі в </w:t>
      </w:r>
      <w:r w:rsidRPr="005F0419">
        <w:rPr>
          <w:rFonts w:ascii="Times New Roman" w:hAnsi="Times New Roman" w:cs="Times New Roman"/>
          <w:i/>
          <w:sz w:val="28"/>
          <w:szCs w:val="28"/>
          <w:lang w:val="uk-UA"/>
        </w:rPr>
        <w:t>j</w:t>
      </w:r>
      <w:r w:rsidRPr="005F0419">
        <w:rPr>
          <w:rFonts w:ascii="Times New Roman" w:hAnsi="Times New Roman" w:cs="Times New Roman"/>
          <w:sz w:val="28"/>
          <w:szCs w:val="28"/>
          <w:lang w:val="uk-UA"/>
        </w:rPr>
        <w:t xml:space="preserve">-му році; </w:t>
      </w:r>
      <w:proofErr w:type="spellStart"/>
      <w:r w:rsidRPr="005F0419">
        <w:rPr>
          <w:rFonts w:ascii="Times New Roman" w:hAnsi="Times New Roman" w:cs="Times New Roman"/>
          <w:sz w:val="28"/>
          <w:szCs w:val="28"/>
          <w:lang w:val="uk-UA"/>
        </w:rPr>
        <w:t>ЧПр</w:t>
      </w:r>
      <w:r w:rsidRPr="005F0419">
        <w:rPr>
          <w:rFonts w:ascii="Times New Roman" w:hAnsi="Times New Roman" w:cs="Times New Roman"/>
          <w:sz w:val="28"/>
          <w:szCs w:val="28"/>
          <w:vertAlign w:val="subscript"/>
          <w:lang w:val="uk-UA"/>
        </w:rPr>
        <w:t>ij</w:t>
      </w:r>
      <w:proofErr w:type="spellEnd"/>
      <w:r w:rsidRPr="005F0419">
        <w:rPr>
          <w:rFonts w:ascii="Times New Roman" w:hAnsi="Times New Roman" w:cs="Times New Roman"/>
          <w:sz w:val="28"/>
          <w:szCs w:val="28"/>
          <w:lang w:val="uk-UA"/>
        </w:rPr>
        <w:t xml:space="preserve"> – чистий прибуток (збиток) </w:t>
      </w:r>
      <w:r w:rsidRPr="005F0419">
        <w:rPr>
          <w:rFonts w:ascii="Times New Roman" w:hAnsi="Times New Roman" w:cs="Times New Roman"/>
          <w:i/>
          <w:sz w:val="28"/>
          <w:szCs w:val="28"/>
          <w:lang w:val="uk-UA"/>
        </w:rPr>
        <w:t>і</w:t>
      </w:r>
      <w:r w:rsidRPr="005F0419">
        <w:rPr>
          <w:rFonts w:ascii="Times New Roman" w:hAnsi="Times New Roman" w:cs="Times New Roman"/>
          <w:sz w:val="28"/>
          <w:szCs w:val="28"/>
          <w:lang w:val="uk-UA"/>
        </w:rPr>
        <w:t>-</w:t>
      </w:r>
      <w:proofErr w:type="spellStart"/>
      <w:r w:rsidRPr="005F0419">
        <w:rPr>
          <w:rFonts w:ascii="Times New Roman" w:hAnsi="Times New Roman" w:cs="Times New Roman"/>
          <w:sz w:val="28"/>
          <w:szCs w:val="28"/>
          <w:lang w:val="uk-UA"/>
        </w:rPr>
        <w:t>ої</w:t>
      </w:r>
      <w:proofErr w:type="spellEnd"/>
      <w:r w:rsidRPr="005F0419">
        <w:rPr>
          <w:rFonts w:ascii="Times New Roman" w:hAnsi="Times New Roman" w:cs="Times New Roman"/>
          <w:sz w:val="28"/>
          <w:szCs w:val="28"/>
          <w:lang w:val="uk-UA"/>
        </w:rPr>
        <w:t xml:space="preserve"> галузі в </w:t>
      </w:r>
      <w:r w:rsidRPr="005F0419">
        <w:rPr>
          <w:rFonts w:ascii="Times New Roman" w:hAnsi="Times New Roman" w:cs="Times New Roman"/>
          <w:i/>
          <w:sz w:val="28"/>
          <w:szCs w:val="28"/>
          <w:lang w:val="uk-UA"/>
        </w:rPr>
        <w:t>j</w:t>
      </w:r>
      <w:r w:rsidRPr="005F0419">
        <w:rPr>
          <w:rFonts w:ascii="Times New Roman" w:hAnsi="Times New Roman" w:cs="Times New Roman"/>
          <w:sz w:val="28"/>
          <w:szCs w:val="28"/>
          <w:lang w:val="uk-UA"/>
        </w:rPr>
        <w:t xml:space="preserve">-му році; </w:t>
      </w:r>
      <w:proofErr w:type="spellStart"/>
      <w:r w:rsidRPr="005F0419">
        <w:rPr>
          <w:rFonts w:ascii="Times New Roman" w:hAnsi="Times New Roman" w:cs="Times New Roman"/>
          <w:sz w:val="28"/>
          <w:szCs w:val="28"/>
          <w:lang w:val="uk-UA"/>
        </w:rPr>
        <w:t>ОРПр</w:t>
      </w:r>
      <w:r w:rsidRPr="005F0419">
        <w:rPr>
          <w:rFonts w:ascii="Times New Roman" w:hAnsi="Times New Roman" w:cs="Times New Roman"/>
          <w:sz w:val="28"/>
          <w:szCs w:val="28"/>
          <w:vertAlign w:val="subscript"/>
          <w:lang w:val="uk-UA"/>
        </w:rPr>
        <w:t>ij</w:t>
      </w:r>
      <w:proofErr w:type="spellEnd"/>
      <w:r w:rsidRPr="005F0419">
        <w:rPr>
          <w:rFonts w:ascii="Times New Roman" w:hAnsi="Times New Roman" w:cs="Times New Roman"/>
          <w:sz w:val="28"/>
          <w:szCs w:val="28"/>
          <w:lang w:val="uk-UA"/>
        </w:rPr>
        <w:t xml:space="preserve"> – обсяг реалізованої продукції </w:t>
      </w:r>
      <w:r w:rsidRPr="005F0419">
        <w:rPr>
          <w:rFonts w:ascii="Times New Roman" w:hAnsi="Times New Roman" w:cs="Times New Roman"/>
          <w:i/>
          <w:sz w:val="28"/>
          <w:szCs w:val="28"/>
          <w:lang w:val="uk-UA"/>
        </w:rPr>
        <w:t>і</w:t>
      </w:r>
      <w:r w:rsidRPr="005F0419">
        <w:rPr>
          <w:rFonts w:ascii="Times New Roman" w:hAnsi="Times New Roman" w:cs="Times New Roman"/>
          <w:sz w:val="28"/>
          <w:szCs w:val="28"/>
          <w:lang w:val="uk-UA"/>
        </w:rPr>
        <w:t>-</w:t>
      </w:r>
      <w:proofErr w:type="spellStart"/>
      <w:r w:rsidRPr="005F0419">
        <w:rPr>
          <w:rFonts w:ascii="Times New Roman" w:hAnsi="Times New Roman" w:cs="Times New Roman"/>
          <w:sz w:val="28"/>
          <w:szCs w:val="28"/>
          <w:lang w:val="uk-UA"/>
        </w:rPr>
        <w:t>ої</w:t>
      </w:r>
      <w:proofErr w:type="spellEnd"/>
      <w:r w:rsidRPr="005F0419">
        <w:rPr>
          <w:rFonts w:ascii="Times New Roman" w:hAnsi="Times New Roman" w:cs="Times New Roman"/>
          <w:sz w:val="28"/>
          <w:szCs w:val="28"/>
          <w:lang w:val="uk-UA"/>
        </w:rPr>
        <w:t xml:space="preserve"> галузі в </w:t>
      </w:r>
      <w:r w:rsidRPr="005F0419">
        <w:rPr>
          <w:rFonts w:ascii="Times New Roman" w:hAnsi="Times New Roman" w:cs="Times New Roman"/>
          <w:i/>
          <w:sz w:val="28"/>
          <w:szCs w:val="28"/>
          <w:lang w:val="uk-UA"/>
        </w:rPr>
        <w:t>j</w:t>
      </w:r>
      <w:r w:rsidRPr="005F0419">
        <w:rPr>
          <w:rFonts w:ascii="Times New Roman" w:hAnsi="Times New Roman" w:cs="Times New Roman"/>
          <w:sz w:val="28"/>
          <w:szCs w:val="28"/>
          <w:lang w:val="uk-UA"/>
        </w:rPr>
        <w:t>-му році (</w:t>
      </w:r>
      <w:r w:rsidRPr="005F0419">
        <w:rPr>
          <w:rFonts w:ascii="Times New Roman" w:hAnsi="Times New Roman" w:cs="Times New Roman"/>
          <w:i/>
          <w:sz w:val="28"/>
          <w:szCs w:val="28"/>
          <w:lang w:val="uk-UA"/>
        </w:rPr>
        <w:t xml:space="preserve">і </w:t>
      </w:r>
      <w:r w:rsidRPr="005F0419">
        <w:rPr>
          <w:rFonts w:ascii="Times New Roman" w:hAnsi="Times New Roman" w:cs="Times New Roman"/>
          <w:sz w:val="28"/>
          <w:szCs w:val="28"/>
          <w:lang w:val="uk-UA"/>
        </w:rPr>
        <w:t xml:space="preserve">= 1, 2, 3, 4, 5, 6; </w:t>
      </w:r>
      <w:r w:rsidRPr="005F0419">
        <w:rPr>
          <w:rFonts w:ascii="Times New Roman" w:hAnsi="Times New Roman" w:cs="Times New Roman"/>
          <w:i/>
          <w:sz w:val="28"/>
          <w:szCs w:val="28"/>
          <w:lang w:val="uk-UA"/>
        </w:rPr>
        <w:t xml:space="preserve">j </w:t>
      </w:r>
      <w:r w:rsidRPr="005F0419">
        <w:rPr>
          <w:rFonts w:ascii="Times New Roman" w:hAnsi="Times New Roman" w:cs="Times New Roman"/>
          <w:sz w:val="28"/>
          <w:szCs w:val="28"/>
          <w:lang w:val="uk-UA"/>
        </w:rPr>
        <w:t>= 1, 2, 3, 4, 5, 6, 7, 8, 9, 10, 11, 12).</w:t>
      </w:r>
    </w:p>
    <w:p w14:paraId="6DB47676"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Визначаємо середню прибутковість </w:t>
      </w:r>
      <w:r w:rsidRPr="005F0419">
        <w:rPr>
          <w:rFonts w:ascii="Times New Roman" w:hAnsi="Times New Roman" w:cs="Times New Roman"/>
          <w:i/>
          <w:sz w:val="28"/>
          <w:szCs w:val="28"/>
          <w:lang w:val="uk-UA"/>
        </w:rPr>
        <w:t>і</w:t>
      </w:r>
      <w:r w:rsidRPr="005F0419">
        <w:rPr>
          <w:rFonts w:ascii="Times New Roman" w:hAnsi="Times New Roman" w:cs="Times New Roman"/>
          <w:sz w:val="28"/>
          <w:szCs w:val="28"/>
          <w:lang w:val="uk-UA"/>
        </w:rPr>
        <w:t>-</w:t>
      </w:r>
      <w:proofErr w:type="spellStart"/>
      <w:r w:rsidRPr="005F0419">
        <w:rPr>
          <w:rFonts w:ascii="Times New Roman" w:hAnsi="Times New Roman" w:cs="Times New Roman"/>
          <w:sz w:val="28"/>
          <w:szCs w:val="28"/>
          <w:lang w:val="uk-UA"/>
        </w:rPr>
        <w:t>ої</w:t>
      </w:r>
      <w:proofErr w:type="spellEnd"/>
      <w:r w:rsidRPr="005F0419">
        <w:rPr>
          <w:rFonts w:ascii="Times New Roman" w:hAnsi="Times New Roman" w:cs="Times New Roman"/>
          <w:sz w:val="28"/>
          <w:szCs w:val="28"/>
          <w:lang w:val="uk-UA"/>
        </w:rPr>
        <w:t xml:space="preserve"> галузі за дванадцять років за формулою середнього арифметичного:</w:t>
      </w:r>
    </w:p>
    <w:p w14:paraId="3F316BBA" w14:textId="11995AAD" w:rsidR="00113886" w:rsidRPr="005F0419" w:rsidRDefault="00113886" w:rsidP="00113886">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position w:val="-30"/>
          <w:sz w:val="28"/>
          <w:szCs w:val="28"/>
          <w:lang w:val="uk-UA"/>
        </w:rPr>
        <w:object w:dxaOrig="1640" w:dyaOrig="740" w14:anchorId="56A0D6E5">
          <v:shape id="_x0000_i1027" type="#_x0000_t75" style="width:82.5pt;height:36.75pt" o:ole="">
            <v:imagedata r:id="rId148" o:title=""/>
          </v:shape>
          <o:OLEObject Type="Embed" ProgID="Equation.3" ShapeID="_x0000_i1027" DrawAspect="Content" ObjectID="_1773432089" r:id="rId149"/>
        </w:object>
      </w:r>
      <w:r w:rsidRPr="005F0419">
        <w:rPr>
          <w:rFonts w:ascii="Times New Roman" w:hAnsi="Times New Roman" w:cs="Times New Roman"/>
          <w:sz w:val="28"/>
          <w:szCs w:val="28"/>
          <w:lang w:val="uk-UA"/>
        </w:rPr>
        <w:t>.</w:t>
      </w:r>
      <w:r w:rsidR="00DD13DC" w:rsidRPr="005F0419">
        <w:rPr>
          <w:rFonts w:ascii="Times New Roman" w:hAnsi="Times New Roman" w:cs="Times New Roman"/>
          <w:sz w:val="28"/>
          <w:szCs w:val="28"/>
          <w:lang w:val="uk-UA"/>
        </w:rPr>
        <w:t xml:space="preserve">             (2)</w:t>
      </w:r>
    </w:p>
    <w:p w14:paraId="65FE96E9"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Обчислюємо середню частку кожного виду економічної діяльності за дванадцять років:</w:t>
      </w:r>
    </w:p>
    <w:p w14:paraId="72F04866" w14:textId="0C05507D" w:rsidR="00113886" w:rsidRPr="005F0419" w:rsidRDefault="00113886" w:rsidP="00113886">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position w:val="-30"/>
          <w:sz w:val="28"/>
          <w:szCs w:val="28"/>
          <w:lang w:val="uk-UA"/>
        </w:rPr>
        <w:object w:dxaOrig="1660" w:dyaOrig="740" w14:anchorId="7360E535">
          <v:shape id="_x0000_i1028" type="#_x0000_t75" style="width:83.25pt;height:36.75pt" o:ole="">
            <v:imagedata r:id="rId150" o:title=""/>
          </v:shape>
          <o:OLEObject Type="Embed" ProgID="Equation.3" ShapeID="_x0000_i1028" DrawAspect="Content" ObjectID="_1773432090" r:id="rId151"/>
        </w:object>
      </w:r>
      <w:r w:rsidRPr="005F0419">
        <w:rPr>
          <w:rFonts w:ascii="Times New Roman" w:hAnsi="Times New Roman" w:cs="Times New Roman"/>
          <w:sz w:val="28"/>
          <w:szCs w:val="28"/>
          <w:lang w:val="uk-UA"/>
        </w:rPr>
        <w:t xml:space="preserve">, </w:t>
      </w:r>
      <w:r w:rsidR="00DD13DC" w:rsidRPr="005F0419">
        <w:rPr>
          <w:rFonts w:ascii="Times New Roman" w:hAnsi="Times New Roman" w:cs="Times New Roman"/>
          <w:sz w:val="28"/>
          <w:szCs w:val="28"/>
          <w:lang w:val="uk-UA"/>
        </w:rPr>
        <w:t xml:space="preserve">         (3)</w:t>
      </w:r>
    </w:p>
    <w:p w14:paraId="07167681" w14:textId="77777777" w:rsidR="00113886" w:rsidRPr="005F0419" w:rsidRDefault="00113886" w:rsidP="00DD13D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w:proofErr w:type="spellStart"/>
      <w:r w:rsidRPr="005F0419">
        <w:rPr>
          <w:rFonts w:ascii="Times New Roman" w:hAnsi="Times New Roman" w:cs="Times New Roman"/>
          <w:sz w:val="28"/>
          <w:szCs w:val="28"/>
          <w:lang w:val="uk-UA"/>
        </w:rPr>
        <w:t>w</w:t>
      </w:r>
      <w:r w:rsidRPr="005F0419">
        <w:rPr>
          <w:rFonts w:ascii="Times New Roman" w:hAnsi="Times New Roman" w:cs="Times New Roman"/>
          <w:sz w:val="28"/>
          <w:szCs w:val="28"/>
          <w:vertAlign w:val="subscript"/>
          <w:lang w:val="uk-UA"/>
        </w:rPr>
        <w:t>ij</w:t>
      </w:r>
      <w:proofErr w:type="spellEnd"/>
      <w:r w:rsidRPr="005F0419">
        <w:rPr>
          <w:rFonts w:ascii="Times New Roman" w:hAnsi="Times New Roman" w:cs="Times New Roman"/>
          <w:sz w:val="28"/>
          <w:szCs w:val="28"/>
          <w:lang w:val="uk-UA"/>
        </w:rPr>
        <w:t xml:space="preserve"> є часткою, що займає галузь у загальному виробництві продукції (товарів послуг) та знаходиться як відношення обсягу реалізованої продукції </w:t>
      </w:r>
      <w:r w:rsidRPr="005F0419">
        <w:rPr>
          <w:rFonts w:ascii="Times New Roman" w:hAnsi="Times New Roman" w:cs="Times New Roman"/>
          <w:i/>
          <w:sz w:val="28"/>
          <w:szCs w:val="28"/>
          <w:lang w:val="uk-UA"/>
        </w:rPr>
        <w:t>і</w:t>
      </w:r>
      <w:r w:rsidRPr="005F0419">
        <w:rPr>
          <w:rFonts w:ascii="Times New Roman" w:hAnsi="Times New Roman" w:cs="Times New Roman"/>
          <w:sz w:val="28"/>
          <w:szCs w:val="28"/>
          <w:lang w:val="uk-UA"/>
        </w:rPr>
        <w:t>-</w:t>
      </w:r>
      <w:proofErr w:type="spellStart"/>
      <w:r w:rsidRPr="005F0419">
        <w:rPr>
          <w:rFonts w:ascii="Times New Roman" w:hAnsi="Times New Roman" w:cs="Times New Roman"/>
          <w:sz w:val="28"/>
          <w:szCs w:val="28"/>
          <w:lang w:val="uk-UA"/>
        </w:rPr>
        <w:t>ої</w:t>
      </w:r>
      <w:proofErr w:type="spellEnd"/>
      <w:r w:rsidRPr="005F0419">
        <w:rPr>
          <w:rFonts w:ascii="Times New Roman" w:hAnsi="Times New Roman" w:cs="Times New Roman"/>
          <w:sz w:val="28"/>
          <w:szCs w:val="28"/>
          <w:lang w:val="uk-UA"/>
        </w:rPr>
        <w:t xml:space="preserve"> галузі в </w:t>
      </w:r>
      <w:r w:rsidRPr="005F0419">
        <w:rPr>
          <w:rFonts w:ascii="Times New Roman" w:hAnsi="Times New Roman" w:cs="Times New Roman"/>
          <w:i/>
          <w:sz w:val="28"/>
          <w:szCs w:val="28"/>
          <w:lang w:val="uk-UA"/>
        </w:rPr>
        <w:t>j</w:t>
      </w:r>
      <w:r w:rsidRPr="005F0419">
        <w:rPr>
          <w:rFonts w:ascii="Times New Roman" w:hAnsi="Times New Roman" w:cs="Times New Roman"/>
          <w:sz w:val="28"/>
          <w:szCs w:val="28"/>
          <w:lang w:val="uk-UA"/>
        </w:rPr>
        <w:t xml:space="preserve">-му році до загального обсягу реалізованої продукції в </w:t>
      </w:r>
      <w:proofErr w:type="spellStart"/>
      <w:r w:rsidRPr="005F0419">
        <w:rPr>
          <w:rFonts w:ascii="Times New Roman" w:hAnsi="Times New Roman" w:cs="Times New Roman"/>
          <w:sz w:val="28"/>
          <w:szCs w:val="28"/>
          <w:lang w:val="uk-UA"/>
        </w:rPr>
        <w:t>в</w:t>
      </w:r>
      <w:proofErr w:type="spellEnd"/>
      <w:r w:rsidRPr="005F0419">
        <w:rPr>
          <w:rFonts w:ascii="Times New Roman" w:hAnsi="Times New Roman" w:cs="Times New Roman"/>
          <w:sz w:val="28"/>
          <w:szCs w:val="28"/>
          <w:lang w:val="uk-UA"/>
        </w:rPr>
        <w:t xml:space="preserve"> </w:t>
      </w:r>
      <w:r w:rsidRPr="005F0419">
        <w:rPr>
          <w:rFonts w:ascii="Times New Roman" w:hAnsi="Times New Roman" w:cs="Times New Roman"/>
          <w:i/>
          <w:sz w:val="28"/>
          <w:szCs w:val="28"/>
          <w:lang w:val="uk-UA"/>
        </w:rPr>
        <w:t>j</w:t>
      </w:r>
      <w:r w:rsidRPr="005F0419">
        <w:rPr>
          <w:rFonts w:ascii="Times New Roman" w:hAnsi="Times New Roman" w:cs="Times New Roman"/>
          <w:sz w:val="28"/>
          <w:szCs w:val="28"/>
          <w:lang w:val="uk-UA"/>
        </w:rPr>
        <w:t xml:space="preserve">-му році всіх галузей господарської діяльності підприємств сільського господарства (і = 1, 2, 3, 4, 5, 6; j = 1, 2, 3, 4, 5, 6, 7, 8, 9, 10, 11, 12). </w:t>
      </w:r>
    </w:p>
    <w:p w14:paraId="03CCF9AD" w14:textId="77777777" w:rsidR="00113886" w:rsidRPr="005F0419" w:rsidRDefault="00113886" w:rsidP="00113886">
      <w:pPr>
        <w:spacing w:after="0" w:line="360" w:lineRule="auto"/>
        <w:ind w:firstLine="708"/>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Загальна прибутковість інвестицій, що вкладені у галузь сільського господарства, обчислюємо за формулою середньозваженого, тобто це є сума добутків середньої прибутковості галузей на частку, що вони займають у загальному виробництві продукції (товарів послуг) сільського господарства:</w:t>
      </w:r>
    </w:p>
    <w:p w14:paraId="699307E9" w14:textId="320D98DF" w:rsidR="00113886" w:rsidRPr="005F0419" w:rsidRDefault="00113886" w:rsidP="00113886">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position w:val="-26"/>
          <w:sz w:val="28"/>
          <w:szCs w:val="28"/>
          <w:lang w:val="uk-UA"/>
        </w:rPr>
        <w:object w:dxaOrig="1460" w:dyaOrig="660" w14:anchorId="6746102C">
          <v:shape id="_x0000_i1029" type="#_x0000_t75" style="width:73.5pt;height:32.25pt" o:ole="">
            <v:imagedata r:id="rId152" o:title=""/>
          </v:shape>
          <o:OLEObject Type="Embed" ProgID="Equation.3" ShapeID="_x0000_i1029" DrawAspect="Content" ObjectID="_1773432091" r:id="rId153"/>
        </w:object>
      </w:r>
      <w:r w:rsidRPr="005F0419">
        <w:rPr>
          <w:rFonts w:ascii="Times New Roman" w:hAnsi="Times New Roman" w:cs="Times New Roman"/>
          <w:sz w:val="28"/>
          <w:szCs w:val="28"/>
          <w:lang w:val="uk-UA"/>
        </w:rPr>
        <w:t>.</w:t>
      </w:r>
      <w:r w:rsidR="00DD13DC" w:rsidRPr="005F0419">
        <w:rPr>
          <w:rFonts w:ascii="Times New Roman" w:hAnsi="Times New Roman" w:cs="Times New Roman"/>
          <w:sz w:val="28"/>
          <w:szCs w:val="28"/>
          <w:lang w:val="uk-UA"/>
        </w:rPr>
        <w:t xml:space="preserve">    (4)</w:t>
      </w:r>
    </w:p>
    <w:p w14:paraId="48A359F9"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Ризик кожного виду економічної діяльності в моделі розраховується як середнє квадратичне відхилення прибутковості за дванадцять років. Саме цей </w:t>
      </w:r>
      <w:r w:rsidRPr="005F0419">
        <w:rPr>
          <w:rFonts w:ascii="Times New Roman" w:hAnsi="Times New Roman" w:cs="Times New Roman"/>
          <w:sz w:val="28"/>
          <w:szCs w:val="28"/>
          <w:lang w:val="uk-UA"/>
        </w:rPr>
        <w:lastRenderedPageBreak/>
        <w:t>статистичний показник є оцінкою коливань рівня прибутковості капіталовкладень у ту чи іншу галузь та показує ступінь ризику капіталовкладень у досліджуваний сектор економічної діяльності.</w:t>
      </w:r>
    </w:p>
    <w:p w14:paraId="3DBF879D"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Загальний рівень ризику вкладення інвестицій у всі галузі господарської діяльності підприємств сільського господарства обчислюється за формулою:</w:t>
      </w:r>
    </w:p>
    <w:p w14:paraId="77C269EC" w14:textId="0815B201" w:rsidR="00113886" w:rsidRPr="005F0419" w:rsidRDefault="00113886" w:rsidP="00DD13DC">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position w:val="-30"/>
          <w:sz w:val="28"/>
          <w:szCs w:val="28"/>
          <w:lang w:val="uk-UA"/>
        </w:rPr>
        <w:object w:dxaOrig="5000" w:dyaOrig="700" w14:anchorId="05E753CF">
          <v:shape id="_x0000_i1030" type="#_x0000_t75" style="width:250.5pt;height:34.5pt" o:ole="">
            <v:imagedata r:id="rId154" o:title=""/>
          </v:shape>
          <o:OLEObject Type="Embed" ProgID="Equation.3" ShapeID="_x0000_i1030" DrawAspect="Content" ObjectID="_1773432092" r:id="rId155"/>
        </w:object>
      </w:r>
      <w:r w:rsidRPr="005F0419">
        <w:rPr>
          <w:rFonts w:ascii="Times New Roman" w:hAnsi="Times New Roman" w:cs="Times New Roman"/>
          <w:sz w:val="28"/>
          <w:szCs w:val="28"/>
          <w:lang w:val="uk-UA"/>
        </w:rPr>
        <w:t>,</w:t>
      </w:r>
      <w:r w:rsidR="00DD13DC" w:rsidRPr="005F0419">
        <w:rPr>
          <w:rFonts w:ascii="Times New Roman" w:hAnsi="Times New Roman" w:cs="Times New Roman"/>
          <w:sz w:val="28"/>
          <w:szCs w:val="28"/>
          <w:lang w:val="uk-UA"/>
        </w:rPr>
        <w:t xml:space="preserve">   (5)</w:t>
      </w:r>
    </w:p>
    <w:p w14:paraId="78668568" w14:textId="77777777" w:rsidR="00113886" w:rsidRPr="005F0419" w:rsidRDefault="00113886" w:rsidP="00DD13D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w:proofErr w:type="spellStart"/>
      <w:r w:rsidRPr="005F0419">
        <w:rPr>
          <w:rFonts w:ascii="Times New Roman" w:hAnsi="Times New Roman" w:cs="Times New Roman"/>
          <w:sz w:val="28"/>
          <w:szCs w:val="28"/>
          <w:lang w:val="uk-UA"/>
        </w:rPr>
        <w:t>w</w:t>
      </w:r>
      <w:r w:rsidRPr="005F0419">
        <w:rPr>
          <w:rFonts w:ascii="Times New Roman" w:hAnsi="Times New Roman" w:cs="Times New Roman"/>
          <w:sz w:val="28"/>
          <w:szCs w:val="28"/>
          <w:vertAlign w:val="subscript"/>
          <w:lang w:val="uk-UA"/>
        </w:rPr>
        <w:t>i</w:t>
      </w:r>
      <w:proofErr w:type="spellEnd"/>
      <w:r w:rsidRPr="005F0419">
        <w:rPr>
          <w:rFonts w:ascii="Times New Roman" w:hAnsi="Times New Roman" w:cs="Times New Roman"/>
          <w:sz w:val="28"/>
          <w:szCs w:val="28"/>
          <w:lang w:val="uk-UA"/>
        </w:rPr>
        <w:t xml:space="preserve"> – середня частка </w:t>
      </w:r>
      <w:r w:rsidRPr="005F0419">
        <w:rPr>
          <w:rFonts w:ascii="Times New Roman" w:hAnsi="Times New Roman" w:cs="Times New Roman"/>
          <w:i/>
          <w:sz w:val="28"/>
          <w:szCs w:val="28"/>
          <w:lang w:val="uk-UA"/>
        </w:rPr>
        <w:t>і</w:t>
      </w:r>
      <w:r w:rsidRPr="005F0419">
        <w:rPr>
          <w:rFonts w:ascii="Times New Roman" w:hAnsi="Times New Roman" w:cs="Times New Roman"/>
          <w:sz w:val="28"/>
          <w:szCs w:val="28"/>
          <w:lang w:val="uk-UA"/>
        </w:rPr>
        <w:t>-</w:t>
      </w:r>
      <w:proofErr w:type="spellStart"/>
      <w:r w:rsidRPr="005F0419">
        <w:rPr>
          <w:rFonts w:ascii="Times New Roman" w:hAnsi="Times New Roman" w:cs="Times New Roman"/>
          <w:sz w:val="28"/>
          <w:szCs w:val="28"/>
          <w:lang w:val="uk-UA"/>
        </w:rPr>
        <w:t>ої</w:t>
      </w:r>
      <w:proofErr w:type="spellEnd"/>
      <w:r w:rsidRPr="005F0419">
        <w:rPr>
          <w:rFonts w:ascii="Times New Roman" w:hAnsi="Times New Roman" w:cs="Times New Roman"/>
          <w:sz w:val="28"/>
          <w:szCs w:val="28"/>
          <w:lang w:val="uk-UA"/>
        </w:rPr>
        <w:t xml:space="preserve"> галузі; </w:t>
      </w:r>
      <w:proofErr w:type="spellStart"/>
      <w:r w:rsidRPr="005F0419">
        <w:rPr>
          <w:rFonts w:ascii="Times New Roman" w:hAnsi="Times New Roman" w:cs="Times New Roman"/>
          <w:sz w:val="28"/>
          <w:szCs w:val="28"/>
          <w:lang w:val="uk-UA"/>
        </w:rPr>
        <w:t>σ</w:t>
      </w:r>
      <w:r w:rsidRPr="005F0419">
        <w:rPr>
          <w:rFonts w:ascii="Times New Roman" w:hAnsi="Times New Roman" w:cs="Times New Roman"/>
          <w:sz w:val="28"/>
          <w:szCs w:val="28"/>
          <w:vertAlign w:val="subscript"/>
          <w:lang w:val="uk-UA"/>
        </w:rPr>
        <w:t>і</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σ</w:t>
      </w:r>
      <w:r w:rsidRPr="005F0419">
        <w:rPr>
          <w:rFonts w:ascii="Times New Roman" w:hAnsi="Times New Roman" w:cs="Times New Roman"/>
          <w:sz w:val="28"/>
          <w:szCs w:val="28"/>
          <w:vertAlign w:val="subscript"/>
          <w:lang w:val="uk-UA"/>
        </w:rPr>
        <w:t>j</w:t>
      </w:r>
      <w:proofErr w:type="spellEnd"/>
      <w:r w:rsidRPr="005F0419">
        <w:rPr>
          <w:rFonts w:ascii="Times New Roman" w:hAnsi="Times New Roman" w:cs="Times New Roman"/>
          <w:sz w:val="28"/>
          <w:szCs w:val="28"/>
          <w:lang w:val="uk-UA"/>
        </w:rPr>
        <w:t xml:space="preserve"> – середнє квадратичне відхилення відповідної галузі; </w:t>
      </w:r>
      <w:proofErr w:type="spellStart"/>
      <w:r w:rsidRPr="005F0419">
        <w:rPr>
          <w:rFonts w:ascii="Times New Roman" w:hAnsi="Times New Roman" w:cs="Times New Roman"/>
          <w:sz w:val="28"/>
          <w:szCs w:val="28"/>
          <w:lang w:val="uk-UA"/>
        </w:rPr>
        <w:t>ρ</w:t>
      </w:r>
      <w:r w:rsidRPr="005F0419">
        <w:rPr>
          <w:rFonts w:ascii="Times New Roman" w:hAnsi="Times New Roman" w:cs="Times New Roman"/>
          <w:sz w:val="28"/>
          <w:szCs w:val="28"/>
          <w:vertAlign w:val="subscript"/>
          <w:lang w:val="uk-UA"/>
        </w:rPr>
        <w:t>ij</w:t>
      </w:r>
      <w:proofErr w:type="spellEnd"/>
      <w:r w:rsidRPr="005F0419">
        <w:rPr>
          <w:rFonts w:ascii="Times New Roman" w:hAnsi="Times New Roman" w:cs="Times New Roman"/>
          <w:i/>
          <w:sz w:val="28"/>
          <w:szCs w:val="28"/>
          <w:vertAlign w:val="subscript"/>
          <w:lang w:val="uk-UA"/>
        </w:rPr>
        <w:t xml:space="preserve"> </w:t>
      </w:r>
      <w:r w:rsidRPr="005F0419">
        <w:rPr>
          <w:rFonts w:ascii="Times New Roman" w:hAnsi="Times New Roman" w:cs="Times New Roman"/>
          <w:sz w:val="28"/>
          <w:szCs w:val="28"/>
          <w:lang w:val="uk-UA"/>
        </w:rPr>
        <w:t>– коефіцієнт кореляції між рівнем прибутковості галузей сільськогосподарської індустрії.</w:t>
      </w:r>
    </w:p>
    <w:p w14:paraId="1018DE98" w14:textId="2A37E84A" w:rsidR="00113886" w:rsidRPr="005F0419" w:rsidRDefault="00113886" w:rsidP="00113886">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ab/>
        <w:t>Роз’яснимо з математичної точки зору, чому саме коефіцієнт кореляції  між рівнем прибутковості галузей сільськогосподарської індустрії впливає на загальний рівень  ризику вкладення інвестицій. Саме коефіцієнт кореляції відображає ступінь взаємозв’язку між рівнем прибутковості галузей сільського господарства. За допомогою  електронних таблиць MS EXCEL, а саме інструмента «Кореляція» вбудованої вставки «Аналіз даних» знайдено досліджувані коефіцієнти (</w:t>
      </w:r>
      <w:r w:rsidR="00DD13DC" w:rsidRPr="005F0419">
        <w:rPr>
          <w:rFonts w:ascii="Times New Roman" w:hAnsi="Times New Roman" w:cs="Times New Roman"/>
          <w:sz w:val="28"/>
          <w:szCs w:val="28"/>
          <w:lang w:val="uk-UA"/>
        </w:rPr>
        <w:t>т</w:t>
      </w:r>
      <w:r w:rsidRPr="005F0419">
        <w:rPr>
          <w:rFonts w:ascii="Times New Roman" w:hAnsi="Times New Roman" w:cs="Times New Roman"/>
          <w:sz w:val="28"/>
          <w:szCs w:val="28"/>
          <w:lang w:val="uk-UA"/>
        </w:rPr>
        <w:t>абл</w:t>
      </w:r>
      <w:r w:rsidR="00DD13DC"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7).</w:t>
      </w:r>
    </w:p>
    <w:p w14:paraId="252031C8" w14:textId="77777777" w:rsidR="00113886" w:rsidRPr="005F0419" w:rsidRDefault="00113886" w:rsidP="00113886">
      <w:pPr>
        <w:spacing w:after="0" w:line="360" w:lineRule="auto"/>
        <w:ind w:firstLine="709"/>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Таблиця 7</w:t>
      </w:r>
    </w:p>
    <w:p w14:paraId="5F2280D9"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Матриця коефіцієнтів кореляції  між рівнем прибутковості галузей сільського господарства</w:t>
      </w:r>
    </w:p>
    <w:tbl>
      <w:tblPr>
        <w:tblW w:w="6265" w:type="dxa"/>
        <w:tblInd w:w="1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986"/>
        <w:gridCol w:w="986"/>
        <w:gridCol w:w="986"/>
        <w:gridCol w:w="907"/>
        <w:gridCol w:w="850"/>
        <w:gridCol w:w="821"/>
      </w:tblGrid>
      <w:tr w:rsidR="00113886" w:rsidRPr="005F0419" w14:paraId="2744EF3F" w14:textId="77777777" w:rsidTr="00DD13DC">
        <w:trPr>
          <w:trHeight w:val="288"/>
        </w:trPr>
        <w:tc>
          <w:tcPr>
            <w:tcW w:w="729" w:type="dxa"/>
            <w:shd w:val="clear" w:color="auto" w:fill="auto"/>
            <w:vAlign w:val="center"/>
          </w:tcPr>
          <w:p w14:paraId="64065D4E"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c>
          <w:tcPr>
            <w:tcW w:w="986" w:type="dxa"/>
            <w:shd w:val="clear" w:color="auto" w:fill="auto"/>
            <w:noWrap/>
            <w:vAlign w:val="center"/>
          </w:tcPr>
          <w:p w14:paraId="63366E26"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01.1</w:t>
            </w:r>
          </w:p>
        </w:tc>
        <w:tc>
          <w:tcPr>
            <w:tcW w:w="986" w:type="dxa"/>
            <w:shd w:val="clear" w:color="auto" w:fill="auto"/>
            <w:noWrap/>
            <w:vAlign w:val="center"/>
          </w:tcPr>
          <w:p w14:paraId="3A2C8876"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01.2</w:t>
            </w:r>
          </w:p>
        </w:tc>
        <w:tc>
          <w:tcPr>
            <w:tcW w:w="986" w:type="dxa"/>
            <w:shd w:val="clear" w:color="auto" w:fill="auto"/>
            <w:noWrap/>
            <w:vAlign w:val="center"/>
          </w:tcPr>
          <w:p w14:paraId="597BFCD8"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01.3</w:t>
            </w:r>
          </w:p>
        </w:tc>
        <w:tc>
          <w:tcPr>
            <w:tcW w:w="907" w:type="dxa"/>
            <w:shd w:val="clear" w:color="auto" w:fill="auto"/>
            <w:noWrap/>
            <w:vAlign w:val="center"/>
          </w:tcPr>
          <w:p w14:paraId="049FCC7B"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01.4</w:t>
            </w:r>
          </w:p>
        </w:tc>
        <w:tc>
          <w:tcPr>
            <w:tcW w:w="850" w:type="dxa"/>
            <w:shd w:val="clear" w:color="auto" w:fill="auto"/>
            <w:noWrap/>
            <w:vAlign w:val="center"/>
          </w:tcPr>
          <w:p w14:paraId="01742E47"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01.5</w:t>
            </w:r>
          </w:p>
        </w:tc>
        <w:tc>
          <w:tcPr>
            <w:tcW w:w="821" w:type="dxa"/>
            <w:shd w:val="clear" w:color="auto" w:fill="auto"/>
            <w:noWrap/>
            <w:vAlign w:val="center"/>
          </w:tcPr>
          <w:p w14:paraId="612017FB"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01.6</w:t>
            </w:r>
          </w:p>
        </w:tc>
      </w:tr>
      <w:tr w:rsidR="00113886" w:rsidRPr="005F0419" w14:paraId="69825895" w14:textId="77777777" w:rsidTr="00DD13DC">
        <w:trPr>
          <w:trHeight w:val="288"/>
        </w:trPr>
        <w:tc>
          <w:tcPr>
            <w:tcW w:w="729" w:type="dxa"/>
            <w:shd w:val="clear" w:color="auto" w:fill="auto"/>
            <w:vAlign w:val="center"/>
          </w:tcPr>
          <w:p w14:paraId="1A9B1AE2"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01.1</w:t>
            </w:r>
          </w:p>
        </w:tc>
        <w:tc>
          <w:tcPr>
            <w:tcW w:w="986" w:type="dxa"/>
            <w:shd w:val="clear" w:color="auto" w:fill="auto"/>
            <w:noWrap/>
            <w:vAlign w:val="center"/>
            <w:hideMark/>
          </w:tcPr>
          <w:p w14:paraId="4B62FF28"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1,00</w:t>
            </w:r>
          </w:p>
        </w:tc>
        <w:tc>
          <w:tcPr>
            <w:tcW w:w="986" w:type="dxa"/>
            <w:shd w:val="clear" w:color="auto" w:fill="auto"/>
            <w:noWrap/>
            <w:vAlign w:val="center"/>
            <w:hideMark/>
          </w:tcPr>
          <w:p w14:paraId="2FE37E12"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c>
          <w:tcPr>
            <w:tcW w:w="986" w:type="dxa"/>
            <w:shd w:val="clear" w:color="auto" w:fill="auto"/>
            <w:noWrap/>
            <w:vAlign w:val="center"/>
            <w:hideMark/>
          </w:tcPr>
          <w:p w14:paraId="45683887"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c>
          <w:tcPr>
            <w:tcW w:w="907" w:type="dxa"/>
            <w:shd w:val="clear" w:color="auto" w:fill="auto"/>
            <w:noWrap/>
            <w:vAlign w:val="center"/>
            <w:hideMark/>
          </w:tcPr>
          <w:p w14:paraId="4A4D7187"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c>
          <w:tcPr>
            <w:tcW w:w="850" w:type="dxa"/>
            <w:shd w:val="clear" w:color="auto" w:fill="auto"/>
            <w:noWrap/>
            <w:vAlign w:val="center"/>
            <w:hideMark/>
          </w:tcPr>
          <w:p w14:paraId="180923C2"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c>
          <w:tcPr>
            <w:tcW w:w="821" w:type="dxa"/>
            <w:shd w:val="clear" w:color="auto" w:fill="auto"/>
            <w:noWrap/>
            <w:vAlign w:val="center"/>
            <w:hideMark/>
          </w:tcPr>
          <w:p w14:paraId="31AD898B"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r>
      <w:tr w:rsidR="00113886" w:rsidRPr="005F0419" w14:paraId="6A603F0D" w14:textId="77777777" w:rsidTr="00DD13DC">
        <w:trPr>
          <w:trHeight w:val="288"/>
        </w:trPr>
        <w:tc>
          <w:tcPr>
            <w:tcW w:w="729" w:type="dxa"/>
            <w:shd w:val="clear" w:color="auto" w:fill="auto"/>
            <w:vAlign w:val="center"/>
          </w:tcPr>
          <w:p w14:paraId="488D4A15"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01.2</w:t>
            </w:r>
          </w:p>
        </w:tc>
        <w:tc>
          <w:tcPr>
            <w:tcW w:w="986" w:type="dxa"/>
            <w:shd w:val="clear" w:color="auto" w:fill="auto"/>
            <w:noWrap/>
            <w:vAlign w:val="center"/>
            <w:hideMark/>
          </w:tcPr>
          <w:p w14:paraId="6F5FEE6E"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-0,42</w:t>
            </w:r>
          </w:p>
        </w:tc>
        <w:tc>
          <w:tcPr>
            <w:tcW w:w="986" w:type="dxa"/>
            <w:shd w:val="clear" w:color="auto" w:fill="auto"/>
            <w:noWrap/>
            <w:vAlign w:val="center"/>
            <w:hideMark/>
          </w:tcPr>
          <w:p w14:paraId="4E4AD3E4"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1,00</w:t>
            </w:r>
          </w:p>
        </w:tc>
        <w:tc>
          <w:tcPr>
            <w:tcW w:w="986" w:type="dxa"/>
            <w:shd w:val="clear" w:color="auto" w:fill="auto"/>
            <w:noWrap/>
            <w:vAlign w:val="center"/>
            <w:hideMark/>
          </w:tcPr>
          <w:p w14:paraId="27AFBB41"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c>
          <w:tcPr>
            <w:tcW w:w="907" w:type="dxa"/>
            <w:shd w:val="clear" w:color="auto" w:fill="auto"/>
            <w:noWrap/>
            <w:vAlign w:val="center"/>
            <w:hideMark/>
          </w:tcPr>
          <w:p w14:paraId="1BAF75E5"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c>
          <w:tcPr>
            <w:tcW w:w="850" w:type="dxa"/>
            <w:shd w:val="clear" w:color="auto" w:fill="auto"/>
            <w:noWrap/>
            <w:vAlign w:val="center"/>
            <w:hideMark/>
          </w:tcPr>
          <w:p w14:paraId="354A9E65"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c>
          <w:tcPr>
            <w:tcW w:w="821" w:type="dxa"/>
            <w:shd w:val="clear" w:color="auto" w:fill="auto"/>
            <w:noWrap/>
            <w:vAlign w:val="center"/>
            <w:hideMark/>
          </w:tcPr>
          <w:p w14:paraId="0AAB581E"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r>
      <w:tr w:rsidR="00113886" w:rsidRPr="005F0419" w14:paraId="17CE2B01" w14:textId="77777777" w:rsidTr="00DD13DC">
        <w:trPr>
          <w:trHeight w:val="288"/>
        </w:trPr>
        <w:tc>
          <w:tcPr>
            <w:tcW w:w="729" w:type="dxa"/>
            <w:shd w:val="clear" w:color="auto" w:fill="auto"/>
            <w:vAlign w:val="center"/>
          </w:tcPr>
          <w:p w14:paraId="095FD2DB"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01.3</w:t>
            </w:r>
          </w:p>
        </w:tc>
        <w:tc>
          <w:tcPr>
            <w:tcW w:w="986" w:type="dxa"/>
            <w:shd w:val="clear" w:color="auto" w:fill="auto"/>
            <w:noWrap/>
            <w:vAlign w:val="center"/>
            <w:hideMark/>
          </w:tcPr>
          <w:p w14:paraId="3C28DC13"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0,01</w:t>
            </w:r>
          </w:p>
        </w:tc>
        <w:tc>
          <w:tcPr>
            <w:tcW w:w="986" w:type="dxa"/>
            <w:shd w:val="clear" w:color="auto" w:fill="auto"/>
            <w:noWrap/>
            <w:vAlign w:val="center"/>
            <w:hideMark/>
          </w:tcPr>
          <w:p w14:paraId="068F8771"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0,60</w:t>
            </w:r>
          </w:p>
        </w:tc>
        <w:tc>
          <w:tcPr>
            <w:tcW w:w="986" w:type="dxa"/>
            <w:shd w:val="clear" w:color="auto" w:fill="auto"/>
            <w:noWrap/>
            <w:vAlign w:val="center"/>
            <w:hideMark/>
          </w:tcPr>
          <w:p w14:paraId="4B4BB8EA"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1,00</w:t>
            </w:r>
          </w:p>
        </w:tc>
        <w:tc>
          <w:tcPr>
            <w:tcW w:w="907" w:type="dxa"/>
            <w:shd w:val="clear" w:color="auto" w:fill="auto"/>
            <w:noWrap/>
            <w:vAlign w:val="center"/>
            <w:hideMark/>
          </w:tcPr>
          <w:p w14:paraId="3301D20F"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c>
          <w:tcPr>
            <w:tcW w:w="850" w:type="dxa"/>
            <w:shd w:val="clear" w:color="auto" w:fill="auto"/>
            <w:noWrap/>
            <w:vAlign w:val="center"/>
            <w:hideMark/>
          </w:tcPr>
          <w:p w14:paraId="67E45640"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c>
          <w:tcPr>
            <w:tcW w:w="821" w:type="dxa"/>
            <w:shd w:val="clear" w:color="auto" w:fill="auto"/>
            <w:noWrap/>
            <w:vAlign w:val="center"/>
            <w:hideMark/>
          </w:tcPr>
          <w:p w14:paraId="3DCDB60F" w14:textId="77777777" w:rsidR="00113886" w:rsidRPr="005F0419" w:rsidRDefault="00113886" w:rsidP="00113886">
            <w:pPr>
              <w:spacing w:after="0" w:line="360" w:lineRule="auto"/>
              <w:jc w:val="center"/>
              <w:rPr>
                <w:rFonts w:ascii="Times New Roman" w:hAnsi="Times New Roman" w:cs="Times New Roman"/>
                <w:sz w:val="28"/>
                <w:szCs w:val="28"/>
                <w:lang w:val="uk-UA"/>
              </w:rPr>
            </w:pPr>
          </w:p>
        </w:tc>
      </w:tr>
      <w:tr w:rsidR="00113886" w:rsidRPr="005F0419" w14:paraId="7898C31E" w14:textId="77777777" w:rsidTr="00DD13DC">
        <w:trPr>
          <w:trHeight w:val="288"/>
        </w:trPr>
        <w:tc>
          <w:tcPr>
            <w:tcW w:w="729" w:type="dxa"/>
            <w:shd w:val="clear" w:color="auto" w:fill="auto"/>
            <w:vAlign w:val="center"/>
          </w:tcPr>
          <w:p w14:paraId="5B5478C3" w14:textId="77777777" w:rsidR="00113886" w:rsidRPr="005F0419" w:rsidRDefault="00113886" w:rsidP="00113886">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01.4</w:t>
            </w:r>
          </w:p>
        </w:tc>
        <w:tc>
          <w:tcPr>
            <w:tcW w:w="986" w:type="dxa"/>
            <w:shd w:val="clear" w:color="auto" w:fill="auto"/>
            <w:noWrap/>
            <w:vAlign w:val="center"/>
            <w:hideMark/>
          </w:tcPr>
          <w:p w14:paraId="52A9C1E8"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0,06</w:t>
            </w:r>
          </w:p>
        </w:tc>
        <w:tc>
          <w:tcPr>
            <w:tcW w:w="986" w:type="dxa"/>
            <w:shd w:val="clear" w:color="auto" w:fill="auto"/>
            <w:noWrap/>
            <w:vAlign w:val="center"/>
            <w:hideMark/>
          </w:tcPr>
          <w:p w14:paraId="5580BECA"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0,74</w:t>
            </w:r>
          </w:p>
        </w:tc>
        <w:tc>
          <w:tcPr>
            <w:tcW w:w="986" w:type="dxa"/>
            <w:shd w:val="clear" w:color="auto" w:fill="auto"/>
            <w:noWrap/>
            <w:vAlign w:val="center"/>
            <w:hideMark/>
          </w:tcPr>
          <w:p w14:paraId="47243F99"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0,51</w:t>
            </w:r>
          </w:p>
        </w:tc>
        <w:tc>
          <w:tcPr>
            <w:tcW w:w="907" w:type="dxa"/>
            <w:shd w:val="clear" w:color="auto" w:fill="auto"/>
            <w:noWrap/>
            <w:vAlign w:val="bottom"/>
            <w:hideMark/>
          </w:tcPr>
          <w:p w14:paraId="54A89FDB" w14:textId="77777777" w:rsidR="00113886" w:rsidRPr="005F0419" w:rsidRDefault="00113886" w:rsidP="00113886">
            <w:pPr>
              <w:spacing w:after="0" w:line="360" w:lineRule="auto"/>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1,00</w:t>
            </w:r>
          </w:p>
        </w:tc>
        <w:tc>
          <w:tcPr>
            <w:tcW w:w="850" w:type="dxa"/>
            <w:shd w:val="clear" w:color="auto" w:fill="auto"/>
            <w:noWrap/>
            <w:vAlign w:val="bottom"/>
            <w:hideMark/>
          </w:tcPr>
          <w:p w14:paraId="64097524" w14:textId="77777777" w:rsidR="00113886" w:rsidRPr="005F0419" w:rsidRDefault="00113886" w:rsidP="00113886">
            <w:pPr>
              <w:spacing w:after="0" w:line="360" w:lineRule="auto"/>
              <w:jc w:val="right"/>
              <w:rPr>
                <w:rFonts w:ascii="Times New Roman" w:hAnsi="Times New Roman" w:cs="Times New Roman"/>
                <w:sz w:val="28"/>
                <w:szCs w:val="28"/>
                <w:lang w:val="uk-UA"/>
              </w:rPr>
            </w:pPr>
          </w:p>
        </w:tc>
        <w:tc>
          <w:tcPr>
            <w:tcW w:w="821" w:type="dxa"/>
            <w:shd w:val="clear" w:color="auto" w:fill="auto"/>
            <w:noWrap/>
            <w:vAlign w:val="bottom"/>
            <w:hideMark/>
          </w:tcPr>
          <w:p w14:paraId="59DFC516" w14:textId="77777777" w:rsidR="00113886" w:rsidRPr="005F0419" w:rsidRDefault="00113886" w:rsidP="00113886">
            <w:pPr>
              <w:spacing w:after="0" w:line="360" w:lineRule="auto"/>
              <w:rPr>
                <w:rFonts w:ascii="Times New Roman" w:hAnsi="Times New Roman" w:cs="Times New Roman"/>
                <w:sz w:val="28"/>
                <w:szCs w:val="28"/>
                <w:lang w:val="uk-UA"/>
              </w:rPr>
            </w:pPr>
          </w:p>
        </w:tc>
      </w:tr>
      <w:tr w:rsidR="00113886" w:rsidRPr="005F0419" w14:paraId="1A57BE26" w14:textId="77777777" w:rsidTr="00DD13DC">
        <w:trPr>
          <w:trHeight w:val="288"/>
        </w:trPr>
        <w:tc>
          <w:tcPr>
            <w:tcW w:w="729" w:type="dxa"/>
            <w:shd w:val="clear" w:color="auto" w:fill="auto"/>
            <w:vAlign w:val="center"/>
          </w:tcPr>
          <w:p w14:paraId="178245D8" w14:textId="77777777" w:rsidR="00113886" w:rsidRPr="005F0419" w:rsidRDefault="00113886" w:rsidP="00113886">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01.5</w:t>
            </w:r>
          </w:p>
        </w:tc>
        <w:tc>
          <w:tcPr>
            <w:tcW w:w="986" w:type="dxa"/>
            <w:shd w:val="clear" w:color="auto" w:fill="auto"/>
            <w:noWrap/>
            <w:vAlign w:val="center"/>
            <w:hideMark/>
          </w:tcPr>
          <w:p w14:paraId="7BBE3154"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0,12</w:t>
            </w:r>
          </w:p>
        </w:tc>
        <w:tc>
          <w:tcPr>
            <w:tcW w:w="986" w:type="dxa"/>
            <w:shd w:val="clear" w:color="auto" w:fill="auto"/>
            <w:noWrap/>
            <w:vAlign w:val="center"/>
            <w:hideMark/>
          </w:tcPr>
          <w:p w14:paraId="4A7756C1"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-0,69</w:t>
            </w:r>
          </w:p>
        </w:tc>
        <w:tc>
          <w:tcPr>
            <w:tcW w:w="986" w:type="dxa"/>
            <w:shd w:val="clear" w:color="auto" w:fill="auto"/>
            <w:noWrap/>
            <w:vAlign w:val="center"/>
            <w:hideMark/>
          </w:tcPr>
          <w:p w14:paraId="5F48120A"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-0,37</w:t>
            </w:r>
          </w:p>
        </w:tc>
        <w:tc>
          <w:tcPr>
            <w:tcW w:w="907" w:type="dxa"/>
            <w:shd w:val="clear" w:color="auto" w:fill="auto"/>
            <w:noWrap/>
            <w:vAlign w:val="center"/>
            <w:hideMark/>
          </w:tcPr>
          <w:p w14:paraId="6AE8E0FF"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-0,47</w:t>
            </w:r>
          </w:p>
        </w:tc>
        <w:tc>
          <w:tcPr>
            <w:tcW w:w="850" w:type="dxa"/>
            <w:shd w:val="clear" w:color="auto" w:fill="auto"/>
            <w:noWrap/>
            <w:vAlign w:val="center"/>
            <w:hideMark/>
          </w:tcPr>
          <w:p w14:paraId="030C8EE7"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1,00</w:t>
            </w:r>
          </w:p>
        </w:tc>
        <w:tc>
          <w:tcPr>
            <w:tcW w:w="821" w:type="dxa"/>
            <w:shd w:val="clear" w:color="auto" w:fill="auto"/>
            <w:noWrap/>
            <w:vAlign w:val="bottom"/>
            <w:hideMark/>
          </w:tcPr>
          <w:p w14:paraId="13D2D590" w14:textId="77777777" w:rsidR="00113886" w:rsidRPr="005F0419" w:rsidRDefault="00113886" w:rsidP="00113886">
            <w:pPr>
              <w:spacing w:after="0" w:line="360" w:lineRule="auto"/>
              <w:jc w:val="right"/>
              <w:rPr>
                <w:rFonts w:ascii="Times New Roman" w:hAnsi="Times New Roman" w:cs="Times New Roman"/>
                <w:sz w:val="28"/>
                <w:szCs w:val="28"/>
                <w:lang w:val="uk-UA"/>
              </w:rPr>
            </w:pPr>
          </w:p>
        </w:tc>
      </w:tr>
      <w:tr w:rsidR="00113886" w:rsidRPr="005F0419" w14:paraId="3D088F3D" w14:textId="77777777" w:rsidTr="00DD13DC">
        <w:trPr>
          <w:trHeight w:val="300"/>
        </w:trPr>
        <w:tc>
          <w:tcPr>
            <w:tcW w:w="729" w:type="dxa"/>
            <w:shd w:val="clear" w:color="auto" w:fill="auto"/>
            <w:vAlign w:val="center"/>
          </w:tcPr>
          <w:p w14:paraId="33267133" w14:textId="77777777" w:rsidR="00113886" w:rsidRPr="005F0419" w:rsidRDefault="00113886" w:rsidP="00113886">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01.6</w:t>
            </w:r>
          </w:p>
        </w:tc>
        <w:tc>
          <w:tcPr>
            <w:tcW w:w="986" w:type="dxa"/>
            <w:shd w:val="clear" w:color="auto" w:fill="auto"/>
            <w:noWrap/>
            <w:vAlign w:val="center"/>
            <w:hideMark/>
          </w:tcPr>
          <w:p w14:paraId="64D1909C"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0,39</w:t>
            </w:r>
          </w:p>
        </w:tc>
        <w:tc>
          <w:tcPr>
            <w:tcW w:w="986" w:type="dxa"/>
            <w:shd w:val="clear" w:color="auto" w:fill="auto"/>
            <w:noWrap/>
            <w:vAlign w:val="center"/>
            <w:hideMark/>
          </w:tcPr>
          <w:p w14:paraId="56A59DC4"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-0,57</w:t>
            </w:r>
          </w:p>
        </w:tc>
        <w:tc>
          <w:tcPr>
            <w:tcW w:w="986" w:type="dxa"/>
            <w:shd w:val="clear" w:color="auto" w:fill="auto"/>
            <w:noWrap/>
            <w:vAlign w:val="center"/>
            <w:hideMark/>
          </w:tcPr>
          <w:p w14:paraId="2AA25407"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-0,11</w:t>
            </w:r>
          </w:p>
        </w:tc>
        <w:tc>
          <w:tcPr>
            <w:tcW w:w="907" w:type="dxa"/>
            <w:shd w:val="clear" w:color="auto" w:fill="auto"/>
            <w:noWrap/>
            <w:vAlign w:val="center"/>
            <w:hideMark/>
          </w:tcPr>
          <w:p w14:paraId="307E52A2"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-0,24</w:t>
            </w:r>
          </w:p>
        </w:tc>
        <w:tc>
          <w:tcPr>
            <w:tcW w:w="850" w:type="dxa"/>
            <w:shd w:val="clear" w:color="auto" w:fill="auto"/>
            <w:noWrap/>
            <w:vAlign w:val="center"/>
            <w:hideMark/>
          </w:tcPr>
          <w:p w14:paraId="7934CC44"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0,84</w:t>
            </w:r>
          </w:p>
        </w:tc>
        <w:tc>
          <w:tcPr>
            <w:tcW w:w="821" w:type="dxa"/>
            <w:shd w:val="clear" w:color="auto" w:fill="auto"/>
            <w:noWrap/>
            <w:vAlign w:val="center"/>
            <w:hideMark/>
          </w:tcPr>
          <w:p w14:paraId="798D4E7A"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1,00</w:t>
            </w:r>
          </w:p>
        </w:tc>
      </w:tr>
    </w:tbl>
    <w:p w14:paraId="0C6BE6D0" w14:textId="77777777" w:rsidR="00113886" w:rsidRPr="005F0419" w:rsidRDefault="00113886" w:rsidP="00DD13DC">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обчислено за даними Державної служби статистики України [21].</w:t>
      </w:r>
    </w:p>
    <w:p w14:paraId="503E36EB" w14:textId="77777777" w:rsidR="00DD13DC" w:rsidRPr="005F0419" w:rsidRDefault="00DD13DC" w:rsidP="00113886">
      <w:pPr>
        <w:spacing w:after="0" w:line="360" w:lineRule="auto"/>
        <w:ind w:firstLine="709"/>
        <w:jc w:val="both"/>
        <w:rPr>
          <w:rFonts w:ascii="Times New Roman" w:hAnsi="Times New Roman" w:cs="Times New Roman"/>
          <w:sz w:val="28"/>
          <w:szCs w:val="28"/>
          <w:lang w:val="uk-UA"/>
        </w:rPr>
      </w:pPr>
    </w:p>
    <w:p w14:paraId="483C3E90" w14:textId="55C70CAD" w:rsidR="00DD13DC"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Зробимо аналіз отриманих показників. </w:t>
      </w:r>
    </w:p>
    <w:p w14:paraId="22827043" w14:textId="5973BD91"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Перша галузь  «Вирощування однорічних і дворічних культур» має досить щільний від’ємний зв’язок з другою галуззю «Вирощування багаторічних культур», що показує </w:t>
      </w:r>
      <w:proofErr w:type="spellStart"/>
      <w:r w:rsidRPr="005F0419">
        <w:rPr>
          <w:rFonts w:ascii="Times New Roman" w:hAnsi="Times New Roman" w:cs="Times New Roman"/>
          <w:sz w:val="28"/>
          <w:szCs w:val="28"/>
          <w:lang w:val="uk-UA"/>
        </w:rPr>
        <w:t>конкурентність</w:t>
      </w:r>
      <w:proofErr w:type="spellEnd"/>
      <w:r w:rsidRPr="005F0419">
        <w:rPr>
          <w:rFonts w:ascii="Times New Roman" w:hAnsi="Times New Roman" w:cs="Times New Roman"/>
          <w:sz w:val="28"/>
          <w:szCs w:val="28"/>
          <w:lang w:val="uk-UA"/>
        </w:rPr>
        <w:t xml:space="preserve"> цих галузей у сфері залучення інвестицій та отримання прибутку з них. Також перша галузь щільно співпрацює з шостою «Допоміжна діяльність у сільському господарстві», що є цілком природнім, оскільки продуктивна діяльність шостої галузі є запорукою отримання прибутку для першої.</w:t>
      </w:r>
    </w:p>
    <w:p w14:paraId="011984BF"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Друга галузь  «Вирощування багаторічних культур» має щільний позитивний зв’язок з третьою «Відтворення рослин» та четвертою «Тваринництво». Це цілком зрозуміло, оскільки для посадки дерев використовуються саджанці, а це є продукцією третьої галузі, а деяка частина зібраної продукції потрапляє для вигодовування тварин. </w:t>
      </w:r>
    </w:p>
    <w:p w14:paraId="4B065506"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той же час, від’ємний досить щільний зв’язок спостерігається з п’ятою та шостою галуззю. Це свідчить про те, що аграрні підприємства другої галузі «Вирощування багаторічних культур» є досить потужними у фінансовому та технічному плані та не потребують залучення додаткових засобів виробництва, які надають саме п’ята та шоста галузі.</w:t>
      </w:r>
    </w:p>
    <w:p w14:paraId="4CF8A584"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Третя галузь «Відтворення рослин» має досить щільний зв’язок у отриманні прибутку з четвертою «Тваринництво», що свідчить про те, що деяка частина третьої галузі потрапляє для відгодовування тварин, а відходи тваринництва використовуються як органічні добрива для посадки рослин.</w:t>
      </w:r>
    </w:p>
    <w:p w14:paraId="79F29231"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Четверта галузь «Тваринництво» має досить щільний зв’язок з п’ятою «Змішане сільське господарство», оскільки до змішаного входить і частина господарств, продукція яких відноситься до тваринництва, а також змішане сільське виробництво охоплює, в деякій мірі, виробництво різноманітних кормових сумішей для свійських тварин.</w:t>
      </w:r>
    </w:p>
    <w:p w14:paraId="69DF4873"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П’ята галузь «Змішане сільське господарство» щільно співпрацює з шостою «Допоміжна діяльність у сільському господарстві» з метою отримання високого рівня прибутковості інвестицій.</w:t>
      </w:r>
    </w:p>
    <w:p w14:paraId="35EB5E49"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Проведений аналіз показує, що галузі сільського господарства виступають як єдиний економічний механізм, іноді конкуруючи, а іноді доповнюючи одна іншу з метою отримання високого рівня прибутковості від вкладених коштів. Тому використання концепції оптимального портфелю залучення інвестицій Г. </w:t>
      </w:r>
      <w:proofErr w:type="spellStart"/>
      <w:r w:rsidRPr="005F0419">
        <w:rPr>
          <w:rFonts w:ascii="Times New Roman" w:hAnsi="Times New Roman" w:cs="Times New Roman"/>
          <w:sz w:val="28"/>
          <w:szCs w:val="28"/>
          <w:lang w:val="uk-UA"/>
        </w:rPr>
        <w:t>Марковица</w:t>
      </w:r>
      <w:proofErr w:type="spellEnd"/>
      <w:r w:rsidRPr="005F0419">
        <w:rPr>
          <w:rFonts w:ascii="Times New Roman" w:hAnsi="Times New Roman" w:cs="Times New Roman"/>
          <w:sz w:val="28"/>
          <w:szCs w:val="28"/>
          <w:lang w:val="uk-UA"/>
        </w:rPr>
        <w:t xml:space="preserve"> буде доречним для визначення найбільш оптимального плану залучення інвестицій.</w:t>
      </w:r>
    </w:p>
    <w:p w14:paraId="218CEFB0"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обчислення необхідних для аналізу характеристик фінансово-економічної діяльності галузей сільського господарства на основі статистичних даних Державної служби статистики України [21]  застосовано електронні таблиці MS EXCEL. Отримані результати обчислень наведено у таблиці 8.</w:t>
      </w:r>
    </w:p>
    <w:p w14:paraId="7B1B7817" w14:textId="77777777" w:rsidR="00113886" w:rsidRPr="005F0419" w:rsidRDefault="00113886" w:rsidP="00113886">
      <w:pPr>
        <w:spacing w:after="0" w:line="360" w:lineRule="auto"/>
        <w:ind w:firstLine="709"/>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Таблиця 8</w:t>
      </w:r>
    </w:p>
    <w:p w14:paraId="67DAFB92" w14:textId="6161F204"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Показники інвестиційної привабливості сільськогосподарських підприємств</w:t>
      </w:r>
      <w:r w:rsidR="00DD13DC" w:rsidRPr="005F0419">
        <w:rPr>
          <w:rFonts w:ascii="Times New Roman" w:hAnsi="Times New Roman" w:cs="Times New Roman"/>
          <w:sz w:val="28"/>
          <w:szCs w:val="28"/>
          <w:lang w:val="uk-UA"/>
        </w:rPr>
        <w:t>, %</w:t>
      </w:r>
    </w:p>
    <w:tbl>
      <w:tblPr>
        <w:tblW w:w="5046" w:type="pct"/>
        <w:tblInd w:w="-5"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4043"/>
        <w:gridCol w:w="1890"/>
        <w:gridCol w:w="1633"/>
        <w:gridCol w:w="2151"/>
      </w:tblGrid>
      <w:tr w:rsidR="00113886" w:rsidRPr="005F0419" w14:paraId="4EE835B7" w14:textId="77777777" w:rsidTr="00113886">
        <w:trPr>
          <w:trHeight w:val="288"/>
        </w:trPr>
        <w:tc>
          <w:tcPr>
            <w:tcW w:w="20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F1FB8F"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Види економічної діяльності</w:t>
            </w:r>
          </w:p>
        </w:tc>
        <w:tc>
          <w:tcPr>
            <w:tcW w:w="97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C4C8FE4" w14:textId="77777777"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Прибут</w:t>
            </w:r>
            <w:proofErr w:type="spellEnd"/>
            <w:r w:rsidRPr="005F0419">
              <w:rPr>
                <w:rFonts w:ascii="Times New Roman" w:eastAsia="Times New Roman" w:hAnsi="Times New Roman" w:cs="Times New Roman"/>
                <w:sz w:val="28"/>
                <w:szCs w:val="28"/>
                <w:lang w:val="uk-UA"/>
              </w:rPr>
              <w:t>-</w:t>
            </w:r>
          </w:p>
          <w:p w14:paraId="626B84D9" w14:textId="5EB86A28"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ковість</w:t>
            </w:r>
            <w:proofErr w:type="spellEnd"/>
            <w:r w:rsidRPr="005F0419">
              <w:rPr>
                <w:rFonts w:ascii="Times New Roman" w:eastAsia="Times New Roman" w:hAnsi="Times New Roman" w:cs="Times New Roman"/>
                <w:sz w:val="28"/>
                <w:szCs w:val="28"/>
                <w:lang w:val="uk-UA"/>
              </w:rPr>
              <w:t xml:space="preserve"> </w:t>
            </w:r>
          </w:p>
        </w:tc>
        <w:tc>
          <w:tcPr>
            <w:tcW w:w="84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466439" w14:textId="16CE35E0"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Ступінь ризику</w:t>
            </w:r>
          </w:p>
        </w:tc>
        <w:tc>
          <w:tcPr>
            <w:tcW w:w="1107" w:type="pct"/>
            <w:tcBorders>
              <w:top w:val="single" w:sz="4" w:space="0" w:color="auto"/>
              <w:left w:val="single" w:sz="4" w:space="0" w:color="auto"/>
              <w:bottom w:val="single" w:sz="4" w:space="0" w:color="auto"/>
              <w:right w:val="single" w:sz="4" w:space="0" w:color="auto"/>
            </w:tcBorders>
          </w:tcPr>
          <w:p w14:paraId="7C7FD3AB" w14:textId="4A5B3AAA" w:rsidR="00113886" w:rsidRPr="005F0419" w:rsidRDefault="00113886" w:rsidP="00DD13DC">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Частка обсягу продукції</w:t>
            </w:r>
          </w:p>
        </w:tc>
      </w:tr>
      <w:tr w:rsidR="00113886" w:rsidRPr="005F0419" w14:paraId="165185D5" w14:textId="77777777" w:rsidTr="00113886">
        <w:trPr>
          <w:trHeight w:val="669"/>
        </w:trPr>
        <w:tc>
          <w:tcPr>
            <w:tcW w:w="20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618B37" w14:textId="77777777" w:rsidR="00113886" w:rsidRPr="005F0419" w:rsidRDefault="00113886" w:rsidP="00DD13DC">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Вирощування однорічних і дворічних культур</w:t>
            </w:r>
          </w:p>
        </w:tc>
        <w:tc>
          <w:tcPr>
            <w:tcW w:w="97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269FB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19,15</w:t>
            </w:r>
          </w:p>
        </w:tc>
        <w:tc>
          <w:tcPr>
            <w:tcW w:w="84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CAD891"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5,76</w:t>
            </w:r>
          </w:p>
        </w:tc>
        <w:tc>
          <w:tcPr>
            <w:tcW w:w="1107" w:type="pct"/>
            <w:tcBorders>
              <w:top w:val="single" w:sz="4" w:space="0" w:color="auto"/>
              <w:left w:val="single" w:sz="4" w:space="0" w:color="auto"/>
              <w:bottom w:val="single" w:sz="4" w:space="0" w:color="auto"/>
              <w:right w:val="single" w:sz="4" w:space="0" w:color="auto"/>
            </w:tcBorders>
            <w:vAlign w:val="center"/>
          </w:tcPr>
          <w:p w14:paraId="46E33ABF"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85,42</w:t>
            </w:r>
          </w:p>
        </w:tc>
      </w:tr>
      <w:tr w:rsidR="00113886" w:rsidRPr="005F0419" w14:paraId="67C1A06F" w14:textId="77777777" w:rsidTr="00113886">
        <w:trPr>
          <w:trHeight w:val="669"/>
        </w:trPr>
        <w:tc>
          <w:tcPr>
            <w:tcW w:w="20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880B0E" w14:textId="77777777" w:rsidR="00113886" w:rsidRPr="005F0419" w:rsidRDefault="00113886" w:rsidP="00DD13DC">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Вирощування багаторічних культур</w:t>
            </w:r>
          </w:p>
        </w:tc>
        <w:tc>
          <w:tcPr>
            <w:tcW w:w="97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1CE74A"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22,31</w:t>
            </w:r>
          </w:p>
        </w:tc>
        <w:tc>
          <w:tcPr>
            <w:tcW w:w="84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E1B523"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12,44</w:t>
            </w:r>
          </w:p>
        </w:tc>
        <w:tc>
          <w:tcPr>
            <w:tcW w:w="1107" w:type="pct"/>
            <w:tcBorders>
              <w:top w:val="single" w:sz="4" w:space="0" w:color="auto"/>
              <w:left w:val="single" w:sz="4" w:space="0" w:color="auto"/>
              <w:bottom w:val="single" w:sz="4" w:space="0" w:color="auto"/>
              <w:right w:val="single" w:sz="4" w:space="0" w:color="auto"/>
            </w:tcBorders>
            <w:vAlign w:val="center"/>
          </w:tcPr>
          <w:p w14:paraId="3EEEBC7B"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4,18</w:t>
            </w:r>
          </w:p>
        </w:tc>
      </w:tr>
      <w:tr w:rsidR="00113886" w:rsidRPr="005F0419" w14:paraId="053C6B30" w14:textId="77777777" w:rsidTr="00113886">
        <w:trPr>
          <w:trHeight w:val="387"/>
        </w:trPr>
        <w:tc>
          <w:tcPr>
            <w:tcW w:w="20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34B5CB" w14:textId="77777777" w:rsidR="00113886" w:rsidRPr="005F0419" w:rsidRDefault="00113886" w:rsidP="00DD13DC">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Відтворення рослин</w:t>
            </w:r>
          </w:p>
        </w:tc>
        <w:tc>
          <w:tcPr>
            <w:tcW w:w="97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2EDCB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16,83</w:t>
            </w:r>
          </w:p>
        </w:tc>
        <w:tc>
          <w:tcPr>
            <w:tcW w:w="84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D5A275"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8,63</w:t>
            </w:r>
          </w:p>
        </w:tc>
        <w:tc>
          <w:tcPr>
            <w:tcW w:w="1107" w:type="pct"/>
            <w:tcBorders>
              <w:top w:val="single" w:sz="4" w:space="0" w:color="auto"/>
              <w:left w:val="single" w:sz="4" w:space="0" w:color="auto"/>
              <w:bottom w:val="single" w:sz="4" w:space="0" w:color="auto"/>
              <w:right w:val="single" w:sz="4" w:space="0" w:color="auto"/>
            </w:tcBorders>
            <w:vAlign w:val="center"/>
          </w:tcPr>
          <w:p w14:paraId="39C63DC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0,94</w:t>
            </w:r>
          </w:p>
        </w:tc>
      </w:tr>
      <w:tr w:rsidR="00113886" w:rsidRPr="005F0419" w14:paraId="6BC1F989" w14:textId="77777777" w:rsidTr="00113886">
        <w:trPr>
          <w:trHeight w:val="535"/>
        </w:trPr>
        <w:tc>
          <w:tcPr>
            <w:tcW w:w="20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E8C1E3" w14:textId="77777777" w:rsidR="00113886" w:rsidRPr="005F0419" w:rsidRDefault="00113886" w:rsidP="00DD13DC">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Тваринництво</w:t>
            </w:r>
          </w:p>
        </w:tc>
        <w:tc>
          <w:tcPr>
            <w:tcW w:w="97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631D2B"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14,86</w:t>
            </w:r>
          </w:p>
        </w:tc>
        <w:tc>
          <w:tcPr>
            <w:tcW w:w="84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62F6A2"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4,42</w:t>
            </w:r>
          </w:p>
        </w:tc>
        <w:tc>
          <w:tcPr>
            <w:tcW w:w="1107" w:type="pct"/>
            <w:tcBorders>
              <w:top w:val="single" w:sz="4" w:space="0" w:color="auto"/>
              <w:left w:val="single" w:sz="4" w:space="0" w:color="auto"/>
              <w:bottom w:val="single" w:sz="4" w:space="0" w:color="auto"/>
              <w:right w:val="single" w:sz="4" w:space="0" w:color="auto"/>
            </w:tcBorders>
            <w:vAlign w:val="center"/>
          </w:tcPr>
          <w:p w14:paraId="299C49A5"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8,16</w:t>
            </w:r>
          </w:p>
        </w:tc>
      </w:tr>
      <w:tr w:rsidR="00113886" w:rsidRPr="005F0419" w14:paraId="4E7F1075" w14:textId="77777777" w:rsidTr="00113886">
        <w:trPr>
          <w:trHeight w:val="557"/>
        </w:trPr>
        <w:tc>
          <w:tcPr>
            <w:tcW w:w="20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8EEF43" w14:textId="77777777" w:rsidR="00113886" w:rsidRPr="005F0419" w:rsidRDefault="00113886" w:rsidP="00DD13DC">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Змішане сільське господарство</w:t>
            </w:r>
          </w:p>
        </w:tc>
        <w:tc>
          <w:tcPr>
            <w:tcW w:w="97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7DA5CD"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-13,68</w:t>
            </w:r>
          </w:p>
        </w:tc>
        <w:tc>
          <w:tcPr>
            <w:tcW w:w="84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4E4F63"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25,99</w:t>
            </w:r>
          </w:p>
        </w:tc>
        <w:tc>
          <w:tcPr>
            <w:tcW w:w="1107" w:type="pct"/>
            <w:tcBorders>
              <w:top w:val="single" w:sz="4" w:space="0" w:color="auto"/>
              <w:left w:val="single" w:sz="4" w:space="0" w:color="auto"/>
              <w:bottom w:val="single" w:sz="4" w:space="0" w:color="auto"/>
              <w:right w:val="single" w:sz="4" w:space="0" w:color="auto"/>
            </w:tcBorders>
            <w:vAlign w:val="center"/>
          </w:tcPr>
          <w:p w14:paraId="17485F5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0,61</w:t>
            </w:r>
          </w:p>
        </w:tc>
      </w:tr>
      <w:tr w:rsidR="00113886" w:rsidRPr="005F0419" w14:paraId="7E045B09" w14:textId="77777777" w:rsidTr="00113886">
        <w:trPr>
          <w:trHeight w:val="669"/>
        </w:trPr>
        <w:tc>
          <w:tcPr>
            <w:tcW w:w="208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BA72FA4" w14:textId="77777777" w:rsidR="00113886" w:rsidRPr="005F0419" w:rsidRDefault="00113886" w:rsidP="00DD13DC">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Допоміжна діяльність у сільському господарстві </w:t>
            </w:r>
          </w:p>
        </w:tc>
        <w:tc>
          <w:tcPr>
            <w:tcW w:w="97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7DBB04C"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-7,75</w:t>
            </w:r>
          </w:p>
        </w:tc>
        <w:tc>
          <w:tcPr>
            <w:tcW w:w="84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207280E"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10,76</w:t>
            </w:r>
          </w:p>
        </w:tc>
        <w:tc>
          <w:tcPr>
            <w:tcW w:w="1107" w:type="pct"/>
            <w:tcBorders>
              <w:top w:val="single" w:sz="4" w:space="0" w:color="auto"/>
              <w:left w:val="single" w:sz="4" w:space="0" w:color="auto"/>
              <w:bottom w:val="single" w:sz="4" w:space="0" w:color="auto"/>
              <w:right w:val="single" w:sz="4" w:space="0" w:color="auto"/>
            </w:tcBorders>
            <w:vAlign w:val="center"/>
          </w:tcPr>
          <w:p w14:paraId="07986FC4" w14:textId="77777777" w:rsidR="00113886" w:rsidRPr="005F0419" w:rsidRDefault="00113886" w:rsidP="00DD13DC">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0,75</w:t>
            </w:r>
          </w:p>
        </w:tc>
      </w:tr>
    </w:tbl>
    <w:p w14:paraId="08256840" w14:textId="77777777" w:rsidR="00113886" w:rsidRPr="005F0419" w:rsidRDefault="00113886" w:rsidP="00DD13DC">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обчислено за даними Державної служби статистики України [21].</w:t>
      </w:r>
    </w:p>
    <w:p w14:paraId="1E1D1C05"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p>
    <w:p w14:paraId="5DC8AB34"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Проаналізуємо обчислені показники окремо для кожного виду економічної діяльності аграрного сектору економіки. </w:t>
      </w:r>
    </w:p>
    <w:p w14:paraId="765CDD5A"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Галузь «Вирощування однорічних і дворічних культур» має високий ступінь прибутковості  (19,15%) та досить низький рівень ризику капіталовкладень (5,76%). Таким чином, цей вид сільськогосподарської економічної діяльності є привабливим для інвестиційної діяльності. Цілком зрозуміло, чому частка цієї галузі займає 85,42% від загального обсягу </w:t>
      </w:r>
      <w:r w:rsidRPr="005F0419">
        <w:rPr>
          <w:rFonts w:ascii="Times New Roman" w:hAnsi="Times New Roman" w:cs="Times New Roman"/>
          <w:sz w:val="28"/>
          <w:szCs w:val="28"/>
          <w:lang w:val="uk-UA"/>
        </w:rPr>
        <w:lastRenderedPageBreak/>
        <w:t xml:space="preserve">реалізованої продукції сільського господарства, адже залучені в цю галузь кошти дають прибуток в перший рік інвестування. Також не потрібно додаткових запозичень для придбання устаткування та техніки, їх можливо орендувати на деякий термін.  </w:t>
      </w:r>
    </w:p>
    <w:p w14:paraId="63A4C260"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Зазначимо, що на початку військової російської агресії саме галузь «Вирощування однорічних культур» зазнала суттєвих збитків у зв’язку з закриттям логістичних шляхів, втратою ораних земель та влучанням ракет та снарядів у господарські споруди.  </w:t>
      </w:r>
    </w:p>
    <w:p w14:paraId="42C1C04E"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Галузь «Вирощування багаторічних культур» є найбільш прибутковою серед досліджуваних (22,31%) та в той же час з високим рівнем ризику (12,44%). Проте частка цієї галузі від загального обсягу реалізованої продукції сільського господарства досить невелика (4,18%). Це пов’язано зі значним обсягом необхідних капіталовкладень а також великим терміном окупності інвестиційних проектів в галузі вирощування багаторічних культур. Незважаючи на ці обмеження, завдяки послідовній державній політиці та стійкості банківського сектору економіки, досліджуваний вид економічної діяльності значно збільшив обсяги в останні передвоєнні роки. Були закладені нові сади та виноградники, побудовані сучасні сховища, розширено ланцюги поставок фруктової, виноробної продукції у тому числі і закордон.  </w:t>
      </w:r>
    </w:p>
    <w:p w14:paraId="1DFB4B9A"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Галузь «Відтворення рослин» має високий ступінь прибутковості  (16,83%) та досить низький рівень ризику (8,63%). Цей клас включає вирощування посадкового матеріалу всіх видів, у тому числі черешків, кореневих пагонів та розсади, для відтворення рослин або щеплення дерев та є основою для нормального функціонування попередньої галузі. Частка цієї галузі в загальному обсязі реалізованої продукції сільського господарства невелика і складає 0,94%. Проте, слід зазначити, що збільшення обсягу виробництва багаторічних рослин буде поштовхом для зростання обсягу продукції галузі «Відтворення рослин». </w:t>
      </w:r>
    </w:p>
    <w:p w14:paraId="4C900F90"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Галузь «Тваринництво» також є стабільною та високоприбутковою: 14,86% прибутковість, 4,42% рівень ризику. Частка цієї галузі в загальному обсязі реалізованої продукції сільського господарства складає 8,16%. </w:t>
      </w:r>
    </w:p>
    <w:p w14:paraId="4DB1DF21"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Галузь «Тваринництво» потребує особливої уваги держави, в Україні є всі можливості для світового домінування у цій сфері. Для збільшення обсягів виробництва необхідно стимулювати створення </w:t>
      </w:r>
      <w:proofErr w:type="spellStart"/>
      <w:r w:rsidRPr="005F0419">
        <w:rPr>
          <w:rFonts w:ascii="Times New Roman" w:hAnsi="Times New Roman" w:cs="Times New Roman"/>
          <w:sz w:val="28"/>
          <w:szCs w:val="28"/>
          <w:lang w:val="uk-UA"/>
        </w:rPr>
        <w:t>агрохолдингів</w:t>
      </w:r>
      <w:proofErr w:type="spellEnd"/>
      <w:r w:rsidRPr="005F0419">
        <w:rPr>
          <w:rFonts w:ascii="Times New Roman" w:hAnsi="Times New Roman" w:cs="Times New Roman"/>
          <w:sz w:val="28"/>
          <w:szCs w:val="28"/>
          <w:lang w:val="uk-UA"/>
        </w:rPr>
        <w:t xml:space="preserve"> та їхню орієнтацію на виробництво кінцевої продукції. у ланцюжку доданої вартості. Саме кінцевою продукцією є вирощування та розведення всіх видів тварин, Залежно від потреб тваринницького виробництва будуть адаптовані аграрні технології, види овочевої та рослинної продукції. Необхідна державна підтримка у модернізації та реструктуризації фермерських господарств, що спеціалізуються на виробництві традиційної сільськогосподарської продукції (яєць, молока, м’яса), а також іншої конкурентоспроможної продукції тваринництва.</w:t>
      </w:r>
    </w:p>
    <w:p w14:paraId="3BC9CA55"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Галузі «Змішане сільське господарство» та «Допоміжна діяльність у сільському господарстві» є збитковими, рівень збитку вкладеного капіталу складає 13,68% та  7,75%, високими є і показники ступеню ризику інвестиційної діяльності  (25,99% та 10,76% відповідно). Незважаючи на великий термін окупності бізнес-проектів у досліджуваних секторах їх діяльність є необхідною для плідної роботи інших галузей сільського господарства. Зрозуміло, що ці види сільськогосподарської економічної діяльності потребують особливої державної підтримки для сталого розвитку аграрного сектору економіки та переходу до високотехнологічного інноваційного виробництва.</w:t>
      </w:r>
    </w:p>
    <w:p w14:paraId="4763F472"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Велика кількість задач у промисловості, фінансах, економіці та багатьох інших галузях містить необхідність одночасної оптимізації декількох цілей. У деяких випадках змінні визначаються в непорівнянних одиницях і існує певний рівень конфлікту між ними, наприклад, покращення однієї не може бути здійснено без погіршення іншої. Такі задачі називають задачами багатокритеріальної оптимізації (</w:t>
      </w:r>
      <w:proofErr w:type="spellStart"/>
      <w:r w:rsidRPr="005F0419">
        <w:rPr>
          <w:rFonts w:ascii="Times New Roman" w:hAnsi="Times New Roman" w:cs="Times New Roman"/>
          <w:sz w:val="28"/>
          <w:szCs w:val="28"/>
          <w:lang w:val="uk-UA"/>
        </w:rPr>
        <w:t>Multiobjective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Optimization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Problems</w:t>
      </w:r>
      <w:proofErr w:type="spellEnd"/>
      <w:r w:rsidRPr="005F0419">
        <w:rPr>
          <w:rFonts w:ascii="Times New Roman" w:hAnsi="Times New Roman" w:cs="Times New Roman"/>
          <w:sz w:val="28"/>
          <w:szCs w:val="28"/>
          <w:lang w:val="uk-UA"/>
        </w:rPr>
        <w:t>).</w:t>
      </w:r>
    </w:p>
    <w:p w14:paraId="60A5A3E3" w14:textId="55CD678A"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Вперше ідея розв’язання задач багатокритеріальної векторної оптимізації виникла у італійського економіста </w:t>
      </w:r>
      <w:proofErr w:type="spellStart"/>
      <w:r w:rsidRPr="005F0419">
        <w:rPr>
          <w:rFonts w:ascii="Times New Roman" w:hAnsi="Times New Roman" w:cs="Times New Roman"/>
          <w:sz w:val="28"/>
          <w:szCs w:val="28"/>
          <w:lang w:val="uk-UA"/>
        </w:rPr>
        <w:t>Вільфредо</w:t>
      </w:r>
      <w:proofErr w:type="spellEnd"/>
      <w:r w:rsidRPr="005F0419">
        <w:rPr>
          <w:rFonts w:ascii="Times New Roman" w:hAnsi="Times New Roman" w:cs="Times New Roman"/>
          <w:sz w:val="28"/>
          <w:szCs w:val="28"/>
          <w:lang w:val="uk-UA"/>
        </w:rPr>
        <w:t xml:space="preserve"> Парето при математичному моделюванні товарного обміну. В умовах </w:t>
      </w:r>
      <w:proofErr w:type="spellStart"/>
      <w:r w:rsidRPr="005F0419">
        <w:rPr>
          <w:rFonts w:ascii="Times New Roman" w:hAnsi="Times New Roman" w:cs="Times New Roman"/>
          <w:sz w:val="28"/>
          <w:szCs w:val="28"/>
          <w:lang w:val="uk-UA"/>
        </w:rPr>
        <w:t>однокритеріальних</w:t>
      </w:r>
      <w:proofErr w:type="spellEnd"/>
      <w:r w:rsidRPr="005F0419">
        <w:rPr>
          <w:rFonts w:ascii="Times New Roman" w:hAnsi="Times New Roman" w:cs="Times New Roman"/>
          <w:sz w:val="28"/>
          <w:szCs w:val="28"/>
          <w:lang w:val="uk-UA"/>
        </w:rPr>
        <w:t xml:space="preserve"> задач оптимізації переважно отримують один або множину оптимальних </w:t>
      </w:r>
      <w:proofErr w:type="spellStart"/>
      <w:r w:rsidRPr="005F0419">
        <w:rPr>
          <w:rFonts w:ascii="Times New Roman" w:hAnsi="Times New Roman" w:cs="Times New Roman"/>
          <w:sz w:val="28"/>
          <w:szCs w:val="28"/>
          <w:lang w:val="uk-UA"/>
        </w:rPr>
        <w:t>розв’язків</w:t>
      </w:r>
      <w:proofErr w:type="spellEnd"/>
      <w:r w:rsidRPr="005F0419">
        <w:rPr>
          <w:rFonts w:ascii="Times New Roman" w:hAnsi="Times New Roman" w:cs="Times New Roman"/>
          <w:sz w:val="28"/>
          <w:szCs w:val="28"/>
          <w:lang w:val="uk-UA"/>
        </w:rPr>
        <w:t xml:space="preserve">. Проте, в </w:t>
      </w:r>
      <w:r w:rsidRPr="005F0419">
        <w:rPr>
          <w:rFonts w:ascii="Times New Roman" w:hAnsi="Times New Roman" w:cs="Times New Roman"/>
          <w:sz w:val="28"/>
          <w:szCs w:val="28"/>
          <w:lang w:val="uk-UA"/>
        </w:rPr>
        <w:lastRenderedPageBreak/>
        <w:t xml:space="preserve">багатокритеріальній оптимізації не існує прямої відповіді визначення чи є розв’язок кращим, ніж інші. Найчастіше в багатокритеріальній оптимізації для порівняння допустимих </w:t>
      </w:r>
      <w:proofErr w:type="spellStart"/>
      <w:r w:rsidRPr="005F0419">
        <w:rPr>
          <w:rFonts w:ascii="Times New Roman" w:hAnsi="Times New Roman" w:cs="Times New Roman"/>
          <w:sz w:val="28"/>
          <w:szCs w:val="28"/>
          <w:lang w:val="uk-UA"/>
        </w:rPr>
        <w:t>розв’язків</w:t>
      </w:r>
      <w:proofErr w:type="spellEnd"/>
      <w:r w:rsidRPr="005F0419">
        <w:rPr>
          <w:rFonts w:ascii="Times New Roman" w:hAnsi="Times New Roman" w:cs="Times New Roman"/>
          <w:sz w:val="28"/>
          <w:szCs w:val="28"/>
          <w:lang w:val="uk-UA"/>
        </w:rPr>
        <w:t xml:space="preserve"> застосовують методику, яку називають відношенням домінантності Парето. В такому разі замість єдиного оптимального розв‘язку, існує певний набор альтернатив з різними компромісами серед цілей [24, 25].</w:t>
      </w:r>
    </w:p>
    <w:p w14:paraId="4D8D1993"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економіці, зокрема інвестиційному аналізі, прийняття управлінських рішень, приводить до багатоцільових задач. Виникає проблема узгодження можливо суперечливих цілей. Для вибору оптимального плану з безлічі допустимих, саме і використовують наведений вище принцип оптимальності Парето.</w:t>
      </w:r>
    </w:p>
    <w:p w14:paraId="391AFBA3"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загальному вигляді, задача визначення ефективних управлінських рішень розв’язується у декілька етапів:</w:t>
      </w:r>
    </w:p>
    <w:p w14:paraId="5B3470E2"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Побудова множини всіх альтернативних рішень, що зводиться до побудови множини допустимих рішень задачі лінійного або нелінійного багатокритеріального програмування.</w:t>
      </w:r>
    </w:p>
    <w:p w14:paraId="05DB71AF"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Проводиться аналіз допустимих </w:t>
      </w:r>
      <w:proofErr w:type="spellStart"/>
      <w:r w:rsidRPr="005F0419">
        <w:rPr>
          <w:rFonts w:ascii="Times New Roman" w:hAnsi="Times New Roman" w:cs="Times New Roman"/>
          <w:sz w:val="28"/>
          <w:szCs w:val="28"/>
          <w:lang w:val="uk-UA"/>
        </w:rPr>
        <w:t>розв’язків</w:t>
      </w:r>
      <w:proofErr w:type="spellEnd"/>
      <w:r w:rsidRPr="005F0419">
        <w:rPr>
          <w:rFonts w:ascii="Times New Roman" w:hAnsi="Times New Roman" w:cs="Times New Roman"/>
          <w:sz w:val="28"/>
          <w:szCs w:val="28"/>
          <w:lang w:val="uk-UA"/>
        </w:rPr>
        <w:t xml:space="preserve"> та  пропонуються шляхи знаходження ефективних рішень.</w:t>
      </w:r>
    </w:p>
    <w:p w14:paraId="4EA50969"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 З великої кількості ефективних рішень вибирається єдине оптимальне рішення за деяким із критеріїв.</w:t>
      </w:r>
    </w:p>
    <w:p w14:paraId="2C66DBE2"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Скористаємось принципом оптимальності Парето для визначення оптимальної програми капіталовкладень в підприємства галузі сільського господарства. Загальну прибутковість інвестицій, що вкладено у досліджувану галузь обчислюємо за формулою середньозваженого, тобто як є суму добутків середньої прибутковості галузей на частку, що вони займають у загальному виробництві продукції (товарів послуг) сільського господарства.</w:t>
      </w:r>
    </w:p>
    <w:p w14:paraId="010E45AC"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Загальний рівень ризику вкладення інвестицій у всі галузі господарської діяльності підприємств сільського господарства, згідно інвестиційної теорії, обчислюємо за формулою:</w:t>
      </w:r>
    </w:p>
    <w:p w14:paraId="1B937F6C" w14:textId="7EC37EE8" w:rsidR="00113886" w:rsidRPr="005F0419" w:rsidRDefault="00113886" w:rsidP="00DD13DC">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position w:val="-30"/>
          <w:sz w:val="28"/>
          <w:szCs w:val="28"/>
          <w:lang w:val="uk-UA"/>
        </w:rPr>
        <w:object w:dxaOrig="5000" w:dyaOrig="700" w14:anchorId="1686EE4A">
          <v:shape id="_x0000_i1031" type="#_x0000_t75" style="width:250.5pt;height:34.5pt" o:ole="">
            <v:imagedata r:id="rId154" o:title=""/>
          </v:shape>
          <o:OLEObject Type="Embed" ProgID="Equation.3" ShapeID="_x0000_i1031" DrawAspect="Content" ObjectID="_1773432093" r:id="rId156"/>
        </w:object>
      </w:r>
      <w:r w:rsidRPr="005F0419">
        <w:rPr>
          <w:rFonts w:ascii="Times New Roman" w:hAnsi="Times New Roman" w:cs="Times New Roman"/>
          <w:sz w:val="28"/>
          <w:szCs w:val="28"/>
          <w:lang w:val="uk-UA"/>
        </w:rPr>
        <w:t>,</w:t>
      </w:r>
      <w:r w:rsidR="00DD13DC" w:rsidRPr="005F0419">
        <w:rPr>
          <w:rFonts w:ascii="Times New Roman" w:hAnsi="Times New Roman" w:cs="Times New Roman"/>
          <w:sz w:val="28"/>
          <w:szCs w:val="28"/>
          <w:lang w:val="uk-UA"/>
        </w:rPr>
        <w:t xml:space="preserve">   (6)</w:t>
      </w:r>
    </w:p>
    <w:p w14:paraId="048C24F6" w14:textId="77777777" w:rsidR="00113886" w:rsidRPr="005F0419" w:rsidRDefault="00113886" w:rsidP="00113886">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w:proofErr w:type="spellStart"/>
      <w:r w:rsidRPr="005F0419">
        <w:rPr>
          <w:rFonts w:ascii="Times New Roman" w:hAnsi="Times New Roman" w:cs="Times New Roman"/>
          <w:sz w:val="28"/>
          <w:szCs w:val="28"/>
          <w:lang w:val="uk-UA"/>
        </w:rPr>
        <w:t>w</w:t>
      </w:r>
      <w:r w:rsidRPr="005F0419">
        <w:rPr>
          <w:rFonts w:ascii="Times New Roman" w:hAnsi="Times New Roman" w:cs="Times New Roman"/>
          <w:sz w:val="28"/>
          <w:szCs w:val="28"/>
          <w:vertAlign w:val="subscript"/>
          <w:lang w:val="uk-UA"/>
        </w:rPr>
        <w:t>i</w:t>
      </w:r>
      <w:proofErr w:type="spellEnd"/>
      <w:r w:rsidRPr="005F0419">
        <w:rPr>
          <w:rFonts w:ascii="Times New Roman" w:hAnsi="Times New Roman" w:cs="Times New Roman"/>
          <w:sz w:val="28"/>
          <w:szCs w:val="28"/>
          <w:lang w:val="uk-UA"/>
        </w:rPr>
        <w:t xml:space="preserve"> – середня частка </w:t>
      </w:r>
      <w:r w:rsidRPr="005F0419">
        <w:rPr>
          <w:rFonts w:ascii="Times New Roman" w:hAnsi="Times New Roman" w:cs="Times New Roman"/>
          <w:i/>
          <w:sz w:val="28"/>
          <w:szCs w:val="28"/>
          <w:lang w:val="uk-UA"/>
        </w:rPr>
        <w:t>і</w:t>
      </w:r>
      <w:r w:rsidRPr="005F0419">
        <w:rPr>
          <w:rFonts w:ascii="Times New Roman" w:hAnsi="Times New Roman" w:cs="Times New Roman"/>
          <w:sz w:val="28"/>
          <w:szCs w:val="28"/>
          <w:lang w:val="uk-UA"/>
        </w:rPr>
        <w:t>-</w:t>
      </w:r>
      <w:proofErr w:type="spellStart"/>
      <w:r w:rsidRPr="005F0419">
        <w:rPr>
          <w:rFonts w:ascii="Times New Roman" w:hAnsi="Times New Roman" w:cs="Times New Roman"/>
          <w:sz w:val="28"/>
          <w:szCs w:val="28"/>
          <w:lang w:val="uk-UA"/>
        </w:rPr>
        <w:t>ої</w:t>
      </w:r>
      <w:proofErr w:type="spellEnd"/>
      <w:r w:rsidRPr="005F0419">
        <w:rPr>
          <w:rFonts w:ascii="Times New Roman" w:hAnsi="Times New Roman" w:cs="Times New Roman"/>
          <w:sz w:val="28"/>
          <w:szCs w:val="28"/>
          <w:lang w:val="uk-UA"/>
        </w:rPr>
        <w:t xml:space="preserve"> галузі; </w:t>
      </w:r>
      <w:proofErr w:type="spellStart"/>
      <w:r w:rsidRPr="005F0419">
        <w:rPr>
          <w:rFonts w:ascii="Times New Roman" w:hAnsi="Times New Roman" w:cs="Times New Roman"/>
          <w:sz w:val="28"/>
          <w:szCs w:val="28"/>
          <w:lang w:val="uk-UA"/>
        </w:rPr>
        <w:t>σ</w:t>
      </w:r>
      <w:r w:rsidRPr="005F0419">
        <w:rPr>
          <w:rFonts w:ascii="Times New Roman" w:hAnsi="Times New Roman" w:cs="Times New Roman"/>
          <w:sz w:val="28"/>
          <w:szCs w:val="28"/>
          <w:vertAlign w:val="subscript"/>
          <w:lang w:val="uk-UA"/>
        </w:rPr>
        <w:t>і</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σ</w:t>
      </w:r>
      <w:r w:rsidRPr="005F0419">
        <w:rPr>
          <w:rFonts w:ascii="Times New Roman" w:hAnsi="Times New Roman" w:cs="Times New Roman"/>
          <w:sz w:val="28"/>
          <w:szCs w:val="28"/>
          <w:vertAlign w:val="subscript"/>
          <w:lang w:val="uk-UA"/>
        </w:rPr>
        <w:t>j</w:t>
      </w:r>
      <w:proofErr w:type="spellEnd"/>
      <w:r w:rsidRPr="005F0419">
        <w:rPr>
          <w:rFonts w:ascii="Times New Roman" w:hAnsi="Times New Roman" w:cs="Times New Roman"/>
          <w:sz w:val="28"/>
          <w:szCs w:val="28"/>
          <w:lang w:val="uk-UA"/>
        </w:rPr>
        <w:t xml:space="preserve"> – середнє квадратичне відхилення відповідної галузі; </w:t>
      </w:r>
      <w:proofErr w:type="spellStart"/>
      <w:r w:rsidRPr="005F0419">
        <w:rPr>
          <w:rFonts w:ascii="Times New Roman" w:hAnsi="Times New Roman" w:cs="Times New Roman"/>
          <w:sz w:val="28"/>
          <w:szCs w:val="28"/>
          <w:lang w:val="uk-UA"/>
        </w:rPr>
        <w:t>ρ</w:t>
      </w:r>
      <w:r w:rsidRPr="005F0419">
        <w:rPr>
          <w:rFonts w:ascii="Times New Roman" w:hAnsi="Times New Roman" w:cs="Times New Roman"/>
          <w:sz w:val="28"/>
          <w:szCs w:val="28"/>
          <w:vertAlign w:val="subscript"/>
          <w:lang w:val="uk-UA"/>
        </w:rPr>
        <w:t>ij</w:t>
      </w:r>
      <w:proofErr w:type="spellEnd"/>
      <w:r w:rsidRPr="005F0419">
        <w:rPr>
          <w:rFonts w:ascii="Times New Roman" w:hAnsi="Times New Roman" w:cs="Times New Roman"/>
          <w:i/>
          <w:sz w:val="28"/>
          <w:szCs w:val="28"/>
          <w:vertAlign w:val="subscript"/>
          <w:lang w:val="uk-UA"/>
        </w:rPr>
        <w:t xml:space="preserve"> </w:t>
      </w:r>
      <w:r w:rsidRPr="005F0419">
        <w:rPr>
          <w:rFonts w:ascii="Times New Roman" w:hAnsi="Times New Roman" w:cs="Times New Roman"/>
          <w:sz w:val="28"/>
          <w:szCs w:val="28"/>
          <w:lang w:val="uk-UA"/>
        </w:rPr>
        <w:t>– коефіцієнт кореляції між рівнем прибутковості галузей сільськогосподарської індустрії.</w:t>
      </w:r>
    </w:p>
    <w:p w14:paraId="0F729E5D" w14:textId="228938F6" w:rsidR="00113886" w:rsidRPr="005F0419" w:rsidRDefault="00113886" w:rsidP="00113886">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ab/>
        <w:t>Початково загальна прибутковість інвестицій знаходимо за формулою</w:t>
      </w:r>
      <w:r w:rsidR="000D14FF" w:rsidRPr="005F0419">
        <w:rPr>
          <w:rFonts w:ascii="Times New Roman" w:hAnsi="Times New Roman" w:cs="Times New Roman"/>
          <w:sz w:val="28"/>
          <w:szCs w:val="28"/>
          <w:lang w:val="uk-UA"/>
        </w:rPr>
        <w:t>:</w:t>
      </w:r>
    </w:p>
    <w:p w14:paraId="3B321F54"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Z = 19,15*85,42 +  22,31*4,18 +</w:t>
      </w:r>
    </w:p>
    <w:p w14:paraId="0CE8AAEE" w14:textId="723C08AD"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+ 16,83*0,94 + 14,86*8,16 + (-13,68)* 0,61 +</w:t>
      </w:r>
      <w:r w:rsidR="000D14FF" w:rsidRPr="005F0419">
        <w:rPr>
          <w:rFonts w:ascii="Times New Roman" w:hAnsi="Times New Roman" w:cs="Times New Roman"/>
          <w:sz w:val="28"/>
          <w:szCs w:val="28"/>
          <w:lang w:val="uk-UA"/>
        </w:rPr>
        <w:t xml:space="preserve">        (7)</w:t>
      </w:r>
    </w:p>
    <w:p w14:paraId="54F21A51"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(-7,75)* 0,75 = 18,52%.</w:t>
      </w:r>
    </w:p>
    <w:p w14:paraId="66E8758F"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Початковий рівень ризику вкладення інвестицій в підприємства сільського господарства обчислюємо за допомогою електронних таблиць MS EXCEL, він складає 5,86%.</w:t>
      </w:r>
    </w:p>
    <w:p w14:paraId="7EF2CA82"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 допомогою обчислень значень невідомих показників, приходимо до висновку, що невідомі параметри  інвестиційної діяльності знаходяться у наступних межах: загальна прибутковість інвестицій змінюється від 10% до 21%; рівень ризику інвестицій коливається від 3% до 5%. На рисунку 3 побудована множина оптимальних за Парето </w:t>
      </w:r>
      <w:proofErr w:type="spellStart"/>
      <w:r w:rsidRPr="005F0419">
        <w:rPr>
          <w:rFonts w:ascii="Times New Roman" w:hAnsi="Times New Roman" w:cs="Times New Roman"/>
          <w:sz w:val="28"/>
          <w:szCs w:val="28"/>
          <w:lang w:val="uk-UA"/>
        </w:rPr>
        <w:t>розв’язків</w:t>
      </w:r>
      <w:proofErr w:type="spellEnd"/>
      <w:r w:rsidRPr="005F0419">
        <w:rPr>
          <w:rFonts w:ascii="Times New Roman" w:hAnsi="Times New Roman" w:cs="Times New Roman"/>
          <w:sz w:val="28"/>
          <w:szCs w:val="28"/>
          <w:lang w:val="uk-UA"/>
        </w:rPr>
        <w:t xml:space="preserve"> багатокритеріальної задачі оптимізації. Кожна із точок побудованого прямокутника може бути оптимальним рішенням за якимось із критеріїв або їх поєднанням. </w:t>
      </w:r>
    </w:p>
    <w:p w14:paraId="69BAD909" w14:textId="4EEADDAE" w:rsidR="00113886" w:rsidRPr="005F0419" w:rsidRDefault="00113886" w:rsidP="00DD13DC">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5170484D" wp14:editId="3EEE2E03">
            <wp:extent cx="3892550" cy="2682240"/>
            <wp:effectExtent l="0" t="0" r="12700" b="3810"/>
            <wp:docPr id="33" name="Диаграмма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7"/>
              </a:graphicData>
            </a:graphic>
          </wp:inline>
        </w:drawing>
      </w:r>
    </w:p>
    <w:p w14:paraId="40250C14" w14:textId="77777777" w:rsidR="00113886" w:rsidRPr="005F0419" w:rsidRDefault="00113886" w:rsidP="00DD13DC">
      <w:pPr>
        <w:spacing w:after="0" w:line="360" w:lineRule="auto"/>
        <w:ind w:firstLine="709"/>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Рис. 7. Множина оптимальних за Парето </w:t>
      </w:r>
      <w:proofErr w:type="spellStart"/>
      <w:r w:rsidRPr="005F0419">
        <w:rPr>
          <w:rFonts w:ascii="Times New Roman" w:hAnsi="Times New Roman" w:cs="Times New Roman"/>
          <w:sz w:val="28"/>
          <w:szCs w:val="28"/>
          <w:lang w:val="uk-UA"/>
        </w:rPr>
        <w:t>розв’язків</w:t>
      </w:r>
      <w:proofErr w:type="spellEnd"/>
      <w:r w:rsidRPr="005F0419">
        <w:rPr>
          <w:rFonts w:ascii="Times New Roman" w:hAnsi="Times New Roman" w:cs="Times New Roman"/>
          <w:sz w:val="28"/>
          <w:szCs w:val="28"/>
          <w:lang w:val="uk-UA"/>
        </w:rPr>
        <w:t xml:space="preserve"> багатокритеріальної задачі оптимізації.</w:t>
      </w:r>
    </w:p>
    <w:p w14:paraId="775C830F"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Слід зазначити, що принцип оптимальності Парето не дає чіткої відповіді на питання про найкращий розподіл інвестицій в галузі сільського господарства. Ми можемо лише констатувати, що найкращим з точки зору отримання найбільшого прибутку є прибуток у 21%, за таких умов ступінь ризику капіталовкладень складе 5%. Найкращим, з точки зору мінімального ризику, є інвестиційний проект з ризиком 3% та прибутковістю 10%. Яким із галузей віддати перевагу при інвестуванні методика Парето відповіді не дає. Для прийняття управлінського рішення щодо залучення інвестицій потрібно застосувати задачу багатокритеріального програмування.  </w:t>
      </w:r>
    </w:p>
    <w:p w14:paraId="331CDEE5"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Розглянувши класичну постановку задачі математичного програмування, необхідно, насамперед, зазначити, що така задача передбачає лише одну цільову функцію, яка кількісно визначена. Розглядаючи ж математичні моделі реальних економічних систем, важливо розуміти, що на роль критерію оптимальності можуть претендувати кілька показників. Також, бажаним є застосування кількох критеріїв одночасно, причому вони можуть не завжди бути сумісними, Наприклад, задача досягнення максимальної ефективності за мінімальних витрат з точки зору математичної моделі завдання є не зовсім коректним. Мінімальні витрати – це нульові витрати, що мають місце за повної відсутності будь-якого виробництва. Навпаки, максимальної ефективності можливо досягнути тільки у випадку використання певних обсягів ресурсів. Тому коректними є математична модель з постановкою завдань наступним чином: досягти максимальної ефективності при заданому рівні витрат або досягти бажаного ефекту при мінімальних витратах.</w:t>
      </w:r>
    </w:p>
    <w:p w14:paraId="759FC830" w14:textId="6E8E9A61"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Оскільки не існує єдиного універсального критерію ефективності, то дослідники досить часто звертаються до розгляду багатокритеріальної оптимізації. Незважаючи на те, що задача управління передбачає одну цільову функцію, розроблено математичні методи, що дозволяють будувати компромісні оптимальні плани, тобто здійснювати багатокритеріальну оптимізацію. Незважаючи на те, що у науковій літературі досить мало уваги приділено вивченню багатокритеріальної оптимізації у задачах прийняття управлінських </w:t>
      </w:r>
      <w:r w:rsidRPr="005F0419">
        <w:rPr>
          <w:rFonts w:ascii="Times New Roman" w:hAnsi="Times New Roman" w:cs="Times New Roman"/>
          <w:sz w:val="28"/>
          <w:szCs w:val="28"/>
          <w:lang w:val="uk-UA"/>
        </w:rPr>
        <w:lastRenderedPageBreak/>
        <w:t>рішень, деякі етапи побудови та вирішення таких задач наведено у роботах [26, 27].</w:t>
      </w:r>
    </w:p>
    <w:p w14:paraId="0DCFC0D8"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Проведемо оптимізацію інвестиційного портфелю галузей сільського господарства. Спершу розглянемо задачу отримання найбільшого прибутку за умови, що ризик портфелю не збільшується. Модель оптимального портфелю за </w:t>
      </w:r>
      <w:proofErr w:type="spellStart"/>
      <w:r w:rsidRPr="005F0419">
        <w:rPr>
          <w:rFonts w:ascii="Times New Roman" w:hAnsi="Times New Roman" w:cs="Times New Roman"/>
          <w:sz w:val="28"/>
          <w:szCs w:val="28"/>
          <w:lang w:val="uk-UA"/>
        </w:rPr>
        <w:t>Марковіцем</w:t>
      </w:r>
      <w:proofErr w:type="spellEnd"/>
      <w:r w:rsidRPr="005F0419">
        <w:rPr>
          <w:rFonts w:ascii="Times New Roman" w:hAnsi="Times New Roman" w:cs="Times New Roman"/>
          <w:sz w:val="28"/>
          <w:szCs w:val="28"/>
          <w:lang w:val="uk-UA"/>
        </w:rPr>
        <w:t xml:space="preserve"> формально може бути представлена у вигляді задачі нелінійного (квадратичного) програмування наступним чином:</w:t>
      </w:r>
    </w:p>
    <w:p w14:paraId="7625C50E" w14:textId="14A39063"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position w:val="-26"/>
          <w:sz w:val="28"/>
          <w:szCs w:val="28"/>
          <w:lang w:val="uk-UA"/>
        </w:rPr>
        <w:object w:dxaOrig="2340" w:dyaOrig="660" w14:anchorId="5B928D62">
          <v:shape id="_x0000_i1032" type="#_x0000_t75" style="width:117pt;height:32.25pt" o:ole="">
            <v:imagedata r:id="rId158" o:title=""/>
          </v:shape>
          <o:OLEObject Type="Embed" ProgID="Equation.3" ShapeID="_x0000_i1032" DrawAspect="Content" ObjectID="_1773432094" r:id="rId159"/>
        </w:object>
      </w:r>
      <w:r w:rsidR="000D14FF" w:rsidRPr="005F0419">
        <w:rPr>
          <w:rFonts w:ascii="Times New Roman" w:hAnsi="Times New Roman" w:cs="Times New Roman"/>
          <w:sz w:val="28"/>
          <w:szCs w:val="28"/>
          <w:lang w:val="uk-UA"/>
        </w:rPr>
        <w:t xml:space="preserve">    </w:t>
      </w:r>
    </w:p>
    <w:p w14:paraId="220598D5" w14:textId="7093009F"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position w:val="-94"/>
          <w:sz w:val="28"/>
          <w:szCs w:val="28"/>
          <w:lang w:val="uk-UA"/>
        </w:rPr>
        <w:object w:dxaOrig="5179" w:dyaOrig="2020" w14:anchorId="2046D985">
          <v:shape id="_x0000_i1033" type="#_x0000_t75" style="width:259.5pt;height:99.75pt" o:ole="">
            <v:imagedata r:id="rId160" o:title=""/>
          </v:shape>
          <o:OLEObject Type="Embed" ProgID="Equation.3" ShapeID="_x0000_i1033" DrawAspect="Content" ObjectID="_1773432095" r:id="rId161"/>
        </w:object>
      </w:r>
      <w:r w:rsidR="000D14FF" w:rsidRPr="005F0419">
        <w:rPr>
          <w:rFonts w:ascii="Times New Roman" w:hAnsi="Times New Roman" w:cs="Times New Roman"/>
          <w:sz w:val="28"/>
          <w:szCs w:val="28"/>
          <w:lang w:val="uk-UA"/>
        </w:rPr>
        <w:t xml:space="preserve">          (8)</w:t>
      </w:r>
    </w:p>
    <w:p w14:paraId="09ED3E2A" w14:textId="77777777" w:rsidR="000D14FF" w:rsidRPr="005F0419" w:rsidRDefault="00113886" w:rsidP="000D14F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w:proofErr w:type="spellStart"/>
      <w:r w:rsidRPr="005F0419">
        <w:rPr>
          <w:rFonts w:ascii="Times New Roman" w:hAnsi="Times New Roman" w:cs="Times New Roman"/>
          <w:i/>
          <w:sz w:val="28"/>
          <w:szCs w:val="28"/>
          <w:lang w:val="uk-UA"/>
        </w:rPr>
        <w:t>w</w:t>
      </w:r>
      <w:r w:rsidRPr="005F0419">
        <w:rPr>
          <w:rFonts w:ascii="Times New Roman" w:hAnsi="Times New Roman" w:cs="Times New Roman"/>
          <w:i/>
          <w:sz w:val="28"/>
          <w:szCs w:val="28"/>
          <w:vertAlign w:val="subscript"/>
          <w:lang w:val="uk-UA"/>
        </w:rPr>
        <w:t>i</w:t>
      </w:r>
      <w:proofErr w:type="spellEnd"/>
      <w:r w:rsidRPr="005F0419">
        <w:rPr>
          <w:rFonts w:ascii="Times New Roman" w:hAnsi="Times New Roman" w:cs="Times New Roman"/>
          <w:sz w:val="28"/>
          <w:szCs w:val="28"/>
          <w:lang w:val="uk-UA"/>
        </w:rPr>
        <w:t xml:space="preserve"> – частка </w:t>
      </w:r>
      <w:r w:rsidRPr="005F0419">
        <w:rPr>
          <w:rFonts w:ascii="Times New Roman" w:hAnsi="Times New Roman" w:cs="Times New Roman"/>
          <w:i/>
          <w:sz w:val="28"/>
          <w:szCs w:val="28"/>
          <w:lang w:val="uk-UA"/>
        </w:rPr>
        <w:t>і</w:t>
      </w:r>
      <w:r w:rsidRPr="005F0419">
        <w:rPr>
          <w:rFonts w:ascii="Times New Roman" w:hAnsi="Times New Roman" w:cs="Times New Roman"/>
          <w:sz w:val="28"/>
          <w:szCs w:val="28"/>
          <w:lang w:val="uk-UA"/>
        </w:rPr>
        <w:t xml:space="preserve">-го виду підприємств економічної діяльності, яку необхідно оптимізувати. </w:t>
      </w:r>
    </w:p>
    <w:p w14:paraId="64F05907" w14:textId="5D0452E7" w:rsidR="000D14FF" w:rsidRPr="005F0419" w:rsidRDefault="00113886" w:rsidP="000D14F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Розв’язання задачі квадратичного програмування проводимо за допомогою вбудованої опції «ПОШУК РОЗВ’ЯЗКУ» MS EXCEL. </w:t>
      </w:r>
    </w:p>
    <w:p w14:paraId="4BC4E8D6" w14:textId="4C45AE0A" w:rsidR="00113886" w:rsidRPr="005F0419" w:rsidRDefault="00113886" w:rsidP="000D14F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таблиці 9 наведено  результати пошуку оптимального портфелю інвестицій за критерієм найбільшого прибутку.</w:t>
      </w:r>
    </w:p>
    <w:p w14:paraId="37B3DB40" w14:textId="77777777" w:rsidR="000D14FF" w:rsidRPr="005F0419" w:rsidRDefault="000D14FF" w:rsidP="000D14FF">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Отримані оптимальні розв’язки задачі пошуку найкращого портфелю інвестицій у сільськогосподарські підприємства: ступінь ризику – 5%, прибутковість – 19,83%;  ступінь ризику – 4%, прибутковість – 18,17%; ступінь ризику – 3,9%, прибутковість – 17,68%; ступінь ризику – 3,87%, прибутковість – 17,42%. Ступінь ризику менше, ніж 3,8% досягти неможливо.</w:t>
      </w:r>
    </w:p>
    <w:p w14:paraId="3D681542" w14:textId="77777777" w:rsidR="000D14FF"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Далі розглянемо  задачу отримання найменшого ризику прибутку за умови, що прибуток портфелю не зменшується. </w:t>
      </w:r>
    </w:p>
    <w:p w14:paraId="60AD9367" w14:textId="2F752DBA"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Модель оптимального портфелю за </w:t>
      </w:r>
      <w:proofErr w:type="spellStart"/>
      <w:r w:rsidRPr="005F0419">
        <w:rPr>
          <w:rFonts w:ascii="Times New Roman" w:hAnsi="Times New Roman" w:cs="Times New Roman"/>
          <w:sz w:val="28"/>
          <w:szCs w:val="28"/>
          <w:lang w:val="uk-UA"/>
        </w:rPr>
        <w:t>Марковіцем</w:t>
      </w:r>
      <w:proofErr w:type="spellEnd"/>
      <w:r w:rsidRPr="005F0419">
        <w:rPr>
          <w:rFonts w:ascii="Times New Roman" w:hAnsi="Times New Roman" w:cs="Times New Roman"/>
          <w:sz w:val="28"/>
          <w:szCs w:val="28"/>
          <w:lang w:val="uk-UA"/>
        </w:rPr>
        <w:t xml:space="preserve"> формально може бути представлена у вигляді задачі нелінійного (квадратичного) програмування наступним чином:</w:t>
      </w:r>
    </w:p>
    <w:p w14:paraId="7DFCD053"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position w:val="-30"/>
          <w:sz w:val="28"/>
          <w:szCs w:val="28"/>
          <w:lang w:val="uk-UA"/>
        </w:rPr>
        <w:object w:dxaOrig="5679" w:dyaOrig="700" w14:anchorId="591392E4">
          <v:shape id="_x0000_i1034" type="#_x0000_t75" style="width:284.25pt;height:34.5pt" o:ole="">
            <v:imagedata r:id="rId162" o:title=""/>
          </v:shape>
          <o:OLEObject Type="Embed" ProgID="Equation.3" ShapeID="_x0000_i1034" DrawAspect="Content" ObjectID="_1773432096" r:id="rId163"/>
        </w:object>
      </w:r>
    </w:p>
    <w:p w14:paraId="66D0EE4B" w14:textId="5F21EA97" w:rsidR="00113886" w:rsidRPr="005F0419" w:rsidRDefault="000D14FF"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position w:val="-100"/>
          <w:sz w:val="28"/>
          <w:szCs w:val="28"/>
          <w:lang w:val="uk-UA"/>
        </w:rPr>
        <w:object w:dxaOrig="1560" w:dyaOrig="2120" w14:anchorId="5EF70AEB">
          <v:shape id="_x0000_i1035" type="#_x0000_t75" style="width:87.75pt;height:117.75pt" o:ole="">
            <v:imagedata r:id="rId164" o:title=""/>
          </v:shape>
          <o:OLEObject Type="Embed" ProgID="Equation.3" ShapeID="_x0000_i1035" DrawAspect="Content" ObjectID="_1773432097" r:id="rId165"/>
        </w:object>
      </w:r>
      <w:r w:rsidRPr="005F0419">
        <w:rPr>
          <w:rFonts w:ascii="Times New Roman" w:hAnsi="Times New Roman" w:cs="Times New Roman"/>
          <w:sz w:val="28"/>
          <w:szCs w:val="28"/>
          <w:lang w:val="uk-UA"/>
        </w:rPr>
        <w:t xml:space="preserve">                              (9)</w:t>
      </w:r>
    </w:p>
    <w:p w14:paraId="7852B40B" w14:textId="77777777" w:rsidR="00113886" w:rsidRPr="005F0419" w:rsidRDefault="00113886" w:rsidP="000D14F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w:proofErr w:type="spellStart"/>
      <w:r w:rsidRPr="005F0419">
        <w:rPr>
          <w:rFonts w:ascii="Times New Roman" w:hAnsi="Times New Roman" w:cs="Times New Roman"/>
          <w:i/>
          <w:sz w:val="28"/>
          <w:szCs w:val="28"/>
          <w:lang w:val="uk-UA"/>
        </w:rPr>
        <w:t>w</w:t>
      </w:r>
      <w:r w:rsidRPr="005F0419">
        <w:rPr>
          <w:rFonts w:ascii="Times New Roman" w:hAnsi="Times New Roman" w:cs="Times New Roman"/>
          <w:i/>
          <w:sz w:val="28"/>
          <w:szCs w:val="28"/>
          <w:vertAlign w:val="subscript"/>
          <w:lang w:val="uk-UA"/>
        </w:rPr>
        <w:t>i</w:t>
      </w:r>
      <w:proofErr w:type="spellEnd"/>
      <w:r w:rsidRPr="005F0419">
        <w:rPr>
          <w:rFonts w:ascii="Times New Roman" w:hAnsi="Times New Roman" w:cs="Times New Roman"/>
          <w:sz w:val="28"/>
          <w:szCs w:val="28"/>
          <w:lang w:val="uk-UA"/>
        </w:rPr>
        <w:t xml:space="preserve"> – частка </w:t>
      </w:r>
      <w:r w:rsidRPr="005F0419">
        <w:rPr>
          <w:rFonts w:ascii="Times New Roman" w:hAnsi="Times New Roman" w:cs="Times New Roman"/>
          <w:i/>
          <w:sz w:val="28"/>
          <w:szCs w:val="28"/>
          <w:lang w:val="uk-UA"/>
        </w:rPr>
        <w:t>і</w:t>
      </w:r>
      <w:r w:rsidRPr="005F0419">
        <w:rPr>
          <w:rFonts w:ascii="Times New Roman" w:hAnsi="Times New Roman" w:cs="Times New Roman"/>
          <w:sz w:val="28"/>
          <w:szCs w:val="28"/>
          <w:lang w:val="uk-UA"/>
        </w:rPr>
        <w:t>-го виду підприємств економічної діяльності, яку необхідно оптимізувати (змінні величини).</w:t>
      </w:r>
    </w:p>
    <w:p w14:paraId="6E565AA7" w14:textId="77777777" w:rsidR="000D14FF" w:rsidRPr="005F0419" w:rsidRDefault="000D14FF" w:rsidP="000D14FF">
      <w:pPr>
        <w:spacing w:after="0" w:line="360" w:lineRule="auto"/>
        <w:ind w:firstLine="709"/>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Таблиця 9</w:t>
      </w:r>
    </w:p>
    <w:p w14:paraId="01E0AB16"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Результати пошуку оптимального портфелю інвестицій за критерієм найбільшого прибутку </w:t>
      </w:r>
    </w:p>
    <w:tbl>
      <w:tblPr>
        <w:tblW w:w="5008" w:type="pct"/>
        <w:tblInd w:w="-5"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3526"/>
        <w:gridCol w:w="1599"/>
        <w:gridCol w:w="1506"/>
        <w:gridCol w:w="1506"/>
        <w:gridCol w:w="1506"/>
      </w:tblGrid>
      <w:tr w:rsidR="000D14FF" w:rsidRPr="005F0419" w14:paraId="5338EB8A" w14:textId="77777777" w:rsidTr="007C43B0">
        <w:trPr>
          <w:trHeight w:val="288"/>
        </w:trPr>
        <w:tc>
          <w:tcPr>
            <w:tcW w:w="1828" w:type="pct"/>
            <w:vMerge w:val="restart"/>
            <w:tcBorders>
              <w:top w:val="single" w:sz="4" w:space="0" w:color="auto"/>
              <w:left w:val="single" w:sz="4" w:space="0" w:color="auto"/>
              <w:right w:val="single" w:sz="4" w:space="0" w:color="auto"/>
            </w:tcBorders>
            <w:shd w:val="clear" w:color="auto" w:fill="auto"/>
            <w:noWrap/>
            <w:vAlign w:val="center"/>
          </w:tcPr>
          <w:p w14:paraId="23102C8E" w14:textId="77777777" w:rsidR="000D14FF" w:rsidRPr="005F0419" w:rsidRDefault="000D14FF" w:rsidP="000D14FF">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Види економічної діяльності</w:t>
            </w:r>
          </w:p>
        </w:tc>
        <w:tc>
          <w:tcPr>
            <w:tcW w:w="3172"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3E8A1AF5" w14:textId="77777777" w:rsidR="000D14FF" w:rsidRPr="005F0419" w:rsidRDefault="000D14FF" w:rsidP="000D14FF">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Ступінь ризику (%)</w:t>
            </w:r>
          </w:p>
        </w:tc>
      </w:tr>
      <w:tr w:rsidR="000D14FF" w:rsidRPr="005F0419" w14:paraId="32B65F61" w14:textId="77777777" w:rsidTr="007C43B0">
        <w:trPr>
          <w:trHeight w:val="288"/>
        </w:trPr>
        <w:tc>
          <w:tcPr>
            <w:tcW w:w="1828" w:type="pct"/>
            <w:vMerge/>
            <w:tcBorders>
              <w:left w:val="single" w:sz="4" w:space="0" w:color="auto"/>
              <w:right w:val="single" w:sz="4" w:space="0" w:color="auto"/>
            </w:tcBorders>
            <w:shd w:val="clear" w:color="auto" w:fill="auto"/>
            <w:noWrap/>
            <w:vAlign w:val="center"/>
          </w:tcPr>
          <w:p w14:paraId="49B0F25C" w14:textId="77777777" w:rsidR="000D14FF" w:rsidRPr="005F0419" w:rsidRDefault="000D14FF" w:rsidP="000D14FF">
            <w:pPr>
              <w:spacing w:after="0" w:line="360" w:lineRule="auto"/>
              <w:jc w:val="both"/>
              <w:rPr>
                <w:rFonts w:ascii="Times New Roman" w:eastAsia="Times New Roman" w:hAnsi="Times New Roman" w:cs="Times New Roman"/>
                <w:sz w:val="28"/>
                <w:szCs w:val="28"/>
                <w:lang w:val="uk-UA"/>
              </w:rPr>
            </w:pP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44E9C79" w14:textId="77777777" w:rsidR="000D14FF" w:rsidRPr="005F0419" w:rsidRDefault="000D14FF" w:rsidP="000D14FF">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w:t>
            </w:r>
          </w:p>
        </w:tc>
        <w:tc>
          <w:tcPr>
            <w:tcW w:w="781" w:type="pct"/>
            <w:tcBorders>
              <w:top w:val="single" w:sz="4" w:space="0" w:color="auto"/>
              <w:left w:val="single" w:sz="4" w:space="0" w:color="auto"/>
              <w:bottom w:val="single" w:sz="4" w:space="0" w:color="auto"/>
              <w:right w:val="single" w:sz="4" w:space="0" w:color="auto"/>
            </w:tcBorders>
            <w:shd w:val="clear" w:color="auto" w:fill="auto"/>
            <w:vAlign w:val="center"/>
          </w:tcPr>
          <w:p w14:paraId="76D59AC1" w14:textId="77777777" w:rsidR="000D14FF" w:rsidRPr="005F0419" w:rsidRDefault="000D14FF" w:rsidP="000D14FF">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B9EE548" w14:textId="77777777" w:rsidR="000D14FF" w:rsidRPr="005F0419" w:rsidRDefault="000D14FF" w:rsidP="000D14FF">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3,9%</w:t>
            </w:r>
          </w:p>
        </w:tc>
        <w:tc>
          <w:tcPr>
            <w:tcW w:w="781" w:type="pct"/>
            <w:tcBorders>
              <w:top w:val="single" w:sz="4" w:space="0" w:color="auto"/>
              <w:left w:val="single" w:sz="4" w:space="0" w:color="auto"/>
              <w:bottom w:val="single" w:sz="4" w:space="0" w:color="auto"/>
              <w:right w:val="single" w:sz="4" w:space="0" w:color="auto"/>
            </w:tcBorders>
          </w:tcPr>
          <w:p w14:paraId="19CEEF13" w14:textId="77777777" w:rsidR="000D14FF" w:rsidRPr="005F0419" w:rsidRDefault="000D14FF" w:rsidP="000D14FF">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3,87%</w:t>
            </w:r>
          </w:p>
        </w:tc>
      </w:tr>
      <w:tr w:rsidR="000D14FF" w:rsidRPr="005F0419" w14:paraId="7733E07E" w14:textId="77777777" w:rsidTr="007C43B0">
        <w:trPr>
          <w:trHeight w:val="57"/>
        </w:trPr>
        <w:tc>
          <w:tcPr>
            <w:tcW w:w="1828" w:type="pct"/>
            <w:vMerge/>
            <w:tcBorders>
              <w:left w:val="single" w:sz="4" w:space="0" w:color="auto"/>
              <w:right w:val="single" w:sz="4" w:space="0" w:color="auto"/>
            </w:tcBorders>
            <w:shd w:val="clear" w:color="auto" w:fill="auto"/>
            <w:noWrap/>
            <w:vAlign w:val="center"/>
          </w:tcPr>
          <w:p w14:paraId="1975DDEA" w14:textId="77777777" w:rsidR="000D14FF" w:rsidRPr="005F0419" w:rsidRDefault="000D14FF" w:rsidP="000D14FF">
            <w:pPr>
              <w:spacing w:after="0" w:line="360" w:lineRule="auto"/>
              <w:jc w:val="both"/>
              <w:rPr>
                <w:rFonts w:ascii="Times New Roman" w:eastAsia="Times New Roman" w:hAnsi="Times New Roman" w:cs="Times New Roman"/>
                <w:sz w:val="28"/>
                <w:szCs w:val="28"/>
                <w:lang w:val="uk-UA"/>
              </w:rPr>
            </w:pPr>
          </w:p>
        </w:tc>
        <w:tc>
          <w:tcPr>
            <w:tcW w:w="3172"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59CF0D08" w14:textId="77777777" w:rsidR="000D14FF" w:rsidRPr="005F0419" w:rsidRDefault="000D14FF" w:rsidP="000D14FF">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Прибутковість (%)</w:t>
            </w:r>
          </w:p>
        </w:tc>
      </w:tr>
      <w:tr w:rsidR="000D14FF" w:rsidRPr="005F0419" w14:paraId="7B585668" w14:textId="77777777" w:rsidTr="007C43B0">
        <w:trPr>
          <w:trHeight w:val="288"/>
        </w:trPr>
        <w:tc>
          <w:tcPr>
            <w:tcW w:w="1828" w:type="pct"/>
            <w:vMerge/>
            <w:tcBorders>
              <w:left w:val="single" w:sz="4" w:space="0" w:color="auto"/>
              <w:right w:val="single" w:sz="4" w:space="0" w:color="auto"/>
            </w:tcBorders>
            <w:shd w:val="clear" w:color="auto" w:fill="auto"/>
            <w:noWrap/>
            <w:vAlign w:val="center"/>
            <w:hideMark/>
          </w:tcPr>
          <w:p w14:paraId="1C3833E4" w14:textId="77777777" w:rsidR="000D14FF" w:rsidRPr="005F0419" w:rsidRDefault="000D14FF" w:rsidP="000D14FF">
            <w:pPr>
              <w:spacing w:after="0" w:line="360" w:lineRule="auto"/>
              <w:jc w:val="both"/>
              <w:rPr>
                <w:rFonts w:ascii="Times New Roman" w:eastAsia="Times New Roman" w:hAnsi="Times New Roman" w:cs="Times New Roman"/>
                <w:sz w:val="28"/>
                <w:szCs w:val="28"/>
                <w:lang w:val="uk-UA"/>
              </w:rPr>
            </w:pP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32B7DE2" w14:textId="77777777" w:rsidR="000D14FF" w:rsidRPr="005F0419" w:rsidRDefault="000D14FF" w:rsidP="000D14FF">
            <w:pPr>
              <w:spacing w:after="0" w:line="36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19,83%</w:t>
            </w:r>
          </w:p>
        </w:tc>
        <w:tc>
          <w:tcPr>
            <w:tcW w:w="781" w:type="pct"/>
            <w:tcBorders>
              <w:top w:val="single" w:sz="4" w:space="0" w:color="auto"/>
              <w:left w:val="single" w:sz="4" w:space="0" w:color="auto"/>
              <w:bottom w:val="single" w:sz="4" w:space="0" w:color="auto"/>
              <w:right w:val="single" w:sz="4" w:space="0" w:color="auto"/>
            </w:tcBorders>
            <w:shd w:val="clear" w:color="auto" w:fill="auto"/>
            <w:vAlign w:val="center"/>
          </w:tcPr>
          <w:p w14:paraId="26890897" w14:textId="77777777" w:rsidR="000D14FF" w:rsidRPr="005F0419" w:rsidRDefault="000D14FF" w:rsidP="000D14FF">
            <w:pPr>
              <w:spacing w:after="0" w:line="36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18,17%</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21B5940" w14:textId="77777777" w:rsidR="000D14FF" w:rsidRPr="005F0419" w:rsidRDefault="000D14FF" w:rsidP="000D14FF">
            <w:pPr>
              <w:spacing w:after="0" w:line="36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17,68%</w:t>
            </w:r>
          </w:p>
        </w:tc>
        <w:tc>
          <w:tcPr>
            <w:tcW w:w="781" w:type="pct"/>
            <w:tcBorders>
              <w:top w:val="single" w:sz="4" w:space="0" w:color="auto"/>
              <w:left w:val="single" w:sz="4" w:space="0" w:color="auto"/>
              <w:bottom w:val="single" w:sz="4" w:space="0" w:color="auto"/>
              <w:right w:val="single" w:sz="4" w:space="0" w:color="auto"/>
            </w:tcBorders>
          </w:tcPr>
          <w:p w14:paraId="1E3BE8A2" w14:textId="77777777" w:rsidR="000D14FF" w:rsidRPr="005F0419" w:rsidRDefault="000D14FF" w:rsidP="000D14FF">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17,42%</w:t>
            </w:r>
          </w:p>
        </w:tc>
      </w:tr>
      <w:tr w:rsidR="000D14FF" w:rsidRPr="005F0419" w14:paraId="41DDDD53" w14:textId="77777777" w:rsidTr="007C43B0">
        <w:trPr>
          <w:trHeight w:val="170"/>
        </w:trPr>
        <w:tc>
          <w:tcPr>
            <w:tcW w:w="1828" w:type="pct"/>
            <w:vMerge/>
            <w:tcBorders>
              <w:left w:val="single" w:sz="4" w:space="0" w:color="auto"/>
              <w:bottom w:val="single" w:sz="4" w:space="0" w:color="auto"/>
              <w:right w:val="single" w:sz="4" w:space="0" w:color="auto"/>
            </w:tcBorders>
            <w:shd w:val="clear" w:color="auto" w:fill="auto"/>
            <w:noWrap/>
            <w:vAlign w:val="center"/>
          </w:tcPr>
          <w:p w14:paraId="06F7BF88" w14:textId="77777777" w:rsidR="000D14FF" w:rsidRPr="005F0419" w:rsidRDefault="000D14FF" w:rsidP="000D14FF">
            <w:pPr>
              <w:spacing w:after="0" w:line="360" w:lineRule="auto"/>
              <w:jc w:val="both"/>
              <w:rPr>
                <w:rFonts w:ascii="Times New Roman" w:hAnsi="Times New Roman" w:cs="Times New Roman"/>
                <w:sz w:val="28"/>
                <w:szCs w:val="28"/>
                <w:lang w:val="uk-UA"/>
              </w:rPr>
            </w:pPr>
          </w:p>
        </w:tc>
        <w:tc>
          <w:tcPr>
            <w:tcW w:w="3172"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697B7FAC" w14:textId="77777777" w:rsidR="000D14FF" w:rsidRPr="005F0419" w:rsidRDefault="000D14FF" w:rsidP="000D14FF">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Частка інвестиційного портфелю</w:t>
            </w:r>
          </w:p>
        </w:tc>
      </w:tr>
      <w:tr w:rsidR="000D14FF" w:rsidRPr="005F0419" w14:paraId="3C6E0106" w14:textId="77777777" w:rsidTr="007C43B0">
        <w:trPr>
          <w:trHeight w:val="669"/>
        </w:trPr>
        <w:tc>
          <w:tcPr>
            <w:tcW w:w="182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808BF2" w14:textId="77777777" w:rsidR="000D14FF" w:rsidRPr="005F0419" w:rsidRDefault="000D14FF" w:rsidP="000D14FF">
            <w:pPr>
              <w:spacing w:after="0" w:line="360" w:lineRule="auto"/>
              <w:contextualSpacing/>
              <w:rPr>
                <w:rFonts w:ascii="Times New Roman" w:hAnsi="Times New Roman" w:cs="Times New Roman"/>
                <w:sz w:val="28"/>
                <w:szCs w:val="28"/>
                <w:lang w:val="uk-UA"/>
              </w:rPr>
            </w:pPr>
            <w:r w:rsidRPr="005F0419">
              <w:rPr>
                <w:rFonts w:ascii="Times New Roman" w:hAnsi="Times New Roman" w:cs="Times New Roman"/>
                <w:sz w:val="28"/>
                <w:szCs w:val="28"/>
                <w:lang w:val="uk-UA"/>
              </w:rPr>
              <w:t>Вирощування однорічних і дворічних культур</w:t>
            </w: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5B81B"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78,30%</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F49A95"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60,39</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DB177F"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57,94</w:t>
            </w:r>
          </w:p>
        </w:tc>
        <w:tc>
          <w:tcPr>
            <w:tcW w:w="781" w:type="pct"/>
            <w:tcBorders>
              <w:top w:val="single" w:sz="4" w:space="0" w:color="auto"/>
              <w:left w:val="single" w:sz="4" w:space="0" w:color="auto"/>
              <w:bottom w:val="single" w:sz="4" w:space="0" w:color="auto"/>
              <w:right w:val="single" w:sz="4" w:space="0" w:color="auto"/>
            </w:tcBorders>
            <w:vAlign w:val="center"/>
          </w:tcPr>
          <w:p w14:paraId="2B216D62"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56,38</w:t>
            </w:r>
          </w:p>
        </w:tc>
      </w:tr>
      <w:tr w:rsidR="000D14FF" w:rsidRPr="005F0419" w14:paraId="11215044" w14:textId="77777777" w:rsidTr="007C43B0">
        <w:trPr>
          <w:trHeight w:val="669"/>
        </w:trPr>
        <w:tc>
          <w:tcPr>
            <w:tcW w:w="182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2A1466" w14:textId="77777777" w:rsidR="000D14FF" w:rsidRPr="005F0419" w:rsidRDefault="000D14FF" w:rsidP="000D14FF">
            <w:pPr>
              <w:spacing w:after="0" w:line="360" w:lineRule="auto"/>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Вирощування багаторічних культур</w:t>
            </w: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5D895C"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21,70%</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6B755F"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33,40</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82AD61"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34,30</w:t>
            </w:r>
          </w:p>
        </w:tc>
        <w:tc>
          <w:tcPr>
            <w:tcW w:w="781" w:type="pct"/>
            <w:tcBorders>
              <w:top w:val="single" w:sz="4" w:space="0" w:color="auto"/>
              <w:left w:val="single" w:sz="4" w:space="0" w:color="auto"/>
              <w:bottom w:val="single" w:sz="4" w:space="0" w:color="auto"/>
              <w:right w:val="single" w:sz="4" w:space="0" w:color="auto"/>
            </w:tcBorders>
            <w:vAlign w:val="center"/>
          </w:tcPr>
          <w:p w14:paraId="2842436C"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34,33</w:t>
            </w:r>
          </w:p>
        </w:tc>
      </w:tr>
      <w:tr w:rsidR="000D14FF" w:rsidRPr="005F0419" w14:paraId="11E97984" w14:textId="77777777" w:rsidTr="007C43B0">
        <w:trPr>
          <w:trHeight w:val="387"/>
        </w:trPr>
        <w:tc>
          <w:tcPr>
            <w:tcW w:w="182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1105DD" w14:textId="77777777" w:rsidR="000D14FF" w:rsidRPr="005F0419" w:rsidRDefault="000D14FF" w:rsidP="000D14FF">
            <w:pPr>
              <w:spacing w:after="0" w:line="360" w:lineRule="auto"/>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Відтворення рослин</w:t>
            </w: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1ABBDD" w14:textId="77777777" w:rsidR="000D14FF" w:rsidRPr="005F0419" w:rsidRDefault="000D14FF" w:rsidP="000D14FF">
            <w:pPr>
              <w:spacing w:after="0" w:line="36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A5D931" w14:textId="77777777" w:rsidR="000D14FF" w:rsidRPr="005F0419" w:rsidRDefault="000D14FF" w:rsidP="000D14FF">
            <w:pPr>
              <w:spacing w:after="0" w:line="36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89E059" w14:textId="77777777" w:rsidR="000D14FF" w:rsidRPr="005F0419" w:rsidRDefault="000D14FF" w:rsidP="000D14FF">
            <w:pPr>
              <w:spacing w:after="0" w:line="36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81" w:type="pct"/>
            <w:tcBorders>
              <w:top w:val="single" w:sz="4" w:space="0" w:color="auto"/>
              <w:left w:val="single" w:sz="4" w:space="0" w:color="auto"/>
              <w:bottom w:val="single" w:sz="4" w:space="0" w:color="auto"/>
              <w:right w:val="single" w:sz="4" w:space="0" w:color="auto"/>
            </w:tcBorders>
            <w:vAlign w:val="center"/>
          </w:tcPr>
          <w:p w14:paraId="2F70B556" w14:textId="77777777" w:rsidR="000D14FF" w:rsidRPr="005F0419" w:rsidRDefault="000D14FF" w:rsidP="000D14FF">
            <w:pPr>
              <w:spacing w:after="0" w:line="360" w:lineRule="auto"/>
              <w:contextualSpacing/>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r>
      <w:tr w:rsidR="000D14FF" w:rsidRPr="005F0419" w14:paraId="794F08C3" w14:textId="77777777" w:rsidTr="007C43B0">
        <w:trPr>
          <w:trHeight w:val="340"/>
        </w:trPr>
        <w:tc>
          <w:tcPr>
            <w:tcW w:w="182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E76531" w14:textId="77777777" w:rsidR="000D14FF" w:rsidRPr="005F0419" w:rsidRDefault="000D14FF" w:rsidP="000D14FF">
            <w:pPr>
              <w:spacing w:after="0" w:line="360" w:lineRule="auto"/>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Тваринництво</w:t>
            </w: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21D107"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5CFDA4"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7B5F68"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81" w:type="pct"/>
            <w:tcBorders>
              <w:top w:val="single" w:sz="4" w:space="0" w:color="auto"/>
              <w:left w:val="single" w:sz="4" w:space="0" w:color="auto"/>
              <w:bottom w:val="single" w:sz="4" w:space="0" w:color="auto"/>
              <w:right w:val="single" w:sz="4" w:space="0" w:color="auto"/>
            </w:tcBorders>
            <w:vAlign w:val="center"/>
          </w:tcPr>
          <w:p w14:paraId="32080906"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0,82</w:t>
            </w:r>
          </w:p>
        </w:tc>
      </w:tr>
      <w:tr w:rsidR="000D14FF" w:rsidRPr="005F0419" w14:paraId="5A47FD53" w14:textId="77777777" w:rsidTr="007C43B0">
        <w:trPr>
          <w:trHeight w:val="286"/>
        </w:trPr>
        <w:tc>
          <w:tcPr>
            <w:tcW w:w="182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101C05" w14:textId="77777777" w:rsidR="000D14FF" w:rsidRPr="005F0419" w:rsidRDefault="000D14FF" w:rsidP="000D14FF">
            <w:pPr>
              <w:spacing w:after="0" w:line="360" w:lineRule="auto"/>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Змішане сільське господарство</w:t>
            </w: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0FDD55"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AAE6D5"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6,21</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667B3A"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7,77</w:t>
            </w:r>
          </w:p>
        </w:tc>
        <w:tc>
          <w:tcPr>
            <w:tcW w:w="781" w:type="pct"/>
            <w:tcBorders>
              <w:top w:val="single" w:sz="4" w:space="0" w:color="auto"/>
              <w:left w:val="single" w:sz="4" w:space="0" w:color="auto"/>
              <w:bottom w:val="single" w:sz="4" w:space="0" w:color="auto"/>
              <w:right w:val="single" w:sz="4" w:space="0" w:color="auto"/>
            </w:tcBorders>
            <w:vAlign w:val="center"/>
          </w:tcPr>
          <w:p w14:paraId="05925809"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8,48</w:t>
            </w:r>
          </w:p>
        </w:tc>
      </w:tr>
      <w:tr w:rsidR="000D14FF" w:rsidRPr="005F0419" w14:paraId="12EB5F9C" w14:textId="77777777" w:rsidTr="007C43B0">
        <w:trPr>
          <w:trHeight w:val="669"/>
        </w:trPr>
        <w:tc>
          <w:tcPr>
            <w:tcW w:w="182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CE51DD" w14:textId="77777777" w:rsidR="000D14FF" w:rsidRPr="005F0419" w:rsidRDefault="000D14FF" w:rsidP="000D14FF">
            <w:pPr>
              <w:spacing w:after="0" w:line="360" w:lineRule="auto"/>
              <w:contextualSpacing/>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Допоміжна діяльність у </w:t>
            </w:r>
            <w:proofErr w:type="spellStart"/>
            <w:r w:rsidRPr="005F0419">
              <w:rPr>
                <w:rFonts w:ascii="Times New Roman" w:hAnsi="Times New Roman" w:cs="Times New Roman"/>
                <w:sz w:val="28"/>
                <w:szCs w:val="28"/>
                <w:lang w:val="uk-UA"/>
              </w:rPr>
              <w:t>с.г</w:t>
            </w:r>
            <w:proofErr w:type="spellEnd"/>
            <w:r w:rsidRPr="005F0419">
              <w:rPr>
                <w:rFonts w:ascii="Times New Roman" w:hAnsi="Times New Roman" w:cs="Times New Roman"/>
                <w:sz w:val="28"/>
                <w:szCs w:val="28"/>
                <w:lang w:val="uk-UA"/>
              </w:rPr>
              <w:t xml:space="preserve">. </w:t>
            </w:r>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42756AB"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4348741"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8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E35BE1A"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81" w:type="pct"/>
            <w:tcBorders>
              <w:top w:val="single" w:sz="4" w:space="0" w:color="auto"/>
              <w:left w:val="single" w:sz="4" w:space="0" w:color="auto"/>
              <w:bottom w:val="single" w:sz="4" w:space="0" w:color="auto"/>
              <w:right w:val="single" w:sz="4" w:space="0" w:color="auto"/>
            </w:tcBorders>
            <w:vAlign w:val="center"/>
          </w:tcPr>
          <w:p w14:paraId="0ECABE18" w14:textId="77777777" w:rsidR="000D14FF" w:rsidRPr="005F0419" w:rsidRDefault="000D14FF" w:rsidP="000D14FF">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r>
    </w:tbl>
    <w:p w14:paraId="6ABFA2AF" w14:textId="77777777" w:rsidR="000D14FF" w:rsidRPr="005F0419" w:rsidRDefault="000D14FF" w:rsidP="000D14FF">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розраховано автором.</w:t>
      </w:r>
    </w:p>
    <w:p w14:paraId="7920F664" w14:textId="77777777" w:rsidR="000D14FF" w:rsidRPr="005F0419" w:rsidRDefault="000D14FF" w:rsidP="000D14FF">
      <w:pPr>
        <w:spacing w:after="0" w:line="360" w:lineRule="auto"/>
        <w:ind w:firstLine="720"/>
        <w:jc w:val="both"/>
        <w:rPr>
          <w:rFonts w:ascii="Times New Roman" w:hAnsi="Times New Roman" w:cs="Times New Roman"/>
          <w:sz w:val="28"/>
          <w:szCs w:val="28"/>
          <w:lang w:val="uk-UA"/>
        </w:rPr>
      </w:pPr>
    </w:p>
    <w:p w14:paraId="17D2136B" w14:textId="5318CA97" w:rsidR="00113886" w:rsidRPr="005F0419" w:rsidRDefault="00113886" w:rsidP="000D14FF">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В таблиці 10 наведено результати пошуку оптимального портфелю інвестицій за критерієм найменшого ризику за умови поступового збільшення прибутку капіталовкладень.</w:t>
      </w:r>
    </w:p>
    <w:p w14:paraId="713FA870" w14:textId="77777777" w:rsidR="00113886" w:rsidRPr="005F0419" w:rsidRDefault="00113886" w:rsidP="00113886">
      <w:pPr>
        <w:spacing w:after="0" w:line="360" w:lineRule="auto"/>
        <w:ind w:firstLine="709"/>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ab/>
        <w:t>Таблиця 10</w:t>
      </w:r>
    </w:p>
    <w:p w14:paraId="322DD636" w14:textId="77777777" w:rsidR="00113886" w:rsidRPr="005F0419" w:rsidRDefault="00113886" w:rsidP="00113886">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Результати пошуку оптимального портфелю інвестицій за критерієм найменшого ризику </w:t>
      </w:r>
    </w:p>
    <w:tbl>
      <w:tblPr>
        <w:tblW w:w="5004" w:type="pct"/>
        <w:tblInd w:w="-5"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2984"/>
        <w:gridCol w:w="1715"/>
        <w:gridCol w:w="1723"/>
        <w:gridCol w:w="1499"/>
        <w:gridCol w:w="1715"/>
      </w:tblGrid>
      <w:tr w:rsidR="00113886" w:rsidRPr="005F0419" w14:paraId="3EE7823B" w14:textId="77777777" w:rsidTr="00113886">
        <w:trPr>
          <w:trHeight w:val="288"/>
        </w:trPr>
        <w:tc>
          <w:tcPr>
            <w:tcW w:w="1548" w:type="pct"/>
            <w:vMerge w:val="restart"/>
            <w:tcBorders>
              <w:top w:val="single" w:sz="4" w:space="0" w:color="auto"/>
              <w:left w:val="single" w:sz="4" w:space="0" w:color="auto"/>
              <w:right w:val="single" w:sz="4" w:space="0" w:color="auto"/>
            </w:tcBorders>
            <w:shd w:val="clear" w:color="auto" w:fill="auto"/>
            <w:noWrap/>
            <w:vAlign w:val="center"/>
          </w:tcPr>
          <w:p w14:paraId="237FA378"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Види економічної діяльності</w:t>
            </w:r>
          </w:p>
        </w:tc>
        <w:tc>
          <w:tcPr>
            <w:tcW w:w="3452"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72AF01DD"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Ступінь ризику (%)</w:t>
            </w:r>
          </w:p>
        </w:tc>
      </w:tr>
      <w:tr w:rsidR="00113886" w:rsidRPr="005F0419" w14:paraId="24ACE227" w14:textId="77777777" w:rsidTr="00113886">
        <w:trPr>
          <w:trHeight w:val="288"/>
        </w:trPr>
        <w:tc>
          <w:tcPr>
            <w:tcW w:w="1548" w:type="pct"/>
            <w:vMerge/>
            <w:tcBorders>
              <w:left w:val="single" w:sz="4" w:space="0" w:color="auto"/>
              <w:right w:val="single" w:sz="4" w:space="0" w:color="auto"/>
            </w:tcBorders>
            <w:shd w:val="clear" w:color="auto" w:fill="auto"/>
            <w:noWrap/>
            <w:vAlign w:val="center"/>
          </w:tcPr>
          <w:p w14:paraId="527BF084" w14:textId="77777777" w:rsidR="00113886" w:rsidRPr="005F0419" w:rsidRDefault="00113886" w:rsidP="000D14FF">
            <w:pPr>
              <w:spacing w:after="0" w:line="240" w:lineRule="auto"/>
              <w:jc w:val="both"/>
              <w:rPr>
                <w:rFonts w:ascii="Times New Roman" w:eastAsia="Times New Roman" w:hAnsi="Times New Roman" w:cs="Times New Roman"/>
                <w:sz w:val="28"/>
                <w:szCs w:val="28"/>
                <w:lang w:val="uk-UA"/>
              </w:rPr>
            </w:pPr>
          </w:p>
        </w:tc>
        <w:tc>
          <w:tcPr>
            <w:tcW w:w="89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7C6E50C"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4,88%</w:t>
            </w:r>
          </w:p>
        </w:tc>
        <w:tc>
          <w:tcPr>
            <w:tcW w:w="894" w:type="pct"/>
            <w:tcBorders>
              <w:top w:val="single" w:sz="4" w:space="0" w:color="auto"/>
              <w:left w:val="single" w:sz="4" w:space="0" w:color="auto"/>
              <w:bottom w:val="single" w:sz="4" w:space="0" w:color="auto"/>
              <w:right w:val="single" w:sz="4" w:space="0" w:color="auto"/>
            </w:tcBorders>
            <w:shd w:val="clear" w:color="auto" w:fill="auto"/>
            <w:vAlign w:val="center"/>
          </w:tcPr>
          <w:p w14:paraId="244DE92F"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3,95%</w:t>
            </w:r>
          </w:p>
        </w:tc>
        <w:tc>
          <w:tcPr>
            <w:tcW w:w="7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BF7723C"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3,84%</w:t>
            </w:r>
          </w:p>
        </w:tc>
        <w:tc>
          <w:tcPr>
            <w:tcW w:w="890" w:type="pct"/>
            <w:tcBorders>
              <w:top w:val="single" w:sz="4" w:space="0" w:color="auto"/>
              <w:left w:val="single" w:sz="4" w:space="0" w:color="auto"/>
              <w:bottom w:val="single" w:sz="4" w:space="0" w:color="auto"/>
              <w:right w:val="single" w:sz="4" w:space="0" w:color="auto"/>
            </w:tcBorders>
          </w:tcPr>
          <w:p w14:paraId="3EE6508C"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w:t>
            </w:r>
          </w:p>
        </w:tc>
      </w:tr>
      <w:tr w:rsidR="00113886" w:rsidRPr="005F0419" w14:paraId="139FE435" w14:textId="77777777" w:rsidTr="00113886">
        <w:trPr>
          <w:trHeight w:val="288"/>
        </w:trPr>
        <w:tc>
          <w:tcPr>
            <w:tcW w:w="1548" w:type="pct"/>
            <w:vMerge/>
            <w:tcBorders>
              <w:left w:val="single" w:sz="4" w:space="0" w:color="auto"/>
              <w:right w:val="single" w:sz="4" w:space="0" w:color="auto"/>
            </w:tcBorders>
            <w:shd w:val="clear" w:color="auto" w:fill="auto"/>
            <w:noWrap/>
            <w:vAlign w:val="center"/>
          </w:tcPr>
          <w:p w14:paraId="176CBD19" w14:textId="77777777" w:rsidR="00113886" w:rsidRPr="005F0419" w:rsidRDefault="00113886" w:rsidP="000D14FF">
            <w:pPr>
              <w:spacing w:after="0" w:line="240" w:lineRule="auto"/>
              <w:jc w:val="both"/>
              <w:rPr>
                <w:rFonts w:ascii="Times New Roman" w:eastAsia="Times New Roman" w:hAnsi="Times New Roman" w:cs="Times New Roman"/>
                <w:sz w:val="28"/>
                <w:szCs w:val="28"/>
                <w:lang w:val="uk-UA"/>
              </w:rPr>
            </w:pPr>
          </w:p>
        </w:tc>
        <w:tc>
          <w:tcPr>
            <w:tcW w:w="3452" w:type="pct"/>
            <w:gridSpan w:val="4"/>
            <w:tcBorders>
              <w:top w:val="single" w:sz="4" w:space="0" w:color="auto"/>
              <w:left w:val="single" w:sz="4" w:space="0" w:color="auto"/>
              <w:bottom w:val="single" w:sz="4" w:space="0" w:color="auto"/>
              <w:right w:val="single" w:sz="4" w:space="0" w:color="auto"/>
            </w:tcBorders>
            <w:shd w:val="clear" w:color="auto" w:fill="auto"/>
            <w:noWrap/>
            <w:vAlign w:val="center"/>
          </w:tcPr>
          <w:p w14:paraId="419F3422"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Прибутковість (%)</w:t>
            </w:r>
          </w:p>
        </w:tc>
      </w:tr>
      <w:tr w:rsidR="00113886" w:rsidRPr="005F0419" w14:paraId="30141FEA" w14:textId="77777777" w:rsidTr="00113886">
        <w:trPr>
          <w:trHeight w:val="288"/>
        </w:trPr>
        <w:tc>
          <w:tcPr>
            <w:tcW w:w="1548" w:type="pct"/>
            <w:vMerge/>
            <w:tcBorders>
              <w:left w:val="single" w:sz="4" w:space="0" w:color="auto"/>
              <w:right w:val="single" w:sz="4" w:space="0" w:color="auto"/>
            </w:tcBorders>
            <w:shd w:val="clear" w:color="auto" w:fill="auto"/>
            <w:noWrap/>
            <w:vAlign w:val="center"/>
            <w:hideMark/>
          </w:tcPr>
          <w:p w14:paraId="78026F49" w14:textId="77777777" w:rsidR="00113886" w:rsidRPr="005F0419" w:rsidRDefault="00113886" w:rsidP="000D14FF">
            <w:pPr>
              <w:spacing w:after="0" w:line="240" w:lineRule="auto"/>
              <w:jc w:val="both"/>
              <w:rPr>
                <w:rFonts w:ascii="Times New Roman" w:eastAsia="Times New Roman" w:hAnsi="Times New Roman" w:cs="Times New Roman"/>
                <w:sz w:val="28"/>
                <w:szCs w:val="28"/>
                <w:lang w:val="uk-UA"/>
              </w:rPr>
            </w:pPr>
          </w:p>
        </w:tc>
        <w:tc>
          <w:tcPr>
            <w:tcW w:w="89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0743FE7"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w:t>
            </w:r>
          </w:p>
        </w:tc>
        <w:tc>
          <w:tcPr>
            <w:tcW w:w="894" w:type="pct"/>
            <w:tcBorders>
              <w:top w:val="single" w:sz="4" w:space="0" w:color="auto"/>
              <w:left w:val="single" w:sz="4" w:space="0" w:color="auto"/>
              <w:bottom w:val="single" w:sz="4" w:space="0" w:color="auto"/>
              <w:right w:val="single" w:sz="4" w:space="0" w:color="auto"/>
            </w:tcBorders>
            <w:shd w:val="clear" w:color="auto" w:fill="auto"/>
            <w:vAlign w:val="center"/>
          </w:tcPr>
          <w:p w14:paraId="56C44879"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18%</w:t>
            </w:r>
          </w:p>
        </w:tc>
        <w:tc>
          <w:tcPr>
            <w:tcW w:w="7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31D35B4"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17%</w:t>
            </w:r>
          </w:p>
        </w:tc>
        <w:tc>
          <w:tcPr>
            <w:tcW w:w="890" w:type="pct"/>
            <w:tcBorders>
              <w:top w:val="single" w:sz="4" w:space="0" w:color="auto"/>
              <w:left w:val="single" w:sz="4" w:space="0" w:color="auto"/>
              <w:bottom w:val="single" w:sz="4" w:space="0" w:color="auto"/>
              <w:right w:val="single" w:sz="4" w:space="0" w:color="auto"/>
            </w:tcBorders>
          </w:tcPr>
          <w:p w14:paraId="52A21BDF"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10%</w:t>
            </w:r>
          </w:p>
        </w:tc>
      </w:tr>
      <w:tr w:rsidR="00113886" w:rsidRPr="005F0419" w14:paraId="1DC05F81" w14:textId="77777777" w:rsidTr="00113886">
        <w:trPr>
          <w:trHeight w:val="352"/>
        </w:trPr>
        <w:tc>
          <w:tcPr>
            <w:tcW w:w="1548" w:type="pct"/>
            <w:vMerge/>
            <w:tcBorders>
              <w:left w:val="single" w:sz="4" w:space="0" w:color="auto"/>
              <w:bottom w:val="single" w:sz="4" w:space="0" w:color="auto"/>
              <w:right w:val="single" w:sz="4" w:space="0" w:color="auto"/>
            </w:tcBorders>
            <w:shd w:val="clear" w:color="auto" w:fill="auto"/>
            <w:noWrap/>
            <w:vAlign w:val="center"/>
          </w:tcPr>
          <w:p w14:paraId="0F192F0D" w14:textId="77777777" w:rsidR="00113886" w:rsidRPr="005F0419" w:rsidRDefault="00113886" w:rsidP="000D14FF">
            <w:pPr>
              <w:spacing w:after="0" w:line="240" w:lineRule="auto"/>
              <w:jc w:val="both"/>
              <w:rPr>
                <w:rFonts w:ascii="Times New Roman" w:hAnsi="Times New Roman" w:cs="Times New Roman"/>
                <w:sz w:val="28"/>
                <w:szCs w:val="28"/>
                <w:lang w:val="uk-UA"/>
              </w:rPr>
            </w:pPr>
          </w:p>
        </w:tc>
        <w:tc>
          <w:tcPr>
            <w:tcW w:w="3452" w:type="pct"/>
            <w:gridSpan w:val="4"/>
            <w:tcBorders>
              <w:top w:val="single" w:sz="4" w:space="0" w:color="auto"/>
              <w:left w:val="single" w:sz="4" w:space="0" w:color="auto"/>
              <w:bottom w:val="single" w:sz="4" w:space="0" w:color="auto"/>
              <w:right w:val="single" w:sz="4" w:space="0" w:color="auto"/>
            </w:tcBorders>
            <w:shd w:val="clear" w:color="auto" w:fill="auto"/>
            <w:noWrap/>
          </w:tcPr>
          <w:p w14:paraId="542EAD6F" w14:textId="77777777" w:rsidR="00113886" w:rsidRPr="005F0419" w:rsidRDefault="00113886" w:rsidP="000D14FF">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Частка інвестиційного портфелю</w:t>
            </w:r>
          </w:p>
        </w:tc>
      </w:tr>
      <w:tr w:rsidR="00113886" w:rsidRPr="005F0419" w14:paraId="5A61C8C1" w14:textId="77777777" w:rsidTr="00113886">
        <w:trPr>
          <w:trHeight w:val="669"/>
        </w:trPr>
        <w:tc>
          <w:tcPr>
            <w:tcW w:w="1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1CAC14" w14:textId="77777777" w:rsidR="00113886" w:rsidRPr="005F0419" w:rsidRDefault="00113886" w:rsidP="000D14FF">
            <w:pPr>
              <w:spacing w:after="0" w:line="24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Вирощування однорічних і дворічних культур</w:t>
            </w:r>
          </w:p>
        </w:tc>
        <w:tc>
          <w:tcPr>
            <w:tcW w:w="8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0281C2"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69,65</w:t>
            </w:r>
          </w:p>
        </w:tc>
        <w:tc>
          <w:tcPr>
            <w:tcW w:w="8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38F17B"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59,54</w:t>
            </w:r>
          </w:p>
        </w:tc>
        <w:tc>
          <w:tcPr>
            <w:tcW w:w="7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94B4DC"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43,47</w:t>
            </w:r>
          </w:p>
        </w:tc>
        <w:tc>
          <w:tcPr>
            <w:tcW w:w="890" w:type="pct"/>
            <w:tcBorders>
              <w:top w:val="single" w:sz="4" w:space="0" w:color="auto"/>
              <w:left w:val="single" w:sz="4" w:space="0" w:color="auto"/>
              <w:bottom w:val="single" w:sz="4" w:space="0" w:color="auto"/>
              <w:right w:val="single" w:sz="4" w:space="0" w:color="auto"/>
            </w:tcBorders>
            <w:vAlign w:val="center"/>
          </w:tcPr>
          <w:p w14:paraId="28EAFFBD"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64,59</w:t>
            </w:r>
          </w:p>
        </w:tc>
      </w:tr>
      <w:tr w:rsidR="00113886" w:rsidRPr="005F0419" w14:paraId="03790E0D" w14:textId="77777777" w:rsidTr="00113886">
        <w:trPr>
          <w:trHeight w:val="669"/>
        </w:trPr>
        <w:tc>
          <w:tcPr>
            <w:tcW w:w="1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5F7ECF" w14:textId="77777777" w:rsidR="00113886" w:rsidRPr="005F0419" w:rsidRDefault="00113886" w:rsidP="000D14F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Вирощування багаторічних культур</w:t>
            </w:r>
          </w:p>
        </w:tc>
        <w:tc>
          <w:tcPr>
            <w:tcW w:w="8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90BE38"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30,05</w:t>
            </w:r>
          </w:p>
        </w:tc>
        <w:tc>
          <w:tcPr>
            <w:tcW w:w="8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DE16ED"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33,72</w:t>
            </w:r>
          </w:p>
        </w:tc>
        <w:tc>
          <w:tcPr>
            <w:tcW w:w="7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225EDC"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24,00</w:t>
            </w:r>
          </w:p>
        </w:tc>
        <w:tc>
          <w:tcPr>
            <w:tcW w:w="890" w:type="pct"/>
            <w:tcBorders>
              <w:top w:val="single" w:sz="4" w:space="0" w:color="auto"/>
              <w:left w:val="single" w:sz="4" w:space="0" w:color="auto"/>
              <w:bottom w:val="single" w:sz="4" w:space="0" w:color="auto"/>
              <w:right w:val="single" w:sz="4" w:space="0" w:color="auto"/>
            </w:tcBorders>
            <w:vAlign w:val="center"/>
          </w:tcPr>
          <w:p w14:paraId="619DF2D0"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31,89</w:t>
            </w:r>
          </w:p>
        </w:tc>
      </w:tr>
      <w:tr w:rsidR="00113886" w:rsidRPr="005F0419" w14:paraId="5DD0188D" w14:textId="77777777" w:rsidTr="00113886">
        <w:trPr>
          <w:trHeight w:val="387"/>
        </w:trPr>
        <w:tc>
          <w:tcPr>
            <w:tcW w:w="1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1CBF32" w14:textId="77777777" w:rsidR="00113886" w:rsidRPr="005F0419" w:rsidRDefault="00113886" w:rsidP="000D14F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Відтворення рослин</w:t>
            </w:r>
          </w:p>
        </w:tc>
        <w:tc>
          <w:tcPr>
            <w:tcW w:w="8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DFBD07"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8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63838B"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BA48B4"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890" w:type="pct"/>
            <w:tcBorders>
              <w:top w:val="single" w:sz="4" w:space="0" w:color="auto"/>
              <w:left w:val="single" w:sz="4" w:space="0" w:color="auto"/>
              <w:bottom w:val="single" w:sz="4" w:space="0" w:color="auto"/>
              <w:right w:val="single" w:sz="4" w:space="0" w:color="auto"/>
            </w:tcBorders>
            <w:vAlign w:val="center"/>
          </w:tcPr>
          <w:p w14:paraId="6E842018"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r>
      <w:tr w:rsidR="00113886" w:rsidRPr="005F0419" w14:paraId="3B665779" w14:textId="77777777" w:rsidTr="00113886">
        <w:trPr>
          <w:trHeight w:val="535"/>
        </w:trPr>
        <w:tc>
          <w:tcPr>
            <w:tcW w:w="1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4ABF5A" w14:textId="77777777" w:rsidR="00113886" w:rsidRPr="005F0419" w:rsidRDefault="00113886" w:rsidP="000D14F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Тваринництво</w:t>
            </w:r>
          </w:p>
        </w:tc>
        <w:tc>
          <w:tcPr>
            <w:tcW w:w="8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9BA947"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8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B9CA82"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9A9C2C"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23,73</w:t>
            </w:r>
          </w:p>
        </w:tc>
        <w:tc>
          <w:tcPr>
            <w:tcW w:w="890" w:type="pct"/>
            <w:tcBorders>
              <w:top w:val="single" w:sz="4" w:space="0" w:color="auto"/>
              <w:left w:val="single" w:sz="4" w:space="0" w:color="auto"/>
              <w:bottom w:val="single" w:sz="4" w:space="0" w:color="auto"/>
              <w:right w:val="single" w:sz="4" w:space="0" w:color="auto"/>
            </w:tcBorders>
            <w:vAlign w:val="center"/>
          </w:tcPr>
          <w:p w14:paraId="1765E747"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r>
      <w:tr w:rsidR="00113886" w:rsidRPr="005F0419" w14:paraId="0870FCC6" w14:textId="77777777" w:rsidTr="00113886">
        <w:trPr>
          <w:trHeight w:val="557"/>
        </w:trPr>
        <w:tc>
          <w:tcPr>
            <w:tcW w:w="15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369E23" w14:textId="77777777" w:rsidR="00113886" w:rsidRPr="005F0419" w:rsidRDefault="00113886" w:rsidP="000D14F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Змішане сільське господарство</w:t>
            </w:r>
          </w:p>
        </w:tc>
        <w:tc>
          <w:tcPr>
            <w:tcW w:w="89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5D951C"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0,30</w:t>
            </w:r>
          </w:p>
        </w:tc>
        <w:tc>
          <w:tcPr>
            <w:tcW w:w="89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2E1854"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6,74</w:t>
            </w:r>
          </w:p>
        </w:tc>
        <w:tc>
          <w:tcPr>
            <w:tcW w:w="77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684174"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8,80</w:t>
            </w:r>
          </w:p>
        </w:tc>
        <w:tc>
          <w:tcPr>
            <w:tcW w:w="890" w:type="pct"/>
            <w:tcBorders>
              <w:top w:val="single" w:sz="4" w:space="0" w:color="auto"/>
              <w:left w:val="single" w:sz="4" w:space="0" w:color="auto"/>
              <w:bottom w:val="single" w:sz="4" w:space="0" w:color="auto"/>
              <w:right w:val="single" w:sz="4" w:space="0" w:color="auto"/>
            </w:tcBorders>
            <w:vAlign w:val="center"/>
          </w:tcPr>
          <w:p w14:paraId="0CA3F169"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3,52</w:t>
            </w:r>
          </w:p>
        </w:tc>
      </w:tr>
      <w:tr w:rsidR="00113886" w:rsidRPr="005F0419" w14:paraId="38337407" w14:textId="77777777" w:rsidTr="00113886">
        <w:trPr>
          <w:trHeight w:val="669"/>
        </w:trPr>
        <w:tc>
          <w:tcPr>
            <w:tcW w:w="154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19DF12C" w14:textId="77777777" w:rsidR="00113886" w:rsidRPr="005F0419" w:rsidRDefault="00113886" w:rsidP="000D14FF">
            <w:pPr>
              <w:spacing w:after="0" w:line="24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Допоміжна діяльність у сільському господарстві </w:t>
            </w:r>
          </w:p>
        </w:tc>
        <w:tc>
          <w:tcPr>
            <w:tcW w:w="89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33A1C7F"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894"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764032F"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77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2DB141D"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c>
          <w:tcPr>
            <w:tcW w:w="890" w:type="pct"/>
            <w:tcBorders>
              <w:top w:val="single" w:sz="4" w:space="0" w:color="auto"/>
              <w:left w:val="single" w:sz="4" w:space="0" w:color="auto"/>
              <w:bottom w:val="single" w:sz="4" w:space="0" w:color="auto"/>
              <w:right w:val="single" w:sz="4" w:space="0" w:color="auto"/>
            </w:tcBorders>
            <w:vAlign w:val="center"/>
          </w:tcPr>
          <w:p w14:paraId="399F880F" w14:textId="77777777" w:rsidR="00113886" w:rsidRPr="005F0419" w:rsidRDefault="00113886" w:rsidP="000D14FF">
            <w:pPr>
              <w:spacing w:after="0" w:line="24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0,00</w:t>
            </w:r>
          </w:p>
        </w:tc>
      </w:tr>
    </w:tbl>
    <w:p w14:paraId="28F6FC72" w14:textId="236D6E4A"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розраховано автором</w:t>
      </w:r>
      <w:r w:rsidR="000D14FF" w:rsidRPr="005F0419">
        <w:rPr>
          <w:rFonts w:ascii="Times New Roman" w:hAnsi="Times New Roman" w:cs="Times New Roman"/>
          <w:sz w:val="28"/>
          <w:szCs w:val="28"/>
          <w:lang w:val="uk-UA"/>
        </w:rPr>
        <w:t>.</w:t>
      </w:r>
    </w:p>
    <w:p w14:paraId="697DEF0E" w14:textId="77777777" w:rsidR="000D14FF" w:rsidRPr="005F0419" w:rsidRDefault="000D14FF" w:rsidP="00113886">
      <w:pPr>
        <w:spacing w:after="0" w:line="360" w:lineRule="auto"/>
        <w:ind w:firstLine="709"/>
        <w:jc w:val="both"/>
        <w:rPr>
          <w:rFonts w:ascii="Times New Roman" w:hAnsi="Times New Roman" w:cs="Times New Roman"/>
          <w:sz w:val="28"/>
          <w:szCs w:val="28"/>
          <w:lang w:val="uk-UA"/>
        </w:rPr>
      </w:pPr>
    </w:p>
    <w:p w14:paraId="263F7B54" w14:textId="51634C96"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Отриманий оптимальний розв’язок задачі пошуку оптимального портфелю інвестицій у сільськогосподарські показує, що для отримання найвищого рівня прибутковості капіталовкладень потрібно інвестувати 17%-18%, при цьому знизити ступінь ризику до найменшого у 3,85% потрібно провести диверсифікацію капіталовкладень. Поряд із вкладанням 43% коштів у галузь «Вирощування однорічних і дворічних культур» та  24% коштів в сферу «Вирощування багаторічних культур», потрібно 24% капіталовкладень залучити у «Тваринництво» та 9% у галузь «Змішане сільське господарство».</w:t>
      </w:r>
    </w:p>
    <w:p w14:paraId="6C6B1E27"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Згідно з методологією Всесвітнього економічного форуму, всі країни діляться на три групи за стадіями розвитку. На першій стадії розвитку (</w:t>
      </w:r>
      <w:proofErr w:type="spellStart"/>
      <w:r w:rsidRPr="005F0419">
        <w:rPr>
          <w:rFonts w:ascii="Times New Roman" w:hAnsi="Times New Roman" w:cs="Times New Roman"/>
          <w:sz w:val="28"/>
          <w:szCs w:val="28"/>
          <w:lang w:val="uk-UA"/>
        </w:rPr>
        <w:t>factor-driven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stage</w:t>
      </w:r>
      <w:proofErr w:type="spellEnd"/>
      <w:r w:rsidRPr="005F0419">
        <w:rPr>
          <w:rFonts w:ascii="Times New Roman" w:hAnsi="Times New Roman" w:cs="Times New Roman"/>
          <w:sz w:val="28"/>
          <w:szCs w:val="28"/>
          <w:lang w:val="uk-UA"/>
        </w:rPr>
        <w:t>) країни конкурують між собою за допомогою низьких цін, оскільки активно використовують природні ресурси та дешеву робочу силу. На другій стадії розвитку (</w:t>
      </w:r>
      <w:proofErr w:type="spellStart"/>
      <w:r w:rsidRPr="005F0419">
        <w:rPr>
          <w:rFonts w:ascii="Times New Roman" w:hAnsi="Times New Roman" w:cs="Times New Roman"/>
          <w:sz w:val="28"/>
          <w:szCs w:val="28"/>
          <w:lang w:val="uk-UA"/>
        </w:rPr>
        <w:t>efficiency-driven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stage</w:t>
      </w:r>
      <w:proofErr w:type="spellEnd"/>
      <w:r w:rsidRPr="005F0419">
        <w:rPr>
          <w:rFonts w:ascii="Times New Roman" w:hAnsi="Times New Roman" w:cs="Times New Roman"/>
          <w:sz w:val="28"/>
          <w:szCs w:val="28"/>
          <w:lang w:val="uk-UA"/>
        </w:rPr>
        <w:t>) важливими є ефективність виробництва, приплив інвестицій, поліпшення інфраструктури та взаємодія бізнесу з державою. Країни, що знаходяться на третій стадії розвитку (</w:t>
      </w:r>
      <w:proofErr w:type="spellStart"/>
      <w:r w:rsidRPr="005F0419">
        <w:rPr>
          <w:rFonts w:ascii="Times New Roman" w:hAnsi="Times New Roman" w:cs="Times New Roman"/>
          <w:sz w:val="28"/>
          <w:szCs w:val="28"/>
          <w:lang w:val="uk-UA"/>
        </w:rPr>
        <w:t>innovation-driven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stage</w:t>
      </w:r>
      <w:proofErr w:type="spellEnd"/>
      <w:r w:rsidRPr="005F0419">
        <w:rPr>
          <w:rFonts w:ascii="Times New Roman" w:hAnsi="Times New Roman" w:cs="Times New Roman"/>
          <w:sz w:val="28"/>
          <w:szCs w:val="28"/>
          <w:lang w:val="uk-UA"/>
        </w:rPr>
        <w:t>), вибудовують свою економіку не тільки на основі ефективності, а й на базі інновацій, які сприяють виробництву диверсифікованої та високотехнологічної продукції. Перехід від вирощування однорічних культур до багаторічних та їх переробки, до виробничої діяльності у галузі тваринництва є, в деякій мірі, переходом від першої стадії розвитку країни до другої згідно наведеної вище термінології. Саме реструктуризація та диверсифікація інвестиційної діяльності у галузі сільського господарства повинні стати поштовхом для переходу української аграрної індустрії на сучасні європейські технологічні стандарти.</w:t>
      </w:r>
    </w:p>
    <w:p w14:paraId="6470B9CC" w14:textId="7777777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Перспективними напрямами подальшого дослідження визначеної тематики  є напрацювання методів практичного застосування отриманих результатів для проведення інвестиційної діяльності в реальному секторі індустрії аграрного сектору економіки. </w:t>
      </w:r>
    </w:p>
    <w:p w14:paraId="29E4A3B0" w14:textId="77777777" w:rsidR="000D14FF" w:rsidRPr="005F0419" w:rsidRDefault="000D14FF" w:rsidP="00113886">
      <w:pPr>
        <w:spacing w:after="0" w:line="360" w:lineRule="auto"/>
        <w:ind w:firstLine="709"/>
        <w:jc w:val="center"/>
        <w:rPr>
          <w:rFonts w:ascii="Times New Roman" w:hAnsi="Times New Roman" w:cs="Times New Roman"/>
          <w:sz w:val="28"/>
          <w:szCs w:val="28"/>
          <w:lang w:val="uk-UA"/>
        </w:rPr>
      </w:pPr>
    </w:p>
    <w:p w14:paraId="06E2E83F" w14:textId="77777777" w:rsidR="000D14FF" w:rsidRPr="005F0419" w:rsidRDefault="000D14FF" w:rsidP="000D14FF">
      <w:pPr>
        <w:spacing w:after="0" w:line="360" w:lineRule="auto"/>
        <w:ind w:firstLine="720"/>
        <w:jc w:val="center"/>
        <w:rPr>
          <w:rFonts w:ascii="Times New Roman" w:hAnsi="Times New Roman" w:cs="Times New Roman"/>
          <w:b/>
          <w:bCs/>
          <w:sz w:val="28"/>
          <w:szCs w:val="28"/>
          <w:lang w:val="uk-UA"/>
        </w:rPr>
      </w:pPr>
      <w:r w:rsidRPr="005F0419">
        <w:rPr>
          <w:rFonts w:ascii="Times New Roman" w:hAnsi="Times New Roman" w:cs="Times New Roman"/>
          <w:b/>
          <w:bCs/>
          <w:sz w:val="28"/>
          <w:szCs w:val="28"/>
          <w:lang w:val="uk-UA"/>
        </w:rPr>
        <w:t>Список використаних джерел</w:t>
      </w:r>
    </w:p>
    <w:p w14:paraId="0C05ACE1" w14:textId="325FEC74"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w:t>
      </w:r>
      <w:r w:rsidR="008D089E"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Про схвалення Стратегії розвитку аграрного сектору економіки на період до 2020 року: Розпорядження Кабінету Міністрів України від 17 жовтня 2013 р. № 806-р. URL: </w:t>
      </w:r>
      <w:hyperlink r:id="rId166" w:anchor="Text" w:history="1">
        <w:r w:rsidRPr="005F0419">
          <w:rPr>
            <w:rStyle w:val="a6"/>
            <w:rFonts w:ascii="Times New Roman" w:hAnsi="Times New Roman" w:cs="Times New Roman"/>
            <w:color w:val="auto"/>
            <w:sz w:val="28"/>
            <w:szCs w:val="28"/>
            <w:lang w:val="uk-UA"/>
          </w:rPr>
          <w:t>https://zakon.rada.gov.ua/laws/show/806-2013-%D1%80#Text</w:t>
        </w:r>
      </w:hyperlink>
      <w:r w:rsidRPr="005F0419">
        <w:rPr>
          <w:rFonts w:ascii="Times New Roman" w:hAnsi="Times New Roman" w:cs="Times New Roman"/>
          <w:sz w:val="28"/>
          <w:szCs w:val="28"/>
          <w:lang w:val="uk-UA"/>
        </w:rPr>
        <w:t xml:space="preserve">   (дата звернення 12.01.2024).</w:t>
      </w:r>
    </w:p>
    <w:p w14:paraId="50C5E2DE" w14:textId="61404F19"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Несененко</w:t>
      </w:r>
      <w:proofErr w:type="spellEnd"/>
      <w:r w:rsidRPr="005F0419">
        <w:rPr>
          <w:rFonts w:ascii="Times New Roman" w:hAnsi="Times New Roman" w:cs="Times New Roman"/>
          <w:sz w:val="28"/>
          <w:szCs w:val="28"/>
          <w:lang w:val="uk-UA"/>
        </w:rPr>
        <w:t xml:space="preserve"> П. П. Стратегія розвитку аграрного сектору в контексті економічної політики держави</w:t>
      </w:r>
      <w:r w:rsidR="008D089E" w:rsidRPr="005F0419">
        <w:rPr>
          <w:rFonts w:ascii="Times New Roman" w:hAnsi="Times New Roman" w:cs="Times New Roman"/>
          <w:sz w:val="28"/>
          <w:szCs w:val="28"/>
          <w:lang w:val="uk-UA"/>
        </w:rPr>
        <w:t>: м</w:t>
      </w:r>
      <w:r w:rsidRPr="005F0419">
        <w:rPr>
          <w:rFonts w:ascii="Times New Roman" w:hAnsi="Times New Roman" w:cs="Times New Roman"/>
          <w:sz w:val="28"/>
          <w:szCs w:val="28"/>
          <w:lang w:val="uk-UA"/>
        </w:rPr>
        <w:t>онографія</w:t>
      </w:r>
      <w:r w:rsidR="008D089E" w:rsidRPr="005F0419">
        <w:rPr>
          <w:rFonts w:ascii="Times New Roman" w:hAnsi="Times New Roman" w:cs="Times New Roman"/>
          <w:sz w:val="28"/>
          <w:szCs w:val="28"/>
          <w:lang w:val="uk-UA"/>
        </w:rPr>
        <w:t>. З</w:t>
      </w:r>
      <w:r w:rsidRPr="005F0419">
        <w:rPr>
          <w:rFonts w:ascii="Times New Roman" w:hAnsi="Times New Roman" w:cs="Times New Roman"/>
          <w:sz w:val="28"/>
          <w:szCs w:val="28"/>
          <w:lang w:val="uk-UA"/>
        </w:rPr>
        <w:t>а ред. проф. В. В. Коваля. К.: ФОП Гуляєва В. М., 2022. 320 с.</w:t>
      </w:r>
    </w:p>
    <w:p w14:paraId="529D4227" w14:textId="32EAF11B"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w:t>
      </w:r>
      <w:r w:rsidR="008D089E"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Чеберяко О. В., Дяченко П. М. Оцінювання інвестиційної привабливості підприємств агропромислового сектору методом аналізу фінансових показників. </w:t>
      </w:r>
      <w:r w:rsidRPr="005F0419">
        <w:rPr>
          <w:rFonts w:ascii="Times New Roman" w:hAnsi="Times New Roman" w:cs="Times New Roman"/>
          <w:sz w:val="28"/>
          <w:szCs w:val="28"/>
          <w:lang w:val="uk-UA"/>
        </w:rPr>
        <w:lastRenderedPageBreak/>
        <w:t>Електронне наукове фахове видання з економічних наук «</w:t>
      </w:r>
      <w:proofErr w:type="spellStart"/>
      <w:r w:rsidRPr="005F0419">
        <w:rPr>
          <w:rFonts w:ascii="Times New Roman" w:hAnsi="Times New Roman" w:cs="Times New Roman"/>
          <w:sz w:val="28"/>
          <w:szCs w:val="28"/>
          <w:lang w:val="uk-UA"/>
        </w:rPr>
        <w:t>Modern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Economics</w:t>
      </w:r>
      <w:proofErr w:type="spellEnd"/>
      <w:r w:rsidRPr="005F0419">
        <w:rPr>
          <w:rFonts w:ascii="Times New Roman" w:hAnsi="Times New Roman" w:cs="Times New Roman"/>
          <w:sz w:val="28"/>
          <w:szCs w:val="28"/>
          <w:lang w:val="uk-UA"/>
        </w:rPr>
        <w:t xml:space="preserve">», №39 (2023), 158-164. DOI: </w:t>
      </w:r>
      <w:hyperlink r:id="rId167" w:history="1">
        <w:r w:rsidRPr="005F0419">
          <w:rPr>
            <w:rStyle w:val="a6"/>
            <w:rFonts w:ascii="Times New Roman" w:hAnsi="Times New Roman" w:cs="Times New Roman"/>
            <w:color w:val="auto"/>
            <w:sz w:val="28"/>
            <w:szCs w:val="28"/>
            <w:lang w:val="uk-UA"/>
          </w:rPr>
          <w:t>https://doi.org/10.31521/modecon.V39(2023)-24</w:t>
        </w:r>
      </w:hyperlink>
      <w:r w:rsidRPr="005F0419">
        <w:rPr>
          <w:rFonts w:ascii="Times New Roman" w:hAnsi="Times New Roman" w:cs="Times New Roman"/>
          <w:sz w:val="28"/>
          <w:szCs w:val="28"/>
          <w:lang w:val="uk-UA"/>
        </w:rPr>
        <w:t xml:space="preserve"> </w:t>
      </w:r>
    </w:p>
    <w:p w14:paraId="75FFB465" w14:textId="30129752"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4.</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Шебаніна</w:t>
      </w:r>
      <w:proofErr w:type="spellEnd"/>
      <w:r w:rsidRPr="005F0419">
        <w:rPr>
          <w:rFonts w:ascii="Times New Roman" w:hAnsi="Times New Roman" w:cs="Times New Roman"/>
          <w:sz w:val="28"/>
          <w:szCs w:val="28"/>
          <w:lang w:val="uk-UA"/>
        </w:rPr>
        <w:t xml:space="preserve"> О. В., Шаповалова І. В., </w:t>
      </w:r>
      <w:proofErr w:type="spellStart"/>
      <w:r w:rsidRPr="005F0419">
        <w:rPr>
          <w:rFonts w:ascii="Times New Roman" w:hAnsi="Times New Roman" w:cs="Times New Roman"/>
          <w:sz w:val="28"/>
          <w:szCs w:val="28"/>
          <w:lang w:val="uk-UA"/>
        </w:rPr>
        <w:t>Твердовська</w:t>
      </w:r>
      <w:proofErr w:type="spellEnd"/>
      <w:r w:rsidRPr="005F0419">
        <w:rPr>
          <w:rFonts w:ascii="Times New Roman" w:hAnsi="Times New Roman" w:cs="Times New Roman"/>
          <w:sz w:val="28"/>
          <w:szCs w:val="28"/>
          <w:lang w:val="uk-UA"/>
        </w:rPr>
        <w:t xml:space="preserve"> А. О. Роль регулювання галузей рослинництва у підвищенні конкурентоспроможності аграрного сектора економіки України. Вісник аграрної науки Причорномор’я. 2019.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xml:space="preserve">. 4. DOI: 10.31521/2313-092X/2019-4(104) </w:t>
      </w:r>
    </w:p>
    <w:p w14:paraId="6DB88BE9" w14:textId="1C82FAB2"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5.</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Djokoto</w:t>
      </w:r>
      <w:proofErr w:type="spellEnd"/>
      <w:r w:rsidRPr="005F0419">
        <w:rPr>
          <w:rFonts w:ascii="Times New Roman" w:hAnsi="Times New Roman" w:cs="Times New Roman"/>
          <w:sz w:val="28"/>
          <w:szCs w:val="28"/>
          <w:lang w:val="uk-UA"/>
        </w:rPr>
        <w:t xml:space="preserve"> J.G.  (2023) </w:t>
      </w:r>
      <w:proofErr w:type="spellStart"/>
      <w:r w:rsidRPr="005F0419">
        <w:rPr>
          <w:rFonts w:ascii="Times New Roman" w:hAnsi="Times New Roman" w:cs="Times New Roman"/>
          <w:sz w:val="28"/>
          <w:szCs w:val="28"/>
          <w:lang w:val="uk-UA"/>
        </w:rPr>
        <w:t>Food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manufacturing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foreign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divestment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domestic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investment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developed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countries</w:t>
      </w:r>
      <w:proofErr w:type="spellEnd"/>
      <w:r w:rsidRPr="005F0419">
        <w:rPr>
          <w:rFonts w:ascii="Times New Roman" w:hAnsi="Times New Roman" w:cs="Times New Roman"/>
          <w:sz w:val="28"/>
          <w:szCs w:val="28"/>
          <w:lang w:val="uk-UA"/>
        </w:rPr>
        <w:t xml:space="preserve">. </w:t>
      </w:r>
      <w:r w:rsidR="008D089E" w:rsidRPr="005F0419">
        <w:rPr>
          <w:rFonts w:ascii="Times New Roman" w:hAnsi="Times New Roman" w:cs="Times New Roman"/>
          <w:sz w:val="28"/>
          <w:szCs w:val="28"/>
          <w:lang w:val="uk-UA"/>
        </w:rPr>
        <w:t xml:space="preserve">URL: </w:t>
      </w:r>
      <w:hyperlink r:id="rId168" w:history="1">
        <w:r w:rsidRPr="005F0419">
          <w:rPr>
            <w:rStyle w:val="a6"/>
            <w:rFonts w:ascii="Times New Roman" w:hAnsi="Times New Roman" w:cs="Times New Roman"/>
            <w:color w:val="auto"/>
            <w:sz w:val="28"/>
            <w:szCs w:val="28"/>
            <w:lang w:val="uk-UA"/>
          </w:rPr>
          <w:t>https://www.cell.com/heliyon</w:t>
        </w:r>
      </w:hyperlink>
      <w:r w:rsidRPr="005F0419">
        <w:rPr>
          <w:rFonts w:ascii="Times New Roman" w:hAnsi="Times New Roman" w:cs="Times New Roman"/>
          <w:sz w:val="28"/>
          <w:szCs w:val="28"/>
          <w:lang w:val="uk-UA"/>
        </w:rPr>
        <w:t xml:space="preserve">.  </w:t>
      </w:r>
      <w:hyperlink r:id="rId169" w:history="1">
        <w:r w:rsidRPr="005F0419">
          <w:rPr>
            <w:rStyle w:val="a6"/>
            <w:rFonts w:ascii="Times New Roman" w:hAnsi="Times New Roman" w:cs="Times New Roman"/>
            <w:color w:val="auto"/>
            <w:sz w:val="28"/>
            <w:szCs w:val="28"/>
            <w:lang w:val="uk-UA"/>
          </w:rPr>
          <w:t>https://doi.org/10.1016/j.heliyon.2023.e15642</w:t>
        </w:r>
      </w:hyperlink>
      <w:r w:rsidRPr="005F0419">
        <w:rPr>
          <w:rFonts w:ascii="Times New Roman" w:hAnsi="Times New Roman" w:cs="Times New Roman"/>
          <w:sz w:val="28"/>
          <w:szCs w:val="28"/>
          <w:lang w:val="uk-UA"/>
        </w:rPr>
        <w:t xml:space="preserve"> </w:t>
      </w:r>
    </w:p>
    <w:p w14:paraId="5BDC6859" w14:textId="531D6355"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6.</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Tao</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Zhai</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Daqing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Wang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Qi</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Zhang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Parvaneh</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Saeidi</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Arunodaya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Raj</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Mishra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Assessment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agriculture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supply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chain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risks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for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investments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agricultural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small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medium-sized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enterprises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SMEs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using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decision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support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model</w:t>
      </w:r>
      <w:proofErr w:type="spellEnd"/>
      <w:r w:rsidRPr="005F0419">
        <w:rPr>
          <w:rFonts w:ascii="Times New Roman" w:hAnsi="Times New Roman" w:cs="Times New Roman"/>
          <w:sz w:val="28"/>
          <w:szCs w:val="28"/>
          <w:lang w:val="uk-UA"/>
        </w:rPr>
        <w:t xml:space="preserve">. ECONOMIC RESEARCH-EKONOMSKA ISTRAŽIVANJA 2023, 36, 2, 2126991 </w:t>
      </w:r>
      <w:r w:rsidR="008D089E" w:rsidRPr="005F0419">
        <w:rPr>
          <w:rFonts w:ascii="Times New Roman" w:hAnsi="Times New Roman" w:cs="Times New Roman"/>
          <w:sz w:val="28"/>
          <w:szCs w:val="28"/>
          <w:lang w:val="uk-UA"/>
        </w:rPr>
        <w:t xml:space="preserve">DOI: </w:t>
      </w:r>
      <w:hyperlink r:id="rId170" w:history="1">
        <w:r w:rsidR="008D089E" w:rsidRPr="005F0419">
          <w:rPr>
            <w:rStyle w:val="a6"/>
            <w:rFonts w:ascii="Times New Roman" w:hAnsi="Times New Roman" w:cs="Times New Roman"/>
            <w:color w:val="auto"/>
            <w:sz w:val="28"/>
            <w:szCs w:val="28"/>
            <w:lang w:val="uk-UA"/>
          </w:rPr>
          <w:t>https://doi.org/10.1080/1331677X.2022.2126991</w:t>
        </w:r>
      </w:hyperlink>
      <w:r w:rsidRPr="005F0419">
        <w:rPr>
          <w:rFonts w:ascii="Times New Roman" w:hAnsi="Times New Roman" w:cs="Times New Roman"/>
          <w:sz w:val="28"/>
          <w:szCs w:val="28"/>
          <w:lang w:val="uk-UA"/>
        </w:rPr>
        <w:t xml:space="preserve"> </w:t>
      </w:r>
    </w:p>
    <w:p w14:paraId="319BFE2B" w14:textId="4BF5F944"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7.</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Oana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Coca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Diana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Creanga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Stefan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Viziteu</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Ioan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Sebastian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Bruma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Gavril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Stefan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Analysis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Determinants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Agriculture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Performance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European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Union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Level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Agriculture</w:t>
      </w:r>
      <w:proofErr w:type="spellEnd"/>
      <w:r w:rsidRPr="005F0419">
        <w:rPr>
          <w:rFonts w:ascii="Times New Roman" w:hAnsi="Times New Roman" w:cs="Times New Roman"/>
          <w:sz w:val="28"/>
          <w:szCs w:val="28"/>
          <w:lang w:val="uk-UA"/>
        </w:rPr>
        <w:t xml:space="preserve"> 2023, 13, 616. </w:t>
      </w:r>
      <w:r w:rsidR="008D089E" w:rsidRPr="005F0419">
        <w:rPr>
          <w:rFonts w:ascii="Times New Roman" w:hAnsi="Times New Roman" w:cs="Times New Roman"/>
          <w:sz w:val="28"/>
          <w:szCs w:val="28"/>
          <w:lang w:val="uk-UA"/>
        </w:rPr>
        <w:t xml:space="preserve">DOI: </w:t>
      </w:r>
      <w:hyperlink r:id="rId171" w:history="1">
        <w:r w:rsidR="008D089E" w:rsidRPr="005F0419">
          <w:rPr>
            <w:rStyle w:val="a6"/>
            <w:rFonts w:ascii="Times New Roman" w:hAnsi="Times New Roman" w:cs="Times New Roman"/>
            <w:color w:val="auto"/>
            <w:sz w:val="28"/>
            <w:szCs w:val="28"/>
            <w:lang w:val="uk-UA"/>
          </w:rPr>
          <w:t>https://doi.org/10.3390/agriculture13030616</w:t>
        </w:r>
      </w:hyperlink>
      <w:r w:rsidRPr="005F0419">
        <w:rPr>
          <w:rFonts w:ascii="Times New Roman" w:hAnsi="Times New Roman" w:cs="Times New Roman"/>
          <w:sz w:val="28"/>
          <w:szCs w:val="28"/>
          <w:lang w:val="uk-UA"/>
        </w:rPr>
        <w:t xml:space="preserve"> </w:t>
      </w:r>
    </w:p>
    <w:p w14:paraId="4872774F" w14:textId="5DF5928A"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8.</w:t>
      </w:r>
      <w:r w:rsidR="008D089E"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Шинкаренко В. М., </w:t>
      </w:r>
      <w:proofErr w:type="spellStart"/>
      <w:r w:rsidRPr="005F0419">
        <w:rPr>
          <w:rFonts w:ascii="Times New Roman" w:hAnsi="Times New Roman" w:cs="Times New Roman"/>
          <w:sz w:val="28"/>
          <w:szCs w:val="28"/>
          <w:lang w:val="uk-UA"/>
        </w:rPr>
        <w:t>Шарай</w:t>
      </w:r>
      <w:proofErr w:type="spellEnd"/>
      <w:r w:rsidRPr="005F0419">
        <w:rPr>
          <w:rFonts w:ascii="Times New Roman" w:hAnsi="Times New Roman" w:cs="Times New Roman"/>
          <w:sz w:val="28"/>
          <w:szCs w:val="28"/>
          <w:lang w:val="uk-UA"/>
        </w:rPr>
        <w:t xml:space="preserve"> Н. В., Шинкаренко Л. В. Оцінка інвестиційної привабливості сфери туризму статистичними та математичними методами. Інфраструктура ринку. 2023. № 72. URL: </w:t>
      </w:r>
      <w:hyperlink r:id="rId172" w:history="1">
        <w:r w:rsidRPr="005F0419">
          <w:rPr>
            <w:rStyle w:val="a6"/>
            <w:rFonts w:ascii="Times New Roman" w:hAnsi="Times New Roman" w:cs="Times New Roman"/>
            <w:color w:val="auto"/>
            <w:sz w:val="28"/>
            <w:szCs w:val="28"/>
            <w:lang w:val="uk-UA"/>
          </w:rPr>
          <w:t>http://www.market-infr.od.ua/uk/72-2023</w:t>
        </w:r>
      </w:hyperlink>
      <w:r w:rsidRPr="005F0419">
        <w:rPr>
          <w:rFonts w:ascii="Times New Roman" w:hAnsi="Times New Roman" w:cs="Times New Roman"/>
          <w:sz w:val="28"/>
          <w:szCs w:val="28"/>
          <w:lang w:val="uk-UA"/>
        </w:rPr>
        <w:t xml:space="preserve"> </w:t>
      </w:r>
    </w:p>
    <w:p w14:paraId="6A57FAAC" w14:textId="7287DDAB"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9.</w:t>
      </w:r>
      <w:r w:rsidR="008D089E"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Шинкаренко В., Шинкаренко Л., Орлов Є. Аналіз інвестиційної привабливості галузей індустрії гостинності за допомогою математичних методів. Науковий вісник Одеського національного економічного університету. 2023. № 1-2 (302-303). С. 135-143. </w:t>
      </w:r>
      <w:r w:rsidR="008D089E" w:rsidRPr="005F0419">
        <w:rPr>
          <w:rFonts w:ascii="Times New Roman" w:hAnsi="Times New Roman" w:cs="Times New Roman"/>
          <w:sz w:val="28"/>
          <w:szCs w:val="28"/>
          <w:lang w:val="uk-UA"/>
        </w:rPr>
        <w:t xml:space="preserve">URL: </w:t>
      </w:r>
      <w:hyperlink r:id="rId173" w:history="1">
        <w:r w:rsidRPr="005F0419">
          <w:rPr>
            <w:rStyle w:val="a6"/>
            <w:rFonts w:ascii="Times New Roman" w:hAnsi="Times New Roman" w:cs="Times New Roman"/>
            <w:color w:val="auto"/>
            <w:sz w:val="28"/>
            <w:szCs w:val="28"/>
            <w:lang w:val="uk-UA"/>
          </w:rPr>
          <w:t>https://doi.org/10.32680/2409-9260-2023-1-2-302-303-135-143</w:t>
        </w:r>
      </w:hyperlink>
      <w:r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ab/>
      </w:r>
    </w:p>
    <w:p w14:paraId="4C3884AE" w14:textId="4EC2E8D6"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10.</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Кустріч</w:t>
      </w:r>
      <w:proofErr w:type="spellEnd"/>
      <w:r w:rsidRPr="005F0419">
        <w:rPr>
          <w:rFonts w:ascii="Times New Roman" w:hAnsi="Times New Roman" w:cs="Times New Roman"/>
          <w:sz w:val="28"/>
          <w:szCs w:val="28"/>
          <w:lang w:val="uk-UA"/>
        </w:rPr>
        <w:t xml:space="preserve"> Л. О. Особливості залучення інвестицій у сільське господарство: Сучасний стан і тенденції розвитку. Інвестиції: практика та досвід. 2017. № 24. С. 37-42.</w:t>
      </w:r>
    </w:p>
    <w:p w14:paraId="2F46EC24" w14:textId="0614EE6B"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11.</w:t>
      </w:r>
      <w:r w:rsidR="008D089E"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Макаров М. О. Особливості реалізації інноваційної політики на регіональному рівні. Інвестиції: практика та досвід. 2009. № 8. С. 27-29.</w:t>
      </w:r>
    </w:p>
    <w:p w14:paraId="4EDDEE41" w14:textId="2A3B4CF4"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12</w:t>
      </w:r>
      <w:r w:rsidR="008D089E"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Параконний</w:t>
      </w:r>
      <w:proofErr w:type="spellEnd"/>
      <w:r w:rsidRPr="005F0419">
        <w:rPr>
          <w:rFonts w:ascii="Times New Roman" w:hAnsi="Times New Roman" w:cs="Times New Roman"/>
          <w:sz w:val="28"/>
          <w:szCs w:val="28"/>
          <w:lang w:val="uk-UA"/>
        </w:rPr>
        <w:t xml:space="preserve"> С. В., </w:t>
      </w:r>
      <w:proofErr w:type="spellStart"/>
      <w:r w:rsidRPr="005F0419">
        <w:rPr>
          <w:rFonts w:ascii="Times New Roman" w:hAnsi="Times New Roman" w:cs="Times New Roman"/>
          <w:sz w:val="28"/>
          <w:szCs w:val="28"/>
          <w:lang w:val="uk-UA"/>
        </w:rPr>
        <w:t>Войшвілло</w:t>
      </w:r>
      <w:proofErr w:type="spellEnd"/>
      <w:r w:rsidRPr="005F0419">
        <w:rPr>
          <w:rFonts w:ascii="Times New Roman" w:hAnsi="Times New Roman" w:cs="Times New Roman"/>
          <w:sz w:val="28"/>
          <w:szCs w:val="28"/>
          <w:lang w:val="uk-UA"/>
        </w:rPr>
        <w:t xml:space="preserve"> Л. В., </w:t>
      </w:r>
      <w:proofErr w:type="spellStart"/>
      <w:r w:rsidRPr="005F0419">
        <w:rPr>
          <w:rFonts w:ascii="Times New Roman" w:hAnsi="Times New Roman" w:cs="Times New Roman"/>
          <w:sz w:val="28"/>
          <w:szCs w:val="28"/>
          <w:lang w:val="uk-UA"/>
        </w:rPr>
        <w:t>Шпанковський</w:t>
      </w:r>
      <w:proofErr w:type="spellEnd"/>
      <w:r w:rsidRPr="005F0419">
        <w:rPr>
          <w:rFonts w:ascii="Times New Roman" w:hAnsi="Times New Roman" w:cs="Times New Roman"/>
          <w:sz w:val="28"/>
          <w:szCs w:val="28"/>
          <w:lang w:val="uk-UA"/>
        </w:rPr>
        <w:t xml:space="preserve"> І. В. Напрями інвестиційного забезпечення розвитку економічного потенціалу підприємства. Вісник Східноукраїнського національного університету імені Володимира Даля. 2011. № 11. С. 153-159.</w:t>
      </w:r>
    </w:p>
    <w:p w14:paraId="330A10E6" w14:textId="0A821C37"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13.</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Кісіль</w:t>
      </w:r>
      <w:proofErr w:type="spellEnd"/>
      <w:r w:rsidRPr="005F0419">
        <w:rPr>
          <w:rFonts w:ascii="Times New Roman" w:hAnsi="Times New Roman" w:cs="Times New Roman"/>
          <w:sz w:val="28"/>
          <w:szCs w:val="28"/>
          <w:lang w:val="uk-UA"/>
        </w:rPr>
        <w:t xml:space="preserve"> М. І. Інвестиційне забезпечення розвитку сільського господарства України в стратегічній перспективі. Вісник аграрної науки. 2018. № 1. С. 78-82.</w:t>
      </w:r>
    </w:p>
    <w:p w14:paraId="243726DE" w14:textId="68B5F765"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14.</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Кісіль</w:t>
      </w:r>
      <w:proofErr w:type="spellEnd"/>
      <w:r w:rsidRPr="005F0419">
        <w:rPr>
          <w:rFonts w:ascii="Times New Roman" w:hAnsi="Times New Roman" w:cs="Times New Roman"/>
          <w:sz w:val="28"/>
          <w:szCs w:val="28"/>
          <w:lang w:val="uk-UA"/>
        </w:rPr>
        <w:t xml:space="preserve"> М. І. Інвестиційне забезпечення розвитку аграрного виробництва та сільських територій. Менеджмент: </w:t>
      </w:r>
      <w:proofErr w:type="spellStart"/>
      <w:r w:rsidRPr="005F0419">
        <w:rPr>
          <w:rFonts w:ascii="Times New Roman" w:hAnsi="Times New Roman" w:cs="Times New Roman"/>
          <w:sz w:val="28"/>
          <w:szCs w:val="28"/>
          <w:lang w:val="uk-UA"/>
        </w:rPr>
        <w:t>зб</w:t>
      </w:r>
      <w:proofErr w:type="spellEnd"/>
      <w:r w:rsidRPr="005F0419">
        <w:rPr>
          <w:rFonts w:ascii="Times New Roman" w:hAnsi="Times New Roman" w:cs="Times New Roman"/>
          <w:sz w:val="28"/>
          <w:szCs w:val="28"/>
          <w:lang w:val="uk-UA"/>
        </w:rPr>
        <w:t>. наук. праць. 2009. № 11. С. 225-232.</w:t>
      </w:r>
    </w:p>
    <w:p w14:paraId="72DAC7EB" w14:textId="7D4B7193"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15.</w:t>
      </w:r>
      <w:r w:rsidR="008D089E"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Колесник О. О. Оцінка інвестиційного забезпечення розвитку туризму в Україні. Економіка. Управління. Інновації. Серія: Економічні науки. 2011. № 2 (6). URL: : </w:t>
      </w:r>
      <w:hyperlink r:id="rId174" w:history="1">
        <w:r w:rsidRPr="005F0419">
          <w:rPr>
            <w:rStyle w:val="a6"/>
            <w:rFonts w:ascii="Times New Roman" w:hAnsi="Times New Roman" w:cs="Times New Roman"/>
            <w:color w:val="auto"/>
            <w:sz w:val="28"/>
            <w:szCs w:val="28"/>
            <w:lang w:val="uk-UA"/>
          </w:rPr>
          <w:t>http://nbuv.gov.ua/UJRN/eui_2011_2_20</w:t>
        </w:r>
      </w:hyperlink>
    </w:p>
    <w:p w14:paraId="4E348831" w14:textId="70EDB9C1"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16.</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Білоткач</w:t>
      </w:r>
      <w:proofErr w:type="spellEnd"/>
      <w:r w:rsidRPr="005F0419">
        <w:rPr>
          <w:rFonts w:ascii="Times New Roman" w:hAnsi="Times New Roman" w:cs="Times New Roman"/>
          <w:sz w:val="28"/>
          <w:szCs w:val="28"/>
          <w:lang w:val="uk-UA"/>
        </w:rPr>
        <w:t xml:space="preserve"> О. В., Павлова Г. Є. Теоретико-методичні основи інвестиційного забезпечення розвитку сільськогосподарських підприємств. Науковий вісник Ужгородського національного університету. 2017. № 15 (1). С. 29-32.</w:t>
      </w:r>
    </w:p>
    <w:p w14:paraId="5059A986" w14:textId="2BC8D473"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17.</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Яненкова</w:t>
      </w:r>
      <w:proofErr w:type="spellEnd"/>
      <w:r w:rsidRPr="005F0419">
        <w:rPr>
          <w:rFonts w:ascii="Times New Roman" w:hAnsi="Times New Roman" w:cs="Times New Roman"/>
          <w:sz w:val="28"/>
          <w:szCs w:val="28"/>
          <w:lang w:val="uk-UA"/>
        </w:rPr>
        <w:t xml:space="preserve"> І. Г. Організаційно-управлінські ресурси інноваційного розвитку економіки: методологія та практика. НАН України; Ін-т </w:t>
      </w:r>
      <w:proofErr w:type="spellStart"/>
      <w:r w:rsidRPr="005F0419">
        <w:rPr>
          <w:rFonts w:ascii="Times New Roman" w:hAnsi="Times New Roman" w:cs="Times New Roman"/>
          <w:sz w:val="28"/>
          <w:szCs w:val="28"/>
          <w:lang w:val="uk-UA"/>
        </w:rPr>
        <w:t>екон</w:t>
      </w:r>
      <w:proofErr w:type="spellEnd"/>
      <w:r w:rsidRPr="005F0419">
        <w:rPr>
          <w:rFonts w:ascii="Times New Roman" w:hAnsi="Times New Roman" w:cs="Times New Roman"/>
          <w:sz w:val="28"/>
          <w:szCs w:val="28"/>
          <w:lang w:val="uk-UA"/>
        </w:rPr>
        <w:t xml:space="preserve">. та </w:t>
      </w:r>
      <w:proofErr w:type="spellStart"/>
      <w:r w:rsidRPr="005F0419">
        <w:rPr>
          <w:rFonts w:ascii="Times New Roman" w:hAnsi="Times New Roman" w:cs="Times New Roman"/>
          <w:sz w:val="28"/>
          <w:szCs w:val="28"/>
          <w:lang w:val="uk-UA"/>
        </w:rPr>
        <w:t>прогнозув</w:t>
      </w:r>
      <w:proofErr w:type="spellEnd"/>
      <w:r w:rsidRPr="005F0419">
        <w:rPr>
          <w:rFonts w:ascii="Times New Roman" w:hAnsi="Times New Roman" w:cs="Times New Roman"/>
          <w:sz w:val="28"/>
          <w:szCs w:val="28"/>
          <w:lang w:val="uk-UA"/>
        </w:rPr>
        <w:t>. Миколаїв: Вид-во ЧДУ імені Петра Могили, 2012. 380 с.</w:t>
      </w:r>
    </w:p>
    <w:p w14:paraId="1AC95ED6" w14:textId="686A24E1"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18.</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Горлачук</w:t>
      </w:r>
      <w:proofErr w:type="spellEnd"/>
      <w:r w:rsidRPr="005F0419">
        <w:rPr>
          <w:rFonts w:ascii="Times New Roman" w:hAnsi="Times New Roman" w:cs="Times New Roman"/>
          <w:sz w:val="28"/>
          <w:szCs w:val="28"/>
          <w:lang w:val="uk-UA"/>
        </w:rPr>
        <w:t xml:space="preserve"> В. В., Черненко А. С., Раку О. О. Інвестиційне забезпечення інноваційного розвитку підприємства. Наукові праці Чорноморського державного університету імені Петра Могили комплексу «Києво-Могилянська академія». Серія: Економіка. 2016. Т. 285,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273. С. 57-63.</w:t>
      </w:r>
    </w:p>
    <w:p w14:paraId="0AAC5DD4" w14:textId="77777777" w:rsidR="008D089E"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19.</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Дунська</w:t>
      </w:r>
      <w:proofErr w:type="spellEnd"/>
      <w:r w:rsidRPr="005F0419">
        <w:rPr>
          <w:rFonts w:ascii="Times New Roman" w:hAnsi="Times New Roman" w:cs="Times New Roman"/>
          <w:sz w:val="28"/>
          <w:szCs w:val="28"/>
          <w:lang w:val="uk-UA"/>
        </w:rPr>
        <w:t xml:space="preserve"> А. Р., Бесараб К. М. Інвестиційне забезпечення розвитку міжнародної діяльності підприємства. Економічний вісник НТУ «КПІ». 2019. № 16. С. 340-350.</w:t>
      </w:r>
    </w:p>
    <w:p w14:paraId="7553C6C9" w14:textId="505401F0"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20.Офіційний сайт Світового банку. URL: </w:t>
      </w:r>
      <w:hyperlink r:id="rId175" w:history="1">
        <w:r w:rsidRPr="005F0419">
          <w:rPr>
            <w:rStyle w:val="a6"/>
            <w:rFonts w:ascii="Times New Roman" w:hAnsi="Times New Roman" w:cs="Times New Roman"/>
            <w:color w:val="auto"/>
            <w:sz w:val="28"/>
            <w:szCs w:val="28"/>
            <w:lang w:val="uk-UA"/>
          </w:rPr>
          <w:t>https://data.worldbank.org/indicator/NV.AGR.TOTL.ZS?locations=UA</w:t>
        </w:r>
      </w:hyperlink>
      <w:r w:rsidRPr="005F0419">
        <w:rPr>
          <w:rFonts w:ascii="Times New Roman" w:hAnsi="Times New Roman" w:cs="Times New Roman"/>
          <w:sz w:val="28"/>
          <w:szCs w:val="28"/>
          <w:lang w:val="uk-UA"/>
        </w:rPr>
        <w:t>. (дата звернення: 15.12.2023)</w:t>
      </w:r>
    </w:p>
    <w:p w14:paraId="29FE13D1" w14:textId="11F183AA"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21.</w:t>
      </w:r>
      <w:r w:rsidR="008D089E"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Офіційний Сайт Служби Статистики України URL: </w:t>
      </w:r>
      <w:hyperlink r:id="rId176" w:history="1">
        <w:r w:rsidRPr="005F0419">
          <w:rPr>
            <w:rStyle w:val="a6"/>
            <w:rFonts w:ascii="Times New Roman" w:hAnsi="Times New Roman" w:cs="Times New Roman"/>
            <w:color w:val="auto"/>
            <w:sz w:val="28"/>
            <w:szCs w:val="28"/>
            <w:lang w:val="uk-UA"/>
          </w:rPr>
          <w:t>http://www.ukrstat.gov.ua</w:t>
        </w:r>
      </w:hyperlink>
      <w:r w:rsidRPr="005F0419">
        <w:rPr>
          <w:rFonts w:ascii="Times New Roman" w:hAnsi="Times New Roman" w:cs="Times New Roman"/>
          <w:sz w:val="28"/>
          <w:szCs w:val="28"/>
          <w:lang w:val="uk-UA"/>
        </w:rPr>
        <w:t xml:space="preserve">  (дата звернення: 05.10.2023)</w:t>
      </w:r>
    </w:p>
    <w:p w14:paraId="134B0A14" w14:textId="54D72C31" w:rsidR="00113886" w:rsidRPr="005F0419" w:rsidRDefault="00113886" w:rsidP="00113886">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22.</w:t>
      </w:r>
      <w:r w:rsidR="008D089E"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Markowitz</w:t>
      </w:r>
      <w:proofErr w:type="spellEnd"/>
      <w:r w:rsidRPr="005F0419">
        <w:rPr>
          <w:rFonts w:ascii="Times New Roman" w:hAnsi="Times New Roman" w:cs="Times New Roman"/>
          <w:sz w:val="28"/>
          <w:szCs w:val="28"/>
          <w:lang w:val="uk-UA"/>
        </w:rPr>
        <w:t xml:space="preserve"> H. </w:t>
      </w:r>
      <w:r w:rsidR="008D089E" w:rsidRPr="005F0419">
        <w:rPr>
          <w:rFonts w:ascii="Times New Roman" w:hAnsi="Times New Roman" w:cs="Times New Roman"/>
          <w:sz w:val="28"/>
          <w:szCs w:val="28"/>
          <w:lang w:val="uk-UA"/>
        </w:rPr>
        <w:t xml:space="preserve">(1991). </w:t>
      </w:r>
      <w:proofErr w:type="spellStart"/>
      <w:r w:rsidRPr="005F0419">
        <w:rPr>
          <w:rFonts w:ascii="Times New Roman" w:hAnsi="Times New Roman" w:cs="Times New Roman"/>
          <w:sz w:val="28"/>
          <w:szCs w:val="28"/>
          <w:lang w:val="uk-UA"/>
        </w:rPr>
        <w:t>Foundations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Portfolio</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Theory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Journal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Finance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Vol</w:t>
      </w:r>
      <w:proofErr w:type="spellEnd"/>
      <w:r w:rsidRPr="005F0419">
        <w:rPr>
          <w:rFonts w:ascii="Times New Roman" w:hAnsi="Times New Roman" w:cs="Times New Roman"/>
          <w:sz w:val="28"/>
          <w:szCs w:val="28"/>
          <w:lang w:val="uk-UA"/>
        </w:rPr>
        <w:t xml:space="preserve">. 46. </w:t>
      </w:r>
      <w:proofErr w:type="spellStart"/>
      <w:r w:rsidRPr="005F0419">
        <w:rPr>
          <w:rFonts w:ascii="Times New Roman" w:hAnsi="Times New Roman" w:cs="Times New Roman"/>
          <w:sz w:val="28"/>
          <w:szCs w:val="28"/>
          <w:lang w:val="uk-UA"/>
        </w:rPr>
        <w:t>Issue</w:t>
      </w:r>
      <w:proofErr w:type="spellEnd"/>
      <w:r w:rsidRPr="005F0419">
        <w:rPr>
          <w:rFonts w:ascii="Times New Roman" w:hAnsi="Times New Roman" w:cs="Times New Roman"/>
          <w:sz w:val="28"/>
          <w:szCs w:val="28"/>
          <w:lang w:val="uk-UA"/>
        </w:rPr>
        <w:t xml:space="preserve"> 2. P. 469-477.  </w:t>
      </w:r>
      <w:hyperlink r:id="rId177" w:history="1">
        <w:r w:rsidRPr="005F0419">
          <w:rPr>
            <w:rStyle w:val="a6"/>
            <w:rFonts w:ascii="Times New Roman" w:hAnsi="Times New Roman" w:cs="Times New Roman"/>
            <w:color w:val="auto"/>
            <w:sz w:val="28"/>
            <w:szCs w:val="28"/>
            <w:lang w:val="uk-UA"/>
          </w:rPr>
          <w:t>http://www.e-m-h.org/Mark91.pdf</w:t>
        </w:r>
      </w:hyperlink>
      <w:r w:rsidRPr="005F0419">
        <w:rPr>
          <w:rFonts w:ascii="Times New Roman" w:hAnsi="Times New Roman" w:cs="Times New Roman"/>
          <w:sz w:val="28"/>
          <w:szCs w:val="28"/>
          <w:lang w:val="uk-UA"/>
        </w:rPr>
        <w:t xml:space="preserve"> </w:t>
      </w:r>
    </w:p>
    <w:p w14:paraId="14079077" w14:textId="77777777" w:rsidR="008D089E" w:rsidRPr="005F0419" w:rsidRDefault="00113886" w:rsidP="008D089E">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23.</w:t>
      </w:r>
      <w:r w:rsidR="008D089E"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Портфельна теорія </w:t>
      </w:r>
      <w:proofErr w:type="spellStart"/>
      <w:r w:rsidRPr="005F0419">
        <w:rPr>
          <w:rFonts w:ascii="Times New Roman" w:hAnsi="Times New Roman" w:cs="Times New Roman"/>
          <w:sz w:val="28"/>
          <w:szCs w:val="28"/>
          <w:lang w:val="uk-UA"/>
        </w:rPr>
        <w:t>Марковіца</w:t>
      </w:r>
      <w:proofErr w:type="spellEnd"/>
      <w:r w:rsidRPr="005F0419">
        <w:rPr>
          <w:rFonts w:ascii="Times New Roman" w:hAnsi="Times New Roman" w:cs="Times New Roman"/>
          <w:sz w:val="28"/>
          <w:szCs w:val="28"/>
          <w:lang w:val="uk-UA"/>
        </w:rPr>
        <w:t xml:space="preserve">. Методика формування інвестиційного портфеля. Інвестиції. 2019. </w:t>
      </w:r>
      <w:r w:rsidR="008D089E" w:rsidRPr="005F0419">
        <w:rPr>
          <w:rFonts w:ascii="Times New Roman" w:hAnsi="Times New Roman" w:cs="Times New Roman"/>
          <w:sz w:val="28"/>
          <w:szCs w:val="28"/>
          <w:lang w:val="uk-UA"/>
        </w:rPr>
        <w:t>URL</w:t>
      </w:r>
      <w:r w:rsidRPr="005F0419">
        <w:rPr>
          <w:rFonts w:ascii="Times New Roman" w:hAnsi="Times New Roman" w:cs="Times New Roman"/>
          <w:sz w:val="28"/>
          <w:szCs w:val="28"/>
          <w:lang w:val="uk-UA"/>
        </w:rPr>
        <w:t xml:space="preserve">: </w:t>
      </w:r>
      <w:hyperlink r:id="rId178" w:history="1">
        <w:r w:rsidRPr="005F0419">
          <w:rPr>
            <w:rStyle w:val="a6"/>
            <w:rFonts w:ascii="Times New Roman" w:hAnsi="Times New Roman" w:cs="Times New Roman"/>
            <w:color w:val="auto"/>
            <w:sz w:val="28"/>
            <w:szCs w:val="28"/>
            <w:lang w:val="uk-UA"/>
          </w:rPr>
          <w:t>https://uk.recrutement-asicsystem.com/4291261-portfolio-theory-markowitz-themethod-of-forming-the-investment-portfolio</w:t>
        </w:r>
      </w:hyperlink>
      <w:r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ab/>
      </w:r>
      <w:r w:rsidR="008D089E" w:rsidRPr="005F0419">
        <w:rPr>
          <w:rFonts w:ascii="Times New Roman" w:hAnsi="Times New Roman" w:cs="Times New Roman"/>
          <w:sz w:val="28"/>
          <w:szCs w:val="28"/>
          <w:lang w:val="uk-UA"/>
        </w:rPr>
        <w:t xml:space="preserve">24. </w:t>
      </w:r>
      <w:proofErr w:type="spellStart"/>
      <w:r w:rsidRPr="005F0419">
        <w:rPr>
          <w:rFonts w:ascii="Times New Roman" w:hAnsi="Times New Roman" w:cs="Times New Roman"/>
          <w:sz w:val="28"/>
          <w:szCs w:val="28"/>
          <w:lang w:val="uk-UA"/>
        </w:rPr>
        <w:t>Das</w:t>
      </w:r>
      <w:proofErr w:type="spellEnd"/>
      <w:r w:rsidRPr="005F0419">
        <w:rPr>
          <w:rFonts w:ascii="Times New Roman" w:hAnsi="Times New Roman" w:cs="Times New Roman"/>
          <w:sz w:val="28"/>
          <w:szCs w:val="28"/>
          <w:lang w:val="uk-UA"/>
        </w:rPr>
        <w:t xml:space="preserve"> I., </w:t>
      </w:r>
      <w:proofErr w:type="spellStart"/>
      <w:r w:rsidRPr="005F0419">
        <w:rPr>
          <w:rFonts w:ascii="Times New Roman" w:hAnsi="Times New Roman" w:cs="Times New Roman"/>
          <w:sz w:val="28"/>
          <w:szCs w:val="28"/>
          <w:lang w:val="uk-UA"/>
        </w:rPr>
        <w:t>Dennis</w:t>
      </w:r>
      <w:proofErr w:type="spellEnd"/>
      <w:r w:rsidRPr="005F0419">
        <w:rPr>
          <w:rFonts w:ascii="Times New Roman" w:hAnsi="Times New Roman" w:cs="Times New Roman"/>
          <w:sz w:val="28"/>
          <w:szCs w:val="28"/>
          <w:lang w:val="uk-UA"/>
        </w:rPr>
        <w:t xml:space="preserve"> J.E., (1997) A </w:t>
      </w:r>
      <w:proofErr w:type="spellStart"/>
      <w:r w:rsidRPr="005F0419">
        <w:rPr>
          <w:rFonts w:ascii="Times New Roman" w:hAnsi="Times New Roman" w:cs="Times New Roman"/>
          <w:sz w:val="28"/>
          <w:szCs w:val="28"/>
          <w:lang w:val="uk-UA"/>
        </w:rPr>
        <w:t>closer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look</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drawbacks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minimizing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weighted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sums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objectives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for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Pareto</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set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generation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multicriteria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optimization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problems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Struct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Optim</w:t>
      </w:r>
      <w:proofErr w:type="spellEnd"/>
      <w:r w:rsidRPr="005F0419">
        <w:rPr>
          <w:rFonts w:ascii="Times New Roman" w:hAnsi="Times New Roman" w:cs="Times New Roman"/>
          <w:sz w:val="28"/>
          <w:szCs w:val="28"/>
          <w:lang w:val="uk-UA"/>
        </w:rPr>
        <w:t xml:space="preserve">. 14, 1997, P. 63-69. </w:t>
      </w:r>
    </w:p>
    <w:p w14:paraId="16B2A6B7" w14:textId="77777777" w:rsidR="008D089E" w:rsidRPr="005F0419" w:rsidRDefault="008D089E" w:rsidP="008D089E">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25. </w:t>
      </w:r>
      <w:proofErr w:type="spellStart"/>
      <w:r w:rsidR="00113886" w:rsidRPr="005F0419">
        <w:rPr>
          <w:rFonts w:ascii="Times New Roman" w:hAnsi="Times New Roman" w:cs="Times New Roman"/>
          <w:sz w:val="28"/>
          <w:szCs w:val="28"/>
          <w:lang w:val="uk-UA"/>
        </w:rPr>
        <w:t>Jaimes</w:t>
      </w:r>
      <w:proofErr w:type="spellEnd"/>
      <w:r w:rsidR="00113886" w:rsidRPr="005F0419">
        <w:rPr>
          <w:rFonts w:ascii="Times New Roman" w:hAnsi="Times New Roman" w:cs="Times New Roman"/>
          <w:sz w:val="28"/>
          <w:szCs w:val="28"/>
          <w:lang w:val="uk-UA"/>
        </w:rPr>
        <w:t xml:space="preserve"> AL, </w:t>
      </w:r>
      <w:proofErr w:type="spellStart"/>
      <w:r w:rsidR="00113886" w:rsidRPr="005F0419">
        <w:rPr>
          <w:rFonts w:ascii="Times New Roman" w:hAnsi="Times New Roman" w:cs="Times New Roman"/>
          <w:sz w:val="28"/>
          <w:szCs w:val="28"/>
          <w:lang w:val="uk-UA"/>
        </w:rPr>
        <w:t>Martınez</w:t>
      </w:r>
      <w:proofErr w:type="spellEnd"/>
      <w:r w:rsidR="00113886" w:rsidRPr="005F0419">
        <w:rPr>
          <w:rFonts w:ascii="Times New Roman" w:hAnsi="Times New Roman" w:cs="Times New Roman"/>
          <w:sz w:val="28"/>
          <w:szCs w:val="28"/>
          <w:lang w:val="uk-UA"/>
        </w:rPr>
        <w:t xml:space="preserve"> SZ, </w:t>
      </w:r>
      <w:proofErr w:type="spellStart"/>
      <w:r w:rsidR="00113886" w:rsidRPr="005F0419">
        <w:rPr>
          <w:rFonts w:ascii="Times New Roman" w:hAnsi="Times New Roman" w:cs="Times New Roman"/>
          <w:sz w:val="28"/>
          <w:szCs w:val="28"/>
          <w:lang w:val="uk-UA"/>
        </w:rPr>
        <w:t>Coello</w:t>
      </w:r>
      <w:proofErr w:type="spellEnd"/>
      <w:r w:rsidR="00113886" w:rsidRPr="005F0419">
        <w:rPr>
          <w:rFonts w:ascii="Times New Roman" w:hAnsi="Times New Roman" w:cs="Times New Roman"/>
          <w:sz w:val="28"/>
          <w:szCs w:val="28"/>
          <w:lang w:val="uk-UA"/>
        </w:rPr>
        <w:t xml:space="preserve"> CAC (2009). </w:t>
      </w:r>
      <w:proofErr w:type="spellStart"/>
      <w:r w:rsidR="00113886" w:rsidRPr="005F0419">
        <w:rPr>
          <w:rFonts w:ascii="Times New Roman" w:hAnsi="Times New Roman" w:cs="Times New Roman"/>
          <w:sz w:val="28"/>
          <w:szCs w:val="28"/>
          <w:lang w:val="uk-UA"/>
        </w:rPr>
        <w:t>An</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introduction</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to</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multiobjective</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optimization</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techniques</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Optimization</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in</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Polymer</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Processing</w:t>
      </w:r>
      <w:proofErr w:type="spellEnd"/>
      <w:r w:rsidR="00113886" w:rsidRPr="005F0419">
        <w:rPr>
          <w:rFonts w:ascii="Times New Roman" w:hAnsi="Times New Roman" w:cs="Times New Roman"/>
          <w:sz w:val="28"/>
          <w:szCs w:val="28"/>
          <w:lang w:val="uk-UA"/>
        </w:rPr>
        <w:t>, 2009. P. 29-57</w:t>
      </w:r>
      <w:r w:rsidRPr="005F0419">
        <w:rPr>
          <w:rFonts w:ascii="Times New Roman" w:hAnsi="Times New Roman" w:cs="Times New Roman"/>
          <w:sz w:val="28"/>
          <w:szCs w:val="28"/>
          <w:lang w:val="uk-UA"/>
        </w:rPr>
        <w:t>.</w:t>
      </w:r>
    </w:p>
    <w:p w14:paraId="2EC9E5E9" w14:textId="351944B4" w:rsidR="00113886" w:rsidRPr="005F0419" w:rsidRDefault="008D089E" w:rsidP="008D089E">
      <w:pPr>
        <w:spacing w:after="0" w:line="360" w:lineRule="auto"/>
        <w:ind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26. </w:t>
      </w:r>
      <w:proofErr w:type="spellStart"/>
      <w:r w:rsidR="00113886" w:rsidRPr="005F0419">
        <w:rPr>
          <w:rFonts w:ascii="Times New Roman" w:hAnsi="Times New Roman" w:cs="Times New Roman"/>
          <w:sz w:val="28"/>
          <w:szCs w:val="28"/>
          <w:lang w:val="uk-UA"/>
        </w:rPr>
        <w:t>Клочко</w:t>
      </w:r>
      <w:proofErr w:type="spellEnd"/>
      <w:r w:rsidR="00113886" w:rsidRPr="005F0419">
        <w:rPr>
          <w:rFonts w:ascii="Times New Roman" w:hAnsi="Times New Roman" w:cs="Times New Roman"/>
          <w:sz w:val="28"/>
          <w:szCs w:val="28"/>
          <w:lang w:val="uk-UA"/>
        </w:rPr>
        <w:t xml:space="preserve"> О. В.</w:t>
      </w:r>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Клочко</w:t>
      </w:r>
      <w:proofErr w:type="spellEnd"/>
      <w:r w:rsidRPr="005F0419">
        <w:rPr>
          <w:rFonts w:ascii="Times New Roman" w:hAnsi="Times New Roman" w:cs="Times New Roman"/>
          <w:sz w:val="28"/>
          <w:szCs w:val="28"/>
          <w:lang w:val="uk-UA"/>
        </w:rPr>
        <w:t xml:space="preserve"> В. І., Потапова Н. А. </w:t>
      </w:r>
      <w:r w:rsidR="00113886" w:rsidRPr="005F0419">
        <w:rPr>
          <w:rFonts w:ascii="Times New Roman" w:hAnsi="Times New Roman" w:cs="Times New Roman"/>
          <w:sz w:val="28"/>
          <w:szCs w:val="28"/>
          <w:lang w:val="uk-UA"/>
        </w:rPr>
        <w:t xml:space="preserve">Методи оптимізації в економіці: </w:t>
      </w:r>
      <w:proofErr w:type="spellStart"/>
      <w:r w:rsidR="00113886" w:rsidRPr="005F0419">
        <w:rPr>
          <w:rFonts w:ascii="Times New Roman" w:hAnsi="Times New Roman" w:cs="Times New Roman"/>
          <w:sz w:val="28"/>
          <w:szCs w:val="28"/>
          <w:lang w:val="uk-UA"/>
        </w:rPr>
        <w:t>навч</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посіб</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Вінниц</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нац</w:t>
      </w:r>
      <w:proofErr w:type="spellEnd"/>
      <w:r w:rsidR="00113886" w:rsidRPr="005F0419">
        <w:rPr>
          <w:rFonts w:ascii="Times New Roman" w:hAnsi="Times New Roman" w:cs="Times New Roman"/>
          <w:sz w:val="28"/>
          <w:szCs w:val="28"/>
          <w:lang w:val="uk-UA"/>
        </w:rPr>
        <w:t xml:space="preserve">. </w:t>
      </w:r>
      <w:proofErr w:type="spellStart"/>
      <w:r w:rsidR="00113886" w:rsidRPr="005F0419">
        <w:rPr>
          <w:rFonts w:ascii="Times New Roman" w:hAnsi="Times New Roman" w:cs="Times New Roman"/>
          <w:sz w:val="28"/>
          <w:szCs w:val="28"/>
          <w:lang w:val="uk-UA"/>
        </w:rPr>
        <w:t>аграр</w:t>
      </w:r>
      <w:proofErr w:type="spellEnd"/>
      <w:r w:rsidR="00113886" w:rsidRPr="005F0419">
        <w:rPr>
          <w:rFonts w:ascii="Times New Roman" w:hAnsi="Times New Roman" w:cs="Times New Roman"/>
          <w:sz w:val="28"/>
          <w:szCs w:val="28"/>
          <w:lang w:val="uk-UA"/>
        </w:rPr>
        <w:t>. ун-т.  Вінниця:  Вінницька газета, 2013.  451 с.</w:t>
      </w:r>
    </w:p>
    <w:p w14:paraId="1285F350" w14:textId="39E4AF49" w:rsidR="00113886" w:rsidRPr="005F0419" w:rsidRDefault="00113886" w:rsidP="00113886">
      <w:pPr>
        <w:pStyle w:val="a4"/>
        <w:spacing w:after="0" w:line="360" w:lineRule="auto"/>
        <w:ind w:left="0" w:firstLine="709"/>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27. </w:t>
      </w:r>
      <w:proofErr w:type="spellStart"/>
      <w:r w:rsidRPr="005F0419">
        <w:rPr>
          <w:rFonts w:ascii="Times New Roman" w:hAnsi="Times New Roman" w:cs="Times New Roman"/>
          <w:sz w:val="28"/>
          <w:szCs w:val="28"/>
          <w:lang w:val="uk-UA"/>
        </w:rPr>
        <w:t>Кондрук</w:t>
      </w:r>
      <w:proofErr w:type="spellEnd"/>
      <w:r w:rsidRPr="005F0419">
        <w:rPr>
          <w:rFonts w:ascii="Times New Roman" w:hAnsi="Times New Roman" w:cs="Times New Roman"/>
          <w:sz w:val="28"/>
          <w:szCs w:val="28"/>
          <w:lang w:val="uk-UA"/>
        </w:rPr>
        <w:t xml:space="preserve"> Н. Е.</w:t>
      </w:r>
      <w:r w:rsidR="008D089E" w:rsidRPr="005F0419">
        <w:rPr>
          <w:rFonts w:ascii="Times New Roman" w:hAnsi="Times New Roman" w:cs="Times New Roman"/>
          <w:sz w:val="28"/>
          <w:szCs w:val="28"/>
          <w:lang w:val="uk-UA"/>
        </w:rPr>
        <w:t>, Маляр М. М.</w:t>
      </w:r>
      <w:r w:rsidRPr="005F0419">
        <w:rPr>
          <w:rFonts w:ascii="Times New Roman" w:hAnsi="Times New Roman" w:cs="Times New Roman"/>
          <w:sz w:val="28"/>
          <w:szCs w:val="28"/>
          <w:lang w:val="uk-UA"/>
        </w:rPr>
        <w:t xml:space="preserve"> Багатокритеріальна оптимізація лінійних систем: </w:t>
      </w:r>
      <w:proofErr w:type="spellStart"/>
      <w:r w:rsidRPr="005F0419">
        <w:rPr>
          <w:rFonts w:ascii="Times New Roman" w:hAnsi="Times New Roman" w:cs="Times New Roman"/>
          <w:sz w:val="28"/>
          <w:szCs w:val="28"/>
          <w:lang w:val="uk-UA"/>
        </w:rPr>
        <w:t>навч</w:t>
      </w:r>
      <w:proofErr w:type="spellEnd"/>
      <w:r w:rsidRPr="005F0419">
        <w:rPr>
          <w:rFonts w:ascii="Times New Roman" w:hAnsi="Times New Roman" w:cs="Times New Roman"/>
          <w:sz w:val="28"/>
          <w:szCs w:val="28"/>
          <w:lang w:val="uk-UA"/>
        </w:rPr>
        <w:t>. посібник</w:t>
      </w:r>
      <w:r w:rsidR="008D089E"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Ужгород: РА “АУТДОР-ШАРК”. 2019. 76 с.</w:t>
      </w:r>
    </w:p>
    <w:p w14:paraId="1525539F" w14:textId="5405B4E8" w:rsidR="008D089E" w:rsidRPr="005F0419" w:rsidRDefault="008D089E" w:rsidP="00113886">
      <w:pPr>
        <w:pStyle w:val="a4"/>
        <w:spacing w:after="0" w:line="360" w:lineRule="auto"/>
        <w:ind w:left="0" w:firstLine="709"/>
        <w:jc w:val="both"/>
        <w:rPr>
          <w:rFonts w:ascii="Times New Roman" w:hAnsi="Times New Roman" w:cs="Times New Roman"/>
          <w:sz w:val="28"/>
          <w:szCs w:val="28"/>
          <w:lang w:val="uk-UA"/>
        </w:rPr>
      </w:pPr>
    </w:p>
    <w:p w14:paraId="25442CEE" w14:textId="4CDEE747" w:rsidR="00823472" w:rsidRPr="005F0419" w:rsidRDefault="008D089E" w:rsidP="00823472">
      <w:pPr>
        <w:pStyle w:val="a4"/>
        <w:spacing w:after="0" w:line="360" w:lineRule="auto"/>
        <w:ind w:left="0" w:firstLine="709"/>
        <w:jc w:val="both"/>
        <w:rPr>
          <w:rFonts w:ascii="Times New Roman" w:hAnsi="Times New Roman"/>
          <w:i/>
          <w:iCs/>
          <w:sz w:val="28"/>
          <w:szCs w:val="28"/>
          <w:lang w:val="uk-UA"/>
        </w:rPr>
      </w:pPr>
      <w:r w:rsidRPr="005F0419">
        <w:rPr>
          <w:rFonts w:ascii="Times New Roman" w:hAnsi="Times New Roman" w:cs="Times New Roman"/>
          <w:b/>
          <w:bCs/>
          <w:i/>
          <w:iCs/>
          <w:sz w:val="28"/>
          <w:szCs w:val="28"/>
          <w:lang w:val="uk-UA"/>
        </w:rPr>
        <w:t>Ключові слова:</w:t>
      </w:r>
      <w:r w:rsidRPr="005F0419">
        <w:rPr>
          <w:rFonts w:ascii="Times New Roman" w:hAnsi="Times New Roman" w:cs="Times New Roman"/>
          <w:i/>
          <w:iCs/>
          <w:sz w:val="28"/>
          <w:szCs w:val="28"/>
          <w:lang w:val="uk-UA"/>
        </w:rPr>
        <w:t xml:space="preserve"> </w:t>
      </w:r>
      <w:r w:rsidR="00823472" w:rsidRPr="005F0419">
        <w:rPr>
          <w:rFonts w:ascii="Times New Roman" w:hAnsi="Times New Roman" w:cs="Times New Roman"/>
          <w:i/>
          <w:iCs/>
          <w:sz w:val="28"/>
          <w:szCs w:val="28"/>
          <w:lang w:val="uk-UA"/>
        </w:rPr>
        <w:t xml:space="preserve">методи математичного аналізу, </w:t>
      </w:r>
      <w:r w:rsidR="00823472" w:rsidRPr="005F0419">
        <w:rPr>
          <w:rFonts w:ascii="Times New Roman" w:hAnsi="Times New Roman"/>
          <w:i/>
          <w:iCs/>
          <w:sz w:val="28"/>
          <w:szCs w:val="28"/>
          <w:lang w:val="uk-UA"/>
        </w:rPr>
        <w:t>управлінська діяльність, галузі сільського господарства України.</w:t>
      </w:r>
    </w:p>
    <w:p w14:paraId="5CC8D867" w14:textId="77777777" w:rsidR="00113886" w:rsidRPr="005F0419" w:rsidRDefault="00113886" w:rsidP="00113886">
      <w:pPr>
        <w:spacing w:after="0" w:line="240" w:lineRule="auto"/>
        <w:ind w:firstLine="709"/>
        <w:jc w:val="both"/>
        <w:rPr>
          <w:rFonts w:ascii="Times New Roman" w:hAnsi="Times New Roman"/>
          <w:sz w:val="28"/>
          <w:szCs w:val="28"/>
          <w:lang w:val="uk-UA"/>
        </w:rPr>
      </w:pPr>
    </w:p>
    <w:p w14:paraId="65F271BD" w14:textId="77777777" w:rsidR="00113886" w:rsidRPr="005F0419" w:rsidRDefault="00113886" w:rsidP="00113886">
      <w:pPr>
        <w:spacing w:after="0" w:line="360" w:lineRule="auto"/>
        <w:ind w:firstLine="720"/>
        <w:jc w:val="both"/>
        <w:rPr>
          <w:rFonts w:ascii="Times New Roman" w:hAnsi="Times New Roman" w:cs="Times New Roman"/>
          <w:sz w:val="28"/>
          <w:szCs w:val="28"/>
          <w:lang w:val="uk-UA"/>
        </w:rPr>
      </w:pPr>
    </w:p>
    <w:p w14:paraId="3EF67565" w14:textId="77777777" w:rsidR="00D071E1" w:rsidRPr="005F0419" w:rsidRDefault="00D071E1" w:rsidP="00D071E1">
      <w:pPr>
        <w:pStyle w:val="Default"/>
        <w:pageBreakBefore/>
        <w:widowControl w:val="0"/>
        <w:spacing w:line="360" w:lineRule="auto"/>
        <w:ind w:firstLine="720"/>
        <w:jc w:val="center"/>
        <w:rPr>
          <w:b/>
          <w:bCs/>
          <w:caps/>
          <w:color w:val="auto"/>
          <w:sz w:val="28"/>
          <w:szCs w:val="28"/>
          <w:lang w:val="uk-UA"/>
        </w:rPr>
      </w:pPr>
      <w:r w:rsidRPr="005F0419">
        <w:rPr>
          <w:b/>
          <w:bCs/>
          <w:color w:val="auto"/>
          <w:sz w:val="28"/>
          <w:szCs w:val="28"/>
          <w:lang w:val="uk-UA"/>
        </w:rPr>
        <w:lastRenderedPageBreak/>
        <w:t xml:space="preserve">Розділ 2. </w:t>
      </w:r>
      <w:r w:rsidRPr="005F0419">
        <w:rPr>
          <w:b/>
          <w:bCs/>
          <w:caps/>
          <w:color w:val="auto"/>
          <w:sz w:val="28"/>
          <w:szCs w:val="28"/>
          <w:lang w:val="uk-UA"/>
        </w:rPr>
        <w:t>Менеджмент готельно-ресторанних послуг та індустрії туризму</w:t>
      </w:r>
    </w:p>
    <w:p w14:paraId="430405EC" w14:textId="77777777" w:rsidR="00D071E1" w:rsidRPr="005F0419" w:rsidRDefault="00D071E1" w:rsidP="00D071E1">
      <w:pPr>
        <w:spacing w:after="0" w:line="360" w:lineRule="auto"/>
        <w:ind w:firstLine="720"/>
        <w:rPr>
          <w:rFonts w:ascii="Times New Roman" w:eastAsia="Calibri" w:hAnsi="Times New Roman" w:cs="Times New Roman"/>
          <w:bCs/>
          <w:sz w:val="28"/>
          <w:szCs w:val="28"/>
          <w:highlight w:val="yellow"/>
          <w:lang w:val="uk-UA"/>
        </w:rPr>
      </w:pPr>
    </w:p>
    <w:p w14:paraId="73B84BEF" w14:textId="77777777" w:rsidR="00D071E1" w:rsidRPr="005F0419" w:rsidRDefault="00D071E1" w:rsidP="00D071E1">
      <w:pPr>
        <w:spacing w:after="0" w:line="360" w:lineRule="auto"/>
        <w:ind w:firstLine="720"/>
        <w:rPr>
          <w:rFonts w:ascii="Times New Roman" w:eastAsia="Calibri" w:hAnsi="Times New Roman" w:cs="Times New Roman"/>
          <w:bCs/>
          <w:sz w:val="28"/>
          <w:szCs w:val="28"/>
          <w:highlight w:val="yellow"/>
          <w:lang w:val="uk-UA"/>
        </w:rPr>
      </w:pPr>
    </w:p>
    <w:p w14:paraId="68B6BDA0" w14:textId="77777777" w:rsidR="0000167A" w:rsidRPr="005F0419" w:rsidRDefault="0000167A" w:rsidP="007715AB">
      <w:pPr>
        <w:spacing w:after="0" w:line="360" w:lineRule="auto"/>
        <w:ind w:firstLine="720"/>
        <w:jc w:val="center"/>
        <w:rPr>
          <w:rFonts w:ascii="Times New Roman" w:hAnsi="Times New Roman" w:cs="Times New Roman"/>
          <w:b/>
          <w:sz w:val="28"/>
          <w:szCs w:val="28"/>
          <w:highlight w:val="yellow"/>
          <w:lang w:val="uk-UA"/>
        </w:rPr>
      </w:pPr>
      <w:r w:rsidRPr="005F0419">
        <w:rPr>
          <w:rFonts w:ascii="Times New Roman" w:hAnsi="Times New Roman" w:cs="Times New Roman"/>
          <w:b/>
          <w:sz w:val="28"/>
          <w:szCs w:val="28"/>
          <w:lang w:val="uk-UA"/>
        </w:rPr>
        <w:t xml:space="preserve">РЕГІОНАЛЬНІ ОСОБЛИВОСТІ РОЗВИТКУ ТУРИЗМУ В КРИЗОВІ ПЕРІОДИ ТА ЇХНІЙ ВПЛИВ НА УПРАВЛІННЯ ПОВЕДІНКОЮ СПОЖИВАЧІВ ПОСЛУГ РЕКРЕАЦІЇ ТА ГОСТИННОСТІ </w:t>
      </w:r>
      <w:r w:rsidRPr="005F0419">
        <w:rPr>
          <w:rFonts w:ascii="Times New Roman" w:hAnsi="Times New Roman" w:cs="Times New Roman"/>
          <w:b/>
          <w:sz w:val="28"/>
          <w:szCs w:val="28"/>
          <w:highlight w:val="yellow"/>
          <w:lang w:val="uk-UA"/>
        </w:rPr>
        <w:t xml:space="preserve">  </w:t>
      </w:r>
    </w:p>
    <w:bookmarkEnd w:id="6"/>
    <w:bookmarkEnd w:id="7"/>
    <w:p w14:paraId="5DA86C08" w14:textId="77777777" w:rsidR="00753C4F" w:rsidRPr="005F0419" w:rsidRDefault="00753C4F" w:rsidP="00662012">
      <w:pPr>
        <w:spacing w:after="0" w:line="360" w:lineRule="auto"/>
        <w:ind w:firstLine="720"/>
        <w:jc w:val="both"/>
        <w:rPr>
          <w:rFonts w:ascii="Times New Roman" w:eastAsia="Times New Roman" w:hAnsi="Times New Roman" w:cs="Times New Roman"/>
          <w:sz w:val="28"/>
          <w:szCs w:val="28"/>
          <w:lang w:val="uk-UA"/>
        </w:rPr>
      </w:pPr>
    </w:p>
    <w:p w14:paraId="43147BD8" w14:textId="50164D51" w:rsidR="00753C4F" w:rsidRPr="005F0419" w:rsidRDefault="00D071E1" w:rsidP="00D071E1">
      <w:pPr>
        <w:spacing w:after="0" w:line="360" w:lineRule="auto"/>
        <w:ind w:firstLine="720"/>
        <w:jc w:val="center"/>
        <w:rPr>
          <w:rFonts w:ascii="Times New Roman" w:eastAsia="Times New Roman" w:hAnsi="Times New Roman" w:cs="Times New Roman"/>
          <w:sz w:val="28"/>
          <w:szCs w:val="28"/>
          <w:lang w:val="uk-UA"/>
        </w:rPr>
      </w:pPr>
      <w:proofErr w:type="spellStart"/>
      <w:r w:rsidRPr="005F0419">
        <w:rPr>
          <w:rFonts w:ascii="Times New Roman" w:hAnsi="Times New Roman" w:cs="Times New Roman"/>
          <w:b/>
          <w:bCs/>
          <w:i/>
          <w:iCs/>
          <w:sz w:val="28"/>
          <w:szCs w:val="28"/>
          <w:lang w:val="uk-UA"/>
        </w:rPr>
        <w:t>Гищук</w:t>
      </w:r>
      <w:proofErr w:type="spellEnd"/>
      <w:r w:rsidRPr="005F0419">
        <w:rPr>
          <w:rFonts w:ascii="Times New Roman" w:hAnsi="Times New Roman" w:cs="Times New Roman"/>
          <w:b/>
          <w:bCs/>
          <w:i/>
          <w:iCs/>
          <w:sz w:val="28"/>
          <w:szCs w:val="28"/>
          <w:lang w:val="uk-UA"/>
        </w:rPr>
        <w:t xml:space="preserve"> Роман Миколайович</w:t>
      </w:r>
    </w:p>
    <w:p w14:paraId="748D1AF1" w14:textId="77777777" w:rsidR="00D071E1" w:rsidRPr="005F0419" w:rsidRDefault="00D071E1" w:rsidP="00662012">
      <w:pPr>
        <w:spacing w:after="0" w:line="360" w:lineRule="auto"/>
        <w:ind w:firstLine="720"/>
        <w:jc w:val="both"/>
        <w:rPr>
          <w:rFonts w:ascii="Times New Roman" w:eastAsia="Times New Roman" w:hAnsi="Times New Roman" w:cs="Times New Roman"/>
          <w:sz w:val="28"/>
          <w:szCs w:val="28"/>
          <w:lang w:val="uk-UA"/>
        </w:rPr>
      </w:pPr>
    </w:p>
    <w:p w14:paraId="4595A1D4" w14:textId="02A0F96A"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широкому та загальному розумінні послуги гостинності є складовими туристичних, а їхня якість – формує та впливає на поведінку споживача, рівень сервісного обслуговування та комплексного розвитку туризму і його продуктів. Готелі та туризм також створюють позитивний вплив на економіку багатьох країн чи регіонів. Але зараз, через тривалий воєнний стан і наслідки пандемії COVID-19, вітчизняний туризм все ще переживає важкі часи. Багато готелів та інших підприємств, пов’язаних із туризмом, відчувають на собі ті проблеми, які призводять до скорочення їхньої мережі, а у найкритичнішому їхньому прояві – до закриття. Ці ризики створюють труднощі для людей, які працюють у туристичній галузі чи взаємодіють із нею як контрагенти. Нашим завданням є діагностика, оцінка та визначення конкурентних переваг і перспектив вітчизняної та карпатської готельної інфраструктури як основного фактору розвитку туристичного бізнесу регіону в сьогоднішніх українських реаліях, а також обґрунтування їхнього фактичного та потенційного впливу стосовно поведінки споживачів відповідних послуг з метою якісного функціонування туристичних </w:t>
      </w:r>
      <w:proofErr w:type="spellStart"/>
      <w:r w:rsidRPr="005F0419">
        <w:rPr>
          <w:rFonts w:ascii="Times New Roman" w:eastAsia="Times New Roman" w:hAnsi="Times New Roman" w:cs="Times New Roman"/>
          <w:sz w:val="28"/>
          <w:szCs w:val="28"/>
          <w:lang w:val="uk-UA"/>
        </w:rPr>
        <w:t>дестинацій</w:t>
      </w:r>
      <w:proofErr w:type="spellEnd"/>
      <w:r w:rsidRPr="005F0419">
        <w:rPr>
          <w:rFonts w:ascii="Times New Roman" w:eastAsia="Times New Roman" w:hAnsi="Times New Roman" w:cs="Times New Roman"/>
          <w:sz w:val="28"/>
          <w:szCs w:val="28"/>
          <w:lang w:val="uk-UA"/>
        </w:rPr>
        <w:t xml:space="preserve"> у кризових умовах пандемічних, воєнних та інших подібних кризових періодів.</w:t>
      </w:r>
    </w:p>
    <w:p w14:paraId="186E21C7" w14:textId="77777777" w:rsidR="0000167A" w:rsidRPr="005F0419" w:rsidRDefault="0000167A" w:rsidP="00662012">
      <w:pPr>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Детермінованість загального розвитку та перших результатів впливу туризму в період початку пандемії COVID-19 на розвиток і управління готельною інфраструктурою регіону в кризовий період досліджував Р. </w:t>
      </w:r>
      <w:proofErr w:type="spellStart"/>
      <w:r w:rsidRPr="005F0419">
        <w:rPr>
          <w:rFonts w:ascii="Times New Roman" w:eastAsia="Calibri" w:hAnsi="Times New Roman" w:cs="Times New Roman"/>
          <w:sz w:val="28"/>
          <w:szCs w:val="28"/>
          <w:lang w:val="uk-UA"/>
        </w:rPr>
        <w:t>Гищук</w:t>
      </w:r>
      <w:proofErr w:type="spellEnd"/>
      <w:r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lastRenderedPageBreak/>
        <w:t xml:space="preserve">[1]. Оцінку та інноваційні методи конкурентних готельних переваг здійснював С. Шаповал [2], а в кризовий період Р. </w:t>
      </w:r>
      <w:proofErr w:type="spellStart"/>
      <w:r w:rsidRPr="005F0419">
        <w:rPr>
          <w:rFonts w:ascii="Times New Roman" w:eastAsia="Calibri" w:hAnsi="Times New Roman" w:cs="Times New Roman"/>
          <w:sz w:val="28"/>
          <w:szCs w:val="28"/>
          <w:lang w:val="uk-UA"/>
        </w:rPr>
        <w:t>Гищук</w:t>
      </w:r>
      <w:proofErr w:type="spellEnd"/>
      <w:r w:rsidRPr="005F0419">
        <w:rPr>
          <w:rFonts w:ascii="Times New Roman" w:eastAsia="Calibri" w:hAnsi="Times New Roman" w:cs="Times New Roman"/>
          <w:sz w:val="28"/>
          <w:szCs w:val="28"/>
          <w:lang w:val="uk-UA"/>
        </w:rPr>
        <w:t xml:space="preserve"> і О. </w:t>
      </w:r>
      <w:proofErr w:type="spellStart"/>
      <w:r w:rsidRPr="005F0419">
        <w:rPr>
          <w:rFonts w:ascii="Times New Roman" w:eastAsia="Calibri" w:hAnsi="Times New Roman" w:cs="Times New Roman"/>
          <w:sz w:val="28"/>
          <w:szCs w:val="28"/>
          <w:lang w:val="uk-UA"/>
        </w:rPr>
        <w:t>Крецький</w:t>
      </w:r>
      <w:proofErr w:type="spellEnd"/>
      <w:r w:rsidRPr="005F0419">
        <w:rPr>
          <w:rFonts w:ascii="Times New Roman" w:eastAsia="Calibri" w:hAnsi="Times New Roman" w:cs="Times New Roman"/>
          <w:sz w:val="28"/>
          <w:szCs w:val="28"/>
          <w:lang w:val="uk-UA"/>
        </w:rPr>
        <w:t xml:space="preserve"> [3]. Питання комунікаційної політики в конкурентоспроможності та інноваційних методів її підвищення в готельних підприємствах за кордоном розглядали С. </w:t>
      </w:r>
      <w:proofErr w:type="spellStart"/>
      <w:r w:rsidRPr="005F0419">
        <w:rPr>
          <w:rFonts w:ascii="Times New Roman" w:eastAsia="Calibri" w:hAnsi="Times New Roman" w:cs="Times New Roman"/>
          <w:sz w:val="28"/>
          <w:szCs w:val="28"/>
          <w:lang w:val="uk-UA"/>
        </w:rPr>
        <w:t>Галасюк</w:t>
      </w:r>
      <w:proofErr w:type="spellEnd"/>
      <w:r w:rsidRPr="005F0419">
        <w:rPr>
          <w:rFonts w:ascii="Times New Roman" w:eastAsia="Calibri" w:hAnsi="Times New Roman" w:cs="Times New Roman"/>
          <w:sz w:val="28"/>
          <w:szCs w:val="28"/>
          <w:lang w:val="uk-UA"/>
        </w:rPr>
        <w:t xml:space="preserve"> [4], К. Музиченко [5], О. Шаповалова [6] та Т. Скорина [7]. Чинники формування конкурентних переваг підприємств готельного бізнесу були в центрі уваги наукових досліджень О. Виноградової та О. Куценко [8], О. Полтавської [9] та А. </w:t>
      </w:r>
      <w:proofErr w:type="spellStart"/>
      <w:r w:rsidRPr="005F0419">
        <w:rPr>
          <w:rFonts w:ascii="Times New Roman" w:eastAsia="Calibri" w:hAnsi="Times New Roman" w:cs="Times New Roman"/>
          <w:sz w:val="28"/>
          <w:szCs w:val="28"/>
          <w:lang w:val="uk-UA"/>
        </w:rPr>
        <w:t>Колодійчук</w:t>
      </w:r>
      <w:proofErr w:type="spellEnd"/>
      <w:r w:rsidRPr="005F0419">
        <w:rPr>
          <w:rFonts w:ascii="Times New Roman" w:eastAsia="Calibri" w:hAnsi="Times New Roman" w:cs="Times New Roman"/>
          <w:sz w:val="28"/>
          <w:szCs w:val="28"/>
          <w:lang w:val="uk-UA"/>
        </w:rPr>
        <w:t xml:space="preserve"> [10]. Виклики та напрями відновлення </w:t>
      </w:r>
      <w:proofErr w:type="spellStart"/>
      <w:r w:rsidRPr="005F0419">
        <w:rPr>
          <w:rFonts w:ascii="Times New Roman" w:eastAsia="Calibri" w:hAnsi="Times New Roman" w:cs="Times New Roman"/>
          <w:sz w:val="28"/>
          <w:szCs w:val="28"/>
          <w:lang w:val="uk-UA"/>
        </w:rPr>
        <w:t>готельно</w:t>
      </w:r>
      <w:proofErr w:type="spellEnd"/>
      <w:r w:rsidRPr="005F0419">
        <w:rPr>
          <w:rFonts w:ascii="Times New Roman" w:eastAsia="Calibri" w:hAnsi="Times New Roman" w:cs="Times New Roman"/>
          <w:sz w:val="28"/>
          <w:szCs w:val="28"/>
          <w:lang w:val="uk-UA"/>
        </w:rPr>
        <w:t xml:space="preserve">-ресторанного бізнесу у воєнний час під час затяжної кризи, що зумовлює зниження туристичної активності як національного, так і міжнародного рівня, розкрила у своєму науковому дослідженні О. Хитрова [11]. Вплив потенціалу туристичних ресурсів та його інфраструктури на розвиток, власне, туризму в певній </w:t>
      </w:r>
      <w:proofErr w:type="spellStart"/>
      <w:r w:rsidRPr="005F0419">
        <w:rPr>
          <w:rFonts w:ascii="Times New Roman" w:eastAsia="Calibri" w:hAnsi="Times New Roman" w:cs="Times New Roman"/>
          <w:sz w:val="28"/>
          <w:szCs w:val="28"/>
          <w:lang w:val="uk-UA"/>
        </w:rPr>
        <w:t>дестинації</w:t>
      </w:r>
      <w:proofErr w:type="spellEnd"/>
      <w:r w:rsidRPr="005F0419">
        <w:rPr>
          <w:rFonts w:ascii="Times New Roman" w:eastAsia="Calibri" w:hAnsi="Times New Roman" w:cs="Times New Roman"/>
          <w:sz w:val="28"/>
          <w:szCs w:val="28"/>
          <w:lang w:val="uk-UA"/>
        </w:rPr>
        <w:t xml:space="preserve"> розглядали </w:t>
      </w:r>
      <w:r w:rsidRPr="005F0419">
        <w:rPr>
          <w:rFonts w:ascii="Times New Roman" w:eastAsia="Calibri" w:hAnsi="Times New Roman" w:cs="Times New Roman"/>
          <w:spacing w:val="-4"/>
          <w:sz w:val="28"/>
          <w:szCs w:val="28"/>
          <w:lang w:val="uk-UA"/>
        </w:rPr>
        <w:t>В. </w:t>
      </w:r>
      <w:proofErr w:type="spellStart"/>
      <w:r w:rsidRPr="005F0419">
        <w:rPr>
          <w:rFonts w:ascii="Times New Roman" w:eastAsia="Calibri" w:hAnsi="Times New Roman" w:cs="Times New Roman"/>
          <w:spacing w:val="-4"/>
          <w:sz w:val="28"/>
          <w:szCs w:val="28"/>
          <w:lang w:val="uk-UA"/>
        </w:rPr>
        <w:t>Круль</w:t>
      </w:r>
      <w:proofErr w:type="spellEnd"/>
      <w:r w:rsidRPr="005F0419">
        <w:rPr>
          <w:rFonts w:ascii="Times New Roman" w:eastAsia="Calibri" w:hAnsi="Times New Roman" w:cs="Times New Roman"/>
          <w:spacing w:val="-4"/>
          <w:sz w:val="28"/>
          <w:szCs w:val="28"/>
          <w:lang w:val="uk-UA"/>
        </w:rPr>
        <w:t xml:space="preserve">, А. </w:t>
      </w:r>
      <w:proofErr w:type="spellStart"/>
      <w:r w:rsidRPr="005F0419">
        <w:rPr>
          <w:rFonts w:ascii="Times New Roman" w:eastAsia="Calibri" w:hAnsi="Times New Roman" w:cs="Times New Roman"/>
          <w:spacing w:val="-4"/>
          <w:sz w:val="28"/>
          <w:szCs w:val="28"/>
          <w:lang w:val="uk-UA"/>
        </w:rPr>
        <w:t>Вдовічен</w:t>
      </w:r>
      <w:proofErr w:type="spellEnd"/>
      <w:r w:rsidRPr="005F0419">
        <w:rPr>
          <w:rFonts w:ascii="Times New Roman" w:eastAsia="Calibri" w:hAnsi="Times New Roman" w:cs="Times New Roman"/>
          <w:spacing w:val="-4"/>
          <w:sz w:val="28"/>
          <w:szCs w:val="28"/>
          <w:lang w:val="uk-UA"/>
        </w:rPr>
        <w:t xml:space="preserve">, Р. </w:t>
      </w:r>
      <w:proofErr w:type="spellStart"/>
      <w:r w:rsidRPr="005F0419">
        <w:rPr>
          <w:rFonts w:ascii="Times New Roman" w:eastAsia="Calibri" w:hAnsi="Times New Roman" w:cs="Times New Roman"/>
          <w:spacing w:val="-4"/>
          <w:sz w:val="28"/>
          <w:szCs w:val="28"/>
          <w:lang w:val="uk-UA"/>
        </w:rPr>
        <w:t>Гищук</w:t>
      </w:r>
      <w:proofErr w:type="spellEnd"/>
      <w:r w:rsidRPr="005F0419">
        <w:rPr>
          <w:rFonts w:ascii="Times New Roman" w:eastAsia="Calibri" w:hAnsi="Times New Roman" w:cs="Times New Roman"/>
          <w:spacing w:val="-4"/>
          <w:sz w:val="28"/>
          <w:szCs w:val="28"/>
          <w:lang w:val="uk-UA"/>
        </w:rPr>
        <w:t xml:space="preserve">, І. </w:t>
      </w:r>
      <w:proofErr w:type="spellStart"/>
      <w:r w:rsidRPr="005F0419">
        <w:rPr>
          <w:rFonts w:ascii="Times New Roman" w:eastAsia="Calibri" w:hAnsi="Times New Roman" w:cs="Times New Roman"/>
          <w:spacing w:val="-4"/>
          <w:sz w:val="28"/>
          <w:szCs w:val="28"/>
          <w:lang w:val="uk-UA"/>
        </w:rPr>
        <w:t>Добинда</w:t>
      </w:r>
      <w:proofErr w:type="spellEnd"/>
      <w:r w:rsidRPr="005F0419">
        <w:rPr>
          <w:rFonts w:ascii="Times New Roman" w:eastAsia="Calibri" w:hAnsi="Times New Roman" w:cs="Times New Roman"/>
          <w:spacing w:val="-4"/>
          <w:sz w:val="28"/>
          <w:szCs w:val="28"/>
          <w:lang w:val="uk-UA"/>
        </w:rPr>
        <w:t xml:space="preserve"> [12, 13], а детермінованість впливу глобального туризму на розвиток, управління готельною інфраструктурою регіону, особливо в кризовий період – Р. </w:t>
      </w:r>
      <w:proofErr w:type="spellStart"/>
      <w:r w:rsidRPr="005F0419">
        <w:rPr>
          <w:rFonts w:ascii="Times New Roman" w:eastAsia="Calibri" w:hAnsi="Times New Roman" w:cs="Times New Roman"/>
          <w:spacing w:val="-4"/>
          <w:sz w:val="28"/>
          <w:szCs w:val="28"/>
          <w:lang w:val="uk-UA"/>
        </w:rPr>
        <w:t>Гищук</w:t>
      </w:r>
      <w:proofErr w:type="spellEnd"/>
      <w:r w:rsidRPr="005F0419">
        <w:rPr>
          <w:rFonts w:ascii="Times New Roman" w:eastAsia="Calibri" w:hAnsi="Times New Roman" w:cs="Times New Roman"/>
          <w:spacing w:val="-4"/>
          <w:sz w:val="28"/>
          <w:szCs w:val="28"/>
          <w:lang w:val="uk-UA"/>
        </w:rPr>
        <w:t xml:space="preserve"> [14-16]. </w:t>
      </w:r>
    </w:p>
    <w:p w14:paraId="54128803" w14:textId="77777777" w:rsidR="0000167A" w:rsidRPr="005F0419" w:rsidRDefault="0000167A" w:rsidP="00662012">
      <w:pPr>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Окремим, але дуже актуальним питанням у період воєнного стану та після нього є вивчення загального рекреаційного потенціалу територій і його впливу на лікування та реабілітацію хворих із </w:t>
      </w:r>
      <w:proofErr w:type="spellStart"/>
      <w:r w:rsidRPr="005F0419">
        <w:rPr>
          <w:rFonts w:ascii="Times New Roman" w:eastAsia="Calibri" w:hAnsi="Times New Roman" w:cs="Times New Roman"/>
          <w:sz w:val="28"/>
          <w:szCs w:val="28"/>
          <w:lang w:val="uk-UA"/>
        </w:rPr>
        <w:t>постравматичним</w:t>
      </w:r>
      <w:proofErr w:type="spellEnd"/>
      <w:r w:rsidRPr="005F0419">
        <w:rPr>
          <w:rFonts w:ascii="Times New Roman" w:eastAsia="Calibri" w:hAnsi="Times New Roman" w:cs="Times New Roman"/>
          <w:sz w:val="28"/>
          <w:szCs w:val="28"/>
          <w:lang w:val="uk-UA"/>
        </w:rPr>
        <w:t xml:space="preserve"> стресовим розладом (надалі ПТСР). Нині цій конкретній проблематиці загально-теоретичного та практичного змісту присвячені праці науковців здебільшого за кордоном </w:t>
      </w:r>
      <w:proofErr w:type="spellStart"/>
      <w:r w:rsidRPr="005F0419">
        <w:rPr>
          <w:rFonts w:ascii="Times New Roman" w:eastAsia="Calibri" w:hAnsi="Times New Roman" w:cs="Times New Roman"/>
          <w:sz w:val="28"/>
          <w:szCs w:val="28"/>
          <w:lang w:val="uk-UA"/>
        </w:rPr>
        <w:t>Елізабети</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Велл</w:t>
      </w:r>
      <w:proofErr w:type="spellEnd"/>
      <w:r w:rsidRPr="005F0419">
        <w:rPr>
          <w:rFonts w:ascii="Times New Roman" w:eastAsia="Calibri" w:hAnsi="Times New Roman" w:cs="Times New Roman"/>
          <w:sz w:val="28"/>
          <w:szCs w:val="28"/>
          <w:lang w:val="uk-UA"/>
        </w:rPr>
        <w:t xml:space="preserve"> Джейн, Б. </w:t>
      </w:r>
      <w:proofErr w:type="spellStart"/>
      <w:r w:rsidRPr="005F0419">
        <w:rPr>
          <w:rFonts w:ascii="Times New Roman" w:eastAsia="Calibri" w:hAnsi="Times New Roman" w:cs="Times New Roman"/>
          <w:sz w:val="28"/>
          <w:szCs w:val="28"/>
          <w:lang w:val="uk-UA"/>
        </w:rPr>
        <w:t>Мілліган</w:t>
      </w:r>
      <w:proofErr w:type="spellEnd"/>
      <w:r w:rsidRPr="005F0419">
        <w:rPr>
          <w:rFonts w:ascii="Times New Roman" w:eastAsia="Calibri" w:hAnsi="Times New Roman" w:cs="Times New Roman"/>
          <w:sz w:val="28"/>
          <w:szCs w:val="28"/>
          <w:lang w:val="uk-UA"/>
        </w:rPr>
        <w:t xml:space="preserve"> і </w:t>
      </w:r>
      <w:proofErr w:type="spellStart"/>
      <w:r w:rsidRPr="005F0419">
        <w:rPr>
          <w:rFonts w:ascii="Times New Roman" w:eastAsia="Calibri" w:hAnsi="Times New Roman" w:cs="Times New Roman"/>
          <w:sz w:val="28"/>
          <w:szCs w:val="28"/>
          <w:lang w:val="uk-UA"/>
        </w:rPr>
        <w:t>Дж</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Бенет</w:t>
      </w:r>
      <w:proofErr w:type="spellEnd"/>
      <w:r w:rsidRPr="005F0419">
        <w:rPr>
          <w:rFonts w:ascii="Times New Roman" w:eastAsia="Calibri" w:hAnsi="Times New Roman" w:cs="Times New Roman"/>
          <w:sz w:val="28"/>
          <w:szCs w:val="28"/>
          <w:lang w:val="uk-UA"/>
        </w:rPr>
        <w:t xml:space="preserve"> [17], Д. </w:t>
      </w:r>
      <w:proofErr w:type="spellStart"/>
      <w:r w:rsidRPr="005F0419">
        <w:rPr>
          <w:rFonts w:ascii="Times New Roman" w:eastAsia="Calibri" w:hAnsi="Times New Roman" w:cs="Times New Roman"/>
          <w:sz w:val="28"/>
          <w:szCs w:val="28"/>
          <w:lang w:val="uk-UA"/>
        </w:rPr>
        <w:t>Дастін</w:t>
      </w:r>
      <w:proofErr w:type="spellEnd"/>
      <w:r w:rsidRPr="005F0419">
        <w:rPr>
          <w:rFonts w:ascii="Times New Roman" w:eastAsia="Calibri" w:hAnsi="Times New Roman" w:cs="Times New Roman"/>
          <w:sz w:val="28"/>
          <w:szCs w:val="28"/>
          <w:lang w:val="uk-UA"/>
        </w:rPr>
        <w:t xml:space="preserve">, Н. </w:t>
      </w:r>
      <w:proofErr w:type="spellStart"/>
      <w:r w:rsidRPr="005F0419">
        <w:rPr>
          <w:rFonts w:ascii="Times New Roman" w:eastAsia="Calibri" w:hAnsi="Times New Roman" w:cs="Times New Roman"/>
          <w:sz w:val="28"/>
          <w:szCs w:val="28"/>
          <w:lang w:val="uk-UA"/>
        </w:rPr>
        <w:t>Брікер</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Дж</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Ерев</w:t>
      </w:r>
      <w:proofErr w:type="spellEnd"/>
      <w:r w:rsidRPr="005F0419">
        <w:rPr>
          <w:rFonts w:ascii="Times New Roman" w:eastAsia="Calibri" w:hAnsi="Times New Roman" w:cs="Times New Roman"/>
          <w:sz w:val="28"/>
          <w:szCs w:val="28"/>
          <w:lang w:val="uk-UA"/>
        </w:rPr>
        <w:t xml:space="preserve">, В. </w:t>
      </w:r>
      <w:proofErr w:type="spellStart"/>
      <w:r w:rsidRPr="005F0419">
        <w:rPr>
          <w:rFonts w:ascii="Times New Roman" w:eastAsia="Calibri" w:hAnsi="Times New Roman" w:cs="Times New Roman"/>
          <w:sz w:val="28"/>
          <w:szCs w:val="28"/>
          <w:lang w:val="uk-UA"/>
        </w:rPr>
        <w:t>Волл</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Дж</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Вендт</w:t>
      </w:r>
      <w:proofErr w:type="spellEnd"/>
      <w:r w:rsidRPr="005F0419">
        <w:rPr>
          <w:rFonts w:ascii="Times New Roman" w:eastAsia="Calibri" w:hAnsi="Times New Roman" w:cs="Times New Roman"/>
          <w:sz w:val="28"/>
          <w:szCs w:val="28"/>
          <w:lang w:val="uk-UA"/>
        </w:rPr>
        <w:t xml:space="preserve"> [18]. Вони  здебільшого вивчали  вплив рекреаційних ресурсів на зменшення наслідків ПТСР і здійснювали це за допомогою  концепції трьох «L» (</w:t>
      </w:r>
      <w:proofErr w:type="spellStart"/>
      <w:r w:rsidRPr="005F0419">
        <w:rPr>
          <w:rFonts w:ascii="Times New Roman" w:eastAsia="Calibri" w:hAnsi="Times New Roman" w:cs="Times New Roman"/>
          <w:sz w:val="28"/>
          <w:szCs w:val="28"/>
          <w:lang w:val="uk-UA"/>
        </w:rPr>
        <w:t>Landscape</w:t>
      </w:r>
      <w:proofErr w:type="spellEnd"/>
      <w:r w:rsidRPr="005F0419">
        <w:rPr>
          <w:rFonts w:ascii="Times New Roman" w:eastAsia="Calibri" w:hAnsi="Times New Roman" w:cs="Times New Roman"/>
          <w:sz w:val="28"/>
          <w:szCs w:val="28"/>
          <w:lang w:val="uk-UA"/>
        </w:rPr>
        <w:t xml:space="preserve"> – </w:t>
      </w:r>
      <w:proofErr w:type="spellStart"/>
      <w:r w:rsidRPr="005F0419">
        <w:rPr>
          <w:rFonts w:ascii="Times New Roman" w:eastAsia="Calibri" w:hAnsi="Times New Roman" w:cs="Times New Roman"/>
          <w:sz w:val="28"/>
          <w:szCs w:val="28"/>
          <w:lang w:val="uk-UA"/>
        </w:rPr>
        <w:t>Lore</w:t>
      </w:r>
      <w:proofErr w:type="spellEnd"/>
      <w:r w:rsidRPr="005F0419">
        <w:rPr>
          <w:rFonts w:ascii="Times New Roman" w:eastAsia="Calibri" w:hAnsi="Times New Roman" w:cs="Times New Roman"/>
          <w:sz w:val="28"/>
          <w:szCs w:val="28"/>
          <w:lang w:val="uk-UA"/>
        </w:rPr>
        <w:t xml:space="preserve"> – </w:t>
      </w:r>
      <w:proofErr w:type="spellStart"/>
      <w:r w:rsidRPr="005F0419">
        <w:rPr>
          <w:rFonts w:ascii="Times New Roman" w:eastAsia="Calibri" w:hAnsi="Times New Roman" w:cs="Times New Roman"/>
          <w:sz w:val="28"/>
          <w:szCs w:val="28"/>
          <w:lang w:val="uk-UA"/>
        </w:rPr>
        <w:t>Leisure</w:t>
      </w:r>
      <w:proofErr w:type="spellEnd"/>
      <w:r w:rsidRPr="005F0419">
        <w:rPr>
          <w:rFonts w:ascii="Times New Roman" w:eastAsia="Calibri" w:hAnsi="Times New Roman" w:cs="Times New Roman"/>
          <w:sz w:val="28"/>
          <w:szCs w:val="28"/>
          <w:lang w:val="uk-UA"/>
        </w:rPr>
        <w:t xml:space="preserve">) – пейзажі – традиції – дозвілля. Програми лікувально-оздоровчого відпочинку на свіжому повітрі серед ветеранів армії з посттравматичним стресовим розладом оцінювали М. </w:t>
      </w:r>
      <w:proofErr w:type="spellStart"/>
      <w:r w:rsidRPr="005F0419">
        <w:rPr>
          <w:rFonts w:ascii="Times New Roman" w:eastAsia="Calibri" w:hAnsi="Times New Roman" w:cs="Times New Roman"/>
          <w:sz w:val="28"/>
          <w:szCs w:val="28"/>
          <w:lang w:val="uk-UA"/>
        </w:rPr>
        <w:t>Грір</w:t>
      </w:r>
      <w:proofErr w:type="spellEnd"/>
      <w:r w:rsidRPr="005F0419">
        <w:rPr>
          <w:rFonts w:ascii="Times New Roman" w:eastAsia="Calibri" w:hAnsi="Times New Roman" w:cs="Times New Roman"/>
          <w:sz w:val="28"/>
          <w:szCs w:val="28"/>
          <w:lang w:val="uk-UA"/>
        </w:rPr>
        <w:t xml:space="preserve"> і Н. Він-</w:t>
      </w:r>
      <w:proofErr w:type="spellStart"/>
      <w:r w:rsidRPr="005F0419">
        <w:rPr>
          <w:rFonts w:ascii="Times New Roman" w:eastAsia="Calibri" w:hAnsi="Times New Roman" w:cs="Times New Roman"/>
          <w:sz w:val="28"/>
          <w:szCs w:val="28"/>
          <w:lang w:val="uk-UA"/>
        </w:rPr>
        <w:t>Равів</w:t>
      </w:r>
      <w:proofErr w:type="spellEnd"/>
      <w:r w:rsidRPr="005F0419">
        <w:rPr>
          <w:rFonts w:ascii="Times New Roman" w:eastAsia="Calibri" w:hAnsi="Times New Roman" w:cs="Times New Roman"/>
          <w:sz w:val="28"/>
          <w:szCs w:val="28"/>
          <w:lang w:val="uk-UA"/>
        </w:rPr>
        <w:t xml:space="preserve"> [19]. Поведінка споживачів послуг туризму на стику </w:t>
      </w:r>
      <w:proofErr w:type="spellStart"/>
      <w:r w:rsidRPr="005F0419">
        <w:rPr>
          <w:rFonts w:ascii="Times New Roman" w:eastAsia="Calibri" w:hAnsi="Times New Roman" w:cs="Times New Roman"/>
          <w:sz w:val="28"/>
          <w:szCs w:val="28"/>
          <w:lang w:val="uk-UA"/>
        </w:rPr>
        <w:t>постпадемічного</w:t>
      </w:r>
      <w:proofErr w:type="spellEnd"/>
      <w:r w:rsidRPr="005F0419">
        <w:rPr>
          <w:rFonts w:ascii="Times New Roman" w:eastAsia="Calibri" w:hAnsi="Times New Roman" w:cs="Times New Roman"/>
          <w:sz w:val="28"/>
          <w:szCs w:val="28"/>
          <w:lang w:val="uk-UA"/>
        </w:rPr>
        <w:t xml:space="preserve"> та </w:t>
      </w:r>
      <w:proofErr w:type="spellStart"/>
      <w:r w:rsidRPr="005F0419">
        <w:rPr>
          <w:rFonts w:ascii="Times New Roman" w:eastAsia="Calibri" w:hAnsi="Times New Roman" w:cs="Times New Roman"/>
          <w:sz w:val="28"/>
          <w:szCs w:val="28"/>
          <w:lang w:val="uk-UA"/>
        </w:rPr>
        <w:t>постравматичного</w:t>
      </w:r>
      <w:proofErr w:type="spellEnd"/>
      <w:r w:rsidRPr="005F0419">
        <w:rPr>
          <w:rFonts w:ascii="Times New Roman" w:eastAsia="Calibri" w:hAnsi="Times New Roman" w:cs="Times New Roman"/>
          <w:sz w:val="28"/>
          <w:szCs w:val="28"/>
          <w:lang w:val="uk-UA"/>
        </w:rPr>
        <w:t xml:space="preserve"> розладу була в основі наукових пошуків китайської та американської наукових студій у Макао та </w:t>
      </w:r>
      <w:proofErr w:type="spellStart"/>
      <w:r w:rsidRPr="005F0419">
        <w:rPr>
          <w:rFonts w:ascii="Times New Roman" w:eastAsia="Calibri" w:hAnsi="Times New Roman" w:cs="Times New Roman"/>
          <w:sz w:val="28"/>
          <w:szCs w:val="28"/>
          <w:lang w:val="uk-UA"/>
        </w:rPr>
        <w:t>Оклагомі</w:t>
      </w:r>
      <w:proofErr w:type="spellEnd"/>
      <w:r w:rsidRPr="005F0419">
        <w:rPr>
          <w:rFonts w:ascii="Times New Roman" w:eastAsia="Calibri" w:hAnsi="Times New Roman" w:cs="Times New Roman"/>
          <w:sz w:val="28"/>
          <w:szCs w:val="28"/>
          <w:lang w:val="uk-UA"/>
        </w:rPr>
        <w:t xml:space="preserve"> </w:t>
      </w:r>
      <w:bookmarkStart w:id="9" w:name="_Hlk157889216"/>
      <w:r w:rsidRPr="005F0419">
        <w:rPr>
          <w:rFonts w:ascii="Times New Roman" w:eastAsia="Calibri" w:hAnsi="Times New Roman" w:cs="Times New Roman"/>
          <w:sz w:val="28"/>
          <w:szCs w:val="28"/>
          <w:lang w:val="uk-UA"/>
        </w:rPr>
        <w:t>[20]</w:t>
      </w:r>
      <w:bookmarkEnd w:id="9"/>
      <w:r w:rsidRPr="005F0419">
        <w:rPr>
          <w:rFonts w:ascii="Times New Roman" w:eastAsia="Calibri" w:hAnsi="Times New Roman" w:cs="Times New Roman"/>
          <w:sz w:val="28"/>
          <w:szCs w:val="28"/>
          <w:lang w:val="uk-UA"/>
        </w:rPr>
        <w:t xml:space="preserve">. В Україні праці загально-теоретичного змісту сучасних методів діагностики ПТСР у </w:t>
      </w:r>
      <w:r w:rsidRPr="005F0419">
        <w:rPr>
          <w:rFonts w:ascii="Times New Roman" w:eastAsia="Calibri" w:hAnsi="Times New Roman" w:cs="Times New Roman"/>
          <w:sz w:val="28"/>
          <w:szCs w:val="28"/>
          <w:lang w:val="uk-UA"/>
        </w:rPr>
        <w:lastRenderedPageBreak/>
        <w:t xml:space="preserve">військовослужбовців </w:t>
      </w:r>
      <w:bookmarkStart w:id="10" w:name="_Hlk157889317"/>
      <w:r w:rsidRPr="005F0419">
        <w:rPr>
          <w:rFonts w:ascii="Times New Roman" w:eastAsia="Calibri" w:hAnsi="Times New Roman" w:cs="Times New Roman"/>
          <w:sz w:val="28"/>
          <w:szCs w:val="28"/>
          <w:lang w:val="uk-UA"/>
        </w:rPr>
        <w:t xml:space="preserve">[21] </w:t>
      </w:r>
      <w:bookmarkEnd w:id="10"/>
      <w:r w:rsidRPr="005F0419">
        <w:rPr>
          <w:rFonts w:ascii="Times New Roman" w:eastAsia="Calibri" w:hAnsi="Times New Roman" w:cs="Times New Roman"/>
          <w:sz w:val="28"/>
          <w:szCs w:val="28"/>
          <w:lang w:val="uk-UA"/>
        </w:rPr>
        <w:t xml:space="preserve">і його сучасного стану проблеми у науці [22] представлені у вітчизняних науковців, таких як Романюк О., </w:t>
      </w:r>
      <w:proofErr w:type="spellStart"/>
      <w:r w:rsidRPr="005F0419">
        <w:rPr>
          <w:rFonts w:ascii="Times New Roman" w:eastAsia="Calibri" w:hAnsi="Times New Roman" w:cs="Times New Roman"/>
          <w:sz w:val="28"/>
          <w:szCs w:val="28"/>
          <w:lang w:val="uk-UA"/>
        </w:rPr>
        <w:t>Бочелюк</w:t>
      </w:r>
      <w:proofErr w:type="spellEnd"/>
      <w:r w:rsidRPr="005F0419">
        <w:rPr>
          <w:rFonts w:ascii="Times New Roman" w:eastAsia="Calibri" w:hAnsi="Times New Roman" w:cs="Times New Roman"/>
          <w:sz w:val="28"/>
          <w:szCs w:val="28"/>
          <w:lang w:val="uk-UA"/>
        </w:rPr>
        <w:t xml:space="preserve"> В., </w:t>
      </w:r>
      <w:proofErr w:type="spellStart"/>
      <w:r w:rsidRPr="005F0419">
        <w:rPr>
          <w:rFonts w:ascii="Times New Roman" w:eastAsia="Calibri" w:hAnsi="Times New Roman" w:cs="Times New Roman"/>
          <w:sz w:val="28"/>
          <w:szCs w:val="28"/>
          <w:lang w:val="uk-UA"/>
        </w:rPr>
        <w:t>Панов</w:t>
      </w:r>
      <w:proofErr w:type="spellEnd"/>
      <w:r w:rsidRPr="005F0419">
        <w:rPr>
          <w:rFonts w:ascii="Times New Roman" w:eastAsia="Calibri" w:hAnsi="Times New Roman" w:cs="Times New Roman"/>
          <w:sz w:val="28"/>
          <w:szCs w:val="28"/>
          <w:lang w:val="uk-UA"/>
        </w:rPr>
        <w:t xml:space="preserve"> М., </w:t>
      </w:r>
      <w:proofErr w:type="spellStart"/>
      <w:r w:rsidRPr="005F0419">
        <w:rPr>
          <w:rFonts w:ascii="Times New Roman" w:eastAsia="Calibri" w:hAnsi="Times New Roman" w:cs="Times New Roman"/>
          <w:sz w:val="28"/>
          <w:szCs w:val="28"/>
          <w:lang w:val="uk-UA"/>
        </w:rPr>
        <w:t>Турубарова</w:t>
      </w:r>
      <w:proofErr w:type="spellEnd"/>
      <w:r w:rsidRPr="005F0419">
        <w:rPr>
          <w:rFonts w:ascii="Times New Roman" w:eastAsia="Calibri" w:hAnsi="Times New Roman" w:cs="Times New Roman"/>
          <w:sz w:val="28"/>
          <w:szCs w:val="28"/>
          <w:lang w:val="uk-UA"/>
        </w:rPr>
        <w:t xml:space="preserve"> А. У регіональному контексті оцінки Карпатського рекреаційно-туристичного району стосовно систем рекреації для потреб осіб із симптомами ПТСР була опублікована низка робіт Р. </w:t>
      </w:r>
      <w:proofErr w:type="spellStart"/>
      <w:r w:rsidRPr="005F0419">
        <w:rPr>
          <w:rFonts w:ascii="Times New Roman" w:eastAsia="Calibri" w:hAnsi="Times New Roman" w:cs="Times New Roman"/>
          <w:sz w:val="28"/>
          <w:szCs w:val="28"/>
          <w:lang w:val="uk-UA"/>
        </w:rPr>
        <w:t>Гищуком</w:t>
      </w:r>
      <w:proofErr w:type="spellEnd"/>
      <w:r w:rsidRPr="005F0419">
        <w:rPr>
          <w:rFonts w:ascii="Times New Roman" w:eastAsia="Calibri" w:hAnsi="Times New Roman" w:cs="Times New Roman"/>
          <w:sz w:val="28"/>
          <w:szCs w:val="28"/>
          <w:lang w:val="uk-UA"/>
        </w:rPr>
        <w:t xml:space="preserve"> та О. </w:t>
      </w:r>
      <w:proofErr w:type="spellStart"/>
      <w:r w:rsidRPr="005F0419">
        <w:rPr>
          <w:rFonts w:ascii="Times New Roman" w:eastAsia="Calibri" w:hAnsi="Times New Roman" w:cs="Times New Roman"/>
          <w:sz w:val="28"/>
          <w:szCs w:val="28"/>
          <w:lang w:val="uk-UA"/>
        </w:rPr>
        <w:t>Пилипець</w:t>
      </w:r>
      <w:proofErr w:type="spellEnd"/>
      <w:r w:rsidRPr="005F0419">
        <w:rPr>
          <w:rFonts w:ascii="Times New Roman" w:eastAsia="Calibri" w:hAnsi="Times New Roman" w:cs="Times New Roman"/>
          <w:sz w:val="28"/>
          <w:szCs w:val="28"/>
          <w:lang w:val="uk-UA"/>
        </w:rPr>
        <w:t xml:space="preserve"> [23, 24]. </w:t>
      </w:r>
    </w:p>
    <w:p w14:paraId="65F8C82F" w14:textId="77777777" w:rsidR="0000167A" w:rsidRPr="005F0419" w:rsidRDefault="0000167A" w:rsidP="00662012">
      <w:pPr>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Утім, у жодній із вказаних наукових студій не проводився комплексний науковий аналіз нинішнього глобального стану розвитку туризму, його регіональної структури до закінчення пандемії COVID-19, бізнес-показників і бальної оцінки зовнішніх конкурентних переваг готельної інфраструктури та рекреаційного потенціалу як базового ресурсу лікування постраждалих від війни із симптомами ПТСР Карпатського рекреаційно-туристичного регіону; його </w:t>
      </w:r>
      <w:proofErr w:type="spellStart"/>
      <w:r w:rsidRPr="005F0419">
        <w:rPr>
          <w:rFonts w:ascii="Times New Roman" w:eastAsia="Calibri" w:hAnsi="Times New Roman" w:cs="Times New Roman"/>
          <w:sz w:val="28"/>
          <w:szCs w:val="28"/>
          <w:lang w:val="uk-UA"/>
        </w:rPr>
        <w:t>дестинації</w:t>
      </w:r>
      <w:proofErr w:type="spellEnd"/>
      <w:r w:rsidRPr="005F0419">
        <w:rPr>
          <w:rFonts w:ascii="Times New Roman" w:eastAsia="Calibri" w:hAnsi="Times New Roman" w:cs="Times New Roman"/>
          <w:sz w:val="28"/>
          <w:szCs w:val="28"/>
          <w:lang w:val="uk-UA"/>
        </w:rPr>
        <w:t xml:space="preserve"> як чинників потенційного впливу на поведінку споживача в послугах гостинності та туризму в кризових умовах, особливо під час воєнного стану та повномасштабних активних бойових дій в Україні. Останній фактор дуже сильно обмежує доступ до конкретних економічних показників і певних господарських реєстрів готельних господарств із міркувань національної та комерційної безпеки. </w:t>
      </w:r>
    </w:p>
    <w:p w14:paraId="14249EE6" w14:textId="77777777" w:rsidR="0000167A" w:rsidRPr="005F0419" w:rsidRDefault="0000167A" w:rsidP="00662012">
      <w:pPr>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sz w:val="28"/>
          <w:szCs w:val="28"/>
          <w:lang w:val="uk-UA"/>
        </w:rPr>
        <w:t>Зазначені вище особливості актуалізують за вказаних умов необхідність застосування в наукових дослідженнях загального регіонального аналізу розвитку туризму та методики бальної оцінки конкурентних порівняльних переваг готельної інфраструктури в послугах гостинності як потенційних чинників поведінки споживача-туриста. З</w:t>
      </w:r>
      <w:r w:rsidRPr="005F0419">
        <w:rPr>
          <w:rFonts w:ascii="Times New Roman" w:eastAsia="Calibri" w:hAnsi="Times New Roman" w:cs="Times New Roman"/>
          <w:bCs/>
          <w:sz w:val="28"/>
          <w:szCs w:val="28"/>
          <w:lang w:val="uk-UA"/>
        </w:rPr>
        <w:t xml:space="preserve">астосування, власне, бальної методики та аналіз на її основі зовнішніх конкурентних порівняльних переваг готельної інфраструктури й послуг гостинності в туристичних </w:t>
      </w:r>
      <w:proofErr w:type="spellStart"/>
      <w:r w:rsidRPr="005F0419">
        <w:rPr>
          <w:rFonts w:ascii="Times New Roman" w:eastAsia="Calibri" w:hAnsi="Times New Roman" w:cs="Times New Roman"/>
          <w:bCs/>
          <w:sz w:val="28"/>
          <w:szCs w:val="28"/>
          <w:lang w:val="uk-UA"/>
        </w:rPr>
        <w:t>дестинаціях</w:t>
      </w:r>
      <w:proofErr w:type="spellEnd"/>
      <w:r w:rsidRPr="005F0419">
        <w:rPr>
          <w:rFonts w:ascii="Times New Roman" w:eastAsia="Calibri" w:hAnsi="Times New Roman" w:cs="Times New Roman"/>
          <w:bCs/>
          <w:sz w:val="28"/>
          <w:szCs w:val="28"/>
          <w:lang w:val="uk-UA"/>
        </w:rPr>
        <w:t xml:space="preserve"> як основних чинників поведінки туристичних споживачів в кризових умовах і воєнного стану є нині важливими науковими студіями і напрямками оцінки їхніх перспектив у таких реаліях.</w:t>
      </w:r>
    </w:p>
    <w:p w14:paraId="5BF09FA4"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Глобальний туризм, а разом із нею готельна інфраструктура через її незатребуваність туристами, пережив істотну кризу, спричинену пандемією COVID-19. Розпочалася вона з Китаю в Азії, а офіційною датою визнання її </w:t>
      </w:r>
      <w:r w:rsidRPr="005F0419">
        <w:rPr>
          <w:rFonts w:ascii="Times New Roman" w:eastAsia="Times New Roman" w:hAnsi="Times New Roman" w:cs="Times New Roman"/>
          <w:sz w:val="28"/>
          <w:szCs w:val="28"/>
          <w:lang w:val="uk-UA"/>
        </w:rPr>
        <w:lastRenderedPageBreak/>
        <w:t xml:space="preserve">глобальною проблемою ВООЗ (WHO) був березень 2020 року. Це призвело до рекордного падіння туристичних потоків упродовж усього часу ІІІ тисячоліття, які потягнули за собою закономірно і таке ж істотне зниження доходів у цій галузі: -1,1 млрд. туристів або -72% відносної ваги та -930 млрд. доларів США, що рівноцінно -63%. Сьогодні глобальний рівень розвитку туризму за цими ж аналізованими даними повернувся до 1,031 млрд. туристів і 963 млрд. доходів від них, що «відкинуло» туристичний бізнес на десятиліття назад. Саме такими вони були під час світової економічної кризи 2009 року, тоді як по закінченні 2019 року і початку COVID-19 вони були найліпшими за всю історію розвитку всесвітнього туризму, досягнувши позначок із 1465 млн. туристів і 1494 млрд. доларів США (рис. 1). </w:t>
      </w:r>
    </w:p>
    <w:p w14:paraId="7FE7684B"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noProof/>
          <w:sz w:val="28"/>
          <w:szCs w:val="28"/>
          <w:lang w:val="uk-UA"/>
        </w:rPr>
        <w:drawing>
          <wp:inline distT="0" distB="0" distL="0" distR="0" wp14:anchorId="739AFB18" wp14:editId="3823F439">
            <wp:extent cx="5609809" cy="33813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5628378" cy="3392568"/>
                    </a:xfrm>
                    <a:prstGeom prst="rect">
                      <a:avLst/>
                    </a:prstGeom>
                  </pic:spPr>
                </pic:pic>
              </a:graphicData>
            </a:graphic>
          </wp:inline>
        </w:drawing>
      </w:r>
    </w:p>
    <w:p w14:paraId="66EBF01C" w14:textId="69B65F30"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1. Міжнародні туристичні прибуття та доходи від туризму в 2000-2022 рр. [25]</w:t>
      </w:r>
    </w:p>
    <w:p w14:paraId="5FE7F2ED" w14:textId="77777777" w:rsidR="007715AB" w:rsidRDefault="007715AB" w:rsidP="0033737E">
      <w:pPr>
        <w:spacing w:after="0" w:line="360" w:lineRule="auto"/>
        <w:ind w:firstLine="720"/>
        <w:jc w:val="both"/>
        <w:rPr>
          <w:rFonts w:ascii="Times New Roman" w:eastAsia="Times New Roman" w:hAnsi="Times New Roman" w:cs="Times New Roman"/>
          <w:sz w:val="28"/>
          <w:szCs w:val="28"/>
          <w:lang w:val="uk-UA"/>
        </w:rPr>
      </w:pPr>
    </w:p>
    <w:p w14:paraId="73C4A3E3" w14:textId="7D5FD128" w:rsidR="0033737E" w:rsidRPr="005F0419" w:rsidRDefault="0033737E" w:rsidP="0033737E">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Ці чинники досить вагомо вплинули на світовий ринок експорту товарів і послуг, які в десятці лідерів за рівнем заробітку потіснили туризм як експортну категорію з третьої позиції на дев’яту. Так, якщо упродовж останніх років і в 2019 році він стабільно займав третє місце після ринку палива та продукції </w:t>
      </w:r>
      <w:r w:rsidRPr="005F0419">
        <w:rPr>
          <w:rFonts w:ascii="Times New Roman" w:eastAsia="Times New Roman" w:hAnsi="Times New Roman" w:cs="Times New Roman"/>
          <w:sz w:val="28"/>
          <w:szCs w:val="28"/>
          <w:lang w:val="uk-UA"/>
        </w:rPr>
        <w:lastRenderedPageBreak/>
        <w:t xml:space="preserve">хімічної галузі з 1800 млрд. $ виручених коштів від його діяльності, то в з початком пандемії його вага з-поміж провідних 10 глобальних напрямків бізнесу знизилася до 800 млрд. $. (рис. 2).     </w:t>
      </w:r>
    </w:p>
    <w:p w14:paraId="046759FC"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w:drawing>
          <wp:inline distT="0" distB="0" distL="0" distR="0" wp14:anchorId="58E2BBCB" wp14:editId="4EFBFA41">
            <wp:extent cx="5723414" cy="294322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5735932" cy="2949662"/>
                    </a:xfrm>
                    <a:prstGeom prst="rect">
                      <a:avLst/>
                    </a:prstGeom>
                  </pic:spPr>
                </pic:pic>
              </a:graphicData>
            </a:graphic>
          </wp:inline>
        </w:drawing>
      </w:r>
    </w:p>
    <w:p w14:paraId="0BF3DD09" w14:textId="77777777"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2. Десятка найбільших експортних галузей світового ринку товарів та послуг до та на початку пандемії COVID-19, трлн.$ [25]</w:t>
      </w:r>
    </w:p>
    <w:p w14:paraId="2573567F"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2BF63400" w14:textId="77777777" w:rsidR="0033737E"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Найістотніше туристичні потоки знизилися продовж 2020-2021 рр. в </w:t>
      </w:r>
      <w:proofErr w:type="spellStart"/>
      <w:r w:rsidRPr="005F0419">
        <w:rPr>
          <w:rFonts w:ascii="Times New Roman" w:eastAsia="Times New Roman" w:hAnsi="Times New Roman" w:cs="Times New Roman"/>
          <w:sz w:val="28"/>
          <w:szCs w:val="28"/>
          <w:lang w:val="uk-UA"/>
        </w:rPr>
        <w:t>Азійсько</w:t>
      </w:r>
      <w:proofErr w:type="spellEnd"/>
      <w:r w:rsidRPr="005F0419">
        <w:rPr>
          <w:rFonts w:ascii="Times New Roman" w:eastAsia="Times New Roman" w:hAnsi="Times New Roman" w:cs="Times New Roman"/>
          <w:sz w:val="28"/>
          <w:szCs w:val="28"/>
          <w:lang w:val="uk-UA"/>
        </w:rPr>
        <w:t xml:space="preserve">-Тихоокеанському регіоні (-93%), Африці та на Близькому Сході (-73%), Європі та Америці (-68%), а загалом по світу цей показник склав -72% стосовно 2019 року (рис. 3). </w:t>
      </w:r>
    </w:p>
    <w:p w14:paraId="66F205BE"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w:drawing>
          <wp:inline distT="0" distB="0" distL="0" distR="0" wp14:anchorId="18F0D2E2" wp14:editId="5106EDB2">
            <wp:extent cx="5310124" cy="2562225"/>
            <wp:effectExtent l="0" t="0" r="5080" b="0"/>
            <wp:docPr id="653531982" name="Рисунок 653531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5325956" cy="2569864"/>
                    </a:xfrm>
                    <a:prstGeom prst="rect">
                      <a:avLst/>
                    </a:prstGeom>
                  </pic:spPr>
                </pic:pic>
              </a:graphicData>
            </a:graphic>
          </wp:inline>
        </w:drawing>
      </w:r>
    </w:p>
    <w:p w14:paraId="6DD3425B" w14:textId="66C74C11"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3. Зміни в міжнародних туристичних прибуттях, % до 2019 р. [25]</w:t>
      </w:r>
    </w:p>
    <w:p w14:paraId="45B01EF9" w14:textId="77777777" w:rsidR="0033737E" w:rsidRPr="005F0419" w:rsidRDefault="0033737E" w:rsidP="0033737E">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 xml:space="preserve">Майже такою ж була тенденція у зменшенні частки доходів від туризму, причому ні кількість туристів, ні рівень доходів від туристичного бізнесу в усіх регіонах світу по офіційному завершенні пандемії COVID-19 у 2022 році не досягнув значень </w:t>
      </w:r>
      <w:proofErr w:type="spellStart"/>
      <w:r w:rsidRPr="005F0419">
        <w:rPr>
          <w:rFonts w:ascii="Times New Roman" w:eastAsia="Times New Roman" w:hAnsi="Times New Roman" w:cs="Times New Roman"/>
          <w:sz w:val="28"/>
          <w:szCs w:val="28"/>
          <w:lang w:val="uk-UA"/>
        </w:rPr>
        <w:t>доковідного</w:t>
      </w:r>
      <w:proofErr w:type="spellEnd"/>
      <w:r w:rsidRPr="005F0419">
        <w:rPr>
          <w:rFonts w:ascii="Times New Roman" w:eastAsia="Times New Roman" w:hAnsi="Times New Roman" w:cs="Times New Roman"/>
          <w:sz w:val="28"/>
          <w:szCs w:val="28"/>
          <w:lang w:val="uk-UA"/>
        </w:rPr>
        <w:t xml:space="preserve"> 2019 року (рис. 4). </w:t>
      </w:r>
    </w:p>
    <w:p w14:paraId="5CA59252" w14:textId="77777777" w:rsidR="0000167A" w:rsidRPr="005F0419" w:rsidRDefault="0000167A" w:rsidP="0033737E">
      <w:pPr>
        <w:spacing w:after="0" w:line="36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w:drawing>
          <wp:inline distT="0" distB="0" distL="0" distR="0" wp14:anchorId="7419DE45" wp14:editId="5E8ADC50">
            <wp:extent cx="6120130" cy="3498573"/>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6122467" cy="3499909"/>
                    </a:xfrm>
                    <a:prstGeom prst="rect">
                      <a:avLst/>
                    </a:prstGeom>
                  </pic:spPr>
                </pic:pic>
              </a:graphicData>
            </a:graphic>
          </wp:inline>
        </w:drawing>
      </w:r>
    </w:p>
    <w:p w14:paraId="56EB37F8" w14:textId="77777777"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4. Зміни в туристичних доходах, % до 2019 р. [25]</w:t>
      </w:r>
    </w:p>
    <w:p w14:paraId="18CEF951"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573F5232" w14:textId="781CBBAC"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Зламним після десятирічного успіху туризму став 2020 рік, коли для суспільства настав період спаду економіки та тривалі й перманентні </w:t>
      </w:r>
      <w:proofErr w:type="spellStart"/>
      <w:r w:rsidRPr="005F0419">
        <w:rPr>
          <w:rFonts w:ascii="Times New Roman" w:eastAsia="Times New Roman" w:hAnsi="Times New Roman" w:cs="Times New Roman"/>
          <w:sz w:val="28"/>
          <w:szCs w:val="28"/>
          <w:lang w:val="uk-UA"/>
        </w:rPr>
        <w:t>локдауни</w:t>
      </w:r>
      <w:proofErr w:type="spellEnd"/>
      <w:r w:rsidRPr="005F0419">
        <w:rPr>
          <w:rFonts w:ascii="Times New Roman" w:eastAsia="Times New Roman" w:hAnsi="Times New Roman" w:cs="Times New Roman"/>
          <w:sz w:val="28"/>
          <w:szCs w:val="28"/>
          <w:lang w:val="uk-UA"/>
        </w:rPr>
        <w:t xml:space="preserve">, спричинені пандемією COVID-19: спершу глобальний, а згодом вибіркові національні. Зокрема лише за 2020 рік </w:t>
      </w:r>
      <w:proofErr w:type="spellStart"/>
      <w:r w:rsidRPr="005F0419">
        <w:rPr>
          <w:rFonts w:ascii="Times New Roman" w:eastAsia="Times New Roman" w:hAnsi="Times New Roman" w:cs="Times New Roman"/>
          <w:sz w:val="28"/>
          <w:szCs w:val="28"/>
          <w:lang w:val="uk-UA"/>
        </w:rPr>
        <w:t>Азійсько</w:t>
      </w:r>
      <w:proofErr w:type="spellEnd"/>
      <w:r w:rsidRPr="005F0419">
        <w:rPr>
          <w:rFonts w:ascii="Times New Roman" w:eastAsia="Times New Roman" w:hAnsi="Times New Roman" w:cs="Times New Roman"/>
          <w:sz w:val="28"/>
          <w:szCs w:val="28"/>
          <w:lang w:val="uk-UA"/>
        </w:rPr>
        <w:t xml:space="preserve">-Тихоокеанський регіон, де карантинні обмеження на подорожі були найсуворішими, втратив 300 млн. туристів. Що стосується частин рекреаційно-туристичних регіонів, то за винятком Західної Європи і країн Середземномор’я, Північної Америки та островів Карибського басейну і частково Центральної Америки, зниження коливалися від 70 до 90 %. Найкраще у цьому сенсі нині подолав наслідки пандемії за чисельністю приїжджих туристів регіон Близького Сходу. Він не «дотягнув» до показників базового 2019 року лише 10%, а за рівнем доходів, які фіксувалися у цьому ж 2019 році, – Європейські країни (-13%). Найгірші ж вони </w:t>
      </w:r>
      <w:r w:rsidRPr="005F0419">
        <w:rPr>
          <w:rFonts w:ascii="Times New Roman" w:eastAsia="Times New Roman" w:hAnsi="Times New Roman" w:cs="Times New Roman"/>
          <w:sz w:val="28"/>
          <w:szCs w:val="28"/>
          <w:lang w:val="uk-UA"/>
        </w:rPr>
        <w:lastRenderedPageBreak/>
        <w:t xml:space="preserve">залишилися і нині в </w:t>
      </w:r>
      <w:proofErr w:type="spellStart"/>
      <w:r w:rsidRPr="005F0419">
        <w:rPr>
          <w:rFonts w:ascii="Times New Roman" w:eastAsia="Times New Roman" w:hAnsi="Times New Roman" w:cs="Times New Roman"/>
          <w:sz w:val="28"/>
          <w:szCs w:val="28"/>
          <w:lang w:val="uk-UA"/>
        </w:rPr>
        <w:t>Азійсько</w:t>
      </w:r>
      <w:proofErr w:type="spellEnd"/>
      <w:r w:rsidRPr="005F0419">
        <w:rPr>
          <w:rFonts w:ascii="Times New Roman" w:eastAsia="Times New Roman" w:hAnsi="Times New Roman" w:cs="Times New Roman"/>
          <w:sz w:val="28"/>
          <w:szCs w:val="28"/>
          <w:lang w:val="uk-UA"/>
        </w:rPr>
        <w:t>-Тихоокеанському регіоні. За цей час його частка у світовому туризмі впала з 25% до 10% міжнародних туристів і з 30% до 13% доходів відповідно Це призвело до закриття 156 напрямків за туристичними країнами. Лише до травня 2020 року було припинено 75% із них, які приймали 80% всіх міжнародних туристів. У відносній вазі за рахунок вказаних тенденцій істотний приріст відбувся у Європі, яка знову виокремилися одноосібним лідером: +11% за прийнятими туристами та +14% за отриманими доходами від діяльності в’їзного туризму (рис. 5).</w:t>
      </w:r>
    </w:p>
    <w:p w14:paraId="334123BA" w14:textId="77777777" w:rsidR="0000167A" w:rsidRPr="005F0419" w:rsidRDefault="0000167A" w:rsidP="0033737E">
      <w:pPr>
        <w:spacing w:after="0" w:line="36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w:drawing>
          <wp:inline distT="0" distB="0" distL="0" distR="0" wp14:anchorId="4A2A4EFC" wp14:editId="1032D244">
            <wp:extent cx="2614773" cy="2013585"/>
            <wp:effectExtent l="0" t="0" r="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a:stretch>
                      <a:fillRect/>
                    </a:stretch>
                  </pic:blipFill>
                  <pic:spPr>
                    <a:xfrm>
                      <a:off x="0" y="0"/>
                      <a:ext cx="2623518" cy="2020319"/>
                    </a:xfrm>
                    <a:prstGeom prst="rect">
                      <a:avLst/>
                    </a:prstGeom>
                  </pic:spPr>
                </pic:pic>
              </a:graphicData>
            </a:graphic>
          </wp:inline>
        </w:drawing>
      </w:r>
      <w:r w:rsidRPr="005F0419">
        <w:rPr>
          <w:rFonts w:ascii="Times New Roman" w:hAnsi="Times New Roman" w:cs="Times New Roman"/>
          <w:noProof/>
          <w:sz w:val="28"/>
          <w:szCs w:val="28"/>
          <w:lang w:val="uk-UA"/>
        </w:rPr>
        <w:t xml:space="preserve"> </w:t>
      </w:r>
      <w:r w:rsidRPr="005F0419">
        <w:rPr>
          <w:rFonts w:ascii="Times New Roman" w:eastAsia="Times New Roman" w:hAnsi="Times New Roman" w:cs="Times New Roman"/>
          <w:noProof/>
          <w:sz w:val="28"/>
          <w:szCs w:val="28"/>
          <w:lang w:val="uk-UA"/>
        </w:rPr>
        <w:drawing>
          <wp:inline distT="0" distB="0" distL="0" distR="0" wp14:anchorId="2B996C1C" wp14:editId="08B92F15">
            <wp:extent cx="3395609" cy="200850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4"/>
                    <a:stretch>
                      <a:fillRect/>
                    </a:stretch>
                  </pic:blipFill>
                  <pic:spPr>
                    <a:xfrm>
                      <a:off x="0" y="0"/>
                      <a:ext cx="3447932" cy="2039454"/>
                    </a:xfrm>
                    <a:prstGeom prst="rect">
                      <a:avLst/>
                    </a:prstGeom>
                  </pic:spPr>
                </pic:pic>
              </a:graphicData>
            </a:graphic>
          </wp:inline>
        </w:drawing>
      </w:r>
    </w:p>
    <w:p w14:paraId="76258024" w14:textId="77777777"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5. Частка регіонів за кількістю туристів (ліворуч) та доходами (праворуч) від туризму в  2019-2022 рр. [25]</w:t>
      </w:r>
    </w:p>
    <w:p w14:paraId="17B1E249"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1E42D214"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При цьому впродовж пандемії змінилася не тільки структура подорожей за регіонами, але й за країнами, що вплинуло на поведінку туристів. Через різні заходи та обмеження в охороні здоров’я, політику на заборони у міжнародних поїздках, </w:t>
      </w:r>
      <w:proofErr w:type="spellStart"/>
      <w:r w:rsidRPr="005F0419">
        <w:rPr>
          <w:rFonts w:ascii="Times New Roman" w:eastAsia="Times New Roman" w:hAnsi="Times New Roman" w:cs="Times New Roman"/>
          <w:sz w:val="28"/>
          <w:szCs w:val="28"/>
          <w:lang w:val="uk-UA"/>
        </w:rPr>
        <w:t>упізнаваність</w:t>
      </w:r>
      <w:proofErr w:type="spellEnd"/>
      <w:r w:rsidRPr="005F0419">
        <w:rPr>
          <w:rFonts w:ascii="Times New Roman" w:eastAsia="Times New Roman" w:hAnsi="Times New Roman" w:cs="Times New Roman"/>
          <w:sz w:val="28"/>
          <w:szCs w:val="28"/>
          <w:lang w:val="uk-UA"/>
        </w:rPr>
        <w:t xml:space="preserve"> країни як стійкого міжнародного туристичного бренду зазнав змін їхній світовий рейтинг. У першій трійці за прийнятими туристами станом на 2022 рік вони залишилася без змін: Франція (79 млн. туристів), Іспанія (72 млн. туристів), США (51 млн. туристів), хоча все ж абсолютна кількість їхня знизилася після початку кризи, пов’язаної з пандемією COVID-19. Наступні позиції після третього місця підвищили Туреччина (з 6 на 4), Мексика (з 7 на 6), Великобританія (з 10 на 7) і Німеччина (з 9 на 8). На 9 і 10 позиції опинилися Греція та Австрія, витіснивши з рейтингу 2019 року Китай і Таїланд, які так і не </w:t>
      </w:r>
      <w:r w:rsidRPr="005F0419">
        <w:rPr>
          <w:rFonts w:ascii="Times New Roman" w:eastAsia="Times New Roman" w:hAnsi="Times New Roman" w:cs="Times New Roman"/>
          <w:sz w:val="28"/>
          <w:szCs w:val="28"/>
          <w:lang w:val="uk-UA"/>
        </w:rPr>
        <w:lastRenderedPageBreak/>
        <w:t>змогли повернути собі втрачені позиції в першій десятці після закінчення пандемії (рис. 6).</w:t>
      </w:r>
    </w:p>
    <w:p w14:paraId="04820EA7"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w:drawing>
          <wp:inline distT="0" distB="0" distL="0" distR="0" wp14:anchorId="083BFAAD" wp14:editId="434FEAD5">
            <wp:extent cx="5634990" cy="3250096"/>
            <wp:effectExtent l="0" t="0" r="3810"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5663641" cy="3266621"/>
                    </a:xfrm>
                    <a:prstGeom prst="rect">
                      <a:avLst/>
                    </a:prstGeom>
                  </pic:spPr>
                </pic:pic>
              </a:graphicData>
            </a:graphic>
          </wp:inline>
        </w:drawing>
      </w:r>
    </w:p>
    <w:p w14:paraId="0E5C0088" w14:textId="77777777" w:rsidR="0033737E"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Рис. 6. Десятка країн-лідерів за прийнятими туристами </w:t>
      </w:r>
    </w:p>
    <w:p w14:paraId="12FB1FED" w14:textId="376A935A"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у 2019 і 2022 рр., млн. ос</w:t>
      </w:r>
      <w:r w:rsidR="0033737E" w:rsidRPr="005F0419">
        <w:rPr>
          <w:rFonts w:ascii="Times New Roman" w:eastAsia="Times New Roman" w:hAnsi="Times New Roman" w:cs="Times New Roman"/>
          <w:sz w:val="28"/>
          <w:szCs w:val="28"/>
          <w:lang w:val="uk-UA"/>
        </w:rPr>
        <w:t>іб</w:t>
      </w:r>
      <w:r w:rsidRPr="005F0419">
        <w:rPr>
          <w:rFonts w:ascii="Times New Roman" w:eastAsia="Times New Roman" w:hAnsi="Times New Roman" w:cs="Times New Roman"/>
          <w:sz w:val="28"/>
          <w:szCs w:val="28"/>
          <w:lang w:val="uk-UA"/>
        </w:rPr>
        <w:t xml:space="preserve"> [25]</w:t>
      </w:r>
    </w:p>
    <w:p w14:paraId="47047BC6"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120D2902"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Дохідна частина від туризму в рейтингу країн 2019-22 рр. зазнала змін також за повної відсутності у 2022 році азійських країн та ротації інших, за винятком США (1 місце), Іспанії (2 місце) та Італії (6 місце). Натомість Великобританія потіснила з третьої позиції Францію, яка опустилася до 5 місця, а Німеччина покращила свою позицію на +1 місце. Новими країнами, які були відсутні в десятці кращих 2019 року, стали ОАЕ, Мексика та Канада, причому перша країна замикає четвірку кращих із 61 млрд. доларів США (рис. 7).</w:t>
      </w:r>
    </w:p>
    <w:p w14:paraId="5A20246C" w14:textId="77777777" w:rsidR="0033737E"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Ще одною якісною економічною категорією аналізу про рівень розвитку туризму в кризовий період, зокрема пандемії, є витратна частина на туризм, яка характеризує купівельну спроможність і рівень зацікавленості резидентів країни до туризму, послуг гостинності та інших споріднених секторів, характеризує їхню поведінкову складову. Зокрема, в міжнародному контексті як до початку, так і по закінченні пандемії COVID-19 лідером був і залишився Китай, хоча витратна частина їхніх туристів у світі впала удвічі. Втричі менше почали </w:t>
      </w:r>
      <w:r w:rsidRPr="005F0419">
        <w:rPr>
          <w:rFonts w:ascii="Times New Roman" w:eastAsia="Times New Roman" w:hAnsi="Times New Roman" w:cs="Times New Roman"/>
          <w:sz w:val="28"/>
          <w:szCs w:val="28"/>
          <w:lang w:val="uk-UA"/>
        </w:rPr>
        <w:lastRenderedPageBreak/>
        <w:t xml:space="preserve">витрачати на відвідування світових туристичних </w:t>
      </w:r>
      <w:proofErr w:type="spellStart"/>
      <w:r w:rsidRPr="005F0419">
        <w:rPr>
          <w:rFonts w:ascii="Times New Roman" w:eastAsia="Times New Roman" w:hAnsi="Times New Roman" w:cs="Times New Roman"/>
          <w:sz w:val="28"/>
          <w:szCs w:val="28"/>
          <w:lang w:val="uk-UA"/>
        </w:rPr>
        <w:t>дестинацій</w:t>
      </w:r>
      <w:proofErr w:type="spellEnd"/>
      <w:r w:rsidRPr="005F0419">
        <w:rPr>
          <w:rFonts w:ascii="Times New Roman" w:eastAsia="Times New Roman" w:hAnsi="Times New Roman" w:cs="Times New Roman"/>
          <w:sz w:val="28"/>
          <w:szCs w:val="28"/>
          <w:lang w:val="uk-UA"/>
        </w:rPr>
        <w:t xml:space="preserve"> резиденти США, але такий вагомий спад все ще залишає цю країну другою у світі. </w:t>
      </w:r>
    </w:p>
    <w:p w14:paraId="323C7DE0" w14:textId="77777777" w:rsidR="0033737E" w:rsidRPr="005F0419" w:rsidRDefault="0033737E" w:rsidP="0033737E">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w:drawing>
          <wp:inline distT="0" distB="0" distL="0" distR="0" wp14:anchorId="3A3C636E" wp14:editId="6BF0BBAD">
            <wp:extent cx="5438061" cy="354827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6"/>
                    <a:stretch>
                      <a:fillRect/>
                    </a:stretch>
                  </pic:blipFill>
                  <pic:spPr>
                    <a:xfrm>
                      <a:off x="0" y="0"/>
                      <a:ext cx="5475563" cy="3572740"/>
                    </a:xfrm>
                    <a:prstGeom prst="rect">
                      <a:avLst/>
                    </a:prstGeom>
                  </pic:spPr>
                </pic:pic>
              </a:graphicData>
            </a:graphic>
          </wp:inline>
        </w:drawing>
      </w:r>
    </w:p>
    <w:p w14:paraId="55B5CB12" w14:textId="77777777" w:rsidR="0033737E" w:rsidRPr="005F0419" w:rsidRDefault="0033737E" w:rsidP="0033737E">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7. Десятка країн-лідерів за доходами від туристів у 2019 і 2022 рр., млрд. доларів США [25]</w:t>
      </w:r>
    </w:p>
    <w:p w14:paraId="1EFB857B" w14:textId="77777777" w:rsidR="0033737E" w:rsidRPr="005F0419" w:rsidRDefault="0033737E" w:rsidP="00662012">
      <w:pPr>
        <w:spacing w:after="0" w:line="360" w:lineRule="auto"/>
        <w:ind w:firstLine="720"/>
        <w:jc w:val="both"/>
        <w:rPr>
          <w:rFonts w:ascii="Times New Roman" w:eastAsia="Times New Roman" w:hAnsi="Times New Roman" w:cs="Times New Roman"/>
          <w:sz w:val="28"/>
          <w:szCs w:val="28"/>
          <w:lang w:val="uk-UA"/>
        </w:rPr>
      </w:pPr>
    </w:p>
    <w:p w14:paraId="0FD3919A" w14:textId="1E22253E"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Значно менше витратили на туристичні та сервісні послуги громадяни Великобританії – 24 млрд. доларів США, що втричі менше до 2020 року, та Канади – 8 млрд. доларів США. А це вже учетверо менше, ніж трьома роками раніше. Зовсім випали за цей період туристи Австралії та Південної Кореї, яких замінили мандрівники з Індії, Італії та Іспанії (рис. 8).</w:t>
      </w:r>
    </w:p>
    <w:p w14:paraId="7B8F2A67" w14:textId="77777777" w:rsidR="0033737E"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Європі найбільше збитків від пандемії COVID-19 зазнали Північна та Центрально-Східна її частини. Це відобразилося як на туристах, так і на доходах цього бізнесу. Так у перший рік пандемії туристичні субрегіони втратили до ¾ своїх приїжджих туристів і більше половини доходів. До них, майже, з аналогічними показниками у перший рік пандемії доєдналася Південна середземноморська частина Європи, де збитки від дохідної частини були найбільшими – 160,4 млрд. доларів США. Утім вже у наступному 2021 році </w:t>
      </w:r>
      <w:r w:rsidRPr="005F0419">
        <w:rPr>
          <w:rFonts w:ascii="Times New Roman" w:eastAsia="Times New Roman" w:hAnsi="Times New Roman" w:cs="Times New Roman"/>
          <w:sz w:val="28"/>
          <w:szCs w:val="28"/>
          <w:lang w:val="uk-UA"/>
        </w:rPr>
        <w:lastRenderedPageBreak/>
        <w:t xml:space="preserve">середземноморська й Центрально-Східна Європа пережили нарощення темпів зростання, тоді як Північна продовжувала стагнацію. </w:t>
      </w:r>
    </w:p>
    <w:p w14:paraId="7A44890E" w14:textId="77777777" w:rsidR="0033737E" w:rsidRPr="005F0419" w:rsidRDefault="0033737E" w:rsidP="0033737E">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w:drawing>
          <wp:inline distT="0" distB="0" distL="0" distR="0" wp14:anchorId="79843990" wp14:editId="0D5CD4EF">
            <wp:extent cx="5621020" cy="3498574"/>
            <wp:effectExtent l="0" t="0" r="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a:stretch>
                      <a:fillRect/>
                    </a:stretch>
                  </pic:blipFill>
                  <pic:spPr>
                    <a:xfrm>
                      <a:off x="0" y="0"/>
                      <a:ext cx="5638272" cy="3509312"/>
                    </a:xfrm>
                    <a:prstGeom prst="rect">
                      <a:avLst/>
                    </a:prstGeom>
                  </pic:spPr>
                </pic:pic>
              </a:graphicData>
            </a:graphic>
          </wp:inline>
        </w:drawing>
      </w:r>
    </w:p>
    <w:p w14:paraId="324AC56A" w14:textId="77777777" w:rsidR="0033737E" w:rsidRPr="005F0419" w:rsidRDefault="0033737E" w:rsidP="0033737E">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8. Десятка країн-лідерів за витратами їхніх туристів у 2019 і 2022 рр., млрд. доларів США [25]</w:t>
      </w:r>
    </w:p>
    <w:p w14:paraId="393D286C" w14:textId="77777777" w:rsidR="0033737E" w:rsidRPr="005F0419" w:rsidRDefault="0033737E" w:rsidP="00662012">
      <w:pPr>
        <w:spacing w:after="0" w:line="360" w:lineRule="auto"/>
        <w:ind w:firstLine="720"/>
        <w:jc w:val="both"/>
        <w:rPr>
          <w:rFonts w:ascii="Times New Roman" w:eastAsia="Times New Roman" w:hAnsi="Times New Roman" w:cs="Times New Roman"/>
          <w:sz w:val="28"/>
          <w:szCs w:val="28"/>
          <w:lang w:val="uk-UA"/>
        </w:rPr>
      </w:pPr>
    </w:p>
    <w:p w14:paraId="0D50AA3B" w14:textId="3E5AB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Лідером виокремилися Західна Європа, яка також втратила на тлі пандемії, проте і за абсолютними, і за відносними показниками періоду 2019-2022 рр. залишалася з їхніми найкращими даними (табл. 1-2).</w:t>
      </w:r>
    </w:p>
    <w:p w14:paraId="6A9F58AC" w14:textId="77777777" w:rsidR="0000167A" w:rsidRPr="005F0419" w:rsidRDefault="0000167A" w:rsidP="00662012">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Таблиця 1</w:t>
      </w:r>
    </w:p>
    <w:p w14:paraId="7E19A402" w14:textId="38935F96"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Міжнародні туристичні прибуття в Європі у 2019-2022 рр., млн. ос</w:t>
      </w:r>
      <w:r w:rsidR="007E234D" w:rsidRPr="005F0419">
        <w:rPr>
          <w:rFonts w:ascii="Times New Roman" w:eastAsia="Times New Roman" w:hAnsi="Times New Roman" w:cs="Times New Roman"/>
          <w:sz w:val="28"/>
          <w:szCs w:val="28"/>
          <w:lang w:val="uk-UA"/>
        </w:rPr>
        <w:t>іб</w:t>
      </w:r>
      <w:r w:rsidRPr="005F0419">
        <w:rPr>
          <w:rFonts w:ascii="Times New Roman" w:eastAsia="Times New Roman" w:hAnsi="Times New Roman" w:cs="Times New Roman"/>
          <w:sz w:val="28"/>
          <w:szCs w:val="28"/>
          <w:lang w:val="uk-UA"/>
        </w:rPr>
        <w:t xml:space="preserve"> [25]</w:t>
      </w:r>
    </w:p>
    <w:tbl>
      <w:tblPr>
        <w:tblStyle w:val="ab"/>
        <w:tblW w:w="9687" w:type="dxa"/>
        <w:tblLook w:val="04A0" w:firstRow="1" w:lastRow="0" w:firstColumn="1" w:lastColumn="0" w:noHBand="0" w:noVBand="1"/>
      </w:tblPr>
      <w:tblGrid>
        <w:gridCol w:w="1573"/>
        <w:gridCol w:w="1003"/>
        <w:gridCol w:w="1003"/>
        <w:gridCol w:w="1003"/>
        <w:gridCol w:w="1003"/>
        <w:gridCol w:w="1367"/>
        <w:gridCol w:w="1367"/>
        <w:gridCol w:w="1368"/>
      </w:tblGrid>
      <w:tr w:rsidR="0000167A" w:rsidRPr="005F0419" w14:paraId="254A2165" w14:textId="77777777" w:rsidTr="0033737E">
        <w:trPr>
          <w:trHeight w:val="285"/>
        </w:trPr>
        <w:tc>
          <w:tcPr>
            <w:tcW w:w="1573" w:type="dxa"/>
            <w:vMerge w:val="restart"/>
          </w:tcPr>
          <w:p w14:paraId="3537F423" w14:textId="77777777" w:rsidR="0000167A" w:rsidRPr="005F0419" w:rsidRDefault="0000167A" w:rsidP="0033737E">
            <w:pPr>
              <w:spacing w:after="0" w:line="240" w:lineRule="auto"/>
              <w:jc w:val="both"/>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Регіони</w:t>
            </w:r>
          </w:p>
        </w:tc>
        <w:tc>
          <w:tcPr>
            <w:tcW w:w="1003" w:type="dxa"/>
            <w:vMerge w:val="restart"/>
          </w:tcPr>
          <w:p w14:paraId="3E9DAC98"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2019</w:t>
            </w:r>
          </w:p>
        </w:tc>
        <w:tc>
          <w:tcPr>
            <w:tcW w:w="1003" w:type="dxa"/>
            <w:vMerge w:val="restart"/>
          </w:tcPr>
          <w:p w14:paraId="41F320CE"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2020</w:t>
            </w:r>
          </w:p>
        </w:tc>
        <w:tc>
          <w:tcPr>
            <w:tcW w:w="1003" w:type="dxa"/>
            <w:vMerge w:val="restart"/>
          </w:tcPr>
          <w:p w14:paraId="273E53A8"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2021</w:t>
            </w:r>
          </w:p>
        </w:tc>
        <w:tc>
          <w:tcPr>
            <w:tcW w:w="1003" w:type="dxa"/>
            <w:vMerge w:val="restart"/>
          </w:tcPr>
          <w:p w14:paraId="1D1C1F30"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2022</w:t>
            </w:r>
          </w:p>
        </w:tc>
        <w:tc>
          <w:tcPr>
            <w:tcW w:w="4102" w:type="dxa"/>
            <w:gridSpan w:val="3"/>
          </w:tcPr>
          <w:p w14:paraId="5AE52F08"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Відносне відхилення, %</w:t>
            </w:r>
          </w:p>
        </w:tc>
      </w:tr>
      <w:tr w:rsidR="0000167A" w:rsidRPr="005F0419" w14:paraId="2E81CF66" w14:textId="77777777" w:rsidTr="0033737E">
        <w:trPr>
          <w:trHeight w:val="299"/>
        </w:trPr>
        <w:tc>
          <w:tcPr>
            <w:tcW w:w="1573" w:type="dxa"/>
            <w:vMerge/>
          </w:tcPr>
          <w:p w14:paraId="27EFF137" w14:textId="77777777" w:rsidR="0000167A" w:rsidRPr="005F0419" w:rsidRDefault="0000167A" w:rsidP="0033737E">
            <w:pPr>
              <w:spacing w:after="0" w:line="240" w:lineRule="auto"/>
              <w:jc w:val="both"/>
              <w:rPr>
                <w:rFonts w:ascii="Times New Roman" w:eastAsia="Times New Roman" w:hAnsi="Times New Roman" w:cs="Times New Roman"/>
                <w:sz w:val="24"/>
                <w:szCs w:val="24"/>
                <w:lang w:val="uk-UA"/>
              </w:rPr>
            </w:pPr>
          </w:p>
        </w:tc>
        <w:tc>
          <w:tcPr>
            <w:tcW w:w="1003" w:type="dxa"/>
            <w:vMerge/>
          </w:tcPr>
          <w:p w14:paraId="3B05966F"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p>
        </w:tc>
        <w:tc>
          <w:tcPr>
            <w:tcW w:w="1003" w:type="dxa"/>
            <w:vMerge/>
          </w:tcPr>
          <w:p w14:paraId="6068F6CA"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p>
        </w:tc>
        <w:tc>
          <w:tcPr>
            <w:tcW w:w="1003" w:type="dxa"/>
            <w:vMerge/>
          </w:tcPr>
          <w:p w14:paraId="35D094C0"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p>
        </w:tc>
        <w:tc>
          <w:tcPr>
            <w:tcW w:w="1003" w:type="dxa"/>
            <w:vMerge/>
          </w:tcPr>
          <w:p w14:paraId="1DE75CC6"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p>
        </w:tc>
        <w:tc>
          <w:tcPr>
            <w:tcW w:w="1367" w:type="dxa"/>
          </w:tcPr>
          <w:p w14:paraId="4FDED54C"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2020/2019</w:t>
            </w:r>
          </w:p>
        </w:tc>
        <w:tc>
          <w:tcPr>
            <w:tcW w:w="1367" w:type="dxa"/>
          </w:tcPr>
          <w:p w14:paraId="32A99562"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2021/2019</w:t>
            </w:r>
          </w:p>
        </w:tc>
        <w:tc>
          <w:tcPr>
            <w:tcW w:w="1367" w:type="dxa"/>
          </w:tcPr>
          <w:p w14:paraId="2ED4A319"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2022/2019</w:t>
            </w:r>
          </w:p>
        </w:tc>
      </w:tr>
      <w:tr w:rsidR="0000167A" w:rsidRPr="005F0419" w14:paraId="60B252AE" w14:textId="77777777" w:rsidTr="0033737E">
        <w:trPr>
          <w:trHeight w:val="299"/>
        </w:trPr>
        <w:tc>
          <w:tcPr>
            <w:tcW w:w="1573" w:type="dxa"/>
          </w:tcPr>
          <w:p w14:paraId="44FE4350" w14:textId="77777777" w:rsidR="0000167A" w:rsidRPr="005F0419" w:rsidRDefault="0000167A" w:rsidP="0033737E">
            <w:pPr>
              <w:spacing w:after="0" w:line="240" w:lineRule="auto"/>
              <w:jc w:val="both"/>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Північна Європа</w:t>
            </w:r>
          </w:p>
        </w:tc>
        <w:tc>
          <w:tcPr>
            <w:tcW w:w="1003" w:type="dxa"/>
          </w:tcPr>
          <w:p w14:paraId="696923EF"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83,7</w:t>
            </w:r>
          </w:p>
        </w:tc>
        <w:tc>
          <w:tcPr>
            <w:tcW w:w="1003" w:type="dxa"/>
          </w:tcPr>
          <w:p w14:paraId="019479CB"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23,7</w:t>
            </w:r>
          </w:p>
        </w:tc>
        <w:tc>
          <w:tcPr>
            <w:tcW w:w="1003" w:type="dxa"/>
          </w:tcPr>
          <w:p w14:paraId="38111ECA"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21,9</w:t>
            </w:r>
          </w:p>
        </w:tc>
        <w:tc>
          <w:tcPr>
            <w:tcW w:w="1003" w:type="dxa"/>
          </w:tcPr>
          <w:p w14:paraId="03D6EE26"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71,7</w:t>
            </w:r>
          </w:p>
        </w:tc>
        <w:tc>
          <w:tcPr>
            <w:tcW w:w="1367" w:type="dxa"/>
          </w:tcPr>
          <w:p w14:paraId="677AE0AC"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-71,6</w:t>
            </w:r>
          </w:p>
        </w:tc>
        <w:tc>
          <w:tcPr>
            <w:tcW w:w="1367" w:type="dxa"/>
          </w:tcPr>
          <w:p w14:paraId="700A2184"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-73,8</w:t>
            </w:r>
          </w:p>
        </w:tc>
        <w:tc>
          <w:tcPr>
            <w:tcW w:w="1367" w:type="dxa"/>
          </w:tcPr>
          <w:p w14:paraId="4FB4A888"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-14,4</w:t>
            </w:r>
          </w:p>
        </w:tc>
      </w:tr>
      <w:tr w:rsidR="0000167A" w:rsidRPr="005F0419" w14:paraId="3EB7918A" w14:textId="77777777" w:rsidTr="0033737E">
        <w:trPr>
          <w:trHeight w:val="285"/>
        </w:trPr>
        <w:tc>
          <w:tcPr>
            <w:tcW w:w="1573" w:type="dxa"/>
          </w:tcPr>
          <w:p w14:paraId="341ABEEB" w14:textId="77777777" w:rsidR="0000167A" w:rsidRPr="005F0419" w:rsidRDefault="0000167A" w:rsidP="0033737E">
            <w:pPr>
              <w:spacing w:after="0" w:line="240" w:lineRule="auto"/>
              <w:jc w:val="both"/>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Західна Європа</w:t>
            </w:r>
          </w:p>
        </w:tc>
        <w:tc>
          <w:tcPr>
            <w:tcW w:w="1003" w:type="dxa"/>
          </w:tcPr>
          <w:p w14:paraId="011B11D2"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205,1</w:t>
            </w:r>
          </w:p>
        </w:tc>
        <w:tc>
          <w:tcPr>
            <w:tcW w:w="1003" w:type="dxa"/>
          </w:tcPr>
          <w:p w14:paraId="06874D9B"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83,5</w:t>
            </w:r>
          </w:p>
        </w:tc>
        <w:tc>
          <w:tcPr>
            <w:tcW w:w="1003" w:type="dxa"/>
          </w:tcPr>
          <w:p w14:paraId="0FB8DC26"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87,7</w:t>
            </w:r>
          </w:p>
        </w:tc>
        <w:tc>
          <w:tcPr>
            <w:tcW w:w="1003" w:type="dxa"/>
          </w:tcPr>
          <w:p w14:paraId="41E25C8D"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167,4</w:t>
            </w:r>
          </w:p>
        </w:tc>
        <w:tc>
          <w:tcPr>
            <w:tcW w:w="1367" w:type="dxa"/>
          </w:tcPr>
          <w:p w14:paraId="24057761"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-59,3</w:t>
            </w:r>
          </w:p>
        </w:tc>
        <w:tc>
          <w:tcPr>
            <w:tcW w:w="1367" w:type="dxa"/>
          </w:tcPr>
          <w:p w14:paraId="00C18E59"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-57,2</w:t>
            </w:r>
          </w:p>
        </w:tc>
        <w:tc>
          <w:tcPr>
            <w:tcW w:w="1367" w:type="dxa"/>
          </w:tcPr>
          <w:p w14:paraId="1C7E9219"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-18,4</w:t>
            </w:r>
          </w:p>
        </w:tc>
      </w:tr>
      <w:tr w:rsidR="0000167A" w:rsidRPr="005F0419" w14:paraId="04E5BE40" w14:textId="77777777" w:rsidTr="0033737E">
        <w:trPr>
          <w:trHeight w:val="585"/>
        </w:trPr>
        <w:tc>
          <w:tcPr>
            <w:tcW w:w="1573" w:type="dxa"/>
          </w:tcPr>
          <w:p w14:paraId="235732EA" w14:textId="77777777" w:rsidR="0000167A" w:rsidRPr="005F0419" w:rsidRDefault="0000167A" w:rsidP="0033737E">
            <w:pPr>
              <w:spacing w:after="0" w:line="240" w:lineRule="auto"/>
              <w:jc w:val="both"/>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Центрально-Східна Європа</w:t>
            </w:r>
          </w:p>
        </w:tc>
        <w:tc>
          <w:tcPr>
            <w:tcW w:w="1003" w:type="dxa"/>
          </w:tcPr>
          <w:p w14:paraId="6348F9A5"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150,9 </w:t>
            </w:r>
          </w:p>
        </w:tc>
        <w:tc>
          <w:tcPr>
            <w:tcW w:w="1003" w:type="dxa"/>
          </w:tcPr>
          <w:p w14:paraId="019E2974"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44,1</w:t>
            </w:r>
          </w:p>
        </w:tc>
        <w:tc>
          <w:tcPr>
            <w:tcW w:w="1003" w:type="dxa"/>
          </w:tcPr>
          <w:p w14:paraId="2BA8F9F2"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56,3</w:t>
            </w:r>
          </w:p>
        </w:tc>
        <w:tc>
          <w:tcPr>
            <w:tcW w:w="1003" w:type="dxa"/>
          </w:tcPr>
          <w:p w14:paraId="0C89723D"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88,7</w:t>
            </w:r>
          </w:p>
        </w:tc>
        <w:tc>
          <w:tcPr>
            <w:tcW w:w="1367" w:type="dxa"/>
          </w:tcPr>
          <w:p w14:paraId="0FF04B6B"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-70,8 </w:t>
            </w:r>
          </w:p>
        </w:tc>
        <w:tc>
          <w:tcPr>
            <w:tcW w:w="1367" w:type="dxa"/>
          </w:tcPr>
          <w:p w14:paraId="1089FB03"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-62,7 </w:t>
            </w:r>
          </w:p>
        </w:tc>
        <w:tc>
          <w:tcPr>
            <w:tcW w:w="1367" w:type="dxa"/>
          </w:tcPr>
          <w:p w14:paraId="186F6797"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-41,2</w:t>
            </w:r>
          </w:p>
        </w:tc>
      </w:tr>
      <w:tr w:rsidR="0000167A" w:rsidRPr="005F0419" w14:paraId="5A60877F" w14:textId="77777777" w:rsidTr="0033737E">
        <w:trPr>
          <w:trHeight w:val="285"/>
        </w:trPr>
        <w:tc>
          <w:tcPr>
            <w:tcW w:w="1573" w:type="dxa"/>
          </w:tcPr>
          <w:p w14:paraId="7CC0436C" w14:textId="77777777" w:rsidR="0000167A" w:rsidRPr="005F0419" w:rsidRDefault="0000167A" w:rsidP="0033737E">
            <w:pPr>
              <w:spacing w:after="0" w:line="240" w:lineRule="auto"/>
              <w:jc w:val="both"/>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Південна Європа</w:t>
            </w:r>
          </w:p>
        </w:tc>
        <w:tc>
          <w:tcPr>
            <w:tcW w:w="1003" w:type="dxa"/>
          </w:tcPr>
          <w:p w14:paraId="76E78832"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304,1 </w:t>
            </w:r>
          </w:p>
        </w:tc>
        <w:tc>
          <w:tcPr>
            <w:tcW w:w="1003" w:type="dxa"/>
          </w:tcPr>
          <w:p w14:paraId="2B60D56F"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88,4 </w:t>
            </w:r>
          </w:p>
        </w:tc>
        <w:tc>
          <w:tcPr>
            <w:tcW w:w="1003" w:type="dxa"/>
          </w:tcPr>
          <w:p w14:paraId="3CE8D320"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138,9 </w:t>
            </w:r>
          </w:p>
        </w:tc>
        <w:tc>
          <w:tcPr>
            <w:tcW w:w="1003" w:type="dxa"/>
          </w:tcPr>
          <w:p w14:paraId="4AF83742"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266,7</w:t>
            </w:r>
          </w:p>
        </w:tc>
        <w:tc>
          <w:tcPr>
            <w:tcW w:w="1367" w:type="dxa"/>
          </w:tcPr>
          <w:p w14:paraId="2F6CC781"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-70,9 </w:t>
            </w:r>
          </w:p>
        </w:tc>
        <w:tc>
          <w:tcPr>
            <w:tcW w:w="1367" w:type="dxa"/>
          </w:tcPr>
          <w:p w14:paraId="7B2E623F"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-54,3 </w:t>
            </w:r>
          </w:p>
        </w:tc>
        <w:tc>
          <w:tcPr>
            <w:tcW w:w="1367" w:type="dxa"/>
          </w:tcPr>
          <w:p w14:paraId="3D7C088B"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-12,3</w:t>
            </w:r>
          </w:p>
        </w:tc>
      </w:tr>
      <w:tr w:rsidR="0000167A" w:rsidRPr="005F0419" w14:paraId="4F5D7DE8" w14:textId="77777777" w:rsidTr="0033737E">
        <w:trPr>
          <w:trHeight w:val="285"/>
        </w:trPr>
        <w:tc>
          <w:tcPr>
            <w:tcW w:w="1573" w:type="dxa"/>
          </w:tcPr>
          <w:p w14:paraId="443B0C85" w14:textId="77777777" w:rsidR="0000167A" w:rsidRPr="005F0419" w:rsidRDefault="0000167A" w:rsidP="0033737E">
            <w:pPr>
              <w:spacing w:after="0" w:line="240" w:lineRule="auto"/>
              <w:jc w:val="both"/>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Європа загалом</w:t>
            </w:r>
          </w:p>
        </w:tc>
        <w:tc>
          <w:tcPr>
            <w:tcW w:w="1003" w:type="dxa"/>
          </w:tcPr>
          <w:p w14:paraId="285C2E0C"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743,9 </w:t>
            </w:r>
          </w:p>
        </w:tc>
        <w:tc>
          <w:tcPr>
            <w:tcW w:w="1003" w:type="dxa"/>
          </w:tcPr>
          <w:p w14:paraId="735F5321"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239,6 </w:t>
            </w:r>
          </w:p>
        </w:tc>
        <w:tc>
          <w:tcPr>
            <w:tcW w:w="1003" w:type="dxa"/>
          </w:tcPr>
          <w:p w14:paraId="2B0511D9"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304,9 </w:t>
            </w:r>
          </w:p>
        </w:tc>
        <w:tc>
          <w:tcPr>
            <w:tcW w:w="1003" w:type="dxa"/>
          </w:tcPr>
          <w:p w14:paraId="7C8A8B38"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594,5</w:t>
            </w:r>
          </w:p>
        </w:tc>
        <w:tc>
          <w:tcPr>
            <w:tcW w:w="1367" w:type="dxa"/>
          </w:tcPr>
          <w:p w14:paraId="6A0BD7EE"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-67,8 </w:t>
            </w:r>
          </w:p>
        </w:tc>
        <w:tc>
          <w:tcPr>
            <w:tcW w:w="1367" w:type="dxa"/>
          </w:tcPr>
          <w:p w14:paraId="6367B793"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-59,0 </w:t>
            </w:r>
          </w:p>
        </w:tc>
        <w:tc>
          <w:tcPr>
            <w:tcW w:w="1367" w:type="dxa"/>
          </w:tcPr>
          <w:p w14:paraId="1CFA74BF" w14:textId="77777777" w:rsidR="0000167A" w:rsidRPr="005F0419" w:rsidRDefault="0000167A" w:rsidP="0033737E">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-20,1</w:t>
            </w:r>
          </w:p>
        </w:tc>
      </w:tr>
    </w:tbl>
    <w:p w14:paraId="24B5EB1E"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Найвідчутніше в перший рік наслідки пандемії проявилися в Ірландії, Норвегії та Ісландії, що природно вплинуло й на таку ж найбільшу втрату доходів, причому вони продовжилися і в наступному році. Так, ¾ відійшло від Ісландії в 2020 році та майже половина в 2021 порівняно з 2019 роком. У Ірландії та Норвегії ці збитки постійно складали 2/3 за цей же час. В інших країнах Півночі обидва показники були також від’ємними, але на рівні +-50%.</w:t>
      </w:r>
    </w:p>
    <w:p w14:paraId="77A458CE" w14:textId="77777777" w:rsidR="0000167A" w:rsidRPr="005F0419" w:rsidRDefault="0000167A" w:rsidP="00662012">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Таблиця 2</w:t>
      </w:r>
    </w:p>
    <w:p w14:paraId="16012DA3" w14:textId="77777777" w:rsidR="007E234D"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Міжнародні надходження від туризму в Європі </w:t>
      </w:r>
    </w:p>
    <w:p w14:paraId="76EFDCE1" w14:textId="35D0600A"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у 2019-2022 рр., млрд. $ [25]</w:t>
      </w:r>
    </w:p>
    <w:tbl>
      <w:tblPr>
        <w:tblStyle w:val="ab"/>
        <w:tblW w:w="9634" w:type="dxa"/>
        <w:tblLook w:val="04A0" w:firstRow="1" w:lastRow="0" w:firstColumn="1" w:lastColumn="0" w:noHBand="0" w:noVBand="1"/>
      </w:tblPr>
      <w:tblGrid>
        <w:gridCol w:w="1855"/>
        <w:gridCol w:w="846"/>
        <w:gridCol w:w="846"/>
        <w:gridCol w:w="846"/>
        <w:gridCol w:w="846"/>
        <w:gridCol w:w="1567"/>
        <w:gridCol w:w="1414"/>
        <w:gridCol w:w="1414"/>
      </w:tblGrid>
      <w:tr w:rsidR="0000167A" w:rsidRPr="005F0419" w14:paraId="0BA425EE" w14:textId="77777777" w:rsidTr="007E234D">
        <w:tc>
          <w:tcPr>
            <w:tcW w:w="1855" w:type="dxa"/>
            <w:vMerge w:val="restart"/>
          </w:tcPr>
          <w:p w14:paraId="05D3E926"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Регіони</w:t>
            </w:r>
          </w:p>
        </w:tc>
        <w:tc>
          <w:tcPr>
            <w:tcW w:w="846" w:type="dxa"/>
            <w:vMerge w:val="restart"/>
          </w:tcPr>
          <w:p w14:paraId="2DA3F87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2019</w:t>
            </w:r>
          </w:p>
        </w:tc>
        <w:tc>
          <w:tcPr>
            <w:tcW w:w="846" w:type="dxa"/>
            <w:vMerge w:val="restart"/>
          </w:tcPr>
          <w:p w14:paraId="067F1C9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w:t>
            </w:r>
          </w:p>
        </w:tc>
        <w:tc>
          <w:tcPr>
            <w:tcW w:w="846" w:type="dxa"/>
            <w:vMerge w:val="restart"/>
          </w:tcPr>
          <w:p w14:paraId="5579556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w:t>
            </w:r>
          </w:p>
        </w:tc>
        <w:tc>
          <w:tcPr>
            <w:tcW w:w="846" w:type="dxa"/>
            <w:vMerge w:val="restart"/>
          </w:tcPr>
          <w:p w14:paraId="2ACF1EC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w:t>
            </w:r>
          </w:p>
        </w:tc>
        <w:tc>
          <w:tcPr>
            <w:tcW w:w="4395" w:type="dxa"/>
            <w:gridSpan w:val="3"/>
          </w:tcPr>
          <w:p w14:paraId="66DB71A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Відносне відхилення, %</w:t>
            </w:r>
          </w:p>
        </w:tc>
      </w:tr>
      <w:tr w:rsidR="0000167A" w:rsidRPr="005F0419" w14:paraId="5055C2EB" w14:textId="77777777" w:rsidTr="007E234D">
        <w:tc>
          <w:tcPr>
            <w:tcW w:w="1855" w:type="dxa"/>
            <w:vMerge/>
          </w:tcPr>
          <w:p w14:paraId="334FE484"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
        </w:tc>
        <w:tc>
          <w:tcPr>
            <w:tcW w:w="846" w:type="dxa"/>
            <w:vMerge/>
          </w:tcPr>
          <w:p w14:paraId="1AFE799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846" w:type="dxa"/>
            <w:vMerge/>
          </w:tcPr>
          <w:p w14:paraId="2F8C57D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846" w:type="dxa"/>
            <w:vMerge/>
          </w:tcPr>
          <w:p w14:paraId="361200A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846" w:type="dxa"/>
            <w:vMerge/>
          </w:tcPr>
          <w:p w14:paraId="6BB11AE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567" w:type="dxa"/>
          </w:tcPr>
          <w:p w14:paraId="04620E4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2020/2019</w:t>
            </w:r>
          </w:p>
        </w:tc>
        <w:tc>
          <w:tcPr>
            <w:tcW w:w="1414" w:type="dxa"/>
          </w:tcPr>
          <w:p w14:paraId="40C96A5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2021/2019</w:t>
            </w:r>
          </w:p>
        </w:tc>
        <w:tc>
          <w:tcPr>
            <w:tcW w:w="1414" w:type="dxa"/>
          </w:tcPr>
          <w:p w14:paraId="0A0080B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2022/2019</w:t>
            </w:r>
          </w:p>
        </w:tc>
      </w:tr>
      <w:tr w:rsidR="0000167A" w:rsidRPr="005F0419" w14:paraId="731DEEAD" w14:textId="77777777" w:rsidTr="007E234D">
        <w:tc>
          <w:tcPr>
            <w:tcW w:w="1855" w:type="dxa"/>
          </w:tcPr>
          <w:p w14:paraId="05238931"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Північна Європа</w:t>
            </w:r>
          </w:p>
        </w:tc>
        <w:tc>
          <w:tcPr>
            <w:tcW w:w="846" w:type="dxa"/>
          </w:tcPr>
          <w:p w14:paraId="3F52CBC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95,2 </w:t>
            </w:r>
          </w:p>
        </w:tc>
        <w:tc>
          <w:tcPr>
            <w:tcW w:w="846" w:type="dxa"/>
          </w:tcPr>
          <w:p w14:paraId="66608D3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41,0 </w:t>
            </w:r>
          </w:p>
        </w:tc>
        <w:tc>
          <w:tcPr>
            <w:tcW w:w="846" w:type="dxa"/>
          </w:tcPr>
          <w:p w14:paraId="2116AE2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50,8 </w:t>
            </w:r>
          </w:p>
        </w:tc>
        <w:tc>
          <w:tcPr>
            <w:tcW w:w="846" w:type="dxa"/>
          </w:tcPr>
          <w:p w14:paraId="7E24F8D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102,2</w:t>
            </w:r>
          </w:p>
        </w:tc>
        <w:tc>
          <w:tcPr>
            <w:tcW w:w="1567" w:type="dxa"/>
          </w:tcPr>
          <w:p w14:paraId="6B6A6F8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-57,4</w:t>
            </w:r>
          </w:p>
        </w:tc>
        <w:tc>
          <w:tcPr>
            <w:tcW w:w="1414" w:type="dxa"/>
          </w:tcPr>
          <w:p w14:paraId="6D453C6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-51,3 </w:t>
            </w:r>
          </w:p>
        </w:tc>
        <w:tc>
          <w:tcPr>
            <w:tcW w:w="1414" w:type="dxa"/>
          </w:tcPr>
          <w:p w14:paraId="142BE5D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-0,6</w:t>
            </w:r>
          </w:p>
        </w:tc>
      </w:tr>
      <w:tr w:rsidR="0000167A" w:rsidRPr="005F0419" w14:paraId="63B097B2" w14:textId="77777777" w:rsidTr="007E234D">
        <w:tc>
          <w:tcPr>
            <w:tcW w:w="1855" w:type="dxa"/>
          </w:tcPr>
          <w:p w14:paraId="5E5A672B"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Західна Європа</w:t>
            </w:r>
          </w:p>
        </w:tc>
        <w:tc>
          <w:tcPr>
            <w:tcW w:w="846" w:type="dxa"/>
          </w:tcPr>
          <w:p w14:paraId="4D34D46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 xml:space="preserve">179,1 </w:t>
            </w:r>
          </w:p>
        </w:tc>
        <w:tc>
          <w:tcPr>
            <w:tcW w:w="846" w:type="dxa"/>
          </w:tcPr>
          <w:p w14:paraId="7EC66AC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 xml:space="preserve">99,1 </w:t>
            </w:r>
          </w:p>
        </w:tc>
        <w:tc>
          <w:tcPr>
            <w:tcW w:w="846" w:type="dxa"/>
          </w:tcPr>
          <w:p w14:paraId="1CFC61C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 xml:space="preserve">105,3 </w:t>
            </w:r>
          </w:p>
        </w:tc>
        <w:tc>
          <w:tcPr>
            <w:tcW w:w="846" w:type="dxa"/>
          </w:tcPr>
          <w:p w14:paraId="19404D1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155,0</w:t>
            </w:r>
          </w:p>
        </w:tc>
        <w:tc>
          <w:tcPr>
            <w:tcW w:w="1567" w:type="dxa"/>
          </w:tcPr>
          <w:p w14:paraId="52DA228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-46,2</w:t>
            </w:r>
          </w:p>
        </w:tc>
        <w:tc>
          <w:tcPr>
            <w:tcW w:w="1414" w:type="dxa"/>
          </w:tcPr>
          <w:p w14:paraId="156A7CB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-44,5 </w:t>
            </w:r>
          </w:p>
        </w:tc>
        <w:tc>
          <w:tcPr>
            <w:tcW w:w="1414" w:type="dxa"/>
          </w:tcPr>
          <w:p w14:paraId="313F47C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-19,9</w:t>
            </w:r>
          </w:p>
        </w:tc>
      </w:tr>
      <w:tr w:rsidR="0000167A" w:rsidRPr="005F0419" w14:paraId="1227DEAE" w14:textId="77777777" w:rsidTr="007E234D">
        <w:tc>
          <w:tcPr>
            <w:tcW w:w="1855" w:type="dxa"/>
          </w:tcPr>
          <w:p w14:paraId="08B866AD"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Центрально-Східна Європа</w:t>
            </w:r>
          </w:p>
        </w:tc>
        <w:tc>
          <w:tcPr>
            <w:tcW w:w="846" w:type="dxa"/>
          </w:tcPr>
          <w:p w14:paraId="2547BA9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69,0 </w:t>
            </w:r>
          </w:p>
        </w:tc>
        <w:tc>
          <w:tcPr>
            <w:tcW w:w="846" w:type="dxa"/>
          </w:tcPr>
          <w:p w14:paraId="4BCEE29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28,5 </w:t>
            </w:r>
          </w:p>
        </w:tc>
        <w:tc>
          <w:tcPr>
            <w:tcW w:w="846" w:type="dxa"/>
          </w:tcPr>
          <w:p w14:paraId="5AD8891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34,7</w:t>
            </w:r>
          </w:p>
        </w:tc>
        <w:tc>
          <w:tcPr>
            <w:tcW w:w="846" w:type="dxa"/>
          </w:tcPr>
          <w:p w14:paraId="4010DC7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54,8</w:t>
            </w:r>
          </w:p>
        </w:tc>
        <w:tc>
          <w:tcPr>
            <w:tcW w:w="1567" w:type="dxa"/>
          </w:tcPr>
          <w:p w14:paraId="61E6FDF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-58,7 </w:t>
            </w:r>
          </w:p>
        </w:tc>
        <w:tc>
          <w:tcPr>
            <w:tcW w:w="1414" w:type="dxa"/>
          </w:tcPr>
          <w:p w14:paraId="75AA287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-52,8 </w:t>
            </w:r>
          </w:p>
        </w:tc>
        <w:tc>
          <w:tcPr>
            <w:tcW w:w="1414" w:type="dxa"/>
          </w:tcPr>
          <w:p w14:paraId="1BE097A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-26,5</w:t>
            </w:r>
          </w:p>
        </w:tc>
      </w:tr>
      <w:tr w:rsidR="0000167A" w:rsidRPr="005F0419" w14:paraId="7EECF298" w14:textId="77777777" w:rsidTr="007E234D">
        <w:tc>
          <w:tcPr>
            <w:tcW w:w="1855" w:type="dxa"/>
          </w:tcPr>
          <w:p w14:paraId="1E968557"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Південна Європа</w:t>
            </w:r>
          </w:p>
        </w:tc>
        <w:tc>
          <w:tcPr>
            <w:tcW w:w="846" w:type="dxa"/>
          </w:tcPr>
          <w:p w14:paraId="0F86231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241,0 </w:t>
            </w:r>
          </w:p>
        </w:tc>
        <w:tc>
          <w:tcPr>
            <w:tcW w:w="846" w:type="dxa"/>
          </w:tcPr>
          <w:p w14:paraId="27FBE91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80,6 </w:t>
            </w:r>
          </w:p>
        </w:tc>
        <w:tc>
          <w:tcPr>
            <w:tcW w:w="846" w:type="dxa"/>
          </w:tcPr>
          <w:p w14:paraId="0629EDC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136,7 </w:t>
            </w:r>
          </w:p>
        </w:tc>
        <w:tc>
          <w:tcPr>
            <w:tcW w:w="846" w:type="dxa"/>
          </w:tcPr>
          <w:p w14:paraId="1192A2C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236,6</w:t>
            </w:r>
          </w:p>
        </w:tc>
        <w:tc>
          <w:tcPr>
            <w:tcW w:w="1567" w:type="dxa"/>
          </w:tcPr>
          <w:p w14:paraId="417BD02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-67,1 </w:t>
            </w:r>
          </w:p>
        </w:tc>
        <w:tc>
          <w:tcPr>
            <w:tcW w:w="1414" w:type="dxa"/>
          </w:tcPr>
          <w:p w14:paraId="45ED984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-46,3 </w:t>
            </w:r>
          </w:p>
        </w:tc>
        <w:tc>
          <w:tcPr>
            <w:tcW w:w="1414" w:type="dxa"/>
          </w:tcPr>
          <w:p w14:paraId="46F6A38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-9,1</w:t>
            </w:r>
          </w:p>
        </w:tc>
      </w:tr>
      <w:tr w:rsidR="0000167A" w:rsidRPr="005F0419" w14:paraId="7E9492F4" w14:textId="77777777" w:rsidTr="007E234D">
        <w:tc>
          <w:tcPr>
            <w:tcW w:w="1855" w:type="dxa"/>
          </w:tcPr>
          <w:p w14:paraId="6323AF06"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Європа загалом</w:t>
            </w:r>
          </w:p>
        </w:tc>
        <w:tc>
          <w:tcPr>
            <w:tcW w:w="846" w:type="dxa"/>
          </w:tcPr>
          <w:p w14:paraId="6AFE521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584,3 </w:t>
            </w:r>
          </w:p>
        </w:tc>
        <w:tc>
          <w:tcPr>
            <w:tcW w:w="846" w:type="dxa"/>
          </w:tcPr>
          <w:p w14:paraId="39A13A0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249,3 </w:t>
            </w:r>
          </w:p>
        </w:tc>
        <w:tc>
          <w:tcPr>
            <w:tcW w:w="846" w:type="dxa"/>
          </w:tcPr>
          <w:p w14:paraId="793C764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327,4 </w:t>
            </w:r>
          </w:p>
        </w:tc>
        <w:tc>
          <w:tcPr>
            <w:tcW w:w="846" w:type="dxa"/>
          </w:tcPr>
          <w:p w14:paraId="1F91C00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548,6</w:t>
            </w:r>
          </w:p>
        </w:tc>
        <w:tc>
          <w:tcPr>
            <w:tcW w:w="1567" w:type="dxa"/>
          </w:tcPr>
          <w:p w14:paraId="357FD44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-58,1 </w:t>
            </w:r>
          </w:p>
        </w:tc>
        <w:tc>
          <w:tcPr>
            <w:tcW w:w="1414" w:type="dxa"/>
          </w:tcPr>
          <w:p w14:paraId="03FFB9E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-47,4 </w:t>
            </w:r>
          </w:p>
        </w:tc>
        <w:tc>
          <w:tcPr>
            <w:tcW w:w="1414" w:type="dxa"/>
          </w:tcPr>
          <w:p w14:paraId="048BB46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-13,1</w:t>
            </w:r>
          </w:p>
        </w:tc>
      </w:tr>
    </w:tbl>
    <w:p w14:paraId="24D69C0B"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582D2025"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Центрально-Східному європейському туристичному регіоні найбільше втратили туристів Вірменія, Азербайджан, Грузія. Проте враховуючи абсолютні показники щорічно прийнятих туристів, безумовною невдахою можна вважати Болгарію. В цю країну не приїхало 6,5 млн. туристів від 2019 року (-83,4%), а в наступному – 5,5 (-70,4%). Грузія (-83,4%) та фактично азійська країна Казахстан (-81,5%) виокремилися в аутсайдери в період пандемії у дохідній частині від надходжень туристичного бізнесу. Очевидно для другої країни визначальними факторами стали спільні кордони з Китаєм, де був зафіксований уперше вірус, та достатня географічна віддаленість від основних регіонів «постачання» туристів. У Грузії державна туристична політика за останні роки інвестувала значні вкладення в розвиток туристичної інфраструктури, що дало вагомий поштовх у </w:t>
      </w:r>
      <w:r w:rsidRPr="005F0419">
        <w:rPr>
          <w:rFonts w:ascii="Times New Roman" w:eastAsia="Times New Roman" w:hAnsi="Times New Roman" w:cs="Times New Roman"/>
          <w:sz w:val="28"/>
          <w:szCs w:val="28"/>
          <w:lang w:val="uk-UA"/>
        </w:rPr>
        <w:lastRenderedPageBreak/>
        <w:t xml:space="preserve">розвитку цього бізнесу, який різко загальмував із початком світової кризи – COVID-19.     </w:t>
      </w:r>
    </w:p>
    <w:p w14:paraId="56371696"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Що стосується України, то пандемія «відібрала» в’їзних туристів у відносній вазі на пересічному рівні інших. У абсолютному вимірі це -10,1 млн. ос. за 2020/2019 і 9,2 млн. ос. за 2021/2019. За ці ж періоди доходи впали до 356 млн. доларів США у 2020 році (-78,0%) і до 950 млн. доларів у 2021 році (-41,4%). Є дані дохідної частини і у другому кризовому етапі національної економіки в 2022 році, коли розпочалося повномасштабне вторгнення Росії на нашу територію. Це спровокувало наступне її зниження після попереднього року, що склало -52,2% або 774 млн. доларів США з початком воєнного стану до рівня 2019 року.             </w:t>
      </w:r>
    </w:p>
    <w:p w14:paraId="1A6A6EF5"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Південно-Східна частина Європи й Середземномор’я втратила внаслідок пандемії на Балканах і Кіпрі. Чорногорія, Боснія та Герцеговина, Північна Македонія – це рекордсмени за відносною вагою по всій Європі, де на 83,6% і більше не прибуло туристів. На 86,8% Чорногорія також менше у 2020 році отримала прибутків, що еквівалентно 1065 млн. доларів США. Цікаво, що наступний рік був ще </w:t>
      </w:r>
      <w:proofErr w:type="spellStart"/>
      <w:r w:rsidRPr="005F0419">
        <w:rPr>
          <w:rFonts w:ascii="Times New Roman" w:eastAsia="Times New Roman" w:hAnsi="Times New Roman" w:cs="Times New Roman"/>
          <w:sz w:val="28"/>
          <w:szCs w:val="28"/>
          <w:lang w:val="uk-UA"/>
        </w:rPr>
        <w:t>кризовішим</w:t>
      </w:r>
      <w:proofErr w:type="spellEnd"/>
      <w:r w:rsidRPr="005F0419">
        <w:rPr>
          <w:rFonts w:ascii="Times New Roman" w:eastAsia="Times New Roman" w:hAnsi="Times New Roman" w:cs="Times New Roman"/>
          <w:sz w:val="28"/>
          <w:szCs w:val="28"/>
          <w:lang w:val="uk-UA"/>
        </w:rPr>
        <w:t xml:space="preserve">, ніж у інших, у Ізраїлі. В цій країні з 4,5 млн. туристів у 2019 році налічувалося вже 831 тис. ос у 2020 і лише 397 тис. ос. в 2021 році. Такою ж була стабільно негативною тенденція впродовж двох років пандемії стосовно отриманих коштів від туристичної діяльності: -67,2% і -70,9% відповідно. У відносно кращих позиціях у цей кризовий час перебували Італія та Албанія. У ці дві країни лише від третини до трохи більше половини не приїхало туристів, а от найкраща ситуація за доходами й підсумками 2020 року була в Сербії.     </w:t>
      </w:r>
    </w:p>
    <w:p w14:paraId="002F6727"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Західна Європа, як було сказано раніше, утрималася на попередніх </w:t>
      </w:r>
      <w:proofErr w:type="spellStart"/>
      <w:r w:rsidRPr="005F0419">
        <w:rPr>
          <w:rFonts w:ascii="Times New Roman" w:eastAsia="Times New Roman" w:hAnsi="Times New Roman" w:cs="Times New Roman"/>
          <w:sz w:val="28"/>
          <w:szCs w:val="28"/>
          <w:lang w:val="uk-UA"/>
        </w:rPr>
        <w:t>доковідних</w:t>
      </w:r>
      <w:proofErr w:type="spellEnd"/>
      <w:r w:rsidRPr="005F0419">
        <w:rPr>
          <w:rFonts w:ascii="Times New Roman" w:eastAsia="Times New Roman" w:hAnsi="Times New Roman" w:cs="Times New Roman"/>
          <w:sz w:val="28"/>
          <w:szCs w:val="28"/>
          <w:lang w:val="uk-UA"/>
        </w:rPr>
        <w:t xml:space="preserve"> показниках найліпше, хоча темпи спаду теж були. Якщо відкинути країни-карлики, то найліпше виглядали з-поміж всіх Австрія та Франція. У відносній вазі втрачених доходів кращою була Бельгія – не більше третини, а всі інші не перевищили навіть половини від рівня 2019 року.</w:t>
      </w:r>
    </w:p>
    <w:p w14:paraId="3594F4D9"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 xml:space="preserve">У </w:t>
      </w:r>
      <w:proofErr w:type="spellStart"/>
      <w:r w:rsidRPr="005F0419">
        <w:rPr>
          <w:rFonts w:ascii="Times New Roman" w:eastAsia="Times New Roman" w:hAnsi="Times New Roman" w:cs="Times New Roman"/>
          <w:sz w:val="28"/>
          <w:szCs w:val="28"/>
          <w:lang w:val="uk-UA"/>
        </w:rPr>
        <w:t>Азійсько</w:t>
      </w:r>
      <w:proofErr w:type="spellEnd"/>
      <w:r w:rsidRPr="005F0419">
        <w:rPr>
          <w:rFonts w:ascii="Times New Roman" w:eastAsia="Times New Roman" w:hAnsi="Times New Roman" w:cs="Times New Roman"/>
          <w:sz w:val="28"/>
          <w:szCs w:val="28"/>
          <w:lang w:val="uk-UA"/>
        </w:rPr>
        <w:t xml:space="preserve">-Тихоокеанському туристичному регіоні природно найгірша ситуація з відвідуванням туристів та розвитком туристичного бізнесу склалася на сході та південному сході Азії разом із Китаєм, Японією, Таїландом та іншими країнами. Характерною особливістю перебігу пандемії в цьому регіоні та її впливу на туристичний бізнес та інші супутні галузі, зокрема гостинності, було те, що і Східна, і Південно-Східна Азія і Океанія зазнали зменшення туристичних </w:t>
      </w:r>
      <w:proofErr w:type="spellStart"/>
      <w:r w:rsidRPr="005F0419">
        <w:rPr>
          <w:rFonts w:ascii="Times New Roman" w:eastAsia="Times New Roman" w:hAnsi="Times New Roman" w:cs="Times New Roman"/>
          <w:sz w:val="28"/>
          <w:szCs w:val="28"/>
          <w:lang w:val="uk-UA"/>
        </w:rPr>
        <w:t>прибуттів</w:t>
      </w:r>
      <w:proofErr w:type="spellEnd"/>
      <w:r w:rsidRPr="005F0419">
        <w:rPr>
          <w:rFonts w:ascii="Times New Roman" w:eastAsia="Times New Roman" w:hAnsi="Times New Roman" w:cs="Times New Roman"/>
          <w:sz w:val="28"/>
          <w:szCs w:val="28"/>
          <w:lang w:val="uk-UA"/>
        </w:rPr>
        <w:t xml:space="preserve"> два роки поспіль, причому 2021 рік був ще гіршим, ніж 2020 у порівнянні з 2019. У 2021 році потоки практично впали до нуля і була в межах від -93,6% до -97,6%. Іншими словами, прийом іноземних туристів тут упродовж двох років припинився повністю (табл. 3-4).</w:t>
      </w:r>
    </w:p>
    <w:p w14:paraId="2E81ECB8" w14:textId="77777777" w:rsidR="0000167A" w:rsidRPr="005F0419" w:rsidRDefault="0000167A" w:rsidP="00662012">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Таблиця 3</w:t>
      </w:r>
    </w:p>
    <w:p w14:paraId="3CD3BACF" w14:textId="77777777" w:rsidR="007E234D"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Міжнародні туристичні прибуття в Азії та Океанії </w:t>
      </w:r>
    </w:p>
    <w:p w14:paraId="4963266F" w14:textId="41CEFD2F"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у 2019-2022 рр., млн. ос</w:t>
      </w:r>
      <w:r w:rsidR="007E234D" w:rsidRPr="005F0419">
        <w:rPr>
          <w:rFonts w:ascii="Times New Roman" w:eastAsia="Times New Roman" w:hAnsi="Times New Roman" w:cs="Times New Roman"/>
          <w:sz w:val="28"/>
          <w:szCs w:val="28"/>
          <w:lang w:val="uk-UA"/>
        </w:rPr>
        <w:t>іб</w:t>
      </w:r>
      <w:r w:rsidRPr="005F0419">
        <w:rPr>
          <w:rFonts w:ascii="Times New Roman" w:eastAsia="Times New Roman" w:hAnsi="Times New Roman" w:cs="Times New Roman"/>
          <w:sz w:val="28"/>
          <w:szCs w:val="28"/>
          <w:lang w:val="uk-UA"/>
        </w:rPr>
        <w:t xml:space="preserve"> [25]</w:t>
      </w:r>
    </w:p>
    <w:tbl>
      <w:tblPr>
        <w:tblStyle w:val="ab"/>
        <w:tblW w:w="9657" w:type="dxa"/>
        <w:tblLook w:val="04A0" w:firstRow="1" w:lastRow="0" w:firstColumn="1" w:lastColumn="0" w:noHBand="0" w:noVBand="1"/>
      </w:tblPr>
      <w:tblGrid>
        <w:gridCol w:w="1421"/>
        <w:gridCol w:w="1022"/>
        <w:gridCol w:w="975"/>
        <w:gridCol w:w="975"/>
        <w:gridCol w:w="1022"/>
        <w:gridCol w:w="1414"/>
        <w:gridCol w:w="1414"/>
        <w:gridCol w:w="1414"/>
      </w:tblGrid>
      <w:tr w:rsidR="0000167A" w:rsidRPr="005F0419" w14:paraId="779985B3" w14:textId="77777777" w:rsidTr="007E234D">
        <w:trPr>
          <w:trHeight w:val="264"/>
        </w:trPr>
        <w:tc>
          <w:tcPr>
            <w:tcW w:w="1409" w:type="dxa"/>
            <w:vMerge w:val="restart"/>
          </w:tcPr>
          <w:p w14:paraId="0309488F"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Регіони</w:t>
            </w:r>
          </w:p>
        </w:tc>
        <w:tc>
          <w:tcPr>
            <w:tcW w:w="1031" w:type="dxa"/>
            <w:vMerge w:val="restart"/>
          </w:tcPr>
          <w:p w14:paraId="1631590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2019</w:t>
            </w:r>
          </w:p>
        </w:tc>
        <w:tc>
          <w:tcPr>
            <w:tcW w:w="985" w:type="dxa"/>
            <w:vMerge w:val="restart"/>
          </w:tcPr>
          <w:p w14:paraId="7E30915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w:t>
            </w:r>
          </w:p>
        </w:tc>
        <w:tc>
          <w:tcPr>
            <w:tcW w:w="985" w:type="dxa"/>
            <w:vMerge w:val="restart"/>
          </w:tcPr>
          <w:p w14:paraId="2845CCB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w:t>
            </w:r>
          </w:p>
        </w:tc>
        <w:tc>
          <w:tcPr>
            <w:tcW w:w="1031" w:type="dxa"/>
            <w:vMerge w:val="restart"/>
          </w:tcPr>
          <w:p w14:paraId="18CB753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w:t>
            </w:r>
          </w:p>
        </w:tc>
        <w:tc>
          <w:tcPr>
            <w:tcW w:w="4216" w:type="dxa"/>
            <w:gridSpan w:val="3"/>
          </w:tcPr>
          <w:p w14:paraId="505C14D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Відносне відхилення, %</w:t>
            </w:r>
          </w:p>
        </w:tc>
      </w:tr>
      <w:tr w:rsidR="0000167A" w:rsidRPr="005F0419" w14:paraId="6A260B27" w14:textId="77777777" w:rsidTr="007E234D">
        <w:trPr>
          <w:trHeight w:val="278"/>
        </w:trPr>
        <w:tc>
          <w:tcPr>
            <w:tcW w:w="1409" w:type="dxa"/>
            <w:vMerge/>
          </w:tcPr>
          <w:p w14:paraId="57AB2A4C"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
        </w:tc>
        <w:tc>
          <w:tcPr>
            <w:tcW w:w="1031" w:type="dxa"/>
            <w:vMerge/>
          </w:tcPr>
          <w:p w14:paraId="5C8292A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985" w:type="dxa"/>
            <w:vMerge/>
          </w:tcPr>
          <w:p w14:paraId="18400F5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985" w:type="dxa"/>
            <w:vMerge/>
          </w:tcPr>
          <w:p w14:paraId="6C99692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031" w:type="dxa"/>
            <w:vMerge/>
          </w:tcPr>
          <w:p w14:paraId="5464C4C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405" w:type="dxa"/>
          </w:tcPr>
          <w:p w14:paraId="38DCFF0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2020/2019</w:t>
            </w:r>
          </w:p>
        </w:tc>
        <w:tc>
          <w:tcPr>
            <w:tcW w:w="1405" w:type="dxa"/>
          </w:tcPr>
          <w:p w14:paraId="11314E8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2021/2019</w:t>
            </w:r>
          </w:p>
        </w:tc>
        <w:tc>
          <w:tcPr>
            <w:tcW w:w="1405" w:type="dxa"/>
          </w:tcPr>
          <w:p w14:paraId="2B9E120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2022/2019</w:t>
            </w:r>
          </w:p>
        </w:tc>
      </w:tr>
      <w:tr w:rsidR="0000167A" w:rsidRPr="005F0419" w14:paraId="085F4E40" w14:textId="77777777" w:rsidTr="007E234D">
        <w:trPr>
          <w:trHeight w:val="278"/>
        </w:trPr>
        <w:tc>
          <w:tcPr>
            <w:tcW w:w="1409" w:type="dxa"/>
          </w:tcPr>
          <w:p w14:paraId="5086BFFE"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Східна Азія</w:t>
            </w:r>
          </w:p>
        </w:tc>
        <w:tc>
          <w:tcPr>
            <w:tcW w:w="1031" w:type="dxa"/>
          </w:tcPr>
          <w:p w14:paraId="5C80518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170,3 </w:t>
            </w:r>
          </w:p>
        </w:tc>
        <w:tc>
          <w:tcPr>
            <w:tcW w:w="985" w:type="dxa"/>
          </w:tcPr>
          <w:p w14:paraId="41C4BB9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20,3 </w:t>
            </w:r>
          </w:p>
        </w:tc>
        <w:tc>
          <w:tcPr>
            <w:tcW w:w="985" w:type="dxa"/>
          </w:tcPr>
          <w:p w14:paraId="335CE93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10,9 </w:t>
            </w:r>
          </w:p>
        </w:tc>
        <w:tc>
          <w:tcPr>
            <w:tcW w:w="1031" w:type="dxa"/>
          </w:tcPr>
          <w:p w14:paraId="0E6AE12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19,2</w:t>
            </w:r>
          </w:p>
        </w:tc>
        <w:tc>
          <w:tcPr>
            <w:tcW w:w="1405" w:type="dxa"/>
          </w:tcPr>
          <w:p w14:paraId="354B912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-88,1 </w:t>
            </w:r>
          </w:p>
        </w:tc>
        <w:tc>
          <w:tcPr>
            <w:tcW w:w="1405" w:type="dxa"/>
          </w:tcPr>
          <w:p w14:paraId="2F0C105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-93,6 </w:t>
            </w:r>
          </w:p>
        </w:tc>
        <w:tc>
          <w:tcPr>
            <w:tcW w:w="1405" w:type="dxa"/>
          </w:tcPr>
          <w:p w14:paraId="7CDB693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-88,7</w:t>
            </w:r>
          </w:p>
        </w:tc>
      </w:tr>
      <w:tr w:rsidR="0000167A" w:rsidRPr="005F0419" w14:paraId="071B3BCF" w14:textId="77777777" w:rsidTr="007E234D">
        <w:trPr>
          <w:trHeight w:val="529"/>
        </w:trPr>
        <w:tc>
          <w:tcPr>
            <w:tcW w:w="1409" w:type="dxa"/>
          </w:tcPr>
          <w:p w14:paraId="4B49B1CF"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Південно-Східна Азія </w:t>
            </w:r>
          </w:p>
        </w:tc>
        <w:tc>
          <w:tcPr>
            <w:tcW w:w="1031" w:type="dxa"/>
          </w:tcPr>
          <w:p w14:paraId="653733C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138,6 </w:t>
            </w:r>
          </w:p>
        </w:tc>
        <w:tc>
          <w:tcPr>
            <w:tcW w:w="985" w:type="dxa"/>
          </w:tcPr>
          <w:p w14:paraId="11C95FF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25,5 </w:t>
            </w:r>
          </w:p>
        </w:tc>
        <w:tc>
          <w:tcPr>
            <w:tcW w:w="985" w:type="dxa"/>
          </w:tcPr>
          <w:p w14:paraId="75741D7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3,3 </w:t>
            </w:r>
          </w:p>
        </w:tc>
        <w:tc>
          <w:tcPr>
            <w:tcW w:w="1031" w:type="dxa"/>
          </w:tcPr>
          <w:p w14:paraId="029B2CA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46,9</w:t>
            </w:r>
          </w:p>
        </w:tc>
        <w:tc>
          <w:tcPr>
            <w:tcW w:w="1405" w:type="dxa"/>
          </w:tcPr>
          <w:p w14:paraId="160DEFF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-81,6 </w:t>
            </w:r>
          </w:p>
        </w:tc>
        <w:tc>
          <w:tcPr>
            <w:tcW w:w="1405" w:type="dxa"/>
          </w:tcPr>
          <w:p w14:paraId="2FBADD8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-97,6 </w:t>
            </w:r>
          </w:p>
        </w:tc>
        <w:tc>
          <w:tcPr>
            <w:tcW w:w="1405" w:type="dxa"/>
          </w:tcPr>
          <w:p w14:paraId="2ED0460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-66,2</w:t>
            </w:r>
          </w:p>
        </w:tc>
      </w:tr>
      <w:tr w:rsidR="0000167A" w:rsidRPr="005F0419" w14:paraId="18EF267C" w14:textId="77777777" w:rsidTr="007E234D">
        <w:trPr>
          <w:trHeight w:val="278"/>
        </w:trPr>
        <w:tc>
          <w:tcPr>
            <w:tcW w:w="1409" w:type="dxa"/>
          </w:tcPr>
          <w:p w14:paraId="3AD22FB1"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Океанія</w:t>
            </w:r>
          </w:p>
        </w:tc>
        <w:tc>
          <w:tcPr>
            <w:tcW w:w="1031" w:type="dxa"/>
          </w:tcPr>
          <w:p w14:paraId="2C7C7BA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17,5 </w:t>
            </w:r>
          </w:p>
        </w:tc>
        <w:tc>
          <w:tcPr>
            <w:tcW w:w="985" w:type="dxa"/>
          </w:tcPr>
          <w:p w14:paraId="3EA1AF0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3,6 </w:t>
            </w:r>
          </w:p>
        </w:tc>
        <w:tc>
          <w:tcPr>
            <w:tcW w:w="985" w:type="dxa"/>
          </w:tcPr>
          <w:p w14:paraId="5BC3AFA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0,8 </w:t>
            </w:r>
          </w:p>
        </w:tc>
        <w:tc>
          <w:tcPr>
            <w:tcW w:w="1031" w:type="dxa"/>
          </w:tcPr>
          <w:p w14:paraId="7D37526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6,7</w:t>
            </w:r>
          </w:p>
        </w:tc>
        <w:tc>
          <w:tcPr>
            <w:tcW w:w="1405" w:type="dxa"/>
          </w:tcPr>
          <w:p w14:paraId="4E61B32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-79,2 </w:t>
            </w:r>
          </w:p>
        </w:tc>
        <w:tc>
          <w:tcPr>
            <w:tcW w:w="1405" w:type="dxa"/>
          </w:tcPr>
          <w:p w14:paraId="1522C8B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-95,7 </w:t>
            </w:r>
          </w:p>
        </w:tc>
        <w:tc>
          <w:tcPr>
            <w:tcW w:w="1405" w:type="dxa"/>
          </w:tcPr>
          <w:p w14:paraId="727BF83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-61,4</w:t>
            </w:r>
          </w:p>
        </w:tc>
      </w:tr>
      <w:tr w:rsidR="0000167A" w:rsidRPr="005F0419" w14:paraId="1FB0DF51" w14:textId="77777777" w:rsidTr="007E234D">
        <w:trPr>
          <w:trHeight w:val="264"/>
        </w:trPr>
        <w:tc>
          <w:tcPr>
            <w:tcW w:w="1409" w:type="dxa"/>
          </w:tcPr>
          <w:p w14:paraId="29A4334C"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Південна Азія</w:t>
            </w:r>
          </w:p>
        </w:tc>
        <w:tc>
          <w:tcPr>
            <w:tcW w:w="1031" w:type="dxa"/>
          </w:tcPr>
          <w:p w14:paraId="1B50B2B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17,5 </w:t>
            </w:r>
          </w:p>
        </w:tc>
        <w:tc>
          <w:tcPr>
            <w:tcW w:w="985" w:type="dxa"/>
          </w:tcPr>
          <w:p w14:paraId="01E4001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3,6 </w:t>
            </w:r>
          </w:p>
        </w:tc>
        <w:tc>
          <w:tcPr>
            <w:tcW w:w="985" w:type="dxa"/>
          </w:tcPr>
          <w:p w14:paraId="22E4AA1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0,8 </w:t>
            </w:r>
          </w:p>
        </w:tc>
        <w:tc>
          <w:tcPr>
            <w:tcW w:w="1031" w:type="dxa"/>
          </w:tcPr>
          <w:p w14:paraId="395DA9C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6,7</w:t>
            </w:r>
          </w:p>
        </w:tc>
        <w:tc>
          <w:tcPr>
            <w:tcW w:w="1405" w:type="dxa"/>
          </w:tcPr>
          <w:p w14:paraId="5947AA2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-79,2 </w:t>
            </w:r>
          </w:p>
        </w:tc>
        <w:tc>
          <w:tcPr>
            <w:tcW w:w="1405" w:type="dxa"/>
          </w:tcPr>
          <w:p w14:paraId="2D56CEF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-95,7 </w:t>
            </w:r>
          </w:p>
        </w:tc>
        <w:tc>
          <w:tcPr>
            <w:tcW w:w="1405" w:type="dxa"/>
          </w:tcPr>
          <w:p w14:paraId="764DBF4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-61,4</w:t>
            </w:r>
          </w:p>
        </w:tc>
      </w:tr>
      <w:tr w:rsidR="0000167A" w:rsidRPr="005F0419" w14:paraId="49939017" w14:textId="77777777" w:rsidTr="007E234D">
        <w:trPr>
          <w:trHeight w:val="264"/>
        </w:trPr>
        <w:tc>
          <w:tcPr>
            <w:tcW w:w="1409" w:type="dxa"/>
          </w:tcPr>
          <w:p w14:paraId="5F73E118"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Азія загалом</w:t>
            </w:r>
          </w:p>
        </w:tc>
        <w:tc>
          <w:tcPr>
            <w:tcW w:w="1031" w:type="dxa"/>
          </w:tcPr>
          <w:p w14:paraId="7B8F382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360,1 </w:t>
            </w:r>
          </w:p>
        </w:tc>
        <w:tc>
          <w:tcPr>
            <w:tcW w:w="985" w:type="dxa"/>
          </w:tcPr>
          <w:p w14:paraId="406AE3C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59,1 </w:t>
            </w:r>
          </w:p>
        </w:tc>
        <w:tc>
          <w:tcPr>
            <w:tcW w:w="985" w:type="dxa"/>
          </w:tcPr>
          <w:p w14:paraId="5FB008A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24,8 </w:t>
            </w:r>
          </w:p>
        </w:tc>
        <w:tc>
          <w:tcPr>
            <w:tcW w:w="1031" w:type="dxa"/>
          </w:tcPr>
          <w:p w14:paraId="7F48C89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100,5</w:t>
            </w:r>
          </w:p>
        </w:tc>
        <w:tc>
          <w:tcPr>
            <w:tcW w:w="1405" w:type="dxa"/>
          </w:tcPr>
          <w:p w14:paraId="2643D4C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-83,6 </w:t>
            </w:r>
          </w:p>
        </w:tc>
        <w:tc>
          <w:tcPr>
            <w:tcW w:w="1405" w:type="dxa"/>
          </w:tcPr>
          <w:p w14:paraId="13465EE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-93,1 </w:t>
            </w:r>
          </w:p>
        </w:tc>
        <w:tc>
          <w:tcPr>
            <w:tcW w:w="1405" w:type="dxa"/>
          </w:tcPr>
          <w:p w14:paraId="0DB3E63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-72,1</w:t>
            </w:r>
          </w:p>
        </w:tc>
      </w:tr>
    </w:tbl>
    <w:p w14:paraId="3D0BA077" w14:textId="77777777" w:rsidR="0000167A" w:rsidRPr="005F0419" w:rsidRDefault="0000167A" w:rsidP="00662012">
      <w:pPr>
        <w:spacing w:after="0" w:line="360" w:lineRule="auto"/>
        <w:ind w:firstLine="720"/>
        <w:jc w:val="right"/>
        <w:rPr>
          <w:rFonts w:ascii="Times New Roman" w:eastAsia="Times New Roman" w:hAnsi="Times New Roman" w:cs="Times New Roman"/>
          <w:sz w:val="28"/>
          <w:szCs w:val="28"/>
          <w:lang w:val="uk-UA"/>
        </w:rPr>
      </w:pPr>
    </w:p>
    <w:p w14:paraId="0217D478"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розрізі країн абсолютно всі, як у Східній, і Південно-Східній Азії і Океанії, повторили цю тенденцію, коли у 2021 році міжнародні туристичні потоки повністю до них припинилися. Станом на 2022 рік ситуація залишалася стабільно критичною і відтворювала рівень 2020 року – більше 80% втрат потоків до старту пандемії. Поліпшилася вона лише в Малайзії, Філіппінах, Монголії, де втрати оцінювалися приблизно у 60%. Ця ж тенденція тут  зберігалася стосовно відносної частки втрат від доходів у туристичній галузі. Іншою вона була на сході. Так, в Китаї вони зменшилися на 70% (з 35,8 млрд. </w:t>
      </w:r>
      <w:r w:rsidRPr="005F0419">
        <w:rPr>
          <w:rFonts w:ascii="Times New Roman" w:eastAsia="Times New Roman" w:hAnsi="Times New Roman" w:cs="Times New Roman"/>
          <w:sz w:val="28"/>
          <w:szCs w:val="28"/>
          <w:lang w:val="uk-UA"/>
        </w:rPr>
        <w:lastRenderedPageBreak/>
        <w:t>доларів США до 9,5-11,3 млрд. доларів США). У Південній Кореї лише на половину: від 20,5 до 10-11 млрд. доларів США. Майже такою ж була ситуація в Австралії, хоча доходи в цій країні були вдвічі більшими, як у Республіці Корея.</w:t>
      </w:r>
    </w:p>
    <w:p w14:paraId="6AA23422" w14:textId="77777777" w:rsidR="0000167A" w:rsidRPr="005F0419" w:rsidRDefault="0000167A" w:rsidP="00662012">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Таблиця 4</w:t>
      </w:r>
    </w:p>
    <w:p w14:paraId="6BB6FC8D" w14:textId="77777777"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Міжнародні надходження від туризму в Азії у 2019-2022 рр., млрд. $ [25]</w:t>
      </w:r>
    </w:p>
    <w:tbl>
      <w:tblPr>
        <w:tblStyle w:val="ab"/>
        <w:tblW w:w="9555" w:type="dxa"/>
        <w:tblLook w:val="04A0" w:firstRow="1" w:lastRow="0" w:firstColumn="1" w:lastColumn="0" w:noHBand="0" w:noVBand="1"/>
      </w:tblPr>
      <w:tblGrid>
        <w:gridCol w:w="1422"/>
        <w:gridCol w:w="985"/>
        <w:gridCol w:w="985"/>
        <w:gridCol w:w="936"/>
        <w:gridCol w:w="985"/>
        <w:gridCol w:w="1414"/>
        <w:gridCol w:w="1414"/>
        <w:gridCol w:w="1414"/>
      </w:tblGrid>
      <w:tr w:rsidR="0000167A" w:rsidRPr="005F0419" w14:paraId="06BEEA0B" w14:textId="77777777" w:rsidTr="007E234D">
        <w:trPr>
          <w:trHeight w:val="198"/>
        </w:trPr>
        <w:tc>
          <w:tcPr>
            <w:tcW w:w="1388" w:type="dxa"/>
            <w:vMerge w:val="restart"/>
          </w:tcPr>
          <w:p w14:paraId="34E7AE84"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Регіони</w:t>
            </w:r>
          </w:p>
        </w:tc>
        <w:tc>
          <w:tcPr>
            <w:tcW w:w="1015" w:type="dxa"/>
            <w:vMerge w:val="restart"/>
          </w:tcPr>
          <w:p w14:paraId="371EDA1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2019</w:t>
            </w:r>
          </w:p>
        </w:tc>
        <w:tc>
          <w:tcPr>
            <w:tcW w:w="1015" w:type="dxa"/>
            <w:vMerge w:val="restart"/>
          </w:tcPr>
          <w:p w14:paraId="35A2746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w:t>
            </w:r>
          </w:p>
        </w:tc>
        <w:tc>
          <w:tcPr>
            <w:tcW w:w="970" w:type="dxa"/>
            <w:vMerge w:val="restart"/>
          </w:tcPr>
          <w:p w14:paraId="3458ACD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w:t>
            </w:r>
          </w:p>
        </w:tc>
        <w:tc>
          <w:tcPr>
            <w:tcW w:w="1015" w:type="dxa"/>
            <w:vMerge w:val="restart"/>
          </w:tcPr>
          <w:p w14:paraId="48ECC0D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w:t>
            </w:r>
          </w:p>
        </w:tc>
        <w:tc>
          <w:tcPr>
            <w:tcW w:w="4152" w:type="dxa"/>
            <w:gridSpan w:val="3"/>
          </w:tcPr>
          <w:p w14:paraId="3DAF3CD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Відносне відхилення, %</w:t>
            </w:r>
          </w:p>
        </w:tc>
      </w:tr>
      <w:tr w:rsidR="0000167A" w:rsidRPr="005F0419" w14:paraId="438F009A" w14:textId="77777777" w:rsidTr="007E234D">
        <w:trPr>
          <w:trHeight w:val="208"/>
        </w:trPr>
        <w:tc>
          <w:tcPr>
            <w:tcW w:w="1388" w:type="dxa"/>
            <w:vMerge/>
          </w:tcPr>
          <w:p w14:paraId="65254FDB"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
        </w:tc>
        <w:tc>
          <w:tcPr>
            <w:tcW w:w="1015" w:type="dxa"/>
            <w:vMerge/>
          </w:tcPr>
          <w:p w14:paraId="637576A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015" w:type="dxa"/>
            <w:vMerge/>
          </w:tcPr>
          <w:p w14:paraId="2C5696D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970" w:type="dxa"/>
            <w:vMerge/>
          </w:tcPr>
          <w:p w14:paraId="10E4FD8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015" w:type="dxa"/>
            <w:vMerge/>
          </w:tcPr>
          <w:p w14:paraId="3BDF454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384" w:type="dxa"/>
          </w:tcPr>
          <w:p w14:paraId="7F71FD8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2020/2019</w:t>
            </w:r>
          </w:p>
        </w:tc>
        <w:tc>
          <w:tcPr>
            <w:tcW w:w="1384" w:type="dxa"/>
          </w:tcPr>
          <w:p w14:paraId="5317EF1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2021/2019</w:t>
            </w:r>
          </w:p>
        </w:tc>
        <w:tc>
          <w:tcPr>
            <w:tcW w:w="1384" w:type="dxa"/>
          </w:tcPr>
          <w:p w14:paraId="583D526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2022/2019</w:t>
            </w:r>
          </w:p>
        </w:tc>
      </w:tr>
      <w:tr w:rsidR="0000167A" w:rsidRPr="005F0419" w14:paraId="34F60987" w14:textId="77777777" w:rsidTr="007E234D">
        <w:trPr>
          <w:trHeight w:val="408"/>
        </w:trPr>
        <w:tc>
          <w:tcPr>
            <w:tcW w:w="1388" w:type="dxa"/>
          </w:tcPr>
          <w:p w14:paraId="6016DCD9"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Східна Азія</w:t>
            </w:r>
          </w:p>
        </w:tc>
        <w:tc>
          <w:tcPr>
            <w:tcW w:w="1015" w:type="dxa"/>
          </w:tcPr>
          <w:p w14:paraId="682366E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187,2 </w:t>
            </w:r>
          </w:p>
        </w:tc>
        <w:tc>
          <w:tcPr>
            <w:tcW w:w="1015" w:type="dxa"/>
          </w:tcPr>
          <w:p w14:paraId="3130296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44,9 </w:t>
            </w:r>
          </w:p>
        </w:tc>
        <w:tc>
          <w:tcPr>
            <w:tcW w:w="970" w:type="dxa"/>
          </w:tcPr>
          <w:p w14:paraId="1FB11AB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45,0 </w:t>
            </w:r>
          </w:p>
        </w:tc>
        <w:tc>
          <w:tcPr>
            <w:tcW w:w="1015" w:type="dxa"/>
          </w:tcPr>
          <w:p w14:paraId="685A2D6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45,8</w:t>
            </w:r>
          </w:p>
        </w:tc>
        <w:tc>
          <w:tcPr>
            <w:tcW w:w="1384" w:type="dxa"/>
          </w:tcPr>
          <w:p w14:paraId="668CA33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-76,4 </w:t>
            </w:r>
          </w:p>
        </w:tc>
        <w:tc>
          <w:tcPr>
            <w:tcW w:w="1384" w:type="dxa"/>
          </w:tcPr>
          <w:p w14:paraId="3C5EEDF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-76,7 </w:t>
            </w:r>
          </w:p>
        </w:tc>
        <w:tc>
          <w:tcPr>
            <w:tcW w:w="1384" w:type="dxa"/>
          </w:tcPr>
          <w:p w14:paraId="20DC0D4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-77,4</w:t>
            </w:r>
          </w:p>
        </w:tc>
      </w:tr>
      <w:tr w:rsidR="0000167A" w:rsidRPr="005F0419" w14:paraId="4C641B65" w14:textId="77777777" w:rsidTr="007E234D">
        <w:trPr>
          <w:trHeight w:val="408"/>
        </w:trPr>
        <w:tc>
          <w:tcPr>
            <w:tcW w:w="1388" w:type="dxa"/>
          </w:tcPr>
          <w:p w14:paraId="5DD84460"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Південно-Східна Азія </w:t>
            </w:r>
          </w:p>
        </w:tc>
        <w:tc>
          <w:tcPr>
            <w:tcW w:w="1015" w:type="dxa"/>
          </w:tcPr>
          <w:p w14:paraId="4CC409E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146,9 </w:t>
            </w:r>
          </w:p>
        </w:tc>
        <w:tc>
          <w:tcPr>
            <w:tcW w:w="1015" w:type="dxa"/>
          </w:tcPr>
          <w:p w14:paraId="17BC42B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31,2 </w:t>
            </w:r>
          </w:p>
        </w:tc>
        <w:tc>
          <w:tcPr>
            <w:tcW w:w="970" w:type="dxa"/>
          </w:tcPr>
          <w:p w14:paraId="2C57A2D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11,0 </w:t>
            </w:r>
          </w:p>
        </w:tc>
        <w:tc>
          <w:tcPr>
            <w:tcW w:w="1015" w:type="dxa"/>
          </w:tcPr>
          <w:p w14:paraId="390E2B4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37,8</w:t>
            </w:r>
          </w:p>
        </w:tc>
        <w:tc>
          <w:tcPr>
            <w:tcW w:w="1384" w:type="dxa"/>
          </w:tcPr>
          <w:p w14:paraId="6FA0211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-78,7 </w:t>
            </w:r>
          </w:p>
        </w:tc>
        <w:tc>
          <w:tcPr>
            <w:tcW w:w="1384" w:type="dxa"/>
          </w:tcPr>
          <w:p w14:paraId="6D2202F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-92,7 </w:t>
            </w:r>
          </w:p>
        </w:tc>
        <w:tc>
          <w:tcPr>
            <w:tcW w:w="1384" w:type="dxa"/>
          </w:tcPr>
          <w:p w14:paraId="4CD96E2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-76,2</w:t>
            </w:r>
          </w:p>
        </w:tc>
      </w:tr>
      <w:tr w:rsidR="0000167A" w:rsidRPr="005F0419" w14:paraId="769F03AC" w14:textId="77777777" w:rsidTr="007E234D">
        <w:trPr>
          <w:trHeight w:val="198"/>
        </w:trPr>
        <w:tc>
          <w:tcPr>
            <w:tcW w:w="1388" w:type="dxa"/>
          </w:tcPr>
          <w:p w14:paraId="377BDF3D"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Океанія</w:t>
            </w:r>
          </w:p>
        </w:tc>
        <w:tc>
          <w:tcPr>
            <w:tcW w:w="1015" w:type="dxa"/>
          </w:tcPr>
          <w:p w14:paraId="262FF01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61,4 </w:t>
            </w:r>
          </w:p>
        </w:tc>
        <w:tc>
          <w:tcPr>
            <w:tcW w:w="1015" w:type="dxa"/>
          </w:tcPr>
          <w:p w14:paraId="18198BE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32,7 </w:t>
            </w:r>
          </w:p>
        </w:tc>
        <w:tc>
          <w:tcPr>
            <w:tcW w:w="970" w:type="dxa"/>
          </w:tcPr>
          <w:p w14:paraId="2718DA9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20,3 </w:t>
            </w:r>
          </w:p>
        </w:tc>
        <w:tc>
          <w:tcPr>
            <w:tcW w:w="1015" w:type="dxa"/>
          </w:tcPr>
          <w:p w14:paraId="7F8672C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29,8</w:t>
            </w:r>
          </w:p>
        </w:tc>
        <w:tc>
          <w:tcPr>
            <w:tcW w:w="1384" w:type="dxa"/>
          </w:tcPr>
          <w:p w14:paraId="63EDFE4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-46,7 </w:t>
            </w:r>
          </w:p>
        </w:tc>
        <w:tc>
          <w:tcPr>
            <w:tcW w:w="1384" w:type="dxa"/>
          </w:tcPr>
          <w:p w14:paraId="3C41D13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-70,5 </w:t>
            </w:r>
          </w:p>
        </w:tc>
        <w:tc>
          <w:tcPr>
            <w:tcW w:w="1384" w:type="dxa"/>
          </w:tcPr>
          <w:p w14:paraId="44045E3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-55,2</w:t>
            </w:r>
          </w:p>
        </w:tc>
      </w:tr>
      <w:tr w:rsidR="0000167A" w:rsidRPr="005F0419" w14:paraId="62C242F4" w14:textId="77777777" w:rsidTr="007E234D">
        <w:trPr>
          <w:trHeight w:val="408"/>
        </w:trPr>
        <w:tc>
          <w:tcPr>
            <w:tcW w:w="1388" w:type="dxa"/>
          </w:tcPr>
          <w:p w14:paraId="4D5CD751"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Південна Азія</w:t>
            </w:r>
          </w:p>
        </w:tc>
        <w:tc>
          <w:tcPr>
            <w:tcW w:w="1015" w:type="dxa"/>
          </w:tcPr>
          <w:p w14:paraId="7DBD25C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45,7 </w:t>
            </w:r>
          </w:p>
        </w:tc>
        <w:tc>
          <w:tcPr>
            <w:tcW w:w="1015" w:type="dxa"/>
          </w:tcPr>
          <w:p w14:paraId="5C5E231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17,4 </w:t>
            </w:r>
          </w:p>
        </w:tc>
        <w:tc>
          <w:tcPr>
            <w:tcW w:w="970" w:type="dxa"/>
          </w:tcPr>
          <w:p w14:paraId="227542B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14,3 </w:t>
            </w:r>
          </w:p>
        </w:tc>
        <w:tc>
          <w:tcPr>
            <w:tcW w:w="1015" w:type="dxa"/>
          </w:tcPr>
          <w:p w14:paraId="078DF92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18,1</w:t>
            </w:r>
          </w:p>
        </w:tc>
        <w:tc>
          <w:tcPr>
            <w:tcW w:w="1384" w:type="dxa"/>
          </w:tcPr>
          <w:p w14:paraId="6C9CBC6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-62,2 </w:t>
            </w:r>
          </w:p>
        </w:tc>
        <w:tc>
          <w:tcPr>
            <w:tcW w:w="1384" w:type="dxa"/>
          </w:tcPr>
          <w:p w14:paraId="53F5078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-69,9 </w:t>
            </w:r>
          </w:p>
        </w:tc>
        <w:tc>
          <w:tcPr>
            <w:tcW w:w="1384" w:type="dxa"/>
          </w:tcPr>
          <w:p w14:paraId="7A2E716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-63,4</w:t>
            </w:r>
          </w:p>
        </w:tc>
      </w:tr>
      <w:tr w:rsidR="0000167A" w:rsidRPr="005F0419" w14:paraId="7B60F085" w14:textId="77777777" w:rsidTr="007E234D">
        <w:trPr>
          <w:trHeight w:val="398"/>
        </w:trPr>
        <w:tc>
          <w:tcPr>
            <w:tcW w:w="1388" w:type="dxa"/>
          </w:tcPr>
          <w:p w14:paraId="518F7B42"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Азія загалом</w:t>
            </w:r>
          </w:p>
        </w:tc>
        <w:tc>
          <w:tcPr>
            <w:tcW w:w="1015" w:type="dxa"/>
          </w:tcPr>
          <w:p w14:paraId="08786D0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441,2 </w:t>
            </w:r>
          </w:p>
        </w:tc>
        <w:tc>
          <w:tcPr>
            <w:tcW w:w="1015" w:type="dxa"/>
          </w:tcPr>
          <w:p w14:paraId="0EFBFF3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126,2 </w:t>
            </w:r>
          </w:p>
        </w:tc>
        <w:tc>
          <w:tcPr>
            <w:tcW w:w="970" w:type="dxa"/>
          </w:tcPr>
          <w:p w14:paraId="747A87A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90,6 </w:t>
            </w:r>
          </w:p>
        </w:tc>
        <w:tc>
          <w:tcPr>
            <w:tcW w:w="1015" w:type="dxa"/>
          </w:tcPr>
          <w:p w14:paraId="1BB2944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131,4</w:t>
            </w:r>
          </w:p>
        </w:tc>
        <w:tc>
          <w:tcPr>
            <w:tcW w:w="1384" w:type="dxa"/>
          </w:tcPr>
          <w:p w14:paraId="2CEFC28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-71,5 </w:t>
            </w:r>
          </w:p>
        </w:tc>
        <w:tc>
          <w:tcPr>
            <w:tcW w:w="1384" w:type="dxa"/>
          </w:tcPr>
          <w:p w14:paraId="0505D71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-80,4 </w:t>
            </w:r>
          </w:p>
        </w:tc>
        <w:tc>
          <w:tcPr>
            <w:tcW w:w="1384" w:type="dxa"/>
          </w:tcPr>
          <w:p w14:paraId="4C19230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-72,4</w:t>
            </w:r>
          </w:p>
        </w:tc>
      </w:tr>
    </w:tbl>
    <w:p w14:paraId="50F814A1"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583C3722"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Південній Азії найкращим туристичним потенціалом і розвитком його інфраструктури вирізняються Індія, Мальдівські острови та Шрі-Ланка. Порівнюючи рівень прийому туристів у 2020 і 2021 році зі Східною та Південно-Східною Азією, не критичною вона була у перших двох. Тут зниження міграції туристів оцінювалося у 60% і трохи більше. Шрі-Ланку можна у цьому сенсі прирівняти до інших країн Азії та Океанії. Також це стосувалося тут і дохідної частини у туристичному бізнесі. </w:t>
      </w:r>
    </w:p>
    <w:p w14:paraId="191BFA9B" w14:textId="6875170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 Американському регіоні інтенсивність туристичних переміщень і доходів від туризму впала на 2/3, причому це однаково стосувалося і Північної і Південної Америк. Кращими з меншою часткою не прийнятих туристів були Карибські країни та Центральна Америка. І якщо тут </w:t>
      </w:r>
      <w:proofErr w:type="spellStart"/>
      <w:r w:rsidRPr="005F0419">
        <w:rPr>
          <w:rFonts w:ascii="Times New Roman" w:eastAsia="Times New Roman" w:hAnsi="Times New Roman" w:cs="Times New Roman"/>
          <w:sz w:val="28"/>
          <w:szCs w:val="28"/>
          <w:lang w:val="uk-UA"/>
        </w:rPr>
        <w:t>ковідний</w:t>
      </w:r>
      <w:proofErr w:type="spellEnd"/>
      <w:r w:rsidRPr="005F0419">
        <w:rPr>
          <w:rFonts w:ascii="Times New Roman" w:eastAsia="Times New Roman" w:hAnsi="Times New Roman" w:cs="Times New Roman"/>
          <w:sz w:val="28"/>
          <w:szCs w:val="28"/>
          <w:lang w:val="uk-UA"/>
        </w:rPr>
        <w:t xml:space="preserve"> стан у 2021 році поліпшився до рівня 50-60%, то в Південній Америці він загострився ще більше – країни недоотримали 85% туристів, чисельність яких впала з 35,4 до 5,3 млн. ос</w:t>
      </w:r>
      <w:r w:rsidR="007E234D" w:rsidRPr="005F0419">
        <w:rPr>
          <w:rFonts w:ascii="Times New Roman" w:eastAsia="Times New Roman" w:hAnsi="Times New Roman" w:cs="Times New Roman"/>
          <w:sz w:val="28"/>
          <w:szCs w:val="28"/>
          <w:lang w:val="uk-UA"/>
        </w:rPr>
        <w:t>іб</w:t>
      </w:r>
      <w:r w:rsidRPr="005F0419">
        <w:rPr>
          <w:rFonts w:ascii="Times New Roman" w:eastAsia="Times New Roman" w:hAnsi="Times New Roman" w:cs="Times New Roman"/>
          <w:sz w:val="28"/>
          <w:szCs w:val="28"/>
          <w:lang w:val="uk-UA"/>
        </w:rPr>
        <w:t xml:space="preserve">. Найкритичніше ця ситуація відбилася на Канаді, Бразилії, Чилі, Аргентині, Парагваї Уругваї. У всіх зазначених країнах туристів і доходів від них стало менше у 2020 році на 70% і більше, а в наступному – біля 90%. Винятком є </w:t>
      </w:r>
      <w:r w:rsidRPr="005F0419">
        <w:rPr>
          <w:rFonts w:ascii="Times New Roman" w:eastAsia="Times New Roman" w:hAnsi="Times New Roman" w:cs="Times New Roman"/>
          <w:sz w:val="28"/>
          <w:szCs w:val="28"/>
          <w:lang w:val="uk-UA"/>
        </w:rPr>
        <w:lastRenderedPageBreak/>
        <w:t xml:space="preserve">Канада, яка при такому значному зниженні відвідуваності країни втратила 54% доходів від 29,8 млрд. доларів США </w:t>
      </w:r>
      <w:proofErr w:type="spellStart"/>
      <w:r w:rsidRPr="005F0419">
        <w:rPr>
          <w:rFonts w:ascii="Times New Roman" w:eastAsia="Times New Roman" w:hAnsi="Times New Roman" w:cs="Times New Roman"/>
          <w:sz w:val="28"/>
          <w:szCs w:val="28"/>
          <w:lang w:val="uk-UA"/>
        </w:rPr>
        <w:t>доковідних</w:t>
      </w:r>
      <w:proofErr w:type="spellEnd"/>
      <w:r w:rsidRPr="005F0419">
        <w:rPr>
          <w:rFonts w:ascii="Times New Roman" w:eastAsia="Times New Roman" w:hAnsi="Times New Roman" w:cs="Times New Roman"/>
          <w:sz w:val="28"/>
          <w:szCs w:val="28"/>
          <w:lang w:val="uk-UA"/>
        </w:rPr>
        <w:t xml:space="preserve"> часів (табл. 5-6).</w:t>
      </w:r>
    </w:p>
    <w:p w14:paraId="6169CB52" w14:textId="77777777" w:rsidR="0000167A" w:rsidRPr="005F0419" w:rsidRDefault="0000167A" w:rsidP="00662012">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Таблиця 5</w:t>
      </w:r>
    </w:p>
    <w:p w14:paraId="32A9FFC7" w14:textId="7B0C6334" w:rsidR="0000167A" w:rsidRPr="005F0419" w:rsidRDefault="0000167A" w:rsidP="007E234D">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Міжнародні туристичні прибуття в Америці у 2019-2022 рр., млн. ос</w:t>
      </w:r>
      <w:r w:rsidR="007E234D" w:rsidRPr="005F0419">
        <w:rPr>
          <w:rFonts w:ascii="Times New Roman" w:eastAsia="Times New Roman" w:hAnsi="Times New Roman" w:cs="Times New Roman"/>
          <w:sz w:val="28"/>
          <w:szCs w:val="28"/>
          <w:lang w:val="uk-UA"/>
        </w:rPr>
        <w:t>іб</w:t>
      </w:r>
      <w:r w:rsidRPr="005F0419">
        <w:rPr>
          <w:rFonts w:ascii="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[25]</w:t>
      </w:r>
    </w:p>
    <w:tbl>
      <w:tblPr>
        <w:tblStyle w:val="ab"/>
        <w:tblW w:w="9727" w:type="dxa"/>
        <w:tblLook w:val="04A0" w:firstRow="1" w:lastRow="0" w:firstColumn="1" w:lastColumn="0" w:noHBand="0" w:noVBand="1"/>
      </w:tblPr>
      <w:tblGrid>
        <w:gridCol w:w="1644"/>
        <w:gridCol w:w="985"/>
        <w:gridCol w:w="935"/>
        <w:gridCol w:w="935"/>
        <w:gridCol w:w="986"/>
        <w:gridCol w:w="1414"/>
        <w:gridCol w:w="1414"/>
        <w:gridCol w:w="1414"/>
      </w:tblGrid>
      <w:tr w:rsidR="0000167A" w:rsidRPr="005F0419" w14:paraId="704212C6" w14:textId="77777777" w:rsidTr="007E234D">
        <w:trPr>
          <w:trHeight w:val="231"/>
        </w:trPr>
        <w:tc>
          <w:tcPr>
            <w:tcW w:w="1544" w:type="dxa"/>
            <w:vMerge w:val="restart"/>
          </w:tcPr>
          <w:p w14:paraId="55A641C0"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Регіони</w:t>
            </w:r>
          </w:p>
        </w:tc>
        <w:tc>
          <w:tcPr>
            <w:tcW w:w="1023" w:type="dxa"/>
            <w:vMerge w:val="restart"/>
          </w:tcPr>
          <w:p w14:paraId="66354F9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2019</w:t>
            </w:r>
          </w:p>
        </w:tc>
        <w:tc>
          <w:tcPr>
            <w:tcW w:w="977" w:type="dxa"/>
            <w:vMerge w:val="restart"/>
          </w:tcPr>
          <w:p w14:paraId="263C5DA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w:t>
            </w:r>
          </w:p>
        </w:tc>
        <w:tc>
          <w:tcPr>
            <w:tcW w:w="977" w:type="dxa"/>
            <w:vMerge w:val="restart"/>
          </w:tcPr>
          <w:p w14:paraId="74E2AAA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w:t>
            </w:r>
          </w:p>
        </w:tc>
        <w:tc>
          <w:tcPr>
            <w:tcW w:w="1023" w:type="dxa"/>
            <w:vMerge w:val="restart"/>
          </w:tcPr>
          <w:p w14:paraId="36B9F60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w:t>
            </w:r>
          </w:p>
        </w:tc>
        <w:tc>
          <w:tcPr>
            <w:tcW w:w="4183" w:type="dxa"/>
            <w:gridSpan w:val="3"/>
          </w:tcPr>
          <w:p w14:paraId="172136D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Відносне відхилення, %</w:t>
            </w:r>
          </w:p>
        </w:tc>
      </w:tr>
      <w:tr w:rsidR="0000167A" w:rsidRPr="005F0419" w14:paraId="78B781F9" w14:textId="77777777" w:rsidTr="007E234D">
        <w:trPr>
          <w:trHeight w:val="243"/>
        </w:trPr>
        <w:tc>
          <w:tcPr>
            <w:tcW w:w="1544" w:type="dxa"/>
            <w:vMerge/>
          </w:tcPr>
          <w:p w14:paraId="31D71E02"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
        </w:tc>
        <w:tc>
          <w:tcPr>
            <w:tcW w:w="1023" w:type="dxa"/>
            <w:vMerge/>
          </w:tcPr>
          <w:p w14:paraId="24A6F1B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977" w:type="dxa"/>
            <w:vMerge/>
          </w:tcPr>
          <w:p w14:paraId="3394D6A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977" w:type="dxa"/>
            <w:vMerge/>
          </w:tcPr>
          <w:p w14:paraId="6FFB62D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023" w:type="dxa"/>
            <w:vMerge/>
          </w:tcPr>
          <w:p w14:paraId="1A0C99D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394" w:type="dxa"/>
          </w:tcPr>
          <w:p w14:paraId="7076BA2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2020/2019</w:t>
            </w:r>
          </w:p>
        </w:tc>
        <w:tc>
          <w:tcPr>
            <w:tcW w:w="1394" w:type="dxa"/>
          </w:tcPr>
          <w:p w14:paraId="15CF427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2021/2019</w:t>
            </w:r>
          </w:p>
        </w:tc>
        <w:tc>
          <w:tcPr>
            <w:tcW w:w="1394" w:type="dxa"/>
          </w:tcPr>
          <w:p w14:paraId="4B362F0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2022/2019</w:t>
            </w:r>
          </w:p>
        </w:tc>
      </w:tr>
      <w:tr w:rsidR="0000167A" w:rsidRPr="005F0419" w14:paraId="7062176B" w14:textId="77777777" w:rsidTr="007E234D">
        <w:trPr>
          <w:trHeight w:val="474"/>
        </w:trPr>
        <w:tc>
          <w:tcPr>
            <w:tcW w:w="1544" w:type="dxa"/>
          </w:tcPr>
          <w:p w14:paraId="33022A83"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Північна Америка</w:t>
            </w:r>
          </w:p>
        </w:tc>
        <w:tc>
          <w:tcPr>
            <w:tcW w:w="1023" w:type="dxa"/>
          </w:tcPr>
          <w:p w14:paraId="7525C39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146,6 </w:t>
            </w:r>
          </w:p>
        </w:tc>
        <w:tc>
          <w:tcPr>
            <w:tcW w:w="977" w:type="dxa"/>
          </w:tcPr>
          <w:p w14:paraId="44CCAC0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46,5 </w:t>
            </w:r>
          </w:p>
        </w:tc>
        <w:tc>
          <w:tcPr>
            <w:tcW w:w="977" w:type="dxa"/>
          </w:tcPr>
          <w:p w14:paraId="7AF0694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57,0 </w:t>
            </w:r>
          </w:p>
        </w:tc>
        <w:tc>
          <w:tcPr>
            <w:tcW w:w="1023" w:type="dxa"/>
          </w:tcPr>
          <w:p w14:paraId="74038F5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102,0</w:t>
            </w:r>
          </w:p>
        </w:tc>
        <w:tc>
          <w:tcPr>
            <w:tcW w:w="1394" w:type="dxa"/>
          </w:tcPr>
          <w:p w14:paraId="47A033E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-68,3 </w:t>
            </w:r>
          </w:p>
        </w:tc>
        <w:tc>
          <w:tcPr>
            <w:tcW w:w="1394" w:type="dxa"/>
          </w:tcPr>
          <w:p w14:paraId="67F449F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-61,1 </w:t>
            </w:r>
          </w:p>
        </w:tc>
        <w:tc>
          <w:tcPr>
            <w:tcW w:w="1394" w:type="dxa"/>
          </w:tcPr>
          <w:p w14:paraId="21C7284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-30,4</w:t>
            </w:r>
          </w:p>
        </w:tc>
      </w:tr>
      <w:tr w:rsidR="0000167A" w:rsidRPr="005F0419" w14:paraId="00A99616" w14:textId="77777777" w:rsidTr="007E234D">
        <w:trPr>
          <w:trHeight w:val="474"/>
        </w:trPr>
        <w:tc>
          <w:tcPr>
            <w:tcW w:w="1544" w:type="dxa"/>
          </w:tcPr>
          <w:p w14:paraId="7E2950F7"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Карибський басейн </w:t>
            </w:r>
          </w:p>
        </w:tc>
        <w:tc>
          <w:tcPr>
            <w:tcW w:w="1023" w:type="dxa"/>
          </w:tcPr>
          <w:p w14:paraId="1213FF8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26,3 </w:t>
            </w:r>
          </w:p>
        </w:tc>
        <w:tc>
          <w:tcPr>
            <w:tcW w:w="977" w:type="dxa"/>
          </w:tcPr>
          <w:p w14:paraId="243FACC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10,3 </w:t>
            </w:r>
          </w:p>
        </w:tc>
        <w:tc>
          <w:tcPr>
            <w:tcW w:w="977" w:type="dxa"/>
          </w:tcPr>
          <w:p w14:paraId="39D3042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14,5 </w:t>
            </w:r>
          </w:p>
        </w:tc>
        <w:tc>
          <w:tcPr>
            <w:tcW w:w="1023" w:type="dxa"/>
          </w:tcPr>
          <w:p w14:paraId="6F528A0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22,6</w:t>
            </w:r>
          </w:p>
        </w:tc>
        <w:tc>
          <w:tcPr>
            <w:tcW w:w="1394" w:type="dxa"/>
          </w:tcPr>
          <w:p w14:paraId="4C8539A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-61,0 </w:t>
            </w:r>
          </w:p>
        </w:tc>
        <w:tc>
          <w:tcPr>
            <w:tcW w:w="1394" w:type="dxa"/>
          </w:tcPr>
          <w:p w14:paraId="2E01AE1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-45,1 </w:t>
            </w:r>
          </w:p>
        </w:tc>
        <w:tc>
          <w:tcPr>
            <w:tcW w:w="1394" w:type="dxa"/>
          </w:tcPr>
          <w:p w14:paraId="1180437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-14,2</w:t>
            </w:r>
          </w:p>
        </w:tc>
      </w:tr>
      <w:tr w:rsidR="0000167A" w:rsidRPr="005F0419" w14:paraId="18B2EE28" w14:textId="77777777" w:rsidTr="007E234D">
        <w:trPr>
          <w:trHeight w:val="474"/>
        </w:trPr>
        <w:tc>
          <w:tcPr>
            <w:tcW w:w="1544" w:type="dxa"/>
          </w:tcPr>
          <w:p w14:paraId="04EF79A7"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Центральна Америка </w:t>
            </w:r>
          </w:p>
        </w:tc>
        <w:tc>
          <w:tcPr>
            <w:tcW w:w="1023" w:type="dxa"/>
          </w:tcPr>
          <w:p w14:paraId="721A9CD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10,9 </w:t>
            </w:r>
          </w:p>
        </w:tc>
        <w:tc>
          <w:tcPr>
            <w:tcW w:w="977" w:type="dxa"/>
          </w:tcPr>
          <w:p w14:paraId="02009B2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3,1 </w:t>
            </w:r>
          </w:p>
        </w:tc>
        <w:tc>
          <w:tcPr>
            <w:tcW w:w="977" w:type="dxa"/>
          </w:tcPr>
          <w:p w14:paraId="6C4D82C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4,7 </w:t>
            </w:r>
          </w:p>
        </w:tc>
        <w:tc>
          <w:tcPr>
            <w:tcW w:w="1023" w:type="dxa"/>
          </w:tcPr>
          <w:p w14:paraId="749F1B6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9,3</w:t>
            </w:r>
          </w:p>
        </w:tc>
        <w:tc>
          <w:tcPr>
            <w:tcW w:w="1394" w:type="dxa"/>
          </w:tcPr>
          <w:p w14:paraId="16EB532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-71,6 </w:t>
            </w:r>
          </w:p>
        </w:tc>
        <w:tc>
          <w:tcPr>
            <w:tcW w:w="1394" w:type="dxa"/>
          </w:tcPr>
          <w:p w14:paraId="5CE1C81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-57,1 </w:t>
            </w:r>
          </w:p>
        </w:tc>
        <w:tc>
          <w:tcPr>
            <w:tcW w:w="1394" w:type="dxa"/>
          </w:tcPr>
          <w:p w14:paraId="5CC550A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-15,0</w:t>
            </w:r>
          </w:p>
        </w:tc>
      </w:tr>
      <w:tr w:rsidR="0000167A" w:rsidRPr="005F0419" w14:paraId="4C0C8D6B" w14:textId="77777777" w:rsidTr="007E234D">
        <w:trPr>
          <w:trHeight w:val="474"/>
        </w:trPr>
        <w:tc>
          <w:tcPr>
            <w:tcW w:w="1544" w:type="dxa"/>
          </w:tcPr>
          <w:p w14:paraId="23673AD1"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Південна Америка</w:t>
            </w:r>
          </w:p>
        </w:tc>
        <w:tc>
          <w:tcPr>
            <w:tcW w:w="1023" w:type="dxa"/>
          </w:tcPr>
          <w:p w14:paraId="4A4825F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35,4 </w:t>
            </w:r>
          </w:p>
        </w:tc>
        <w:tc>
          <w:tcPr>
            <w:tcW w:w="977" w:type="dxa"/>
          </w:tcPr>
          <w:p w14:paraId="4CE4430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9,8 </w:t>
            </w:r>
          </w:p>
        </w:tc>
        <w:tc>
          <w:tcPr>
            <w:tcW w:w="977" w:type="dxa"/>
          </w:tcPr>
          <w:p w14:paraId="6BEB368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5,3 </w:t>
            </w:r>
          </w:p>
        </w:tc>
        <w:tc>
          <w:tcPr>
            <w:tcW w:w="1023" w:type="dxa"/>
          </w:tcPr>
          <w:p w14:paraId="3997EFF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21,7</w:t>
            </w:r>
          </w:p>
        </w:tc>
        <w:tc>
          <w:tcPr>
            <w:tcW w:w="1394" w:type="dxa"/>
          </w:tcPr>
          <w:p w14:paraId="14DD108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-72,4 </w:t>
            </w:r>
          </w:p>
        </w:tc>
        <w:tc>
          <w:tcPr>
            <w:tcW w:w="1394" w:type="dxa"/>
          </w:tcPr>
          <w:p w14:paraId="7FCFB6F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-85,0 </w:t>
            </w:r>
          </w:p>
        </w:tc>
        <w:tc>
          <w:tcPr>
            <w:tcW w:w="1394" w:type="dxa"/>
          </w:tcPr>
          <w:p w14:paraId="5EAA730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-38,8</w:t>
            </w:r>
          </w:p>
        </w:tc>
      </w:tr>
      <w:tr w:rsidR="0000167A" w:rsidRPr="005F0419" w14:paraId="65493A5F" w14:textId="77777777" w:rsidTr="007E234D">
        <w:trPr>
          <w:trHeight w:val="219"/>
        </w:trPr>
        <w:tc>
          <w:tcPr>
            <w:tcW w:w="1544" w:type="dxa"/>
          </w:tcPr>
          <w:p w14:paraId="189A1797"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Америка загалом</w:t>
            </w:r>
          </w:p>
        </w:tc>
        <w:tc>
          <w:tcPr>
            <w:tcW w:w="1023" w:type="dxa"/>
          </w:tcPr>
          <w:p w14:paraId="6A87CDE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69,1 </w:t>
            </w:r>
          </w:p>
        </w:tc>
        <w:tc>
          <w:tcPr>
            <w:tcW w:w="977" w:type="dxa"/>
          </w:tcPr>
          <w:p w14:paraId="76F2ECC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18,7 </w:t>
            </w:r>
          </w:p>
        </w:tc>
        <w:tc>
          <w:tcPr>
            <w:tcW w:w="977" w:type="dxa"/>
          </w:tcPr>
          <w:p w14:paraId="6072BB0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19,6 </w:t>
            </w:r>
          </w:p>
        </w:tc>
        <w:tc>
          <w:tcPr>
            <w:tcW w:w="1023" w:type="dxa"/>
          </w:tcPr>
          <w:p w14:paraId="2C7CE31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46,5</w:t>
            </w:r>
          </w:p>
        </w:tc>
        <w:tc>
          <w:tcPr>
            <w:tcW w:w="1394" w:type="dxa"/>
          </w:tcPr>
          <w:p w14:paraId="4E1FC48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-72,9 </w:t>
            </w:r>
          </w:p>
        </w:tc>
        <w:tc>
          <w:tcPr>
            <w:tcW w:w="1394" w:type="dxa"/>
          </w:tcPr>
          <w:p w14:paraId="33C2BE6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-71,5 </w:t>
            </w:r>
          </w:p>
        </w:tc>
        <w:tc>
          <w:tcPr>
            <w:tcW w:w="1394" w:type="dxa"/>
          </w:tcPr>
          <w:p w14:paraId="510FC6C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-32,6</w:t>
            </w:r>
          </w:p>
        </w:tc>
      </w:tr>
    </w:tbl>
    <w:p w14:paraId="59430B4D" w14:textId="6B7AEB5C" w:rsidR="0000167A" w:rsidRPr="005F0419" w:rsidRDefault="0000167A" w:rsidP="007E234D">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p>
    <w:p w14:paraId="7C156B20" w14:textId="77777777" w:rsidR="0000167A" w:rsidRPr="005F0419" w:rsidRDefault="0000167A" w:rsidP="00662012">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Таблиця 6</w:t>
      </w:r>
    </w:p>
    <w:p w14:paraId="5CBBA8E1" w14:textId="77777777"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Міжнародні надходження від туризму в Азії у 2019-2022 рр., млрд. $ [25]</w:t>
      </w:r>
    </w:p>
    <w:tbl>
      <w:tblPr>
        <w:tblStyle w:val="ab"/>
        <w:tblW w:w="9756" w:type="dxa"/>
        <w:tblLook w:val="04A0" w:firstRow="1" w:lastRow="0" w:firstColumn="1" w:lastColumn="0" w:noHBand="0" w:noVBand="1"/>
      </w:tblPr>
      <w:tblGrid>
        <w:gridCol w:w="1645"/>
        <w:gridCol w:w="968"/>
        <w:gridCol w:w="967"/>
        <w:gridCol w:w="967"/>
        <w:gridCol w:w="967"/>
        <w:gridCol w:w="1414"/>
        <w:gridCol w:w="1414"/>
        <w:gridCol w:w="1414"/>
      </w:tblGrid>
      <w:tr w:rsidR="0000167A" w:rsidRPr="005F0419" w14:paraId="798869EE" w14:textId="77777777" w:rsidTr="007E234D">
        <w:trPr>
          <w:trHeight w:val="221"/>
        </w:trPr>
        <w:tc>
          <w:tcPr>
            <w:tcW w:w="1535" w:type="dxa"/>
            <w:vMerge w:val="restart"/>
          </w:tcPr>
          <w:p w14:paraId="1754500B"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Регіони</w:t>
            </w:r>
          </w:p>
        </w:tc>
        <w:tc>
          <w:tcPr>
            <w:tcW w:w="1016" w:type="dxa"/>
            <w:vMerge w:val="restart"/>
          </w:tcPr>
          <w:p w14:paraId="188F765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2019</w:t>
            </w:r>
          </w:p>
        </w:tc>
        <w:tc>
          <w:tcPr>
            <w:tcW w:w="1016" w:type="dxa"/>
            <w:vMerge w:val="restart"/>
          </w:tcPr>
          <w:p w14:paraId="52BC826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w:t>
            </w:r>
          </w:p>
        </w:tc>
        <w:tc>
          <w:tcPr>
            <w:tcW w:w="1016" w:type="dxa"/>
            <w:vMerge w:val="restart"/>
          </w:tcPr>
          <w:p w14:paraId="24E2D71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w:t>
            </w:r>
          </w:p>
        </w:tc>
        <w:tc>
          <w:tcPr>
            <w:tcW w:w="1016" w:type="dxa"/>
            <w:vMerge w:val="restart"/>
          </w:tcPr>
          <w:p w14:paraId="2D61B5D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w:t>
            </w:r>
          </w:p>
        </w:tc>
        <w:tc>
          <w:tcPr>
            <w:tcW w:w="4157" w:type="dxa"/>
            <w:gridSpan w:val="3"/>
          </w:tcPr>
          <w:p w14:paraId="1889CCF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Відносне відхилення, %</w:t>
            </w:r>
          </w:p>
        </w:tc>
      </w:tr>
      <w:tr w:rsidR="0000167A" w:rsidRPr="005F0419" w14:paraId="3411A8C4" w14:textId="77777777" w:rsidTr="007E234D">
        <w:trPr>
          <w:trHeight w:val="233"/>
        </w:trPr>
        <w:tc>
          <w:tcPr>
            <w:tcW w:w="1535" w:type="dxa"/>
            <w:vMerge/>
          </w:tcPr>
          <w:p w14:paraId="0154BFA2"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
        </w:tc>
        <w:tc>
          <w:tcPr>
            <w:tcW w:w="1016" w:type="dxa"/>
            <w:vMerge/>
          </w:tcPr>
          <w:p w14:paraId="2B485A2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016" w:type="dxa"/>
            <w:vMerge/>
          </w:tcPr>
          <w:p w14:paraId="11B876A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016" w:type="dxa"/>
            <w:vMerge/>
          </w:tcPr>
          <w:p w14:paraId="6CAB83E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016" w:type="dxa"/>
            <w:vMerge/>
          </w:tcPr>
          <w:p w14:paraId="0AF0C1E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385" w:type="dxa"/>
          </w:tcPr>
          <w:p w14:paraId="514A750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2020/2019</w:t>
            </w:r>
          </w:p>
        </w:tc>
        <w:tc>
          <w:tcPr>
            <w:tcW w:w="1385" w:type="dxa"/>
          </w:tcPr>
          <w:p w14:paraId="307898C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2021/2019</w:t>
            </w:r>
          </w:p>
        </w:tc>
        <w:tc>
          <w:tcPr>
            <w:tcW w:w="1385" w:type="dxa"/>
          </w:tcPr>
          <w:p w14:paraId="1D89370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2022/2019</w:t>
            </w:r>
          </w:p>
        </w:tc>
      </w:tr>
      <w:tr w:rsidR="0000167A" w:rsidRPr="005F0419" w14:paraId="21B049D7" w14:textId="77777777" w:rsidTr="007E234D">
        <w:trPr>
          <w:trHeight w:val="454"/>
        </w:trPr>
        <w:tc>
          <w:tcPr>
            <w:tcW w:w="1535" w:type="dxa"/>
          </w:tcPr>
          <w:p w14:paraId="24844624"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Північна Америка</w:t>
            </w:r>
          </w:p>
        </w:tc>
        <w:tc>
          <w:tcPr>
            <w:tcW w:w="1016" w:type="dxa"/>
          </w:tcPr>
          <w:p w14:paraId="01838BE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253,4 </w:t>
            </w:r>
          </w:p>
        </w:tc>
        <w:tc>
          <w:tcPr>
            <w:tcW w:w="1016" w:type="dxa"/>
          </w:tcPr>
          <w:p w14:paraId="2E99DE1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97,1 </w:t>
            </w:r>
          </w:p>
        </w:tc>
        <w:tc>
          <w:tcPr>
            <w:tcW w:w="1016" w:type="dxa"/>
          </w:tcPr>
          <w:p w14:paraId="5FE9669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104,4 </w:t>
            </w:r>
          </w:p>
        </w:tc>
        <w:tc>
          <w:tcPr>
            <w:tcW w:w="1016" w:type="dxa"/>
          </w:tcPr>
          <w:p w14:paraId="1812164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187,3</w:t>
            </w:r>
          </w:p>
        </w:tc>
        <w:tc>
          <w:tcPr>
            <w:tcW w:w="1385" w:type="dxa"/>
          </w:tcPr>
          <w:p w14:paraId="08ED420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-61,7 </w:t>
            </w:r>
          </w:p>
        </w:tc>
        <w:tc>
          <w:tcPr>
            <w:tcW w:w="1385" w:type="dxa"/>
          </w:tcPr>
          <w:p w14:paraId="110A4AF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-61,3 </w:t>
            </w:r>
          </w:p>
        </w:tc>
        <w:tc>
          <w:tcPr>
            <w:tcW w:w="1385" w:type="dxa"/>
          </w:tcPr>
          <w:p w14:paraId="52EB232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-31,6</w:t>
            </w:r>
          </w:p>
        </w:tc>
      </w:tr>
      <w:tr w:rsidR="0000167A" w:rsidRPr="005F0419" w14:paraId="23A6C129" w14:textId="77777777" w:rsidTr="007E234D">
        <w:trPr>
          <w:trHeight w:val="454"/>
        </w:trPr>
        <w:tc>
          <w:tcPr>
            <w:tcW w:w="1535" w:type="dxa"/>
          </w:tcPr>
          <w:p w14:paraId="030D7934"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Карибський басейн </w:t>
            </w:r>
          </w:p>
        </w:tc>
        <w:tc>
          <w:tcPr>
            <w:tcW w:w="1016" w:type="dxa"/>
          </w:tcPr>
          <w:p w14:paraId="36EF66E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34,9 </w:t>
            </w:r>
          </w:p>
        </w:tc>
        <w:tc>
          <w:tcPr>
            <w:tcW w:w="1016" w:type="dxa"/>
          </w:tcPr>
          <w:p w14:paraId="194C844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14,5 </w:t>
            </w:r>
          </w:p>
        </w:tc>
        <w:tc>
          <w:tcPr>
            <w:tcW w:w="1016" w:type="dxa"/>
          </w:tcPr>
          <w:p w14:paraId="277BF4D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20,9 </w:t>
            </w:r>
          </w:p>
        </w:tc>
        <w:tc>
          <w:tcPr>
            <w:tcW w:w="1016" w:type="dxa"/>
          </w:tcPr>
          <w:p w14:paraId="596C631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25,2</w:t>
            </w:r>
          </w:p>
        </w:tc>
        <w:tc>
          <w:tcPr>
            <w:tcW w:w="1385" w:type="dxa"/>
          </w:tcPr>
          <w:p w14:paraId="2E21A59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-58,1 </w:t>
            </w:r>
          </w:p>
        </w:tc>
        <w:tc>
          <w:tcPr>
            <w:tcW w:w="1385" w:type="dxa"/>
          </w:tcPr>
          <w:p w14:paraId="5BDB96C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-42,3 </w:t>
            </w:r>
          </w:p>
        </w:tc>
        <w:tc>
          <w:tcPr>
            <w:tcW w:w="1385" w:type="dxa"/>
          </w:tcPr>
          <w:p w14:paraId="1235591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-33,3</w:t>
            </w:r>
          </w:p>
        </w:tc>
      </w:tr>
      <w:tr w:rsidR="0000167A" w:rsidRPr="005F0419" w14:paraId="422584B0" w14:textId="77777777" w:rsidTr="007E234D">
        <w:trPr>
          <w:trHeight w:val="454"/>
        </w:trPr>
        <w:tc>
          <w:tcPr>
            <w:tcW w:w="1535" w:type="dxa"/>
          </w:tcPr>
          <w:p w14:paraId="4F4D0F85"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Центральна Америка </w:t>
            </w:r>
          </w:p>
        </w:tc>
        <w:tc>
          <w:tcPr>
            <w:tcW w:w="1016" w:type="dxa"/>
          </w:tcPr>
          <w:p w14:paraId="5A59420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12,6 </w:t>
            </w:r>
          </w:p>
        </w:tc>
        <w:tc>
          <w:tcPr>
            <w:tcW w:w="1016" w:type="dxa"/>
          </w:tcPr>
          <w:p w14:paraId="2D47B34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4,0 </w:t>
            </w:r>
          </w:p>
        </w:tc>
        <w:tc>
          <w:tcPr>
            <w:tcW w:w="1016" w:type="dxa"/>
          </w:tcPr>
          <w:p w14:paraId="32B6953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6,1 </w:t>
            </w:r>
          </w:p>
        </w:tc>
        <w:tc>
          <w:tcPr>
            <w:tcW w:w="1016" w:type="dxa"/>
          </w:tcPr>
          <w:p w14:paraId="2187760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8,9</w:t>
            </w:r>
          </w:p>
        </w:tc>
        <w:tc>
          <w:tcPr>
            <w:tcW w:w="1385" w:type="dxa"/>
          </w:tcPr>
          <w:p w14:paraId="64C8184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-68,3 </w:t>
            </w:r>
          </w:p>
        </w:tc>
        <w:tc>
          <w:tcPr>
            <w:tcW w:w="1385" w:type="dxa"/>
          </w:tcPr>
          <w:p w14:paraId="6B59246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-52,3 </w:t>
            </w:r>
          </w:p>
        </w:tc>
        <w:tc>
          <w:tcPr>
            <w:tcW w:w="1385" w:type="dxa"/>
          </w:tcPr>
          <w:p w14:paraId="55D75D5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-34,8</w:t>
            </w:r>
          </w:p>
        </w:tc>
      </w:tr>
      <w:tr w:rsidR="0000167A" w:rsidRPr="005F0419" w14:paraId="275433BF" w14:textId="77777777" w:rsidTr="007E234D">
        <w:trPr>
          <w:trHeight w:val="454"/>
        </w:trPr>
        <w:tc>
          <w:tcPr>
            <w:tcW w:w="1535" w:type="dxa"/>
          </w:tcPr>
          <w:p w14:paraId="34602DDA"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Південна Америка</w:t>
            </w:r>
          </w:p>
        </w:tc>
        <w:tc>
          <w:tcPr>
            <w:tcW w:w="1016" w:type="dxa"/>
          </w:tcPr>
          <w:p w14:paraId="68CBDCD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29,6 </w:t>
            </w:r>
          </w:p>
        </w:tc>
        <w:tc>
          <w:tcPr>
            <w:tcW w:w="1016" w:type="dxa"/>
          </w:tcPr>
          <w:p w14:paraId="6FE3D30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9,8 </w:t>
            </w:r>
          </w:p>
        </w:tc>
        <w:tc>
          <w:tcPr>
            <w:tcW w:w="1016" w:type="dxa"/>
          </w:tcPr>
          <w:p w14:paraId="1222E8B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8,9 </w:t>
            </w:r>
          </w:p>
        </w:tc>
        <w:tc>
          <w:tcPr>
            <w:tcW w:w="1016" w:type="dxa"/>
          </w:tcPr>
          <w:p w14:paraId="6045969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22,6</w:t>
            </w:r>
          </w:p>
        </w:tc>
        <w:tc>
          <w:tcPr>
            <w:tcW w:w="1385" w:type="dxa"/>
          </w:tcPr>
          <w:p w14:paraId="68AF9D0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-63,2 </w:t>
            </w:r>
          </w:p>
        </w:tc>
        <w:tc>
          <w:tcPr>
            <w:tcW w:w="1385" w:type="dxa"/>
          </w:tcPr>
          <w:p w14:paraId="34275AB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-70,5 </w:t>
            </w:r>
          </w:p>
        </w:tc>
        <w:tc>
          <w:tcPr>
            <w:tcW w:w="1385" w:type="dxa"/>
          </w:tcPr>
          <w:p w14:paraId="64D054D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-29,5</w:t>
            </w:r>
          </w:p>
        </w:tc>
      </w:tr>
      <w:tr w:rsidR="0000167A" w:rsidRPr="005F0419" w14:paraId="50AD346C" w14:textId="77777777" w:rsidTr="007E234D">
        <w:trPr>
          <w:trHeight w:val="210"/>
        </w:trPr>
        <w:tc>
          <w:tcPr>
            <w:tcW w:w="1535" w:type="dxa"/>
          </w:tcPr>
          <w:p w14:paraId="6451E639"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Америка загалом</w:t>
            </w:r>
          </w:p>
        </w:tc>
        <w:tc>
          <w:tcPr>
            <w:tcW w:w="1016" w:type="dxa"/>
          </w:tcPr>
          <w:p w14:paraId="34FA0F9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330.6 </w:t>
            </w:r>
          </w:p>
        </w:tc>
        <w:tc>
          <w:tcPr>
            <w:tcW w:w="1016" w:type="dxa"/>
          </w:tcPr>
          <w:p w14:paraId="7836045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125.4 </w:t>
            </w:r>
          </w:p>
        </w:tc>
        <w:tc>
          <w:tcPr>
            <w:tcW w:w="1016" w:type="dxa"/>
          </w:tcPr>
          <w:p w14:paraId="4B51D65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140.3 </w:t>
            </w:r>
          </w:p>
        </w:tc>
        <w:tc>
          <w:tcPr>
            <w:tcW w:w="1016" w:type="dxa"/>
          </w:tcPr>
          <w:p w14:paraId="1D99E71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243.9</w:t>
            </w:r>
          </w:p>
        </w:tc>
        <w:tc>
          <w:tcPr>
            <w:tcW w:w="1385" w:type="dxa"/>
          </w:tcPr>
          <w:p w14:paraId="3442F20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-61.7 </w:t>
            </w:r>
          </w:p>
        </w:tc>
        <w:tc>
          <w:tcPr>
            <w:tcW w:w="1385" w:type="dxa"/>
          </w:tcPr>
          <w:p w14:paraId="074C223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-59.8 </w:t>
            </w:r>
          </w:p>
        </w:tc>
        <w:tc>
          <w:tcPr>
            <w:tcW w:w="1385" w:type="dxa"/>
          </w:tcPr>
          <w:p w14:paraId="0EC9040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-31.7</w:t>
            </w:r>
          </w:p>
        </w:tc>
      </w:tr>
    </w:tbl>
    <w:p w14:paraId="1FC0FAF0"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49678BA6"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Африка з півночі та на південь від Сахари мали власні особливості у розвитку туризму під час пандемії. У північній її частині та Близькому Сході Середземномор’я та Червоного моря туристичні потоки знизилися на 2/3, а доходи – на 50%-30%, що свідчить про кращий потенціал і рівень розвитку туристичної інфраструктури Марокко, Тунісу, Єгипту. У </w:t>
      </w:r>
      <w:proofErr w:type="spellStart"/>
      <w:r w:rsidRPr="005F0419">
        <w:rPr>
          <w:rFonts w:ascii="Times New Roman" w:eastAsia="Times New Roman" w:hAnsi="Times New Roman" w:cs="Times New Roman"/>
          <w:sz w:val="28"/>
          <w:szCs w:val="28"/>
          <w:lang w:val="uk-UA"/>
        </w:rPr>
        <w:t>Субсахарській</w:t>
      </w:r>
      <w:proofErr w:type="spellEnd"/>
      <w:r w:rsidRPr="005F0419">
        <w:rPr>
          <w:rFonts w:ascii="Times New Roman" w:eastAsia="Times New Roman" w:hAnsi="Times New Roman" w:cs="Times New Roman"/>
          <w:sz w:val="28"/>
          <w:szCs w:val="28"/>
          <w:lang w:val="uk-UA"/>
        </w:rPr>
        <w:t xml:space="preserve"> Африці </w:t>
      </w:r>
      <w:r w:rsidRPr="005F0419">
        <w:rPr>
          <w:rFonts w:ascii="Times New Roman" w:eastAsia="Times New Roman" w:hAnsi="Times New Roman" w:cs="Times New Roman"/>
          <w:sz w:val="28"/>
          <w:szCs w:val="28"/>
          <w:lang w:val="uk-UA"/>
        </w:rPr>
        <w:lastRenderedPageBreak/>
        <w:t xml:space="preserve">і перший критерій, і другий упав на 2/3, а найкритичнішою ситуація була в екваторіальних та </w:t>
      </w:r>
      <w:proofErr w:type="spellStart"/>
      <w:r w:rsidRPr="005F0419">
        <w:rPr>
          <w:rFonts w:ascii="Times New Roman" w:eastAsia="Times New Roman" w:hAnsi="Times New Roman" w:cs="Times New Roman"/>
          <w:sz w:val="28"/>
          <w:szCs w:val="28"/>
          <w:lang w:val="uk-UA"/>
        </w:rPr>
        <w:t>приекваторіальних</w:t>
      </w:r>
      <w:proofErr w:type="spellEnd"/>
      <w:r w:rsidRPr="005F0419">
        <w:rPr>
          <w:rFonts w:ascii="Times New Roman" w:eastAsia="Times New Roman" w:hAnsi="Times New Roman" w:cs="Times New Roman"/>
          <w:sz w:val="28"/>
          <w:szCs w:val="28"/>
          <w:lang w:val="uk-UA"/>
        </w:rPr>
        <w:t xml:space="preserve"> широтах країн вологого клімату, який сприяє поширенню вірусу. Утім, цей регіон не надто виділяється міжнародному поділі праці стосовно туризму, а найбільші доходи в 2019 році небагатьох країн перевищували 1 млрд. доларів США, за винятком ПАР. Тут ці показники були більшими за пересічні в Африці (2,3-10 млн. туристів і 2,1-4,8 млрд. доларів США у різні роки). </w:t>
      </w:r>
    </w:p>
    <w:p w14:paraId="24653D91" w14:textId="77777777" w:rsidR="0000167A" w:rsidRPr="005F0419" w:rsidRDefault="0000167A" w:rsidP="00662012">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Таблиця 7</w:t>
      </w:r>
    </w:p>
    <w:p w14:paraId="5AF7AA7B" w14:textId="14CDCAF7"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Міжнародні туристичні прибуття в Африці у 2019-2022 рр., млн. ос</w:t>
      </w:r>
      <w:r w:rsidR="007E234D" w:rsidRPr="005F0419">
        <w:rPr>
          <w:rFonts w:ascii="Times New Roman" w:eastAsia="Times New Roman" w:hAnsi="Times New Roman" w:cs="Times New Roman"/>
          <w:sz w:val="28"/>
          <w:szCs w:val="28"/>
          <w:lang w:val="uk-UA"/>
        </w:rPr>
        <w:t>іб</w:t>
      </w:r>
      <w:r w:rsidRPr="005F0419">
        <w:rPr>
          <w:rFonts w:ascii="Times New Roman" w:eastAsia="Times New Roman" w:hAnsi="Times New Roman" w:cs="Times New Roman"/>
          <w:sz w:val="28"/>
          <w:szCs w:val="28"/>
          <w:lang w:val="uk-UA"/>
        </w:rPr>
        <w:t xml:space="preserve"> [25]</w:t>
      </w:r>
    </w:p>
    <w:tbl>
      <w:tblPr>
        <w:tblStyle w:val="ab"/>
        <w:tblW w:w="9634" w:type="dxa"/>
        <w:tblLook w:val="04A0" w:firstRow="1" w:lastRow="0" w:firstColumn="1" w:lastColumn="0" w:noHBand="0" w:noVBand="1"/>
      </w:tblPr>
      <w:tblGrid>
        <w:gridCol w:w="2032"/>
        <w:gridCol w:w="827"/>
        <w:gridCol w:w="827"/>
        <w:gridCol w:w="827"/>
        <w:gridCol w:w="827"/>
        <w:gridCol w:w="1466"/>
        <w:gridCol w:w="1414"/>
        <w:gridCol w:w="1414"/>
      </w:tblGrid>
      <w:tr w:rsidR="0000167A" w:rsidRPr="005F0419" w14:paraId="5E786ACB" w14:textId="77777777" w:rsidTr="007E234D">
        <w:tc>
          <w:tcPr>
            <w:tcW w:w="2032" w:type="dxa"/>
            <w:vMerge w:val="restart"/>
          </w:tcPr>
          <w:p w14:paraId="38E1BD49"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Регіони</w:t>
            </w:r>
          </w:p>
        </w:tc>
        <w:tc>
          <w:tcPr>
            <w:tcW w:w="827" w:type="dxa"/>
            <w:vMerge w:val="restart"/>
          </w:tcPr>
          <w:p w14:paraId="47277BA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2019</w:t>
            </w:r>
          </w:p>
        </w:tc>
        <w:tc>
          <w:tcPr>
            <w:tcW w:w="827" w:type="dxa"/>
            <w:vMerge w:val="restart"/>
          </w:tcPr>
          <w:p w14:paraId="50C073B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w:t>
            </w:r>
          </w:p>
        </w:tc>
        <w:tc>
          <w:tcPr>
            <w:tcW w:w="827" w:type="dxa"/>
            <w:vMerge w:val="restart"/>
          </w:tcPr>
          <w:p w14:paraId="0224F5F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w:t>
            </w:r>
          </w:p>
        </w:tc>
        <w:tc>
          <w:tcPr>
            <w:tcW w:w="827" w:type="dxa"/>
            <w:vMerge w:val="restart"/>
          </w:tcPr>
          <w:p w14:paraId="5EFD22E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w:t>
            </w:r>
          </w:p>
        </w:tc>
        <w:tc>
          <w:tcPr>
            <w:tcW w:w="4294" w:type="dxa"/>
            <w:gridSpan w:val="3"/>
          </w:tcPr>
          <w:p w14:paraId="3030E2C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Відносне відхилення, %</w:t>
            </w:r>
          </w:p>
        </w:tc>
      </w:tr>
      <w:tr w:rsidR="0000167A" w:rsidRPr="005F0419" w14:paraId="74157BB2" w14:textId="77777777" w:rsidTr="007E234D">
        <w:tc>
          <w:tcPr>
            <w:tcW w:w="2032" w:type="dxa"/>
            <w:vMerge/>
          </w:tcPr>
          <w:p w14:paraId="4CA5D5AC"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
        </w:tc>
        <w:tc>
          <w:tcPr>
            <w:tcW w:w="827" w:type="dxa"/>
            <w:vMerge/>
          </w:tcPr>
          <w:p w14:paraId="1102FED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827" w:type="dxa"/>
            <w:vMerge/>
          </w:tcPr>
          <w:p w14:paraId="3AF7C31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827" w:type="dxa"/>
            <w:vMerge/>
          </w:tcPr>
          <w:p w14:paraId="4E0437A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827" w:type="dxa"/>
            <w:vMerge/>
          </w:tcPr>
          <w:p w14:paraId="12D7C38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466" w:type="dxa"/>
          </w:tcPr>
          <w:p w14:paraId="7A75054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2020/2019</w:t>
            </w:r>
          </w:p>
        </w:tc>
        <w:tc>
          <w:tcPr>
            <w:tcW w:w="1414" w:type="dxa"/>
          </w:tcPr>
          <w:p w14:paraId="765882E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2021/2019</w:t>
            </w:r>
          </w:p>
        </w:tc>
        <w:tc>
          <w:tcPr>
            <w:tcW w:w="1414" w:type="dxa"/>
          </w:tcPr>
          <w:p w14:paraId="3CA3D45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2022/2019</w:t>
            </w:r>
          </w:p>
        </w:tc>
      </w:tr>
      <w:tr w:rsidR="0000167A" w:rsidRPr="005F0419" w14:paraId="561033DB" w14:textId="77777777" w:rsidTr="007E234D">
        <w:tc>
          <w:tcPr>
            <w:tcW w:w="2032" w:type="dxa"/>
          </w:tcPr>
          <w:p w14:paraId="77374C0E"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Північна Африка</w:t>
            </w:r>
          </w:p>
        </w:tc>
        <w:tc>
          <w:tcPr>
            <w:tcW w:w="827" w:type="dxa"/>
          </w:tcPr>
          <w:p w14:paraId="1F6DA09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25,6 </w:t>
            </w:r>
          </w:p>
        </w:tc>
        <w:tc>
          <w:tcPr>
            <w:tcW w:w="827" w:type="dxa"/>
          </w:tcPr>
          <w:p w14:paraId="4BB74D5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5,6 </w:t>
            </w:r>
          </w:p>
        </w:tc>
        <w:tc>
          <w:tcPr>
            <w:tcW w:w="827" w:type="dxa"/>
          </w:tcPr>
          <w:p w14:paraId="521E3C0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6,6 </w:t>
            </w:r>
          </w:p>
        </w:tc>
        <w:tc>
          <w:tcPr>
            <w:tcW w:w="827" w:type="dxa"/>
          </w:tcPr>
          <w:p w14:paraId="6CF187F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19,0</w:t>
            </w:r>
          </w:p>
        </w:tc>
        <w:tc>
          <w:tcPr>
            <w:tcW w:w="1466" w:type="dxa"/>
          </w:tcPr>
          <w:p w14:paraId="08FA347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-78,2 </w:t>
            </w:r>
          </w:p>
        </w:tc>
        <w:tc>
          <w:tcPr>
            <w:tcW w:w="1414" w:type="dxa"/>
          </w:tcPr>
          <w:p w14:paraId="01BBD7B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-74,4 </w:t>
            </w:r>
          </w:p>
        </w:tc>
        <w:tc>
          <w:tcPr>
            <w:tcW w:w="1414" w:type="dxa"/>
          </w:tcPr>
          <w:p w14:paraId="1E4EF4C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-25,9</w:t>
            </w:r>
          </w:p>
        </w:tc>
      </w:tr>
      <w:tr w:rsidR="0000167A" w:rsidRPr="005F0419" w14:paraId="6107D580" w14:textId="77777777" w:rsidTr="007E234D">
        <w:tc>
          <w:tcPr>
            <w:tcW w:w="2032" w:type="dxa"/>
          </w:tcPr>
          <w:p w14:paraId="46A23BB0"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Субсахарська</w:t>
            </w:r>
            <w:proofErr w:type="spellEnd"/>
            <w:r w:rsidRPr="005F0419">
              <w:rPr>
                <w:rFonts w:ascii="Times New Roman" w:eastAsia="Times New Roman" w:hAnsi="Times New Roman" w:cs="Times New Roman"/>
                <w:sz w:val="28"/>
                <w:szCs w:val="28"/>
                <w:lang w:val="uk-UA"/>
              </w:rPr>
              <w:t xml:space="preserve"> Африка </w:t>
            </w:r>
          </w:p>
        </w:tc>
        <w:tc>
          <w:tcPr>
            <w:tcW w:w="827" w:type="dxa"/>
          </w:tcPr>
          <w:p w14:paraId="58D8B4B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43,4 </w:t>
            </w:r>
          </w:p>
        </w:tc>
        <w:tc>
          <w:tcPr>
            <w:tcW w:w="827" w:type="dxa"/>
          </w:tcPr>
          <w:p w14:paraId="0C98B76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13,1 </w:t>
            </w:r>
          </w:p>
        </w:tc>
        <w:tc>
          <w:tcPr>
            <w:tcW w:w="827" w:type="dxa"/>
          </w:tcPr>
          <w:p w14:paraId="59C0C0B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13,1 </w:t>
            </w:r>
          </w:p>
        </w:tc>
        <w:tc>
          <w:tcPr>
            <w:tcW w:w="827" w:type="dxa"/>
          </w:tcPr>
          <w:p w14:paraId="52AECFB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27,5</w:t>
            </w:r>
          </w:p>
        </w:tc>
        <w:tc>
          <w:tcPr>
            <w:tcW w:w="1466" w:type="dxa"/>
          </w:tcPr>
          <w:p w14:paraId="1763EDD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-69,8 </w:t>
            </w:r>
          </w:p>
        </w:tc>
        <w:tc>
          <w:tcPr>
            <w:tcW w:w="1414" w:type="dxa"/>
          </w:tcPr>
          <w:p w14:paraId="6FA7E75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-69,9 </w:t>
            </w:r>
          </w:p>
        </w:tc>
        <w:tc>
          <w:tcPr>
            <w:tcW w:w="1414" w:type="dxa"/>
          </w:tcPr>
          <w:p w14:paraId="17638C3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-36,6</w:t>
            </w:r>
          </w:p>
        </w:tc>
      </w:tr>
      <w:tr w:rsidR="0000167A" w:rsidRPr="005F0419" w14:paraId="2EDFDA27" w14:textId="77777777" w:rsidTr="007E234D">
        <w:tc>
          <w:tcPr>
            <w:tcW w:w="2032" w:type="dxa"/>
          </w:tcPr>
          <w:p w14:paraId="04968B6F"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Африка загалом</w:t>
            </w:r>
          </w:p>
        </w:tc>
        <w:tc>
          <w:tcPr>
            <w:tcW w:w="827" w:type="dxa"/>
          </w:tcPr>
          <w:p w14:paraId="1E6FE57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69,1 </w:t>
            </w:r>
          </w:p>
        </w:tc>
        <w:tc>
          <w:tcPr>
            <w:tcW w:w="827" w:type="dxa"/>
          </w:tcPr>
          <w:p w14:paraId="45C1B16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18,7 </w:t>
            </w:r>
          </w:p>
        </w:tc>
        <w:tc>
          <w:tcPr>
            <w:tcW w:w="827" w:type="dxa"/>
          </w:tcPr>
          <w:p w14:paraId="32C0CE8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19,6 </w:t>
            </w:r>
          </w:p>
        </w:tc>
        <w:tc>
          <w:tcPr>
            <w:tcW w:w="827" w:type="dxa"/>
          </w:tcPr>
          <w:p w14:paraId="29C1189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46,5</w:t>
            </w:r>
          </w:p>
        </w:tc>
        <w:tc>
          <w:tcPr>
            <w:tcW w:w="1466" w:type="dxa"/>
          </w:tcPr>
          <w:p w14:paraId="6FDA48F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-72,9 </w:t>
            </w:r>
          </w:p>
        </w:tc>
        <w:tc>
          <w:tcPr>
            <w:tcW w:w="1414" w:type="dxa"/>
          </w:tcPr>
          <w:p w14:paraId="242E880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-71,5 </w:t>
            </w:r>
          </w:p>
        </w:tc>
        <w:tc>
          <w:tcPr>
            <w:tcW w:w="1414" w:type="dxa"/>
          </w:tcPr>
          <w:p w14:paraId="2825028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-32,6</w:t>
            </w:r>
          </w:p>
        </w:tc>
      </w:tr>
    </w:tbl>
    <w:p w14:paraId="5CC0D877"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6D3D4650"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 регіоні Близького Сходу істотно з-поміж інших виділилися ОАЕ. Тут у 2022 році кількість туристів (22,7 млн. ос.) перевищила показники 2019 року (21,6 млн. ос.). І хоча в 2020/2021 рр. їхня кількість була меншою максимально на 66,8%, все ж дохідна частина в цей час впала лише на третину, а в 2021 році лише десяту від того ж таки 2019 року.</w:t>
      </w:r>
    </w:p>
    <w:p w14:paraId="2E5250C8" w14:textId="77777777" w:rsidR="0000167A" w:rsidRPr="005F0419" w:rsidRDefault="0000167A" w:rsidP="00662012">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Таблиця 8</w:t>
      </w:r>
    </w:p>
    <w:p w14:paraId="26F1DFCD" w14:textId="4930D589" w:rsidR="0000167A" w:rsidRPr="005F0419" w:rsidRDefault="0000167A" w:rsidP="007E234D">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Міжнародні надходження від туризму в Африці у 2019-2022 рр., млн. ос</w:t>
      </w:r>
      <w:r w:rsidR="007E234D" w:rsidRPr="005F0419">
        <w:rPr>
          <w:rFonts w:ascii="Times New Roman" w:eastAsia="Times New Roman" w:hAnsi="Times New Roman" w:cs="Times New Roman"/>
          <w:sz w:val="28"/>
          <w:szCs w:val="28"/>
          <w:lang w:val="uk-UA"/>
        </w:rPr>
        <w:t>іб</w:t>
      </w:r>
      <w:r w:rsidRPr="005F0419">
        <w:rPr>
          <w:rFonts w:ascii="Times New Roman" w:eastAsia="Times New Roman" w:hAnsi="Times New Roman" w:cs="Times New Roman"/>
          <w:sz w:val="28"/>
          <w:szCs w:val="28"/>
          <w:lang w:val="uk-UA"/>
        </w:rPr>
        <w:t xml:space="preserve"> [25]</w:t>
      </w:r>
    </w:p>
    <w:tbl>
      <w:tblPr>
        <w:tblStyle w:val="ab"/>
        <w:tblW w:w="9634" w:type="dxa"/>
        <w:tblLook w:val="04A0" w:firstRow="1" w:lastRow="0" w:firstColumn="1" w:lastColumn="0" w:noHBand="0" w:noVBand="1"/>
      </w:tblPr>
      <w:tblGrid>
        <w:gridCol w:w="2001"/>
        <w:gridCol w:w="820"/>
        <w:gridCol w:w="820"/>
        <w:gridCol w:w="820"/>
        <w:gridCol w:w="820"/>
        <w:gridCol w:w="1525"/>
        <w:gridCol w:w="1414"/>
        <w:gridCol w:w="1414"/>
      </w:tblGrid>
      <w:tr w:rsidR="0000167A" w:rsidRPr="005F0419" w14:paraId="355C0D93" w14:textId="77777777" w:rsidTr="007E234D">
        <w:tc>
          <w:tcPr>
            <w:tcW w:w="2001" w:type="dxa"/>
            <w:vMerge w:val="restart"/>
          </w:tcPr>
          <w:p w14:paraId="73D14186"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Регіони</w:t>
            </w:r>
          </w:p>
        </w:tc>
        <w:tc>
          <w:tcPr>
            <w:tcW w:w="820" w:type="dxa"/>
            <w:vMerge w:val="restart"/>
          </w:tcPr>
          <w:p w14:paraId="3DCB98C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2019</w:t>
            </w:r>
          </w:p>
        </w:tc>
        <w:tc>
          <w:tcPr>
            <w:tcW w:w="820" w:type="dxa"/>
            <w:vMerge w:val="restart"/>
          </w:tcPr>
          <w:p w14:paraId="46B1081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w:t>
            </w:r>
          </w:p>
        </w:tc>
        <w:tc>
          <w:tcPr>
            <w:tcW w:w="820" w:type="dxa"/>
            <w:vMerge w:val="restart"/>
          </w:tcPr>
          <w:p w14:paraId="10907FF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w:t>
            </w:r>
          </w:p>
        </w:tc>
        <w:tc>
          <w:tcPr>
            <w:tcW w:w="820" w:type="dxa"/>
            <w:vMerge w:val="restart"/>
          </w:tcPr>
          <w:p w14:paraId="1289511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w:t>
            </w:r>
          </w:p>
        </w:tc>
        <w:tc>
          <w:tcPr>
            <w:tcW w:w="4353" w:type="dxa"/>
            <w:gridSpan w:val="3"/>
          </w:tcPr>
          <w:p w14:paraId="38F8A19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Відносне відхилення, %</w:t>
            </w:r>
          </w:p>
        </w:tc>
      </w:tr>
      <w:tr w:rsidR="0000167A" w:rsidRPr="005F0419" w14:paraId="2D20DC90" w14:textId="77777777" w:rsidTr="007E234D">
        <w:tc>
          <w:tcPr>
            <w:tcW w:w="2001" w:type="dxa"/>
            <w:vMerge/>
          </w:tcPr>
          <w:p w14:paraId="27819393"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
        </w:tc>
        <w:tc>
          <w:tcPr>
            <w:tcW w:w="820" w:type="dxa"/>
            <w:vMerge/>
          </w:tcPr>
          <w:p w14:paraId="310739B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820" w:type="dxa"/>
            <w:vMerge/>
          </w:tcPr>
          <w:p w14:paraId="7D3D9D4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820" w:type="dxa"/>
            <w:vMerge/>
          </w:tcPr>
          <w:p w14:paraId="3FC7CCC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820" w:type="dxa"/>
            <w:vMerge/>
          </w:tcPr>
          <w:p w14:paraId="6F074D8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p>
        </w:tc>
        <w:tc>
          <w:tcPr>
            <w:tcW w:w="1525" w:type="dxa"/>
          </w:tcPr>
          <w:p w14:paraId="0636E59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2020/2019</w:t>
            </w:r>
          </w:p>
        </w:tc>
        <w:tc>
          <w:tcPr>
            <w:tcW w:w="1414" w:type="dxa"/>
          </w:tcPr>
          <w:p w14:paraId="0313149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2021/2019</w:t>
            </w:r>
          </w:p>
        </w:tc>
        <w:tc>
          <w:tcPr>
            <w:tcW w:w="1414" w:type="dxa"/>
          </w:tcPr>
          <w:p w14:paraId="0E09E84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2022/2019</w:t>
            </w:r>
          </w:p>
        </w:tc>
      </w:tr>
      <w:tr w:rsidR="0000167A" w:rsidRPr="005F0419" w14:paraId="0A11E210" w14:textId="77777777" w:rsidTr="007E234D">
        <w:tc>
          <w:tcPr>
            <w:tcW w:w="2001" w:type="dxa"/>
          </w:tcPr>
          <w:p w14:paraId="60BA58F3"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Північна Африка</w:t>
            </w:r>
          </w:p>
        </w:tc>
        <w:tc>
          <w:tcPr>
            <w:tcW w:w="820" w:type="dxa"/>
          </w:tcPr>
          <w:p w14:paraId="67F35DE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11,2 </w:t>
            </w:r>
          </w:p>
        </w:tc>
        <w:tc>
          <w:tcPr>
            <w:tcW w:w="820" w:type="dxa"/>
          </w:tcPr>
          <w:p w14:paraId="7E66823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5,4 </w:t>
            </w:r>
          </w:p>
        </w:tc>
        <w:tc>
          <w:tcPr>
            <w:tcW w:w="820" w:type="dxa"/>
          </w:tcPr>
          <w:p w14:paraId="3D9F731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6,0 </w:t>
            </w:r>
          </w:p>
        </w:tc>
        <w:tc>
          <w:tcPr>
            <w:tcW w:w="820" w:type="dxa"/>
          </w:tcPr>
          <w:p w14:paraId="291023A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11,7</w:t>
            </w:r>
          </w:p>
        </w:tc>
        <w:tc>
          <w:tcPr>
            <w:tcW w:w="1525" w:type="dxa"/>
          </w:tcPr>
          <w:p w14:paraId="6B33E09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-53,0 </w:t>
            </w:r>
          </w:p>
        </w:tc>
        <w:tc>
          <w:tcPr>
            <w:tcW w:w="1414" w:type="dxa"/>
          </w:tcPr>
          <w:p w14:paraId="403C839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-49,8 </w:t>
            </w:r>
          </w:p>
        </w:tc>
        <w:tc>
          <w:tcPr>
            <w:tcW w:w="1414" w:type="dxa"/>
          </w:tcPr>
          <w:p w14:paraId="6C90CCE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-3,4</w:t>
            </w:r>
          </w:p>
        </w:tc>
      </w:tr>
      <w:tr w:rsidR="0000167A" w:rsidRPr="005F0419" w14:paraId="7A18D3F2" w14:textId="77777777" w:rsidTr="007E234D">
        <w:tc>
          <w:tcPr>
            <w:tcW w:w="2001" w:type="dxa"/>
          </w:tcPr>
          <w:p w14:paraId="6B1A2400"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Субсахарська</w:t>
            </w:r>
            <w:proofErr w:type="spellEnd"/>
            <w:r w:rsidRPr="005F0419">
              <w:rPr>
                <w:rFonts w:ascii="Times New Roman" w:eastAsia="Times New Roman" w:hAnsi="Times New Roman" w:cs="Times New Roman"/>
                <w:sz w:val="28"/>
                <w:szCs w:val="28"/>
                <w:lang w:val="uk-UA"/>
              </w:rPr>
              <w:t xml:space="preserve"> Африка </w:t>
            </w:r>
          </w:p>
        </w:tc>
        <w:tc>
          <w:tcPr>
            <w:tcW w:w="820" w:type="dxa"/>
          </w:tcPr>
          <w:p w14:paraId="64E409E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27,7 </w:t>
            </w:r>
          </w:p>
        </w:tc>
        <w:tc>
          <w:tcPr>
            <w:tcW w:w="820" w:type="dxa"/>
          </w:tcPr>
          <w:p w14:paraId="1B5E126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9,5 </w:t>
            </w:r>
          </w:p>
        </w:tc>
        <w:tc>
          <w:tcPr>
            <w:tcW w:w="820" w:type="dxa"/>
          </w:tcPr>
          <w:p w14:paraId="02F5E26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11,6 </w:t>
            </w:r>
          </w:p>
        </w:tc>
        <w:tc>
          <w:tcPr>
            <w:tcW w:w="820" w:type="dxa"/>
          </w:tcPr>
          <w:p w14:paraId="2DFC289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19,9</w:t>
            </w:r>
          </w:p>
        </w:tc>
        <w:tc>
          <w:tcPr>
            <w:tcW w:w="1525" w:type="dxa"/>
          </w:tcPr>
          <w:p w14:paraId="3DAF180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-72,7 </w:t>
            </w:r>
          </w:p>
        </w:tc>
        <w:tc>
          <w:tcPr>
            <w:tcW w:w="1414" w:type="dxa"/>
          </w:tcPr>
          <w:p w14:paraId="0138D0B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-62,6 </w:t>
            </w:r>
          </w:p>
        </w:tc>
        <w:tc>
          <w:tcPr>
            <w:tcW w:w="1414" w:type="dxa"/>
          </w:tcPr>
          <w:p w14:paraId="7BAB6A4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-45,3</w:t>
            </w:r>
          </w:p>
        </w:tc>
      </w:tr>
      <w:tr w:rsidR="0000167A" w:rsidRPr="005F0419" w14:paraId="34F49767" w14:textId="77777777" w:rsidTr="007E234D">
        <w:tc>
          <w:tcPr>
            <w:tcW w:w="2001" w:type="dxa"/>
          </w:tcPr>
          <w:p w14:paraId="2587F276"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Африка загалом</w:t>
            </w:r>
          </w:p>
        </w:tc>
        <w:tc>
          <w:tcPr>
            <w:tcW w:w="820" w:type="dxa"/>
          </w:tcPr>
          <w:p w14:paraId="6B6D62F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69,1 </w:t>
            </w:r>
          </w:p>
        </w:tc>
        <w:tc>
          <w:tcPr>
            <w:tcW w:w="820" w:type="dxa"/>
          </w:tcPr>
          <w:p w14:paraId="5E7AB69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18,7 </w:t>
            </w:r>
          </w:p>
        </w:tc>
        <w:tc>
          <w:tcPr>
            <w:tcW w:w="820" w:type="dxa"/>
          </w:tcPr>
          <w:p w14:paraId="24BB60F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19,6 </w:t>
            </w:r>
          </w:p>
        </w:tc>
        <w:tc>
          <w:tcPr>
            <w:tcW w:w="820" w:type="dxa"/>
          </w:tcPr>
          <w:p w14:paraId="4383168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46,5</w:t>
            </w:r>
          </w:p>
        </w:tc>
        <w:tc>
          <w:tcPr>
            <w:tcW w:w="1525" w:type="dxa"/>
          </w:tcPr>
          <w:p w14:paraId="17051BF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-72,9 </w:t>
            </w:r>
          </w:p>
        </w:tc>
        <w:tc>
          <w:tcPr>
            <w:tcW w:w="1414" w:type="dxa"/>
          </w:tcPr>
          <w:p w14:paraId="3A0F303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-71,5 </w:t>
            </w:r>
          </w:p>
        </w:tc>
        <w:tc>
          <w:tcPr>
            <w:tcW w:w="1414" w:type="dxa"/>
          </w:tcPr>
          <w:p w14:paraId="73B9AB7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-32,6</w:t>
            </w:r>
          </w:p>
        </w:tc>
      </w:tr>
    </w:tbl>
    <w:p w14:paraId="26611EDD"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76E9D2F5"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 xml:space="preserve">Пандемія COVID-19 також негативно позначилася на зовнішніх міграційних туристичних потоках, особливо Азії, Австралії та Океанії. Ще до початку COVID-19, упродовж щонайменше останніх 5 років, Європа за виїздом туристів із країни до країни займала лідерство, хоча воно не було переконливим, бо щороку частка таких туристів була меншою за половину від усіх у світі та коливалася в межах 48%. </w:t>
      </w:r>
      <w:proofErr w:type="spellStart"/>
      <w:r w:rsidRPr="005F0419">
        <w:rPr>
          <w:rFonts w:ascii="Times New Roman" w:eastAsia="Times New Roman" w:hAnsi="Times New Roman" w:cs="Times New Roman"/>
          <w:sz w:val="28"/>
          <w:szCs w:val="28"/>
          <w:lang w:val="uk-UA"/>
        </w:rPr>
        <w:t>Азійсько</w:t>
      </w:r>
      <w:proofErr w:type="spellEnd"/>
      <w:r w:rsidRPr="005F0419">
        <w:rPr>
          <w:rFonts w:ascii="Times New Roman" w:eastAsia="Times New Roman" w:hAnsi="Times New Roman" w:cs="Times New Roman"/>
          <w:sz w:val="28"/>
          <w:szCs w:val="28"/>
          <w:lang w:val="uk-UA"/>
        </w:rPr>
        <w:t xml:space="preserve">-Тихоокеанський регіон стабільно був другим і контролював біля чверті всіх туристів, які хоча б раз покидали з туристичною метою межі своєї країни. Третіми були туристи Америки, на яких припадала 1/6 всіх їх. На решта світу, Африку, Близький Схід і невизначені регіони міграції припадало трохи менше 10%. Зокрема в Європі лише за 2019 рік 705 млн. туристів відвідали інші країни, в Азії, Австралії та Океанії – 383 млн. туристів, Америку – 245 млн. туристів. </w:t>
      </w:r>
    </w:p>
    <w:p w14:paraId="034EF692" w14:textId="08D9996E"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Утім, ситуація з діловою зовнішньою активністю туристів погіршилася та зазнала структурних змін із початком пандемії в 2020 році. У всіх без винятку регіонах вона впала щонайменше на 2/3 в Європі, на ¾ в Америці, а в Азії – на 84,7%. Від цього кількість туристів тут, які так чи інакше могли покинути країну з туристичною метою, склала 236, 59 і 73 млн. ос</w:t>
      </w:r>
      <w:r w:rsidR="007E234D" w:rsidRPr="005F0419">
        <w:rPr>
          <w:rFonts w:ascii="Times New Roman" w:eastAsia="Times New Roman" w:hAnsi="Times New Roman" w:cs="Times New Roman"/>
          <w:sz w:val="28"/>
          <w:szCs w:val="28"/>
          <w:lang w:val="uk-UA"/>
        </w:rPr>
        <w:t>іб</w:t>
      </w:r>
      <w:r w:rsidRPr="005F0419">
        <w:rPr>
          <w:rFonts w:ascii="Times New Roman" w:eastAsia="Times New Roman" w:hAnsi="Times New Roman" w:cs="Times New Roman"/>
          <w:sz w:val="28"/>
          <w:szCs w:val="28"/>
          <w:lang w:val="uk-UA"/>
        </w:rPr>
        <w:t xml:space="preserve"> відповідно, що за відносною часткою дорівнювало 58,1%, 14,4%, 17,9%. Ще більше поглибилася ця криза в Азії в 2021 році, за рахунок якої країни Європи та Америки збільшили свої як частки в світі, так і спрацювали на приріст туристів всередині своїх регіонів: +36 млн. ос. у першому та +20 млн. ос. у другому. У країнах Азії ділова туристична активність продовжувала стагнацію. Кількість туристів знизилася ще на 20 млн.</w:t>
      </w:r>
      <w:r w:rsidR="007E234D"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ос</w:t>
      </w:r>
      <w:r w:rsidR="007E234D" w:rsidRPr="005F0419">
        <w:rPr>
          <w:rFonts w:ascii="Times New Roman" w:eastAsia="Times New Roman" w:hAnsi="Times New Roman" w:cs="Times New Roman"/>
          <w:sz w:val="28"/>
          <w:szCs w:val="28"/>
          <w:lang w:val="uk-UA"/>
        </w:rPr>
        <w:t>іб</w:t>
      </w:r>
      <w:r w:rsidRPr="005F0419">
        <w:rPr>
          <w:rFonts w:ascii="Times New Roman" w:eastAsia="Times New Roman" w:hAnsi="Times New Roman" w:cs="Times New Roman"/>
          <w:sz w:val="28"/>
          <w:szCs w:val="28"/>
          <w:lang w:val="uk-UA"/>
        </w:rPr>
        <w:t xml:space="preserve">, а світова частка впала нижче 10%, що було менше на 90,1%, ніж у 2019 році.           </w:t>
      </w:r>
    </w:p>
    <w:p w14:paraId="0755F25E"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Разом із тим, пандемія, майже, зовсім не вплинула всередині регіонів на структуру міграції тих туристів, які все ж могли перетинати кордони своїх країн. Так, якщо в 2019 році 75,7% туристів подорожували в межах того ж регіону, звідки виїхали, то з початком 2020 року їхня кількість зросла ще більше до 80,1%, а в 2022 році знизилася до 77,8%. Це підтверджує багаторічну тенденцію, що переважна більшість всіх туристів світу мандрує у прикордонні або не дуже географічно віддалені від свого дому країни. При цьому пандемія чи інші </w:t>
      </w:r>
      <w:r w:rsidRPr="005F0419">
        <w:rPr>
          <w:rFonts w:ascii="Times New Roman" w:eastAsia="Times New Roman" w:hAnsi="Times New Roman" w:cs="Times New Roman"/>
          <w:sz w:val="28"/>
          <w:szCs w:val="28"/>
          <w:lang w:val="uk-UA"/>
        </w:rPr>
        <w:lastRenderedPageBreak/>
        <w:t>обмежуючі чинники цю тенденцію тільки посилюють, коли вводяться додаткові законодавчі міграційні обмеження.</w:t>
      </w:r>
    </w:p>
    <w:p w14:paraId="073FC3E4"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Не дивно, що всі вище зазначені тенденції та умови призвели до значних змін у заповнюваності готелів та подібних засобів розміщення, а також у спектрі послуг, які вони пропонують. У перші три місяці глобальної блокади та карантину 2020 року багато готелів, </w:t>
      </w:r>
      <w:proofErr w:type="spellStart"/>
      <w:r w:rsidRPr="005F0419">
        <w:rPr>
          <w:rFonts w:ascii="Times New Roman" w:eastAsia="Times New Roman" w:hAnsi="Times New Roman" w:cs="Times New Roman"/>
          <w:sz w:val="28"/>
          <w:szCs w:val="28"/>
          <w:lang w:val="uk-UA"/>
        </w:rPr>
        <w:t>хостелів</w:t>
      </w:r>
      <w:proofErr w:type="spellEnd"/>
      <w:r w:rsidRPr="005F0419">
        <w:rPr>
          <w:rFonts w:ascii="Times New Roman" w:eastAsia="Times New Roman" w:hAnsi="Times New Roman" w:cs="Times New Roman"/>
          <w:sz w:val="28"/>
          <w:szCs w:val="28"/>
          <w:lang w:val="uk-UA"/>
        </w:rPr>
        <w:t xml:space="preserve"> та інших засобів розміщення і навіть круїзних лайнерів (так звані «готелі на воді») взагалі припинили приймати гостей, але туристи та інші мешканці залишалися на ночівлю в решту місяців. Оскільки методологія оцінки прямого та непрямого економічного впливу туризму на місцеву економіку, її посередників та торговельних партнерів базується на туристичному споживанні, рівень розвитку готелів та аналіз їхнього стану напряму </w:t>
      </w:r>
      <w:proofErr w:type="spellStart"/>
      <w:r w:rsidRPr="005F0419">
        <w:rPr>
          <w:rFonts w:ascii="Times New Roman" w:eastAsia="Times New Roman" w:hAnsi="Times New Roman" w:cs="Times New Roman"/>
          <w:sz w:val="28"/>
          <w:szCs w:val="28"/>
          <w:lang w:val="uk-UA"/>
        </w:rPr>
        <w:t>залежатиме</w:t>
      </w:r>
      <w:proofErr w:type="spellEnd"/>
      <w:r w:rsidRPr="005F0419">
        <w:rPr>
          <w:rFonts w:ascii="Times New Roman" w:eastAsia="Times New Roman" w:hAnsi="Times New Roman" w:cs="Times New Roman"/>
          <w:sz w:val="28"/>
          <w:szCs w:val="28"/>
          <w:lang w:val="uk-UA"/>
        </w:rPr>
        <w:t xml:space="preserve"> від рекреації та туристичного споживання. Всесвітня туристична організація рекомендує при розрахунку «туристичної ваги» в готелях та інших місцях короткотермінового проживання брати відсоток у 90%. Іншими словами, туристи становлять 90% всіх людей, які зупиняються в готелях та подібних закладах, і 90% доходів, отриманих від них [26].</w:t>
      </w:r>
    </w:p>
    <w:p w14:paraId="344AADBA"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Виходячи з вищенаведених міркувань та значного впливу туризму, міграційних потоків та позиції готельної інфраструктури на формування та реалізацію туристичного продукту, в період карантинних обмежень 2020-2022 рр. спостерігалися якісні та кількісні зміни статистичних показників, які безпосередньо пов'язані між собою, адже з часу останньої світової кризи 2009 року кількість туристів та доходи від їхньої діяльності з кожним роком зростали. Туризм вважався одним із найшвидших і найбільших секторів економіки за темпами свого розвитку і зростання. Нині він формує більше 50% бюджету острівних країн, що розвиваються. </w:t>
      </w:r>
    </w:p>
    <w:p w14:paraId="2FF79416"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Базовий 2019 рік став десятим роком стабільного та позитивного розвитку міжнародного туризму, який продукував 3500 млрд. доларів США прямого світового ВВП, що склало 4% від усіх секторів економіки світу. Він за цей період показав реальні темпи зростання доходів на рівні +54% та темпи зростання світового ВВП на рівні +44%, а також збільшився за рахунок туристичних </w:t>
      </w:r>
      <w:r w:rsidRPr="005F0419">
        <w:rPr>
          <w:rFonts w:ascii="Times New Roman" w:eastAsia="Times New Roman" w:hAnsi="Times New Roman" w:cs="Times New Roman"/>
          <w:sz w:val="28"/>
          <w:szCs w:val="28"/>
          <w:lang w:val="uk-UA"/>
        </w:rPr>
        <w:lastRenderedPageBreak/>
        <w:t xml:space="preserve">переміщень. Це приблизно 5% щороку і 64% сукупно між 2009 і 2019 роками. В абсолютних цифрах це означає збільшення на 600 мільйонів туристів і 562 мільярди доларів США протягом безперервного росту з року в рік. Протягом цього надзвичайно успішного десятиліття туризм став третім за величиною експортним сектором у світі (1 742 млрд доларів США) після паливної (2 310 млрд доларів США) та хімічної (2 194 млрд доларів США) галузей. У 2019 році на туризм припадало 7% світового експорту за доходами (1 500 млрд доларів США) та туристичним трафіком (255 млрд доларів США), а також 28% у секторі послуг [27]. Після 2022 року частка туристичного експорту за рівнем доходів відновилася лише на рівні 4%, а загальні втрати впродовж пандемії у туризмі склали 2600 млрд. доларів США. </w:t>
      </w:r>
    </w:p>
    <w:p w14:paraId="47F8E8EF"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Дійсно, ці цифри чітко показують однакові величезні фінансові збитки через закриття в туристичному секторі готелів та аналогічних засобів розміщення та продажі висококласних туристичних продуктів, причому до 90% їхнього фінансового наповнення надходить від першого. Якщо говорити про цифри, то капіталізація світової готельної та курортної індустрії коливалася між 1,07 та 1,24 трильйонів доларів США в період з 2011 по 2018 рік і досягла 1,21 трильйонів доларів США в 2019 році. До 2020 року, року кризи, цей показник знизився до 1,09 трильйонів доларів США, тобто майже до рівня початку 2011 року з поправкою на інфляцію. Іншими словами, лише за один рік пандемії збитки готелів та курортів у всьому світі сягнули приблизно 120 мільярдів доларів США. У 2018 році, найкращому році, було втрачено додатково 30 мільярдів доларів США.</w:t>
      </w:r>
    </w:p>
    <w:p w14:paraId="330CE39B"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Ці та інші чинники формують зовнішні фактори конкурентного середовища туристичного та готельного бізнесу в світі, до яких в Україні фактично з 2014 року, а </w:t>
      </w:r>
      <w:proofErr w:type="spellStart"/>
      <w:r w:rsidRPr="005F0419">
        <w:rPr>
          <w:rFonts w:ascii="Times New Roman" w:eastAsia="Times New Roman" w:hAnsi="Times New Roman" w:cs="Times New Roman"/>
          <w:sz w:val="28"/>
          <w:szCs w:val="28"/>
          <w:lang w:val="uk-UA"/>
        </w:rPr>
        <w:t>повномасштабно</w:t>
      </w:r>
      <w:proofErr w:type="spellEnd"/>
      <w:r w:rsidRPr="005F0419">
        <w:rPr>
          <w:rFonts w:ascii="Times New Roman" w:eastAsia="Times New Roman" w:hAnsi="Times New Roman" w:cs="Times New Roman"/>
          <w:sz w:val="28"/>
          <w:szCs w:val="28"/>
          <w:lang w:val="uk-UA"/>
        </w:rPr>
        <w:t xml:space="preserve"> з 2022 року разом із проблемами, спричиненими пандемією COVID-19, додалися фактори впливу воєнного стану та ведення війни. До факторів зовнішнього конкурентного середовища туризму і готелів відносяться такі, які формуються за рахунок споживачів і їхньої поведінки, конкурентів, постачальників, законодавства та стану економіки. При </w:t>
      </w:r>
      <w:r w:rsidRPr="005F0419">
        <w:rPr>
          <w:rFonts w:ascii="Times New Roman" w:eastAsia="Times New Roman" w:hAnsi="Times New Roman" w:cs="Times New Roman"/>
          <w:sz w:val="28"/>
          <w:szCs w:val="28"/>
          <w:lang w:val="uk-UA"/>
        </w:rPr>
        <w:lastRenderedPageBreak/>
        <w:t>оцінці впливу багатьох його чинників на діяльність готельних підприємств науковцями було виділене поняття «маркетингове середовище», яке репрезентує сукупність активних суб’єктів і сил, що діють всередині та за межами підприємства, впливають на можливості керівництва службою маркетингу встановлювати і підтримувати з цільовими клієнтами відносини успішного співробітництва. Особливості зовнішнього середовища послуг туризму та гостинності зумовлені зовнішніми чинниками, які впливають на здатність підтримувати і розвивати якісний сервіс та утримувати позиції серед своєї цільової аудиторії.</w:t>
      </w:r>
    </w:p>
    <w:p w14:paraId="10846F6D"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Зовнішнє середовище сфери послуг в готельних послугах і туризму можна поділити на низку чинників, від яких безпосередньо залежить ефективний менеджмент туризмом і готельною інфраструктурою. Досліджуване підприємство в сфері послуг перебуває в системі глобальних і місцевих умовностей, які визначають існування даного виду бізнесу в економічно-маркетинговому середовищі. Таку систему критичної оцінки зовнішнього середовища з ведення бізнесу називають PEST-аналізом, де Р – політичні чинники, Е – економічні, S – суспільні, T – технологічні. Іншими словами, розвиток туристичного і готельного бізнесу рекреаційного регіону залежить безпосередньо від чинників, які визначають поведінку туриста як споживача і здатні вплинути на розвій усього українського туристичного комплексу загалом, так і його галузей зокрема.</w:t>
      </w:r>
    </w:p>
    <w:p w14:paraId="43B37254" w14:textId="55DC9BB8"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Ефективність національного менеджменту напряму залежить від зовнішньої та внутрішньої політики нашої країни, а також тих чинників, які визначатимуть місцеве самоврядування в умовах децентралізації бюджету країни. Політичні чинники зовнішнього середовища дуже істотно визначають «жвавість» туристичного бізнесу, який напряму залежить від наявності в країні конфліктів, </w:t>
      </w:r>
      <w:r w:rsidR="007E234D" w:rsidRPr="005F0419">
        <w:rPr>
          <w:rFonts w:ascii="Times New Roman" w:eastAsia="Times New Roman" w:hAnsi="Times New Roman" w:cs="Times New Roman"/>
          <w:sz w:val="28"/>
          <w:szCs w:val="28"/>
          <w:lang w:val="uk-UA"/>
        </w:rPr>
        <w:t>у</w:t>
      </w:r>
      <w:r w:rsidRPr="005F0419">
        <w:rPr>
          <w:rFonts w:ascii="Times New Roman" w:eastAsia="Times New Roman" w:hAnsi="Times New Roman" w:cs="Times New Roman"/>
          <w:sz w:val="28"/>
          <w:szCs w:val="28"/>
          <w:lang w:val="uk-UA"/>
        </w:rPr>
        <w:t xml:space="preserve"> т.</w:t>
      </w:r>
      <w:r w:rsidR="007E234D"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ч. військових. Дуже яскравим прикладом в Україні є нині воєнний стан, який по факту триває з 2014 року. При цьому загальноукраїнська тенденція має тісну кореляцію із зниженням кількості іноземних туристів у туристичному бізнесі. З більш давніх економічних чинників варто виділити </w:t>
      </w:r>
      <w:r w:rsidRPr="005F0419">
        <w:rPr>
          <w:rFonts w:ascii="Times New Roman" w:eastAsia="Times New Roman" w:hAnsi="Times New Roman" w:cs="Times New Roman"/>
          <w:sz w:val="28"/>
          <w:szCs w:val="28"/>
          <w:lang w:val="uk-UA"/>
        </w:rPr>
        <w:lastRenderedPageBreak/>
        <w:t>невідповідність цін і рівня обслуговування в Україні, які визначали всі роки можливість прийому туристів із більш економічно розвинутих країн Європи та світу. Також у цій ситуації до повномасштабного вторгнення в 2022 році особливої ваги мав чинник розвитку якісної транспортної інфраструктури, яка за всі роки незалежності України ніколи не виходила на належний рівень.</w:t>
      </w:r>
    </w:p>
    <w:p w14:paraId="5635D02A"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Сьогодні все частіше на ефективність роботи туристичної галузі загалом і готельного сервісу зокрема відіграють і, очевидно, відіграватимуть на найближчу перспективу суспільні та соціокультурні чинники. Вже нині Україна втратила 49% іноземних туристів, що, безумовно, відбивається на економічній ефективності функціонування кожного українського готелю зокрема. Все частіше також дається взнаки загальноукраїнська тенденція економити гроші на будь-які туристичні послуги внаслідок здешевлення національної валюти та повної невизначеності в умовах війни всієї країни. Це, у певній мірі, негативно відображається й на готельному секторі.</w:t>
      </w:r>
    </w:p>
    <w:p w14:paraId="697FB851"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Тут також необхідно згадати природні чинники, які також активно формують поведінку споживача в туризмі та послугах гостинності. До них, найперше, належать природні ресурси, які створюють необхідне підґрунтя для функціонування готельної інфраструктури. Сюди відносяться кліматичні зони, сезонність, географічне положення. Сукупність таких чинників визначає особливості надання послуг шляхом диференціації їх на високий, середній і низький сезон, що має достатньо виражену диференціацію своєї діяльності, яка проявляється через цінову політику в наданні послуг впродовж різних пір року, певних дат, культурних традицій регіону. Прямий вплив на роботу готельної інфраструктури має підвищення цін на природні ресурси, перш за все енергоносії, коли вся національна енергосистема залежить від її захищеності від обстрілів у опалювальний сезон. Даний фактор, в свою чергу, обумовлює зростання цін на готельні послуги.</w:t>
      </w:r>
    </w:p>
    <w:p w14:paraId="63CEEC31"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Державним агентством розвитку туризму (ДАРТ) України у кризовий період  пандемії COVID-19 в 2021 році були проведені соціологічні опитування з метою  дослідження структури витрат та характеристик подорожей внутрішніх </w:t>
      </w:r>
      <w:r w:rsidRPr="005F0419">
        <w:rPr>
          <w:rFonts w:ascii="Times New Roman" w:eastAsia="Times New Roman" w:hAnsi="Times New Roman" w:cs="Times New Roman"/>
          <w:sz w:val="28"/>
          <w:szCs w:val="28"/>
          <w:lang w:val="uk-UA"/>
        </w:rPr>
        <w:lastRenderedPageBreak/>
        <w:t xml:space="preserve">та виїзних туристів, пов’язаних із подорожами Україною та за кордоном [28]. Часткове вирішення проблем із обмеженням на міжнародні туристичні подорожі вже в 2021 році повернули всі особливості у поведінці споживачів сфери послуг до початку пандемії 2019 року, коли більшість вітчизняних туристів надавали перевагу зовнішньому туризму та подорожам за кордон. Це і наявність ПЛР-тестів, тривалістю дії від 48 до 72 год., і COVID-сертифікатів отриманих щеплень, і повне скасування вимоги наявності тестів чи сертифікатів на кордоні перетину низкою країн, наприклад, таких як Чорногорія. </w:t>
      </w:r>
    </w:p>
    <w:p w14:paraId="1447FBCE"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результаті позитивні надбання внутрішнього туризму в 2020 році та вирівнювання структури туристів на його користь були втрачені, коли попит на всю вітчизняну туристично-готельну, санаторну та іншу інфраструктуру сфери послуг в Україні в рази перевищував пропозицію. Саме це підтверджують відповіді майже 30 тис. опитаних респондентів з усіх регіонів України, за винятком окупованих її частин. Лише третина з них подорожує Україною, причому найчастіше раз на рік (18% туристів), тоді як решта надає перевагу закордонним поїздкам. Стать туриста не має значення при виборі внутрішнього туризму, проте вікова структура відрізняється між собою. Найактивнішими є туристи до 44 років, після чого інтенсивність таких мандрівок падає. Починаючи з цього віку 66% громадян України не подорожують своєю країною, а у пенсійному віці більше 80%. Відпустка, дозвілля та відпочинок є основними мотивами подорожей для 72% всіх внутрішніх туристів.  </w:t>
      </w:r>
    </w:p>
    <w:p w14:paraId="2893C5CF"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структурі за статусом поселень дещо більше подорожують Україною міські мешканці обласних центрів та міст-мільйонерів незалежно від мети чи мотивів мандрівок. У регіональній структурі домінують незначно туристи заходу, сходу та столиці. З-поміж них більше половини всіх туристів мандрували Україною в Київській (63%), Чернівецькій (60%) і Львівській (54%) областях. У східній частині це Полтавська (49%) та Дніпропетровська (47%) області.   </w:t>
      </w:r>
    </w:p>
    <w:p w14:paraId="481863FA"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Два найпопулярніші способи проведення часу під час подорожей Україною – прогулянки (39%), включаючи самостійне відвідування музеїв та архітектурних пам’яток, і відпочинок на пляжі (39%). Обидва способи були </w:t>
      </w:r>
      <w:r w:rsidRPr="005F0419">
        <w:rPr>
          <w:rFonts w:ascii="Times New Roman" w:eastAsia="Times New Roman" w:hAnsi="Times New Roman" w:cs="Times New Roman"/>
          <w:sz w:val="28"/>
          <w:szCs w:val="28"/>
          <w:lang w:val="uk-UA"/>
        </w:rPr>
        <w:lastRenderedPageBreak/>
        <w:t>згадані в рівній кількості і корелюють з відповідями громадян щодо їхнього улюбленого виду відпочинку. Відвідування платних чи спеціально організованих екскурсій згадала третина (32%) респондентів, що робить цей вид відпочинку другим за популярністю. Активний відпочинок і спорт (катання на лижах, сноуборді, спортивному велосипеді) – на третьому місці (23%). Це частково корелює з відповідями на попереднє запитання. Інші відповіді, пов’язані з тим, як респонденти проводять час під час подорожі країною – відвідування музеїв та рекреація – також мають тісну кореляцію між собою.</w:t>
      </w:r>
    </w:p>
    <w:p w14:paraId="6AC03620"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Цікавою є структура вибору респондентами джерел інформації про туристичні об’єкти України як інформаційних чинників, які впливають на поведінку споживачів послуг туризму, гостинності та інших до них споріднених галузей. Ми вже писали раніше про важливість соціальних мереж у просуванні туристичних локацій в Україні, де оцінювали та розкривали їхню роль як альтернативу удосконалення туристично-екскурсійної діяльності на прикладі м. Чернівці [29-30]. У проведеному дослідженні ДАРТ України 50% із варіантів відповіді – найбільше – припадає, власне, на соціальні мережі: </w:t>
      </w:r>
      <w:proofErr w:type="spellStart"/>
      <w:r w:rsidRPr="005F0419">
        <w:rPr>
          <w:rFonts w:ascii="Times New Roman" w:eastAsia="Times New Roman" w:hAnsi="Times New Roman" w:cs="Times New Roman"/>
          <w:sz w:val="28"/>
          <w:szCs w:val="28"/>
          <w:lang w:val="uk-UA"/>
        </w:rPr>
        <w:t>Facebook</w:t>
      </w:r>
      <w:proofErr w:type="spellEnd"/>
      <w:r w:rsidRPr="005F0419">
        <w:rPr>
          <w:rFonts w:ascii="Times New Roman" w:eastAsia="Times New Roman" w:hAnsi="Times New Roman" w:cs="Times New Roman"/>
          <w:sz w:val="28"/>
          <w:szCs w:val="28"/>
          <w:lang w:val="uk-UA"/>
        </w:rPr>
        <w:t xml:space="preserve"> (69%) та </w:t>
      </w:r>
      <w:proofErr w:type="spellStart"/>
      <w:r w:rsidRPr="005F0419">
        <w:rPr>
          <w:rFonts w:ascii="Times New Roman" w:eastAsia="Times New Roman" w:hAnsi="Times New Roman" w:cs="Times New Roman"/>
          <w:sz w:val="28"/>
          <w:szCs w:val="28"/>
          <w:lang w:val="uk-UA"/>
        </w:rPr>
        <w:t>Instagram</w:t>
      </w:r>
      <w:proofErr w:type="spellEnd"/>
      <w:r w:rsidRPr="005F0419">
        <w:rPr>
          <w:rFonts w:ascii="Times New Roman" w:eastAsia="Times New Roman" w:hAnsi="Times New Roman" w:cs="Times New Roman"/>
          <w:sz w:val="28"/>
          <w:szCs w:val="28"/>
          <w:lang w:val="uk-UA"/>
        </w:rPr>
        <w:t xml:space="preserve"> (59%). Інші соцмережі набирають у кілька разів меншу популярність. Респонденти могли обрати кілька варіантів відповіді, тому сума всіх відповідей може перевищувати 100%. При цьому за віком старші туристи від 25 років користуються більше першою мережею (від 72%), молодші, особливо до 24 років (90%), другою. Вони ж є активними користувачами Телеграм-каналів та </w:t>
      </w:r>
      <w:proofErr w:type="spellStart"/>
      <w:r w:rsidRPr="005F0419">
        <w:rPr>
          <w:rFonts w:ascii="Times New Roman" w:eastAsia="Times New Roman" w:hAnsi="Times New Roman" w:cs="Times New Roman"/>
          <w:sz w:val="28"/>
          <w:szCs w:val="28"/>
          <w:lang w:val="uk-UA"/>
        </w:rPr>
        <w:t>Тіk-Тоk</w:t>
      </w:r>
      <w:proofErr w:type="spellEnd"/>
      <w:r w:rsidRPr="005F0419">
        <w:rPr>
          <w:rFonts w:ascii="Times New Roman" w:eastAsia="Times New Roman" w:hAnsi="Times New Roman" w:cs="Times New Roman"/>
          <w:sz w:val="28"/>
          <w:szCs w:val="28"/>
          <w:lang w:val="uk-UA"/>
        </w:rPr>
        <w:t xml:space="preserve">. Цікаво, що частіше на </w:t>
      </w:r>
      <w:proofErr w:type="spellStart"/>
      <w:r w:rsidRPr="005F0419">
        <w:rPr>
          <w:rFonts w:ascii="Times New Roman" w:eastAsia="Times New Roman" w:hAnsi="Times New Roman" w:cs="Times New Roman"/>
          <w:sz w:val="28"/>
          <w:szCs w:val="28"/>
          <w:lang w:val="uk-UA"/>
        </w:rPr>
        <w:t>Facebook</w:t>
      </w:r>
      <w:proofErr w:type="spellEnd"/>
      <w:r w:rsidRPr="005F0419">
        <w:rPr>
          <w:rFonts w:ascii="Times New Roman" w:eastAsia="Times New Roman" w:hAnsi="Times New Roman" w:cs="Times New Roman"/>
          <w:sz w:val="28"/>
          <w:szCs w:val="28"/>
          <w:lang w:val="uk-UA"/>
        </w:rPr>
        <w:t xml:space="preserve"> вказували на заході України, тоді як </w:t>
      </w:r>
      <w:proofErr w:type="spellStart"/>
      <w:r w:rsidRPr="005F0419">
        <w:rPr>
          <w:rFonts w:ascii="Times New Roman" w:eastAsia="Times New Roman" w:hAnsi="Times New Roman" w:cs="Times New Roman"/>
          <w:sz w:val="28"/>
          <w:szCs w:val="28"/>
          <w:lang w:val="uk-UA"/>
        </w:rPr>
        <w:t>Instagram</w:t>
      </w:r>
      <w:proofErr w:type="spellEnd"/>
      <w:r w:rsidRPr="005F0419">
        <w:rPr>
          <w:rFonts w:ascii="Times New Roman" w:eastAsia="Times New Roman" w:hAnsi="Times New Roman" w:cs="Times New Roman"/>
          <w:sz w:val="28"/>
          <w:szCs w:val="28"/>
          <w:lang w:val="uk-UA"/>
        </w:rPr>
        <w:t xml:space="preserve"> вибирали більше в столиці та на сході. На другу та третю позиції припадає так-званий маркетинг із уст в уста (</w:t>
      </w:r>
      <w:proofErr w:type="spellStart"/>
      <w:r w:rsidRPr="005F0419">
        <w:rPr>
          <w:rFonts w:ascii="Times New Roman" w:eastAsia="Times New Roman" w:hAnsi="Times New Roman" w:cs="Times New Roman"/>
          <w:sz w:val="28"/>
          <w:szCs w:val="28"/>
          <w:lang w:val="uk-UA"/>
        </w:rPr>
        <w:t>англ</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Words</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of</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mouth</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marketing</w:t>
      </w:r>
      <w:proofErr w:type="spellEnd"/>
      <w:r w:rsidRPr="005F0419">
        <w:rPr>
          <w:rFonts w:ascii="Times New Roman" w:eastAsia="Times New Roman" w:hAnsi="Times New Roman" w:cs="Times New Roman"/>
          <w:sz w:val="28"/>
          <w:szCs w:val="28"/>
          <w:lang w:val="uk-UA"/>
        </w:rPr>
        <w:t xml:space="preserve">, WOM </w:t>
      </w:r>
      <w:proofErr w:type="spellStart"/>
      <w:r w:rsidRPr="005F0419">
        <w:rPr>
          <w:rFonts w:ascii="Times New Roman" w:eastAsia="Times New Roman" w:hAnsi="Times New Roman" w:cs="Times New Roman"/>
          <w:sz w:val="28"/>
          <w:szCs w:val="28"/>
          <w:lang w:val="uk-UA"/>
        </w:rPr>
        <w:t>marketing</w:t>
      </w:r>
      <w:proofErr w:type="spellEnd"/>
      <w:r w:rsidRPr="005F0419">
        <w:rPr>
          <w:rFonts w:ascii="Times New Roman" w:eastAsia="Times New Roman" w:hAnsi="Times New Roman" w:cs="Times New Roman"/>
          <w:sz w:val="28"/>
          <w:szCs w:val="28"/>
          <w:lang w:val="uk-UA"/>
        </w:rPr>
        <w:t xml:space="preserve">) та мережа Інтернет (особливо популярний відеохостинг </w:t>
      </w:r>
      <w:proofErr w:type="spellStart"/>
      <w:r w:rsidRPr="005F0419">
        <w:rPr>
          <w:rFonts w:ascii="Times New Roman" w:eastAsia="Times New Roman" w:hAnsi="Times New Roman" w:cs="Times New Roman"/>
          <w:sz w:val="28"/>
          <w:szCs w:val="28"/>
          <w:lang w:val="uk-UA"/>
        </w:rPr>
        <w:t>YouTube</w:t>
      </w:r>
      <w:proofErr w:type="spellEnd"/>
      <w:r w:rsidRPr="005F0419">
        <w:rPr>
          <w:rFonts w:ascii="Times New Roman" w:eastAsia="Times New Roman" w:hAnsi="Times New Roman" w:cs="Times New Roman"/>
          <w:sz w:val="28"/>
          <w:szCs w:val="28"/>
          <w:lang w:val="uk-UA"/>
        </w:rPr>
        <w:t xml:space="preserve">), які набрали 40% і 33% відповідей відповідно (табл. 9). </w:t>
      </w:r>
    </w:p>
    <w:p w14:paraId="6AE94E54"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Звертає на себе увагу домінування цифрових технологій у виборі ресурсів інформації про туристичні локації, за якої простежується все менша роль у виборі друкованих видань (3%), відвідування туристично-інформаційних центрів у місці перебування (5%) і навіть телебачення (12%). Цілком очевидним </w:t>
      </w:r>
      <w:r w:rsidRPr="005F0419">
        <w:rPr>
          <w:rFonts w:ascii="Times New Roman" w:eastAsia="Times New Roman" w:hAnsi="Times New Roman" w:cs="Times New Roman"/>
          <w:sz w:val="28"/>
          <w:szCs w:val="28"/>
          <w:lang w:val="uk-UA"/>
        </w:rPr>
        <w:lastRenderedPageBreak/>
        <w:t xml:space="preserve">з цього є те, що сьогодні не так важливо чи обов’язково в громадах мати туристично-інформаційні центри з усім штатом їхнього утримання, як нагальна інформативна та актуальна сторінка в соцмережах чи сайт із відповідним розділом про об’єкти, пам’ятки, події, фестивалі чи інші туристичні ресурси. При цьому </w:t>
      </w:r>
      <w:proofErr w:type="spellStart"/>
      <w:r w:rsidRPr="005F0419">
        <w:rPr>
          <w:rFonts w:ascii="Times New Roman" w:eastAsia="Times New Roman" w:hAnsi="Times New Roman" w:cs="Times New Roman"/>
          <w:sz w:val="28"/>
          <w:szCs w:val="28"/>
          <w:lang w:val="uk-UA"/>
        </w:rPr>
        <w:t>таргетування</w:t>
      </w:r>
      <w:proofErr w:type="spellEnd"/>
      <w:r w:rsidRPr="005F0419">
        <w:rPr>
          <w:rFonts w:ascii="Times New Roman" w:eastAsia="Times New Roman" w:hAnsi="Times New Roman" w:cs="Times New Roman"/>
          <w:sz w:val="28"/>
          <w:szCs w:val="28"/>
          <w:lang w:val="uk-UA"/>
        </w:rPr>
        <w:t xml:space="preserve"> цих сторінок у соцмережах має бути переважно інформативно налаштованим на вікову категорію до 44 років. На вибір соцмереж у цьому віці вказало більше половини туристів, а частка вибору саме такої відповіді зростала до молодших вікових категорій, де 65% - це молодь 14-25 років. Крім того, більш молоді респонденти частіше використовують </w:t>
      </w:r>
      <w:proofErr w:type="spellStart"/>
      <w:r w:rsidRPr="005F0419">
        <w:rPr>
          <w:rFonts w:ascii="Times New Roman" w:eastAsia="Times New Roman" w:hAnsi="Times New Roman" w:cs="Times New Roman"/>
          <w:sz w:val="28"/>
          <w:szCs w:val="28"/>
          <w:lang w:val="uk-UA"/>
        </w:rPr>
        <w:t>YouTube</w:t>
      </w:r>
      <w:proofErr w:type="spellEnd"/>
      <w:r w:rsidRPr="005F0419">
        <w:rPr>
          <w:rFonts w:ascii="Times New Roman" w:eastAsia="Times New Roman" w:hAnsi="Times New Roman" w:cs="Times New Roman"/>
          <w:sz w:val="28"/>
          <w:szCs w:val="28"/>
          <w:lang w:val="uk-UA"/>
        </w:rPr>
        <w:t xml:space="preserve"> та </w:t>
      </w:r>
      <w:proofErr w:type="spellStart"/>
      <w:r w:rsidRPr="005F0419">
        <w:rPr>
          <w:rFonts w:ascii="Times New Roman" w:eastAsia="Times New Roman" w:hAnsi="Times New Roman" w:cs="Times New Roman"/>
          <w:sz w:val="28"/>
          <w:szCs w:val="28"/>
          <w:lang w:val="uk-UA"/>
        </w:rPr>
        <w:t>тревел</w:t>
      </w:r>
      <w:proofErr w:type="spellEnd"/>
      <w:r w:rsidRPr="005F0419">
        <w:rPr>
          <w:rFonts w:ascii="Times New Roman" w:eastAsia="Times New Roman" w:hAnsi="Times New Roman" w:cs="Times New Roman"/>
          <w:sz w:val="28"/>
          <w:szCs w:val="28"/>
          <w:lang w:val="uk-UA"/>
        </w:rPr>
        <w:t>-блоги. Старші вікові категорії після 55 років більше довіряють порадам близьких та друзів або вибирають телебачення. Регіональні відмінності полягають у тому, що соціальні мережі як джерело інформації про туристичні атракції в Україні найчастіше використовують на Заході. Інтернет частіше використовують у Києві, ніж в інших регіонах.</w:t>
      </w:r>
    </w:p>
    <w:p w14:paraId="136ECB27" w14:textId="77777777" w:rsidR="0000167A" w:rsidRPr="005F0419" w:rsidRDefault="0000167A" w:rsidP="00662012">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Таблиця 9</w:t>
      </w:r>
    </w:p>
    <w:p w14:paraId="1C745A88"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Соціальні мережі як джерело інформації про туристичні об’єкти України</w:t>
      </w:r>
    </w:p>
    <w:p w14:paraId="36C1D232" w14:textId="77777777"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в залежності від віку респондентів, %* [28]</w:t>
      </w:r>
    </w:p>
    <w:tbl>
      <w:tblPr>
        <w:tblStyle w:val="ab"/>
        <w:tblW w:w="0" w:type="auto"/>
        <w:tblLook w:val="04A0" w:firstRow="1" w:lastRow="0" w:firstColumn="1" w:lastColumn="0" w:noHBand="0" w:noVBand="1"/>
      </w:tblPr>
      <w:tblGrid>
        <w:gridCol w:w="2405"/>
        <w:gridCol w:w="1559"/>
        <w:gridCol w:w="1418"/>
        <w:gridCol w:w="1417"/>
        <w:gridCol w:w="1560"/>
        <w:gridCol w:w="1269"/>
      </w:tblGrid>
      <w:tr w:rsidR="0000167A" w:rsidRPr="005F0419" w14:paraId="31ABA3ED" w14:textId="77777777" w:rsidTr="00A55004">
        <w:tc>
          <w:tcPr>
            <w:tcW w:w="2405" w:type="dxa"/>
            <w:vMerge w:val="restart"/>
          </w:tcPr>
          <w:p w14:paraId="3BF503CF" w14:textId="06869BD4"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оціальні</w:t>
            </w:r>
            <w:proofErr w:type="spellEnd"/>
            <w:r w:rsidRPr="005F0419">
              <w:rPr>
                <w:rFonts w:ascii="Times New Roman" w:eastAsia="Times New Roman" w:hAnsi="Times New Roman" w:cs="Times New Roman"/>
                <w:sz w:val="28"/>
                <w:szCs w:val="28"/>
                <w:lang w:val="uk-UA"/>
              </w:rPr>
              <w:t xml:space="preserve"> мережі</w:t>
            </w:r>
          </w:p>
        </w:tc>
        <w:tc>
          <w:tcPr>
            <w:tcW w:w="7223" w:type="dxa"/>
            <w:gridSpan w:val="5"/>
          </w:tcPr>
          <w:p w14:paraId="419FFCA2"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Вік</w:t>
            </w:r>
          </w:p>
        </w:tc>
      </w:tr>
      <w:tr w:rsidR="0000167A" w:rsidRPr="005F0419" w14:paraId="4DF23F20" w14:textId="77777777" w:rsidTr="00A55004">
        <w:tc>
          <w:tcPr>
            <w:tcW w:w="2405" w:type="dxa"/>
            <w:vMerge/>
          </w:tcPr>
          <w:p w14:paraId="20BC831B"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
        </w:tc>
        <w:tc>
          <w:tcPr>
            <w:tcW w:w="1559" w:type="dxa"/>
          </w:tcPr>
          <w:p w14:paraId="7AFE6BA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15-24 </w:t>
            </w:r>
          </w:p>
        </w:tc>
        <w:tc>
          <w:tcPr>
            <w:tcW w:w="1418" w:type="dxa"/>
          </w:tcPr>
          <w:p w14:paraId="0D743B5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25-34 </w:t>
            </w:r>
          </w:p>
        </w:tc>
        <w:tc>
          <w:tcPr>
            <w:tcW w:w="1417" w:type="dxa"/>
          </w:tcPr>
          <w:p w14:paraId="3F15141B"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35-44 </w:t>
            </w:r>
          </w:p>
        </w:tc>
        <w:tc>
          <w:tcPr>
            <w:tcW w:w="1560" w:type="dxa"/>
          </w:tcPr>
          <w:p w14:paraId="26B11CB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45-54 </w:t>
            </w:r>
          </w:p>
        </w:tc>
        <w:tc>
          <w:tcPr>
            <w:tcW w:w="1269" w:type="dxa"/>
          </w:tcPr>
          <w:p w14:paraId="73A64D5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55-70</w:t>
            </w:r>
          </w:p>
        </w:tc>
      </w:tr>
      <w:tr w:rsidR="0000167A" w:rsidRPr="005F0419" w14:paraId="04730C7D" w14:textId="77777777" w:rsidTr="00A55004">
        <w:tc>
          <w:tcPr>
            <w:tcW w:w="2405" w:type="dxa"/>
          </w:tcPr>
          <w:p w14:paraId="616C88C3"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Фейсбук</w:t>
            </w:r>
          </w:p>
        </w:tc>
        <w:tc>
          <w:tcPr>
            <w:tcW w:w="1559" w:type="dxa"/>
          </w:tcPr>
          <w:p w14:paraId="1BC78E6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32 </w:t>
            </w:r>
          </w:p>
        </w:tc>
        <w:tc>
          <w:tcPr>
            <w:tcW w:w="1418" w:type="dxa"/>
          </w:tcPr>
          <w:p w14:paraId="51AE34DF"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72 </w:t>
            </w:r>
          </w:p>
        </w:tc>
        <w:tc>
          <w:tcPr>
            <w:tcW w:w="1417" w:type="dxa"/>
          </w:tcPr>
          <w:p w14:paraId="232F1EB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82 </w:t>
            </w:r>
          </w:p>
        </w:tc>
        <w:tc>
          <w:tcPr>
            <w:tcW w:w="1560" w:type="dxa"/>
          </w:tcPr>
          <w:p w14:paraId="61BAF65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87 </w:t>
            </w:r>
          </w:p>
        </w:tc>
        <w:tc>
          <w:tcPr>
            <w:tcW w:w="1269" w:type="dxa"/>
          </w:tcPr>
          <w:p w14:paraId="5C88BAC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87</w:t>
            </w:r>
          </w:p>
        </w:tc>
      </w:tr>
      <w:tr w:rsidR="0000167A" w:rsidRPr="005F0419" w14:paraId="388F06DB" w14:textId="77777777" w:rsidTr="00A55004">
        <w:tc>
          <w:tcPr>
            <w:tcW w:w="2405" w:type="dxa"/>
          </w:tcPr>
          <w:p w14:paraId="4CB2CBDC"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Інстаграм</w:t>
            </w:r>
            <w:proofErr w:type="spellEnd"/>
          </w:p>
        </w:tc>
        <w:tc>
          <w:tcPr>
            <w:tcW w:w="1559" w:type="dxa"/>
          </w:tcPr>
          <w:p w14:paraId="0243967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90 </w:t>
            </w:r>
          </w:p>
        </w:tc>
        <w:tc>
          <w:tcPr>
            <w:tcW w:w="1418" w:type="dxa"/>
          </w:tcPr>
          <w:p w14:paraId="75EFD0AE"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68 </w:t>
            </w:r>
          </w:p>
        </w:tc>
        <w:tc>
          <w:tcPr>
            <w:tcW w:w="1417" w:type="dxa"/>
          </w:tcPr>
          <w:p w14:paraId="0C259CA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47 </w:t>
            </w:r>
          </w:p>
        </w:tc>
        <w:tc>
          <w:tcPr>
            <w:tcW w:w="1560" w:type="dxa"/>
          </w:tcPr>
          <w:p w14:paraId="19F84DD3"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33 </w:t>
            </w:r>
          </w:p>
        </w:tc>
        <w:tc>
          <w:tcPr>
            <w:tcW w:w="1269" w:type="dxa"/>
          </w:tcPr>
          <w:p w14:paraId="65CE5B3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24</w:t>
            </w:r>
          </w:p>
        </w:tc>
      </w:tr>
      <w:tr w:rsidR="0000167A" w:rsidRPr="005F0419" w14:paraId="17A9DACA" w14:textId="77777777" w:rsidTr="00A55004">
        <w:tc>
          <w:tcPr>
            <w:tcW w:w="2405" w:type="dxa"/>
          </w:tcPr>
          <w:p w14:paraId="6206D546"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Вайбер</w:t>
            </w:r>
            <w:proofErr w:type="spellEnd"/>
          </w:p>
        </w:tc>
        <w:tc>
          <w:tcPr>
            <w:tcW w:w="1559" w:type="dxa"/>
          </w:tcPr>
          <w:p w14:paraId="3B30D6D7"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 </w:t>
            </w:r>
          </w:p>
        </w:tc>
        <w:tc>
          <w:tcPr>
            <w:tcW w:w="1418" w:type="dxa"/>
          </w:tcPr>
          <w:p w14:paraId="5BAECBF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15 </w:t>
            </w:r>
          </w:p>
        </w:tc>
        <w:tc>
          <w:tcPr>
            <w:tcW w:w="1417" w:type="dxa"/>
          </w:tcPr>
          <w:p w14:paraId="5BD3EF7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37 </w:t>
            </w:r>
          </w:p>
        </w:tc>
        <w:tc>
          <w:tcPr>
            <w:tcW w:w="1560" w:type="dxa"/>
          </w:tcPr>
          <w:p w14:paraId="6C958FA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25 </w:t>
            </w:r>
          </w:p>
        </w:tc>
        <w:tc>
          <w:tcPr>
            <w:tcW w:w="1269" w:type="dxa"/>
          </w:tcPr>
          <w:p w14:paraId="40B5C09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27</w:t>
            </w:r>
          </w:p>
        </w:tc>
      </w:tr>
      <w:tr w:rsidR="0000167A" w:rsidRPr="005F0419" w14:paraId="5FA34E6F" w14:textId="77777777" w:rsidTr="00A55004">
        <w:tc>
          <w:tcPr>
            <w:tcW w:w="2405" w:type="dxa"/>
          </w:tcPr>
          <w:p w14:paraId="6A3B35DF"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Телеграм</w:t>
            </w:r>
          </w:p>
        </w:tc>
        <w:tc>
          <w:tcPr>
            <w:tcW w:w="1559" w:type="dxa"/>
          </w:tcPr>
          <w:p w14:paraId="7C8E989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26 </w:t>
            </w:r>
          </w:p>
        </w:tc>
        <w:tc>
          <w:tcPr>
            <w:tcW w:w="1418" w:type="dxa"/>
          </w:tcPr>
          <w:p w14:paraId="05806D8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15 </w:t>
            </w:r>
          </w:p>
        </w:tc>
        <w:tc>
          <w:tcPr>
            <w:tcW w:w="1417" w:type="dxa"/>
          </w:tcPr>
          <w:p w14:paraId="2AF6FFB5"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15 </w:t>
            </w:r>
          </w:p>
        </w:tc>
        <w:tc>
          <w:tcPr>
            <w:tcW w:w="1560" w:type="dxa"/>
          </w:tcPr>
          <w:p w14:paraId="60BC7B8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12 </w:t>
            </w:r>
          </w:p>
        </w:tc>
        <w:tc>
          <w:tcPr>
            <w:tcW w:w="1269" w:type="dxa"/>
          </w:tcPr>
          <w:p w14:paraId="39DC9DE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11</w:t>
            </w:r>
          </w:p>
        </w:tc>
      </w:tr>
      <w:tr w:rsidR="0000167A" w:rsidRPr="005F0419" w14:paraId="2615CD3E" w14:textId="77777777" w:rsidTr="00A55004">
        <w:tc>
          <w:tcPr>
            <w:tcW w:w="2405" w:type="dxa"/>
          </w:tcPr>
          <w:p w14:paraId="1704E127"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Тік-</w:t>
            </w:r>
            <w:proofErr w:type="spellStart"/>
            <w:r w:rsidRPr="005F0419">
              <w:rPr>
                <w:rFonts w:ascii="Times New Roman" w:eastAsia="Times New Roman" w:hAnsi="Times New Roman" w:cs="Times New Roman"/>
                <w:sz w:val="28"/>
                <w:szCs w:val="28"/>
                <w:lang w:val="uk-UA"/>
              </w:rPr>
              <w:t>ток</w:t>
            </w:r>
            <w:proofErr w:type="spellEnd"/>
          </w:p>
        </w:tc>
        <w:tc>
          <w:tcPr>
            <w:tcW w:w="1559" w:type="dxa"/>
          </w:tcPr>
          <w:p w14:paraId="313E4D1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26 </w:t>
            </w:r>
          </w:p>
        </w:tc>
        <w:tc>
          <w:tcPr>
            <w:tcW w:w="1418" w:type="dxa"/>
          </w:tcPr>
          <w:p w14:paraId="3E1F4BF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12 </w:t>
            </w:r>
          </w:p>
        </w:tc>
        <w:tc>
          <w:tcPr>
            <w:tcW w:w="1417" w:type="dxa"/>
          </w:tcPr>
          <w:p w14:paraId="51B2CEF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 </w:t>
            </w:r>
          </w:p>
        </w:tc>
        <w:tc>
          <w:tcPr>
            <w:tcW w:w="1560" w:type="dxa"/>
          </w:tcPr>
          <w:p w14:paraId="53BB0AC9"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 </w:t>
            </w:r>
          </w:p>
        </w:tc>
        <w:tc>
          <w:tcPr>
            <w:tcW w:w="1269" w:type="dxa"/>
          </w:tcPr>
          <w:p w14:paraId="4999A32D"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w:t>
            </w:r>
          </w:p>
        </w:tc>
      </w:tr>
      <w:tr w:rsidR="0000167A" w:rsidRPr="005F0419" w14:paraId="5D126C57" w14:textId="77777777" w:rsidTr="00A55004">
        <w:tc>
          <w:tcPr>
            <w:tcW w:w="2405" w:type="dxa"/>
          </w:tcPr>
          <w:p w14:paraId="2D6F7979"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Твіттер</w:t>
            </w:r>
          </w:p>
        </w:tc>
        <w:tc>
          <w:tcPr>
            <w:tcW w:w="1559" w:type="dxa"/>
          </w:tcPr>
          <w:p w14:paraId="2893E868"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 </w:t>
            </w:r>
          </w:p>
        </w:tc>
        <w:tc>
          <w:tcPr>
            <w:tcW w:w="1418" w:type="dxa"/>
          </w:tcPr>
          <w:p w14:paraId="4D47A24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 </w:t>
            </w:r>
          </w:p>
        </w:tc>
        <w:tc>
          <w:tcPr>
            <w:tcW w:w="1417" w:type="dxa"/>
          </w:tcPr>
          <w:p w14:paraId="5028E54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 </w:t>
            </w:r>
          </w:p>
        </w:tc>
        <w:tc>
          <w:tcPr>
            <w:tcW w:w="1560" w:type="dxa"/>
          </w:tcPr>
          <w:p w14:paraId="4BF138E0"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 </w:t>
            </w:r>
          </w:p>
        </w:tc>
        <w:tc>
          <w:tcPr>
            <w:tcW w:w="1269" w:type="dxa"/>
          </w:tcPr>
          <w:p w14:paraId="001FBFE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w:t>
            </w:r>
          </w:p>
        </w:tc>
      </w:tr>
      <w:tr w:rsidR="0000167A" w:rsidRPr="005F0419" w14:paraId="7294A0F2" w14:textId="77777777" w:rsidTr="00A55004">
        <w:tc>
          <w:tcPr>
            <w:tcW w:w="2405" w:type="dxa"/>
          </w:tcPr>
          <w:p w14:paraId="26D33ADF" w14:textId="77777777" w:rsidR="0000167A" w:rsidRPr="005F0419" w:rsidRDefault="0000167A" w:rsidP="007E234D">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Інша</w:t>
            </w:r>
          </w:p>
        </w:tc>
        <w:tc>
          <w:tcPr>
            <w:tcW w:w="1559" w:type="dxa"/>
          </w:tcPr>
          <w:p w14:paraId="10864924"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0,1 </w:t>
            </w:r>
          </w:p>
        </w:tc>
        <w:tc>
          <w:tcPr>
            <w:tcW w:w="1418" w:type="dxa"/>
          </w:tcPr>
          <w:p w14:paraId="0AB0B28A"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0,3 </w:t>
            </w:r>
          </w:p>
        </w:tc>
        <w:tc>
          <w:tcPr>
            <w:tcW w:w="1417" w:type="dxa"/>
          </w:tcPr>
          <w:p w14:paraId="37BDFE0C"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0,3 </w:t>
            </w:r>
          </w:p>
        </w:tc>
        <w:tc>
          <w:tcPr>
            <w:tcW w:w="1560" w:type="dxa"/>
          </w:tcPr>
          <w:p w14:paraId="0EC7E8C1"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0,2 </w:t>
            </w:r>
          </w:p>
        </w:tc>
        <w:tc>
          <w:tcPr>
            <w:tcW w:w="1269" w:type="dxa"/>
          </w:tcPr>
          <w:p w14:paraId="2638F826" w14:textId="77777777" w:rsidR="0000167A" w:rsidRPr="005F0419" w:rsidRDefault="0000167A" w:rsidP="007E234D">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0,6</w:t>
            </w:r>
          </w:p>
        </w:tc>
      </w:tr>
    </w:tbl>
    <w:p w14:paraId="4AEF4745" w14:textId="7514C8D6"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*Респонденти могли обрати декілька варіантів відповіді, тому сума всіх відповідей перевищує 100%</w:t>
      </w:r>
      <w:r w:rsidR="007E234D"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cr/>
      </w:r>
    </w:p>
    <w:p w14:paraId="588DF682"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Плануючи та організовуючи подорож до України, відносно велика частка туристів (33%) покладається на поради друзів, колег та членів сім’ї. Майже однаково з них користуються соціальними мережами (25%) або знаходять інформацію через пошукові системи (23%). У цьому є свої особливості стосовно </w:t>
      </w:r>
      <w:r w:rsidRPr="005F0419">
        <w:rPr>
          <w:rFonts w:ascii="Times New Roman" w:eastAsia="Times New Roman" w:hAnsi="Times New Roman" w:cs="Times New Roman"/>
          <w:sz w:val="28"/>
          <w:szCs w:val="28"/>
          <w:lang w:val="uk-UA"/>
        </w:rPr>
        <w:lastRenderedPageBreak/>
        <w:t xml:space="preserve">послуг, які впливають на поведінку споживача. Туристичні послуги більше формують пропозицію через соцмережі, поради друзів чи колег або </w:t>
      </w:r>
      <w:proofErr w:type="spellStart"/>
      <w:r w:rsidRPr="005F0419">
        <w:rPr>
          <w:rFonts w:ascii="Times New Roman" w:eastAsia="Times New Roman" w:hAnsi="Times New Roman" w:cs="Times New Roman"/>
          <w:sz w:val="28"/>
          <w:szCs w:val="28"/>
          <w:lang w:val="uk-UA"/>
        </w:rPr>
        <w:t>YouTube</w:t>
      </w:r>
      <w:proofErr w:type="spellEnd"/>
      <w:r w:rsidRPr="005F0419">
        <w:rPr>
          <w:rFonts w:ascii="Times New Roman" w:eastAsia="Times New Roman" w:hAnsi="Times New Roman" w:cs="Times New Roman"/>
          <w:sz w:val="28"/>
          <w:szCs w:val="28"/>
          <w:lang w:val="uk-UA"/>
        </w:rPr>
        <w:t xml:space="preserve">. На них вказали від 19% до 33%. Типові послуги гостинності більше формує </w:t>
      </w:r>
      <w:proofErr w:type="spellStart"/>
      <w:r w:rsidRPr="005F0419">
        <w:rPr>
          <w:rFonts w:ascii="Times New Roman" w:eastAsia="Times New Roman" w:hAnsi="Times New Roman" w:cs="Times New Roman"/>
          <w:sz w:val="28"/>
          <w:szCs w:val="28"/>
          <w:lang w:val="uk-UA"/>
        </w:rPr>
        <w:t>Booking</w:t>
      </w:r>
      <w:proofErr w:type="spellEnd"/>
      <w:r w:rsidRPr="005F0419">
        <w:rPr>
          <w:rFonts w:ascii="Times New Roman" w:eastAsia="Times New Roman" w:hAnsi="Times New Roman" w:cs="Times New Roman"/>
          <w:sz w:val="28"/>
          <w:szCs w:val="28"/>
          <w:lang w:val="uk-UA"/>
        </w:rPr>
        <w:t xml:space="preserve"> та сайт готелю. Їх вибрали 18% і 7% опитаних. Ще також </w:t>
      </w:r>
      <w:proofErr w:type="spellStart"/>
      <w:r w:rsidRPr="005F0419">
        <w:rPr>
          <w:rFonts w:ascii="Times New Roman" w:eastAsia="Times New Roman" w:hAnsi="Times New Roman" w:cs="Times New Roman"/>
          <w:sz w:val="28"/>
          <w:szCs w:val="28"/>
          <w:lang w:val="uk-UA"/>
        </w:rPr>
        <w:t>Airbnb</w:t>
      </w:r>
      <w:proofErr w:type="spellEnd"/>
      <w:r w:rsidRPr="005F0419">
        <w:rPr>
          <w:rFonts w:ascii="Times New Roman" w:eastAsia="Times New Roman" w:hAnsi="Times New Roman" w:cs="Times New Roman"/>
          <w:sz w:val="28"/>
          <w:szCs w:val="28"/>
          <w:lang w:val="uk-UA"/>
        </w:rPr>
        <w:t>, але його частка використання на українському ринку вкрай мала, до 2%. Змішані послуги туризму та гостинності – це поради друзів та колег (33%), пошукові системи (</w:t>
      </w:r>
      <w:proofErr w:type="spellStart"/>
      <w:r w:rsidRPr="005F0419">
        <w:rPr>
          <w:rFonts w:ascii="Times New Roman" w:eastAsia="Times New Roman" w:hAnsi="Times New Roman" w:cs="Times New Roman"/>
          <w:sz w:val="28"/>
          <w:szCs w:val="28"/>
          <w:lang w:val="uk-UA"/>
        </w:rPr>
        <w:t>Google</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Yandex</w:t>
      </w:r>
      <w:proofErr w:type="spellEnd"/>
      <w:r w:rsidRPr="005F0419">
        <w:rPr>
          <w:rFonts w:ascii="Times New Roman" w:eastAsia="Times New Roman" w:hAnsi="Times New Roman" w:cs="Times New Roman"/>
          <w:sz w:val="28"/>
          <w:szCs w:val="28"/>
          <w:lang w:val="uk-UA"/>
        </w:rPr>
        <w:t xml:space="preserve"> та інші – 23%), навігатори / мапи (</w:t>
      </w:r>
      <w:proofErr w:type="spellStart"/>
      <w:r w:rsidRPr="005F0419">
        <w:rPr>
          <w:rFonts w:ascii="Times New Roman" w:eastAsia="Times New Roman" w:hAnsi="Times New Roman" w:cs="Times New Roman"/>
          <w:sz w:val="28"/>
          <w:szCs w:val="28"/>
          <w:lang w:val="uk-UA"/>
        </w:rPr>
        <w:t>Google</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Maps</w:t>
      </w:r>
      <w:proofErr w:type="spellEnd"/>
      <w:r w:rsidRPr="005F0419">
        <w:rPr>
          <w:rFonts w:ascii="Times New Roman" w:eastAsia="Times New Roman" w:hAnsi="Times New Roman" w:cs="Times New Roman"/>
          <w:sz w:val="28"/>
          <w:szCs w:val="28"/>
          <w:lang w:val="uk-UA"/>
        </w:rPr>
        <w:t xml:space="preserve">, 2GIS, </w:t>
      </w:r>
      <w:proofErr w:type="spellStart"/>
      <w:r w:rsidRPr="005F0419">
        <w:rPr>
          <w:rFonts w:ascii="Times New Roman" w:eastAsia="Times New Roman" w:hAnsi="Times New Roman" w:cs="Times New Roman"/>
          <w:sz w:val="28"/>
          <w:szCs w:val="28"/>
          <w:lang w:val="uk-UA"/>
        </w:rPr>
        <w:t>Waze</w:t>
      </w:r>
      <w:proofErr w:type="spellEnd"/>
      <w:r w:rsidRPr="005F0419">
        <w:rPr>
          <w:rFonts w:ascii="Times New Roman" w:eastAsia="Times New Roman" w:hAnsi="Times New Roman" w:cs="Times New Roman"/>
          <w:sz w:val="28"/>
          <w:szCs w:val="28"/>
          <w:lang w:val="uk-UA"/>
        </w:rPr>
        <w:t xml:space="preserve"> та ін. – 17%), OLX (7%) та не такий популярний, як на заході, порадник подорожей </w:t>
      </w:r>
      <w:proofErr w:type="spellStart"/>
      <w:r w:rsidRPr="005F0419">
        <w:rPr>
          <w:rFonts w:ascii="Times New Roman" w:eastAsia="Times New Roman" w:hAnsi="Times New Roman" w:cs="Times New Roman"/>
          <w:sz w:val="28"/>
          <w:szCs w:val="28"/>
          <w:lang w:val="uk-UA"/>
        </w:rPr>
        <w:t>Tripadvisor</w:t>
      </w:r>
      <w:proofErr w:type="spellEnd"/>
      <w:r w:rsidRPr="005F0419">
        <w:rPr>
          <w:rFonts w:ascii="Times New Roman" w:eastAsia="Times New Roman" w:hAnsi="Times New Roman" w:cs="Times New Roman"/>
          <w:sz w:val="28"/>
          <w:szCs w:val="28"/>
          <w:lang w:val="uk-UA"/>
        </w:rPr>
        <w:t xml:space="preserve"> – лише 2% (рис. 9).</w:t>
      </w:r>
    </w:p>
    <w:p w14:paraId="5936CE43" w14:textId="77777777" w:rsidR="0000167A" w:rsidRPr="005F0419" w:rsidRDefault="0000167A" w:rsidP="007E234D">
      <w:pPr>
        <w:spacing w:after="0" w:line="360" w:lineRule="auto"/>
        <w:jc w:val="both"/>
        <w:rPr>
          <w:rFonts w:ascii="Times New Roman" w:eastAsia="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680752FB" wp14:editId="3D619CAE">
            <wp:extent cx="6120130" cy="3394075"/>
            <wp:effectExtent l="0" t="0" r="0" b="0"/>
            <wp:docPr id="20" name="Діаграма 20">
              <a:extLst xmlns:a="http://schemas.openxmlformats.org/drawingml/2006/main">
                <a:ext uri="{FF2B5EF4-FFF2-40B4-BE49-F238E27FC236}">
                  <a16:creationId xmlns:a16="http://schemas.microsoft.com/office/drawing/2014/main" id="{7F736382-68F2-4177-BEDA-ECA493FCF2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8"/>
              </a:graphicData>
            </a:graphic>
          </wp:inline>
        </w:drawing>
      </w:r>
    </w:p>
    <w:p w14:paraId="2693D5E7" w14:textId="7B968FD8" w:rsidR="0000167A" w:rsidRPr="005F0419" w:rsidRDefault="0000167A" w:rsidP="007E234D">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9. Ресурси для планування та організації подорожей Україною, % [28]*</w:t>
      </w:r>
    </w:p>
    <w:p w14:paraId="1081D889" w14:textId="5A193B91"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*Респонденти могли обрати декілька варіантів відповіді, тому сума всіх відповідей перевищує 100%</w:t>
      </w:r>
      <w:r w:rsidR="007E234D" w:rsidRPr="005F0419">
        <w:rPr>
          <w:rFonts w:ascii="Times New Roman" w:eastAsia="Times New Roman" w:hAnsi="Times New Roman" w:cs="Times New Roman"/>
          <w:sz w:val="28"/>
          <w:szCs w:val="28"/>
          <w:lang w:val="uk-UA"/>
        </w:rPr>
        <w:t>.</w:t>
      </w:r>
    </w:p>
    <w:p w14:paraId="605CBC89"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60B9B985"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Відповіді на запитання демонструють деякі особливості залежно від віку. Чим старший респондент, тим частіше він користується рекомендаціями родичів та друзів, а також телевізійними програмами для подорожей. Чим молодший респондент, тим частіше він користується соціальними мережами, бронюванням, </w:t>
      </w:r>
      <w:proofErr w:type="spellStart"/>
      <w:r w:rsidRPr="005F0419">
        <w:rPr>
          <w:rFonts w:ascii="Times New Roman" w:eastAsia="Times New Roman" w:hAnsi="Times New Roman" w:cs="Times New Roman"/>
          <w:sz w:val="28"/>
          <w:szCs w:val="28"/>
          <w:lang w:val="uk-UA"/>
        </w:rPr>
        <w:t>YouTube</w:t>
      </w:r>
      <w:proofErr w:type="spellEnd"/>
      <w:r w:rsidRPr="005F0419">
        <w:rPr>
          <w:rFonts w:ascii="Times New Roman" w:eastAsia="Times New Roman" w:hAnsi="Times New Roman" w:cs="Times New Roman"/>
          <w:sz w:val="28"/>
          <w:szCs w:val="28"/>
          <w:lang w:val="uk-UA"/>
        </w:rPr>
        <w:t xml:space="preserve">, навігатором та OLX. Відносно небагато киян покладаються на </w:t>
      </w:r>
      <w:r w:rsidRPr="005F0419">
        <w:rPr>
          <w:rFonts w:ascii="Times New Roman" w:eastAsia="Times New Roman" w:hAnsi="Times New Roman" w:cs="Times New Roman"/>
          <w:sz w:val="28"/>
          <w:szCs w:val="28"/>
          <w:lang w:val="uk-UA"/>
        </w:rPr>
        <w:lastRenderedPageBreak/>
        <w:t xml:space="preserve">рекомендації друзів або соціальні мережі, але вдвічі більше людей роблять бронювання послуг гостинності через </w:t>
      </w:r>
      <w:proofErr w:type="spellStart"/>
      <w:r w:rsidRPr="005F0419">
        <w:rPr>
          <w:rFonts w:ascii="Times New Roman" w:eastAsia="Times New Roman" w:hAnsi="Times New Roman" w:cs="Times New Roman"/>
          <w:sz w:val="28"/>
          <w:szCs w:val="28"/>
          <w:lang w:val="uk-UA"/>
        </w:rPr>
        <w:t>Booking</w:t>
      </w:r>
      <w:proofErr w:type="spellEnd"/>
      <w:r w:rsidRPr="005F0419">
        <w:rPr>
          <w:rFonts w:ascii="Times New Roman" w:eastAsia="Times New Roman" w:hAnsi="Times New Roman" w:cs="Times New Roman"/>
          <w:sz w:val="28"/>
          <w:szCs w:val="28"/>
          <w:lang w:val="uk-UA"/>
        </w:rPr>
        <w:t xml:space="preserve">, ніж мешканці інших регіонів. На Заході люди частіше користуються соціальними мережами, пошуковими системами та навігаційними пристроями. У розрізі місто-село, на поради друзів або знайомих більше покладаються мешканці сіл, вони майже мінімально (до 10%) у готельному виборів звертаються до сервісу </w:t>
      </w:r>
      <w:proofErr w:type="spellStart"/>
      <w:r w:rsidRPr="005F0419">
        <w:rPr>
          <w:rFonts w:ascii="Times New Roman" w:eastAsia="Times New Roman" w:hAnsi="Times New Roman" w:cs="Times New Roman"/>
          <w:sz w:val="28"/>
          <w:szCs w:val="28"/>
          <w:lang w:val="uk-UA"/>
        </w:rPr>
        <w:t>Booking</w:t>
      </w:r>
      <w:proofErr w:type="spellEnd"/>
      <w:r w:rsidRPr="005F0419">
        <w:rPr>
          <w:rFonts w:ascii="Times New Roman" w:eastAsia="Times New Roman" w:hAnsi="Times New Roman" w:cs="Times New Roman"/>
          <w:sz w:val="28"/>
          <w:szCs w:val="28"/>
          <w:lang w:val="uk-UA"/>
        </w:rPr>
        <w:t xml:space="preserve">, а вибору туристичних локацій – до </w:t>
      </w:r>
      <w:proofErr w:type="spellStart"/>
      <w:r w:rsidRPr="005F0419">
        <w:rPr>
          <w:rFonts w:ascii="Times New Roman" w:eastAsia="Times New Roman" w:hAnsi="Times New Roman" w:cs="Times New Roman"/>
          <w:sz w:val="28"/>
          <w:szCs w:val="28"/>
          <w:lang w:val="uk-UA"/>
        </w:rPr>
        <w:t>Tripadvisor</w:t>
      </w:r>
      <w:proofErr w:type="spellEnd"/>
      <w:r w:rsidRPr="005F0419">
        <w:rPr>
          <w:rFonts w:ascii="Times New Roman" w:eastAsia="Times New Roman" w:hAnsi="Times New Roman" w:cs="Times New Roman"/>
          <w:sz w:val="28"/>
          <w:szCs w:val="28"/>
          <w:lang w:val="uk-UA"/>
        </w:rPr>
        <w:t xml:space="preserve"> (0,4%). У всіх інших варіантах відповіді туристів із міст і сіл є рівнозначними із незначною перевагою туристів із обласних центрів.</w:t>
      </w:r>
    </w:p>
    <w:p w14:paraId="500F16C8"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Основними соціальними мережами, які респонденти регулярно використовують для планування та організації подорожей до України, є </w:t>
      </w:r>
      <w:proofErr w:type="spellStart"/>
      <w:r w:rsidRPr="005F0419">
        <w:rPr>
          <w:rFonts w:ascii="Times New Roman" w:eastAsia="Times New Roman" w:hAnsi="Times New Roman" w:cs="Times New Roman"/>
          <w:sz w:val="28"/>
          <w:szCs w:val="28"/>
          <w:lang w:val="uk-UA"/>
        </w:rPr>
        <w:t>Facebook</w:t>
      </w:r>
      <w:proofErr w:type="spellEnd"/>
      <w:r w:rsidRPr="005F0419">
        <w:rPr>
          <w:rFonts w:ascii="Times New Roman" w:eastAsia="Times New Roman" w:hAnsi="Times New Roman" w:cs="Times New Roman"/>
          <w:sz w:val="28"/>
          <w:szCs w:val="28"/>
          <w:lang w:val="uk-UA"/>
        </w:rPr>
        <w:t xml:space="preserve"> (69%) та </w:t>
      </w:r>
      <w:proofErr w:type="spellStart"/>
      <w:r w:rsidRPr="005F0419">
        <w:rPr>
          <w:rFonts w:ascii="Times New Roman" w:eastAsia="Times New Roman" w:hAnsi="Times New Roman" w:cs="Times New Roman"/>
          <w:sz w:val="28"/>
          <w:szCs w:val="28"/>
          <w:lang w:val="uk-UA"/>
        </w:rPr>
        <w:t>Instagram</w:t>
      </w:r>
      <w:proofErr w:type="spellEnd"/>
      <w:r w:rsidRPr="005F0419">
        <w:rPr>
          <w:rFonts w:ascii="Times New Roman" w:eastAsia="Times New Roman" w:hAnsi="Times New Roman" w:cs="Times New Roman"/>
          <w:sz w:val="28"/>
          <w:szCs w:val="28"/>
          <w:lang w:val="uk-UA"/>
        </w:rPr>
        <w:t xml:space="preserve"> (52%). За ними слідують </w:t>
      </w:r>
      <w:proofErr w:type="spellStart"/>
      <w:r w:rsidRPr="005F0419">
        <w:rPr>
          <w:rFonts w:ascii="Times New Roman" w:eastAsia="Times New Roman" w:hAnsi="Times New Roman" w:cs="Times New Roman"/>
          <w:sz w:val="28"/>
          <w:szCs w:val="28"/>
          <w:lang w:val="uk-UA"/>
        </w:rPr>
        <w:t>Viber</w:t>
      </w:r>
      <w:proofErr w:type="spellEnd"/>
      <w:r w:rsidRPr="005F0419">
        <w:rPr>
          <w:rFonts w:ascii="Times New Roman" w:eastAsia="Times New Roman" w:hAnsi="Times New Roman" w:cs="Times New Roman"/>
          <w:sz w:val="28"/>
          <w:szCs w:val="28"/>
          <w:lang w:val="uk-UA"/>
        </w:rPr>
        <w:t xml:space="preserve"> та </w:t>
      </w:r>
      <w:proofErr w:type="spellStart"/>
      <w:r w:rsidRPr="005F0419">
        <w:rPr>
          <w:rFonts w:ascii="Times New Roman" w:eastAsia="Times New Roman" w:hAnsi="Times New Roman" w:cs="Times New Roman"/>
          <w:sz w:val="28"/>
          <w:szCs w:val="28"/>
          <w:lang w:val="uk-UA"/>
        </w:rPr>
        <w:t>Telegram</w:t>
      </w:r>
      <w:proofErr w:type="spellEnd"/>
      <w:r w:rsidRPr="005F0419">
        <w:rPr>
          <w:rFonts w:ascii="Times New Roman" w:eastAsia="Times New Roman" w:hAnsi="Times New Roman" w:cs="Times New Roman"/>
          <w:sz w:val="28"/>
          <w:szCs w:val="28"/>
          <w:lang w:val="uk-UA"/>
        </w:rPr>
        <w:t xml:space="preserve">. Ці відповіді респондентів майже повністю збігаються про те, за допомогою яких соціальних мереж вони отримують інформацію про туристичні атракції в Україні. Єдиною гендерною відмінністю у відповідях на це запитання є те, що жінки частіше користуються </w:t>
      </w:r>
      <w:proofErr w:type="spellStart"/>
      <w:r w:rsidRPr="005F0419">
        <w:rPr>
          <w:rFonts w:ascii="Times New Roman" w:eastAsia="Times New Roman" w:hAnsi="Times New Roman" w:cs="Times New Roman"/>
          <w:sz w:val="28"/>
          <w:szCs w:val="28"/>
          <w:lang w:val="uk-UA"/>
        </w:rPr>
        <w:t>Instagram</w:t>
      </w:r>
      <w:proofErr w:type="spellEnd"/>
      <w:r w:rsidRPr="005F0419">
        <w:rPr>
          <w:rFonts w:ascii="Times New Roman" w:eastAsia="Times New Roman" w:hAnsi="Times New Roman" w:cs="Times New Roman"/>
          <w:sz w:val="28"/>
          <w:szCs w:val="28"/>
          <w:lang w:val="uk-UA"/>
        </w:rPr>
        <w:t xml:space="preserve">, тоді як чоловіки відносно частіше користуються </w:t>
      </w:r>
      <w:proofErr w:type="spellStart"/>
      <w:r w:rsidRPr="005F0419">
        <w:rPr>
          <w:rFonts w:ascii="Times New Roman" w:eastAsia="Times New Roman" w:hAnsi="Times New Roman" w:cs="Times New Roman"/>
          <w:sz w:val="28"/>
          <w:szCs w:val="28"/>
          <w:lang w:val="uk-UA"/>
        </w:rPr>
        <w:t>Telegram</w:t>
      </w:r>
      <w:proofErr w:type="spellEnd"/>
      <w:r w:rsidRPr="005F0419">
        <w:rPr>
          <w:rFonts w:ascii="Times New Roman" w:eastAsia="Times New Roman" w:hAnsi="Times New Roman" w:cs="Times New Roman"/>
          <w:sz w:val="28"/>
          <w:szCs w:val="28"/>
          <w:lang w:val="uk-UA"/>
        </w:rPr>
        <w:t xml:space="preserve">. Старші респонденти в кілька разів частіше використовують </w:t>
      </w:r>
      <w:proofErr w:type="spellStart"/>
      <w:r w:rsidRPr="005F0419">
        <w:rPr>
          <w:rFonts w:ascii="Times New Roman" w:eastAsia="Times New Roman" w:hAnsi="Times New Roman" w:cs="Times New Roman"/>
          <w:sz w:val="28"/>
          <w:szCs w:val="28"/>
          <w:lang w:val="uk-UA"/>
        </w:rPr>
        <w:t>Facebook</w:t>
      </w:r>
      <w:proofErr w:type="spellEnd"/>
      <w:r w:rsidRPr="005F0419">
        <w:rPr>
          <w:rFonts w:ascii="Times New Roman" w:eastAsia="Times New Roman" w:hAnsi="Times New Roman" w:cs="Times New Roman"/>
          <w:sz w:val="28"/>
          <w:szCs w:val="28"/>
          <w:lang w:val="uk-UA"/>
        </w:rPr>
        <w:t xml:space="preserve"> та </w:t>
      </w:r>
      <w:proofErr w:type="spellStart"/>
      <w:r w:rsidRPr="005F0419">
        <w:rPr>
          <w:rFonts w:ascii="Times New Roman" w:eastAsia="Times New Roman" w:hAnsi="Times New Roman" w:cs="Times New Roman"/>
          <w:sz w:val="28"/>
          <w:szCs w:val="28"/>
          <w:lang w:val="uk-UA"/>
        </w:rPr>
        <w:t>Viber</w:t>
      </w:r>
      <w:proofErr w:type="spellEnd"/>
      <w:r w:rsidRPr="005F0419">
        <w:rPr>
          <w:rFonts w:ascii="Times New Roman" w:eastAsia="Times New Roman" w:hAnsi="Times New Roman" w:cs="Times New Roman"/>
          <w:sz w:val="28"/>
          <w:szCs w:val="28"/>
          <w:lang w:val="uk-UA"/>
        </w:rPr>
        <w:t xml:space="preserve"> для планування та організації подорожей до України, ніж молодші респонденти до 24 років. Вони частіше користуються </w:t>
      </w:r>
      <w:proofErr w:type="spellStart"/>
      <w:r w:rsidRPr="005F0419">
        <w:rPr>
          <w:rFonts w:ascii="Times New Roman" w:eastAsia="Times New Roman" w:hAnsi="Times New Roman" w:cs="Times New Roman"/>
          <w:sz w:val="28"/>
          <w:szCs w:val="28"/>
          <w:lang w:val="uk-UA"/>
        </w:rPr>
        <w:t>Instagram</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Telegram</w:t>
      </w:r>
      <w:proofErr w:type="spellEnd"/>
      <w:r w:rsidRPr="005F0419">
        <w:rPr>
          <w:rFonts w:ascii="Times New Roman" w:eastAsia="Times New Roman" w:hAnsi="Times New Roman" w:cs="Times New Roman"/>
          <w:sz w:val="28"/>
          <w:szCs w:val="28"/>
          <w:lang w:val="uk-UA"/>
        </w:rPr>
        <w:t xml:space="preserve"> та </w:t>
      </w:r>
      <w:proofErr w:type="spellStart"/>
      <w:r w:rsidRPr="005F0419">
        <w:rPr>
          <w:rFonts w:ascii="Times New Roman" w:eastAsia="Times New Roman" w:hAnsi="Times New Roman" w:cs="Times New Roman"/>
          <w:sz w:val="28"/>
          <w:szCs w:val="28"/>
          <w:lang w:val="uk-UA"/>
        </w:rPr>
        <w:t>Tik-Tok</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Facebook</w:t>
      </w:r>
      <w:proofErr w:type="spellEnd"/>
      <w:r w:rsidRPr="005F0419">
        <w:rPr>
          <w:rFonts w:ascii="Times New Roman" w:eastAsia="Times New Roman" w:hAnsi="Times New Roman" w:cs="Times New Roman"/>
          <w:sz w:val="28"/>
          <w:szCs w:val="28"/>
          <w:lang w:val="uk-UA"/>
        </w:rPr>
        <w:t xml:space="preserve"> найчастіше використовують для планування внутрішніх поїздок на заході, рідше – у Києві та на сході; </w:t>
      </w:r>
      <w:proofErr w:type="spellStart"/>
      <w:r w:rsidRPr="005F0419">
        <w:rPr>
          <w:rFonts w:ascii="Times New Roman" w:eastAsia="Times New Roman" w:hAnsi="Times New Roman" w:cs="Times New Roman"/>
          <w:sz w:val="28"/>
          <w:szCs w:val="28"/>
          <w:lang w:val="uk-UA"/>
        </w:rPr>
        <w:t>Viber</w:t>
      </w:r>
      <w:proofErr w:type="spellEnd"/>
      <w:r w:rsidRPr="005F0419">
        <w:rPr>
          <w:rFonts w:ascii="Times New Roman" w:eastAsia="Times New Roman" w:hAnsi="Times New Roman" w:cs="Times New Roman"/>
          <w:sz w:val="28"/>
          <w:szCs w:val="28"/>
          <w:lang w:val="uk-UA"/>
        </w:rPr>
        <w:t xml:space="preserve"> – на сході, найрідше – у столиці; </w:t>
      </w:r>
      <w:proofErr w:type="spellStart"/>
      <w:r w:rsidRPr="005F0419">
        <w:rPr>
          <w:rFonts w:ascii="Times New Roman" w:eastAsia="Times New Roman" w:hAnsi="Times New Roman" w:cs="Times New Roman"/>
          <w:sz w:val="28"/>
          <w:szCs w:val="28"/>
          <w:lang w:val="uk-UA"/>
        </w:rPr>
        <w:t>Telegram</w:t>
      </w:r>
      <w:proofErr w:type="spellEnd"/>
      <w:r w:rsidRPr="005F0419">
        <w:rPr>
          <w:rFonts w:ascii="Times New Roman" w:eastAsia="Times New Roman" w:hAnsi="Times New Roman" w:cs="Times New Roman"/>
          <w:sz w:val="28"/>
          <w:szCs w:val="28"/>
          <w:lang w:val="uk-UA"/>
        </w:rPr>
        <w:t xml:space="preserve"> – у східному регіоні, менше – у столиці. При цьому кияни вдвічі інтенсивніше використовують </w:t>
      </w:r>
      <w:proofErr w:type="spellStart"/>
      <w:r w:rsidRPr="005F0419">
        <w:rPr>
          <w:rFonts w:ascii="Times New Roman" w:eastAsia="Times New Roman" w:hAnsi="Times New Roman" w:cs="Times New Roman"/>
          <w:sz w:val="28"/>
          <w:szCs w:val="28"/>
          <w:lang w:val="uk-UA"/>
        </w:rPr>
        <w:t>Telegram</w:t>
      </w:r>
      <w:proofErr w:type="spellEnd"/>
      <w:r w:rsidRPr="005F0419">
        <w:rPr>
          <w:rFonts w:ascii="Times New Roman" w:eastAsia="Times New Roman" w:hAnsi="Times New Roman" w:cs="Times New Roman"/>
          <w:sz w:val="28"/>
          <w:szCs w:val="28"/>
          <w:lang w:val="uk-UA"/>
        </w:rPr>
        <w:t xml:space="preserve"> для регулярного планування поїздок, ніж жителі інших регіонів. Мешканців обласних центрів більше помічено як користувачів мережі </w:t>
      </w:r>
      <w:proofErr w:type="spellStart"/>
      <w:r w:rsidRPr="005F0419">
        <w:rPr>
          <w:rFonts w:ascii="Times New Roman" w:eastAsia="Times New Roman" w:hAnsi="Times New Roman" w:cs="Times New Roman"/>
          <w:sz w:val="28"/>
          <w:szCs w:val="28"/>
          <w:lang w:val="uk-UA"/>
        </w:rPr>
        <w:t>Telegram</w:t>
      </w:r>
      <w:proofErr w:type="spellEnd"/>
      <w:r w:rsidRPr="005F0419">
        <w:rPr>
          <w:rFonts w:ascii="Times New Roman" w:eastAsia="Times New Roman" w:hAnsi="Times New Roman" w:cs="Times New Roman"/>
          <w:sz w:val="28"/>
          <w:szCs w:val="28"/>
          <w:lang w:val="uk-UA"/>
        </w:rPr>
        <w:t xml:space="preserve">, тоді як всі інші майже не домінують ні в місті, ні в селі чи обласному центрі.   </w:t>
      </w:r>
    </w:p>
    <w:p w14:paraId="6DE9CCF9"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Всі респонденти дали абсолютно переконливу відповідь (83%), що вони самостійно планують свої мандрівки Україною і лише 12% опитаних замовляють пакетом у туроператора. Множинність вибору на ринку України різних систем бронювання готелів, очевидно, спричинила дуже малий відсоток згадувань </w:t>
      </w:r>
      <w:r w:rsidRPr="005F0419">
        <w:rPr>
          <w:rFonts w:ascii="Times New Roman" w:eastAsia="Times New Roman" w:hAnsi="Times New Roman" w:cs="Times New Roman"/>
          <w:sz w:val="28"/>
          <w:szCs w:val="28"/>
          <w:lang w:val="uk-UA"/>
        </w:rPr>
        <w:lastRenderedPageBreak/>
        <w:t xml:space="preserve">туристами замовлення житла, а також транспорту через </w:t>
      </w:r>
      <w:proofErr w:type="spellStart"/>
      <w:r w:rsidRPr="005F0419">
        <w:rPr>
          <w:rFonts w:ascii="Times New Roman" w:eastAsia="Times New Roman" w:hAnsi="Times New Roman" w:cs="Times New Roman"/>
          <w:sz w:val="28"/>
          <w:szCs w:val="28"/>
          <w:lang w:val="uk-UA"/>
        </w:rPr>
        <w:t>турагентів</w:t>
      </w:r>
      <w:proofErr w:type="spellEnd"/>
      <w:r w:rsidRPr="005F0419">
        <w:rPr>
          <w:rFonts w:ascii="Times New Roman" w:eastAsia="Times New Roman" w:hAnsi="Times New Roman" w:cs="Times New Roman"/>
          <w:sz w:val="28"/>
          <w:szCs w:val="28"/>
          <w:lang w:val="uk-UA"/>
        </w:rPr>
        <w:t xml:space="preserve"> чи туроператорів. При цьому не зафіксовано істотних розбіжностей у такій тенденції ні за віком, ні за жителями різних частин країни. Лише за статтю дещо більше жінки надають перевагу замовлення послуг через туроператора, ніж чоловіки.</w:t>
      </w:r>
    </w:p>
    <w:p w14:paraId="3D694FE3" w14:textId="65829DB1" w:rsidR="0000167A" w:rsidRPr="005F0419" w:rsidRDefault="007E234D"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Фактично </w:t>
      </w:r>
      <w:r w:rsidR="0000167A" w:rsidRPr="005F0419">
        <w:rPr>
          <w:rFonts w:ascii="Times New Roman" w:eastAsia="Times New Roman" w:hAnsi="Times New Roman" w:cs="Times New Roman"/>
          <w:sz w:val="28"/>
          <w:szCs w:val="28"/>
          <w:lang w:val="uk-UA"/>
        </w:rPr>
        <w:t>58% респондентів часто створюють власні маршрути до невідомих місць, які вони раніше не відвідували. З іншого боку, 42% тих, хто обирає свої маршрути подорожей Україною, відвідують лише ті місця, які є популярними серед населення країни. Респонденти віком 55-70 років є єдиною віковою групою, які надають перевагу візитів до популярних серед українців місць під час подорожей Україною. Решта – організовують власні маршрути за невідомими місцями.</w:t>
      </w:r>
    </w:p>
    <w:p w14:paraId="0C2A92CE"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Третина респондентів (30%) з тих, хто подорожує Україною з різною частотою, заявили, що за 2021 не здійснили жодної подорожі нею. Разом із тим, ті опитані, які подорожували країною за останні 12 місяців, найчастіше відповідали, що здійснили одну подорож за цей період – це найбільш типова відповідь для усіх соціально-демографічних груп, а також для респондентів з різних регіонів та різних за типом населених пунктів (медіанне значення). За гендерною ознакою між респондентами немає різниці у відповідях щодо наявності подорожей країною за 2021 рік. Найбільше мобільними при цьому, природно, залишалися молодші вікові категорії – аж 76% опитаних здійснили бодай одну подорож. З-поміж старших вікових категорій частка тих, які не здійснили жодної мандрівки, досягла 35%. У регіональному вимірі високим показником вирізнялися м. Київ та центральна частина України, найменше пізнавали Україну мешканці сходу та півдня. </w:t>
      </w:r>
    </w:p>
    <w:p w14:paraId="584EAC6C"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Чіткими регіональними лідерами України, які опитані туристи відвідали за кожну наступну подорож упродовж 2021 року, є Одеська, Львівська області, м. Київ та Івано-Франківська область. Вони сформували квартет зі значним відривом від інших регіонів (областей), до якого ще з незначним відставанням можна долучити п’ятою Закарпатську область. Її частіше відвідували туристи </w:t>
      </w:r>
      <w:r w:rsidRPr="005F0419">
        <w:rPr>
          <w:rFonts w:ascii="Times New Roman" w:eastAsia="Times New Roman" w:hAnsi="Times New Roman" w:cs="Times New Roman"/>
          <w:sz w:val="28"/>
          <w:szCs w:val="28"/>
          <w:lang w:val="uk-UA"/>
        </w:rPr>
        <w:lastRenderedPageBreak/>
        <w:t xml:space="preserve">старші за 55 років. У перших трьох регіонах поїздки респондентів  корелювали з містами, які відвідали опитані: Одеса, Львів, Київ, а в Івано-Франківській області – «Буковель». Вони згадувалися найчастіше віковими категоріями до 55 років незалежно від черговості їхнього відвідування – вперше, вдруге чи навіть уп’яте.  Найменше зацікавленими туристи були у відвідуванні Кіровоградської, Луганської та Сумської областей. Їх згадали однин раз у першій чи другій своїх поїдках упродовж року. </w:t>
      </w:r>
    </w:p>
    <w:p w14:paraId="5D397EEE"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Цікавою є статистика самих туристичних і рекреаційних локацій, які згадали опитані туристи два і більше разів у перших двох поїздках. Після першого квартету, про який ми вже згадували, розмістилися за черговістю нині вже окупований Бердянськ, далі Харків, Івано-Франківськ, Вінниця і Яремче. Загалом більше однієї популярної локації в одній області, окрім Івано-Франківської, вказали в Одеській пляжний курорт Затоку, в Львівській – бальнеологічний курорт Трускавець і гірськолижний Славське, в Херсонській – Залізний Порт, Лазурне, Скадовськ, Генічеськ (всі пляжні курорти, які нині окуповані), в Закарпатській – Ужгород, Мукачеве, Берегове, в Миколаївській – Коблево і Миколаїв. Мешканці Західного регіону та Києва дещо частіше вказують Одеську, Львівську, Івано-Франківську та Закарпатську області як місця, які вони відвідали у 2021 році. Натомість мешканці Східного та Південного регіонів дещо частіше називали столицю як таке місце. </w:t>
      </w:r>
    </w:p>
    <w:p w14:paraId="01C7462F"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Украй </w:t>
      </w:r>
      <w:proofErr w:type="spellStart"/>
      <w:r w:rsidRPr="005F0419">
        <w:rPr>
          <w:rFonts w:ascii="Times New Roman" w:eastAsia="Times New Roman" w:hAnsi="Times New Roman" w:cs="Times New Roman"/>
          <w:sz w:val="28"/>
          <w:szCs w:val="28"/>
          <w:lang w:val="uk-UA"/>
        </w:rPr>
        <w:t>рідко</w:t>
      </w:r>
      <w:proofErr w:type="spellEnd"/>
      <w:r w:rsidRPr="005F0419">
        <w:rPr>
          <w:rFonts w:ascii="Times New Roman" w:eastAsia="Times New Roman" w:hAnsi="Times New Roman" w:cs="Times New Roman"/>
          <w:sz w:val="28"/>
          <w:szCs w:val="28"/>
          <w:lang w:val="uk-UA"/>
        </w:rPr>
        <w:t xml:space="preserve">, менше одного разу, з не дуже зрозумілих причин згадали відвідувачі міста Кам’янець-Подільський, Луцьк і Чернівці. Остання локація містить, окрім цілісного та добре збереженого архітектурного ансамблю старої частини міста часів австро-угорської доби, пам’ятку історико-архітектурної спадщини ЮНЕСКО – Резиденцію буковинських митрополитів і Далмації. Про проблему ефективної логістики туристів із Чернівцями згадують часто місцеві органи самоврядування, що ймовірно, є однією з вагомих причин низької відвідуваності міста туристами в 2021 році. До них також можна долучити й Кам’янець-Подільський, який як і Чернівці, є кінцевою тупиковою точкою в найпопулярнішому з-поміж пасажирів залізничному перевезенні та сполученні. </w:t>
      </w:r>
      <w:r w:rsidRPr="005F0419">
        <w:rPr>
          <w:rFonts w:ascii="Times New Roman" w:eastAsia="Times New Roman" w:hAnsi="Times New Roman" w:cs="Times New Roman"/>
          <w:sz w:val="28"/>
          <w:szCs w:val="28"/>
          <w:lang w:val="uk-UA"/>
        </w:rPr>
        <w:lastRenderedPageBreak/>
        <w:t xml:space="preserve">Саме упродовж того року Укрзалізниця перевезла більше 25 млн. пасажирів. Посилили цю проблему у вересні просідання у карстові провалля залізничного полотна і закриття наскрізного залізничного маршруту, який з’єднував ці два міста.                   </w:t>
      </w:r>
    </w:p>
    <w:p w14:paraId="54DC24C2"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Разом із цим важливо зазначити, що в усіх згаданих подорожах від першої, до п’ятої, туристи обов’язково (більше половини) скористалися послугами гостинності. Особливістю їх було те, що чим більша біла їхня інтенсивність, тим менше вони вдавалися до бронювання чи безпосереднього використання готелів або інших закладів розміщення. Якщо в першій поїздці лише 9% туристів обходилися без ночівель, то вже до п’ятої таких мандрівників налічувалася чверть. Під час своєї останньої подорожі до України 88% українців зупинялися на ніч, тоді як 12% подорожували впродовж одного дня без ночівлі. Найпоширеніша відповідь щодо кількості ночівель – п’ять ночей. Загалом, відповіді респондентів на запитання про те, скільки ночей вони провели під час своєї останньої подорожі до України, були досить різноманітними: більше третини відповіли, що 7-14 ночей, тоді як лише кілька відсотків сказали, що більше двох тижнів. Респонденти, які подорожували по Україні менше одного разу, витратили найбільше на свої поїздки у 2021 році 6 000 гривень. Зі збільшенням кількості поїздок найчастіше згадувана сума грошей зменшується і падає до половини від вищезазначеної. Якщо туристи користалися послугами туристичних фірм чи інших організацій, то вони витрачали від 5000 (чоловіки) до 4030 (жінки) грн. </w:t>
      </w:r>
      <w:proofErr w:type="spellStart"/>
      <w:r w:rsidRPr="005F0419">
        <w:rPr>
          <w:rFonts w:ascii="Times New Roman" w:eastAsia="Times New Roman" w:hAnsi="Times New Roman" w:cs="Times New Roman"/>
          <w:sz w:val="28"/>
          <w:szCs w:val="28"/>
          <w:lang w:val="uk-UA"/>
        </w:rPr>
        <w:t>Найбюджетнішими</w:t>
      </w:r>
      <w:proofErr w:type="spellEnd"/>
      <w:r w:rsidRPr="005F0419">
        <w:rPr>
          <w:rFonts w:ascii="Times New Roman" w:eastAsia="Times New Roman" w:hAnsi="Times New Roman" w:cs="Times New Roman"/>
          <w:sz w:val="28"/>
          <w:szCs w:val="28"/>
          <w:lang w:val="uk-UA"/>
        </w:rPr>
        <w:t xml:space="preserve"> в поїздках від </w:t>
      </w:r>
      <w:proofErr w:type="spellStart"/>
      <w:r w:rsidRPr="005F0419">
        <w:rPr>
          <w:rFonts w:ascii="Times New Roman" w:eastAsia="Times New Roman" w:hAnsi="Times New Roman" w:cs="Times New Roman"/>
          <w:sz w:val="28"/>
          <w:szCs w:val="28"/>
          <w:lang w:val="uk-UA"/>
        </w:rPr>
        <w:t>турагентів</w:t>
      </w:r>
      <w:proofErr w:type="spellEnd"/>
      <w:r w:rsidRPr="005F0419">
        <w:rPr>
          <w:rFonts w:ascii="Times New Roman" w:eastAsia="Times New Roman" w:hAnsi="Times New Roman" w:cs="Times New Roman"/>
          <w:sz w:val="28"/>
          <w:szCs w:val="28"/>
          <w:lang w:val="uk-UA"/>
        </w:rPr>
        <w:t xml:space="preserve"> і туроператорів були молодь (до 3550 грн.) і старші 55 років туристи (4150 грн.). </w:t>
      </w:r>
    </w:p>
    <w:p w14:paraId="1C7AFC59"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Двома основними видами дозвілля, яким люди надавали перевагу під час своєї останньої подорожі у 2021 році, були екскурсії (38%) та пляжний туризм (34%). Це відповідає загальним поглядам респондентів на те, як вони хотіли би провести свою відпустку. Оздоровчий і </w:t>
      </w:r>
      <w:proofErr w:type="spellStart"/>
      <w:r w:rsidRPr="005F0419">
        <w:rPr>
          <w:rFonts w:ascii="Times New Roman" w:eastAsia="Times New Roman" w:hAnsi="Times New Roman" w:cs="Times New Roman"/>
          <w:sz w:val="28"/>
          <w:szCs w:val="28"/>
          <w:lang w:val="uk-UA"/>
        </w:rPr>
        <w:t>велнес</w:t>
      </w:r>
      <w:proofErr w:type="spellEnd"/>
      <w:r w:rsidRPr="005F0419">
        <w:rPr>
          <w:rFonts w:ascii="Times New Roman" w:eastAsia="Times New Roman" w:hAnsi="Times New Roman" w:cs="Times New Roman"/>
          <w:sz w:val="28"/>
          <w:szCs w:val="28"/>
          <w:lang w:val="uk-UA"/>
        </w:rPr>
        <w:t>-туризм (10%) та участь у культурних заходах (8%) посіли далеке третє місце.</w:t>
      </w:r>
      <w:r w:rsidRPr="005F0419">
        <w:rPr>
          <w:rFonts w:ascii="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Серед вікових розбіжностей треба виділити те, що середнє покоління частіше за інші групи згадувало про пляжний відпочинок під час своєї останньої подорожі країною у 2021 році. </w:t>
      </w:r>
      <w:r w:rsidRPr="005F0419">
        <w:rPr>
          <w:rFonts w:ascii="Times New Roman" w:eastAsia="Times New Roman" w:hAnsi="Times New Roman" w:cs="Times New Roman"/>
          <w:sz w:val="28"/>
          <w:szCs w:val="28"/>
          <w:lang w:val="uk-UA"/>
        </w:rPr>
        <w:lastRenderedPageBreak/>
        <w:t>Своєю чергою старші респонденти у кілька разів частіше за молодь згадували лікувально-оздоровчий туризм.</w:t>
      </w:r>
      <w:r w:rsidRPr="005F0419">
        <w:rPr>
          <w:rFonts w:ascii="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Серед вікових відмінностей варто відзначити, що середнє покоління частіше, ніж будь-яка інша група, згадувало пляжний відпочинок (38%) під час своєї останньої подорожі у 2021 році. Люди старшого віку також у кілька разів частіше, ніж молодь, згадували про оздоровчий туризм – 22% 55 років і старші.</w:t>
      </w:r>
      <w:r w:rsidRPr="005F0419">
        <w:rPr>
          <w:rFonts w:ascii="Times New Roman" w:hAnsi="Times New Roman" w:cs="Times New Roman"/>
          <w:sz w:val="28"/>
          <w:szCs w:val="28"/>
          <w:lang w:val="uk-UA"/>
        </w:rPr>
        <w:t xml:space="preserve"> </w:t>
      </w:r>
    </w:p>
    <w:p w14:paraId="352FB2F5"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регіональній структурі спостерігаються лише невеликі відмінності, з дещо меншою часткою згадок про подорожі серед мешканців півдня та сходу. Респонденти із заходу також найменше згадували про пляжний відпочинок. У 2021 році респонденти з сільської місцевості дещо рідше, ніж респонденти з міст, цікавилися туризмом під час подорожей всередині країни, а також дещо частіше цікавилися пляжним туризмом. Опитувані з сіл також дещо рідше вказували, що брали або братимуть участь у культурних заходах. Загалом туристи з різних населених пунктів дали схожі відповіді на запитання про те, якому виду відпочинку вони надавали перевагу під час своєї останньої подорожі до України у 2021 році.</w:t>
      </w:r>
    </w:p>
    <w:p w14:paraId="01F12591"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Найпопулярнішим видом транспорту для подорожей в Україні є автомобіль, яким користуються більше половини туристів (52%). Він був на першому місці у їхніх відповідях. Поїздами та електричками користуються вдвічі рідше (25%), а автобусами (21%) – ще рідше. Інші види транспорту респонденти згадували в кілька разів менше. Молодь до 24 років більше подорожувала рейсовими автобусами, всі старші – легковими автомобілями, причому жінки та чоловіки однаково. Все ще вкрай низькою, на відміну від Європи на захід від України, є частка тих, хто подорожує в нас </w:t>
      </w:r>
      <w:proofErr w:type="spellStart"/>
      <w:r w:rsidRPr="005F0419">
        <w:rPr>
          <w:rFonts w:ascii="Times New Roman" w:eastAsia="Times New Roman" w:hAnsi="Times New Roman" w:cs="Times New Roman"/>
          <w:sz w:val="28"/>
          <w:szCs w:val="28"/>
          <w:lang w:val="uk-UA"/>
        </w:rPr>
        <w:t>кемперами</w:t>
      </w:r>
      <w:proofErr w:type="spellEnd"/>
      <w:r w:rsidRPr="005F0419">
        <w:rPr>
          <w:rFonts w:ascii="Times New Roman" w:eastAsia="Times New Roman" w:hAnsi="Times New Roman" w:cs="Times New Roman"/>
          <w:sz w:val="28"/>
          <w:szCs w:val="28"/>
          <w:lang w:val="uk-UA"/>
        </w:rPr>
        <w:t xml:space="preserve"> чи житловими трейлерами. Частота таких відповідей у кожній віковій групі не перевищувала 0,5%. </w:t>
      </w:r>
    </w:p>
    <w:p w14:paraId="1B3AE6DF"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Регіональний розподіл теж дуже відрізнявся. Легкові автомобілі частіше згадували мешканці заходу країни, тоді як у столиці – вдвічі більше за всіх – електричками та потягами. Враховуючи, що захід України є менше урбанізованим, то частіше подорожі на авто згадували якраз мешканці сіл, тоді </w:t>
      </w:r>
      <w:r w:rsidRPr="005F0419">
        <w:rPr>
          <w:rFonts w:ascii="Times New Roman" w:eastAsia="Times New Roman" w:hAnsi="Times New Roman" w:cs="Times New Roman"/>
          <w:sz w:val="28"/>
          <w:szCs w:val="28"/>
          <w:lang w:val="uk-UA"/>
        </w:rPr>
        <w:lastRenderedPageBreak/>
        <w:t>як міські громадяни подорожували більше потягом.</w:t>
      </w:r>
      <w:r w:rsidRPr="005F0419">
        <w:rPr>
          <w:rFonts w:ascii="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На вибір виду транспорту для подорожі за кордон не дуже впливає стать чи вік мандрівника, але існують певні відмінності між людьми, які живуть у різних населених пунктах та регіонах України. Мешканці великих міст частіше подорожують літаком, тоді як мешканці малих міст, сіл та селищ частіше подорожують автомобілем. Жителі західних областей частіше використовують для поїздок за кордон власний автомобіль (з родичами, друзями чи колегами) або автобус, особливо до Європи, ніж українці в інших регіонах.  </w:t>
      </w:r>
    </w:p>
    <w:p w14:paraId="3DB7BF86"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Поведінка споживачів стосовно послуг гостинності є також диференційованою і одночасно полярною. Більшість туристів України використовує у виборі свого розміщення або бюджетні варіанти без додаткових послуг, або ж </w:t>
      </w:r>
      <w:proofErr w:type="spellStart"/>
      <w:r w:rsidRPr="005F0419">
        <w:rPr>
          <w:rFonts w:ascii="Times New Roman" w:eastAsia="Times New Roman" w:hAnsi="Times New Roman" w:cs="Times New Roman"/>
          <w:sz w:val="28"/>
          <w:szCs w:val="28"/>
          <w:lang w:val="uk-UA"/>
        </w:rPr>
        <w:t>дороговартісні</w:t>
      </w:r>
      <w:proofErr w:type="spellEnd"/>
      <w:r w:rsidRPr="005F0419">
        <w:rPr>
          <w:rFonts w:ascii="Times New Roman" w:eastAsia="Times New Roman" w:hAnsi="Times New Roman" w:cs="Times New Roman"/>
          <w:sz w:val="28"/>
          <w:szCs w:val="28"/>
          <w:lang w:val="uk-UA"/>
        </w:rPr>
        <w:t xml:space="preserve"> з широким комплексом послуг гостинності. Найперше, це оренда квартир </w:t>
      </w:r>
      <w:proofErr w:type="spellStart"/>
      <w:r w:rsidRPr="005F0419">
        <w:rPr>
          <w:rFonts w:ascii="Times New Roman" w:eastAsia="Times New Roman" w:hAnsi="Times New Roman" w:cs="Times New Roman"/>
          <w:sz w:val="28"/>
          <w:szCs w:val="28"/>
          <w:lang w:val="uk-UA"/>
        </w:rPr>
        <w:t>подобово</w:t>
      </w:r>
      <w:proofErr w:type="spellEnd"/>
      <w:r w:rsidRPr="005F0419">
        <w:rPr>
          <w:rFonts w:ascii="Times New Roman" w:eastAsia="Times New Roman" w:hAnsi="Times New Roman" w:cs="Times New Roman"/>
          <w:sz w:val="28"/>
          <w:szCs w:val="28"/>
          <w:lang w:val="uk-UA"/>
        </w:rPr>
        <w:t xml:space="preserve"> – 26% (аналог сервісу житла такого типу </w:t>
      </w:r>
      <w:proofErr w:type="spellStart"/>
      <w:r w:rsidRPr="005F0419">
        <w:rPr>
          <w:rFonts w:ascii="Times New Roman" w:eastAsia="Times New Roman" w:hAnsi="Times New Roman" w:cs="Times New Roman"/>
          <w:sz w:val="28"/>
          <w:szCs w:val="28"/>
          <w:lang w:val="uk-UA"/>
        </w:rPr>
        <w:t>Airbnb</w:t>
      </w:r>
      <w:proofErr w:type="spellEnd"/>
      <w:r w:rsidRPr="005F0419">
        <w:rPr>
          <w:rFonts w:ascii="Times New Roman" w:eastAsia="Times New Roman" w:hAnsi="Times New Roman" w:cs="Times New Roman"/>
          <w:sz w:val="28"/>
          <w:szCs w:val="28"/>
          <w:lang w:val="uk-UA"/>
        </w:rPr>
        <w:t xml:space="preserve">) або ж зупинка у друзів чи знайомих (17%). Все що стосується готельних послуг, то на бюджетні готелі, готелі 4*, 5*, табори та бази відпочинку припадає по 7%. </w:t>
      </w:r>
      <w:proofErr w:type="spellStart"/>
      <w:r w:rsidRPr="005F0419">
        <w:rPr>
          <w:rFonts w:ascii="Times New Roman" w:eastAsia="Times New Roman" w:hAnsi="Times New Roman" w:cs="Times New Roman"/>
          <w:sz w:val="28"/>
          <w:szCs w:val="28"/>
          <w:lang w:val="uk-UA"/>
        </w:rPr>
        <w:t>Хостели</w:t>
      </w:r>
      <w:proofErr w:type="spellEnd"/>
      <w:r w:rsidRPr="005F0419">
        <w:rPr>
          <w:rFonts w:ascii="Times New Roman" w:eastAsia="Times New Roman" w:hAnsi="Times New Roman" w:cs="Times New Roman"/>
          <w:sz w:val="28"/>
          <w:szCs w:val="28"/>
          <w:lang w:val="uk-UA"/>
        </w:rPr>
        <w:t>, особливо в час пандемії, є ще менше популярними. Ними скористалися лише 5% всіх подорожуючих, причому більшість із них була молодь до 24 років. Також молодші вікові групи частіше згадували про оренду квартир чи будинків. Старші туристи більше схилялися до зупинки під час подорожі у друзів чи знайомих (табл. 10).</w:t>
      </w:r>
    </w:p>
    <w:p w14:paraId="2B502CE5" w14:textId="77777777" w:rsidR="007E234D"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розподілі уподобань між віковими категоріями стосовно класичних готелів різної </w:t>
      </w:r>
      <w:proofErr w:type="spellStart"/>
      <w:r w:rsidRPr="005F0419">
        <w:rPr>
          <w:rFonts w:ascii="Times New Roman" w:eastAsia="Times New Roman" w:hAnsi="Times New Roman" w:cs="Times New Roman"/>
          <w:sz w:val="28"/>
          <w:szCs w:val="28"/>
          <w:lang w:val="uk-UA"/>
        </w:rPr>
        <w:t>зірковості</w:t>
      </w:r>
      <w:proofErr w:type="spellEnd"/>
      <w:r w:rsidRPr="005F0419">
        <w:rPr>
          <w:rFonts w:ascii="Times New Roman" w:eastAsia="Times New Roman" w:hAnsi="Times New Roman" w:cs="Times New Roman"/>
          <w:sz w:val="28"/>
          <w:szCs w:val="28"/>
          <w:lang w:val="uk-UA"/>
        </w:rPr>
        <w:t xml:space="preserve"> ніяких розбіжностей не було. Всі вони </w:t>
      </w:r>
      <w:proofErr w:type="spellStart"/>
      <w:r w:rsidRPr="005F0419">
        <w:rPr>
          <w:rFonts w:ascii="Times New Roman" w:eastAsia="Times New Roman" w:hAnsi="Times New Roman" w:cs="Times New Roman"/>
          <w:sz w:val="28"/>
          <w:szCs w:val="28"/>
          <w:lang w:val="uk-UA"/>
        </w:rPr>
        <w:t>пропорційно</w:t>
      </w:r>
      <w:proofErr w:type="spellEnd"/>
      <w:r w:rsidRPr="005F0419">
        <w:rPr>
          <w:rFonts w:ascii="Times New Roman" w:eastAsia="Times New Roman" w:hAnsi="Times New Roman" w:cs="Times New Roman"/>
          <w:sz w:val="28"/>
          <w:szCs w:val="28"/>
          <w:lang w:val="uk-UA"/>
        </w:rPr>
        <w:t xml:space="preserve"> однаково відповідали на ці варіанти відповіді, з яких найменша частота згадування припадала на 1-2* готелі або ж 5*. За аналізом регіональної структури також ніякий із них не виокремився в окрему групу. У всіх регіонах відповідали однаково, за винятком столиці. В ній більшу перевагу надають або оренді житла в квартирах чи будинках, або ж у дорожчих готелях від 4*. Якщо врахувати тих, хто в подорожах скористався послугами </w:t>
      </w:r>
      <w:proofErr w:type="spellStart"/>
      <w:r w:rsidRPr="005F0419">
        <w:rPr>
          <w:rFonts w:ascii="Times New Roman" w:eastAsia="Times New Roman" w:hAnsi="Times New Roman" w:cs="Times New Roman"/>
          <w:sz w:val="28"/>
          <w:szCs w:val="28"/>
          <w:lang w:val="uk-UA"/>
        </w:rPr>
        <w:t>турагентів</w:t>
      </w:r>
      <w:proofErr w:type="spellEnd"/>
      <w:r w:rsidRPr="005F0419">
        <w:rPr>
          <w:rFonts w:ascii="Times New Roman" w:eastAsia="Times New Roman" w:hAnsi="Times New Roman" w:cs="Times New Roman"/>
          <w:sz w:val="28"/>
          <w:szCs w:val="28"/>
          <w:lang w:val="uk-UA"/>
        </w:rPr>
        <w:t xml:space="preserve"> чи туроператорів, то послуги гостинності найчастіше йшли в пакеті з туристичним сервісом (60%), а найбільше схилялися до такого варіанту старші за 55 років туристи (67%). </w:t>
      </w:r>
    </w:p>
    <w:p w14:paraId="3DD7150C" w14:textId="77777777" w:rsidR="007E234D" w:rsidRPr="005F0419" w:rsidRDefault="007E234D" w:rsidP="007E234D">
      <w:pPr>
        <w:spacing w:after="0" w:line="360" w:lineRule="auto"/>
        <w:ind w:firstLine="720"/>
        <w:jc w:val="right"/>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Таблиця 10</w:t>
      </w:r>
    </w:p>
    <w:p w14:paraId="7F4F4E9D" w14:textId="77777777" w:rsidR="007E234D" w:rsidRPr="005F0419" w:rsidRDefault="007E234D" w:rsidP="007E234D">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Тип розміщення, якому надали перевагу туристи під час останньої подорожі Україною в залежності від віку респондентів, % [28]</w:t>
      </w:r>
    </w:p>
    <w:tbl>
      <w:tblPr>
        <w:tblStyle w:val="ab"/>
        <w:tblW w:w="10060" w:type="dxa"/>
        <w:tblLook w:val="04A0" w:firstRow="1" w:lastRow="0" w:firstColumn="1" w:lastColumn="0" w:noHBand="0" w:noVBand="1"/>
      </w:tblPr>
      <w:tblGrid>
        <w:gridCol w:w="5073"/>
        <w:gridCol w:w="1022"/>
        <w:gridCol w:w="1023"/>
        <w:gridCol w:w="1023"/>
        <w:gridCol w:w="933"/>
        <w:gridCol w:w="986"/>
      </w:tblGrid>
      <w:tr w:rsidR="007E234D" w:rsidRPr="005F0419" w14:paraId="1BE85B8B" w14:textId="77777777" w:rsidTr="007C43B0">
        <w:tc>
          <w:tcPr>
            <w:tcW w:w="5073" w:type="dxa"/>
            <w:vMerge w:val="restart"/>
          </w:tcPr>
          <w:p w14:paraId="2087D466"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Тип розміщення</w:t>
            </w:r>
          </w:p>
        </w:tc>
        <w:tc>
          <w:tcPr>
            <w:tcW w:w="4987" w:type="dxa"/>
            <w:gridSpan w:val="5"/>
          </w:tcPr>
          <w:p w14:paraId="15EC0E2C"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Вік</w:t>
            </w:r>
          </w:p>
        </w:tc>
      </w:tr>
      <w:tr w:rsidR="007E234D" w:rsidRPr="005F0419" w14:paraId="513D3929" w14:textId="77777777" w:rsidTr="007C43B0">
        <w:tc>
          <w:tcPr>
            <w:tcW w:w="5073" w:type="dxa"/>
            <w:vMerge/>
          </w:tcPr>
          <w:p w14:paraId="3C0CA7C2"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p>
        </w:tc>
        <w:tc>
          <w:tcPr>
            <w:tcW w:w="1022" w:type="dxa"/>
          </w:tcPr>
          <w:p w14:paraId="4C8C8329"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15-24 </w:t>
            </w:r>
          </w:p>
        </w:tc>
        <w:tc>
          <w:tcPr>
            <w:tcW w:w="1023" w:type="dxa"/>
          </w:tcPr>
          <w:p w14:paraId="459092E3"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25-34 </w:t>
            </w:r>
          </w:p>
        </w:tc>
        <w:tc>
          <w:tcPr>
            <w:tcW w:w="1023" w:type="dxa"/>
          </w:tcPr>
          <w:p w14:paraId="565FE3E2"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35-44 </w:t>
            </w:r>
          </w:p>
        </w:tc>
        <w:tc>
          <w:tcPr>
            <w:tcW w:w="933" w:type="dxa"/>
          </w:tcPr>
          <w:p w14:paraId="37B631A4"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45-54 </w:t>
            </w:r>
          </w:p>
        </w:tc>
        <w:tc>
          <w:tcPr>
            <w:tcW w:w="986" w:type="dxa"/>
          </w:tcPr>
          <w:p w14:paraId="639B2091"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55-70</w:t>
            </w:r>
          </w:p>
        </w:tc>
      </w:tr>
      <w:tr w:rsidR="007E234D" w:rsidRPr="005F0419" w14:paraId="7E6891C3" w14:textId="77777777" w:rsidTr="007C43B0">
        <w:tc>
          <w:tcPr>
            <w:tcW w:w="5073" w:type="dxa"/>
          </w:tcPr>
          <w:p w14:paraId="34C6B59C"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Орендована квартира, будинок</w:t>
            </w:r>
          </w:p>
        </w:tc>
        <w:tc>
          <w:tcPr>
            <w:tcW w:w="1022" w:type="dxa"/>
          </w:tcPr>
          <w:p w14:paraId="4631E1BC"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26 </w:t>
            </w:r>
          </w:p>
        </w:tc>
        <w:tc>
          <w:tcPr>
            <w:tcW w:w="1023" w:type="dxa"/>
          </w:tcPr>
          <w:p w14:paraId="02ADCEC1"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30 </w:t>
            </w:r>
          </w:p>
        </w:tc>
        <w:tc>
          <w:tcPr>
            <w:tcW w:w="1023" w:type="dxa"/>
          </w:tcPr>
          <w:p w14:paraId="60E17357"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28 </w:t>
            </w:r>
          </w:p>
        </w:tc>
        <w:tc>
          <w:tcPr>
            <w:tcW w:w="933" w:type="dxa"/>
          </w:tcPr>
          <w:p w14:paraId="4412B769"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24 </w:t>
            </w:r>
          </w:p>
        </w:tc>
        <w:tc>
          <w:tcPr>
            <w:tcW w:w="986" w:type="dxa"/>
          </w:tcPr>
          <w:p w14:paraId="1D1309B8"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21</w:t>
            </w:r>
          </w:p>
        </w:tc>
      </w:tr>
      <w:tr w:rsidR="007E234D" w:rsidRPr="005F0419" w14:paraId="7DC60084" w14:textId="77777777" w:rsidTr="007C43B0">
        <w:tc>
          <w:tcPr>
            <w:tcW w:w="5073" w:type="dxa"/>
          </w:tcPr>
          <w:p w14:paraId="0CACCF58"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У родичів / друзів / знайомих</w:t>
            </w:r>
          </w:p>
        </w:tc>
        <w:tc>
          <w:tcPr>
            <w:tcW w:w="1022" w:type="dxa"/>
          </w:tcPr>
          <w:p w14:paraId="5C9B0CDA"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17 </w:t>
            </w:r>
          </w:p>
        </w:tc>
        <w:tc>
          <w:tcPr>
            <w:tcW w:w="1023" w:type="dxa"/>
          </w:tcPr>
          <w:p w14:paraId="4348F5A4"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14 </w:t>
            </w:r>
          </w:p>
        </w:tc>
        <w:tc>
          <w:tcPr>
            <w:tcW w:w="1023" w:type="dxa"/>
          </w:tcPr>
          <w:p w14:paraId="61046460"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16 </w:t>
            </w:r>
          </w:p>
        </w:tc>
        <w:tc>
          <w:tcPr>
            <w:tcW w:w="933" w:type="dxa"/>
          </w:tcPr>
          <w:p w14:paraId="008BA1E0"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18 </w:t>
            </w:r>
          </w:p>
        </w:tc>
        <w:tc>
          <w:tcPr>
            <w:tcW w:w="986" w:type="dxa"/>
          </w:tcPr>
          <w:p w14:paraId="07CDD08A"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23</w:t>
            </w:r>
          </w:p>
        </w:tc>
      </w:tr>
      <w:tr w:rsidR="007E234D" w:rsidRPr="005F0419" w14:paraId="1D762AF9" w14:textId="77777777" w:rsidTr="007C43B0">
        <w:tc>
          <w:tcPr>
            <w:tcW w:w="5073" w:type="dxa"/>
          </w:tcPr>
          <w:p w14:paraId="300ED11C"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Хостел</w:t>
            </w:r>
            <w:proofErr w:type="spellEnd"/>
          </w:p>
        </w:tc>
        <w:tc>
          <w:tcPr>
            <w:tcW w:w="1022" w:type="dxa"/>
          </w:tcPr>
          <w:p w14:paraId="4378F8DC"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 </w:t>
            </w:r>
          </w:p>
        </w:tc>
        <w:tc>
          <w:tcPr>
            <w:tcW w:w="1023" w:type="dxa"/>
          </w:tcPr>
          <w:p w14:paraId="12EFFA06"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 </w:t>
            </w:r>
          </w:p>
        </w:tc>
        <w:tc>
          <w:tcPr>
            <w:tcW w:w="1023" w:type="dxa"/>
          </w:tcPr>
          <w:p w14:paraId="1B577373"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 </w:t>
            </w:r>
          </w:p>
        </w:tc>
        <w:tc>
          <w:tcPr>
            <w:tcW w:w="933" w:type="dxa"/>
          </w:tcPr>
          <w:p w14:paraId="04F4D042"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 </w:t>
            </w:r>
          </w:p>
        </w:tc>
        <w:tc>
          <w:tcPr>
            <w:tcW w:w="986" w:type="dxa"/>
          </w:tcPr>
          <w:p w14:paraId="3EE62069"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w:t>
            </w:r>
          </w:p>
        </w:tc>
      </w:tr>
      <w:tr w:rsidR="007E234D" w:rsidRPr="005F0419" w14:paraId="7F4B1361" w14:textId="77777777" w:rsidTr="007C43B0">
        <w:tc>
          <w:tcPr>
            <w:tcW w:w="5073" w:type="dxa"/>
          </w:tcPr>
          <w:p w14:paraId="595B493A"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Табори, бази відпочинку</w:t>
            </w:r>
          </w:p>
        </w:tc>
        <w:tc>
          <w:tcPr>
            <w:tcW w:w="1022" w:type="dxa"/>
          </w:tcPr>
          <w:p w14:paraId="1E152DCF"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5 </w:t>
            </w:r>
          </w:p>
        </w:tc>
        <w:tc>
          <w:tcPr>
            <w:tcW w:w="1023" w:type="dxa"/>
          </w:tcPr>
          <w:p w14:paraId="2D8B1BB8"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 </w:t>
            </w:r>
          </w:p>
        </w:tc>
        <w:tc>
          <w:tcPr>
            <w:tcW w:w="1023" w:type="dxa"/>
          </w:tcPr>
          <w:p w14:paraId="4CB31A30"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 </w:t>
            </w:r>
          </w:p>
        </w:tc>
        <w:tc>
          <w:tcPr>
            <w:tcW w:w="933" w:type="dxa"/>
          </w:tcPr>
          <w:p w14:paraId="0E00940F"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 </w:t>
            </w:r>
          </w:p>
        </w:tc>
        <w:tc>
          <w:tcPr>
            <w:tcW w:w="986" w:type="dxa"/>
          </w:tcPr>
          <w:p w14:paraId="473CB726"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8</w:t>
            </w:r>
          </w:p>
        </w:tc>
      </w:tr>
      <w:tr w:rsidR="007E234D" w:rsidRPr="005F0419" w14:paraId="10AE503E" w14:textId="77777777" w:rsidTr="007C43B0">
        <w:tc>
          <w:tcPr>
            <w:tcW w:w="5073" w:type="dxa"/>
          </w:tcPr>
          <w:p w14:paraId="7E3363A0"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Бюджетний готель</w:t>
            </w:r>
          </w:p>
        </w:tc>
        <w:tc>
          <w:tcPr>
            <w:tcW w:w="1022" w:type="dxa"/>
          </w:tcPr>
          <w:p w14:paraId="1481E6D7"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 </w:t>
            </w:r>
          </w:p>
        </w:tc>
        <w:tc>
          <w:tcPr>
            <w:tcW w:w="1023" w:type="dxa"/>
          </w:tcPr>
          <w:p w14:paraId="5681875E"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 </w:t>
            </w:r>
          </w:p>
        </w:tc>
        <w:tc>
          <w:tcPr>
            <w:tcW w:w="1023" w:type="dxa"/>
          </w:tcPr>
          <w:p w14:paraId="42330301"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 </w:t>
            </w:r>
          </w:p>
        </w:tc>
        <w:tc>
          <w:tcPr>
            <w:tcW w:w="933" w:type="dxa"/>
          </w:tcPr>
          <w:p w14:paraId="3A071FBF"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 </w:t>
            </w:r>
          </w:p>
        </w:tc>
        <w:tc>
          <w:tcPr>
            <w:tcW w:w="986" w:type="dxa"/>
          </w:tcPr>
          <w:p w14:paraId="3E59A8D2"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w:t>
            </w:r>
          </w:p>
        </w:tc>
      </w:tr>
      <w:tr w:rsidR="007E234D" w:rsidRPr="005F0419" w14:paraId="2EEB0F90" w14:textId="77777777" w:rsidTr="007C43B0">
        <w:tc>
          <w:tcPr>
            <w:tcW w:w="5073" w:type="dxa"/>
          </w:tcPr>
          <w:p w14:paraId="0A4906BC"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Готель 5 зірок</w:t>
            </w:r>
          </w:p>
        </w:tc>
        <w:tc>
          <w:tcPr>
            <w:tcW w:w="1022" w:type="dxa"/>
          </w:tcPr>
          <w:p w14:paraId="2E941438"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 </w:t>
            </w:r>
          </w:p>
        </w:tc>
        <w:tc>
          <w:tcPr>
            <w:tcW w:w="1023" w:type="dxa"/>
          </w:tcPr>
          <w:p w14:paraId="01D86B7C"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 </w:t>
            </w:r>
          </w:p>
        </w:tc>
        <w:tc>
          <w:tcPr>
            <w:tcW w:w="1023" w:type="dxa"/>
          </w:tcPr>
          <w:p w14:paraId="66A01DEE"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 </w:t>
            </w:r>
          </w:p>
        </w:tc>
        <w:tc>
          <w:tcPr>
            <w:tcW w:w="933" w:type="dxa"/>
          </w:tcPr>
          <w:p w14:paraId="27A921E9"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 </w:t>
            </w:r>
          </w:p>
        </w:tc>
        <w:tc>
          <w:tcPr>
            <w:tcW w:w="986" w:type="dxa"/>
          </w:tcPr>
          <w:p w14:paraId="1E86A816"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w:t>
            </w:r>
          </w:p>
        </w:tc>
      </w:tr>
      <w:tr w:rsidR="007E234D" w:rsidRPr="005F0419" w14:paraId="5922C605" w14:textId="77777777" w:rsidTr="007C43B0">
        <w:tc>
          <w:tcPr>
            <w:tcW w:w="5073" w:type="dxa"/>
          </w:tcPr>
          <w:p w14:paraId="0AC0CA4D"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Готель 4 зірки</w:t>
            </w:r>
          </w:p>
        </w:tc>
        <w:tc>
          <w:tcPr>
            <w:tcW w:w="1022" w:type="dxa"/>
          </w:tcPr>
          <w:p w14:paraId="211DAE49"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 </w:t>
            </w:r>
          </w:p>
        </w:tc>
        <w:tc>
          <w:tcPr>
            <w:tcW w:w="1023" w:type="dxa"/>
          </w:tcPr>
          <w:p w14:paraId="0AB3F6D9"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9 </w:t>
            </w:r>
          </w:p>
        </w:tc>
        <w:tc>
          <w:tcPr>
            <w:tcW w:w="1023" w:type="dxa"/>
          </w:tcPr>
          <w:p w14:paraId="35118B85"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 </w:t>
            </w:r>
          </w:p>
        </w:tc>
        <w:tc>
          <w:tcPr>
            <w:tcW w:w="933" w:type="dxa"/>
          </w:tcPr>
          <w:p w14:paraId="7D2238FE"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6 </w:t>
            </w:r>
          </w:p>
        </w:tc>
        <w:tc>
          <w:tcPr>
            <w:tcW w:w="986" w:type="dxa"/>
          </w:tcPr>
          <w:p w14:paraId="24F153A6"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w:t>
            </w:r>
          </w:p>
        </w:tc>
      </w:tr>
      <w:tr w:rsidR="007E234D" w:rsidRPr="005F0419" w14:paraId="36E2F42B" w14:textId="77777777" w:rsidTr="007C43B0">
        <w:tc>
          <w:tcPr>
            <w:tcW w:w="5073" w:type="dxa"/>
          </w:tcPr>
          <w:p w14:paraId="261388EE"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Готель 3 зірки</w:t>
            </w:r>
          </w:p>
        </w:tc>
        <w:tc>
          <w:tcPr>
            <w:tcW w:w="1022" w:type="dxa"/>
          </w:tcPr>
          <w:p w14:paraId="5678E781"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 </w:t>
            </w:r>
          </w:p>
        </w:tc>
        <w:tc>
          <w:tcPr>
            <w:tcW w:w="1023" w:type="dxa"/>
          </w:tcPr>
          <w:p w14:paraId="77561FEB"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 </w:t>
            </w:r>
          </w:p>
        </w:tc>
        <w:tc>
          <w:tcPr>
            <w:tcW w:w="1023" w:type="dxa"/>
          </w:tcPr>
          <w:p w14:paraId="3E137554"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8 </w:t>
            </w:r>
          </w:p>
        </w:tc>
        <w:tc>
          <w:tcPr>
            <w:tcW w:w="933" w:type="dxa"/>
          </w:tcPr>
          <w:p w14:paraId="0B88F435"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7 </w:t>
            </w:r>
          </w:p>
        </w:tc>
        <w:tc>
          <w:tcPr>
            <w:tcW w:w="986" w:type="dxa"/>
          </w:tcPr>
          <w:p w14:paraId="200D3CD1"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7</w:t>
            </w:r>
          </w:p>
        </w:tc>
      </w:tr>
      <w:tr w:rsidR="007E234D" w:rsidRPr="005F0419" w14:paraId="33DB062E" w14:textId="77777777" w:rsidTr="007C43B0">
        <w:tc>
          <w:tcPr>
            <w:tcW w:w="5073" w:type="dxa"/>
          </w:tcPr>
          <w:p w14:paraId="3BBDF215"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Готель 2 або 1 зірка</w:t>
            </w:r>
          </w:p>
        </w:tc>
        <w:tc>
          <w:tcPr>
            <w:tcW w:w="1022" w:type="dxa"/>
          </w:tcPr>
          <w:p w14:paraId="00FCEF04"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 </w:t>
            </w:r>
          </w:p>
        </w:tc>
        <w:tc>
          <w:tcPr>
            <w:tcW w:w="1023" w:type="dxa"/>
          </w:tcPr>
          <w:p w14:paraId="026A28B3"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 </w:t>
            </w:r>
          </w:p>
        </w:tc>
        <w:tc>
          <w:tcPr>
            <w:tcW w:w="1023" w:type="dxa"/>
          </w:tcPr>
          <w:p w14:paraId="3DA81001"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 </w:t>
            </w:r>
          </w:p>
        </w:tc>
        <w:tc>
          <w:tcPr>
            <w:tcW w:w="933" w:type="dxa"/>
          </w:tcPr>
          <w:p w14:paraId="737AC572"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 </w:t>
            </w:r>
          </w:p>
        </w:tc>
        <w:tc>
          <w:tcPr>
            <w:tcW w:w="986" w:type="dxa"/>
          </w:tcPr>
          <w:p w14:paraId="47F59828"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w:t>
            </w:r>
          </w:p>
        </w:tc>
      </w:tr>
      <w:tr w:rsidR="007E234D" w:rsidRPr="005F0419" w14:paraId="41C2D02D" w14:textId="77777777" w:rsidTr="007C43B0">
        <w:tc>
          <w:tcPr>
            <w:tcW w:w="5073" w:type="dxa"/>
          </w:tcPr>
          <w:p w14:paraId="7488EFC5"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Зелена садиба (традиційне </w:t>
            </w:r>
            <w:proofErr w:type="spellStart"/>
            <w:r w:rsidRPr="005F0419">
              <w:rPr>
                <w:rFonts w:ascii="Times New Roman" w:eastAsia="Times New Roman" w:hAnsi="Times New Roman" w:cs="Times New Roman"/>
                <w:sz w:val="28"/>
                <w:szCs w:val="28"/>
                <w:lang w:val="uk-UA"/>
              </w:rPr>
              <w:t>екопоселення</w:t>
            </w:r>
            <w:proofErr w:type="spellEnd"/>
            <w:r w:rsidRPr="005F0419">
              <w:rPr>
                <w:rFonts w:ascii="Times New Roman" w:eastAsia="Times New Roman" w:hAnsi="Times New Roman" w:cs="Times New Roman"/>
                <w:sz w:val="28"/>
                <w:szCs w:val="28"/>
                <w:lang w:val="uk-UA"/>
              </w:rPr>
              <w:t>)</w:t>
            </w:r>
          </w:p>
        </w:tc>
        <w:tc>
          <w:tcPr>
            <w:tcW w:w="1022" w:type="dxa"/>
          </w:tcPr>
          <w:p w14:paraId="44634955"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 </w:t>
            </w:r>
          </w:p>
        </w:tc>
        <w:tc>
          <w:tcPr>
            <w:tcW w:w="1023" w:type="dxa"/>
          </w:tcPr>
          <w:p w14:paraId="300129F5"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 </w:t>
            </w:r>
          </w:p>
        </w:tc>
        <w:tc>
          <w:tcPr>
            <w:tcW w:w="1023" w:type="dxa"/>
          </w:tcPr>
          <w:p w14:paraId="37B35AF2"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 </w:t>
            </w:r>
          </w:p>
        </w:tc>
        <w:tc>
          <w:tcPr>
            <w:tcW w:w="933" w:type="dxa"/>
          </w:tcPr>
          <w:p w14:paraId="76B4BF91"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 </w:t>
            </w:r>
          </w:p>
        </w:tc>
        <w:tc>
          <w:tcPr>
            <w:tcW w:w="986" w:type="dxa"/>
          </w:tcPr>
          <w:p w14:paraId="0F260CB9"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w:t>
            </w:r>
          </w:p>
        </w:tc>
      </w:tr>
      <w:tr w:rsidR="007E234D" w:rsidRPr="005F0419" w14:paraId="1CFF6645" w14:textId="77777777" w:rsidTr="007C43B0">
        <w:tc>
          <w:tcPr>
            <w:tcW w:w="5073" w:type="dxa"/>
          </w:tcPr>
          <w:p w14:paraId="69B92650"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Власний будинок / квартира / дачний</w:t>
            </w:r>
          </w:p>
          <w:p w14:paraId="7EFFAE57"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котедж</w:t>
            </w:r>
          </w:p>
        </w:tc>
        <w:tc>
          <w:tcPr>
            <w:tcW w:w="1022" w:type="dxa"/>
          </w:tcPr>
          <w:p w14:paraId="31D0334C"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 </w:t>
            </w:r>
          </w:p>
        </w:tc>
        <w:tc>
          <w:tcPr>
            <w:tcW w:w="1023" w:type="dxa"/>
          </w:tcPr>
          <w:p w14:paraId="1B4CAF79"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 </w:t>
            </w:r>
          </w:p>
        </w:tc>
        <w:tc>
          <w:tcPr>
            <w:tcW w:w="1023" w:type="dxa"/>
          </w:tcPr>
          <w:p w14:paraId="67F465A9"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 </w:t>
            </w:r>
          </w:p>
        </w:tc>
        <w:tc>
          <w:tcPr>
            <w:tcW w:w="933" w:type="dxa"/>
          </w:tcPr>
          <w:p w14:paraId="25ECE0C8"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 </w:t>
            </w:r>
          </w:p>
        </w:tc>
        <w:tc>
          <w:tcPr>
            <w:tcW w:w="986" w:type="dxa"/>
          </w:tcPr>
          <w:p w14:paraId="0B783113"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w:t>
            </w:r>
          </w:p>
        </w:tc>
      </w:tr>
      <w:tr w:rsidR="007E234D" w:rsidRPr="005F0419" w14:paraId="2F855FE1" w14:textId="77777777" w:rsidTr="007C43B0">
        <w:tc>
          <w:tcPr>
            <w:tcW w:w="5073" w:type="dxa"/>
          </w:tcPr>
          <w:p w14:paraId="0D0319AB"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Медичні або рекреаційні центри</w:t>
            </w:r>
          </w:p>
        </w:tc>
        <w:tc>
          <w:tcPr>
            <w:tcW w:w="1022" w:type="dxa"/>
          </w:tcPr>
          <w:p w14:paraId="4AFC7C3A"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 </w:t>
            </w:r>
          </w:p>
        </w:tc>
        <w:tc>
          <w:tcPr>
            <w:tcW w:w="1023" w:type="dxa"/>
          </w:tcPr>
          <w:p w14:paraId="5336A55F"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 </w:t>
            </w:r>
          </w:p>
        </w:tc>
        <w:tc>
          <w:tcPr>
            <w:tcW w:w="1023" w:type="dxa"/>
          </w:tcPr>
          <w:p w14:paraId="7273015B"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 </w:t>
            </w:r>
          </w:p>
        </w:tc>
        <w:tc>
          <w:tcPr>
            <w:tcW w:w="933" w:type="dxa"/>
          </w:tcPr>
          <w:p w14:paraId="4107E3B7"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 </w:t>
            </w:r>
          </w:p>
        </w:tc>
        <w:tc>
          <w:tcPr>
            <w:tcW w:w="986" w:type="dxa"/>
          </w:tcPr>
          <w:p w14:paraId="66B7AD6F"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w:t>
            </w:r>
          </w:p>
        </w:tc>
      </w:tr>
      <w:tr w:rsidR="007E234D" w:rsidRPr="005F0419" w14:paraId="131E2B3A" w14:textId="77777777" w:rsidTr="007C43B0">
        <w:tc>
          <w:tcPr>
            <w:tcW w:w="5073" w:type="dxa"/>
          </w:tcPr>
          <w:p w14:paraId="2ABC0B70"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Автобудинок</w:t>
            </w:r>
            <w:proofErr w:type="spellEnd"/>
            <w:r w:rsidRPr="005F0419">
              <w:rPr>
                <w:rFonts w:ascii="Times New Roman" w:eastAsia="Times New Roman" w:hAnsi="Times New Roman" w:cs="Times New Roman"/>
                <w:sz w:val="28"/>
                <w:szCs w:val="28"/>
                <w:lang w:val="uk-UA"/>
              </w:rPr>
              <w:t>/автопричіп/будинок/намет</w:t>
            </w:r>
          </w:p>
          <w:p w14:paraId="0B0F9338"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у платному кемпінгу</w:t>
            </w:r>
          </w:p>
        </w:tc>
        <w:tc>
          <w:tcPr>
            <w:tcW w:w="1022" w:type="dxa"/>
          </w:tcPr>
          <w:p w14:paraId="6F8F826A"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 </w:t>
            </w:r>
          </w:p>
        </w:tc>
        <w:tc>
          <w:tcPr>
            <w:tcW w:w="1023" w:type="dxa"/>
          </w:tcPr>
          <w:p w14:paraId="6F8B09C0"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 </w:t>
            </w:r>
          </w:p>
        </w:tc>
        <w:tc>
          <w:tcPr>
            <w:tcW w:w="1023" w:type="dxa"/>
          </w:tcPr>
          <w:p w14:paraId="440204A9"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 </w:t>
            </w:r>
          </w:p>
        </w:tc>
        <w:tc>
          <w:tcPr>
            <w:tcW w:w="933" w:type="dxa"/>
          </w:tcPr>
          <w:p w14:paraId="1C798F41"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 </w:t>
            </w:r>
          </w:p>
        </w:tc>
        <w:tc>
          <w:tcPr>
            <w:tcW w:w="986" w:type="dxa"/>
          </w:tcPr>
          <w:p w14:paraId="7E796B81"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w:t>
            </w:r>
          </w:p>
        </w:tc>
      </w:tr>
      <w:tr w:rsidR="007E234D" w:rsidRPr="005F0419" w14:paraId="526C56FE" w14:textId="77777777" w:rsidTr="007C43B0">
        <w:tc>
          <w:tcPr>
            <w:tcW w:w="5073" w:type="dxa"/>
          </w:tcPr>
          <w:p w14:paraId="076D1130"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Не ночували під час останньої подорожі</w:t>
            </w:r>
          </w:p>
        </w:tc>
        <w:tc>
          <w:tcPr>
            <w:tcW w:w="1022" w:type="dxa"/>
          </w:tcPr>
          <w:p w14:paraId="7E390BFE"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11 </w:t>
            </w:r>
          </w:p>
        </w:tc>
        <w:tc>
          <w:tcPr>
            <w:tcW w:w="1023" w:type="dxa"/>
          </w:tcPr>
          <w:p w14:paraId="6D8DF9E5"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13 </w:t>
            </w:r>
          </w:p>
        </w:tc>
        <w:tc>
          <w:tcPr>
            <w:tcW w:w="1023" w:type="dxa"/>
          </w:tcPr>
          <w:p w14:paraId="7AB8B24F"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10 </w:t>
            </w:r>
          </w:p>
        </w:tc>
        <w:tc>
          <w:tcPr>
            <w:tcW w:w="933" w:type="dxa"/>
          </w:tcPr>
          <w:p w14:paraId="1A9D851A"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12 </w:t>
            </w:r>
          </w:p>
        </w:tc>
        <w:tc>
          <w:tcPr>
            <w:tcW w:w="986" w:type="dxa"/>
          </w:tcPr>
          <w:p w14:paraId="2807E86D"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14</w:t>
            </w:r>
          </w:p>
        </w:tc>
      </w:tr>
      <w:tr w:rsidR="007E234D" w:rsidRPr="005F0419" w14:paraId="4830EDD6" w14:textId="77777777" w:rsidTr="007C43B0">
        <w:tc>
          <w:tcPr>
            <w:tcW w:w="5073" w:type="dxa"/>
          </w:tcPr>
          <w:p w14:paraId="21522D5C" w14:textId="77777777" w:rsidR="007E234D" w:rsidRPr="005F0419" w:rsidRDefault="007E234D" w:rsidP="007C43B0">
            <w:pPr>
              <w:spacing w:after="0" w:line="24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Інші види розміщення</w:t>
            </w:r>
          </w:p>
        </w:tc>
        <w:tc>
          <w:tcPr>
            <w:tcW w:w="1022" w:type="dxa"/>
          </w:tcPr>
          <w:p w14:paraId="68A2E927"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0,3 </w:t>
            </w:r>
          </w:p>
        </w:tc>
        <w:tc>
          <w:tcPr>
            <w:tcW w:w="1023" w:type="dxa"/>
          </w:tcPr>
          <w:p w14:paraId="4CD768FD"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0,2 </w:t>
            </w:r>
          </w:p>
        </w:tc>
        <w:tc>
          <w:tcPr>
            <w:tcW w:w="1023" w:type="dxa"/>
          </w:tcPr>
          <w:p w14:paraId="7EE39A5B"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0,4 </w:t>
            </w:r>
          </w:p>
        </w:tc>
        <w:tc>
          <w:tcPr>
            <w:tcW w:w="933" w:type="dxa"/>
          </w:tcPr>
          <w:p w14:paraId="7CA59D33"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0,2 </w:t>
            </w:r>
          </w:p>
        </w:tc>
        <w:tc>
          <w:tcPr>
            <w:tcW w:w="986" w:type="dxa"/>
          </w:tcPr>
          <w:p w14:paraId="788CAF60" w14:textId="77777777" w:rsidR="007E234D" w:rsidRPr="005F0419" w:rsidRDefault="007E234D" w:rsidP="007C43B0">
            <w:pPr>
              <w:spacing w:after="0" w:line="24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p>
        </w:tc>
      </w:tr>
    </w:tbl>
    <w:p w14:paraId="1820FD3E" w14:textId="77777777" w:rsidR="007E234D" w:rsidRPr="005F0419" w:rsidRDefault="007E234D" w:rsidP="007E234D">
      <w:pPr>
        <w:spacing w:after="0" w:line="360" w:lineRule="auto"/>
        <w:ind w:firstLine="720"/>
        <w:jc w:val="center"/>
        <w:rPr>
          <w:rFonts w:ascii="Times New Roman" w:eastAsia="Times New Roman" w:hAnsi="Times New Roman" w:cs="Times New Roman"/>
          <w:sz w:val="28"/>
          <w:szCs w:val="28"/>
          <w:lang w:val="uk-UA"/>
        </w:rPr>
      </w:pPr>
    </w:p>
    <w:p w14:paraId="78E795AD" w14:textId="73A5663D"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Конкретно лише замовлення готелів у них цікавило 17% опитаних, харчування 15%, транспорту  14%. При цьому саме чоловіки домінували у замовленні тільки послуг розміщення, тоді як жінки більше вибирали комплексний туристичний продукт. Разом із цим із усіх витрат на пакет туристичних послуг найбільша частка за вартістю припадала на готельні (2000 грн.), а вже потім харчування (1500 грн.), транспорту (1000 грн.) і екскурсій (510 грн.). Середня ціна становила 5475 грн.  </w:t>
      </w:r>
    </w:p>
    <w:p w14:paraId="676612EB"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Пересічна вартість подорожі становила 6000 грн. Половина респондентів витрачала від 3000 до 11000 грн (амплітуда 8000 грн). Типові витрати на одноденні поїздки становили 1122 грн (амплітуда: 1250 грн, 625-1875 грн). Найдовше подорожували (медіана – 8 днів) у прибережних областях (Одеській, Запорізькій та Херсонській). У цих регіонах туристи витрачали найбільше </w:t>
      </w:r>
      <w:r w:rsidRPr="005F0419">
        <w:rPr>
          <w:rFonts w:ascii="Times New Roman" w:eastAsia="Times New Roman" w:hAnsi="Times New Roman" w:cs="Times New Roman"/>
          <w:sz w:val="28"/>
          <w:szCs w:val="28"/>
          <w:lang w:val="uk-UA"/>
        </w:rPr>
        <w:lastRenderedPageBreak/>
        <w:t xml:space="preserve">грошей. Зазвичай час у дорозі дещо менший, але туристи витрачають відносно більше грошей у Львівській, Івано-Франківській та Закарпатській областях, тобто в регіонах, де є Карпати. Нині, з рахуванням окупованих територій, перша категорія регіональних витрат значно скоротилася, проте тенденції одноденних витрат, очевидно, збережуться у пропорціях. А от фактичні абсолютні витрати скоріше за все зазнають змін через зниження доходів громадян внаслідок тривалої війни, пов’язаної з повномасштабним вторгненням з 2022 року. Найменше витрачали в день і перебували днів у Луганській (3 дні по 688 грн.), Кіровоградській (4 дні по 667 грн.), Чернігівській (3 дні по 749 грн.), Полтавській (4 дні по 756 грн.).     </w:t>
      </w:r>
    </w:p>
    <w:p w14:paraId="51F0B1FD"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Більшість громадян були «цілком задоволені» або «повністю задоволені» різними аспектами своєї нещодавньої поїздки по Україні. Особливо це стосується загального враження від візиту: 91% респондентів були задоволені гостинністю людей (89%), якістю їжі (88%), безпекою під час перебування (86%) та послугами гостинності (80%).</w:t>
      </w:r>
      <w:r w:rsidRPr="005F0419">
        <w:rPr>
          <w:rFonts w:ascii="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Порівняно з іншими аспектами подорожі, туристи були відносно незадоволені станом доріг. Також було відносно мало позитивних оцінок стану довкілля та цін на продукти харчування. Однак навіть ці аспекти подорожі Україною респонденти оцінили досить позитивно.</w:t>
      </w:r>
      <w:r w:rsidRPr="005F0419">
        <w:rPr>
          <w:rFonts w:ascii="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Що стосується регіональних відмінностей, то опитані, які проживають у Південному, Північному та Східному регіонах, частіше скаржилися на погані дороги під час подорожей країною, ніж респонденти, які проживають у Західному та Центральному регіонах, а також дещо частіше скаржилися на забруднення довкілля та високу вартість і низьку якість більшості послуг. </w:t>
      </w:r>
    </w:p>
    <w:p w14:paraId="19E910FA"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eastAsia="Times New Roman" w:hAnsi="Times New Roman" w:cs="Times New Roman"/>
          <w:sz w:val="28"/>
          <w:szCs w:val="28"/>
          <w:lang w:val="uk-UA"/>
        </w:rPr>
        <w:t>Загалом, серед респондентів, які проживають у Східному та Північному регіонах, була найнижча частка тих, хто сказав, що все, що стосується їхньої подорожі, було добре, порівняно з відповідними частками респондентів в інших регіонах.</w:t>
      </w:r>
      <w:r w:rsidRPr="005F0419">
        <w:rPr>
          <w:rFonts w:ascii="Times New Roman" w:hAnsi="Times New Roman" w:cs="Times New Roman"/>
          <w:sz w:val="28"/>
          <w:szCs w:val="28"/>
          <w:lang w:val="uk-UA"/>
        </w:rPr>
        <w:t xml:space="preserve"> За місцем проживання найбільш разючі відмінності у відповідях на це питання спостерігаються серед сільських мешканців. Вони частіше згадували три основні недоліки (погані дороги, забруднення довкілля, висока вартість і низька якість більшості послуг), а всі інші – рідше. Водночас частка сільських </w:t>
      </w:r>
      <w:r w:rsidRPr="005F0419">
        <w:rPr>
          <w:rFonts w:ascii="Times New Roman" w:hAnsi="Times New Roman" w:cs="Times New Roman"/>
          <w:sz w:val="28"/>
          <w:szCs w:val="28"/>
          <w:lang w:val="uk-UA"/>
        </w:rPr>
        <w:lastRenderedPageBreak/>
        <w:t>мешканців, які залишилися задоволені всім під час своєї останньої поїздки в Україну, значно вища, ніж серед міських жителів.</w:t>
      </w:r>
    </w:p>
    <w:p w14:paraId="1D3D0709"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На поведінку споживачів послуг рекреації, туризму і гостинності істотно впливають обмежуючим чином соціально-економічні фактори. Більшість українців (62% від усіх опитаних) не подорожують Україною. Основними причинами цього є нестача грошей – літні люди, фінансові обмеження (61% тих, хто не подорожує) та брак часу – особи молодого та середнього віку (42% тих, хто не подорожує). Вади здоров’я також є стримуючим фактором у людей похилого віку 65 і більше років. Цікаво, що карантинні обмеження в час пандемії COVID-19 стримували в подорожах лише 9% внутрішніх туристів.</w:t>
      </w:r>
    </w:p>
    <w:p w14:paraId="4943B14C"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Більшість тих, хто не подорожував Україною, знають і цікавляться різними туристичними напрямками та відомими пам'ятками України (78%). У переважній кількості випадків ця інформація надходить із соціальних мереж (38%), телебачення (27%), веб-сайтів (18%) та відео на </w:t>
      </w:r>
      <w:proofErr w:type="spellStart"/>
      <w:r w:rsidRPr="005F0419">
        <w:rPr>
          <w:rFonts w:ascii="Times New Roman" w:eastAsia="Times New Roman" w:hAnsi="Times New Roman" w:cs="Times New Roman"/>
          <w:sz w:val="28"/>
          <w:szCs w:val="28"/>
          <w:lang w:val="uk-UA"/>
        </w:rPr>
        <w:t>YouTube</w:t>
      </w:r>
      <w:proofErr w:type="spellEnd"/>
      <w:r w:rsidRPr="005F0419">
        <w:rPr>
          <w:rFonts w:ascii="Times New Roman" w:eastAsia="Times New Roman" w:hAnsi="Times New Roman" w:cs="Times New Roman"/>
          <w:sz w:val="28"/>
          <w:szCs w:val="28"/>
          <w:lang w:val="uk-UA"/>
        </w:rPr>
        <w:t xml:space="preserve"> (14%). Жінки дещо частіше використовують соціальні мережі як джерело інформації про туристичні об’єкти. Інтерес до туризму значно знижується з віком. Важливість інтернет-джерел (соціальних мереж, веб-сайтів та </w:t>
      </w:r>
      <w:proofErr w:type="spellStart"/>
      <w:r w:rsidRPr="005F0419">
        <w:rPr>
          <w:rFonts w:ascii="Times New Roman" w:eastAsia="Times New Roman" w:hAnsi="Times New Roman" w:cs="Times New Roman"/>
          <w:sz w:val="28"/>
          <w:szCs w:val="28"/>
          <w:lang w:val="uk-UA"/>
        </w:rPr>
        <w:t>YouTube</w:t>
      </w:r>
      <w:proofErr w:type="spellEnd"/>
      <w:r w:rsidRPr="005F0419">
        <w:rPr>
          <w:rFonts w:ascii="Times New Roman" w:eastAsia="Times New Roman" w:hAnsi="Times New Roman" w:cs="Times New Roman"/>
          <w:sz w:val="28"/>
          <w:szCs w:val="28"/>
          <w:lang w:val="uk-UA"/>
        </w:rPr>
        <w:t xml:space="preserve">) з віком зменшується, натомість зростає роль телебачення. До 24 років більше половини відповідей припадає на соціальні мережі та більше чверті на </w:t>
      </w:r>
      <w:proofErr w:type="spellStart"/>
      <w:r w:rsidRPr="005F0419">
        <w:rPr>
          <w:rFonts w:ascii="Times New Roman" w:eastAsia="Times New Roman" w:hAnsi="Times New Roman" w:cs="Times New Roman"/>
          <w:sz w:val="28"/>
          <w:szCs w:val="28"/>
          <w:lang w:val="uk-UA"/>
        </w:rPr>
        <w:t>YouTube</w:t>
      </w:r>
      <w:proofErr w:type="spellEnd"/>
      <w:r w:rsidRPr="005F0419">
        <w:rPr>
          <w:rFonts w:ascii="Times New Roman" w:eastAsia="Times New Roman" w:hAnsi="Times New Roman" w:cs="Times New Roman"/>
          <w:sz w:val="28"/>
          <w:szCs w:val="28"/>
          <w:lang w:val="uk-UA"/>
        </w:rPr>
        <w:t xml:space="preserve">. У середньому віці 35-44 років роль соцмереж незначно доповнює телебачення (19%). У старших понад 65 років майже половину відповідей важливості займає телебачення, а третину небажання подорожувати. </w:t>
      </w:r>
    </w:p>
    <w:p w14:paraId="44F57FF5"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 Україні разом із певними проблемами розвитку внутрішнього туризму є не менше вагомою проблемою зовнішнього туризму. Зовсім не подорожують за кордон 82% громадян. З решти, хто здійснює такі поїздки, найчастіше це раз рік (8%). До 34 років майже кожен четвертий залучений до закордонних поїздок, а у віці після 65 років – 7%. Тип проживання українців, а також регіон та місце помешкання впливають на закордонну туристичну активність. Мешканці великих міст, обласних центрів та міста Києва, а також жителі його області та прикордонних областей, таких як Львівська, Чернівецька, Харківська, Одеська </w:t>
      </w:r>
      <w:r w:rsidRPr="005F0419">
        <w:rPr>
          <w:rFonts w:ascii="Times New Roman" w:eastAsia="Times New Roman" w:hAnsi="Times New Roman" w:cs="Times New Roman"/>
          <w:sz w:val="28"/>
          <w:szCs w:val="28"/>
          <w:lang w:val="uk-UA"/>
        </w:rPr>
        <w:lastRenderedPageBreak/>
        <w:t xml:space="preserve">та Закарпатська, відносно частіше подорожують за кордон. Зауважимо, що нині майже 50:50 туристи за кордон формують свої пакети як із допомогою туроператорів і </w:t>
      </w:r>
      <w:proofErr w:type="spellStart"/>
      <w:r w:rsidRPr="005F0419">
        <w:rPr>
          <w:rFonts w:ascii="Times New Roman" w:eastAsia="Times New Roman" w:hAnsi="Times New Roman" w:cs="Times New Roman"/>
          <w:sz w:val="28"/>
          <w:szCs w:val="28"/>
          <w:lang w:val="uk-UA"/>
        </w:rPr>
        <w:t>турагентів</w:t>
      </w:r>
      <w:proofErr w:type="spellEnd"/>
      <w:r w:rsidRPr="005F0419">
        <w:rPr>
          <w:rFonts w:ascii="Times New Roman" w:eastAsia="Times New Roman" w:hAnsi="Times New Roman" w:cs="Times New Roman"/>
          <w:sz w:val="28"/>
          <w:szCs w:val="28"/>
          <w:lang w:val="uk-UA"/>
        </w:rPr>
        <w:t xml:space="preserve">, так і самостійно. При цьому, якщо ці послуги замовляють у фірм, то вони є тільки пакетними. Лише по 1% у закордонних поїздках це винятково послуги гостинності та транспортні. </w:t>
      </w:r>
    </w:p>
    <w:p w14:paraId="193AC18F"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Туристичні послуги (переважно загальні пакети) дещо частіше замовляють жінки, молодь у віці 25-34 роки та люди середнього віку (35-64 роки). Індивідуальні плани подорожей більш поширені серед людей похилого віку (65-70 років). Мешканці міст частіше користуються послугами туристичних агентів чи операторів, тоді як сільські дещо рідше. Жителі Києва та західних областей України частіше планують власні подорожі самостійно. У центральних та північних областях більше користуються послугами туристичних операторів. Житло за кордоном переважно (30% відповідей респондентів) бронюють на період від одного до двох тижнів (від семи до 14 ночей). 61% туристів подорожували за кордон саме на такий період. Кожен четвертий турист їздив за кордон на менший період. </w:t>
      </w:r>
    </w:p>
    <w:p w14:paraId="7E203F78"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Типова тривалість зарубіжних подорожей становить сім ночей (медіана), а половина всіх поїздок триває від шести до десяти ночей. Поїздки такої тривалості здійснюють як чоловіки, так і жінки різного віку (за винятком літніх людей у віці 65-70 років, для яких типова тривалість поїздки становить 10 днів). Поїздки у своєму часі за кордон не залежить від типу населеного пункту, регіону чи області, де проживає турист. Найчастіше – це були країни Європи (42%), Туреччина (28%), Єгипет (21%). При цьому Туреччину відвідували частіше міські жителі, а Європу – мешканці заходу країни. </w:t>
      </w:r>
    </w:p>
    <w:p w14:paraId="362FEB76"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Відпочинок, дозвілля та відпустки є основними цілями міжнародних подорожей для всіх соціальних груп. Однак існують і певні відмінності. Наприклад, жінки дещо частіше подорожують за кордон на відпочинок, тоді як чоловіки частіше подорожують за кордон у справах. Крім того, з віком люди інтенсивніше виїжджають за кордон, щоб відвідати родичів і друзів.</w:t>
      </w:r>
      <w:r w:rsidRPr="005F0419">
        <w:rPr>
          <w:rFonts w:ascii="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Більшість туристів відвідують інші країни з метою пляжного відпочинку (головно в Єгипті </w:t>
      </w:r>
      <w:r w:rsidRPr="005F0419">
        <w:rPr>
          <w:rFonts w:ascii="Times New Roman" w:eastAsia="Times New Roman" w:hAnsi="Times New Roman" w:cs="Times New Roman"/>
          <w:sz w:val="28"/>
          <w:szCs w:val="28"/>
          <w:lang w:val="uk-UA"/>
        </w:rPr>
        <w:lastRenderedPageBreak/>
        <w:t xml:space="preserve">та Туреччині) та огляду визначних пам’яток (переважний формат відвідування європейських країн). Кожен десятий турист відвідує інші країни з метою шопінгу. Інші види лікувально-оздоровчого туризму, курортного, культурно-мистецьких заходів та ін. займають як мотив виїзду за кордон з туристичної метою менше 5%. </w:t>
      </w:r>
    </w:p>
    <w:p w14:paraId="6768D3EC"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У реакції туристів із різних населених пунктів і регіонів України також є невеликі відмінності у відповідях, але вони не такі вже й великі. Наприклад, мешканці західних і південних областей та Києва дещо менше цікавляться пляжним відпочинком. Жителі столиці, з іншого боку, відносно більше віддають перевагу огляду визначних пам'яток та іншим видам активного відпочинку.</w:t>
      </w:r>
      <w:r w:rsidRPr="005F0419">
        <w:rPr>
          <w:rFonts w:ascii="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Чоловіки дещо частіше подорожують за кордон наодинці, ніж жінки. Майже половина (47%) туристів у віці 65-70 років теж подорожують самі. Отже, жінки частіше подорожують у складі групи туристів, і вона складається переважно з туристів у віці 35-44 років. Туристи середнього віку (35-54 роки) частіше подорожують з родиною або чоловіком, дружиною. Молодші туристи відносно частіше подорожують із друзями, ніж інші вікові групи.</w:t>
      </w:r>
    </w:p>
    <w:p w14:paraId="3B96FE92"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Поведінка споживачів послуг розміщення за кордоном демонструє наступні тенденції. Більшість туристів (68%) зупиняються в готелях за кордоном, як правило, 3*, 4* або 5* зіркових. Решта проживають0 у не готельних засобах розміщення (наприклад, в орендованих квартирах, будинках, </w:t>
      </w:r>
      <w:proofErr w:type="spellStart"/>
      <w:r w:rsidRPr="005F0419">
        <w:rPr>
          <w:rFonts w:ascii="Times New Roman" w:eastAsia="Times New Roman" w:hAnsi="Times New Roman" w:cs="Times New Roman"/>
          <w:sz w:val="28"/>
          <w:szCs w:val="28"/>
          <w:lang w:val="uk-UA"/>
        </w:rPr>
        <w:t>хостелах</w:t>
      </w:r>
      <w:proofErr w:type="spellEnd"/>
      <w:r w:rsidRPr="005F0419">
        <w:rPr>
          <w:rFonts w:ascii="Times New Roman" w:eastAsia="Times New Roman" w:hAnsi="Times New Roman" w:cs="Times New Roman"/>
          <w:sz w:val="28"/>
          <w:szCs w:val="28"/>
          <w:lang w:val="uk-UA"/>
        </w:rPr>
        <w:t xml:space="preserve"> або в будинках родичів, друзів чи знайомих). Жителі малих міст і сіл, а також західної частини України рідше зупиняються в готелях. У закордонному, пляжному та екскурсійному туризмі наших співвітчизників є істотні розбіжності. Більшість туристів, які подорожують до Туреччини та Єгипту, зупиняються в готелях (переважно для пляжного відпочинку). Туристи, які подорожують до Європи, частіше використовують інші варіанти розміщення, окрім готелів, наприклад, зупиняються у родичів чи друзів, орендують житло або живуть у </w:t>
      </w:r>
      <w:proofErr w:type="spellStart"/>
      <w:r w:rsidRPr="005F0419">
        <w:rPr>
          <w:rFonts w:ascii="Times New Roman" w:eastAsia="Times New Roman" w:hAnsi="Times New Roman" w:cs="Times New Roman"/>
          <w:sz w:val="28"/>
          <w:szCs w:val="28"/>
          <w:lang w:val="uk-UA"/>
        </w:rPr>
        <w:t>хостелах</w:t>
      </w:r>
      <w:proofErr w:type="spellEnd"/>
      <w:r w:rsidRPr="005F0419">
        <w:rPr>
          <w:rFonts w:ascii="Times New Roman" w:eastAsia="Times New Roman" w:hAnsi="Times New Roman" w:cs="Times New Roman"/>
          <w:sz w:val="28"/>
          <w:szCs w:val="28"/>
          <w:lang w:val="uk-UA"/>
        </w:rPr>
        <w:t>.</w:t>
      </w:r>
    </w:p>
    <w:p w14:paraId="2AB0E7DB"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Витрати на туристичні послуги певною мірою відрізняються в різних соціально-демографічних групах. В середньому надавачу туристичних послуг більші суми сплачують чоловіки, туристи у віці від 25 до 54 років, а також </w:t>
      </w:r>
      <w:r w:rsidRPr="005F0419">
        <w:rPr>
          <w:rFonts w:ascii="Times New Roman" w:eastAsia="Times New Roman" w:hAnsi="Times New Roman" w:cs="Times New Roman"/>
          <w:sz w:val="28"/>
          <w:szCs w:val="28"/>
          <w:lang w:val="uk-UA"/>
        </w:rPr>
        <w:lastRenderedPageBreak/>
        <w:t>мешканці великих міст. Жителі столиці витрачають на ці цілі значно більше, ніж зазвичай (в середньому понад 33 000 гривень). Послуги для подорожей до Туреччини та Єгипту близькі до звичайних, тоді як послуги для подорожей до Європи загалом дешевші (типова вартість – 21 500 грн.). Середня вартість комплексного туристичного пакету становила понад 27 000 грн, тоді як на інші послуги мандрівники витрачали значно менше. Медіана вартості становила 25 000 грн, амплітуда – 15 000-34 000 грн, а середня вартість – близько 27 000 грн. Більше за повний пакет платили чоловіки, мандрівники середнього та старшого віку, мешканці столиці України та інших великих міст.</w:t>
      </w:r>
      <w:r w:rsidRPr="005F0419">
        <w:rPr>
          <w:rFonts w:ascii="Times New Roman" w:hAnsi="Times New Roman" w:cs="Times New Roman"/>
          <w:sz w:val="28"/>
          <w:szCs w:val="28"/>
          <w:lang w:val="uk-UA"/>
        </w:rPr>
        <w:t xml:space="preserve"> </w:t>
      </w:r>
    </w:p>
    <w:p w14:paraId="5FBB749A"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У більшості випадків, подорожуючі за кордон не тільки платять постачальнику туристичних послуг, але й оплачують основні статті витрат під час поїздки, такі як проживання, харчування та транспорт. Жінки дещо частіше платять за туристичні послуги, тоді як чоловіки частіше платять за проживання, тютюнові вироби та алкоголь. Однак у більшості статей витрат гендерної різниці не спостерігається. Люди середнього та старшого віку дещо частіше платять за туристичні послуги. Молоді туристи та туристи середнього віку більше витрачають гроші на послуги харчування (наприклад, кафе, бари та ресторани) та послуги розміщення (житло). Загалом, туристи різного віку мають більш-менш однакову структуру споживання. Ті, хто живе у великих містах (обласних центрах), дещо частіше платять за туристичні послуги. Ті, хто живе в селах, рідше купують місцеві продукти та алкогольні напої. За домінуючою кількістю статей витрат туристи з різних місць проживання мало відрізняються один від одного. Так само туристи з різних регіонів України мають певні відмінності у структурі своїх витрат, але їхні витратні пріоритети залишаються незмінними.</w:t>
      </w:r>
    </w:p>
    <w:p w14:paraId="3575330E"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Більшість туристів мають гарні враження від подорожей за кордон. Найбільше вони задоволені станом доріг, гостинністю, безпекою та якістю проживання і харчування. Загалом, туристи задоволені майже всіма аспектами подорожей за кордон. Відносно мало позитивних відгуків про рівень цін, вартість різних послуг, релігійні об’єкти, зручність міжміського транспортного сполучення та громадського транспорту за місцем проживання. Однак кількість </w:t>
      </w:r>
      <w:r w:rsidRPr="005F0419">
        <w:rPr>
          <w:rFonts w:ascii="Times New Roman" w:eastAsia="Times New Roman" w:hAnsi="Times New Roman" w:cs="Times New Roman"/>
          <w:sz w:val="28"/>
          <w:szCs w:val="28"/>
          <w:lang w:val="uk-UA"/>
        </w:rPr>
        <w:lastRenderedPageBreak/>
        <w:t>негативних думок із цих питань невелика, а респонденти більше вагаються з відповідями на ці питання. Порівнюючи оцінки мандрівників різної статі, віку та місця проживання, можна побачити, що відмінності досить незначні, а загальна тенденція та рівень позитивних оцінок зберігається в усіх порівнюваних групах.</w:t>
      </w:r>
    </w:p>
    <w:p w14:paraId="6C346445"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 початком повномасштабного вторгнення з лютого 2022 року змінилися й передумови та перспективи розвитку туризму в Україні, що вплинуло також і на нинішню поведінку споживачів сфери послуг. Це ще більше видозмінило та ускладнило регіональну та галузеву структуру послуг туризму та гостинності. Більшість регіонів зазнали масштабних міграційних рухів як у всередині країни – це внутрішньо переміщені особи, так і в еміграційних – за кордон як біженці. Цьому у кризових моментах розвитку демографічного потенціалу як найціннішого для кожної держави загалом та туризму зокрема передували низка багатьох інших чинників [32]. </w:t>
      </w:r>
    </w:p>
    <w:p w14:paraId="30F79025" w14:textId="244E8215"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До 2022 року потенціал зростання населення було вже вичерпано. За 60 років, з середини 1960-х, рівень народжуваності в Україні не дозволяє досягти навіть простого заміщення поколінь. Для того, щоб наступне покоління було принаймні рівним попередньому, 100 жінок мають народити близько 215 дітей; у 2021 році в Україні цей показник становив 120. Найнижчий показник </w:t>
      </w:r>
      <w:r w:rsidR="009134F9" w:rsidRPr="005F0419">
        <w:rPr>
          <w:rFonts w:ascii="Times New Roman" w:eastAsia="Times New Roman" w:hAnsi="Times New Roman" w:cs="Times New Roman"/>
          <w:sz w:val="28"/>
          <w:szCs w:val="28"/>
          <w:lang w:val="uk-UA"/>
        </w:rPr>
        <w:t xml:space="preserve">(109) </w:t>
      </w:r>
      <w:r w:rsidRPr="005F0419">
        <w:rPr>
          <w:rFonts w:ascii="Times New Roman" w:eastAsia="Times New Roman" w:hAnsi="Times New Roman" w:cs="Times New Roman"/>
          <w:sz w:val="28"/>
          <w:szCs w:val="28"/>
          <w:lang w:val="uk-UA"/>
        </w:rPr>
        <w:t>був у 2001 році. Це є украй невтішними моментами, бо кожне наступне покоління є меншим за попереднє.</w:t>
      </w:r>
    </w:p>
    <w:p w14:paraId="2461B6A2"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 Україні і до повномасштабної війни, і після залишається дуже висока передчасна смертність. Передусім серед чоловіків. 42% двадцятирічних юнаків в Україні не доживають до 65 років, тобто помирають в період працездатного віку. Це дані на 2021-й, вони не ще враховують вплив війни, який, без сумніву, погіршить ситуацію. Для жінок цей показник складає 19%. У сусідній Польщі ця цифра становить 27%. Причинами в основному є результат нездорового способу життя. Частка людей віком 65+ вже перевищує частину молоді до 15 років на 20%. Спостерігався, а від 24 лютого 2022 року особливо, багаторічний масштабний відтік населення за кордон. До війни ми вважали, що за кордоном працює приблизно 3 млн. українців. Через війну виїхало ще 6 млн осіб. Якщо </w:t>
      </w:r>
      <w:r w:rsidRPr="005F0419">
        <w:rPr>
          <w:rFonts w:ascii="Times New Roman" w:eastAsia="Times New Roman" w:hAnsi="Times New Roman" w:cs="Times New Roman"/>
          <w:sz w:val="28"/>
          <w:szCs w:val="28"/>
          <w:lang w:val="uk-UA"/>
        </w:rPr>
        <w:lastRenderedPageBreak/>
        <w:t xml:space="preserve">додати «довоєнні» 3 млн., виходить вкрай небезпечна і загрозлива тенденція. За даними </w:t>
      </w:r>
      <w:proofErr w:type="spellStart"/>
      <w:r w:rsidRPr="005F0419">
        <w:rPr>
          <w:rFonts w:ascii="Times New Roman" w:eastAsia="Times New Roman" w:hAnsi="Times New Roman" w:cs="Times New Roman"/>
          <w:sz w:val="28"/>
          <w:szCs w:val="28"/>
          <w:lang w:val="uk-UA"/>
        </w:rPr>
        <w:t>Євростату</w:t>
      </w:r>
      <w:proofErr w:type="spellEnd"/>
      <w:r w:rsidRPr="005F0419">
        <w:rPr>
          <w:rFonts w:ascii="Times New Roman" w:eastAsia="Times New Roman" w:hAnsi="Times New Roman" w:cs="Times New Roman"/>
          <w:sz w:val="28"/>
          <w:szCs w:val="28"/>
          <w:lang w:val="uk-UA"/>
        </w:rPr>
        <w:t>, станом на 1 серпня 2023 року в ЄС зареєстровано 4,1 мільйона українців. Проте ця цифра є суперечливою. Кількість мігрантів, які перетнули західний кордон України і Молдови, становить 1,8 мільйона.</w:t>
      </w:r>
    </w:p>
    <w:p w14:paraId="53A81A80"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Найбільша концентрація українських емігрантів знаходиться в Німеччині, а не в Польщі, і з 1 серпня цього року відтік українців перевищив еміграцію. Але, незважаючи на ці, здавалося б, оптимістичні тенденції, українці не повертаються в Україну. Вони їдуть до багатших країн. Найбільше – до Німеччини, Чехії та Нідерландів. У цьому випадку шанси на повернення значно нижчі. За даними Управління Верховного комісара ООН у справах біженців, станом на березень у Росії та Білорусі перебувало близько 1,2 мільйона осіб. В інших країнах світу – ще близько 1 мільйона. В основному вони знаходяться у Великобританії, США, Канаді, Аргентині та Японії.  </w:t>
      </w:r>
    </w:p>
    <w:p w14:paraId="730D7C6F" w14:textId="066B77BC"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Чисельність населення України в межах 1991 року і станом на 1 січня </w:t>
      </w:r>
      <w:r w:rsidRPr="005F0419">
        <w:rPr>
          <w:rFonts w:ascii="Times New Roman" w:hAnsi="Times New Roman" w:cs="Times New Roman"/>
          <w:sz w:val="28"/>
          <w:szCs w:val="28"/>
          <w:lang w:val="uk-UA"/>
        </w:rPr>
        <w:t>2023</w:t>
      </w:r>
      <w:r w:rsidR="001C269D"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р</w:t>
      </w:r>
      <w:r w:rsidR="001C269D" w:rsidRPr="005F0419">
        <w:rPr>
          <w:rFonts w:ascii="Times New Roman" w:hAnsi="Times New Roman" w:cs="Times New Roman"/>
          <w:sz w:val="28"/>
          <w:szCs w:val="28"/>
          <w:lang w:val="uk-UA"/>
        </w:rPr>
        <w:t>оку</w:t>
      </w:r>
      <w:r w:rsidRPr="005F0419">
        <w:rPr>
          <w:rFonts w:ascii="Times New Roman" w:eastAsia="Times New Roman" w:hAnsi="Times New Roman" w:cs="Times New Roman"/>
          <w:sz w:val="28"/>
          <w:szCs w:val="28"/>
          <w:lang w:val="uk-UA"/>
        </w:rPr>
        <w:t xml:space="preserve"> складає приблизно 37,6 млн осіб. Підконтрольних Україні територій – 31,6 млн. Якщо ми говоримо про прогноз на 2033 рік в межах 1991-го, амплітуда є дуже вагомою. Переважно це 26-35 млн осі</w:t>
      </w:r>
      <w:r w:rsidR="001C269D" w:rsidRPr="005F0419">
        <w:rPr>
          <w:rFonts w:ascii="Times New Roman" w:eastAsia="Times New Roman" w:hAnsi="Times New Roman" w:cs="Times New Roman"/>
          <w:sz w:val="28"/>
          <w:szCs w:val="28"/>
          <w:lang w:val="uk-UA"/>
        </w:rPr>
        <w:t>б</w:t>
      </w:r>
      <w:r w:rsidRPr="005F0419">
        <w:rPr>
          <w:rFonts w:ascii="Times New Roman" w:eastAsia="Times New Roman" w:hAnsi="Times New Roman" w:cs="Times New Roman"/>
          <w:sz w:val="28"/>
          <w:szCs w:val="28"/>
          <w:lang w:val="uk-UA"/>
        </w:rPr>
        <w:t xml:space="preserve">. До 10 березня 2022 року з України щодня виїжджало близько 100 000-120 000 осіб. Люди виїжджали переважно з Києва та Харкова. Це були активні громадяни, які не боялися виїжджати з країни. Сімдесят відсотків людей у Німеччині мають вищу освіту. Зрозуміло, що вони можуть легко там інтегруватися. Крім того, третина людей, які виїжджають з країни, </w:t>
      </w:r>
      <w:r w:rsidR="001C269D"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це</w:t>
      </w:r>
      <w:r w:rsidR="001C269D"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діти віком до 18 років. Якщо вони остаточно здобуватимуть освіту за кордоном, то повернути їх назад буде дуже важко.</w:t>
      </w:r>
    </w:p>
    <w:p w14:paraId="676BA9A7"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За таких обставин Україна стикається зі змінами в загальній системі розселення країни. У цьому контексті Елла </w:t>
      </w:r>
      <w:proofErr w:type="spellStart"/>
      <w:r w:rsidRPr="005F0419">
        <w:rPr>
          <w:rFonts w:ascii="Times New Roman" w:eastAsia="Times New Roman" w:hAnsi="Times New Roman" w:cs="Times New Roman"/>
          <w:sz w:val="28"/>
          <w:szCs w:val="28"/>
          <w:lang w:val="uk-UA"/>
        </w:rPr>
        <w:t>Лібанова</w:t>
      </w:r>
      <w:proofErr w:type="spellEnd"/>
      <w:r w:rsidRPr="005F0419">
        <w:rPr>
          <w:rFonts w:ascii="Times New Roman" w:eastAsia="Times New Roman" w:hAnsi="Times New Roman" w:cs="Times New Roman"/>
          <w:sz w:val="28"/>
          <w:szCs w:val="28"/>
          <w:lang w:val="uk-UA"/>
        </w:rPr>
        <w:t xml:space="preserve"> виділяє кілька кластерів. Перший – це західні області, які наразі перебувають у центрі уваги як влади, так і бізнесу. Однак, поняття екологічної спроможності регіону обмежує в альтернативі таких змін. Висновок експертів-екологів Академії наук полягає в тому, що екологічна ємність західних областей, за винятком Івано-Франківської </w:t>
      </w:r>
      <w:r w:rsidRPr="005F0419">
        <w:rPr>
          <w:rFonts w:ascii="Times New Roman" w:eastAsia="Times New Roman" w:hAnsi="Times New Roman" w:cs="Times New Roman"/>
          <w:sz w:val="28"/>
          <w:szCs w:val="28"/>
          <w:lang w:val="uk-UA"/>
        </w:rPr>
        <w:lastRenderedPageBreak/>
        <w:t>та Львівської, вже вичерпана. Це означає, що там майже нічого не можна будувати.</w:t>
      </w:r>
    </w:p>
    <w:p w14:paraId="28586B46" w14:textId="23D85C0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Наступний кластер – північний схід, Харківська, Сумська та Чернігівська області. На думку демограф</w:t>
      </w:r>
      <w:r w:rsidR="009134F9" w:rsidRPr="005F0419">
        <w:rPr>
          <w:rFonts w:ascii="Times New Roman" w:eastAsia="Times New Roman" w:hAnsi="Times New Roman" w:cs="Times New Roman"/>
          <w:sz w:val="28"/>
          <w:szCs w:val="28"/>
          <w:lang w:val="uk-UA"/>
        </w:rPr>
        <w:t>іч</w:t>
      </w:r>
      <w:r w:rsidRPr="005F0419">
        <w:rPr>
          <w:rFonts w:ascii="Times New Roman" w:eastAsia="Times New Roman" w:hAnsi="Times New Roman" w:cs="Times New Roman"/>
          <w:sz w:val="28"/>
          <w:szCs w:val="28"/>
          <w:lang w:val="uk-UA"/>
        </w:rPr>
        <w:t>ні звідси треба якнайшвидше прибрати все, що пов’язане зі стратегічними галузями, адже навіть якщо війна закінчилася, це не обов’язково означає, що вона не почнеться знову. Але також дуже важливо не допустити депопуляції цих регіонів. Харківська область, можливо, ще утримається завдяки самому Харкову, але Сумська та Чернігівська області не зможуть це повторити. У цьому сенсі варто вивчити досвід Ізраїлю, як він розвиває території, близькі до Палестини, і як він дозволяє бізнесу і громадянам жити і працювати там.</w:t>
      </w:r>
    </w:p>
    <w:p w14:paraId="63181CB7"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Третій кластер розташований на південному сході. Україна має проблеми з окупованою Новою Каховкою. Екологи кажуть, що пустелі в регіоні відновляться, але хвилюватися не варто. Потрібно лише змінити систему зрошення, і все буде зовсім по-іншому. Інша справа, що Херсонська область до війни була однією з найменш заселених. Сюди входить і Одеська область, яка має свої проблеми, але завдяки саме Одесі цей регіон також може утриматися.</w:t>
      </w:r>
    </w:p>
    <w:p w14:paraId="2F1292D7"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Четвертий кластер – Центральна Україна, яка пропонує найбільше можливостей для переселення та інтенсивного заселення. Екологічний потенціал цього регіону поки що далекий від вичерпання.</w:t>
      </w:r>
    </w:p>
    <w:p w14:paraId="76980D55"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П’ятий кластер – великі міста. Це Київ, Одеса, Дніпро, Харків, Львів та Донецьк, які в майбутньому повернуть собі столичні функції. На думку Елли </w:t>
      </w:r>
      <w:proofErr w:type="spellStart"/>
      <w:r w:rsidRPr="005F0419">
        <w:rPr>
          <w:rFonts w:ascii="Times New Roman" w:eastAsia="Times New Roman" w:hAnsi="Times New Roman" w:cs="Times New Roman"/>
          <w:sz w:val="28"/>
          <w:szCs w:val="28"/>
          <w:lang w:val="uk-UA"/>
        </w:rPr>
        <w:t>Лібанової</w:t>
      </w:r>
      <w:proofErr w:type="spellEnd"/>
      <w:r w:rsidRPr="005F0419">
        <w:rPr>
          <w:rFonts w:ascii="Times New Roman" w:eastAsia="Times New Roman" w:hAnsi="Times New Roman" w:cs="Times New Roman"/>
          <w:sz w:val="28"/>
          <w:szCs w:val="28"/>
          <w:lang w:val="uk-UA"/>
        </w:rPr>
        <w:t>, після війни Україна залишиться бідною країною. А у бідних країнах населення має тенденцію концентруватися навколо великих міст [32].</w:t>
      </w:r>
    </w:p>
    <w:p w14:paraId="42445DCE" w14:textId="31C45372"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Що ж, власне, змінилося після повномасштабного вторгнення </w:t>
      </w:r>
      <w:proofErr w:type="spellStart"/>
      <w:r w:rsidR="00EE148D" w:rsidRPr="005F0419">
        <w:rPr>
          <w:rFonts w:ascii="Times New Roman" w:eastAsia="Times New Roman" w:hAnsi="Times New Roman" w:cs="Times New Roman"/>
          <w:sz w:val="28"/>
          <w:szCs w:val="28"/>
          <w:lang w:val="uk-UA"/>
        </w:rPr>
        <w:t>р</w:t>
      </w:r>
      <w:r w:rsidRPr="005F0419">
        <w:rPr>
          <w:rFonts w:ascii="Times New Roman" w:eastAsia="Times New Roman" w:hAnsi="Times New Roman" w:cs="Times New Roman"/>
          <w:sz w:val="28"/>
          <w:szCs w:val="28"/>
          <w:lang w:val="uk-UA"/>
        </w:rPr>
        <w:t>осії</w:t>
      </w:r>
      <w:proofErr w:type="spellEnd"/>
      <w:r w:rsidRPr="005F0419">
        <w:rPr>
          <w:rFonts w:ascii="Times New Roman" w:eastAsia="Times New Roman" w:hAnsi="Times New Roman" w:cs="Times New Roman"/>
          <w:sz w:val="28"/>
          <w:szCs w:val="28"/>
          <w:lang w:val="uk-UA"/>
        </w:rPr>
        <w:t xml:space="preserve"> у 2022 році в економіці туризму та секторі гостинності? Державне агентство розвитку туризму України підрахувало податки від туристичного сектору за період січень-вересень 2023 року. За перші три квартали цього року представники української туристичної галузі сплатили на 13% більше податків (1 045 031,7 млн. грн.), ніж за аналогічний період 2022 року, коли бюджет отримав від неї 1 283,18 млн грн. </w:t>
      </w:r>
      <w:r w:rsidRPr="005F0419">
        <w:rPr>
          <w:rFonts w:ascii="Times New Roman" w:eastAsia="Times New Roman" w:hAnsi="Times New Roman" w:cs="Times New Roman"/>
          <w:sz w:val="28"/>
          <w:szCs w:val="28"/>
          <w:lang w:val="uk-UA"/>
        </w:rPr>
        <w:lastRenderedPageBreak/>
        <w:t>У порівнянні з аналогічним періодом довоєнного 2021 року сума сплачених податків цьогоріч була на 18% меншою. Тоді від туристичного сектору до скарбниці надійшло 1 078 092 440 000 гривень [32] (рис. 10).</w:t>
      </w:r>
    </w:p>
    <w:p w14:paraId="2EC3DA35" w14:textId="77777777" w:rsidR="0000167A" w:rsidRPr="005F0419" w:rsidRDefault="0000167A" w:rsidP="009134F9">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w:drawing>
          <wp:inline distT="0" distB="0" distL="0" distR="0" wp14:anchorId="3FC0590C" wp14:editId="64C4A077">
            <wp:extent cx="5789806" cy="2375452"/>
            <wp:effectExtent l="0" t="0" r="1905"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5819007" cy="2387433"/>
                    </a:xfrm>
                    <a:prstGeom prst="rect">
                      <a:avLst/>
                    </a:prstGeom>
                  </pic:spPr>
                </pic:pic>
              </a:graphicData>
            </a:graphic>
          </wp:inline>
        </w:drawing>
      </w:r>
    </w:p>
    <w:p w14:paraId="2F5DEACD" w14:textId="77777777" w:rsidR="009134F9"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Рис. 10. Надходження в бюджет України від туристичної галузі </w:t>
      </w:r>
    </w:p>
    <w:p w14:paraId="2A96E57E" w14:textId="764EA803"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 2021-2023 рр. [32]</w:t>
      </w:r>
    </w:p>
    <w:p w14:paraId="429083D6" w14:textId="77777777" w:rsidR="009134F9" w:rsidRPr="005F0419" w:rsidRDefault="009134F9" w:rsidP="00662012">
      <w:pPr>
        <w:spacing w:after="0" w:line="360" w:lineRule="auto"/>
        <w:ind w:firstLine="720"/>
        <w:jc w:val="center"/>
        <w:rPr>
          <w:rFonts w:ascii="Times New Roman" w:eastAsia="Times New Roman" w:hAnsi="Times New Roman" w:cs="Times New Roman"/>
          <w:sz w:val="28"/>
          <w:szCs w:val="28"/>
          <w:lang w:val="uk-UA"/>
        </w:rPr>
      </w:pPr>
    </w:p>
    <w:p w14:paraId="729FDBD8" w14:textId="77777777" w:rsidR="009134F9" w:rsidRPr="005F0419" w:rsidRDefault="009134F9" w:rsidP="009134F9">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січні-вересні 2023 року загальна кількість платників податків, які здійснюють діяльність у сфері туризму, зменшилася на 11% порівняно з таким же періодом 2022 року. У порівнянні з аналогічним відтинком часу 2021 року кількість юридичних осіб зменшилася на 24%, а кількість фізичних осіб – на 7%, при цьому загальна кількість юридичних осіб була меншою на 36%, кількість юридичних осіб – на 51%, а кількість фізичних осіб – на 30%. Готелі забезпечили 63% надходжень до державного бюджету, з найбільшою часткою 916 064 млн грн. У 2022 році було сплачено 765 083 млн грн, порівняно з 1 031 042 млн грн за аналогічний час 2021 року. Також ще 10,0% або 145,8 тис. грн. забезпечили за рахунок інших засобів тимчасового розміщування. Ще 7,3% або 106,4 тис. грн. – з надходжень за рахунок засобів розміщування на період відпустки чи іншого тимчасового розміщення (рис. 11). Проте навіть у цих переконливих цифрах зростання, всі сектори засобів розміщення втратили у порівнянні з кризовим роком пандемії COVID-19: діяльність готелів та подібних засобів розміщення – 11%, діяльність засобів розміщування на період відпустки -66%, надання місць </w:t>
      </w:r>
      <w:r w:rsidRPr="005F0419">
        <w:rPr>
          <w:rFonts w:ascii="Times New Roman" w:eastAsia="Times New Roman" w:hAnsi="Times New Roman" w:cs="Times New Roman"/>
          <w:sz w:val="28"/>
          <w:szCs w:val="28"/>
          <w:lang w:val="uk-UA"/>
        </w:rPr>
        <w:lastRenderedPageBreak/>
        <w:t>кемпінгами та стоянками для житлових автофургонів і причепів -17% (рис. 11). Сукупно на них у туризмі за цей період припало 80,7% (рис. 12).</w:t>
      </w:r>
    </w:p>
    <w:p w14:paraId="5B7FB128" w14:textId="4C2D6BB5" w:rsidR="0000167A" w:rsidRPr="005F0419" w:rsidRDefault="0000167A" w:rsidP="00EE148D">
      <w:pPr>
        <w:spacing w:after="0" w:line="360" w:lineRule="auto"/>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w:drawing>
          <wp:inline distT="0" distB="0" distL="0" distR="0" wp14:anchorId="122A6C30" wp14:editId="664CEC97">
            <wp:extent cx="5754176" cy="2776729"/>
            <wp:effectExtent l="0" t="0" r="0" b="508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0"/>
                    <a:stretch>
                      <a:fillRect/>
                    </a:stretch>
                  </pic:blipFill>
                  <pic:spPr>
                    <a:xfrm>
                      <a:off x="0" y="0"/>
                      <a:ext cx="5777925" cy="2788189"/>
                    </a:xfrm>
                    <a:prstGeom prst="rect">
                      <a:avLst/>
                    </a:prstGeom>
                  </pic:spPr>
                </pic:pic>
              </a:graphicData>
            </a:graphic>
          </wp:inline>
        </w:drawing>
      </w:r>
    </w:p>
    <w:p w14:paraId="4CBC3D59" w14:textId="77777777"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11. Частка надходжень від кожного виду діяльності в послугах туризму та розміщення у 2023 році [11]</w:t>
      </w:r>
    </w:p>
    <w:p w14:paraId="6C8A55CC"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w:drawing>
          <wp:inline distT="0" distB="0" distL="0" distR="0" wp14:anchorId="0D1610A6" wp14:editId="301D4442">
            <wp:extent cx="5418290" cy="2621507"/>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a:stretch>
                      <a:fillRect/>
                    </a:stretch>
                  </pic:blipFill>
                  <pic:spPr>
                    <a:xfrm>
                      <a:off x="0" y="0"/>
                      <a:ext cx="5418290" cy="2621507"/>
                    </a:xfrm>
                    <a:prstGeom prst="rect">
                      <a:avLst/>
                    </a:prstGeom>
                  </pic:spPr>
                </pic:pic>
              </a:graphicData>
            </a:graphic>
          </wp:inline>
        </w:drawing>
      </w:r>
    </w:p>
    <w:p w14:paraId="120A647B" w14:textId="77777777" w:rsidR="0000167A" w:rsidRPr="005F0419" w:rsidRDefault="0000167A" w:rsidP="00662012">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12. Динаміка надходжень від послуг розміщення у 2023 році [32]</w:t>
      </w:r>
    </w:p>
    <w:p w14:paraId="33BD6F6B"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05682036"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світлі таких динамічних змін у економічних показниках туристичних та готельних послуг в Україні простежувалися за останній рік і регіональні трансформації. Ріст податків за три квартали поточного року в порівнянні з  аналогічним періодом торік зафіксовано у столиці та у 17 регіонах України. Щоправда, у порівнянні з довоєнним 2021 роком зростання є тільки в 9 областях </w:t>
      </w:r>
      <w:r w:rsidRPr="005F0419">
        <w:rPr>
          <w:rFonts w:ascii="Times New Roman" w:eastAsia="Times New Roman" w:hAnsi="Times New Roman" w:cs="Times New Roman"/>
          <w:sz w:val="28"/>
          <w:szCs w:val="28"/>
          <w:lang w:val="uk-UA"/>
        </w:rPr>
        <w:lastRenderedPageBreak/>
        <w:t xml:space="preserve">країни. Війна на початку 2022 року зменшила надходження від туризму у всіх областях, які зазнали вторгнення окупаційних військ. Найбільше вони зменшилися з попереднім роком на півдні: -97% Херсонська, -95% Луганська, -87% і -86% Донецька та Запорізькі області, -76% Одеська, -65% Харківська та -60% Миколаївська області. Ще на -46%, -37% і -13% впали надходження в Київській, Чернігівській і Черкаській областях. Незначно вони знизилися в зоні активних бойових дій – Сумській (-16%) та прифронтових регіонах: Полтавська (-3%), Дніпропетровська та Житомирська і Кіровоградська по 1%. У половині перелічених областей продовжувався спад і впродовж наступного 2023 року, за винятком Житомирської (+54%), Київської (+44%), Кіровоградської (+37%), Дніпропетровської (+32%), Сумської (+22%), Полтавської (+21%), Одеської (+15%), Миколаївської (+15%) та Черкаської (+6%) областей. </w:t>
      </w:r>
    </w:p>
    <w:p w14:paraId="5B86DFE0" w14:textId="77777777" w:rsidR="00EE148D"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Баланс перерозподілу надходжень від туристичних надходжень у цей час сильно змістився до західних кордонів держави, де тут та по Україні пересічно 80,5% припадало на послуги розміщення. Найбільше в перший час у 2022 році зазнали приросту прикордонні області активної туристичної міграції: +70% Чернівецька, +64%, Львівська і +49% Закарпатська області за підсумками та порівнянням із 2021 роком. Вдвічі менше, але все ж позитивно продовжився приріст цих областей і у 2023 році стосовно попереднього 2022 року: +46%, +26% і +21% відповідно. </w:t>
      </w:r>
    </w:p>
    <w:p w14:paraId="06A85DE9" w14:textId="4E4C2DD3"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Таким чином Карпатський рекреаційно-туристичний регіон виокремився в потужного лідера з розвитку рекреаційної, туристичної та зокрема готельної галузі. У ньому в явні аутсайдери перейшла Івано-Франківська область, де як за перший рік масштабної війни (-5%), так і за другий знизилися надходження від туризму, причому в наступному 2023 році вони поглибилися стосовно попереднього – -27% (рис. 13) [33]. Причини тут слід вбачати, найперше, у відносних показниках нашого аналізу та у ланцюговому порівнянні бази даних стосовно 2021 року.   </w:t>
      </w:r>
    </w:p>
    <w:p w14:paraId="04276028"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w:lastRenderedPageBreak/>
        <w:drawing>
          <wp:inline distT="0" distB="0" distL="0" distR="0" wp14:anchorId="0F29E5C7" wp14:editId="6DD064ED">
            <wp:extent cx="6007249" cy="5082539"/>
            <wp:effectExtent l="0" t="0" r="0"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stretch>
                      <a:fillRect/>
                    </a:stretch>
                  </pic:blipFill>
                  <pic:spPr>
                    <a:xfrm>
                      <a:off x="0" y="0"/>
                      <a:ext cx="6013018" cy="5087420"/>
                    </a:xfrm>
                    <a:prstGeom prst="rect">
                      <a:avLst/>
                    </a:prstGeom>
                  </pic:spPr>
                </pic:pic>
              </a:graphicData>
            </a:graphic>
          </wp:inline>
        </w:drawing>
      </w:r>
    </w:p>
    <w:p w14:paraId="2B72EF62" w14:textId="13E83529" w:rsidR="0000167A" w:rsidRPr="005F0419" w:rsidRDefault="0000167A" w:rsidP="00EE148D">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13. Регіональний аналіз динаміки податкових надходжень від туризму в 2021-2023 рр. [33]</w:t>
      </w:r>
    </w:p>
    <w:p w14:paraId="73565458"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p>
    <w:p w14:paraId="51EEBAB0"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Таким чином, найкращою в Україні та Карпатському рекреаційно-туристичному регіоні у порівнянні з динамікою кожного наступного року виявилася Чернівецька область, яка на тлі незначних абсолютних податкових надходжень від туризму (12,6-21,4 млн. грн.) вийшла в лідери за рахунок відносних показників. Нагадаємо, що левову частку від них до 80,7% пересічно по Україні становлять послуги розміщення. Ці та інші чинники сформували стійку тенденцію зростання економічних показників у межах області туристичного та готельного бізнесу, які заслуговують на увагу та вивчення досвіду для інших аналогічних регіонів, особливо у готельному секторі. Він як і туризм загалом істотно визначає тренди їхнього перспективного розвитку.     </w:t>
      </w:r>
    </w:p>
    <w:p w14:paraId="4E7CE28E" w14:textId="77777777" w:rsidR="0000167A" w:rsidRPr="005F0419" w:rsidRDefault="0000167A" w:rsidP="00662012">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 xml:space="preserve">Дуже важливим чинником формування прибутку та контингенту гостей готелю є його конкуренти, які формують своєрідне мікросередовище. Знаючи їхні преваги і недоліки, адміністрація готелю може з успіхом конкурувати в цьому сегменті ринку, знаходячи найкращі шляхи реалізації власного сервісу. Найближчими, в прямому та переносному значенні, конкурентами можна вважати готелі малої та середньої місткості. Ними безпосередньо на курорті </w:t>
      </w:r>
      <w:proofErr w:type="spellStart"/>
      <w:r w:rsidRPr="005F0419">
        <w:rPr>
          <w:rFonts w:ascii="Times New Roman" w:eastAsia="Times New Roman" w:hAnsi="Times New Roman" w:cs="Times New Roman"/>
          <w:sz w:val="28"/>
          <w:szCs w:val="28"/>
          <w:lang w:val="uk-UA"/>
        </w:rPr>
        <w:t>Мигове</w:t>
      </w:r>
      <w:proofErr w:type="spellEnd"/>
      <w:r w:rsidRPr="005F0419">
        <w:rPr>
          <w:rFonts w:ascii="Times New Roman" w:eastAsia="Times New Roman" w:hAnsi="Times New Roman" w:cs="Times New Roman"/>
          <w:sz w:val="28"/>
          <w:szCs w:val="28"/>
          <w:lang w:val="uk-UA"/>
        </w:rPr>
        <w:t xml:space="preserve"> Чернівецької області є «Карпатська Вежа», «</w:t>
      </w:r>
      <w:proofErr w:type="spellStart"/>
      <w:r w:rsidRPr="005F0419">
        <w:rPr>
          <w:rFonts w:ascii="Times New Roman" w:eastAsia="Times New Roman" w:hAnsi="Times New Roman" w:cs="Times New Roman"/>
          <w:sz w:val="28"/>
          <w:szCs w:val="28"/>
          <w:lang w:val="uk-UA"/>
        </w:rPr>
        <w:t>Саторі</w:t>
      </w:r>
      <w:proofErr w:type="spellEnd"/>
      <w:r w:rsidRPr="005F0419">
        <w:rPr>
          <w:rFonts w:ascii="Times New Roman" w:eastAsia="Times New Roman" w:hAnsi="Times New Roman" w:cs="Times New Roman"/>
          <w:sz w:val="28"/>
          <w:szCs w:val="28"/>
          <w:lang w:val="uk-UA"/>
        </w:rPr>
        <w:t>», «Гірський Світанок», «Едельвейс», «Карпати», «</w:t>
      </w:r>
      <w:proofErr w:type="spellStart"/>
      <w:r w:rsidRPr="005F0419">
        <w:rPr>
          <w:rFonts w:ascii="Times New Roman" w:eastAsia="Times New Roman" w:hAnsi="Times New Roman" w:cs="Times New Roman"/>
          <w:sz w:val="28"/>
          <w:szCs w:val="28"/>
          <w:lang w:val="uk-UA"/>
        </w:rPr>
        <w:t>Норіс</w:t>
      </w:r>
      <w:proofErr w:type="spellEnd"/>
      <w:r w:rsidRPr="005F0419">
        <w:rPr>
          <w:rFonts w:ascii="Times New Roman" w:eastAsia="Times New Roman" w:hAnsi="Times New Roman" w:cs="Times New Roman"/>
          <w:sz w:val="28"/>
          <w:szCs w:val="28"/>
          <w:lang w:val="uk-UA"/>
        </w:rPr>
        <w:t xml:space="preserve">» та ін. У загальній частці місткості готелів курорту </w:t>
      </w:r>
      <w:proofErr w:type="spellStart"/>
      <w:r w:rsidRPr="005F0419">
        <w:rPr>
          <w:rFonts w:ascii="Times New Roman" w:eastAsia="Times New Roman" w:hAnsi="Times New Roman" w:cs="Times New Roman"/>
          <w:sz w:val="28"/>
          <w:szCs w:val="28"/>
          <w:lang w:val="uk-UA"/>
        </w:rPr>
        <w:t>Мигове</w:t>
      </w:r>
      <w:proofErr w:type="spellEnd"/>
      <w:r w:rsidRPr="005F0419">
        <w:rPr>
          <w:rFonts w:ascii="Times New Roman" w:eastAsia="Times New Roman" w:hAnsi="Times New Roman" w:cs="Times New Roman"/>
          <w:sz w:val="28"/>
          <w:szCs w:val="28"/>
          <w:lang w:val="uk-UA"/>
        </w:rPr>
        <w:t xml:space="preserve"> на перші чотири готелі,  «Карпатська Вежа» «Карпати», «Едельвейс» і «Гірський Світанок», сукупно припадає 90% усіх готельних місць  (рис. 14). </w:t>
      </w:r>
    </w:p>
    <w:p w14:paraId="785935E1" w14:textId="6047879D" w:rsidR="0000167A" w:rsidRPr="005F0419" w:rsidRDefault="0000167A" w:rsidP="00662012">
      <w:pPr>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noProof/>
          <w:sz w:val="28"/>
          <w:szCs w:val="28"/>
          <w:lang w:val="uk-UA"/>
        </w:rPr>
        <w:drawing>
          <wp:inline distT="0" distB="0" distL="0" distR="0" wp14:anchorId="79E789F5" wp14:editId="6EBCC6D7">
            <wp:extent cx="5208105" cy="2643808"/>
            <wp:effectExtent l="0" t="0" r="0" b="4445"/>
            <wp:docPr id="5" name="Діагра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3"/>
              </a:graphicData>
            </a:graphic>
          </wp:inline>
        </w:drawing>
      </w:r>
    </w:p>
    <w:p w14:paraId="1174EC22" w14:textId="77777777" w:rsidR="0000167A" w:rsidRPr="005F0419" w:rsidRDefault="0000167A" w:rsidP="00662012">
      <w:pPr>
        <w:spacing w:after="0" w:line="360" w:lineRule="auto"/>
        <w:ind w:firstLine="720"/>
        <w:jc w:val="center"/>
        <w:rPr>
          <w:rFonts w:ascii="Times New Roman" w:eastAsia="Times New Roman" w:hAnsi="Times New Roman" w:cs="Times New Roman"/>
          <w:bCs/>
          <w:sz w:val="28"/>
          <w:szCs w:val="28"/>
          <w:lang w:val="uk-UA"/>
        </w:rPr>
      </w:pPr>
      <w:r w:rsidRPr="005F0419">
        <w:rPr>
          <w:rFonts w:ascii="Times New Roman" w:eastAsia="Calibri" w:hAnsi="Times New Roman" w:cs="Times New Roman"/>
          <w:bCs/>
          <w:sz w:val="28"/>
          <w:szCs w:val="28"/>
          <w:lang w:val="uk-UA"/>
        </w:rPr>
        <w:t xml:space="preserve">Рис. 14. </w:t>
      </w:r>
      <w:r w:rsidRPr="005F0419">
        <w:rPr>
          <w:rFonts w:ascii="Times New Roman" w:eastAsia="Times New Roman" w:hAnsi="Times New Roman" w:cs="Times New Roman"/>
          <w:bCs/>
          <w:sz w:val="28"/>
          <w:szCs w:val="28"/>
          <w:lang w:val="uk-UA"/>
        </w:rPr>
        <w:t xml:space="preserve">Частка досліджуваних закладів розміщення у загальній місткості ринку готельних послуг курорту </w:t>
      </w:r>
      <w:proofErr w:type="spellStart"/>
      <w:r w:rsidRPr="005F0419">
        <w:rPr>
          <w:rFonts w:ascii="Times New Roman" w:eastAsia="Times New Roman" w:hAnsi="Times New Roman" w:cs="Times New Roman"/>
          <w:bCs/>
          <w:sz w:val="28"/>
          <w:szCs w:val="28"/>
          <w:lang w:val="uk-UA"/>
        </w:rPr>
        <w:t>Мигове</w:t>
      </w:r>
      <w:proofErr w:type="spellEnd"/>
    </w:p>
    <w:p w14:paraId="4D937D56"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p>
    <w:p w14:paraId="2E3C33CB" w14:textId="77777777" w:rsidR="0000167A" w:rsidRPr="005F0419" w:rsidRDefault="0000167A" w:rsidP="00662012">
      <w:pPr>
        <w:spacing w:after="0" w:line="360" w:lineRule="auto"/>
        <w:ind w:firstLine="720"/>
        <w:contextualSpacing/>
        <w:jc w:val="both"/>
        <w:rPr>
          <w:rFonts w:ascii="Times New Roman" w:eastAsia="Calibri" w:hAnsi="Times New Roman" w:cs="Times New Roman"/>
          <w:spacing w:val="-4"/>
          <w:sz w:val="28"/>
          <w:szCs w:val="28"/>
          <w:lang w:val="uk-UA"/>
        </w:rPr>
      </w:pPr>
      <w:r w:rsidRPr="005F0419">
        <w:rPr>
          <w:rFonts w:ascii="Times New Roman" w:eastAsia="Calibri" w:hAnsi="Times New Roman" w:cs="Times New Roman"/>
          <w:spacing w:val="-4"/>
          <w:sz w:val="28"/>
          <w:szCs w:val="28"/>
          <w:lang w:val="uk-UA"/>
        </w:rPr>
        <w:t xml:space="preserve">Задля порівняльної характеристики та оцінки конкурентних переваг ми детально дослідили весь комплекс послуг гостинності, які надають в курорті </w:t>
      </w:r>
      <w:proofErr w:type="spellStart"/>
      <w:r w:rsidRPr="005F0419">
        <w:rPr>
          <w:rFonts w:ascii="Times New Roman" w:eastAsia="Calibri" w:hAnsi="Times New Roman" w:cs="Times New Roman"/>
          <w:spacing w:val="-4"/>
          <w:sz w:val="28"/>
          <w:szCs w:val="28"/>
          <w:lang w:val="uk-UA"/>
        </w:rPr>
        <w:t>Мигове</w:t>
      </w:r>
      <w:proofErr w:type="spellEnd"/>
      <w:r w:rsidRPr="005F0419">
        <w:rPr>
          <w:rFonts w:ascii="Times New Roman" w:eastAsia="Calibri" w:hAnsi="Times New Roman" w:cs="Times New Roman"/>
          <w:spacing w:val="-4"/>
          <w:sz w:val="28"/>
          <w:szCs w:val="28"/>
          <w:lang w:val="uk-UA"/>
        </w:rPr>
        <w:t xml:space="preserve"> найближчих готелів-конкурентів споріднених за організаційною структурою, масштабуванням конкурентних переваг та просторовою наближеністю: «Карпатська Вежа», «</w:t>
      </w:r>
      <w:proofErr w:type="spellStart"/>
      <w:r w:rsidRPr="005F0419">
        <w:rPr>
          <w:rFonts w:ascii="Times New Roman" w:eastAsia="Calibri" w:hAnsi="Times New Roman" w:cs="Times New Roman"/>
          <w:spacing w:val="-4"/>
          <w:sz w:val="28"/>
          <w:szCs w:val="28"/>
          <w:lang w:val="uk-UA"/>
        </w:rPr>
        <w:t>Саторі</w:t>
      </w:r>
      <w:proofErr w:type="spellEnd"/>
      <w:r w:rsidRPr="005F0419">
        <w:rPr>
          <w:rFonts w:ascii="Times New Roman" w:eastAsia="Calibri" w:hAnsi="Times New Roman" w:cs="Times New Roman"/>
          <w:spacing w:val="-4"/>
          <w:sz w:val="28"/>
          <w:szCs w:val="28"/>
          <w:lang w:val="uk-UA"/>
        </w:rPr>
        <w:t>», «Гірський Світанок», «Едельвейс», «Карпати» і «</w:t>
      </w:r>
      <w:proofErr w:type="spellStart"/>
      <w:r w:rsidRPr="005F0419">
        <w:rPr>
          <w:rFonts w:ascii="Times New Roman" w:eastAsia="Calibri" w:hAnsi="Times New Roman" w:cs="Times New Roman"/>
          <w:spacing w:val="-4"/>
          <w:sz w:val="28"/>
          <w:szCs w:val="28"/>
          <w:lang w:val="uk-UA"/>
        </w:rPr>
        <w:t>Норіс</w:t>
      </w:r>
      <w:proofErr w:type="spellEnd"/>
      <w:r w:rsidRPr="005F0419">
        <w:rPr>
          <w:rFonts w:ascii="Times New Roman" w:eastAsia="Calibri" w:hAnsi="Times New Roman" w:cs="Times New Roman"/>
          <w:spacing w:val="-4"/>
          <w:sz w:val="28"/>
          <w:szCs w:val="28"/>
          <w:lang w:val="uk-UA"/>
        </w:rPr>
        <w:t xml:space="preserve">». Умовно дані двадцяти чотирьох кваліфікаційних показників розвитку їхньої інфраструктури та сервісу як послуг гостинності були поділені на </w:t>
      </w:r>
      <w:r w:rsidRPr="005F0419">
        <w:rPr>
          <w:rFonts w:ascii="Times New Roman" w:eastAsia="Calibri" w:hAnsi="Times New Roman" w:cs="Times New Roman"/>
          <w:spacing w:val="-4"/>
          <w:sz w:val="28"/>
          <w:szCs w:val="28"/>
          <w:lang w:val="uk-UA"/>
        </w:rPr>
        <w:lastRenderedPageBreak/>
        <w:t>дві групи кількісних і якісних характеристик, які занесли до таблиці за таким же переліком (табл. 11).</w:t>
      </w:r>
    </w:p>
    <w:p w14:paraId="322CA65B" w14:textId="77777777" w:rsidR="0000167A" w:rsidRPr="005F0419" w:rsidRDefault="0000167A" w:rsidP="00662012">
      <w:pPr>
        <w:spacing w:after="0" w:line="360" w:lineRule="auto"/>
        <w:ind w:firstLine="720"/>
        <w:contextualSpacing/>
        <w:jc w:val="right"/>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 Таблиця 11</w:t>
      </w:r>
    </w:p>
    <w:p w14:paraId="75F6B71D" w14:textId="77777777" w:rsidR="0000167A" w:rsidRPr="005F0419" w:rsidRDefault="0000167A" w:rsidP="00662012">
      <w:pPr>
        <w:spacing w:after="0" w:line="360" w:lineRule="auto"/>
        <w:ind w:firstLine="720"/>
        <w:contextualSpacing/>
        <w:jc w:val="center"/>
        <w:rPr>
          <w:rFonts w:ascii="Times New Roman" w:eastAsia="Calibri" w:hAnsi="Times New Roman" w:cs="Times New Roman"/>
          <w:bCs/>
          <w:sz w:val="28"/>
          <w:szCs w:val="28"/>
          <w:lang w:val="uk-UA"/>
        </w:rPr>
      </w:pPr>
      <w:proofErr w:type="spellStart"/>
      <w:r w:rsidRPr="005F0419">
        <w:rPr>
          <w:rFonts w:ascii="Times New Roman" w:eastAsia="Calibri" w:hAnsi="Times New Roman" w:cs="Times New Roman"/>
          <w:bCs/>
          <w:sz w:val="28"/>
          <w:szCs w:val="28"/>
          <w:lang w:val="uk-UA"/>
        </w:rPr>
        <w:t>Бально</w:t>
      </w:r>
      <w:proofErr w:type="spellEnd"/>
      <w:r w:rsidRPr="005F0419">
        <w:rPr>
          <w:rFonts w:ascii="Times New Roman" w:eastAsia="Calibri" w:hAnsi="Times New Roman" w:cs="Times New Roman"/>
          <w:bCs/>
          <w:sz w:val="28"/>
          <w:szCs w:val="28"/>
          <w:lang w:val="uk-UA"/>
        </w:rPr>
        <w:t xml:space="preserve">-рейтингова оцінка кваліфікаційних показників розвитку послуг гостинності в готелях курорту </w:t>
      </w:r>
      <w:proofErr w:type="spellStart"/>
      <w:r w:rsidRPr="005F0419">
        <w:rPr>
          <w:rFonts w:ascii="Times New Roman" w:eastAsia="Calibri" w:hAnsi="Times New Roman" w:cs="Times New Roman"/>
          <w:bCs/>
          <w:sz w:val="28"/>
          <w:szCs w:val="28"/>
          <w:lang w:val="uk-UA"/>
        </w:rPr>
        <w:t>Мигове</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992"/>
        <w:gridCol w:w="709"/>
        <w:gridCol w:w="992"/>
        <w:gridCol w:w="709"/>
        <w:gridCol w:w="567"/>
        <w:gridCol w:w="709"/>
        <w:gridCol w:w="702"/>
      </w:tblGrid>
      <w:tr w:rsidR="0000167A" w:rsidRPr="005F0419" w14:paraId="20E138D7" w14:textId="77777777" w:rsidTr="00EE148D">
        <w:trPr>
          <w:trHeight w:val="260"/>
        </w:trPr>
        <w:tc>
          <w:tcPr>
            <w:tcW w:w="4248" w:type="dxa"/>
            <w:vMerge w:val="restart"/>
            <w:shd w:val="clear" w:color="auto" w:fill="FFFFFF" w:themeFill="background1"/>
          </w:tcPr>
          <w:p w14:paraId="7BF00676" w14:textId="77777777" w:rsidR="00EE148D" w:rsidRPr="005F0419" w:rsidRDefault="00EE148D" w:rsidP="00EE148D">
            <w:pPr>
              <w:spacing w:after="0" w:line="240" w:lineRule="auto"/>
              <w:contextualSpacing/>
              <w:jc w:val="both"/>
              <w:rPr>
                <w:rFonts w:ascii="Times New Roman" w:eastAsia="Times New Roman" w:hAnsi="Times New Roman" w:cs="Times New Roman"/>
                <w:spacing w:val="-6"/>
                <w:sz w:val="24"/>
                <w:szCs w:val="24"/>
                <w:lang w:val="uk-UA"/>
              </w:rPr>
            </w:pPr>
          </w:p>
          <w:p w14:paraId="7DB37415" w14:textId="77777777" w:rsidR="00EE148D" w:rsidRPr="005F0419" w:rsidRDefault="00EE148D" w:rsidP="00EE148D">
            <w:pPr>
              <w:spacing w:after="0" w:line="240" w:lineRule="auto"/>
              <w:contextualSpacing/>
              <w:jc w:val="both"/>
              <w:rPr>
                <w:rFonts w:ascii="Times New Roman" w:eastAsia="Times New Roman" w:hAnsi="Times New Roman" w:cs="Times New Roman"/>
                <w:spacing w:val="-6"/>
                <w:sz w:val="24"/>
                <w:szCs w:val="24"/>
                <w:lang w:val="uk-UA"/>
              </w:rPr>
            </w:pPr>
          </w:p>
          <w:p w14:paraId="4F627679" w14:textId="4234C697" w:rsidR="0000167A" w:rsidRPr="005F0419" w:rsidRDefault="0000167A" w:rsidP="00EE148D">
            <w:pPr>
              <w:spacing w:after="0" w:line="240" w:lineRule="auto"/>
              <w:contextualSpacing/>
              <w:jc w:val="center"/>
              <w:rPr>
                <w:rFonts w:ascii="Times New Roman" w:eastAsia="Times New Roman" w:hAnsi="Times New Roman" w:cs="Times New Roman"/>
                <w:spacing w:val="-6"/>
                <w:sz w:val="24"/>
                <w:szCs w:val="24"/>
                <w:lang w:val="uk-UA"/>
              </w:rPr>
            </w:pPr>
            <w:r w:rsidRPr="005F0419">
              <w:rPr>
                <w:rFonts w:ascii="Times New Roman" w:eastAsia="Times New Roman" w:hAnsi="Times New Roman" w:cs="Times New Roman"/>
                <w:spacing w:val="-6"/>
                <w:sz w:val="24"/>
                <w:szCs w:val="24"/>
                <w:lang w:val="uk-UA"/>
              </w:rPr>
              <w:t>Кількісно-якісні характеристики</w:t>
            </w:r>
          </w:p>
        </w:tc>
        <w:tc>
          <w:tcPr>
            <w:tcW w:w="5380" w:type="dxa"/>
            <w:gridSpan w:val="7"/>
            <w:shd w:val="clear" w:color="auto" w:fill="FFFFFF" w:themeFill="background1"/>
          </w:tcPr>
          <w:p w14:paraId="0F67EC4E" w14:textId="77777777" w:rsidR="0000167A" w:rsidRPr="005F0419" w:rsidRDefault="0000167A" w:rsidP="00EE148D">
            <w:pPr>
              <w:spacing w:after="0" w:line="240" w:lineRule="auto"/>
              <w:contextualSpacing/>
              <w:jc w:val="center"/>
              <w:rPr>
                <w:rFonts w:ascii="Times New Roman" w:eastAsia="Times New Roman" w:hAnsi="Times New Roman" w:cs="Times New Roman"/>
                <w:spacing w:val="-6"/>
                <w:sz w:val="24"/>
                <w:szCs w:val="24"/>
                <w:lang w:val="uk-UA"/>
              </w:rPr>
            </w:pPr>
            <w:r w:rsidRPr="005F0419">
              <w:rPr>
                <w:rFonts w:ascii="Times New Roman" w:eastAsia="Times New Roman" w:hAnsi="Times New Roman" w:cs="Times New Roman"/>
                <w:spacing w:val="-6"/>
                <w:sz w:val="24"/>
                <w:szCs w:val="24"/>
                <w:lang w:val="uk-UA"/>
              </w:rPr>
              <w:t>Готель</w:t>
            </w:r>
          </w:p>
        </w:tc>
      </w:tr>
      <w:tr w:rsidR="00EE148D" w:rsidRPr="005F0419" w14:paraId="34B7E42E" w14:textId="77777777" w:rsidTr="00EE148D">
        <w:trPr>
          <w:cantSplit/>
          <w:trHeight w:val="1259"/>
        </w:trPr>
        <w:tc>
          <w:tcPr>
            <w:tcW w:w="4248" w:type="dxa"/>
            <w:vMerge/>
            <w:shd w:val="clear" w:color="auto" w:fill="FFFFFF" w:themeFill="background1"/>
          </w:tcPr>
          <w:p w14:paraId="7B4E5509" w14:textId="77777777" w:rsidR="0000167A" w:rsidRPr="005F0419" w:rsidRDefault="0000167A" w:rsidP="00EE148D">
            <w:pPr>
              <w:spacing w:after="0" w:line="240" w:lineRule="auto"/>
              <w:contextualSpacing/>
              <w:jc w:val="both"/>
              <w:rPr>
                <w:rFonts w:ascii="Times New Roman" w:eastAsia="Times New Roman" w:hAnsi="Times New Roman" w:cs="Times New Roman"/>
                <w:spacing w:val="-6"/>
                <w:sz w:val="24"/>
                <w:szCs w:val="24"/>
                <w:lang w:val="uk-UA"/>
              </w:rPr>
            </w:pPr>
          </w:p>
        </w:tc>
        <w:tc>
          <w:tcPr>
            <w:tcW w:w="992" w:type="dxa"/>
            <w:shd w:val="clear" w:color="auto" w:fill="FFFFFF" w:themeFill="background1"/>
            <w:textDirection w:val="btLr"/>
            <w:vAlign w:val="bottom"/>
          </w:tcPr>
          <w:p w14:paraId="07213EAC" w14:textId="77777777" w:rsidR="0000167A" w:rsidRPr="005F0419" w:rsidRDefault="0000167A" w:rsidP="00EE148D">
            <w:pPr>
              <w:spacing w:after="0" w:line="240" w:lineRule="auto"/>
              <w:ind w:left="113" w:right="113"/>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Карпатська Вежа</w:t>
            </w:r>
          </w:p>
        </w:tc>
        <w:tc>
          <w:tcPr>
            <w:tcW w:w="709" w:type="dxa"/>
            <w:shd w:val="clear" w:color="auto" w:fill="FFFFFF" w:themeFill="background1"/>
            <w:textDirection w:val="btLr"/>
            <w:vAlign w:val="bottom"/>
          </w:tcPr>
          <w:p w14:paraId="216DFE77" w14:textId="77777777" w:rsidR="0000167A" w:rsidRPr="005F0419" w:rsidRDefault="0000167A" w:rsidP="00EE148D">
            <w:pPr>
              <w:spacing w:after="0" w:line="240" w:lineRule="auto"/>
              <w:ind w:left="113" w:right="113"/>
              <w:jc w:val="center"/>
              <w:rPr>
                <w:rFonts w:ascii="Times New Roman" w:eastAsia="Times New Roman" w:hAnsi="Times New Roman" w:cs="Times New Roman"/>
                <w:sz w:val="24"/>
                <w:szCs w:val="24"/>
                <w:lang w:val="uk-UA"/>
              </w:rPr>
            </w:pPr>
            <w:proofErr w:type="spellStart"/>
            <w:r w:rsidRPr="005F0419">
              <w:rPr>
                <w:rFonts w:ascii="Times New Roman" w:eastAsia="Times New Roman" w:hAnsi="Times New Roman" w:cs="Times New Roman"/>
                <w:sz w:val="24"/>
                <w:szCs w:val="24"/>
                <w:lang w:val="uk-UA"/>
              </w:rPr>
              <w:t>Саторі</w:t>
            </w:r>
            <w:proofErr w:type="spellEnd"/>
          </w:p>
        </w:tc>
        <w:tc>
          <w:tcPr>
            <w:tcW w:w="992" w:type="dxa"/>
            <w:shd w:val="clear" w:color="auto" w:fill="FFFFFF" w:themeFill="background1"/>
            <w:textDirection w:val="btLr"/>
            <w:vAlign w:val="bottom"/>
          </w:tcPr>
          <w:p w14:paraId="13C7D4A1" w14:textId="77777777" w:rsidR="0000167A" w:rsidRPr="005F0419" w:rsidRDefault="0000167A" w:rsidP="00EE148D">
            <w:pPr>
              <w:spacing w:after="0" w:line="240" w:lineRule="auto"/>
              <w:ind w:left="113" w:right="113"/>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Гірський Світанок</w:t>
            </w:r>
          </w:p>
        </w:tc>
        <w:tc>
          <w:tcPr>
            <w:tcW w:w="709" w:type="dxa"/>
            <w:shd w:val="clear" w:color="auto" w:fill="FFFFFF" w:themeFill="background1"/>
            <w:textDirection w:val="btLr"/>
            <w:vAlign w:val="bottom"/>
          </w:tcPr>
          <w:p w14:paraId="7434DD35" w14:textId="77777777" w:rsidR="0000167A" w:rsidRPr="005F0419" w:rsidRDefault="0000167A" w:rsidP="00EE148D">
            <w:pPr>
              <w:spacing w:after="0" w:line="240" w:lineRule="auto"/>
              <w:ind w:left="113" w:right="113"/>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Едельвейс</w:t>
            </w:r>
          </w:p>
        </w:tc>
        <w:tc>
          <w:tcPr>
            <w:tcW w:w="567" w:type="dxa"/>
            <w:shd w:val="clear" w:color="auto" w:fill="FFFFFF" w:themeFill="background1"/>
            <w:textDirection w:val="btLr"/>
            <w:vAlign w:val="bottom"/>
          </w:tcPr>
          <w:p w14:paraId="2B17275A" w14:textId="77777777" w:rsidR="0000167A" w:rsidRPr="005F0419" w:rsidRDefault="0000167A" w:rsidP="00EE148D">
            <w:pPr>
              <w:spacing w:after="0" w:line="240" w:lineRule="auto"/>
              <w:ind w:left="113" w:right="113"/>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Карпати</w:t>
            </w:r>
          </w:p>
        </w:tc>
        <w:tc>
          <w:tcPr>
            <w:tcW w:w="709" w:type="dxa"/>
            <w:shd w:val="clear" w:color="auto" w:fill="FFFFFF" w:themeFill="background1"/>
            <w:textDirection w:val="btLr"/>
            <w:vAlign w:val="bottom"/>
          </w:tcPr>
          <w:p w14:paraId="324D6D28" w14:textId="77777777" w:rsidR="0000167A" w:rsidRPr="005F0419" w:rsidRDefault="0000167A" w:rsidP="00EE148D">
            <w:pPr>
              <w:spacing w:after="0" w:line="240" w:lineRule="auto"/>
              <w:ind w:left="113" w:right="113"/>
              <w:jc w:val="center"/>
              <w:rPr>
                <w:rFonts w:ascii="Times New Roman" w:eastAsia="Times New Roman" w:hAnsi="Times New Roman" w:cs="Times New Roman"/>
                <w:sz w:val="24"/>
                <w:szCs w:val="24"/>
                <w:lang w:val="uk-UA"/>
              </w:rPr>
            </w:pPr>
            <w:proofErr w:type="spellStart"/>
            <w:r w:rsidRPr="005F0419">
              <w:rPr>
                <w:rFonts w:ascii="Times New Roman" w:eastAsia="Times New Roman" w:hAnsi="Times New Roman" w:cs="Times New Roman"/>
                <w:sz w:val="24"/>
                <w:szCs w:val="24"/>
                <w:lang w:val="uk-UA"/>
              </w:rPr>
              <w:t>Норіс</w:t>
            </w:r>
            <w:proofErr w:type="spellEnd"/>
          </w:p>
        </w:tc>
        <w:tc>
          <w:tcPr>
            <w:tcW w:w="702" w:type="dxa"/>
            <w:shd w:val="clear" w:color="auto" w:fill="FFFFFF" w:themeFill="background1"/>
            <w:textDirection w:val="btLr"/>
            <w:vAlign w:val="bottom"/>
          </w:tcPr>
          <w:p w14:paraId="5F61599E" w14:textId="77777777" w:rsidR="0000167A" w:rsidRPr="005F0419" w:rsidRDefault="0000167A" w:rsidP="00EE148D">
            <w:pPr>
              <w:spacing w:after="0" w:line="240" w:lineRule="auto"/>
              <w:ind w:left="113" w:right="113"/>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Разом</w:t>
            </w:r>
          </w:p>
        </w:tc>
      </w:tr>
      <w:tr w:rsidR="00EE148D" w:rsidRPr="005F0419" w14:paraId="290AC0DB" w14:textId="77777777" w:rsidTr="00EE148D">
        <w:trPr>
          <w:trHeight w:hRule="exact" w:val="340"/>
        </w:trPr>
        <w:tc>
          <w:tcPr>
            <w:tcW w:w="4248" w:type="dxa"/>
            <w:shd w:val="clear" w:color="auto" w:fill="auto"/>
            <w:vAlign w:val="center"/>
          </w:tcPr>
          <w:p w14:paraId="0DB99420"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Кількість номерів</w:t>
            </w:r>
          </w:p>
        </w:tc>
        <w:tc>
          <w:tcPr>
            <w:tcW w:w="992" w:type="dxa"/>
            <w:shd w:val="clear" w:color="auto" w:fill="auto"/>
            <w:vAlign w:val="bottom"/>
          </w:tcPr>
          <w:p w14:paraId="23745A2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709" w:type="dxa"/>
            <w:shd w:val="clear" w:color="auto" w:fill="auto"/>
            <w:vAlign w:val="bottom"/>
          </w:tcPr>
          <w:p w14:paraId="41B4664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40C4D49D"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709" w:type="dxa"/>
            <w:shd w:val="clear" w:color="auto" w:fill="auto"/>
            <w:vAlign w:val="bottom"/>
          </w:tcPr>
          <w:p w14:paraId="5A1D598F"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c>
          <w:tcPr>
            <w:tcW w:w="567" w:type="dxa"/>
            <w:shd w:val="clear" w:color="auto" w:fill="auto"/>
            <w:vAlign w:val="bottom"/>
          </w:tcPr>
          <w:p w14:paraId="3301AA9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c>
          <w:tcPr>
            <w:tcW w:w="709" w:type="dxa"/>
            <w:shd w:val="clear" w:color="auto" w:fill="auto"/>
            <w:vAlign w:val="bottom"/>
          </w:tcPr>
          <w:p w14:paraId="61F9AB42"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2" w:type="dxa"/>
            <w:shd w:val="clear" w:color="auto" w:fill="auto"/>
            <w:vAlign w:val="bottom"/>
          </w:tcPr>
          <w:p w14:paraId="422BE55C"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10</w:t>
            </w:r>
          </w:p>
        </w:tc>
      </w:tr>
      <w:tr w:rsidR="00EE148D" w:rsidRPr="005F0419" w14:paraId="1B30E243" w14:textId="77777777" w:rsidTr="00EE148D">
        <w:trPr>
          <w:trHeight w:hRule="exact" w:val="381"/>
        </w:trPr>
        <w:tc>
          <w:tcPr>
            <w:tcW w:w="4248" w:type="dxa"/>
            <w:shd w:val="clear" w:color="auto" w:fill="auto"/>
            <w:vAlign w:val="center"/>
          </w:tcPr>
          <w:p w14:paraId="1C956182"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Кількість ліжко-місць</w:t>
            </w:r>
          </w:p>
        </w:tc>
        <w:tc>
          <w:tcPr>
            <w:tcW w:w="992" w:type="dxa"/>
            <w:shd w:val="clear" w:color="auto" w:fill="auto"/>
            <w:vAlign w:val="bottom"/>
          </w:tcPr>
          <w:p w14:paraId="29CA8ACD"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c>
          <w:tcPr>
            <w:tcW w:w="709" w:type="dxa"/>
            <w:shd w:val="clear" w:color="auto" w:fill="auto"/>
            <w:vAlign w:val="bottom"/>
          </w:tcPr>
          <w:p w14:paraId="5A3B946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992" w:type="dxa"/>
            <w:shd w:val="clear" w:color="auto" w:fill="auto"/>
            <w:vAlign w:val="bottom"/>
          </w:tcPr>
          <w:p w14:paraId="3AB8A9D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4</w:t>
            </w:r>
          </w:p>
        </w:tc>
        <w:tc>
          <w:tcPr>
            <w:tcW w:w="709" w:type="dxa"/>
            <w:shd w:val="clear" w:color="auto" w:fill="auto"/>
            <w:vAlign w:val="bottom"/>
          </w:tcPr>
          <w:p w14:paraId="5957FA4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w:t>
            </w:r>
          </w:p>
        </w:tc>
        <w:tc>
          <w:tcPr>
            <w:tcW w:w="567" w:type="dxa"/>
            <w:shd w:val="clear" w:color="auto" w:fill="auto"/>
            <w:vAlign w:val="bottom"/>
          </w:tcPr>
          <w:p w14:paraId="1F28CAC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6</w:t>
            </w:r>
          </w:p>
        </w:tc>
        <w:tc>
          <w:tcPr>
            <w:tcW w:w="709" w:type="dxa"/>
            <w:shd w:val="clear" w:color="auto" w:fill="auto"/>
            <w:vAlign w:val="bottom"/>
          </w:tcPr>
          <w:p w14:paraId="7AF850D1"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2" w:type="dxa"/>
            <w:shd w:val="clear" w:color="auto" w:fill="auto"/>
            <w:vAlign w:val="bottom"/>
          </w:tcPr>
          <w:p w14:paraId="23414CED"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20</w:t>
            </w:r>
          </w:p>
        </w:tc>
      </w:tr>
      <w:tr w:rsidR="00EE148D" w:rsidRPr="005F0419" w14:paraId="55B4E286" w14:textId="77777777" w:rsidTr="00EE148D">
        <w:trPr>
          <w:trHeight w:hRule="exact" w:val="430"/>
        </w:trPr>
        <w:tc>
          <w:tcPr>
            <w:tcW w:w="4248" w:type="dxa"/>
            <w:shd w:val="clear" w:color="auto" w:fill="auto"/>
            <w:vAlign w:val="center"/>
          </w:tcPr>
          <w:p w14:paraId="3D64E6BA"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Віддаль до підйомників, м</w:t>
            </w:r>
          </w:p>
        </w:tc>
        <w:tc>
          <w:tcPr>
            <w:tcW w:w="992" w:type="dxa"/>
            <w:shd w:val="clear" w:color="auto" w:fill="auto"/>
            <w:vAlign w:val="bottom"/>
          </w:tcPr>
          <w:p w14:paraId="62F444DC"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c>
          <w:tcPr>
            <w:tcW w:w="709" w:type="dxa"/>
            <w:shd w:val="clear" w:color="auto" w:fill="auto"/>
            <w:vAlign w:val="bottom"/>
          </w:tcPr>
          <w:p w14:paraId="50029D3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4</w:t>
            </w:r>
          </w:p>
        </w:tc>
        <w:tc>
          <w:tcPr>
            <w:tcW w:w="992" w:type="dxa"/>
            <w:shd w:val="clear" w:color="auto" w:fill="auto"/>
            <w:vAlign w:val="bottom"/>
          </w:tcPr>
          <w:p w14:paraId="0F56130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w:t>
            </w:r>
          </w:p>
        </w:tc>
        <w:tc>
          <w:tcPr>
            <w:tcW w:w="709" w:type="dxa"/>
            <w:shd w:val="clear" w:color="auto" w:fill="auto"/>
            <w:vAlign w:val="bottom"/>
          </w:tcPr>
          <w:p w14:paraId="742501C1"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4</w:t>
            </w:r>
          </w:p>
        </w:tc>
        <w:tc>
          <w:tcPr>
            <w:tcW w:w="567" w:type="dxa"/>
            <w:shd w:val="clear" w:color="auto" w:fill="auto"/>
            <w:vAlign w:val="bottom"/>
          </w:tcPr>
          <w:p w14:paraId="4AC13FE0"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72BC4A77"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6</w:t>
            </w:r>
          </w:p>
        </w:tc>
        <w:tc>
          <w:tcPr>
            <w:tcW w:w="702" w:type="dxa"/>
            <w:shd w:val="clear" w:color="auto" w:fill="auto"/>
            <w:vAlign w:val="bottom"/>
          </w:tcPr>
          <w:p w14:paraId="3C81AC1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23</w:t>
            </w:r>
          </w:p>
        </w:tc>
      </w:tr>
      <w:tr w:rsidR="00EE148D" w:rsidRPr="005F0419" w14:paraId="7294646F" w14:textId="77777777" w:rsidTr="00EE148D">
        <w:trPr>
          <w:trHeight w:hRule="exact" w:val="408"/>
        </w:trPr>
        <w:tc>
          <w:tcPr>
            <w:tcW w:w="4248" w:type="dxa"/>
            <w:shd w:val="clear" w:color="auto" w:fill="auto"/>
            <w:vAlign w:val="center"/>
          </w:tcPr>
          <w:p w14:paraId="1763108A"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Ціни, грн. від…</w:t>
            </w:r>
          </w:p>
        </w:tc>
        <w:tc>
          <w:tcPr>
            <w:tcW w:w="992" w:type="dxa"/>
            <w:shd w:val="clear" w:color="auto" w:fill="auto"/>
            <w:vAlign w:val="bottom"/>
          </w:tcPr>
          <w:p w14:paraId="4E7E3A2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4</w:t>
            </w:r>
          </w:p>
        </w:tc>
        <w:tc>
          <w:tcPr>
            <w:tcW w:w="709" w:type="dxa"/>
            <w:shd w:val="clear" w:color="auto" w:fill="auto"/>
            <w:vAlign w:val="bottom"/>
          </w:tcPr>
          <w:p w14:paraId="5B89B09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4</w:t>
            </w:r>
          </w:p>
        </w:tc>
        <w:tc>
          <w:tcPr>
            <w:tcW w:w="992" w:type="dxa"/>
            <w:shd w:val="clear" w:color="auto" w:fill="auto"/>
            <w:vAlign w:val="bottom"/>
          </w:tcPr>
          <w:p w14:paraId="4C48D3E5"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6</w:t>
            </w:r>
          </w:p>
        </w:tc>
        <w:tc>
          <w:tcPr>
            <w:tcW w:w="709" w:type="dxa"/>
            <w:shd w:val="clear" w:color="auto" w:fill="auto"/>
            <w:vAlign w:val="bottom"/>
          </w:tcPr>
          <w:p w14:paraId="20F5CAC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4</w:t>
            </w:r>
          </w:p>
        </w:tc>
        <w:tc>
          <w:tcPr>
            <w:tcW w:w="567" w:type="dxa"/>
            <w:shd w:val="clear" w:color="auto" w:fill="auto"/>
            <w:vAlign w:val="bottom"/>
          </w:tcPr>
          <w:p w14:paraId="10707B20"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709" w:type="dxa"/>
            <w:shd w:val="clear" w:color="auto" w:fill="auto"/>
            <w:vAlign w:val="bottom"/>
          </w:tcPr>
          <w:p w14:paraId="46303DC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w:t>
            </w:r>
          </w:p>
        </w:tc>
        <w:tc>
          <w:tcPr>
            <w:tcW w:w="702" w:type="dxa"/>
            <w:shd w:val="clear" w:color="auto" w:fill="auto"/>
            <w:vAlign w:val="bottom"/>
          </w:tcPr>
          <w:p w14:paraId="43BE3217"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25</w:t>
            </w:r>
          </w:p>
        </w:tc>
      </w:tr>
      <w:tr w:rsidR="00EE148D" w:rsidRPr="005F0419" w14:paraId="2949853C" w14:textId="77777777" w:rsidTr="00EE148D">
        <w:trPr>
          <w:trHeight w:hRule="exact" w:val="285"/>
        </w:trPr>
        <w:tc>
          <w:tcPr>
            <w:tcW w:w="4248" w:type="dxa"/>
            <w:shd w:val="clear" w:color="auto" w:fill="auto"/>
            <w:vAlign w:val="center"/>
          </w:tcPr>
          <w:p w14:paraId="41DDEC7D"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Ресторан</w:t>
            </w:r>
          </w:p>
        </w:tc>
        <w:tc>
          <w:tcPr>
            <w:tcW w:w="992" w:type="dxa"/>
            <w:shd w:val="clear" w:color="auto" w:fill="auto"/>
            <w:vAlign w:val="bottom"/>
          </w:tcPr>
          <w:p w14:paraId="79C63C1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44FD3A6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41B5F2F5"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7C3678A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567" w:type="dxa"/>
            <w:shd w:val="clear" w:color="auto" w:fill="auto"/>
            <w:vAlign w:val="bottom"/>
          </w:tcPr>
          <w:p w14:paraId="50C025E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767A79B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2" w:type="dxa"/>
            <w:shd w:val="clear" w:color="auto" w:fill="auto"/>
            <w:vAlign w:val="bottom"/>
          </w:tcPr>
          <w:p w14:paraId="539C2BCF"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6</w:t>
            </w:r>
          </w:p>
        </w:tc>
      </w:tr>
      <w:tr w:rsidR="00EE148D" w:rsidRPr="005F0419" w14:paraId="18317D33" w14:textId="77777777" w:rsidTr="00EE148D">
        <w:trPr>
          <w:trHeight w:hRule="exact" w:val="290"/>
        </w:trPr>
        <w:tc>
          <w:tcPr>
            <w:tcW w:w="4248" w:type="dxa"/>
            <w:shd w:val="clear" w:color="auto" w:fill="auto"/>
            <w:vAlign w:val="center"/>
          </w:tcPr>
          <w:p w14:paraId="04890AE5"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Кафе швидкого харчування</w:t>
            </w:r>
          </w:p>
        </w:tc>
        <w:tc>
          <w:tcPr>
            <w:tcW w:w="992" w:type="dxa"/>
            <w:shd w:val="clear" w:color="auto" w:fill="auto"/>
            <w:vAlign w:val="bottom"/>
          </w:tcPr>
          <w:p w14:paraId="18739A3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25F0954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199AFE4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6A1A1347"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567" w:type="dxa"/>
            <w:shd w:val="clear" w:color="auto" w:fill="auto"/>
            <w:vAlign w:val="bottom"/>
          </w:tcPr>
          <w:p w14:paraId="0562860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2FBD72D8"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2" w:type="dxa"/>
            <w:shd w:val="clear" w:color="auto" w:fill="auto"/>
            <w:vAlign w:val="bottom"/>
          </w:tcPr>
          <w:p w14:paraId="11EBA54F"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w:t>
            </w:r>
          </w:p>
        </w:tc>
      </w:tr>
      <w:tr w:rsidR="00EE148D" w:rsidRPr="005F0419" w14:paraId="66897138" w14:textId="77777777" w:rsidTr="00EE148D">
        <w:trPr>
          <w:trHeight w:hRule="exact" w:val="398"/>
        </w:trPr>
        <w:tc>
          <w:tcPr>
            <w:tcW w:w="4248" w:type="dxa"/>
            <w:shd w:val="clear" w:color="auto" w:fill="auto"/>
            <w:vAlign w:val="center"/>
          </w:tcPr>
          <w:p w14:paraId="3D9CDB87"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Бар (колиба)</w:t>
            </w:r>
          </w:p>
        </w:tc>
        <w:tc>
          <w:tcPr>
            <w:tcW w:w="992" w:type="dxa"/>
            <w:shd w:val="clear" w:color="auto" w:fill="auto"/>
            <w:vAlign w:val="bottom"/>
          </w:tcPr>
          <w:p w14:paraId="459EA741"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728340F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305FB06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61FF184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567" w:type="dxa"/>
            <w:shd w:val="clear" w:color="auto" w:fill="auto"/>
            <w:vAlign w:val="bottom"/>
          </w:tcPr>
          <w:p w14:paraId="1253A38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709" w:type="dxa"/>
            <w:shd w:val="clear" w:color="auto" w:fill="auto"/>
            <w:vAlign w:val="bottom"/>
          </w:tcPr>
          <w:p w14:paraId="2DB63BC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2" w:type="dxa"/>
            <w:shd w:val="clear" w:color="auto" w:fill="auto"/>
            <w:vAlign w:val="bottom"/>
          </w:tcPr>
          <w:p w14:paraId="432110AC"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4</w:t>
            </w:r>
          </w:p>
        </w:tc>
      </w:tr>
      <w:tr w:rsidR="00EE148D" w:rsidRPr="005F0419" w14:paraId="1BA2AB51" w14:textId="77777777" w:rsidTr="00EE148D">
        <w:trPr>
          <w:trHeight w:hRule="exact" w:val="313"/>
        </w:trPr>
        <w:tc>
          <w:tcPr>
            <w:tcW w:w="4248" w:type="dxa"/>
            <w:shd w:val="clear" w:color="auto" w:fill="auto"/>
            <w:vAlign w:val="center"/>
          </w:tcPr>
          <w:p w14:paraId="41C97046"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Дитячий майданчик</w:t>
            </w:r>
          </w:p>
        </w:tc>
        <w:tc>
          <w:tcPr>
            <w:tcW w:w="992" w:type="dxa"/>
            <w:shd w:val="clear" w:color="auto" w:fill="auto"/>
            <w:vAlign w:val="bottom"/>
          </w:tcPr>
          <w:p w14:paraId="67E4FBB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569A07A7"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6E247FE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094B08B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567" w:type="dxa"/>
            <w:shd w:val="clear" w:color="auto" w:fill="auto"/>
            <w:vAlign w:val="bottom"/>
          </w:tcPr>
          <w:p w14:paraId="1E9A725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2621DC0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2" w:type="dxa"/>
            <w:shd w:val="clear" w:color="auto" w:fill="auto"/>
            <w:vAlign w:val="bottom"/>
          </w:tcPr>
          <w:p w14:paraId="7C0309F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r>
      <w:tr w:rsidR="00EE148D" w:rsidRPr="005F0419" w14:paraId="01CEE5DF" w14:textId="77777777" w:rsidTr="00EE148D">
        <w:trPr>
          <w:trHeight w:hRule="exact" w:val="395"/>
        </w:trPr>
        <w:tc>
          <w:tcPr>
            <w:tcW w:w="4248" w:type="dxa"/>
            <w:shd w:val="clear" w:color="auto" w:fill="auto"/>
            <w:vAlign w:val="center"/>
          </w:tcPr>
          <w:p w14:paraId="4A9300B1"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Атракції для дітей</w:t>
            </w:r>
          </w:p>
        </w:tc>
        <w:tc>
          <w:tcPr>
            <w:tcW w:w="992" w:type="dxa"/>
            <w:shd w:val="clear" w:color="auto" w:fill="auto"/>
            <w:vAlign w:val="bottom"/>
          </w:tcPr>
          <w:p w14:paraId="048E5DF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64B7BA80"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777A9E4F"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3618266D"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567" w:type="dxa"/>
            <w:shd w:val="clear" w:color="auto" w:fill="auto"/>
            <w:vAlign w:val="bottom"/>
          </w:tcPr>
          <w:p w14:paraId="5786E27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6CAAB1E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2" w:type="dxa"/>
            <w:shd w:val="clear" w:color="auto" w:fill="auto"/>
            <w:vAlign w:val="bottom"/>
          </w:tcPr>
          <w:p w14:paraId="6B78512C"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w:t>
            </w:r>
          </w:p>
        </w:tc>
      </w:tr>
      <w:tr w:rsidR="00EE148D" w:rsidRPr="005F0419" w14:paraId="68C893C3" w14:textId="77777777" w:rsidTr="00EE148D">
        <w:trPr>
          <w:trHeight w:hRule="exact" w:val="309"/>
        </w:trPr>
        <w:tc>
          <w:tcPr>
            <w:tcW w:w="4248" w:type="dxa"/>
            <w:shd w:val="clear" w:color="auto" w:fill="auto"/>
            <w:vAlign w:val="center"/>
          </w:tcPr>
          <w:p w14:paraId="79554A3D"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Конференц-зал</w:t>
            </w:r>
          </w:p>
        </w:tc>
        <w:tc>
          <w:tcPr>
            <w:tcW w:w="992" w:type="dxa"/>
            <w:shd w:val="clear" w:color="auto" w:fill="auto"/>
            <w:vAlign w:val="bottom"/>
          </w:tcPr>
          <w:p w14:paraId="580E092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2D8161C0"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w:t>
            </w:r>
          </w:p>
        </w:tc>
        <w:tc>
          <w:tcPr>
            <w:tcW w:w="992" w:type="dxa"/>
            <w:shd w:val="clear" w:color="auto" w:fill="auto"/>
            <w:vAlign w:val="bottom"/>
          </w:tcPr>
          <w:p w14:paraId="578FDB0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w:t>
            </w:r>
          </w:p>
        </w:tc>
        <w:tc>
          <w:tcPr>
            <w:tcW w:w="709" w:type="dxa"/>
            <w:shd w:val="clear" w:color="auto" w:fill="auto"/>
            <w:vAlign w:val="bottom"/>
          </w:tcPr>
          <w:p w14:paraId="44D2013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567" w:type="dxa"/>
            <w:shd w:val="clear" w:color="auto" w:fill="auto"/>
            <w:vAlign w:val="bottom"/>
          </w:tcPr>
          <w:p w14:paraId="47868AB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0F84EE4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w:t>
            </w:r>
          </w:p>
        </w:tc>
        <w:tc>
          <w:tcPr>
            <w:tcW w:w="702" w:type="dxa"/>
            <w:shd w:val="clear" w:color="auto" w:fill="auto"/>
            <w:vAlign w:val="bottom"/>
          </w:tcPr>
          <w:p w14:paraId="79B67C3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16</w:t>
            </w:r>
          </w:p>
        </w:tc>
      </w:tr>
      <w:tr w:rsidR="00EE148D" w:rsidRPr="005F0419" w14:paraId="3707067B" w14:textId="77777777" w:rsidTr="00EE148D">
        <w:trPr>
          <w:trHeight w:hRule="exact" w:val="286"/>
        </w:trPr>
        <w:tc>
          <w:tcPr>
            <w:tcW w:w="4248" w:type="dxa"/>
            <w:shd w:val="clear" w:color="auto" w:fill="auto"/>
            <w:vAlign w:val="center"/>
          </w:tcPr>
          <w:p w14:paraId="71D97FD2"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Сауна</w:t>
            </w:r>
          </w:p>
        </w:tc>
        <w:tc>
          <w:tcPr>
            <w:tcW w:w="992" w:type="dxa"/>
            <w:shd w:val="clear" w:color="auto" w:fill="auto"/>
            <w:vAlign w:val="bottom"/>
          </w:tcPr>
          <w:p w14:paraId="40098F47"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709" w:type="dxa"/>
            <w:shd w:val="clear" w:color="auto" w:fill="auto"/>
            <w:vAlign w:val="bottom"/>
          </w:tcPr>
          <w:p w14:paraId="49CA778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c>
          <w:tcPr>
            <w:tcW w:w="992" w:type="dxa"/>
            <w:shd w:val="clear" w:color="auto" w:fill="auto"/>
            <w:vAlign w:val="bottom"/>
          </w:tcPr>
          <w:p w14:paraId="77583C9F"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c>
          <w:tcPr>
            <w:tcW w:w="709" w:type="dxa"/>
            <w:shd w:val="clear" w:color="auto" w:fill="auto"/>
            <w:vAlign w:val="bottom"/>
          </w:tcPr>
          <w:p w14:paraId="0F1AA40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567" w:type="dxa"/>
            <w:shd w:val="clear" w:color="auto" w:fill="auto"/>
            <w:vAlign w:val="bottom"/>
          </w:tcPr>
          <w:p w14:paraId="0C12D17F"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48FBB6C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c>
          <w:tcPr>
            <w:tcW w:w="702" w:type="dxa"/>
            <w:shd w:val="clear" w:color="auto" w:fill="auto"/>
            <w:vAlign w:val="bottom"/>
          </w:tcPr>
          <w:p w14:paraId="7B9FA84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13</w:t>
            </w:r>
          </w:p>
        </w:tc>
      </w:tr>
      <w:tr w:rsidR="00EE148D" w:rsidRPr="005F0419" w14:paraId="40F8CA66" w14:textId="77777777" w:rsidTr="00EE148D">
        <w:trPr>
          <w:trHeight w:hRule="exact" w:val="289"/>
        </w:trPr>
        <w:tc>
          <w:tcPr>
            <w:tcW w:w="4248" w:type="dxa"/>
            <w:shd w:val="clear" w:color="auto" w:fill="auto"/>
            <w:vAlign w:val="center"/>
          </w:tcPr>
          <w:p w14:paraId="23906524"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Масажний кабінет</w:t>
            </w:r>
          </w:p>
        </w:tc>
        <w:tc>
          <w:tcPr>
            <w:tcW w:w="992" w:type="dxa"/>
            <w:shd w:val="clear" w:color="auto" w:fill="auto"/>
            <w:vAlign w:val="bottom"/>
          </w:tcPr>
          <w:p w14:paraId="7584E25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05EC937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5FE18D40"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6AF4AE5C"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567" w:type="dxa"/>
            <w:shd w:val="clear" w:color="auto" w:fill="auto"/>
            <w:vAlign w:val="bottom"/>
          </w:tcPr>
          <w:p w14:paraId="47D1DEA8"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709" w:type="dxa"/>
            <w:shd w:val="clear" w:color="auto" w:fill="auto"/>
            <w:vAlign w:val="bottom"/>
          </w:tcPr>
          <w:p w14:paraId="5957A7C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2" w:type="dxa"/>
            <w:shd w:val="clear" w:color="auto" w:fill="auto"/>
            <w:vAlign w:val="bottom"/>
          </w:tcPr>
          <w:p w14:paraId="12CC417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6</w:t>
            </w:r>
          </w:p>
        </w:tc>
      </w:tr>
      <w:tr w:rsidR="00EE148D" w:rsidRPr="005F0419" w14:paraId="40A73CE6" w14:textId="77777777" w:rsidTr="00EE148D">
        <w:trPr>
          <w:trHeight w:hRule="exact" w:val="266"/>
        </w:trPr>
        <w:tc>
          <w:tcPr>
            <w:tcW w:w="4248" w:type="dxa"/>
            <w:shd w:val="clear" w:color="auto" w:fill="auto"/>
            <w:vAlign w:val="center"/>
          </w:tcPr>
          <w:p w14:paraId="2379862B"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Басейн</w:t>
            </w:r>
          </w:p>
        </w:tc>
        <w:tc>
          <w:tcPr>
            <w:tcW w:w="992" w:type="dxa"/>
            <w:shd w:val="clear" w:color="auto" w:fill="auto"/>
            <w:vAlign w:val="bottom"/>
          </w:tcPr>
          <w:p w14:paraId="081CF4A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59E2FDD1"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992" w:type="dxa"/>
            <w:shd w:val="clear" w:color="auto" w:fill="auto"/>
            <w:vAlign w:val="bottom"/>
          </w:tcPr>
          <w:p w14:paraId="74300F8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709" w:type="dxa"/>
            <w:shd w:val="clear" w:color="auto" w:fill="auto"/>
            <w:vAlign w:val="bottom"/>
          </w:tcPr>
          <w:p w14:paraId="72D03DED"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567" w:type="dxa"/>
            <w:shd w:val="clear" w:color="auto" w:fill="auto"/>
            <w:vAlign w:val="bottom"/>
          </w:tcPr>
          <w:p w14:paraId="39E49A6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709" w:type="dxa"/>
            <w:shd w:val="clear" w:color="auto" w:fill="auto"/>
            <w:vAlign w:val="bottom"/>
          </w:tcPr>
          <w:p w14:paraId="1204D550"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2" w:type="dxa"/>
            <w:shd w:val="clear" w:color="auto" w:fill="auto"/>
            <w:vAlign w:val="bottom"/>
          </w:tcPr>
          <w:p w14:paraId="5E781AC1"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8</w:t>
            </w:r>
          </w:p>
        </w:tc>
      </w:tr>
      <w:tr w:rsidR="00EE148D" w:rsidRPr="005F0419" w14:paraId="3D9F4141" w14:textId="77777777" w:rsidTr="00EE148D">
        <w:trPr>
          <w:trHeight w:hRule="exact" w:val="283"/>
        </w:trPr>
        <w:tc>
          <w:tcPr>
            <w:tcW w:w="4248" w:type="dxa"/>
            <w:shd w:val="clear" w:color="auto" w:fill="auto"/>
            <w:vAlign w:val="center"/>
          </w:tcPr>
          <w:p w14:paraId="6AD814C6"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Спортзал</w:t>
            </w:r>
          </w:p>
        </w:tc>
        <w:tc>
          <w:tcPr>
            <w:tcW w:w="992" w:type="dxa"/>
            <w:shd w:val="clear" w:color="auto" w:fill="auto"/>
            <w:vAlign w:val="bottom"/>
          </w:tcPr>
          <w:p w14:paraId="7EA1EC3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24F0A0D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3E568F3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19C07B7C"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567" w:type="dxa"/>
            <w:shd w:val="clear" w:color="auto" w:fill="auto"/>
            <w:vAlign w:val="bottom"/>
          </w:tcPr>
          <w:p w14:paraId="084E035D"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33E3CCE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2" w:type="dxa"/>
            <w:shd w:val="clear" w:color="auto" w:fill="auto"/>
            <w:vAlign w:val="bottom"/>
          </w:tcPr>
          <w:p w14:paraId="45392DCF"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r>
      <w:tr w:rsidR="00EE148D" w:rsidRPr="005F0419" w14:paraId="32ABE009" w14:textId="77777777" w:rsidTr="00EE148D">
        <w:trPr>
          <w:trHeight w:hRule="exact" w:val="430"/>
        </w:trPr>
        <w:tc>
          <w:tcPr>
            <w:tcW w:w="4248" w:type="dxa"/>
            <w:shd w:val="clear" w:color="auto" w:fill="auto"/>
            <w:vAlign w:val="center"/>
          </w:tcPr>
          <w:p w14:paraId="21973966"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Більярд, настільні ігри</w:t>
            </w:r>
          </w:p>
        </w:tc>
        <w:tc>
          <w:tcPr>
            <w:tcW w:w="992" w:type="dxa"/>
            <w:shd w:val="clear" w:color="auto" w:fill="auto"/>
            <w:vAlign w:val="bottom"/>
          </w:tcPr>
          <w:p w14:paraId="4181CF47"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2BF9ACBD"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992" w:type="dxa"/>
            <w:shd w:val="clear" w:color="auto" w:fill="auto"/>
            <w:vAlign w:val="bottom"/>
          </w:tcPr>
          <w:p w14:paraId="24648F40"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40D853C1"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567" w:type="dxa"/>
            <w:shd w:val="clear" w:color="auto" w:fill="auto"/>
            <w:vAlign w:val="bottom"/>
          </w:tcPr>
          <w:p w14:paraId="4611F438"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c>
          <w:tcPr>
            <w:tcW w:w="709" w:type="dxa"/>
            <w:shd w:val="clear" w:color="auto" w:fill="auto"/>
            <w:vAlign w:val="bottom"/>
          </w:tcPr>
          <w:p w14:paraId="39D2F1C5"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702" w:type="dxa"/>
            <w:shd w:val="clear" w:color="auto" w:fill="auto"/>
            <w:vAlign w:val="bottom"/>
          </w:tcPr>
          <w:p w14:paraId="6C91DBD8"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7</w:t>
            </w:r>
          </w:p>
        </w:tc>
      </w:tr>
      <w:tr w:rsidR="00EE148D" w:rsidRPr="005F0419" w14:paraId="5EAD08EF" w14:textId="77777777" w:rsidTr="00EE148D">
        <w:trPr>
          <w:trHeight w:hRule="exact" w:val="433"/>
        </w:trPr>
        <w:tc>
          <w:tcPr>
            <w:tcW w:w="4248" w:type="dxa"/>
            <w:shd w:val="clear" w:color="auto" w:fill="auto"/>
            <w:vAlign w:val="center"/>
          </w:tcPr>
          <w:p w14:paraId="06BE88C6"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Льодовий майданчик</w:t>
            </w:r>
          </w:p>
        </w:tc>
        <w:tc>
          <w:tcPr>
            <w:tcW w:w="992" w:type="dxa"/>
            <w:shd w:val="clear" w:color="auto" w:fill="auto"/>
            <w:vAlign w:val="bottom"/>
          </w:tcPr>
          <w:p w14:paraId="5691BCB1"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3000A4F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992" w:type="dxa"/>
            <w:shd w:val="clear" w:color="auto" w:fill="auto"/>
            <w:vAlign w:val="bottom"/>
          </w:tcPr>
          <w:p w14:paraId="23C4BF2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4DE693A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567" w:type="dxa"/>
            <w:shd w:val="clear" w:color="auto" w:fill="auto"/>
            <w:vAlign w:val="bottom"/>
          </w:tcPr>
          <w:p w14:paraId="21BAA4D7"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105290A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2" w:type="dxa"/>
            <w:shd w:val="clear" w:color="auto" w:fill="auto"/>
            <w:vAlign w:val="bottom"/>
          </w:tcPr>
          <w:p w14:paraId="4A84AB50"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r>
      <w:tr w:rsidR="00EE148D" w:rsidRPr="005F0419" w14:paraId="1BD56F3A" w14:textId="77777777" w:rsidTr="00EE148D">
        <w:trPr>
          <w:trHeight w:hRule="exact" w:val="423"/>
        </w:trPr>
        <w:tc>
          <w:tcPr>
            <w:tcW w:w="4248" w:type="dxa"/>
            <w:shd w:val="clear" w:color="auto" w:fill="auto"/>
            <w:vAlign w:val="center"/>
          </w:tcPr>
          <w:p w14:paraId="2F3C8FBE"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 xml:space="preserve">Комп’ютерний зал </w:t>
            </w:r>
          </w:p>
        </w:tc>
        <w:tc>
          <w:tcPr>
            <w:tcW w:w="992" w:type="dxa"/>
            <w:shd w:val="clear" w:color="auto" w:fill="auto"/>
            <w:vAlign w:val="bottom"/>
          </w:tcPr>
          <w:p w14:paraId="41633A7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16C7149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6E6EB10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2789A21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567" w:type="dxa"/>
            <w:shd w:val="clear" w:color="auto" w:fill="auto"/>
            <w:vAlign w:val="bottom"/>
          </w:tcPr>
          <w:p w14:paraId="661C630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6A1034D2"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2" w:type="dxa"/>
            <w:shd w:val="clear" w:color="auto" w:fill="auto"/>
            <w:vAlign w:val="bottom"/>
          </w:tcPr>
          <w:p w14:paraId="0AC7535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r>
      <w:tr w:rsidR="00EE148D" w:rsidRPr="005F0419" w14:paraId="56FDE210" w14:textId="77777777" w:rsidTr="00EE148D">
        <w:trPr>
          <w:trHeight w:hRule="exact" w:val="627"/>
        </w:trPr>
        <w:tc>
          <w:tcPr>
            <w:tcW w:w="4248" w:type="dxa"/>
            <w:shd w:val="clear" w:color="auto" w:fill="auto"/>
            <w:vAlign w:val="center"/>
          </w:tcPr>
          <w:p w14:paraId="6618BB24"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Додаткові послуги з прання та прасування одягу</w:t>
            </w:r>
          </w:p>
        </w:tc>
        <w:tc>
          <w:tcPr>
            <w:tcW w:w="992" w:type="dxa"/>
            <w:shd w:val="clear" w:color="auto" w:fill="auto"/>
            <w:vAlign w:val="bottom"/>
          </w:tcPr>
          <w:p w14:paraId="5DD04152"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1966E08D"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992" w:type="dxa"/>
            <w:shd w:val="clear" w:color="auto" w:fill="auto"/>
            <w:vAlign w:val="bottom"/>
          </w:tcPr>
          <w:p w14:paraId="1AC13B12"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0203DDB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567" w:type="dxa"/>
            <w:shd w:val="clear" w:color="auto" w:fill="auto"/>
            <w:vAlign w:val="bottom"/>
          </w:tcPr>
          <w:p w14:paraId="695D3D1F"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38FEBC5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2" w:type="dxa"/>
            <w:shd w:val="clear" w:color="auto" w:fill="auto"/>
            <w:vAlign w:val="bottom"/>
          </w:tcPr>
          <w:p w14:paraId="1F8BF33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4</w:t>
            </w:r>
          </w:p>
        </w:tc>
      </w:tr>
      <w:tr w:rsidR="00EE148D" w:rsidRPr="005F0419" w14:paraId="6A9B4D86" w14:textId="77777777" w:rsidTr="00EE148D">
        <w:trPr>
          <w:trHeight w:hRule="exact" w:val="424"/>
        </w:trPr>
        <w:tc>
          <w:tcPr>
            <w:tcW w:w="4248" w:type="dxa"/>
            <w:shd w:val="clear" w:color="auto" w:fill="auto"/>
            <w:vAlign w:val="center"/>
          </w:tcPr>
          <w:p w14:paraId="64D66749"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Магазин сувенірів</w:t>
            </w:r>
          </w:p>
        </w:tc>
        <w:tc>
          <w:tcPr>
            <w:tcW w:w="992" w:type="dxa"/>
            <w:shd w:val="clear" w:color="auto" w:fill="auto"/>
            <w:vAlign w:val="bottom"/>
          </w:tcPr>
          <w:p w14:paraId="104555C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4EF98418"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554D78C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181ECE3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567" w:type="dxa"/>
            <w:shd w:val="clear" w:color="auto" w:fill="auto"/>
            <w:vAlign w:val="bottom"/>
          </w:tcPr>
          <w:p w14:paraId="70D9299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561D15A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2" w:type="dxa"/>
            <w:shd w:val="clear" w:color="auto" w:fill="auto"/>
            <w:vAlign w:val="bottom"/>
          </w:tcPr>
          <w:p w14:paraId="34D50130"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r>
      <w:tr w:rsidR="00EE148D" w:rsidRPr="005F0419" w14:paraId="743D2F9C" w14:textId="77777777" w:rsidTr="00EE148D">
        <w:trPr>
          <w:trHeight w:hRule="exact" w:val="471"/>
        </w:trPr>
        <w:tc>
          <w:tcPr>
            <w:tcW w:w="4248" w:type="dxa"/>
            <w:shd w:val="clear" w:color="auto" w:fill="auto"/>
            <w:vAlign w:val="center"/>
          </w:tcPr>
          <w:p w14:paraId="62FA0BA2"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Паркінг під охороною</w:t>
            </w:r>
          </w:p>
        </w:tc>
        <w:tc>
          <w:tcPr>
            <w:tcW w:w="992" w:type="dxa"/>
            <w:shd w:val="clear" w:color="auto" w:fill="auto"/>
            <w:vAlign w:val="bottom"/>
          </w:tcPr>
          <w:p w14:paraId="2D9D2CA8"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01C6E49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463CAAE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2076552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567" w:type="dxa"/>
            <w:shd w:val="clear" w:color="auto" w:fill="auto"/>
            <w:vAlign w:val="bottom"/>
          </w:tcPr>
          <w:p w14:paraId="76AD070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66F3F6F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2" w:type="dxa"/>
            <w:shd w:val="clear" w:color="auto" w:fill="auto"/>
            <w:vAlign w:val="bottom"/>
          </w:tcPr>
          <w:p w14:paraId="3856C7D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w:t>
            </w:r>
          </w:p>
        </w:tc>
      </w:tr>
      <w:tr w:rsidR="00EE148D" w:rsidRPr="005F0419" w14:paraId="01C7D838" w14:textId="77777777" w:rsidTr="00EE148D">
        <w:trPr>
          <w:trHeight w:hRule="exact" w:val="403"/>
        </w:trPr>
        <w:tc>
          <w:tcPr>
            <w:tcW w:w="4248" w:type="dxa"/>
            <w:shd w:val="clear" w:color="auto" w:fill="auto"/>
            <w:vAlign w:val="center"/>
          </w:tcPr>
          <w:p w14:paraId="6A586FD3"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Прокат гірськолижного спорядження</w:t>
            </w:r>
          </w:p>
        </w:tc>
        <w:tc>
          <w:tcPr>
            <w:tcW w:w="992" w:type="dxa"/>
            <w:shd w:val="clear" w:color="auto" w:fill="auto"/>
            <w:vAlign w:val="bottom"/>
          </w:tcPr>
          <w:p w14:paraId="5DC6F11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341C718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423BFDE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1288EAD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567" w:type="dxa"/>
            <w:shd w:val="clear" w:color="auto" w:fill="auto"/>
            <w:vAlign w:val="bottom"/>
          </w:tcPr>
          <w:p w14:paraId="29A675CD"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720213AF"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2" w:type="dxa"/>
            <w:shd w:val="clear" w:color="auto" w:fill="auto"/>
            <w:vAlign w:val="bottom"/>
          </w:tcPr>
          <w:p w14:paraId="54BA1516"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6</w:t>
            </w:r>
          </w:p>
        </w:tc>
      </w:tr>
      <w:tr w:rsidR="00EE148D" w:rsidRPr="005F0419" w14:paraId="5BB3A064" w14:textId="77777777" w:rsidTr="00EE148D">
        <w:trPr>
          <w:trHeight w:hRule="exact" w:val="453"/>
        </w:trPr>
        <w:tc>
          <w:tcPr>
            <w:tcW w:w="4248" w:type="dxa"/>
            <w:shd w:val="clear" w:color="auto" w:fill="auto"/>
            <w:vAlign w:val="center"/>
          </w:tcPr>
          <w:p w14:paraId="6ABE8D0B"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Екскурсійне обслуговування</w:t>
            </w:r>
          </w:p>
        </w:tc>
        <w:tc>
          <w:tcPr>
            <w:tcW w:w="992" w:type="dxa"/>
            <w:shd w:val="clear" w:color="auto" w:fill="auto"/>
            <w:vAlign w:val="bottom"/>
          </w:tcPr>
          <w:p w14:paraId="2B35E1C0"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709" w:type="dxa"/>
            <w:shd w:val="clear" w:color="auto" w:fill="auto"/>
            <w:vAlign w:val="bottom"/>
          </w:tcPr>
          <w:p w14:paraId="4D224BC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992" w:type="dxa"/>
            <w:shd w:val="clear" w:color="auto" w:fill="auto"/>
            <w:vAlign w:val="bottom"/>
          </w:tcPr>
          <w:p w14:paraId="37C2FB7F"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4E3712EC"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567" w:type="dxa"/>
            <w:shd w:val="clear" w:color="auto" w:fill="auto"/>
            <w:vAlign w:val="bottom"/>
          </w:tcPr>
          <w:p w14:paraId="31DDD522"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c>
          <w:tcPr>
            <w:tcW w:w="709" w:type="dxa"/>
            <w:shd w:val="clear" w:color="auto" w:fill="auto"/>
            <w:vAlign w:val="bottom"/>
          </w:tcPr>
          <w:p w14:paraId="26463452"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w:t>
            </w:r>
          </w:p>
        </w:tc>
        <w:tc>
          <w:tcPr>
            <w:tcW w:w="702" w:type="dxa"/>
            <w:shd w:val="clear" w:color="auto" w:fill="auto"/>
            <w:vAlign w:val="bottom"/>
          </w:tcPr>
          <w:p w14:paraId="6E5205C1"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14</w:t>
            </w:r>
          </w:p>
        </w:tc>
      </w:tr>
      <w:tr w:rsidR="00EE148D" w:rsidRPr="005F0419" w14:paraId="5C777384" w14:textId="77777777" w:rsidTr="00EE148D">
        <w:trPr>
          <w:trHeight w:hRule="exact" w:val="699"/>
        </w:trPr>
        <w:tc>
          <w:tcPr>
            <w:tcW w:w="4248" w:type="dxa"/>
            <w:shd w:val="clear" w:color="auto" w:fill="auto"/>
            <w:vAlign w:val="center"/>
          </w:tcPr>
          <w:p w14:paraId="151D1018"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Організація екстремальних турів (кінні, велосипедні, піші)</w:t>
            </w:r>
          </w:p>
        </w:tc>
        <w:tc>
          <w:tcPr>
            <w:tcW w:w="992" w:type="dxa"/>
            <w:shd w:val="clear" w:color="auto" w:fill="auto"/>
            <w:vAlign w:val="bottom"/>
          </w:tcPr>
          <w:p w14:paraId="16FF348D"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578FB1C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992" w:type="dxa"/>
            <w:shd w:val="clear" w:color="auto" w:fill="auto"/>
            <w:vAlign w:val="bottom"/>
          </w:tcPr>
          <w:p w14:paraId="3EA5089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5C47AA7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567" w:type="dxa"/>
            <w:shd w:val="clear" w:color="auto" w:fill="auto"/>
            <w:vAlign w:val="bottom"/>
          </w:tcPr>
          <w:p w14:paraId="4463DC71"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460CB7E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2" w:type="dxa"/>
            <w:shd w:val="clear" w:color="auto" w:fill="auto"/>
            <w:vAlign w:val="bottom"/>
          </w:tcPr>
          <w:p w14:paraId="70F75B5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6</w:t>
            </w:r>
          </w:p>
        </w:tc>
      </w:tr>
      <w:tr w:rsidR="00EE148D" w:rsidRPr="005F0419" w14:paraId="7EF33ECA" w14:textId="77777777" w:rsidTr="00EE148D">
        <w:trPr>
          <w:trHeight w:hRule="exact" w:val="579"/>
        </w:trPr>
        <w:tc>
          <w:tcPr>
            <w:tcW w:w="4248" w:type="dxa"/>
            <w:shd w:val="clear" w:color="auto" w:fill="auto"/>
            <w:vAlign w:val="center"/>
          </w:tcPr>
          <w:p w14:paraId="6D976C3D" w14:textId="77777777" w:rsidR="0000167A" w:rsidRPr="005F0419" w:rsidRDefault="0000167A" w:rsidP="00EE148D">
            <w:pPr>
              <w:spacing w:after="0" w:line="240" w:lineRule="auto"/>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Продуктовий власний магазин</w:t>
            </w:r>
          </w:p>
        </w:tc>
        <w:tc>
          <w:tcPr>
            <w:tcW w:w="992" w:type="dxa"/>
            <w:shd w:val="clear" w:color="auto" w:fill="auto"/>
            <w:vAlign w:val="bottom"/>
          </w:tcPr>
          <w:p w14:paraId="65203F78"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212FBA3C"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992" w:type="dxa"/>
            <w:shd w:val="clear" w:color="auto" w:fill="auto"/>
            <w:vAlign w:val="bottom"/>
          </w:tcPr>
          <w:p w14:paraId="3F0848E5"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3BE13C67"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567" w:type="dxa"/>
            <w:shd w:val="clear" w:color="auto" w:fill="auto"/>
            <w:vAlign w:val="bottom"/>
          </w:tcPr>
          <w:p w14:paraId="4AD712A2"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9" w:type="dxa"/>
            <w:shd w:val="clear" w:color="auto" w:fill="auto"/>
            <w:vAlign w:val="bottom"/>
          </w:tcPr>
          <w:p w14:paraId="37F2BB2D"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0</w:t>
            </w:r>
          </w:p>
        </w:tc>
        <w:tc>
          <w:tcPr>
            <w:tcW w:w="702" w:type="dxa"/>
            <w:shd w:val="clear" w:color="auto" w:fill="auto"/>
            <w:vAlign w:val="bottom"/>
          </w:tcPr>
          <w:p w14:paraId="76037D85"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r>
      <w:tr w:rsidR="00EE148D" w:rsidRPr="005F0419" w14:paraId="5B15DDD2" w14:textId="77777777" w:rsidTr="00EE148D">
        <w:trPr>
          <w:trHeight w:hRule="exact" w:val="430"/>
        </w:trPr>
        <w:tc>
          <w:tcPr>
            <w:tcW w:w="4248" w:type="dxa"/>
            <w:shd w:val="clear" w:color="auto" w:fill="auto"/>
            <w:vAlign w:val="center"/>
          </w:tcPr>
          <w:p w14:paraId="54BCC5BD" w14:textId="77777777" w:rsidR="0000167A" w:rsidRPr="005F0419" w:rsidRDefault="0000167A" w:rsidP="00EE148D">
            <w:pPr>
              <w:spacing w:after="0" w:line="240" w:lineRule="auto"/>
              <w:rPr>
                <w:rFonts w:ascii="Times New Roman" w:eastAsia="Times New Roman" w:hAnsi="Times New Roman" w:cs="Times New Roman"/>
                <w:b/>
                <w:sz w:val="24"/>
                <w:szCs w:val="24"/>
                <w:lang w:val="uk-UA"/>
              </w:rPr>
            </w:pPr>
            <w:r w:rsidRPr="005F0419">
              <w:rPr>
                <w:rFonts w:ascii="Times New Roman" w:eastAsia="Times New Roman" w:hAnsi="Times New Roman" w:cs="Times New Roman"/>
                <w:b/>
                <w:sz w:val="24"/>
                <w:szCs w:val="24"/>
                <w:lang w:val="uk-UA"/>
              </w:rPr>
              <w:t>Усього</w:t>
            </w:r>
          </w:p>
        </w:tc>
        <w:tc>
          <w:tcPr>
            <w:tcW w:w="992" w:type="dxa"/>
            <w:shd w:val="clear" w:color="auto" w:fill="auto"/>
            <w:vAlign w:val="bottom"/>
          </w:tcPr>
          <w:p w14:paraId="68FAD55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28</w:t>
            </w:r>
          </w:p>
        </w:tc>
        <w:tc>
          <w:tcPr>
            <w:tcW w:w="709" w:type="dxa"/>
            <w:shd w:val="clear" w:color="auto" w:fill="auto"/>
            <w:vAlign w:val="bottom"/>
          </w:tcPr>
          <w:p w14:paraId="79D6C00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34</w:t>
            </w:r>
          </w:p>
        </w:tc>
        <w:tc>
          <w:tcPr>
            <w:tcW w:w="992" w:type="dxa"/>
            <w:shd w:val="clear" w:color="auto" w:fill="auto"/>
            <w:vAlign w:val="bottom"/>
          </w:tcPr>
          <w:p w14:paraId="3E925F9B"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38</w:t>
            </w:r>
          </w:p>
        </w:tc>
        <w:tc>
          <w:tcPr>
            <w:tcW w:w="709" w:type="dxa"/>
            <w:shd w:val="clear" w:color="auto" w:fill="auto"/>
            <w:vAlign w:val="bottom"/>
          </w:tcPr>
          <w:p w14:paraId="106A8FA8"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25</w:t>
            </w:r>
          </w:p>
        </w:tc>
        <w:tc>
          <w:tcPr>
            <w:tcW w:w="567" w:type="dxa"/>
            <w:shd w:val="clear" w:color="auto" w:fill="auto"/>
            <w:vAlign w:val="bottom"/>
          </w:tcPr>
          <w:p w14:paraId="6315EB68"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35</w:t>
            </w:r>
          </w:p>
        </w:tc>
        <w:tc>
          <w:tcPr>
            <w:tcW w:w="709" w:type="dxa"/>
            <w:shd w:val="clear" w:color="auto" w:fill="auto"/>
            <w:vAlign w:val="bottom"/>
          </w:tcPr>
          <w:p w14:paraId="5AF4EAA4"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36</w:t>
            </w:r>
          </w:p>
        </w:tc>
        <w:tc>
          <w:tcPr>
            <w:tcW w:w="702" w:type="dxa"/>
            <w:shd w:val="clear" w:color="auto" w:fill="auto"/>
            <w:vAlign w:val="bottom"/>
          </w:tcPr>
          <w:p w14:paraId="00DA8B12"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195</w:t>
            </w:r>
          </w:p>
        </w:tc>
      </w:tr>
      <w:tr w:rsidR="00EE148D" w:rsidRPr="005F0419" w14:paraId="13526246" w14:textId="77777777" w:rsidTr="00EE148D">
        <w:trPr>
          <w:trHeight w:hRule="exact" w:val="433"/>
        </w:trPr>
        <w:tc>
          <w:tcPr>
            <w:tcW w:w="4248" w:type="dxa"/>
            <w:shd w:val="clear" w:color="auto" w:fill="auto"/>
            <w:vAlign w:val="center"/>
          </w:tcPr>
          <w:p w14:paraId="70EBA88A" w14:textId="77777777" w:rsidR="0000167A" w:rsidRPr="005F0419" w:rsidRDefault="0000167A" w:rsidP="00EE148D">
            <w:pPr>
              <w:spacing w:after="0" w:line="240" w:lineRule="auto"/>
              <w:rPr>
                <w:rFonts w:ascii="Times New Roman" w:eastAsia="Times New Roman" w:hAnsi="Times New Roman" w:cs="Times New Roman"/>
                <w:b/>
                <w:sz w:val="24"/>
                <w:szCs w:val="24"/>
                <w:lang w:val="uk-UA"/>
              </w:rPr>
            </w:pPr>
            <w:r w:rsidRPr="005F0419">
              <w:rPr>
                <w:rFonts w:ascii="Times New Roman" w:eastAsia="Times New Roman" w:hAnsi="Times New Roman" w:cs="Times New Roman"/>
                <w:b/>
                <w:sz w:val="24"/>
                <w:szCs w:val="24"/>
                <w:lang w:val="uk-UA"/>
              </w:rPr>
              <w:t>Рейтинг</w:t>
            </w:r>
          </w:p>
        </w:tc>
        <w:tc>
          <w:tcPr>
            <w:tcW w:w="992" w:type="dxa"/>
            <w:shd w:val="clear" w:color="auto" w:fill="auto"/>
            <w:vAlign w:val="bottom"/>
          </w:tcPr>
          <w:p w14:paraId="1BADA6FA"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4</w:t>
            </w:r>
          </w:p>
        </w:tc>
        <w:tc>
          <w:tcPr>
            <w:tcW w:w="709" w:type="dxa"/>
            <w:shd w:val="clear" w:color="auto" w:fill="auto"/>
            <w:vAlign w:val="bottom"/>
          </w:tcPr>
          <w:p w14:paraId="6FEB8D9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c>
          <w:tcPr>
            <w:tcW w:w="992" w:type="dxa"/>
            <w:shd w:val="clear" w:color="auto" w:fill="auto"/>
            <w:vAlign w:val="bottom"/>
          </w:tcPr>
          <w:p w14:paraId="3AA3288E"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1</w:t>
            </w:r>
          </w:p>
        </w:tc>
        <w:tc>
          <w:tcPr>
            <w:tcW w:w="709" w:type="dxa"/>
            <w:shd w:val="clear" w:color="auto" w:fill="auto"/>
            <w:vAlign w:val="bottom"/>
          </w:tcPr>
          <w:p w14:paraId="205795A5"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5</w:t>
            </w:r>
          </w:p>
        </w:tc>
        <w:tc>
          <w:tcPr>
            <w:tcW w:w="567" w:type="dxa"/>
            <w:shd w:val="clear" w:color="auto" w:fill="auto"/>
            <w:vAlign w:val="bottom"/>
          </w:tcPr>
          <w:p w14:paraId="5B14AE69"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3</w:t>
            </w:r>
          </w:p>
        </w:tc>
        <w:tc>
          <w:tcPr>
            <w:tcW w:w="709" w:type="dxa"/>
            <w:shd w:val="clear" w:color="auto" w:fill="auto"/>
            <w:vAlign w:val="bottom"/>
          </w:tcPr>
          <w:p w14:paraId="4373D952"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2</w:t>
            </w:r>
          </w:p>
        </w:tc>
        <w:tc>
          <w:tcPr>
            <w:tcW w:w="702" w:type="dxa"/>
            <w:shd w:val="clear" w:color="auto" w:fill="auto"/>
            <w:vAlign w:val="bottom"/>
          </w:tcPr>
          <w:p w14:paraId="4E64FD33" w14:textId="77777777" w:rsidR="0000167A" w:rsidRPr="005F0419" w:rsidRDefault="0000167A" w:rsidP="00EE148D">
            <w:pPr>
              <w:spacing w:after="0" w:line="240" w:lineRule="auto"/>
              <w:jc w:val="center"/>
              <w:rPr>
                <w:rFonts w:ascii="Times New Roman" w:eastAsia="Times New Roman" w:hAnsi="Times New Roman" w:cs="Times New Roman"/>
                <w:sz w:val="24"/>
                <w:szCs w:val="24"/>
                <w:lang w:val="uk-UA"/>
              </w:rPr>
            </w:pPr>
            <w:r w:rsidRPr="005F0419">
              <w:rPr>
                <w:rFonts w:ascii="Times New Roman" w:eastAsia="Times New Roman" w:hAnsi="Times New Roman" w:cs="Times New Roman"/>
                <w:sz w:val="24"/>
                <w:szCs w:val="24"/>
                <w:lang w:val="uk-UA"/>
              </w:rPr>
              <w:t>-</w:t>
            </w:r>
          </w:p>
        </w:tc>
      </w:tr>
    </w:tbl>
    <w:p w14:paraId="23D418AE" w14:textId="7186A87A" w:rsidR="00EE148D" w:rsidRPr="005F0419" w:rsidRDefault="00EE148D" w:rsidP="00EE148D">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lastRenderedPageBreak/>
        <w:t xml:space="preserve">До якісних характеристик послуг гостинності мережі готелів курорту </w:t>
      </w:r>
      <w:proofErr w:type="spellStart"/>
      <w:r w:rsidRPr="005F0419">
        <w:rPr>
          <w:rFonts w:ascii="Times New Roman" w:eastAsia="Calibri" w:hAnsi="Times New Roman" w:cs="Times New Roman"/>
          <w:sz w:val="28"/>
          <w:szCs w:val="28"/>
          <w:lang w:val="uk-UA"/>
        </w:rPr>
        <w:t>Мигове</w:t>
      </w:r>
      <w:proofErr w:type="spellEnd"/>
      <w:r w:rsidRPr="005F0419">
        <w:rPr>
          <w:rFonts w:ascii="Times New Roman" w:eastAsia="Calibri" w:hAnsi="Times New Roman" w:cs="Times New Roman"/>
          <w:sz w:val="28"/>
          <w:szCs w:val="28"/>
          <w:lang w:val="uk-UA"/>
        </w:rPr>
        <w:t xml:space="preserve"> були віднесені ціни на основні послуги з проживання та місце розташування стосовно віддаленості до гірськолижних підйомників. За умовно якісні ми також прийняли кількість номерів у готелі та ліжко-місць у них, так як вони все ж впливають на якісну складову у порівняльному аналізі. Всі інші характеристики відображені як кількісні показники, які також впливають на якісний потенціал кожного з готелів курорту </w:t>
      </w:r>
      <w:proofErr w:type="spellStart"/>
      <w:r w:rsidRPr="005F0419">
        <w:rPr>
          <w:rFonts w:ascii="Times New Roman" w:eastAsia="Calibri" w:hAnsi="Times New Roman" w:cs="Times New Roman"/>
          <w:sz w:val="28"/>
          <w:szCs w:val="28"/>
          <w:lang w:val="uk-UA"/>
        </w:rPr>
        <w:t>Мигове</w:t>
      </w:r>
      <w:proofErr w:type="spellEnd"/>
      <w:r w:rsidRPr="005F0419">
        <w:rPr>
          <w:rFonts w:ascii="Times New Roman" w:eastAsia="Calibri" w:hAnsi="Times New Roman" w:cs="Times New Roman"/>
          <w:sz w:val="28"/>
          <w:szCs w:val="28"/>
          <w:lang w:val="uk-UA"/>
        </w:rPr>
        <w:t xml:space="preserve"> зокрема. Тут за простої їхньої наявності-відсутності в готелі в одиничному чи множинному випадках ми проставляли відповідне число.</w:t>
      </w:r>
    </w:p>
    <w:p w14:paraId="0245FB1E"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Разом із тим, проста фізична більшість усіх, без винятку, показників прямо не може вважатися «ліпшими» даними готелю, а швидше навпаки – відповідатиме за обернено пропорційний зв'язок. Саме тому </w:t>
      </w:r>
      <w:proofErr w:type="spellStart"/>
      <w:r w:rsidRPr="005F0419">
        <w:rPr>
          <w:rFonts w:ascii="Times New Roman" w:eastAsia="Calibri" w:hAnsi="Times New Roman" w:cs="Times New Roman"/>
          <w:sz w:val="28"/>
          <w:szCs w:val="28"/>
          <w:lang w:val="uk-UA"/>
        </w:rPr>
        <w:t>методично</w:t>
      </w:r>
      <w:proofErr w:type="spellEnd"/>
      <w:r w:rsidRPr="005F0419">
        <w:rPr>
          <w:rFonts w:ascii="Times New Roman" w:eastAsia="Calibri" w:hAnsi="Times New Roman" w:cs="Times New Roman"/>
          <w:sz w:val="28"/>
          <w:szCs w:val="28"/>
          <w:lang w:val="uk-UA"/>
        </w:rPr>
        <w:t xml:space="preserve"> не правильно було би визначати кращий готель за рахунок сумарного зведеного показника простою арифметично більшістю абсолютно всіх показників, наведених у таблиці.</w:t>
      </w:r>
    </w:p>
    <w:p w14:paraId="51BF62A6"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Іншими словами, такі кваліфікаційні показники послуг гостинності, як мінімальна ціна на проживання в готелі, віддаль до підйомника мають обернено пропорційний зв’язок стосовно його конкурентних переваг. Так, якщо в готелі мінімальна ціна на проживання є вищою за аналогічні послуги в конкурентів, то кваліфікаційний потенціал такого показника буде нижчим, тобто за цих умов дається взнаки цінова доступність пересічного споживача до всіх без винятку послуг гостинності готелів.</w:t>
      </w:r>
    </w:p>
    <w:p w14:paraId="36384F5A" w14:textId="273A1864"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Отже, для зведення наведених даних до спільного знаменника з метою можливості їхнього порівняння та визначення рейтингової оцінки кожного з шести готелів ми якісні показники, з урахуванням вище переліченого, перевели в бали від 1 до 6 (за кількістю готелів, що порівнюються). Так, ті готелі, які мали найбільшу мінімальну ціну, отримали лише 1 бал, а ті, в яких вартість проживання була «загальнодоступною»,</w:t>
      </w:r>
      <w:r w:rsidR="00EE148D"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 xml:space="preserve"> 6 балів (табл. 11). За такою ж методикою було в балах оцінено віддаль готелю до підйомників. В інших умовно </w:t>
      </w:r>
      <w:r w:rsidRPr="005F0419">
        <w:rPr>
          <w:rFonts w:ascii="Times New Roman" w:eastAsia="Calibri" w:hAnsi="Times New Roman" w:cs="Times New Roman"/>
          <w:sz w:val="28"/>
          <w:szCs w:val="28"/>
          <w:lang w:val="uk-UA"/>
        </w:rPr>
        <w:lastRenderedPageBreak/>
        <w:t xml:space="preserve">якісних показниках бали від 1 до 6 розподілилися за його відносною перевагою від сумарної кількості по ньому всіх готелів. </w:t>
      </w:r>
    </w:p>
    <w:p w14:paraId="29490065"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Таким чином, трійка найважливіших характеристик послуг гостинності, які визначають потенціал (за більшою бальною оцінкою) готелів курорту </w:t>
      </w:r>
      <w:proofErr w:type="spellStart"/>
      <w:r w:rsidRPr="005F0419">
        <w:rPr>
          <w:rFonts w:ascii="Times New Roman" w:eastAsia="Calibri" w:hAnsi="Times New Roman" w:cs="Times New Roman"/>
          <w:sz w:val="28"/>
          <w:szCs w:val="28"/>
          <w:lang w:val="uk-UA"/>
        </w:rPr>
        <w:t>Мигове</w:t>
      </w:r>
      <w:proofErr w:type="spellEnd"/>
      <w:r w:rsidRPr="005F0419">
        <w:rPr>
          <w:rFonts w:ascii="Times New Roman" w:eastAsia="Calibri" w:hAnsi="Times New Roman" w:cs="Times New Roman"/>
          <w:sz w:val="28"/>
          <w:szCs w:val="28"/>
          <w:lang w:val="uk-UA"/>
        </w:rPr>
        <w:t>, є їхня цінова політика (25 балів із 36 максимальних – 70%), віддаленість від інфраструктури гірськолижних трас і підйомників (23 бали – 63,8%) і кількість ліжко-місць (20 балів – більше половини максимального потенціалу курорту). Замикають трійку наявності кваліфікаційних показників (ситуативна складова) послуг гостинності у готелях розміщення власного продуктового магазину чи льодового майданчику (по одному балу – 2,7%), сувенірного магазину (2 бали – 5,2%), бару, дитячого майданчику й комп’ютерного залу (3 бали – 7,9%). Усі інші кількісно-якісні характеристики займають проміжні позиції на курорті: послуги сауни, конференц-залу (-</w:t>
      </w:r>
      <w:proofErr w:type="spellStart"/>
      <w:r w:rsidRPr="005F0419">
        <w:rPr>
          <w:rFonts w:ascii="Times New Roman" w:eastAsia="Calibri" w:hAnsi="Times New Roman" w:cs="Times New Roman"/>
          <w:sz w:val="28"/>
          <w:szCs w:val="28"/>
          <w:lang w:val="uk-UA"/>
        </w:rPr>
        <w:t>ів</w:t>
      </w:r>
      <w:proofErr w:type="spellEnd"/>
      <w:r w:rsidRPr="005F0419">
        <w:rPr>
          <w:rFonts w:ascii="Times New Roman" w:eastAsia="Calibri" w:hAnsi="Times New Roman" w:cs="Times New Roman"/>
          <w:sz w:val="28"/>
          <w:szCs w:val="28"/>
          <w:lang w:val="uk-UA"/>
        </w:rPr>
        <w:t>), екскурсійне обслуговування, ресторанна інфраструктура, прокат гірськолижного спорядження та послуги з екстремальних турів.</w:t>
      </w:r>
    </w:p>
    <w:p w14:paraId="70A0EE37"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Аналіз рейтингової оцінки готелів курорту </w:t>
      </w:r>
      <w:proofErr w:type="spellStart"/>
      <w:r w:rsidRPr="005F0419">
        <w:rPr>
          <w:rFonts w:ascii="Times New Roman" w:eastAsia="Calibri" w:hAnsi="Times New Roman" w:cs="Times New Roman"/>
          <w:sz w:val="28"/>
          <w:szCs w:val="28"/>
          <w:lang w:val="uk-UA"/>
        </w:rPr>
        <w:t>Мигове</w:t>
      </w:r>
      <w:proofErr w:type="spellEnd"/>
      <w:r w:rsidRPr="005F0419">
        <w:rPr>
          <w:rFonts w:ascii="Times New Roman" w:eastAsia="Calibri" w:hAnsi="Times New Roman" w:cs="Times New Roman"/>
          <w:sz w:val="28"/>
          <w:szCs w:val="28"/>
          <w:lang w:val="uk-UA"/>
        </w:rPr>
        <w:t xml:space="preserve"> показав, що лідером за укомплектованою системою послуг гостинності та його інфраструктури є «Гірський Світанок». За ним розташувалися готелі «</w:t>
      </w:r>
      <w:proofErr w:type="spellStart"/>
      <w:r w:rsidRPr="005F0419">
        <w:rPr>
          <w:rFonts w:ascii="Times New Roman" w:eastAsia="Calibri" w:hAnsi="Times New Roman" w:cs="Times New Roman"/>
          <w:sz w:val="28"/>
          <w:szCs w:val="28"/>
          <w:lang w:val="uk-UA"/>
        </w:rPr>
        <w:t>Норіс</w:t>
      </w:r>
      <w:proofErr w:type="spellEnd"/>
      <w:r w:rsidRPr="005F0419">
        <w:rPr>
          <w:rFonts w:ascii="Times New Roman" w:eastAsia="Calibri" w:hAnsi="Times New Roman" w:cs="Times New Roman"/>
          <w:sz w:val="28"/>
          <w:szCs w:val="28"/>
          <w:lang w:val="uk-UA"/>
        </w:rPr>
        <w:t>», «Карпати», «</w:t>
      </w:r>
      <w:proofErr w:type="spellStart"/>
      <w:r w:rsidRPr="005F0419">
        <w:rPr>
          <w:rFonts w:ascii="Times New Roman" w:eastAsia="Calibri" w:hAnsi="Times New Roman" w:cs="Times New Roman"/>
          <w:sz w:val="28"/>
          <w:szCs w:val="28"/>
          <w:lang w:val="uk-UA"/>
        </w:rPr>
        <w:t>Саторі</w:t>
      </w:r>
      <w:proofErr w:type="spellEnd"/>
      <w:r w:rsidRPr="005F0419">
        <w:rPr>
          <w:rFonts w:ascii="Times New Roman" w:eastAsia="Calibri" w:hAnsi="Times New Roman" w:cs="Times New Roman"/>
          <w:sz w:val="28"/>
          <w:szCs w:val="28"/>
          <w:lang w:val="uk-UA"/>
        </w:rPr>
        <w:t xml:space="preserve">». Готель «Карпатська Вежа» займає 5 позицію, а замикає наш рейтинг готель «Едельвейс» (рис. 15). </w:t>
      </w:r>
    </w:p>
    <w:p w14:paraId="699A3A9C" w14:textId="77777777" w:rsidR="0000167A" w:rsidRPr="005F0419" w:rsidRDefault="0000167A" w:rsidP="00EE148D">
      <w:pPr>
        <w:spacing w:after="0" w:line="360" w:lineRule="auto"/>
        <w:ind w:firstLine="720"/>
        <w:contextualSpacing/>
        <w:jc w:val="center"/>
        <w:rPr>
          <w:rFonts w:ascii="Times New Roman" w:eastAsia="Calibri" w:hAnsi="Times New Roman" w:cs="Times New Roman"/>
          <w:sz w:val="28"/>
          <w:szCs w:val="28"/>
          <w:lang w:val="uk-UA"/>
        </w:rPr>
      </w:pPr>
      <w:r w:rsidRPr="005F0419">
        <w:rPr>
          <w:rFonts w:ascii="Times New Roman" w:eastAsia="Calibri" w:hAnsi="Times New Roman" w:cs="Times New Roman"/>
          <w:noProof/>
          <w:sz w:val="28"/>
          <w:szCs w:val="28"/>
          <w:lang w:val="uk-UA"/>
        </w:rPr>
        <w:drawing>
          <wp:inline distT="0" distB="0" distL="0" distR="0" wp14:anchorId="37D6D61D" wp14:editId="5B2511ED">
            <wp:extent cx="4979035" cy="2454965"/>
            <wp:effectExtent l="0" t="0" r="0" b="2540"/>
            <wp:docPr id="4" name="Діагра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4"/>
              </a:graphicData>
            </a:graphic>
          </wp:inline>
        </w:drawing>
      </w:r>
    </w:p>
    <w:p w14:paraId="5CC77366" w14:textId="77777777" w:rsidR="0000167A" w:rsidRPr="005F0419" w:rsidRDefault="0000167A" w:rsidP="00662012">
      <w:pPr>
        <w:spacing w:after="0" w:line="360" w:lineRule="auto"/>
        <w:ind w:firstLine="720"/>
        <w:contextualSpacing/>
        <w:jc w:val="center"/>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 xml:space="preserve">Рис. 15. Рейтингова оцінка послуг гостинності готелів курорту </w:t>
      </w:r>
      <w:proofErr w:type="spellStart"/>
      <w:r w:rsidRPr="005F0419">
        <w:rPr>
          <w:rFonts w:ascii="Times New Roman" w:eastAsia="Calibri" w:hAnsi="Times New Roman" w:cs="Times New Roman"/>
          <w:bCs/>
          <w:sz w:val="28"/>
          <w:szCs w:val="28"/>
          <w:lang w:val="uk-UA"/>
        </w:rPr>
        <w:t>Мигове</w:t>
      </w:r>
      <w:proofErr w:type="spellEnd"/>
    </w:p>
    <w:p w14:paraId="1F27037F" w14:textId="77777777" w:rsidR="00EE148D" w:rsidRPr="005F0419" w:rsidRDefault="00EE148D" w:rsidP="00EE148D">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lastRenderedPageBreak/>
        <w:t xml:space="preserve">Отже, за результатами нашого дослідження можна зробити висновок, що однієї тільки низької ціни за послуги проживання недостатньо для визначальних позицій і конкурентних переваг у послугах гостинності на курорті </w:t>
      </w:r>
      <w:proofErr w:type="spellStart"/>
      <w:r w:rsidRPr="005F0419">
        <w:rPr>
          <w:rFonts w:ascii="Times New Roman" w:eastAsia="Calibri" w:hAnsi="Times New Roman" w:cs="Times New Roman"/>
          <w:sz w:val="28"/>
          <w:szCs w:val="28"/>
          <w:lang w:val="uk-UA"/>
        </w:rPr>
        <w:t>Мигове</w:t>
      </w:r>
      <w:proofErr w:type="spellEnd"/>
      <w:r w:rsidRPr="005F0419">
        <w:rPr>
          <w:rFonts w:ascii="Times New Roman" w:eastAsia="Calibri" w:hAnsi="Times New Roman" w:cs="Times New Roman"/>
          <w:sz w:val="28"/>
          <w:szCs w:val="28"/>
          <w:lang w:val="uk-UA"/>
        </w:rPr>
        <w:t>. Значну роль тут також відіграє як сформований комплекс додаткового сервісу, так і якісна інфраструктура готелю.</w:t>
      </w:r>
    </w:p>
    <w:p w14:paraId="074A03FD"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Для вирівнювання конкурентних позицій проаналізованих нами готелів, без сумніву, необхідно виявити ті конкурентні переваги послуг гостинності, які характерні для лідера рейтингу в </w:t>
      </w:r>
      <w:proofErr w:type="spellStart"/>
      <w:r w:rsidRPr="005F0419">
        <w:rPr>
          <w:rFonts w:ascii="Times New Roman" w:eastAsia="Calibri" w:hAnsi="Times New Roman" w:cs="Times New Roman"/>
          <w:sz w:val="28"/>
          <w:szCs w:val="28"/>
          <w:lang w:val="uk-UA"/>
        </w:rPr>
        <w:t>Мигове</w:t>
      </w:r>
      <w:proofErr w:type="spellEnd"/>
      <w:r w:rsidRPr="005F0419">
        <w:rPr>
          <w:rFonts w:ascii="Times New Roman" w:eastAsia="Calibri" w:hAnsi="Times New Roman" w:cs="Times New Roman"/>
          <w:sz w:val="28"/>
          <w:szCs w:val="28"/>
          <w:lang w:val="uk-UA"/>
        </w:rPr>
        <w:t xml:space="preserve"> готелю «Гірський Світанок». Перш за все, це найдоступніша ціна на проживання при достатній кількості ліжко-місць і розташуванні в безпосередній близькості від підйомників. Готель має 5 конференц-залів різної площі та місткості, три сауни й два басейн. Поступається «Гірський Світанок» сильнішими позиціями більшою місткістю номерів, відсутністю більярдних столів і інших настільних ігор, різновидністю екскурсійного обслуговування, які характерні для готелю «Карпати».</w:t>
      </w:r>
    </w:p>
    <w:p w14:paraId="3D87AB65"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Готель «</w:t>
      </w:r>
      <w:proofErr w:type="spellStart"/>
      <w:r w:rsidRPr="005F0419">
        <w:rPr>
          <w:rFonts w:ascii="Times New Roman" w:eastAsia="Calibri" w:hAnsi="Times New Roman" w:cs="Times New Roman"/>
          <w:sz w:val="28"/>
          <w:szCs w:val="28"/>
          <w:lang w:val="uk-UA"/>
        </w:rPr>
        <w:t>Норіс</w:t>
      </w:r>
      <w:proofErr w:type="spellEnd"/>
      <w:r w:rsidRPr="005F0419">
        <w:rPr>
          <w:rFonts w:ascii="Times New Roman" w:eastAsia="Calibri" w:hAnsi="Times New Roman" w:cs="Times New Roman"/>
          <w:sz w:val="28"/>
          <w:szCs w:val="28"/>
          <w:lang w:val="uk-UA"/>
        </w:rPr>
        <w:t xml:space="preserve">» розташований найближче до підйомників, має достатньо прийнятні ціни для проживання, п’ять </w:t>
      </w:r>
      <w:proofErr w:type="spellStart"/>
      <w:r w:rsidRPr="005F0419">
        <w:rPr>
          <w:rFonts w:ascii="Times New Roman" w:eastAsia="Calibri" w:hAnsi="Times New Roman" w:cs="Times New Roman"/>
          <w:sz w:val="28"/>
          <w:szCs w:val="28"/>
          <w:lang w:val="uk-UA"/>
        </w:rPr>
        <w:t>різновидностей</w:t>
      </w:r>
      <w:proofErr w:type="spellEnd"/>
      <w:r w:rsidRPr="005F0419">
        <w:rPr>
          <w:rFonts w:ascii="Times New Roman" w:eastAsia="Calibri" w:hAnsi="Times New Roman" w:cs="Times New Roman"/>
          <w:sz w:val="28"/>
          <w:szCs w:val="28"/>
          <w:lang w:val="uk-UA"/>
        </w:rPr>
        <w:t xml:space="preserve"> для екскурсійного обслуговування. У готелі «</w:t>
      </w:r>
      <w:proofErr w:type="spellStart"/>
      <w:r w:rsidRPr="005F0419">
        <w:rPr>
          <w:rFonts w:ascii="Times New Roman" w:eastAsia="Calibri" w:hAnsi="Times New Roman" w:cs="Times New Roman"/>
          <w:sz w:val="28"/>
          <w:szCs w:val="28"/>
          <w:lang w:val="uk-UA"/>
        </w:rPr>
        <w:t>Саторі</w:t>
      </w:r>
      <w:proofErr w:type="spellEnd"/>
      <w:r w:rsidRPr="005F0419">
        <w:rPr>
          <w:rFonts w:ascii="Times New Roman" w:eastAsia="Calibri" w:hAnsi="Times New Roman" w:cs="Times New Roman"/>
          <w:sz w:val="28"/>
          <w:szCs w:val="28"/>
          <w:lang w:val="uk-UA"/>
        </w:rPr>
        <w:t>» найкращою є позиція по ціні та віддалі до підйомників.</w:t>
      </w:r>
    </w:p>
    <w:p w14:paraId="18C71B29"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Ще дуже вагомою перевагою всієї рекреаційної інфраструктури курорту </w:t>
      </w:r>
      <w:proofErr w:type="spellStart"/>
      <w:r w:rsidRPr="005F0419">
        <w:rPr>
          <w:rFonts w:ascii="Times New Roman" w:eastAsia="Calibri" w:hAnsi="Times New Roman" w:cs="Times New Roman"/>
          <w:sz w:val="28"/>
          <w:szCs w:val="28"/>
          <w:lang w:val="uk-UA"/>
        </w:rPr>
        <w:t>Мигове</w:t>
      </w:r>
      <w:proofErr w:type="spellEnd"/>
      <w:r w:rsidRPr="005F0419">
        <w:rPr>
          <w:rFonts w:ascii="Times New Roman" w:eastAsia="Calibri" w:hAnsi="Times New Roman" w:cs="Times New Roman"/>
          <w:sz w:val="28"/>
          <w:szCs w:val="28"/>
          <w:lang w:val="uk-UA"/>
        </w:rPr>
        <w:t xml:space="preserve"> та довколишніх територій зокрема і Карпат загалом у нинішніх перспективах воєнної та </w:t>
      </w:r>
      <w:proofErr w:type="spellStart"/>
      <w:r w:rsidRPr="005F0419">
        <w:rPr>
          <w:rFonts w:ascii="Times New Roman" w:eastAsia="Calibri" w:hAnsi="Times New Roman" w:cs="Times New Roman"/>
          <w:sz w:val="28"/>
          <w:szCs w:val="28"/>
          <w:lang w:val="uk-UA"/>
        </w:rPr>
        <w:t>поствоєнної</w:t>
      </w:r>
      <w:proofErr w:type="spellEnd"/>
      <w:r w:rsidRPr="005F0419">
        <w:rPr>
          <w:rFonts w:ascii="Times New Roman" w:eastAsia="Calibri" w:hAnsi="Times New Roman" w:cs="Times New Roman"/>
          <w:sz w:val="28"/>
          <w:szCs w:val="28"/>
          <w:lang w:val="uk-UA"/>
        </w:rPr>
        <w:t xml:space="preserve"> модернізації суспільства є первинний досвід ведення рекреаційно-психологічної реабілітації та лікування від ПТСР і формування першооснов спеціалізованого кластеру [34-36]. Масштабні військові дії, що тривають на сході України, перетворили регіон на «гарячу точку», а кількість людей, які прямо чи опосередковано беруть участь у бойових діях та відчувають на собі наслідки війни, зростає з кожним днем. Водночас, військове та цивільне середовище в регіоні негативно впливає на їхній психологічний стан. Це призвело до збільшення кількості військових і цивільних осіб з діагнозом посттравматичного стресового розладу (ПТСР).</w:t>
      </w:r>
    </w:p>
    <w:p w14:paraId="2969A2BA" w14:textId="6A25B463"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lastRenderedPageBreak/>
        <w:t>З наукової точки зору, ця сфера досліджень наразі характеризується відсутністю глибокого вивчення проблеми; дослідження проблем, спричинених ПТСР, зосереджені на впливі рекреаційних ресурсів на зменшення наслідків ПТСР та трьох «L» (</w:t>
      </w:r>
      <w:proofErr w:type="spellStart"/>
      <w:r w:rsidRPr="005F0419">
        <w:rPr>
          <w:rFonts w:ascii="Times New Roman" w:eastAsia="Calibri" w:hAnsi="Times New Roman" w:cs="Times New Roman"/>
          <w:sz w:val="28"/>
          <w:szCs w:val="28"/>
          <w:lang w:val="uk-UA"/>
        </w:rPr>
        <w:t>Landscape</w:t>
      </w:r>
      <w:proofErr w:type="spellEnd"/>
      <w:r w:rsidRPr="005F0419">
        <w:rPr>
          <w:rFonts w:ascii="Times New Roman" w:eastAsia="Calibri" w:hAnsi="Times New Roman" w:cs="Times New Roman"/>
          <w:sz w:val="28"/>
          <w:szCs w:val="28"/>
          <w:lang w:val="uk-UA"/>
        </w:rPr>
        <w:t xml:space="preserve"> </w:t>
      </w:r>
      <w:r w:rsidR="00EE148D"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Lore</w:t>
      </w:r>
      <w:proofErr w:type="spellEnd"/>
      <w:r w:rsidRPr="005F0419">
        <w:rPr>
          <w:rFonts w:ascii="Times New Roman" w:eastAsia="Calibri" w:hAnsi="Times New Roman" w:cs="Times New Roman"/>
          <w:sz w:val="28"/>
          <w:szCs w:val="28"/>
          <w:lang w:val="uk-UA"/>
        </w:rPr>
        <w:t xml:space="preserve"> </w:t>
      </w:r>
      <w:r w:rsidR="00EE148D"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Leisure</w:t>
      </w:r>
      <w:proofErr w:type="spellEnd"/>
      <w:r w:rsidRPr="005F0419">
        <w:rPr>
          <w:rFonts w:ascii="Times New Roman" w:eastAsia="Calibri" w:hAnsi="Times New Roman" w:cs="Times New Roman"/>
          <w:sz w:val="28"/>
          <w:szCs w:val="28"/>
          <w:lang w:val="uk-UA"/>
        </w:rPr>
        <w:t xml:space="preserve">). Це підтверджується публікаціями та дослідженнями зарубіжних вчених та експертів Дани </w:t>
      </w:r>
      <w:proofErr w:type="spellStart"/>
      <w:r w:rsidRPr="005F0419">
        <w:rPr>
          <w:rFonts w:ascii="Times New Roman" w:eastAsia="Calibri" w:hAnsi="Times New Roman" w:cs="Times New Roman"/>
          <w:sz w:val="28"/>
          <w:szCs w:val="28"/>
          <w:lang w:val="uk-UA"/>
        </w:rPr>
        <w:t>Еріксон</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Расула</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Мовата</w:t>
      </w:r>
      <w:proofErr w:type="spellEnd"/>
      <w:r w:rsidRPr="005F0419">
        <w:rPr>
          <w:rFonts w:ascii="Times New Roman" w:eastAsia="Calibri" w:hAnsi="Times New Roman" w:cs="Times New Roman"/>
          <w:sz w:val="28"/>
          <w:szCs w:val="28"/>
          <w:lang w:val="uk-UA"/>
        </w:rPr>
        <w:t xml:space="preserve">, Джона </w:t>
      </w:r>
      <w:proofErr w:type="spellStart"/>
      <w:r w:rsidRPr="005F0419">
        <w:rPr>
          <w:rFonts w:ascii="Times New Roman" w:eastAsia="Calibri" w:hAnsi="Times New Roman" w:cs="Times New Roman"/>
          <w:sz w:val="28"/>
          <w:szCs w:val="28"/>
          <w:lang w:val="uk-UA"/>
        </w:rPr>
        <w:t>Бенета</w:t>
      </w:r>
      <w:proofErr w:type="spellEnd"/>
      <w:r w:rsidRPr="005F0419">
        <w:rPr>
          <w:rFonts w:ascii="Times New Roman" w:eastAsia="Calibri" w:hAnsi="Times New Roman" w:cs="Times New Roman"/>
          <w:sz w:val="28"/>
          <w:szCs w:val="28"/>
          <w:lang w:val="uk-UA"/>
        </w:rPr>
        <w:t xml:space="preserve"> та Елізабет </w:t>
      </w:r>
      <w:proofErr w:type="spellStart"/>
      <w:r w:rsidRPr="005F0419">
        <w:rPr>
          <w:rFonts w:ascii="Times New Roman" w:eastAsia="Calibri" w:hAnsi="Times New Roman" w:cs="Times New Roman"/>
          <w:sz w:val="28"/>
          <w:szCs w:val="28"/>
          <w:lang w:val="uk-UA"/>
        </w:rPr>
        <w:t>Велл</w:t>
      </w:r>
      <w:proofErr w:type="spellEnd"/>
      <w:r w:rsidRPr="005F0419">
        <w:rPr>
          <w:rFonts w:ascii="Times New Roman" w:eastAsia="Calibri" w:hAnsi="Times New Roman" w:cs="Times New Roman"/>
          <w:sz w:val="28"/>
          <w:szCs w:val="28"/>
          <w:lang w:val="uk-UA"/>
        </w:rPr>
        <w:t xml:space="preserve">, які вивчили ці питання, використовуючи концепцію «Л»: Ландшафт </w:t>
      </w:r>
      <w:r w:rsidR="00EE148D"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Традиція </w:t>
      </w:r>
      <w:r w:rsidR="00EE148D"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Дозвілля [37].</w:t>
      </w:r>
    </w:p>
    <w:p w14:paraId="54948133"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Наразі існує багато форм, інструментів та методів відновлення життя постраждалих з діагнозом ПТСР. Одним із компонентів ефективної підтримки в таких випадках є початок активної терапії з використанням рекреаційних ресурсів у кластерних об’єднаннях. Однією з вимог до рекреаційних кластерів є надання комплексних реабілітаційних послуг. Зокрема, саме такий комплекс об’єднує постраждалих з учасниками рекреації, які пережили або можуть переживати симптоми ПТСР під час воєнних криз; ПТСР змінює звичну поведінку людини, призводячи до емоційних поведінкових очікувань, які можуть призвести до повторення певних стресових ситуацій [23].</w:t>
      </w:r>
    </w:p>
    <w:p w14:paraId="602D743E"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У США існує сім груп рекреаційних терапій.</w:t>
      </w:r>
    </w:p>
    <w:p w14:paraId="4AD14BE2"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Перша група рекреаційних терапій включає арт-терапію, терапію декоративно-прикладним мистецтвом, терапію садівництвом та кулінарну терапію. Використання творчих об’єктів має додаткові переваги у вигляді релаксації, підвищення мобільності та набуття змістовного хобі.</w:t>
      </w:r>
    </w:p>
    <w:p w14:paraId="5A590361"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Друга група включає музичну терапію, танцювальну терапію та драматичну терапію. Ці види терапії допомагають впоратися зі стресом, полегшити біль, емоційне вираження, розвиток пам'яті та сприяють фізичній реабілітації.</w:t>
      </w:r>
    </w:p>
    <w:p w14:paraId="23E377C2"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До третьої групи належать рекреаційні вправи для розминки. Вправи з постійним навантаженням розраховуються для кожного окремого пацієнта і допомагають розвинути витривалість перед психологічним стресом. Прикладами є їзда на велосипеді, легка атлетика, альпінізм, йога, веслування на каное, плавання, </w:t>
      </w:r>
      <w:proofErr w:type="spellStart"/>
      <w:r w:rsidRPr="005F0419">
        <w:rPr>
          <w:rFonts w:ascii="Times New Roman" w:eastAsia="Calibri" w:hAnsi="Times New Roman" w:cs="Times New Roman"/>
          <w:sz w:val="28"/>
          <w:szCs w:val="28"/>
          <w:lang w:val="uk-UA"/>
        </w:rPr>
        <w:t>рафтинг</w:t>
      </w:r>
      <w:proofErr w:type="spellEnd"/>
      <w:r w:rsidRPr="005F0419">
        <w:rPr>
          <w:rFonts w:ascii="Times New Roman" w:eastAsia="Calibri" w:hAnsi="Times New Roman" w:cs="Times New Roman"/>
          <w:sz w:val="28"/>
          <w:szCs w:val="28"/>
          <w:lang w:val="uk-UA"/>
        </w:rPr>
        <w:t xml:space="preserve"> і </w:t>
      </w:r>
      <w:proofErr w:type="spellStart"/>
      <w:r w:rsidRPr="005F0419">
        <w:rPr>
          <w:rFonts w:ascii="Times New Roman" w:eastAsia="Calibri" w:hAnsi="Times New Roman" w:cs="Times New Roman"/>
          <w:sz w:val="28"/>
          <w:szCs w:val="28"/>
          <w:lang w:val="uk-UA"/>
        </w:rPr>
        <w:t>каякінг</w:t>
      </w:r>
      <w:proofErr w:type="spellEnd"/>
      <w:r w:rsidRPr="005F0419">
        <w:rPr>
          <w:rFonts w:ascii="Times New Roman" w:eastAsia="Calibri" w:hAnsi="Times New Roman" w:cs="Times New Roman"/>
          <w:sz w:val="28"/>
          <w:szCs w:val="28"/>
          <w:lang w:val="uk-UA"/>
        </w:rPr>
        <w:t>.</w:t>
      </w:r>
    </w:p>
    <w:p w14:paraId="687606F2"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lastRenderedPageBreak/>
        <w:t>Четвертий метод – це експериментальна рекреаційна терапія, яка створює штучну соціальну ситуацію або середовище, в якому пацієнт приєднується до групи, щоб покращити свої соціальні навички. Це відбувається через взаємодію між людьми для досягнення конкретних цілей.</w:t>
      </w:r>
    </w:p>
    <w:p w14:paraId="12F557F8"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П’ята група – терапія тварин, яка базується на позитивному їхньому впливі на психологічний та фізичний стан людини.</w:t>
      </w:r>
    </w:p>
    <w:p w14:paraId="693C87B4"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Шоста група – рекреаційна освіта, яка спрямована на навчання людей як частину їхнього соціального розвитку.</w:t>
      </w:r>
    </w:p>
    <w:p w14:paraId="522EF096"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Сьома основна група – це програмована рекреація, яка спрямована на підвищення обізнаності людини та розвиток таких процесів, як відпочинок, соціалізація, творчий розвиток, релаксація та адаптація до інвалідності, які залишаться з людиною до кінця її життя [34].</w:t>
      </w:r>
    </w:p>
    <w:p w14:paraId="6DD08F6B"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Метою рекреаційної терапії є </w:t>
      </w:r>
      <w:proofErr w:type="spellStart"/>
      <w:r w:rsidRPr="005F0419">
        <w:rPr>
          <w:rFonts w:ascii="Times New Roman" w:eastAsia="Calibri" w:hAnsi="Times New Roman" w:cs="Times New Roman"/>
          <w:sz w:val="28"/>
          <w:szCs w:val="28"/>
          <w:lang w:val="uk-UA"/>
        </w:rPr>
        <w:t>ресоціалізація</w:t>
      </w:r>
      <w:proofErr w:type="spellEnd"/>
      <w:r w:rsidRPr="005F0419">
        <w:rPr>
          <w:rFonts w:ascii="Times New Roman" w:eastAsia="Calibri" w:hAnsi="Times New Roman" w:cs="Times New Roman"/>
          <w:sz w:val="28"/>
          <w:szCs w:val="28"/>
          <w:lang w:val="uk-UA"/>
        </w:rPr>
        <w:t xml:space="preserve"> людей з проблемами існування та взаємодії з суспільством через лікувальну рекреаційну діяльність.</w:t>
      </w:r>
    </w:p>
    <w:p w14:paraId="751AEF68"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Виходячи з цього та у зв’язку з класифікацією туристичних ресурсів, пропонується згрупувати методи рекреаційної терапії наступним чином: </w:t>
      </w:r>
    </w:p>
    <w:p w14:paraId="255F6C95"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1. Перша і друга групи – методи, розроблені на основі історичних та етнокультурних туристичних ресурсів. </w:t>
      </w:r>
    </w:p>
    <w:p w14:paraId="58D55716"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2. Друга, третя та п’ята групи – на базі природних туристично-рекреаційних ресурсів. </w:t>
      </w:r>
    </w:p>
    <w:p w14:paraId="0B7AC15C" w14:textId="0332BC38"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3. Четверта, шоста і сьома групи можуть бути віднесені до інфраструктурних туристично-рекреаційних ресурсів та інформаційно-туристичних ресурсів (табл. 12) [37]. </w:t>
      </w:r>
    </w:p>
    <w:p w14:paraId="4FAD57C8" w14:textId="77777777" w:rsidR="001C3FA7" w:rsidRPr="005F0419" w:rsidRDefault="001C3FA7" w:rsidP="001C3FA7">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Нині територіальна громада селища Берегомет, куди входить також курорт </w:t>
      </w:r>
      <w:proofErr w:type="spellStart"/>
      <w:r w:rsidRPr="005F0419">
        <w:rPr>
          <w:rFonts w:ascii="Times New Roman" w:eastAsia="Calibri" w:hAnsi="Times New Roman" w:cs="Times New Roman"/>
          <w:sz w:val="28"/>
          <w:szCs w:val="28"/>
          <w:lang w:val="uk-UA"/>
        </w:rPr>
        <w:t>Мигове</w:t>
      </w:r>
      <w:proofErr w:type="spellEnd"/>
      <w:r w:rsidRPr="005F0419">
        <w:rPr>
          <w:rFonts w:ascii="Times New Roman" w:eastAsia="Calibri" w:hAnsi="Times New Roman" w:cs="Times New Roman"/>
          <w:sz w:val="28"/>
          <w:szCs w:val="28"/>
          <w:lang w:val="uk-UA"/>
        </w:rPr>
        <w:t xml:space="preserve"> з його багатопрофільною інфраструктурою, накопичила чималий досвід реабілітації та лікування пацієнтів із ПТСР. Ще у 2014 році, після воєнного вторгнення та політичних змін управління територіями Росією в Криму і на частині Донбасу (ОРДЛО), силами громади за сприяння Державного агентства лісових ресурсів Чернівецького обласного управління лісового та мисливського господарства Державного підприємства «</w:t>
      </w:r>
      <w:proofErr w:type="spellStart"/>
      <w:r w:rsidRPr="005F0419">
        <w:rPr>
          <w:rFonts w:ascii="Times New Roman" w:eastAsia="Calibri" w:hAnsi="Times New Roman" w:cs="Times New Roman"/>
          <w:sz w:val="28"/>
          <w:szCs w:val="28"/>
          <w:lang w:val="uk-UA"/>
        </w:rPr>
        <w:t>Берегометське</w:t>
      </w:r>
      <w:proofErr w:type="spellEnd"/>
      <w:r w:rsidRPr="005F0419">
        <w:rPr>
          <w:rFonts w:ascii="Times New Roman" w:eastAsia="Calibri" w:hAnsi="Times New Roman" w:cs="Times New Roman"/>
          <w:sz w:val="28"/>
          <w:szCs w:val="28"/>
          <w:lang w:val="uk-UA"/>
        </w:rPr>
        <w:t xml:space="preserve"> лісомисливське </w:t>
      </w:r>
      <w:r w:rsidRPr="005F0419">
        <w:rPr>
          <w:rFonts w:ascii="Times New Roman" w:eastAsia="Calibri" w:hAnsi="Times New Roman" w:cs="Times New Roman"/>
          <w:sz w:val="28"/>
          <w:szCs w:val="28"/>
          <w:lang w:val="uk-UA"/>
        </w:rPr>
        <w:lastRenderedPageBreak/>
        <w:t xml:space="preserve">господарство» селища Берегомет Вижницького району в Чернівецькій області було започатковано пілотний </w:t>
      </w:r>
      <w:proofErr w:type="spellStart"/>
      <w:r w:rsidRPr="005F0419">
        <w:rPr>
          <w:rFonts w:ascii="Times New Roman" w:eastAsia="Calibri" w:hAnsi="Times New Roman" w:cs="Times New Roman"/>
          <w:sz w:val="28"/>
          <w:szCs w:val="28"/>
          <w:lang w:val="uk-UA"/>
        </w:rPr>
        <w:t>проєкт</w:t>
      </w:r>
      <w:proofErr w:type="spellEnd"/>
      <w:r w:rsidRPr="005F0419">
        <w:rPr>
          <w:rFonts w:ascii="Times New Roman" w:eastAsia="Calibri" w:hAnsi="Times New Roman" w:cs="Times New Roman"/>
          <w:sz w:val="28"/>
          <w:szCs w:val="28"/>
          <w:lang w:val="uk-UA"/>
        </w:rPr>
        <w:t xml:space="preserve"> із організації та відновлення всієї рекреаційно-медичної інфраструктури. Саме рекреаційні ресурси є основним компонентом для здійснення рекреаційної терапії та активної рекреації загалом. Отже території, де вони наявні, можуть стати підґрунтям для старту та подальшого розвитку рекреаційної терапії надалі та формування повноцінного рекреаційно-реабілітаційного кластеру з лікування ПТСР. Їхня мета – залучити постраждалих у воєнних діях як цивільних, так і військових осіб.</w:t>
      </w:r>
    </w:p>
    <w:p w14:paraId="7F589C24" w14:textId="77777777" w:rsidR="0000167A" w:rsidRPr="005F0419" w:rsidRDefault="0000167A" w:rsidP="00662012">
      <w:pPr>
        <w:spacing w:after="0" w:line="360" w:lineRule="auto"/>
        <w:ind w:firstLine="720"/>
        <w:contextualSpacing/>
        <w:jc w:val="right"/>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Таблиця 12</w:t>
      </w:r>
    </w:p>
    <w:p w14:paraId="056B1A5A" w14:textId="77777777" w:rsidR="0000167A" w:rsidRPr="005F0419" w:rsidRDefault="0000167A" w:rsidP="00662012">
      <w:pPr>
        <w:spacing w:after="0" w:line="360" w:lineRule="auto"/>
        <w:ind w:firstLine="720"/>
        <w:contextualSpacing/>
        <w:jc w:val="center"/>
        <w:rPr>
          <w:rFonts w:ascii="Times New Roman" w:eastAsia="Calibri" w:hAnsi="Times New Roman" w:cs="Times New Roman"/>
          <w:sz w:val="28"/>
          <w:szCs w:val="28"/>
          <w:lang w:val="uk-UA"/>
        </w:rPr>
      </w:pPr>
      <w:r w:rsidRPr="005F0419">
        <w:rPr>
          <w:rFonts w:ascii="Times New Roman" w:eastAsia="Calibri" w:hAnsi="Times New Roman" w:cs="Times New Roman"/>
          <w:bCs/>
          <w:sz w:val="28"/>
          <w:szCs w:val="28"/>
          <w:lang w:val="uk-UA"/>
        </w:rPr>
        <w:t xml:space="preserve">Матриця застосування туристичних ресурсів до методів активної рекреаційної терапії у США </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6"/>
        <w:gridCol w:w="1706"/>
        <w:gridCol w:w="1926"/>
        <w:gridCol w:w="2323"/>
        <w:gridCol w:w="2000"/>
      </w:tblGrid>
      <w:tr w:rsidR="0000167A" w:rsidRPr="005F0419" w14:paraId="4FBCEDDE" w14:textId="77777777" w:rsidTr="00EE148D">
        <w:tc>
          <w:tcPr>
            <w:tcW w:w="1657" w:type="dxa"/>
            <w:vMerge w:val="restart"/>
            <w:shd w:val="clear" w:color="auto" w:fill="FFFFFF"/>
            <w:vAlign w:val="center"/>
          </w:tcPr>
          <w:p w14:paraId="0EA7532E" w14:textId="77777777" w:rsidR="0000167A" w:rsidRPr="005F0419" w:rsidRDefault="0000167A" w:rsidP="00EE148D">
            <w:pPr>
              <w:spacing w:after="0" w:line="240" w:lineRule="auto"/>
              <w:jc w:val="center"/>
              <w:rPr>
                <w:rFonts w:ascii="Times New Roman" w:eastAsia="Calibri" w:hAnsi="Times New Roman" w:cs="Times New Roman"/>
                <w:bCs/>
                <w:iCs/>
                <w:sz w:val="28"/>
                <w:szCs w:val="28"/>
                <w:lang w:val="uk-UA"/>
              </w:rPr>
            </w:pPr>
            <w:bookmarkStart w:id="11" w:name="_Hlk157881137"/>
            <w:r w:rsidRPr="005F0419">
              <w:rPr>
                <w:rFonts w:ascii="Times New Roman" w:eastAsia="Calibri" w:hAnsi="Times New Roman" w:cs="Times New Roman"/>
                <w:bCs/>
                <w:iCs/>
                <w:sz w:val="28"/>
                <w:szCs w:val="28"/>
                <w:lang w:val="uk-UA"/>
              </w:rPr>
              <w:t>Групи активної рекреації у США</w:t>
            </w:r>
          </w:p>
        </w:tc>
        <w:tc>
          <w:tcPr>
            <w:tcW w:w="7834" w:type="dxa"/>
            <w:gridSpan w:val="4"/>
            <w:shd w:val="clear" w:color="auto" w:fill="FFFFFF"/>
            <w:vAlign w:val="center"/>
          </w:tcPr>
          <w:p w14:paraId="442EBAB1" w14:textId="77777777" w:rsidR="0000167A" w:rsidRPr="005F0419" w:rsidRDefault="0000167A" w:rsidP="00EE148D">
            <w:pPr>
              <w:spacing w:after="0" w:line="240" w:lineRule="auto"/>
              <w:jc w:val="center"/>
              <w:rPr>
                <w:rFonts w:ascii="Times New Roman" w:eastAsia="Calibri" w:hAnsi="Times New Roman" w:cs="Times New Roman"/>
                <w:bCs/>
                <w:iCs/>
                <w:sz w:val="28"/>
                <w:szCs w:val="28"/>
                <w:lang w:val="uk-UA"/>
              </w:rPr>
            </w:pPr>
            <w:r w:rsidRPr="005F0419">
              <w:rPr>
                <w:rFonts w:ascii="Times New Roman" w:eastAsia="Calibri" w:hAnsi="Times New Roman" w:cs="Times New Roman"/>
                <w:bCs/>
                <w:iCs/>
                <w:sz w:val="28"/>
                <w:szCs w:val="28"/>
                <w:lang w:val="uk-UA"/>
              </w:rPr>
              <w:t>Туристично-рекреаційні ресурси</w:t>
            </w:r>
          </w:p>
        </w:tc>
      </w:tr>
      <w:tr w:rsidR="0000167A" w:rsidRPr="005F0419" w14:paraId="0F192509" w14:textId="77777777" w:rsidTr="00EE148D">
        <w:trPr>
          <w:trHeight w:val="1208"/>
        </w:trPr>
        <w:tc>
          <w:tcPr>
            <w:tcW w:w="1657" w:type="dxa"/>
            <w:vMerge/>
            <w:shd w:val="clear" w:color="auto" w:fill="FFFFFF"/>
            <w:vAlign w:val="center"/>
          </w:tcPr>
          <w:p w14:paraId="1DFE4820" w14:textId="77777777" w:rsidR="0000167A" w:rsidRPr="005F0419" w:rsidRDefault="0000167A" w:rsidP="00EE148D">
            <w:pPr>
              <w:spacing w:after="0" w:line="240" w:lineRule="auto"/>
              <w:jc w:val="center"/>
              <w:rPr>
                <w:rFonts w:ascii="Times New Roman" w:eastAsia="Calibri" w:hAnsi="Times New Roman" w:cs="Times New Roman"/>
                <w:bCs/>
                <w:iCs/>
                <w:sz w:val="28"/>
                <w:szCs w:val="28"/>
                <w:lang w:val="uk-UA"/>
              </w:rPr>
            </w:pPr>
          </w:p>
        </w:tc>
        <w:tc>
          <w:tcPr>
            <w:tcW w:w="1715" w:type="dxa"/>
            <w:shd w:val="clear" w:color="auto" w:fill="FFFFFF"/>
            <w:vAlign w:val="center"/>
          </w:tcPr>
          <w:p w14:paraId="3F21AB5F" w14:textId="77777777" w:rsidR="0000167A" w:rsidRPr="005F0419" w:rsidRDefault="0000167A" w:rsidP="00EE148D">
            <w:pPr>
              <w:spacing w:after="0" w:line="240" w:lineRule="auto"/>
              <w:jc w:val="center"/>
              <w:rPr>
                <w:rFonts w:ascii="Times New Roman" w:eastAsia="Calibri" w:hAnsi="Times New Roman" w:cs="Times New Roman"/>
                <w:bCs/>
                <w:iCs/>
                <w:sz w:val="28"/>
                <w:szCs w:val="28"/>
                <w:lang w:val="uk-UA"/>
              </w:rPr>
            </w:pPr>
            <w:r w:rsidRPr="005F0419">
              <w:rPr>
                <w:rFonts w:ascii="Times New Roman" w:eastAsia="Calibri" w:hAnsi="Times New Roman" w:cs="Times New Roman"/>
                <w:bCs/>
                <w:iCs/>
                <w:sz w:val="28"/>
                <w:szCs w:val="28"/>
                <w:lang w:val="uk-UA"/>
              </w:rPr>
              <w:t>Природні туристично- рекреаційні ресурси</w:t>
            </w:r>
          </w:p>
        </w:tc>
        <w:tc>
          <w:tcPr>
            <w:tcW w:w="1637" w:type="dxa"/>
            <w:shd w:val="clear" w:color="auto" w:fill="FFFFFF"/>
            <w:vAlign w:val="center"/>
          </w:tcPr>
          <w:p w14:paraId="09B83AC0"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Історико – етнокультурні  туристично-рекреаційні ресурси</w:t>
            </w:r>
          </w:p>
        </w:tc>
        <w:tc>
          <w:tcPr>
            <w:tcW w:w="2390" w:type="dxa"/>
            <w:shd w:val="clear" w:color="auto" w:fill="FFFFFF"/>
            <w:vAlign w:val="center"/>
          </w:tcPr>
          <w:p w14:paraId="7BB2860D"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Інфраструктурні туристично-рекреаційні ресурси</w:t>
            </w:r>
          </w:p>
        </w:tc>
        <w:tc>
          <w:tcPr>
            <w:tcW w:w="2092" w:type="dxa"/>
            <w:shd w:val="clear" w:color="auto" w:fill="FFFFFF"/>
            <w:vAlign w:val="center"/>
          </w:tcPr>
          <w:p w14:paraId="0ACDAAAB"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Інформаційні  туристично-  рекреаційні ресурси</w:t>
            </w:r>
          </w:p>
        </w:tc>
      </w:tr>
      <w:tr w:rsidR="0000167A" w:rsidRPr="005F0419" w14:paraId="36021402" w14:textId="77777777" w:rsidTr="001C3FA7">
        <w:trPr>
          <w:trHeight w:hRule="exact" w:val="395"/>
        </w:trPr>
        <w:tc>
          <w:tcPr>
            <w:tcW w:w="1657" w:type="dxa"/>
          </w:tcPr>
          <w:p w14:paraId="52AE859D"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Перша група</w:t>
            </w:r>
          </w:p>
        </w:tc>
        <w:tc>
          <w:tcPr>
            <w:tcW w:w="1715" w:type="dxa"/>
          </w:tcPr>
          <w:p w14:paraId="0C48AC7C"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1637" w:type="dxa"/>
            <w:vAlign w:val="center"/>
          </w:tcPr>
          <w:p w14:paraId="5B0DB95B"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390" w:type="dxa"/>
          </w:tcPr>
          <w:p w14:paraId="388CCD9F"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092" w:type="dxa"/>
          </w:tcPr>
          <w:p w14:paraId="0CB92661"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r>
      <w:tr w:rsidR="0000167A" w:rsidRPr="005F0419" w14:paraId="1DDDB724" w14:textId="77777777" w:rsidTr="001C3FA7">
        <w:trPr>
          <w:trHeight w:hRule="exact" w:val="429"/>
        </w:trPr>
        <w:tc>
          <w:tcPr>
            <w:tcW w:w="1657" w:type="dxa"/>
          </w:tcPr>
          <w:p w14:paraId="08C6501F"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Друга група</w:t>
            </w:r>
          </w:p>
        </w:tc>
        <w:tc>
          <w:tcPr>
            <w:tcW w:w="1715" w:type="dxa"/>
          </w:tcPr>
          <w:p w14:paraId="3AFC5C00"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1637" w:type="dxa"/>
            <w:vAlign w:val="center"/>
          </w:tcPr>
          <w:p w14:paraId="7E624250"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390" w:type="dxa"/>
          </w:tcPr>
          <w:p w14:paraId="1A9700DC"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092" w:type="dxa"/>
          </w:tcPr>
          <w:p w14:paraId="2E08ACE6"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r>
      <w:tr w:rsidR="0000167A" w:rsidRPr="005F0419" w14:paraId="33C4393C" w14:textId="77777777" w:rsidTr="001C3FA7">
        <w:trPr>
          <w:trHeight w:hRule="exact" w:val="436"/>
        </w:trPr>
        <w:tc>
          <w:tcPr>
            <w:tcW w:w="1657" w:type="dxa"/>
          </w:tcPr>
          <w:p w14:paraId="5DC7B3C6"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Третя група</w:t>
            </w:r>
          </w:p>
        </w:tc>
        <w:tc>
          <w:tcPr>
            <w:tcW w:w="1715" w:type="dxa"/>
            <w:vAlign w:val="center"/>
          </w:tcPr>
          <w:p w14:paraId="514888A6"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1637" w:type="dxa"/>
          </w:tcPr>
          <w:p w14:paraId="66AF1A59"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390" w:type="dxa"/>
          </w:tcPr>
          <w:p w14:paraId="6692C490"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092" w:type="dxa"/>
          </w:tcPr>
          <w:p w14:paraId="278BA84C"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r>
      <w:tr w:rsidR="0000167A" w:rsidRPr="005F0419" w14:paraId="0CF3E74E" w14:textId="77777777" w:rsidTr="001C3FA7">
        <w:trPr>
          <w:trHeight w:hRule="exact" w:val="414"/>
        </w:trPr>
        <w:tc>
          <w:tcPr>
            <w:tcW w:w="1657" w:type="dxa"/>
          </w:tcPr>
          <w:p w14:paraId="09D49388"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Четверта група</w:t>
            </w:r>
          </w:p>
        </w:tc>
        <w:tc>
          <w:tcPr>
            <w:tcW w:w="1715" w:type="dxa"/>
            <w:vAlign w:val="center"/>
          </w:tcPr>
          <w:p w14:paraId="3B2C8EFD"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1637" w:type="dxa"/>
          </w:tcPr>
          <w:p w14:paraId="37765DCC"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390" w:type="dxa"/>
            <w:vAlign w:val="center"/>
          </w:tcPr>
          <w:p w14:paraId="52F92570"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092" w:type="dxa"/>
            <w:vAlign w:val="center"/>
          </w:tcPr>
          <w:p w14:paraId="3B1E1AB8"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r>
      <w:tr w:rsidR="0000167A" w:rsidRPr="005F0419" w14:paraId="03CF491A" w14:textId="77777777" w:rsidTr="001C3FA7">
        <w:trPr>
          <w:trHeight w:hRule="exact" w:val="419"/>
        </w:trPr>
        <w:tc>
          <w:tcPr>
            <w:tcW w:w="1657" w:type="dxa"/>
          </w:tcPr>
          <w:p w14:paraId="03FD4261"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П’ята група</w:t>
            </w:r>
          </w:p>
        </w:tc>
        <w:tc>
          <w:tcPr>
            <w:tcW w:w="1715" w:type="dxa"/>
            <w:vAlign w:val="center"/>
          </w:tcPr>
          <w:p w14:paraId="25E828B4"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1637" w:type="dxa"/>
          </w:tcPr>
          <w:p w14:paraId="566E5456"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390" w:type="dxa"/>
          </w:tcPr>
          <w:p w14:paraId="61A64400"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092" w:type="dxa"/>
          </w:tcPr>
          <w:p w14:paraId="428BAF42"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r>
      <w:tr w:rsidR="0000167A" w:rsidRPr="005F0419" w14:paraId="7FF76CBE" w14:textId="77777777" w:rsidTr="001C3FA7">
        <w:trPr>
          <w:trHeight w:hRule="exact" w:val="439"/>
        </w:trPr>
        <w:tc>
          <w:tcPr>
            <w:tcW w:w="1657" w:type="dxa"/>
          </w:tcPr>
          <w:p w14:paraId="423420EB"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Шоста група</w:t>
            </w:r>
          </w:p>
        </w:tc>
        <w:tc>
          <w:tcPr>
            <w:tcW w:w="1715" w:type="dxa"/>
            <w:vAlign w:val="center"/>
          </w:tcPr>
          <w:p w14:paraId="64DFB33B"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1637" w:type="dxa"/>
          </w:tcPr>
          <w:p w14:paraId="74EBD2CB"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390" w:type="dxa"/>
            <w:vAlign w:val="center"/>
          </w:tcPr>
          <w:p w14:paraId="1602B953"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092" w:type="dxa"/>
            <w:vAlign w:val="center"/>
          </w:tcPr>
          <w:p w14:paraId="018C5722"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r>
      <w:tr w:rsidR="0000167A" w:rsidRPr="005F0419" w14:paraId="09760559" w14:textId="77777777" w:rsidTr="001C3FA7">
        <w:trPr>
          <w:trHeight w:hRule="exact" w:val="432"/>
        </w:trPr>
        <w:tc>
          <w:tcPr>
            <w:tcW w:w="1657" w:type="dxa"/>
          </w:tcPr>
          <w:p w14:paraId="5213BA79"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Сьома група</w:t>
            </w:r>
          </w:p>
        </w:tc>
        <w:tc>
          <w:tcPr>
            <w:tcW w:w="1715" w:type="dxa"/>
            <w:vAlign w:val="center"/>
          </w:tcPr>
          <w:p w14:paraId="59E5864D"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1637" w:type="dxa"/>
          </w:tcPr>
          <w:p w14:paraId="555E29B6"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390" w:type="dxa"/>
            <w:vAlign w:val="center"/>
          </w:tcPr>
          <w:p w14:paraId="187320FB"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c>
          <w:tcPr>
            <w:tcW w:w="2092" w:type="dxa"/>
            <w:vAlign w:val="center"/>
          </w:tcPr>
          <w:p w14:paraId="13C50C50" w14:textId="77777777" w:rsidR="0000167A" w:rsidRPr="005F0419" w:rsidRDefault="0000167A" w:rsidP="00EE148D">
            <w:pPr>
              <w:spacing w:after="0" w:line="240" w:lineRule="auto"/>
              <w:jc w:val="center"/>
              <w:rPr>
                <w:rFonts w:ascii="Times New Roman" w:eastAsia="Calibri" w:hAnsi="Times New Roman" w:cs="Times New Roman"/>
                <w:iCs/>
                <w:sz w:val="28"/>
                <w:szCs w:val="28"/>
                <w:lang w:val="uk-UA"/>
              </w:rPr>
            </w:pPr>
            <w:r w:rsidRPr="005F0419">
              <w:rPr>
                <w:rFonts w:ascii="Times New Roman" w:eastAsia="Calibri" w:hAnsi="Times New Roman" w:cs="Times New Roman"/>
                <w:iCs/>
                <w:sz w:val="28"/>
                <w:szCs w:val="28"/>
                <w:lang w:val="uk-UA"/>
              </w:rPr>
              <w:t>+</w:t>
            </w:r>
          </w:p>
        </w:tc>
      </w:tr>
      <w:bookmarkEnd w:id="11"/>
    </w:tbl>
    <w:p w14:paraId="0FB7E839"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p>
    <w:p w14:paraId="506736D4" w14:textId="308BEDE8"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Навчання персоналу проводилось за допомогою Німецької програми «Подолаємо наслідки військових конфліктів на сході». Під час нього до викладання та передачі досвіду залучались провідні психологи та арт-терапевти з Чечні, Німеччини та Ізраїлю. Зокрема, було проведено низку семінарів і тренінгів, до яких долучалися і вітчизняні фахівці-психологи з Центру допомоги (м. Одеса), Громадської організації «Гідність» (м. Іллічівськ»), громадської організації «Довіра для всіх» (м. Миколаїв), лікар-</w:t>
      </w:r>
      <w:proofErr w:type="spellStart"/>
      <w:r w:rsidRPr="005F0419">
        <w:rPr>
          <w:rFonts w:ascii="Times New Roman" w:eastAsia="Calibri" w:hAnsi="Times New Roman" w:cs="Times New Roman"/>
          <w:sz w:val="28"/>
          <w:szCs w:val="28"/>
          <w:lang w:val="uk-UA"/>
        </w:rPr>
        <w:t>реабілітолог</w:t>
      </w:r>
      <w:proofErr w:type="spellEnd"/>
      <w:r w:rsidRPr="005F0419">
        <w:rPr>
          <w:rFonts w:ascii="Times New Roman" w:eastAsia="Calibri" w:hAnsi="Times New Roman" w:cs="Times New Roman"/>
          <w:sz w:val="28"/>
          <w:szCs w:val="28"/>
          <w:lang w:val="uk-UA"/>
        </w:rPr>
        <w:t xml:space="preserve"> Громадської організації «Донбас – український» (м. Чернівці) та волонтери.</w:t>
      </w:r>
    </w:p>
    <w:p w14:paraId="22AF4DF1"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lastRenderedPageBreak/>
        <w:t xml:space="preserve">Основними передумовами впровадження даного типу реабілітації на базі територіальної громади в селищі Берегомет та аналогічних у Карпатському рекреаційно-туристичному регіоні є: </w:t>
      </w:r>
    </w:p>
    <w:p w14:paraId="3A4DD1BF" w14:textId="77777777" w:rsidR="0000167A" w:rsidRPr="005F0419" w:rsidRDefault="0000167A" w:rsidP="00662012">
      <w:pPr>
        <w:tabs>
          <w:tab w:val="left" w:pos="284"/>
          <w:tab w:val="left" w:pos="993"/>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1.</w:t>
      </w:r>
      <w:r w:rsidRPr="005F0419">
        <w:rPr>
          <w:rFonts w:ascii="Times New Roman" w:eastAsia="Calibri" w:hAnsi="Times New Roman" w:cs="Times New Roman"/>
          <w:sz w:val="28"/>
          <w:szCs w:val="28"/>
          <w:lang w:val="uk-UA"/>
        </w:rPr>
        <w:tab/>
        <w:t xml:space="preserve">Забезпеченість спеціалізованою та кваліфікаційною  робочою силою; </w:t>
      </w:r>
    </w:p>
    <w:p w14:paraId="567452E5" w14:textId="77777777" w:rsidR="0000167A" w:rsidRPr="005F0419" w:rsidRDefault="0000167A" w:rsidP="00662012">
      <w:pPr>
        <w:tabs>
          <w:tab w:val="left" w:pos="284"/>
          <w:tab w:val="left" w:pos="993"/>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2.</w:t>
      </w:r>
      <w:r w:rsidRPr="005F0419">
        <w:rPr>
          <w:rFonts w:ascii="Times New Roman" w:eastAsia="Calibri" w:hAnsi="Times New Roman" w:cs="Times New Roman"/>
          <w:sz w:val="28"/>
          <w:szCs w:val="28"/>
          <w:lang w:val="uk-UA"/>
        </w:rPr>
        <w:tab/>
        <w:t xml:space="preserve">Наявність підприємств, на базі яких може здійснюватися даний тип реабілітації; </w:t>
      </w:r>
    </w:p>
    <w:p w14:paraId="479CF21C" w14:textId="77777777" w:rsidR="0000167A" w:rsidRPr="005F0419" w:rsidRDefault="0000167A" w:rsidP="00662012">
      <w:pPr>
        <w:tabs>
          <w:tab w:val="left" w:pos="284"/>
          <w:tab w:val="left" w:pos="993"/>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3.</w:t>
      </w:r>
      <w:r w:rsidRPr="005F0419">
        <w:rPr>
          <w:rFonts w:ascii="Times New Roman" w:eastAsia="Calibri" w:hAnsi="Times New Roman" w:cs="Times New Roman"/>
          <w:sz w:val="28"/>
          <w:szCs w:val="28"/>
          <w:lang w:val="uk-UA"/>
        </w:rPr>
        <w:tab/>
        <w:t xml:space="preserve">Наявність потрібної кількості найважливіших ресурсів для здійснення  даного типу реабілітації; </w:t>
      </w:r>
    </w:p>
    <w:p w14:paraId="6B00EA9F" w14:textId="77777777" w:rsidR="0000167A" w:rsidRPr="005F0419" w:rsidRDefault="0000167A" w:rsidP="00662012">
      <w:pPr>
        <w:tabs>
          <w:tab w:val="left" w:pos="284"/>
          <w:tab w:val="left" w:pos="993"/>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4.</w:t>
      </w:r>
      <w:r w:rsidRPr="005F0419">
        <w:rPr>
          <w:rFonts w:ascii="Times New Roman" w:eastAsia="Calibri" w:hAnsi="Times New Roman" w:cs="Times New Roman"/>
          <w:sz w:val="28"/>
          <w:szCs w:val="28"/>
          <w:lang w:val="uk-UA"/>
        </w:rPr>
        <w:tab/>
        <w:t xml:space="preserve">Доступність природно-рекреаційних ресурсів; </w:t>
      </w:r>
    </w:p>
    <w:p w14:paraId="1D35B66C" w14:textId="5D3A3AC4" w:rsidR="0000167A" w:rsidRPr="005F0419" w:rsidRDefault="0000167A" w:rsidP="00662012">
      <w:pPr>
        <w:tabs>
          <w:tab w:val="left" w:pos="284"/>
          <w:tab w:val="left" w:pos="993"/>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5.</w:t>
      </w:r>
      <w:r w:rsidRPr="005F0419">
        <w:rPr>
          <w:rFonts w:ascii="Times New Roman" w:eastAsia="Calibri" w:hAnsi="Times New Roman" w:cs="Times New Roman"/>
          <w:sz w:val="28"/>
          <w:szCs w:val="28"/>
          <w:lang w:val="uk-UA"/>
        </w:rPr>
        <w:tab/>
        <w:t>Низька вартість за надання послуг порівняно із країнами ЄС.</w:t>
      </w:r>
    </w:p>
    <w:p w14:paraId="30A40D00"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Украй важливим для перспективної оцінки можливостей створення рекреаційної терапії та подальшого її впровадження на території гірської та передгірської частини Чернівецької області є аналіз кожного району Чернівецької області згідно з чинниками, які є основними для активної рекреації та рекреаційної терапії. Він має здійснюватися згідно рельєфного поділу території, тобто оцінки її з позиції територіальних відмін вказаного потенціалу в гірській, передгірській частині області та іншій – рівнинної України в межах Прут-Дністровського межиріччя.</w:t>
      </w:r>
    </w:p>
    <w:p w14:paraId="20938295"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До складу гірської та передгірської частини Українських Карпат в області входять Вижницький і південна частина Чернівецького районів на території колишніх частин Сторожинецького та Глибоцького району. У гірській та </w:t>
      </w:r>
      <w:proofErr w:type="spellStart"/>
      <w:r w:rsidRPr="005F0419">
        <w:rPr>
          <w:rFonts w:ascii="Times New Roman" w:eastAsia="Calibri" w:hAnsi="Times New Roman" w:cs="Times New Roman"/>
          <w:sz w:val="28"/>
          <w:szCs w:val="28"/>
          <w:lang w:val="uk-UA"/>
        </w:rPr>
        <w:t>пердгірській</w:t>
      </w:r>
      <w:proofErr w:type="spellEnd"/>
      <w:r w:rsidRPr="005F0419">
        <w:rPr>
          <w:rFonts w:ascii="Times New Roman" w:eastAsia="Calibri" w:hAnsi="Times New Roman" w:cs="Times New Roman"/>
          <w:sz w:val="28"/>
          <w:szCs w:val="28"/>
          <w:lang w:val="uk-UA"/>
        </w:rPr>
        <w:t xml:space="preserve"> частині Українських Карпат за бальною забезпеченістю (фактичні дані від максимальної потенційної забезпеченості в одній із таксономічних одиниць) домінують природні та історико-культурні туристично-рекреаційні ресурси, частка яких є більшою за половину. Аутсайдером у визначеному переліку можна вважати інфраструктурні туристично-рекреаційні ресурси. Вони наявні тільки на території Вижницького району.  </w:t>
      </w:r>
    </w:p>
    <w:p w14:paraId="56054FD7"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Розподіл груп методів рекреаційної терапії вказує на унікальні можливості в управлінні організації рекреаційної терапії в гірській і передгірській частині області Вижницького адміністративного району, після якого дещо слабший </w:t>
      </w:r>
      <w:r w:rsidRPr="005F0419">
        <w:rPr>
          <w:rFonts w:ascii="Times New Roman" w:eastAsia="Calibri" w:hAnsi="Times New Roman" w:cs="Times New Roman"/>
          <w:sz w:val="28"/>
          <w:szCs w:val="28"/>
          <w:lang w:val="uk-UA"/>
        </w:rPr>
        <w:lastRenderedPageBreak/>
        <w:t>потенціал у цьому мають передгірські на півдні Чернівецького району (табл. 13). На даний розподіл впливає наявність визначених туристично-рекреаційних ресурсів, які особливим чином вказують на можливість організації розвитку певних груп методів рекреаційної терапії.</w:t>
      </w:r>
    </w:p>
    <w:p w14:paraId="68ED2227" w14:textId="77777777" w:rsidR="0000167A" w:rsidRPr="005F0419" w:rsidRDefault="0000167A" w:rsidP="00662012">
      <w:pPr>
        <w:spacing w:after="0" w:line="360" w:lineRule="auto"/>
        <w:ind w:firstLine="720"/>
        <w:contextualSpacing/>
        <w:jc w:val="right"/>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Таблиця 13</w:t>
      </w:r>
    </w:p>
    <w:p w14:paraId="6C441359" w14:textId="77777777" w:rsidR="0000167A" w:rsidRPr="005F0419" w:rsidRDefault="0000167A" w:rsidP="00662012">
      <w:pPr>
        <w:spacing w:after="0" w:line="360" w:lineRule="auto"/>
        <w:ind w:firstLine="720"/>
        <w:contextualSpacing/>
        <w:jc w:val="center"/>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Бальний розподіл груп методів рекреаційної терапії адміністративних районів Карпат Чернівецької області відносно їхнього забезпечення туристично-рекреаційними ресурсами</w:t>
      </w:r>
    </w:p>
    <w:tbl>
      <w:tblPr>
        <w:tblW w:w="929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625"/>
        <w:gridCol w:w="857"/>
        <w:gridCol w:w="877"/>
        <w:gridCol w:w="876"/>
        <w:gridCol w:w="877"/>
        <w:gridCol w:w="842"/>
        <w:gridCol w:w="1022"/>
        <w:gridCol w:w="1022"/>
        <w:gridCol w:w="1571"/>
      </w:tblGrid>
      <w:tr w:rsidR="001C3FA7" w:rsidRPr="005F0419" w14:paraId="2D975E4E" w14:textId="77777777" w:rsidTr="001C3FA7">
        <w:trPr>
          <w:trHeight w:val="1007"/>
        </w:trPr>
        <w:tc>
          <w:tcPr>
            <w:tcW w:w="1596" w:type="dxa"/>
            <w:shd w:val="clear" w:color="000000" w:fill="FFFFFF"/>
            <w:vAlign w:val="center"/>
            <w:hideMark/>
          </w:tcPr>
          <w:p w14:paraId="4A91FDBB"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Район</w:t>
            </w:r>
          </w:p>
        </w:tc>
        <w:tc>
          <w:tcPr>
            <w:tcW w:w="857" w:type="dxa"/>
            <w:shd w:val="clear" w:color="000000" w:fill="FFFFFF"/>
            <w:vAlign w:val="center"/>
            <w:hideMark/>
          </w:tcPr>
          <w:p w14:paraId="5DBFBB82"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Група № 1</w:t>
            </w:r>
          </w:p>
        </w:tc>
        <w:tc>
          <w:tcPr>
            <w:tcW w:w="877" w:type="dxa"/>
            <w:shd w:val="clear" w:color="000000" w:fill="FFFFFF"/>
            <w:vAlign w:val="center"/>
            <w:hideMark/>
          </w:tcPr>
          <w:p w14:paraId="1F895C7F"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Група № 2</w:t>
            </w:r>
          </w:p>
        </w:tc>
        <w:tc>
          <w:tcPr>
            <w:tcW w:w="876" w:type="dxa"/>
            <w:shd w:val="clear" w:color="000000" w:fill="FFFFFF"/>
            <w:vAlign w:val="center"/>
            <w:hideMark/>
          </w:tcPr>
          <w:p w14:paraId="73AE27AF"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Група № 3</w:t>
            </w:r>
          </w:p>
        </w:tc>
        <w:tc>
          <w:tcPr>
            <w:tcW w:w="877" w:type="dxa"/>
            <w:shd w:val="clear" w:color="000000" w:fill="FFFFFF"/>
            <w:vAlign w:val="center"/>
            <w:hideMark/>
          </w:tcPr>
          <w:p w14:paraId="7B356393"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Група № 4</w:t>
            </w:r>
          </w:p>
        </w:tc>
        <w:tc>
          <w:tcPr>
            <w:tcW w:w="842" w:type="dxa"/>
            <w:tcBorders>
              <w:right w:val="single" w:sz="4" w:space="0" w:color="auto"/>
            </w:tcBorders>
            <w:shd w:val="clear" w:color="000000" w:fill="FFFFFF"/>
            <w:vAlign w:val="center"/>
            <w:hideMark/>
          </w:tcPr>
          <w:p w14:paraId="4A39FA1C"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Група № 5</w:t>
            </w:r>
          </w:p>
        </w:tc>
        <w:tc>
          <w:tcPr>
            <w:tcW w:w="1022" w:type="dxa"/>
            <w:shd w:val="clear" w:color="000000" w:fill="FFFFFF"/>
            <w:vAlign w:val="center"/>
            <w:hideMark/>
          </w:tcPr>
          <w:p w14:paraId="2D3CD9D1" w14:textId="50D9D759"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Група № 6</w:t>
            </w:r>
          </w:p>
        </w:tc>
        <w:tc>
          <w:tcPr>
            <w:tcW w:w="1022" w:type="dxa"/>
            <w:shd w:val="clear" w:color="000000" w:fill="FFFFFF"/>
            <w:vAlign w:val="center"/>
            <w:hideMark/>
          </w:tcPr>
          <w:p w14:paraId="127CF202"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Група № 7</w:t>
            </w:r>
          </w:p>
        </w:tc>
        <w:tc>
          <w:tcPr>
            <w:tcW w:w="1326" w:type="dxa"/>
            <w:shd w:val="clear" w:color="000000" w:fill="FFFFFF"/>
            <w:vAlign w:val="center"/>
            <w:hideMark/>
          </w:tcPr>
          <w:p w14:paraId="5E5CEA5A"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Пересічне забезпечення</w:t>
            </w:r>
          </w:p>
        </w:tc>
      </w:tr>
      <w:tr w:rsidR="001C3FA7" w:rsidRPr="005F0419" w14:paraId="0A230BFC" w14:textId="77777777" w:rsidTr="001C3FA7">
        <w:trPr>
          <w:trHeight w:val="227"/>
        </w:trPr>
        <w:tc>
          <w:tcPr>
            <w:tcW w:w="1596" w:type="dxa"/>
            <w:shd w:val="clear" w:color="auto" w:fill="auto"/>
            <w:vAlign w:val="center"/>
            <w:hideMark/>
          </w:tcPr>
          <w:p w14:paraId="2309A77C" w14:textId="1C7900C0" w:rsidR="001C3FA7" w:rsidRPr="005F0419" w:rsidRDefault="001C3FA7" w:rsidP="001C3FA7">
            <w:pPr>
              <w:spacing w:after="0" w:line="240" w:lineRule="auto"/>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 xml:space="preserve">Вижницький </w:t>
            </w:r>
          </w:p>
        </w:tc>
        <w:tc>
          <w:tcPr>
            <w:tcW w:w="857" w:type="dxa"/>
            <w:shd w:val="clear" w:color="auto" w:fill="auto"/>
            <w:vAlign w:val="center"/>
            <w:hideMark/>
          </w:tcPr>
          <w:p w14:paraId="446B0F05"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10</w:t>
            </w:r>
          </w:p>
        </w:tc>
        <w:tc>
          <w:tcPr>
            <w:tcW w:w="877" w:type="dxa"/>
            <w:shd w:val="clear" w:color="auto" w:fill="auto"/>
            <w:vAlign w:val="center"/>
            <w:hideMark/>
          </w:tcPr>
          <w:p w14:paraId="5A2C1DE3"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10</w:t>
            </w:r>
          </w:p>
        </w:tc>
        <w:tc>
          <w:tcPr>
            <w:tcW w:w="876" w:type="dxa"/>
            <w:shd w:val="clear" w:color="auto" w:fill="auto"/>
            <w:vAlign w:val="center"/>
            <w:hideMark/>
          </w:tcPr>
          <w:p w14:paraId="69837CF5"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10</w:t>
            </w:r>
          </w:p>
        </w:tc>
        <w:tc>
          <w:tcPr>
            <w:tcW w:w="877" w:type="dxa"/>
            <w:shd w:val="clear" w:color="auto" w:fill="auto"/>
            <w:vAlign w:val="center"/>
            <w:hideMark/>
          </w:tcPr>
          <w:p w14:paraId="745DA7A1"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6,3</w:t>
            </w:r>
          </w:p>
        </w:tc>
        <w:tc>
          <w:tcPr>
            <w:tcW w:w="842" w:type="dxa"/>
            <w:tcBorders>
              <w:right w:val="single" w:sz="4" w:space="0" w:color="auto"/>
            </w:tcBorders>
            <w:shd w:val="clear" w:color="auto" w:fill="auto"/>
            <w:vAlign w:val="center"/>
            <w:hideMark/>
          </w:tcPr>
          <w:p w14:paraId="47F4C984"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10</w:t>
            </w:r>
          </w:p>
        </w:tc>
        <w:tc>
          <w:tcPr>
            <w:tcW w:w="1022" w:type="dxa"/>
            <w:shd w:val="clear" w:color="auto" w:fill="auto"/>
            <w:vAlign w:val="center"/>
            <w:hideMark/>
          </w:tcPr>
          <w:p w14:paraId="14E3BAE0" w14:textId="131D5BBA"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6,3</w:t>
            </w:r>
          </w:p>
        </w:tc>
        <w:tc>
          <w:tcPr>
            <w:tcW w:w="1022" w:type="dxa"/>
            <w:shd w:val="clear" w:color="auto" w:fill="auto"/>
            <w:vAlign w:val="center"/>
            <w:hideMark/>
          </w:tcPr>
          <w:p w14:paraId="7F84E8C1"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6,3</w:t>
            </w:r>
          </w:p>
        </w:tc>
        <w:tc>
          <w:tcPr>
            <w:tcW w:w="1326" w:type="dxa"/>
            <w:shd w:val="clear" w:color="auto" w:fill="auto"/>
            <w:vAlign w:val="center"/>
            <w:hideMark/>
          </w:tcPr>
          <w:p w14:paraId="28E23BF6"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8,4</w:t>
            </w:r>
          </w:p>
        </w:tc>
      </w:tr>
      <w:tr w:rsidR="001C3FA7" w:rsidRPr="005F0419" w14:paraId="3F0B6891" w14:textId="77777777" w:rsidTr="001C3FA7">
        <w:trPr>
          <w:trHeight w:val="426"/>
        </w:trPr>
        <w:tc>
          <w:tcPr>
            <w:tcW w:w="1596" w:type="dxa"/>
            <w:shd w:val="clear" w:color="auto" w:fill="auto"/>
            <w:vAlign w:val="center"/>
            <w:hideMark/>
          </w:tcPr>
          <w:p w14:paraId="7D8F7E30" w14:textId="77777777" w:rsidR="001C3FA7" w:rsidRPr="005F0419" w:rsidRDefault="001C3FA7" w:rsidP="001C3FA7">
            <w:pPr>
              <w:spacing w:after="0" w:line="240" w:lineRule="auto"/>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Чернівецький (південна передгірська частина)</w:t>
            </w:r>
          </w:p>
        </w:tc>
        <w:tc>
          <w:tcPr>
            <w:tcW w:w="857" w:type="dxa"/>
            <w:shd w:val="clear" w:color="auto" w:fill="auto"/>
            <w:vAlign w:val="center"/>
            <w:hideMark/>
          </w:tcPr>
          <w:p w14:paraId="04E8E7C2"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5</w:t>
            </w:r>
          </w:p>
        </w:tc>
        <w:tc>
          <w:tcPr>
            <w:tcW w:w="877" w:type="dxa"/>
            <w:shd w:val="clear" w:color="auto" w:fill="auto"/>
            <w:vAlign w:val="center"/>
            <w:hideMark/>
          </w:tcPr>
          <w:p w14:paraId="760FBBBD"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5</w:t>
            </w:r>
          </w:p>
        </w:tc>
        <w:tc>
          <w:tcPr>
            <w:tcW w:w="876" w:type="dxa"/>
            <w:shd w:val="clear" w:color="auto" w:fill="auto"/>
            <w:vAlign w:val="center"/>
            <w:hideMark/>
          </w:tcPr>
          <w:p w14:paraId="54A23FB0"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10</w:t>
            </w:r>
          </w:p>
        </w:tc>
        <w:tc>
          <w:tcPr>
            <w:tcW w:w="877" w:type="dxa"/>
            <w:shd w:val="clear" w:color="auto" w:fill="auto"/>
            <w:vAlign w:val="center"/>
            <w:hideMark/>
          </w:tcPr>
          <w:p w14:paraId="6F7230DB"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3,8</w:t>
            </w:r>
          </w:p>
        </w:tc>
        <w:tc>
          <w:tcPr>
            <w:tcW w:w="842" w:type="dxa"/>
            <w:tcBorders>
              <w:right w:val="single" w:sz="4" w:space="0" w:color="auto"/>
            </w:tcBorders>
            <w:shd w:val="clear" w:color="auto" w:fill="auto"/>
            <w:vAlign w:val="center"/>
            <w:hideMark/>
          </w:tcPr>
          <w:p w14:paraId="0AC92D4F"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5</w:t>
            </w:r>
          </w:p>
        </w:tc>
        <w:tc>
          <w:tcPr>
            <w:tcW w:w="1022" w:type="dxa"/>
            <w:shd w:val="clear" w:color="auto" w:fill="auto"/>
            <w:vAlign w:val="center"/>
            <w:hideMark/>
          </w:tcPr>
          <w:p w14:paraId="62DBEAF7" w14:textId="2D49E74C"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3,8</w:t>
            </w:r>
          </w:p>
        </w:tc>
        <w:tc>
          <w:tcPr>
            <w:tcW w:w="1022" w:type="dxa"/>
            <w:shd w:val="clear" w:color="auto" w:fill="auto"/>
            <w:vAlign w:val="center"/>
            <w:hideMark/>
          </w:tcPr>
          <w:p w14:paraId="29D1F992"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3,8</w:t>
            </w:r>
          </w:p>
        </w:tc>
        <w:tc>
          <w:tcPr>
            <w:tcW w:w="1326" w:type="dxa"/>
            <w:shd w:val="clear" w:color="auto" w:fill="auto"/>
            <w:vAlign w:val="center"/>
            <w:hideMark/>
          </w:tcPr>
          <w:p w14:paraId="776028D5"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5,2</w:t>
            </w:r>
          </w:p>
        </w:tc>
      </w:tr>
      <w:tr w:rsidR="001C3FA7" w:rsidRPr="005F0419" w14:paraId="3EA0A687" w14:textId="77777777" w:rsidTr="001C3FA7">
        <w:trPr>
          <w:trHeight w:val="444"/>
        </w:trPr>
        <w:tc>
          <w:tcPr>
            <w:tcW w:w="1596" w:type="dxa"/>
            <w:shd w:val="clear" w:color="auto" w:fill="auto"/>
            <w:vAlign w:val="center"/>
            <w:hideMark/>
          </w:tcPr>
          <w:p w14:paraId="33B75FD0" w14:textId="77777777" w:rsidR="001C3FA7" w:rsidRPr="005F0419" w:rsidRDefault="001C3FA7" w:rsidP="001C3FA7">
            <w:pPr>
              <w:spacing w:after="0" w:line="240" w:lineRule="auto"/>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Пересічно по Карпатах в області</w:t>
            </w:r>
          </w:p>
        </w:tc>
        <w:tc>
          <w:tcPr>
            <w:tcW w:w="857" w:type="dxa"/>
            <w:shd w:val="clear" w:color="auto" w:fill="auto"/>
            <w:noWrap/>
            <w:vAlign w:val="center"/>
            <w:hideMark/>
          </w:tcPr>
          <w:p w14:paraId="1CE37FF0"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7,5</w:t>
            </w:r>
          </w:p>
        </w:tc>
        <w:tc>
          <w:tcPr>
            <w:tcW w:w="877" w:type="dxa"/>
            <w:shd w:val="clear" w:color="auto" w:fill="auto"/>
            <w:noWrap/>
            <w:vAlign w:val="center"/>
            <w:hideMark/>
          </w:tcPr>
          <w:p w14:paraId="5EAFD7B4"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7,5</w:t>
            </w:r>
          </w:p>
        </w:tc>
        <w:tc>
          <w:tcPr>
            <w:tcW w:w="876" w:type="dxa"/>
            <w:shd w:val="clear" w:color="auto" w:fill="auto"/>
            <w:noWrap/>
            <w:vAlign w:val="center"/>
            <w:hideMark/>
          </w:tcPr>
          <w:p w14:paraId="1AF2F31A"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10</w:t>
            </w:r>
          </w:p>
        </w:tc>
        <w:tc>
          <w:tcPr>
            <w:tcW w:w="877" w:type="dxa"/>
            <w:shd w:val="clear" w:color="auto" w:fill="auto"/>
            <w:noWrap/>
            <w:vAlign w:val="center"/>
            <w:hideMark/>
          </w:tcPr>
          <w:p w14:paraId="7564F6B2"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5</w:t>
            </w:r>
          </w:p>
        </w:tc>
        <w:tc>
          <w:tcPr>
            <w:tcW w:w="842" w:type="dxa"/>
            <w:tcBorders>
              <w:right w:val="single" w:sz="4" w:space="0" w:color="auto"/>
            </w:tcBorders>
            <w:shd w:val="clear" w:color="auto" w:fill="auto"/>
            <w:noWrap/>
            <w:vAlign w:val="center"/>
            <w:hideMark/>
          </w:tcPr>
          <w:p w14:paraId="3D590B17"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7,5</w:t>
            </w:r>
          </w:p>
        </w:tc>
        <w:tc>
          <w:tcPr>
            <w:tcW w:w="1022" w:type="dxa"/>
            <w:shd w:val="clear" w:color="auto" w:fill="auto"/>
            <w:noWrap/>
            <w:vAlign w:val="center"/>
            <w:hideMark/>
          </w:tcPr>
          <w:p w14:paraId="1C0B5816" w14:textId="32403B7B"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5</w:t>
            </w:r>
          </w:p>
        </w:tc>
        <w:tc>
          <w:tcPr>
            <w:tcW w:w="1022" w:type="dxa"/>
            <w:shd w:val="clear" w:color="auto" w:fill="auto"/>
            <w:noWrap/>
            <w:vAlign w:val="center"/>
            <w:hideMark/>
          </w:tcPr>
          <w:p w14:paraId="7A3EF897"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5</w:t>
            </w:r>
          </w:p>
        </w:tc>
        <w:tc>
          <w:tcPr>
            <w:tcW w:w="1326" w:type="dxa"/>
            <w:shd w:val="clear" w:color="auto" w:fill="auto"/>
            <w:noWrap/>
            <w:vAlign w:val="center"/>
            <w:hideMark/>
          </w:tcPr>
          <w:p w14:paraId="5CD3A653" w14:textId="77777777" w:rsidR="001C3FA7" w:rsidRPr="005F0419" w:rsidRDefault="001C3FA7" w:rsidP="001C3FA7">
            <w:pPr>
              <w:spacing w:after="0" w:line="240" w:lineRule="auto"/>
              <w:jc w:val="center"/>
              <w:rPr>
                <w:rFonts w:ascii="Times New Roman" w:eastAsia="Times New Roman" w:hAnsi="Times New Roman" w:cs="Times New Roman"/>
                <w:sz w:val="24"/>
                <w:szCs w:val="24"/>
                <w:lang w:val="uk-UA" w:eastAsia="uk-UA"/>
              </w:rPr>
            </w:pPr>
            <w:r w:rsidRPr="005F0419">
              <w:rPr>
                <w:rFonts w:ascii="Times New Roman" w:eastAsia="Times New Roman" w:hAnsi="Times New Roman" w:cs="Times New Roman"/>
                <w:sz w:val="24"/>
                <w:szCs w:val="24"/>
                <w:lang w:val="uk-UA" w:eastAsia="uk-UA"/>
              </w:rPr>
              <w:t>6,8</w:t>
            </w:r>
          </w:p>
        </w:tc>
      </w:tr>
    </w:tbl>
    <w:p w14:paraId="342163DB"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p>
    <w:p w14:paraId="365B9487" w14:textId="77777777" w:rsidR="001C3FA7" w:rsidRPr="005F0419" w:rsidRDefault="001C3FA7" w:rsidP="001C3FA7">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До проблеми інтенсивнішого та ширшого в просторовому плані застосування активних </w:t>
      </w:r>
      <w:proofErr w:type="spellStart"/>
      <w:r w:rsidRPr="005F0419">
        <w:rPr>
          <w:rFonts w:ascii="Times New Roman" w:eastAsia="Calibri" w:hAnsi="Times New Roman" w:cs="Times New Roman"/>
          <w:sz w:val="28"/>
          <w:szCs w:val="28"/>
          <w:lang w:val="uk-UA"/>
        </w:rPr>
        <w:t>методик</w:t>
      </w:r>
      <w:proofErr w:type="spellEnd"/>
      <w:r w:rsidRPr="005F0419">
        <w:rPr>
          <w:rFonts w:ascii="Times New Roman" w:eastAsia="Calibri" w:hAnsi="Times New Roman" w:cs="Times New Roman"/>
          <w:sz w:val="28"/>
          <w:szCs w:val="28"/>
          <w:lang w:val="uk-UA"/>
        </w:rPr>
        <w:t xml:space="preserve"> реабілітації хворих унаслідок війни варто зазначити, що на відміну від багатьох країн Європи та США, в Україні практично обмежена роль регіональних, національних і міжнародних організацій, які б впливали на систему рекреації з подальшою реабілітацією хворих на ПТСР. До прикладу, в Німеччині асоціація </w:t>
      </w:r>
      <w:proofErr w:type="spellStart"/>
      <w:r w:rsidRPr="005F0419">
        <w:rPr>
          <w:rFonts w:ascii="Times New Roman" w:eastAsia="Calibri" w:hAnsi="Times New Roman" w:cs="Times New Roman"/>
          <w:sz w:val="28"/>
          <w:szCs w:val="28"/>
          <w:lang w:val="uk-UA"/>
        </w:rPr>
        <w:t>Emdria</w:t>
      </w:r>
      <w:proofErr w:type="spellEnd"/>
      <w:r w:rsidRPr="005F0419">
        <w:rPr>
          <w:rFonts w:ascii="Times New Roman" w:eastAsia="Calibri" w:hAnsi="Times New Roman" w:cs="Times New Roman"/>
          <w:sz w:val="28"/>
          <w:szCs w:val="28"/>
          <w:lang w:val="uk-UA"/>
        </w:rPr>
        <w:t xml:space="preserve"> займається детальним дослідженням ПТСР,  новими методиками  для усунення симптомів  ПТСР, науковими дослідженнями у даній сфері та поширенням знань про дане захворювання. Зокрема, вплив на  реабілітацію мають низка організацій різних рівнів  управління: регіонального, національного та міжнародного. Світовий рівень  займається глобальними питаннями  розвитку  галузі, яка допомагає боротися з ПТСР, організовує конгреси та саміти; європейський рівень створює програми, конференції, семінари, де обговорюються питання стосовно ПТСР, схеми його </w:t>
      </w:r>
      <w:r w:rsidRPr="005F0419">
        <w:rPr>
          <w:rFonts w:ascii="Times New Roman" w:eastAsia="Calibri" w:hAnsi="Times New Roman" w:cs="Times New Roman"/>
          <w:sz w:val="28"/>
          <w:szCs w:val="28"/>
          <w:lang w:val="uk-UA"/>
        </w:rPr>
        <w:lastRenderedPageBreak/>
        <w:t>усунення та лікування; національний рівень формують асоціація медичних закладів, які займаються просуванням  даної проблематики у науковому плані.</w:t>
      </w:r>
    </w:p>
    <w:p w14:paraId="0000A819" w14:textId="77777777" w:rsidR="0000167A" w:rsidRPr="005F0419" w:rsidRDefault="0000167A" w:rsidP="00662012">
      <w:pPr>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Таким чином, для перспективного запровадження даного типу рекреації та терапії на території України, формування спеціалізованих рекреаційно-оздоровчих кластерів необхідно:</w:t>
      </w:r>
    </w:p>
    <w:p w14:paraId="343D6AE6" w14:textId="44A0200E" w:rsidR="0000167A" w:rsidRPr="005F0419" w:rsidRDefault="0000167A" w:rsidP="00662012">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w:t>
      </w:r>
      <w:r w:rsidR="001C3FA7"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 xml:space="preserve">створити реальний реєстр засобів розміщення, особливо санаторіїв, садиб, пансіонатів (тих, які є і тих, яких би варто було створити). Завдяки цьому інвестори й органи місцевого самоврядування держави чітко уявлятимуть конче необхідні місця ефективного капіталовкладення; </w:t>
      </w:r>
    </w:p>
    <w:p w14:paraId="1E3DEBDA" w14:textId="77777777" w:rsidR="001C3FA7" w:rsidRPr="005F0419" w:rsidRDefault="0000167A"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w:t>
      </w:r>
      <w:r w:rsidR="001C3FA7"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 xml:space="preserve">створити інформаційну базу району, де будуть вказуватись: заклади, де здійснюються фізичні лікування; заклади, де можна пройти курс реабілітації; заклади, де відбувається діагностування ПТСР; місця, де може зупинитись рекреант/постраждалий та отримати певні послуги з переліку активної рекреації та терапії для усунення ПТСР; зазначення транспортної системи та навігації до певного об’єкту; наявність туристичних маршрутів та місць відпочинку для проведення дозвілля рекреантів / постраждалих; </w:t>
      </w:r>
    </w:p>
    <w:p w14:paraId="32E12232" w14:textId="77777777" w:rsidR="001C3FA7" w:rsidRPr="005F0419" w:rsidRDefault="001C3FA7"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 • </w:t>
      </w:r>
      <w:r w:rsidR="0000167A" w:rsidRPr="005F0419">
        <w:rPr>
          <w:rFonts w:ascii="Times New Roman" w:eastAsia="Calibri" w:hAnsi="Times New Roman" w:cs="Times New Roman"/>
          <w:sz w:val="28"/>
          <w:szCs w:val="28"/>
          <w:lang w:val="uk-UA"/>
        </w:rPr>
        <w:t xml:space="preserve">створення «курсів підвищення кваліфікації медпрацівників», де вже існуючий медичний склад зможе здійснити «перекваліфікацію» і пізнати  специфіку лікування ПТСР, а також реабілітації після ПТСР; </w:t>
      </w:r>
    </w:p>
    <w:p w14:paraId="4DEC8659" w14:textId="77777777" w:rsidR="001C3FA7" w:rsidRPr="005F0419" w:rsidRDefault="001C3FA7"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 </w:t>
      </w:r>
      <w:r w:rsidR="0000167A" w:rsidRPr="005F0419">
        <w:rPr>
          <w:rFonts w:ascii="Times New Roman" w:eastAsia="Calibri" w:hAnsi="Times New Roman" w:cs="Times New Roman"/>
          <w:sz w:val="28"/>
          <w:szCs w:val="28"/>
          <w:lang w:val="uk-UA"/>
        </w:rPr>
        <w:t xml:space="preserve">створення спеціальних закладів, де буде здійснюватися підготовка висококваліфікованих кадрів; </w:t>
      </w:r>
    </w:p>
    <w:p w14:paraId="257118A4" w14:textId="77777777" w:rsidR="001C3FA7" w:rsidRPr="005F0419" w:rsidRDefault="001C3FA7"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 </w:t>
      </w:r>
      <w:r w:rsidR="0000167A" w:rsidRPr="005F0419">
        <w:rPr>
          <w:rFonts w:ascii="Times New Roman" w:eastAsia="Calibri" w:hAnsi="Times New Roman" w:cs="Times New Roman"/>
          <w:sz w:val="28"/>
          <w:szCs w:val="28"/>
          <w:lang w:val="uk-UA"/>
        </w:rPr>
        <w:t>підтримання автентичності територій, де буде здійснюватися рекреація та терапія;</w:t>
      </w:r>
    </w:p>
    <w:p w14:paraId="1E47705C" w14:textId="77777777" w:rsidR="001C3FA7" w:rsidRPr="005F0419" w:rsidRDefault="001C3FA7"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 </w:t>
      </w:r>
      <w:r w:rsidR="0000167A" w:rsidRPr="005F0419">
        <w:rPr>
          <w:rFonts w:ascii="Times New Roman" w:eastAsia="Calibri" w:hAnsi="Times New Roman" w:cs="Times New Roman"/>
          <w:sz w:val="28"/>
          <w:szCs w:val="28"/>
          <w:lang w:val="uk-UA"/>
        </w:rPr>
        <w:t>отримання більшого фінансування як з місцевого, так і з державного бюджетів, не виключаючи також міжнародні фонди та гранти;</w:t>
      </w:r>
    </w:p>
    <w:p w14:paraId="03E47EC8" w14:textId="77777777" w:rsidR="001C3FA7" w:rsidRPr="005F0419" w:rsidRDefault="001C3FA7"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 </w:t>
      </w:r>
      <w:r w:rsidR="0000167A" w:rsidRPr="005F0419">
        <w:rPr>
          <w:rFonts w:ascii="Times New Roman" w:eastAsia="Calibri" w:hAnsi="Times New Roman" w:cs="Times New Roman"/>
          <w:sz w:val="28"/>
          <w:szCs w:val="28"/>
          <w:lang w:val="uk-UA"/>
        </w:rPr>
        <w:t>почати наслідувати деякі закордонні системи реабілітації;</w:t>
      </w:r>
    </w:p>
    <w:p w14:paraId="5F4E7BFA" w14:textId="77777777" w:rsidR="001C3FA7" w:rsidRPr="005F0419" w:rsidRDefault="001C3FA7"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 </w:t>
      </w:r>
      <w:r w:rsidR="0000167A" w:rsidRPr="005F0419">
        <w:rPr>
          <w:rFonts w:ascii="Times New Roman" w:eastAsia="Calibri" w:hAnsi="Times New Roman" w:cs="Times New Roman"/>
          <w:sz w:val="28"/>
          <w:szCs w:val="28"/>
          <w:lang w:val="uk-UA"/>
        </w:rPr>
        <w:t>створити  кілька об’єднань по типу  організації «EMDRIA», діяльність яких буде спрямована на зменшення розвитку симптомів ПТСР, розробку наукових досліджень у даній галузі;</w:t>
      </w:r>
      <w:r w:rsidRPr="005F0419">
        <w:rPr>
          <w:rFonts w:ascii="Times New Roman" w:eastAsia="Calibri" w:hAnsi="Times New Roman" w:cs="Times New Roman"/>
          <w:sz w:val="28"/>
          <w:szCs w:val="28"/>
          <w:lang w:val="uk-UA"/>
        </w:rPr>
        <w:t xml:space="preserve"> </w:t>
      </w:r>
    </w:p>
    <w:p w14:paraId="04B739D7" w14:textId="77777777" w:rsidR="001C3FA7" w:rsidRPr="005F0419" w:rsidRDefault="001C3FA7"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lastRenderedPageBreak/>
        <w:t xml:space="preserve">• </w:t>
      </w:r>
      <w:r w:rsidR="0000167A" w:rsidRPr="005F0419">
        <w:rPr>
          <w:rFonts w:ascii="Times New Roman" w:eastAsia="Calibri" w:hAnsi="Times New Roman" w:cs="Times New Roman"/>
          <w:sz w:val="28"/>
          <w:szCs w:val="28"/>
          <w:lang w:val="uk-UA"/>
        </w:rPr>
        <w:t>у зв’язку із відсутністю в Україні низки організацій, які мають вплив на фізичну чи психологічну реабілітацію (як до прикладу в Німеччині), вважаємо за потрібне створити для початку організацію регіонального рівня, а вже з часом і національного;</w:t>
      </w:r>
    </w:p>
    <w:p w14:paraId="33268944" w14:textId="04329F29" w:rsidR="0000167A" w:rsidRPr="005F0419" w:rsidRDefault="001C3FA7"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 </w:t>
      </w:r>
      <w:r w:rsidR="0000167A" w:rsidRPr="005F0419">
        <w:rPr>
          <w:rFonts w:ascii="Times New Roman" w:eastAsia="Calibri" w:hAnsi="Times New Roman" w:cs="Times New Roman"/>
          <w:sz w:val="28"/>
          <w:szCs w:val="28"/>
          <w:lang w:val="uk-UA"/>
        </w:rPr>
        <w:t>для ідеально налагодженого функціонування усіх галузей, які братимуть участь у реабілітації після створення всіх необхідних організацій та асоціацій, вважаємо доцільним створити рекреаційно-оздоровчий кластер, працівники якого будуть активно працювати, вивчаючи форми ПТСР, стан фізичної та психологічної реабілітації з усіма їхніми тенденціями розвитку та проблемами.</w:t>
      </w:r>
    </w:p>
    <w:p w14:paraId="0B13C6F1" w14:textId="77777777" w:rsidR="001C3FA7" w:rsidRPr="005F0419" w:rsidRDefault="0000167A" w:rsidP="00662012">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Отже в регіональному аспекті міжнародний і вітчизняний туризм нині досить видозмінилися, що пов’язано із затяжною кризою в глобальній економіці через пандемію COVID-19. Вона істотно посилилася та додатково трансформувала економічну та суспільну карту частини України у зв’язку із повномасштабним вторгненням Росії та запровадженням в нашій країні воєнного стану. Сьогодні ще жодна країна світу не досягнула абсолютних показників </w:t>
      </w:r>
      <w:proofErr w:type="spellStart"/>
      <w:r w:rsidRPr="005F0419">
        <w:rPr>
          <w:rFonts w:ascii="Times New Roman" w:eastAsia="Calibri" w:hAnsi="Times New Roman" w:cs="Times New Roman"/>
          <w:sz w:val="28"/>
          <w:szCs w:val="28"/>
          <w:lang w:val="uk-UA"/>
        </w:rPr>
        <w:t>доковідного</w:t>
      </w:r>
      <w:proofErr w:type="spellEnd"/>
      <w:r w:rsidRPr="005F0419">
        <w:rPr>
          <w:rFonts w:ascii="Times New Roman" w:eastAsia="Calibri" w:hAnsi="Times New Roman" w:cs="Times New Roman"/>
          <w:sz w:val="28"/>
          <w:szCs w:val="28"/>
          <w:lang w:val="uk-UA"/>
        </w:rPr>
        <w:t xml:space="preserve"> часу в 2019 році. Найближче до повернення собі попередніх позицій до початку 2020 року за кількістю прийнятих міжнародних туристів і отриманих доходів від них перебуває Європа. Цим фактором у період воєнного стану, безумовно, має скористатися Україна, оскільки і туризм, і рекреація є важливим генератором фінансових надходжень до бюджету країни при правильному плануванні та управлінні даним сектором економіки. </w:t>
      </w:r>
    </w:p>
    <w:p w14:paraId="167CFBD6" w14:textId="77777777" w:rsidR="001C3FA7" w:rsidRPr="005F0419" w:rsidRDefault="0000167A"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Для активізації туристично-рекреаційних послуг у такий період, які впливатимуть на поведінку споживачів послуг гостинності, кожна територіальна громада України, що особливо віддалена від лінії фронту з бойовими діями, має:</w:t>
      </w:r>
    </w:p>
    <w:p w14:paraId="60AAF2E1" w14:textId="77777777" w:rsidR="001C3FA7" w:rsidRPr="005F0419" w:rsidRDefault="001C3FA7"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 </w:t>
      </w:r>
      <w:r w:rsidR="0000167A" w:rsidRPr="005F0419">
        <w:rPr>
          <w:rFonts w:ascii="Times New Roman" w:eastAsia="Calibri" w:hAnsi="Times New Roman" w:cs="Times New Roman"/>
          <w:sz w:val="28"/>
          <w:szCs w:val="28"/>
          <w:lang w:val="uk-UA"/>
        </w:rPr>
        <w:t>популяризувати і надалі внутрішній туризм, який показав свою ефективність порівняно із міжнародним, у кризовий період 2020-2021 рр. пандемії COVID-19, враховуючи всі особливості соціальних запитів як у регіональному, поселенському вимірі, так і статево-віковому, статусному та інших аспектах;</w:t>
      </w:r>
    </w:p>
    <w:p w14:paraId="78D6D781" w14:textId="77777777" w:rsidR="001C3FA7" w:rsidRPr="005F0419" w:rsidRDefault="001C3FA7"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lastRenderedPageBreak/>
        <w:t xml:space="preserve">• </w:t>
      </w:r>
      <w:r w:rsidR="0000167A" w:rsidRPr="005F0419">
        <w:rPr>
          <w:rFonts w:ascii="Times New Roman" w:eastAsia="Calibri" w:hAnsi="Times New Roman" w:cs="Times New Roman"/>
          <w:sz w:val="28"/>
          <w:szCs w:val="28"/>
          <w:lang w:val="uk-UA"/>
        </w:rPr>
        <w:t xml:space="preserve">вивчати власний рекреаційно-інфраструктурний потенціал ресурсів і створювати кластери, залучаючи як давно наявні, так і </w:t>
      </w:r>
      <w:proofErr w:type="spellStart"/>
      <w:r w:rsidR="0000167A" w:rsidRPr="005F0419">
        <w:rPr>
          <w:rFonts w:ascii="Times New Roman" w:eastAsia="Calibri" w:hAnsi="Times New Roman" w:cs="Times New Roman"/>
          <w:sz w:val="28"/>
          <w:szCs w:val="28"/>
          <w:lang w:val="uk-UA"/>
        </w:rPr>
        <w:t>релоковані</w:t>
      </w:r>
      <w:proofErr w:type="spellEnd"/>
      <w:r w:rsidR="0000167A" w:rsidRPr="005F0419">
        <w:rPr>
          <w:rFonts w:ascii="Times New Roman" w:eastAsia="Calibri" w:hAnsi="Times New Roman" w:cs="Times New Roman"/>
          <w:sz w:val="28"/>
          <w:szCs w:val="28"/>
          <w:lang w:val="uk-UA"/>
        </w:rPr>
        <w:t xml:space="preserve"> в період війни підприємства громади, які спеціалізуватимуться на лікуванні симптомів ПТСР внутрішньо переміщених осіб, військовослужбовців і їхніх сімей;</w:t>
      </w:r>
    </w:p>
    <w:p w14:paraId="0D1912BD" w14:textId="65165AC9" w:rsidR="0000167A" w:rsidRPr="005F0419" w:rsidRDefault="001C3FA7" w:rsidP="001C3FA7">
      <w:pPr>
        <w:tabs>
          <w:tab w:val="left" w:pos="567"/>
        </w:tabs>
        <w:spacing w:after="0" w:line="360" w:lineRule="auto"/>
        <w:ind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 </w:t>
      </w:r>
      <w:r w:rsidR="0000167A" w:rsidRPr="005F0419">
        <w:rPr>
          <w:rFonts w:ascii="Times New Roman" w:eastAsia="Calibri" w:hAnsi="Times New Roman" w:cs="Times New Roman"/>
          <w:sz w:val="28"/>
          <w:szCs w:val="28"/>
          <w:lang w:val="uk-UA"/>
        </w:rPr>
        <w:t xml:space="preserve">прикордонним та тиловим громадам, враховуючи перспективну систему кластерів розселення людності упродовж і після закінчення війни в країні, залучати інвестиції закордонних інвесторів і туристів з країн Європи, США та інших зацікавлених країн для розбудови соціальної, туристичної і рекреаційно-реабілітаційної інфраструктури за стандартами ЄС із метою якнайшвидшої інтеграції України з його країнами-членами.   </w:t>
      </w:r>
    </w:p>
    <w:p w14:paraId="60C37E24" w14:textId="77777777" w:rsidR="001C3FA7" w:rsidRPr="005F0419" w:rsidRDefault="001C3FA7" w:rsidP="00662012">
      <w:pPr>
        <w:spacing w:after="0" w:line="360" w:lineRule="auto"/>
        <w:ind w:firstLine="720"/>
        <w:contextualSpacing/>
        <w:jc w:val="center"/>
        <w:rPr>
          <w:rFonts w:ascii="Times New Roman" w:eastAsia="Batang" w:hAnsi="Times New Roman" w:cs="Times New Roman"/>
          <w:b/>
          <w:sz w:val="28"/>
          <w:szCs w:val="28"/>
          <w:lang w:val="uk-UA"/>
        </w:rPr>
      </w:pPr>
      <w:bookmarkStart w:id="12" w:name="_Hlk157884733"/>
    </w:p>
    <w:p w14:paraId="15F08FC4" w14:textId="25A5B2A7" w:rsidR="0000167A" w:rsidRPr="005F0419" w:rsidRDefault="0000167A" w:rsidP="00662012">
      <w:pPr>
        <w:spacing w:after="0" w:line="360" w:lineRule="auto"/>
        <w:ind w:firstLine="720"/>
        <w:contextualSpacing/>
        <w:jc w:val="center"/>
        <w:rPr>
          <w:rFonts w:ascii="Times New Roman" w:eastAsia="Batang" w:hAnsi="Times New Roman" w:cs="Times New Roman"/>
          <w:b/>
          <w:sz w:val="28"/>
          <w:szCs w:val="28"/>
          <w:lang w:val="uk-UA"/>
        </w:rPr>
      </w:pPr>
      <w:r w:rsidRPr="005F0419">
        <w:rPr>
          <w:rFonts w:ascii="Times New Roman" w:eastAsia="Batang" w:hAnsi="Times New Roman" w:cs="Times New Roman"/>
          <w:b/>
          <w:sz w:val="28"/>
          <w:szCs w:val="28"/>
          <w:lang w:val="uk-UA"/>
        </w:rPr>
        <w:t>Список використаних джерел</w:t>
      </w:r>
    </w:p>
    <w:p w14:paraId="3BDC7DE7" w14:textId="34ED7F71"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bookmarkStart w:id="13" w:name="_Hlk150023752"/>
      <w:bookmarkEnd w:id="12"/>
      <w:r w:rsidRPr="005F0419">
        <w:rPr>
          <w:rFonts w:ascii="Times New Roman" w:hAnsi="Times New Roman" w:cs="Times New Roman"/>
          <w:sz w:val="28"/>
          <w:szCs w:val="28"/>
          <w:lang w:val="uk-UA"/>
        </w:rPr>
        <w:t xml:space="preserve">1.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 Детермінованість впливу туризму на розвиток і управління готельною інфраструктурою регіону в кризовий період. Вісник Чернівецького торговельно-економічного інституту. Чернівці: ЧТЕІ КНТЕУ, 2021. </w:t>
      </w:r>
      <w:proofErr w:type="spellStart"/>
      <w:r w:rsidR="0000167A" w:rsidRPr="005F0419">
        <w:rPr>
          <w:rFonts w:ascii="Times New Roman" w:hAnsi="Times New Roman" w:cs="Times New Roman"/>
          <w:sz w:val="28"/>
          <w:szCs w:val="28"/>
          <w:lang w:val="uk-UA"/>
        </w:rPr>
        <w:t>Вип</w:t>
      </w:r>
      <w:proofErr w:type="spellEnd"/>
      <w:r w:rsidR="0000167A" w:rsidRPr="005F0419">
        <w:rPr>
          <w:rFonts w:ascii="Times New Roman" w:hAnsi="Times New Roman" w:cs="Times New Roman"/>
          <w:sz w:val="28"/>
          <w:szCs w:val="28"/>
          <w:lang w:val="uk-UA"/>
        </w:rPr>
        <w:t xml:space="preserve">. I (81). Економічні науки. С. 8-25. URL: </w:t>
      </w:r>
      <w:hyperlink r:id="rId195" w:history="1">
        <w:r w:rsidR="0000167A" w:rsidRPr="005F0419">
          <w:rPr>
            <w:rFonts w:ascii="Times New Roman" w:hAnsi="Times New Roman" w:cs="Times New Roman"/>
            <w:sz w:val="28"/>
            <w:szCs w:val="28"/>
            <w:u w:val="single"/>
            <w:lang w:val="uk-UA"/>
          </w:rPr>
          <w:t>http://chtei-knteu.cv.ua/herald/content/download/archive/2021/v1/1.pdf</w:t>
        </w:r>
      </w:hyperlink>
      <w:r w:rsidR="0000167A" w:rsidRPr="005F0419">
        <w:rPr>
          <w:rFonts w:ascii="Times New Roman" w:hAnsi="Times New Roman" w:cs="Times New Roman"/>
          <w:sz w:val="28"/>
          <w:szCs w:val="28"/>
          <w:lang w:val="uk-UA"/>
        </w:rPr>
        <w:t xml:space="preserve"> (дата звернення 04.11.2023).</w:t>
      </w:r>
      <w:r w:rsidRPr="005F0419">
        <w:rPr>
          <w:rFonts w:ascii="Times New Roman" w:hAnsi="Times New Roman" w:cs="Times New Roman"/>
          <w:sz w:val="28"/>
          <w:szCs w:val="28"/>
          <w:lang w:val="uk-UA"/>
        </w:rPr>
        <w:t xml:space="preserve"> </w:t>
      </w:r>
    </w:p>
    <w:p w14:paraId="14D6D346" w14:textId="48FA4C41"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w:t>
      </w:r>
      <w:r w:rsidR="0000167A" w:rsidRPr="005F0419">
        <w:rPr>
          <w:rFonts w:ascii="Times New Roman" w:hAnsi="Times New Roman" w:cs="Times New Roman"/>
          <w:sz w:val="28"/>
          <w:szCs w:val="28"/>
          <w:lang w:val="uk-UA"/>
        </w:rPr>
        <w:t xml:space="preserve">Шаповалова О.М. Інноваційна діяльність, як основа підвищення конкурентоспроможності готельного господарства. Вісник Східноукраїнського національного університету імені Володимира Даля,  2013. № 16. С. 224-228. </w:t>
      </w:r>
      <w:bookmarkStart w:id="14" w:name="_Hlk150025483"/>
      <w:r w:rsidR="0000167A" w:rsidRPr="005F0419">
        <w:rPr>
          <w:rFonts w:ascii="Times New Roman" w:hAnsi="Times New Roman" w:cs="Times New Roman"/>
          <w:sz w:val="28"/>
          <w:szCs w:val="28"/>
          <w:lang w:val="uk-UA"/>
        </w:rPr>
        <w:t xml:space="preserve">URL: </w:t>
      </w:r>
      <w:hyperlink r:id="rId196" w:history="1">
        <w:r w:rsidR="0000167A" w:rsidRPr="005F0419">
          <w:rPr>
            <w:rFonts w:ascii="Times New Roman" w:hAnsi="Times New Roman" w:cs="Times New Roman"/>
            <w:sz w:val="28"/>
            <w:szCs w:val="28"/>
            <w:u w:val="single"/>
            <w:lang w:val="uk-UA"/>
          </w:rPr>
          <w:t>http://nbuv.gov.ua/UJRN/VSUNU_2013_16_44</w:t>
        </w:r>
      </w:hyperlink>
      <w:r w:rsidR="0000167A" w:rsidRPr="005F0419">
        <w:rPr>
          <w:rFonts w:ascii="Times New Roman" w:hAnsi="Times New Roman" w:cs="Times New Roman"/>
          <w:sz w:val="28"/>
          <w:szCs w:val="28"/>
          <w:lang w:val="uk-UA"/>
        </w:rPr>
        <w:t xml:space="preserve"> (дата звернення 04.11.2023)</w:t>
      </w:r>
      <w:bookmarkEnd w:id="14"/>
      <w:r w:rsidRPr="005F0419">
        <w:rPr>
          <w:rFonts w:ascii="Times New Roman" w:hAnsi="Times New Roman" w:cs="Times New Roman"/>
          <w:sz w:val="28"/>
          <w:szCs w:val="28"/>
          <w:lang w:val="uk-UA"/>
        </w:rPr>
        <w:t>.</w:t>
      </w:r>
    </w:p>
    <w:p w14:paraId="1073DB6E" w14:textId="0DEE033E"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w:t>
      </w:r>
      <w:r w:rsidRPr="005F0419">
        <w:rPr>
          <w:rFonts w:ascii="Times New Roman" w:hAnsi="Times New Roman" w:cs="Times New Roman"/>
          <w:sz w:val="28"/>
          <w:szCs w:val="28"/>
          <w:lang w:val="uk-UA"/>
        </w:rPr>
        <w:t>.</w:t>
      </w:r>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Крецький</w:t>
      </w:r>
      <w:proofErr w:type="spellEnd"/>
      <w:r w:rsidR="0000167A" w:rsidRPr="005F0419">
        <w:rPr>
          <w:rFonts w:ascii="Times New Roman" w:hAnsi="Times New Roman" w:cs="Times New Roman"/>
          <w:sz w:val="28"/>
          <w:szCs w:val="28"/>
          <w:lang w:val="uk-UA"/>
        </w:rPr>
        <w:t xml:space="preserve"> О. Зовнішні конкурентні переваги готельної інфраструктури туристичного курорту </w:t>
      </w:r>
      <w:proofErr w:type="spellStart"/>
      <w:r w:rsidR="0000167A" w:rsidRPr="005F0419">
        <w:rPr>
          <w:rFonts w:ascii="Times New Roman" w:hAnsi="Times New Roman" w:cs="Times New Roman"/>
          <w:sz w:val="28"/>
          <w:szCs w:val="28"/>
          <w:lang w:val="uk-UA"/>
        </w:rPr>
        <w:t>Мигове</w:t>
      </w:r>
      <w:proofErr w:type="spellEnd"/>
      <w:r w:rsidR="0000167A" w:rsidRPr="005F0419">
        <w:rPr>
          <w:rFonts w:ascii="Times New Roman" w:hAnsi="Times New Roman" w:cs="Times New Roman"/>
          <w:sz w:val="28"/>
          <w:szCs w:val="28"/>
          <w:lang w:val="uk-UA"/>
        </w:rPr>
        <w:t xml:space="preserve"> в кризових умовах</w:t>
      </w:r>
      <w:r w:rsidRPr="005F0419">
        <w:rPr>
          <w:rFonts w:ascii="Times New Roman" w:hAnsi="Times New Roman" w:cs="Times New Roman"/>
          <w:sz w:val="28"/>
          <w:szCs w:val="28"/>
          <w:lang w:val="uk-UA"/>
        </w:rPr>
        <w:t>.</w:t>
      </w:r>
      <w:r w:rsidR="0000167A" w:rsidRPr="005F0419">
        <w:rPr>
          <w:rFonts w:ascii="Times New Roman" w:hAnsi="Times New Roman" w:cs="Times New Roman"/>
          <w:sz w:val="28"/>
          <w:szCs w:val="28"/>
          <w:lang w:val="uk-UA"/>
        </w:rPr>
        <w:t xml:space="preserve"> Перспективи ефективних управлінських рішень у бізнесі та </w:t>
      </w:r>
      <w:proofErr w:type="spellStart"/>
      <w:r w:rsidR="0000167A" w:rsidRPr="005F0419">
        <w:rPr>
          <w:rFonts w:ascii="Times New Roman" w:hAnsi="Times New Roman" w:cs="Times New Roman"/>
          <w:sz w:val="28"/>
          <w:szCs w:val="28"/>
          <w:lang w:val="uk-UA"/>
        </w:rPr>
        <w:t>проєктах</w:t>
      </w:r>
      <w:proofErr w:type="spellEnd"/>
      <w:r w:rsidR="0000167A" w:rsidRPr="005F0419">
        <w:rPr>
          <w:rFonts w:ascii="Times New Roman" w:hAnsi="Times New Roman" w:cs="Times New Roman"/>
          <w:sz w:val="28"/>
          <w:szCs w:val="28"/>
          <w:lang w:val="uk-UA"/>
        </w:rPr>
        <w:t>: матеріали VIII Міжнародної науково-практичної конференції (17 листопада 2023 р., м. Одеса). Одеса: МГУ, 2023. С. 226-230</w:t>
      </w:r>
      <w:r w:rsidRPr="005F0419">
        <w:rPr>
          <w:rFonts w:ascii="Times New Roman" w:hAnsi="Times New Roman" w:cs="Times New Roman"/>
          <w:sz w:val="28"/>
          <w:szCs w:val="28"/>
          <w:lang w:val="uk-UA"/>
        </w:rPr>
        <w:t>.</w:t>
      </w:r>
    </w:p>
    <w:p w14:paraId="47B5CAE0" w14:textId="0A03A5BF"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 </w:t>
      </w:r>
      <w:proofErr w:type="spellStart"/>
      <w:r w:rsidR="0000167A" w:rsidRPr="005F0419">
        <w:rPr>
          <w:rFonts w:ascii="Times New Roman" w:hAnsi="Times New Roman" w:cs="Times New Roman"/>
          <w:sz w:val="28"/>
          <w:szCs w:val="28"/>
          <w:lang w:val="uk-UA"/>
        </w:rPr>
        <w:t>Галасюк</w:t>
      </w:r>
      <w:proofErr w:type="spellEnd"/>
      <w:r w:rsidR="0000167A" w:rsidRPr="005F0419">
        <w:rPr>
          <w:rFonts w:ascii="Times New Roman" w:hAnsi="Times New Roman" w:cs="Times New Roman"/>
          <w:sz w:val="28"/>
          <w:szCs w:val="28"/>
          <w:lang w:val="uk-UA"/>
        </w:rPr>
        <w:t xml:space="preserve"> С. С. Оцінка конкурентоспроможності підприємств готельного господарства Одеської області. Економіка. Управління. Інновації. Серія : </w:t>
      </w:r>
      <w:r w:rsidR="0000167A" w:rsidRPr="005F0419">
        <w:rPr>
          <w:rFonts w:ascii="Times New Roman" w:hAnsi="Times New Roman" w:cs="Times New Roman"/>
          <w:sz w:val="28"/>
          <w:szCs w:val="28"/>
          <w:lang w:val="uk-UA"/>
        </w:rPr>
        <w:lastRenderedPageBreak/>
        <w:t xml:space="preserve">Економічні науки, 2014. № 2. URL: </w:t>
      </w:r>
      <w:hyperlink r:id="rId197" w:history="1">
        <w:r w:rsidR="0000167A" w:rsidRPr="005F0419">
          <w:rPr>
            <w:rFonts w:ascii="Times New Roman" w:hAnsi="Times New Roman" w:cs="Times New Roman"/>
            <w:sz w:val="28"/>
            <w:szCs w:val="28"/>
            <w:u w:val="single"/>
            <w:lang w:val="uk-UA"/>
          </w:rPr>
          <w:t>http://nbuv.gov.ua/UJRN/eui_2014_2_17</w:t>
        </w:r>
      </w:hyperlink>
      <w:r w:rsidR="0000167A" w:rsidRPr="005F0419">
        <w:rPr>
          <w:rFonts w:ascii="Times New Roman" w:hAnsi="Times New Roman" w:cs="Times New Roman"/>
          <w:sz w:val="28"/>
          <w:szCs w:val="28"/>
          <w:lang w:val="uk-UA"/>
        </w:rPr>
        <w:t xml:space="preserve"> (дата звернення 04.11.2023)</w:t>
      </w:r>
      <w:r w:rsidRPr="005F0419">
        <w:rPr>
          <w:rFonts w:ascii="Times New Roman" w:hAnsi="Times New Roman" w:cs="Times New Roman"/>
          <w:sz w:val="28"/>
          <w:szCs w:val="28"/>
          <w:lang w:val="uk-UA"/>
        </w:rPr>
        <w:t>.</w:t>
      </w:r>
    </w:p>
    <w:p w14:paraId="2434CAE5" w14:textId="7039AF69"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 </w:t>
      </w:r>
      <w:r w:rsidR="0000167A" w:rsidRPr="005F0419">
        <w:rPr>
          <w:rFonts w:ascii="Times New Roman" w:hAnsi="Times New Roman" w:cs="Times New Roman"/>
          <w:sz w:val="28"/>
          <w:szCs w:val="28"/>
          <w:lang w:val="uk-UA"/>
        </w:rPr>
        <w:t xml:space="preserve">Музиченко К. Особливості зарубіжних систем управління якістю послуг готельного бізнесу і створення системи конкурентних позицій туристичного сектору України. Економічний аналіз, 2013.  Т. 12(1). С. 226-230. URL: </w:t>
      </w:r>
      <w:hyperlink r:id="rId198" w:history="1">
        <w:r w:rsidRPr="005F0419">
          <w:rPr>
            <w:rStyle w:val="a6"/>
            <w:rFonts w:ascii="Times New Roman" w:hAnsi="Times New Roman" w:cs="Times New Roman"/>
            <w:color w:val="auto"/>
            <w:sz w:val="28"/>
            <w:szCs w:val="28"/>
            <w:lang w:val="uk-UA"/>
          </w:rPr>
          <w:t>http://nbuv.gov.ua/UJRN/ecan_2013_12(1)__47</w:t>
        </w:r>
      </w:hyperlink>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(дата звернення 04.11.2023)</w:t>
      </w:r>
      <w:r w:rsidRPr="005F0419">
        <w:rPr>
          <w:rFonts w:ascii="Times New Roman" w:hAnsi="Times New Roman" w:cs="Times New Roman"/>
          <w:sz w:val="28"/>
          <w:szCs w:val="28"/>
          <w:lang w:val="uk-UA"/>
        </w:rPr>
        <w:t>.</w:t>
      </w:r>
    </w:p>
    <w:p w14:paraId="18586CAA" w14:textId="6C70E0EC"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 </w:t>
      </w:r>
      <w:r w:rsidR="0000167A" w:rsidRPr="005F0419">
        <w:rPr>
          <w:rFonts w:ascii="Times New Roman" w:hAnsi="Times New Roman" w:cs="Times New Roman"/>
          <w:sz w:val="28"/>
          <w:szCs w:val="28"/>
          <w:lang w:val="uk-UA"/>
        </w:rPr>
        <w:t>Шаповалова О.</w:t>
      </w: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 xml:space="preserve">М. Інноваційна діяльність, як основа підвищення конкурентоспроможності готельного господарства. Вісник Східноукраїнського національного університету імені Володимира Даля, 2013. № 16. С. 224-228. URL: </w:t>
      </w:r>
      <w:hyperlink r:id="rId199" w:history="1">
        <w:r w:rsidRPr="005F0419">
          <w:rPr>
            <w:rStyle w:val="a6"/>
            <w:rFonts w:ascii="Times New Roman" w:hAnsi="Times New Roman" w:cs="Times New Roman"/>
            <w:color w:val="auto"/>
            <w:sz w:val="28"/>
            <w:szCs w:val="28"/>
            <w:lang w:val="uk-UA"/>
          </w:rPr>
          <w:t>http://nbuv.gov.ua/UJRN/VSUNU_2013_16_44</w:t>
        </w:r>
      </w:hyperlink>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(дата звернення 04.11.2023)</w:t>
      </w:r>
      <w:r w:rsidRPr="005F0419">
        <w:rPr>
          <w:rFonts w:ascii="Times New Roman" w:hAnsi="Times New Roman" w:cs="Times New Roman"/>
          <w:sz w:val="28"/>
          <w:szCs w:val="28"/>
          <w:lang w:val="uk-UA"/>
        </w:rPr>
        <w:t>.</w:t>
      </w:r>
    </w:p>
    <w:p w14:paraId="134D7573" w14:textId="6BAC5411"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7. </w:t>
      </w:r>
      <w:proofErr w:type="spellStart"/>
      <w:r w:rsidR="0000167A" w:rsidRPr="005F0419">
        <w:rPr>
          <w:rFonts w:ascii="Times New Roman" w:hAnsi="Times New Roman" w:cs="Times New Roman"/>
          <w:sz w:val="28"/>
          <w:szCs w:val="28"/>
          <w:lang w:val="uk-UA"/>
        </w:rPr>
        <w:t>Cкорина</w:t>
      </w:r>
      <w:proofErr w:type="spellEnd"/>
      <w:r w:rsidR="0000167A" w:rsidRPr="005F0419">
        <w:rPr>
          <w:rFonts w:ascii="Times New Roman" w:hAnsi="Times New Roman" w:cs="Times New Roman"/>
          <w:sz w:val="28"/>
          <w:szCs w:val="28"/>
          <w:lang w:val="uk-UA"/>
        </w:rPr>
        <w:t xml:space="preserve"> Т. М. Оцінка міжнародної конкурентоспроможності вітчизняних готельних підприємств. Вісник Національного університету водного господарства та природокористування. Економічні науки, 2016. </w:t>
      </w:r>
      <w:proofErr w:type="spellStart"/>
      <w:r w:rsidR="0000167A" w:rsidRPr="005F0419">
        <w:rPr>
          <w:rFonts w:ascii="Times New Roman" w:hAnsi="Times New Roman" w:cs="Times New Roman"/>
          <w:sz w:val="28"/>
          <w:szCs w:val="28"/>
          <w:lang w:val="uk-UA"/>
        </w:rPr>
        <w:t>Вип</w:t>
      </w:r>
      <w:proofErr w:type="spellEnd"/>
      <w:r w:rsidR="0000167A" w:rsidRPr="005F0419">
        <w:rPr>
          <w:rFonts w:ascii="Times New Roman" w:hAnsi="Times New Roman" w:cs="Times New Roman"/>
          <w:sz w:val="28"/>
          <w:szCs w:val="28"/>
          <w:lang w:val="uk-UA"/>
        </w:rPr>
        <w:t xml:space="preserve">. 1. </w:t>
      </w:r>
      <w:bookmarkStart w:id="15" w:name="_Hlk150029258"/>
      <w:r w:rsidR="0000167A" w:rsidRPr="005F0419">
        <w:rPr>
          <w:rFonts w:ascii="Times New Roman" w:hAnsi="Times New Roman" w:cs="Times New Roman"/>
          <w:sz w:val="28"/>
          <w:szCs w:val="28"/>
          <w:lang w:val="uk-UA"/>
        </w:rPr>
        <w:t>С. 143-150</w:t>
      </w:r>
      <w:bookmarkEnd w:id="15"/>
      <w:r w:rsidR="0000167A" w:rsidRPr="005F0419">
        <w:rPr>
          <w:rFonts w:ascii="Times New Roman" w:hAnsi="Times New Roman" w:cs="Times New Roman"/>
          <w:sz w:val="28"/>
          <w:szCs w:val="28"/>
          <w:lang w:val="uk-UA"/>
        </w:rPr>
        <w:t xml:space="preserve">. URL: </w:t>
      </w:r>
      <w:hyperlink r:id="rId200" w:history="1">
        <w:r w:rsidRPr="005F0419">
          <w:rPr>
            <w:rStyle w:val="a6"/>
            <w:rFonts w:ascii="Times New Roman" w:hAnsi="Times New Roman" w:cs="Times New Roman"/>
            <w:color w:val="auto"/>
            <w:sz w:val="28"/>
            <w:szCs w:val="28"/>
            <w:lang w:val="uk-UA"/>
          </w:rPr>
          <w:t>http://nbuv.gov.ua/UJRN/Vnuvgp_ekon_2016_1_19</w:t>
        </w:r>
      </w:hyperlink>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(дата звернення 04.11.2023)</w:t>
      </w:r>
      <w:r w:rsidRPr="005F0419">
        <w:rPr>
          <w:rFonts w:ascii="Times New Roman" w:hAnsi="Times New Roman" w:cs="Times New Roman"/>
          <w:sz w:val="28"/>
          <w:szCs w:val="28"/>
          <w:lang w:val="uk-UA"/>
        </w:rPr>
        <w:t>.</w:t>
      </w:r>
    </w:p>
    <w:p w14:paraId="1D9F7F64" w14:textId="4CD322D3"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8. </w:t>
      </w:r>
      <w:r w:rsidR="0000167A" w:rsidRPr="005F0419">
        <w:rPr>
          <w:rFonts w:ascii="Times New Roman" w:hAnsi="Times New Roman" w:cs="Times New Roman"/>
          <w:sz w:val="28"/>
          <w:szCs w:val="28"/>
          <w:lang w:val="uk-UA"/>
        </w:rPr>
        <w:t xml:space="preserve">Виноградова О. В., Куценко О. В. Чинники формування конкурентних переваг підприємств готельного бізнесу. Економічна стратегія і перспективи розвитку сфери торгівлі та послуг, 2012. </w:t>
      </w:r>
      <w:proofErr w:type="spellStart"/>
      <w:r w:rsidR="0000167A" w:rsidRPr="005F0419">
        <w:rPr>
          <w:rFonts w:ascii="Times New Roman" w:hAnsi="Times New Roman" w:cs="Times New Roman"/>
          <w:sz w:val="28"/>
          <w:szCs w:val="28"/>
          <w:lang w:val="uk-UA"/>
        </w:rPr>
        <w:t>Вип</w:t>
      </w:r>
      <w:proofErr w:type="spellEnd"/>
      <w:r w:rsidR="0000167A" w:rsidRPr="005F0419">
        <w:rPr>
          <w:rFonts w:ascii="Times New Roman" w:hAnsi="Times New Roman" w:cs="Times New Roman"/>
          <w:sz w:val="28"/>
          <w:szCs w:val="28"/>
          <w:lang w:val="uk-UA"/>
        </w:rPr>
        <w:t xml:space="preserve">. 1(2). С. 227-233. URL: </w:t>
      </w:r>
      <w:hyperlink r:id="rId201" w:history="1">
        <w:r w:rsidRPr="005F0419">
          <w:rPr>
            <w:rStyle w:val="a6"/>
            <w:rFonts w:ascii="Times New Roman" w:hAnsi="Times New Roman" w:cs="Times New Roman"/>
            <w:color w:val="auto"/>
            <w:sz w:val="28"/>
            <w:szCs w:val="28"/>
            <w:lang w:val="uk-UA"/>
          </w:rPr>
          <w:t>http://nbuv.gov.ua/UJRN/esprstp_2012_1%282%29__34</w:t>
        </w:r>
      </w:hyperlink>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(дата</w:t>
      </w: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звернення</w:t>
      </w: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04.11.2023)</w:t>
      </w:r>
      <w:r w:rsidRPr="005F0419">
        <w:rPr>
          <w:rFonts w:ascii="Times New Roman" w:hAnsi="Times New Roman" w:cs="Times New Roman"/>
          <w:sz w:val="28"/>
          <w:szCs w:val="28"/>
          <w:lang w:val="uk-UA"/>
        </w:rPr>
        <w:t>.</w:t>
      </w:r>
    </w:p>
    <w:p w14:paraId="0AE6E52A" w14:textId="708D7B1A"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9. </w:t>
      </w:r>
      <w:r w:rsidR="0000167A" w:rsidRPr="005F0419">
        <w:rPr>
          <w:rFonts w:ascii="Times New Roman" w:hAnsi="Times New Roman" w:cs="Times New Roman"/>
          <w:sz w:val="28"/>
          <w:szCs w:val="28"/>
          <w:lang w:val="uk-UA"/>
        </w:rPr>
        <w:t xml:space="preserve">Полтавська О. В. Аналіз чинників конкурентоздатності у процесі стратегічного розвитку підприємств готельного бізнесу. Інвестиції: практика та досвід, 2016. № 21. С. 53-57. URL: </w:t>
      </w:r>
      <w:hyperlink r:id="rId202" w:history="1">
        <w:r w:rsidR="0000167A" w:rsidRPr="005F0419">
          <w:rPr>
            <w:rFonts w:ascii="Times New Roman" w:hAnsi="Times New Roman" w:cs="Times New Roman"/>
            <w:sz w:val="28"/>
            <w:szCs w:val="28"/>
            <w:u w:val="single"/>
            <w:lang w:val="uk-UA"/>
          </w:rPr>
          <w:t>http://nbuv.gov.ua/UJRN/ipd_2016_21_11</w:t>
        </w:r>
      </w:hyperlink>
      <w:r w:rsidR="0000167A" w:rsidRPr="005F0419">
        <w:rPr>
          <w:rFonts w:ascii="Times New Roman" w:hAnsi="Times New Roman" w:cs="Times New Roman"/>
          <w:sz w:val="28"/>
          <w:szCs w:val="28"/>
          <w:lang w:val="uk-UA"/>
        </w:rPr>
        <w:t xml:space="preserve"> (дата звернення 04.11.2023)</w:t>
      </w:r>
      <w:r w:rsidRPr="005F0419">
        <w:rPr>
          <w:rFonts w:ascii="Times New Roman" w:hAnsi="Times New Roman" w:cs="Times New Roman"/>
          <w:sz w:val="28"/>
          <w:szCs w:val="28"/>
          <w:lang w:val="uk-UA"/>
        </w:rPr>
        <w:t>.</w:t>
      </w:r>
      <w:r w:rsidR="0000167A" w:rsidRPr="005F0419">
        <w:rPr>
          <w:rFonts w:ascii="Times New Roman" w:hAnsi="Times New Roman" w:cs="Times New Roman"/>
          <w:sz w:val="28"/>
          <w:szCs w:val="28"/>
          <w:lang w:val="uk-UA"/>
        </w:rPr>
        <w:t xml:space="preserve"> </w:t>
      </w:r>
    </w:p>
    <w:p w14:paraId="56F23AD2" w14:textId="4F9847B8"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10. </w:t>
      </w:r>
      <w:proofErr w:type="spellStart"/>
      <w:r w:rsidR="0000167A" w:rsidRPr="005F0419">
        <w:rPr>
          <w:rFonts w:ascii="Times New Roman" w:hAnsi="Times New Roman" w:cs="Times New Roman"/>
          <w:sz w:val="28"/>
          <w:szCs w:val="28"/>
          <w:lang w:val="uk-UA"/>
        </w:rPr>
        <w:t>Колодійчук</w:t>
      </w:r>
      <w:proofErr w:type="spellEnd"/>
      <w:r w:rsidR="0000167A" w:rsidRPr="005F0419">
        <w:rPr>
          <w:rFonts w:ascii="Times New Roman" w:hAnsi="Times New Roman" w:cs="Times New Roman"/>
          <w:sz w:val="28"/>
          <w:szCs w:val="28"/>
          <w:lang w:val="uk-UA"/>
        </w:rPr>
        <w:t xml:space="preserve"> А. В. Фактори впливу на конкурентоспроможність підприємств готельного бізнесу. Формування ринкових відносин в Україні, 2016. № 5. С. 63-65. URL: </w:t>
      </w:r>
      <w:hyperlink r:id="rId203" w:history="1">
        <w:r w:rsidRPr="005F0419">
          <w:rPr>
            <w:rStyle w:val="a6"/>
            <w:rFonts w:ascii="Times New Roman" w:hAnsi="Times New Roman" w:cs="Times New Roman"/>
            <w:color w:val="auto"/>
            <w:sz w:val="28"/>
            <w:szCs w:val="28"/>
            <w:lang w:val="uk-UA"/>
          </w:rPr>
          <w:t>http://nbuv.gov.ua/UJRN/frvu_2016_5_19</w:t>
        </w:r>
      </w:hyperlink>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(дата звернення 04.11.2023)</w:t>
      </w:r>
      <w:r w:rsidRPr="005F0419">
        <w:rPr>
          <w:rFonts w:ascii="Times New Roman" w:hAnsi="Times New Roman" w:cs="Times New Roman"/>
          <w:sz w:val="28"/>
          <w:szCs w:val="28"/>
          <w:lang w:val="uk-UA"/>
        </w:rPr>
        <w:t>.</w:t>
      </w:r>
    </w:p>
    <w:p w14:paraId="25C77DD5" w14:textId="10A33226"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11. </w:t>
      </w:r>
      <w:r w:rsidR="0000167A" w:rsidRPr="005F0419">
        <w:rPr>
          <w:rFonts w:ascii="Times New Roman" w:hAnsi="Times New Roman" w:cs="Times New Roman"/>
          <w:sz w:val="28"/>
          <w:szCs w:val="28"/>
          <w:lang w:val="uk-UA"/>
        </w:rPr>
        <w:t xml:space="preserve">Хитрова О. </w:t>
      </w:r>
      <w:proofErr w:type="spellStart"/>
      <w:r w:rsidR="0000167A" w:rsidRPr="005F0419">
        <w:rPr>
          <w:rFonts w:ascii="Times New Roman" w:hAnsi="Times New Roman" w:cs="Times New Roman"/>
          <w:sz w:val="28"/>
          <w:szCs w:val="28"/>
          <w:lang w:val="uk-UA"/>
        </w:rPr>
        <w:t>Готельно</w:t>
      </w:r>
      <w:proofErr w:type="spellEnd"/>
      <w:r w:rsidR="0000167A" w:rsidRPr="005F0419">
        <w:rPr>
          <w:rFonts w:ascii="Times New Roman" w:hAnsi="Times New Roman" w:cs="Times New Roman"/>
          <w:sz w:val="28"/>
          <w:szCs w:val="28"/>
          <w:lang w:val="uk-UA"/>
        </w:rPr>
        <w:t xml:space="preserve">-ресторанний бізнес у воєнний час: виклики та напрями відновлення. Вісник Чернівецького торговельно-економічного </w:t>
      </w:r>
      <w:r w:rsidR="0000167A" w:rsidRPr="005F0419">
        <w:rPr>
          <w:rFonts w:ascii="Times New Roman" w:hAnsi="Times New Roman" w:cs="Times New Roman"/>
          <w:sz w:val="28"/>
          <w:szCs w:val="28"/>
          <w:lang w:val="uk-UA"/>
        </w:rPr>
        <w:lastRenderedPageBreak/>
        <w:t xml:space="preserve">інституту. Чернівці: ЧТЕІ ДТЕУ, 2022. </w:t>
      </w:r>
      <w:proofErr w:type="spellStart"/>
      <w:r w:rsidR="0000167A" w:rsidRPr="005F0419">
        <w:rPr>
          <w:rFonts w:ascii="Times New Roman" w:hAnsi="Times New Roman" w:cs="Times New Roman"/>
          <w:sz w:val="28"/>
          <w:szCs w:val="28"/>
          <w:lang w:val="uk-UA"/>
        </w:rPr>
        <w:t>Вип</w:t>
      </w:r>
      <w:proofErr w:type="spellEnd"/>
      <w:r w:rsidR="0000167A" w:rsidRPr="005F0419">
        <w:rPr>
          <w:rFonts w:ascii="Times New Roman" w:hAnsi="Times New Roman" w:cs="Times New Roman"/>
          <w:sz w:val="28"/>
          <w:szCs w:val="28"/>
          <w:lang w:val="uk-UA"/>
        </w:rPr>
        <w:t xml:space="preserve">. IІІ (87). Економічні науки. С. 70-84. URL: </w:t>
      </w:r>
      <w:hyperlink r:id="rId204" w:history="1">
        <w:r w:rsidR="0000167A" w:rsidRPr="005F0419">
          <w:rPr>
            <w:rFonts w:ascii="Times New Roman" w:hAnsi="Times New Roman" w:cs="Times New Roman"/>
            <w:sz w:val="28"/>
            <w:szCs w:val="28"/>
            <w:u w:val="single"/>
            <w:lang w:val="uk-UA"/>
          </w:rPr>
          <w:t>http://nbuv.gov.ua/UJRN/VSUNU_2013_16_44</w:t>
        </w:r>
      </w:hyperlink>
      <w:r w:rsidR="0000167A" w:rsidRPr="005F0419">
        <w:rPr>
          <w:rFonts w:ascii="Times New Roman" w:hAnsi="Times New Roman" w:cs="Times New Roman"/>
          <w:sz w:val="28"/>
          <w:szCs w:val="28"/>
          <w:lang w:val="uk-UA"/>
        </w:rPr>
        <w:t xml:space="preserve"> (дата звернення 04.11.2023). </w:t>
      </w:r>
    </w:p>
    <w:p w14:paraId="71330B4C" w14:textId="496E4F6D"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12. </w:t>
      </w:r>
      <w:proofErr w:type="spellStart"/>
      <w:r w:rsidR="0000167A" w:rsidRPr="005F0419">
        <w:rPr>
          <w:rFonts w:ascii="Times New Roman" w:hAnsi="Times New Roman" w:cs="Times New Roman"/>
          <w:sz w:val="28"/>
          <w:szCs w:val="28"/>
          <w:lang w:val="uk-UA"/>
        </w:rPr>
        <w:t>Krool</w:t>
      </w:r>
      <w:proofErr w:type="spellEnd"/>
      <w:r w:rsidR="0000167A" w:rsidRPr="005F0419">
        <w:rPr>
          <w:rFonts w:ascii="Times New Roman" w:hAnsi="Times New Roman" w:cs="Times New Roman"/>
          <w:sz w:val="28"/>
          <w:szCs w:val="28"/>
          <w:lang w:val="uk-UA"/>
        </w:rPr>
        <w:t xml:space="preserve">, V., </w:t>
      </w:r>
      <w:proofErr w:type="spellStart"/>
      <w:r w:rsidR="0000167A" w:rsidRPr="005F0419">
        <w:rPr>
          <w:rFonts w:ascii="Times New Roman" w:hAnsi="Times New Roman" w:cs="Times New Roman"/>
          <w:sz w:val="28"/>
          <w:szCs w:val="28"/>
          <w:lang w:val="uk-UA"/>
        </w:rPr>
        <w:t>Vdovichen</w:t>
      </w:r>
      <w:proofErr w:type="spellEnd"/>
      <w:r w:rsidR="0000167A" w:rsidRPr="005F0419">
        <w:rPr>
          <w:rFonts w:ascii="Times New Roman" w:hAnsi="Times New Roman" w:cs="Times New Roman"/>
          <w:sz w:val="28"/>
          <w:szCs w:val="28"/>
          <w:lang w:val="uk-UA"/>
        </w:rPr>
        <w:t xml:space="preserve">, A., &amp; </w:t>
      </w:r>
      <w:proofErr w:type="spellStart"/>
      <w:r w:rsidR="0000167A" w:rsidRPr="005F0419">
        <w:rPr>
          <w:rFonts w:ascii="Times New Roman" w:hAnsi="Times New Roman" w:cs="Times New Roman"/>
          <w:sz w:val="28"/>
          <w:szCs w:val="28"/>
          <w:lang w:val="uk-UA"/>
        </w:rPr>
        <w:t>Hyshchuk</w:t>
      </w:r>
      <w:proofErr w:type="spellEnd"/>
      <w:r w:rsidR="0000167A" w:rsidRPr="005F0419">
        <w:rPr>
          <w:rFonts w:ascii="Times New Roman" w:hAnsi="Times New Roman" w:cs="Times New Roman"/>
          <w:sz w:val="28"/>
          <w:szCs w:val="28"/>
          <w:lang w:val="uk-UA"/>
        </w:rPr>
        <w:t xml:space="preserve">, R. (2018). </w:t>
      </w:r>
      <w:proofErr w:type="spellStart"/>
      <w:r w:rsidR="0000167A" w:rsidRPr="005F0419">
        <w:rPr>
          <w:rFonts w:ascii="Times New Roman" w:hAnsi="Times New Roman" w:cs="Times New Roman"/>
          <w:sz w:val="28"/>
          <w:szCs w:val="28"/>
          <w:lang w:val="uk-UA"/>
        </w:rPr>
        <w:t>Historical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Cultural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Heritage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Region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its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Opportunities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Tourism</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Excursion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Activities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Case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Chernivtsi</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Region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Ukraine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GeoJournal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Tourism</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Geosites</w:t>
      </w:r>
      <w:proofErr w:type="spellEnd"/>
      <w:r w:rsidR="0000167A" w:rsidRPr="005F0419">
        <w:rPr>
          <w:rFonts w:ascii="Times New Roman" w:hAnsi="Times New Roman" w:cs="Times New Roman"/>
          <w:sz w:val="28"/>
          <w:szCs w:val="28"/>
          <w:lang w:val="uk-UA"/>
        </w:rPr>
        <w:t xml:space="preserve">, 23(3), 808–823. </w:t>
      </w:r>
      <w:r w:rsidRPr="005F0419">
        <w:rPr>
          <w:rFonts w:ascii="Times New Roman" w:hAnsi="Times New Roman" w:cs="Times New Roman"/>
          <w:sz w:val="28"/>
          <w:szCs w:val="28"/>
          <w:lang w:val="uk-UA"/>
        </w:rPr>
        <w:t>DOI:</w:t>
      </w:r>
      <w:r w:rsidR="0000167A" w:rsidRPr="005F0419">
        <w:rPr>
          <w:rFonts w:ascii="Times New Roman" w:hAnsi="Times New Roman" w:cs="Times New Roman"/>
          <w:sz w:val="28"/>
          <w:szCs w:val="28"/>
          <w:lang w:val="uk-UA"/>
        </w:rPr>
        <w:t xml:space="preserve"> </w:t>
      </w:r>
      <w:hyperlink r:id="rId205" w:history="1">
        <w:r w:rsidR="0000167A" w:rsidRPr="005F0419">
          <w:rPr>
            <w:rFonts w:ascii="Times New Roman" w:hAnsi="Times New Roman" w:cs="Times New Roman"/>
            <w:sz w:val="28"/>
            <w:szCs w:val="28"/>
            <w:u w:val="single"/>
            <w:lang w:val="uk-UA"/>
          </w:rPr>
          <w:t>https://doi.org/10.30892/gtg.23316-330</w:t>
        </w:r>
      </w:hyperlink>
    </w:p>
    <w:p w14:paraId="4E456848" w14:textId="10B85E9F"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13. </w:t>
      </w:r>
      <w:proofErr w:type="spellStart"/>
      <w:r w:rsidR="0000167A" w:rsidRPr="005F0419">
        <w:rPr>
          <w:rFonts w:ascii="Times New Roman" w:hAnsi="Times New Roman" w:cs="Times New Roman"/>
          <w:sz w:val="28"/>
          <w:szCs w:val="28"/>
          <w:lang w:val="uk-UA"/>
        </w:rPr>
        <w:t>Krool</w:t>
      </w:r>
      <w:proofErr w:type="spellEnd"/>
      <w:r w:rsidR="0000167A" w:rsidRPr="005F0419">
        <w:rPr>
          <w:rFonts w:ascii="Times New Roman" w:hAnsi="Times New Roman" w:cs="Times New Roman"/>
          <w:sz w:val="28"/>
          <w:szCs w:val="28"/>
          <w:lang w:val="uk-UA"/>
        </w:rPr>
        <w:t xml:space="preserve">, V., </w:t>
      </w:r>
      <w:proofErr w:type="spellStart"/>
      <w:r w:rsidR="0000167A" w:rsidRPr="005F0419">
        <w:rPr>
          <w:rFonts w:ascii="Times New Roman" w:hAnsi="Times New Roman" w:cs="Times New Roman"/>
          <w:sz w:val="28"/>
          <w:szCs w:val="28"/>
          <w:lang w:val="uk-UA"/>
        </w:rPr>
        <w:t>Vdovichen</w:t>
      </w:r>
      <w:proofErr w:type="spellEnd"/>
      <w:r w:rsidR="0000167A" w:rsidRPr="005F0419">
        <w:rPr>
          <w:rFonts w:ascii="Times New Roman" w:hAnsi="Times New Roman" w:cs="Times New Roman"/>
          <w:sz w:val="28"/>
          <w:szCs w:val="28"/>
          <w:lang w:val="uk-UA"/>
        </w:rPr>
        <w:t xml:space="preserve">, A., </w:t>
      </w:r>
      <w:proofErr w:type="spellStart"/>
      <w:r w:rsidR="0000167A" w:rsidRPr="005F0419">
        <w:rPr>
          <w:rFonts w:ascii="Times New Roman" w:hAnsi="Times New Roman" w:cs="Times New Roman"/>
          <w:sz w:val="28"/>
          <w:szCs w:val="28"/>
          <w:lang w:val="uk-UA"/>
        </w:rPr>
        <w:t>Hyshchuk</w:t>
      </w:r>
      <w:proofErr w:type="spellEnd"/>
      <w:r w:rsidR="0000167A" w:rsidRPr="005F0419">
        <w:rPr>
          <w:rFonts w:ascii="Times New Roman" w:hAnsi="Times New Roman" w:cs="Times New Roman"/>
          <w:sz w:val="28"/>
          <w:szCs w:val="28"/>
          <w:lang w:val="uk-UA"/>
        </w:rPr>
        <w:t xml:space="preserve">, R., &amp; </w:t>
      </w:r>
      <w:proofErr w:type="spellStart"/>
      <w:r w:rsidR="0000167A" w:rsidRPr="005F0419">
        <w:rPr>
          <w:rFonts w:ascii="Times New Roman" w:hAnsi="Times New Roman" w:cs="Times New Roman"/>
          <w:sz w:val="28"/>
          <w:szCs w:val="28"/>
          <w:lang w:val="uk-UA"/>
        </w:rPr>
        <w:t>Dobynda</w:t>
      </w:r>
      <w:proofErr w:type="spellEnd"/>
      <w:r w:rsidR="0000167A" w:rsidRPr="005F0419">
        <w:rPr>
          <w:rFonts w:ascii="Times New Roman" w:hAnsi="Times New Roman" w:cs="Times New Roman"/>
          <w:sz w:val="28"/>
          <w:szCs w:val="28"/>
          <w:lang w:val="uk-UA"/>
        </w:rPr>
        <w:t xml:space="preserve">, I. (2021). </w:t>
      </w:r>
      <w:proofErr w:type="spellStart"/>
      <w:r w:rsidR="0000167A" w:rsidRPr="005F0419">
        <w:rPr>
          <w:rFonts w:ascii="Times New Roman" w:hAnsi="Times New Roman" w:cs="Times New Roman"/>
          <w:sz w:val="28"/>
          <w:szCs w:val="28"/>
          <w:lang w:val="uk-UA"/>
        </w:rPr>
        <w:t>Sacral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Heritage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Carpathian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Region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Management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its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Resource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Component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Tourism</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Activity</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Journal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Geology</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Geography</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Geoecology</w:t>
      </w:r>
      <w:proofErr w:type="spellEnd"/>
      <w:r w:rsidR="0000167A" w:rsidRPr="005F0419">
        <w:rPr>
          <w:rFonts w:ascii="Times New Roman" w:hAnsi="Times New Roman" w:cs="Times New Roman"/>
          <w:sz w:val="28"/>
          <w:szCs w:val="28"/>
          <w:lang w:val="uk-UA"/>
        </w:rPr>
        <w:t xml:space="preserve">, 30(1), 65-77. URL: </w:t>
      </w:r>
      <w:hyperlink r:id="rId206" w:history="1">
        <w:r w:rsidR="0000167A" w:rsidRPr="005F0419">
          <w:rPr>
            <w:rFonts w:ascii="Times New Roman" w:hAnsi="Times New Roman" w:cs="Times New Roman"/>
            <w:sz w:val="28"/>
            <w:szCs w:val="28"/>
            <w:u w:val="single"/>
            <w:lang w:val="uk-UA"/>
          </w:rPr>
          <w:t>https://www.dnu.dp.ua/docs/visnik/fgg/program_60b88924bb29c.pdf</w:t>
        </w:r>
      </w:hyperlink>
      <w:r w:rsidR="0000167A" w:rsidRPr="005F0419">
        <w:rPr>
          <w:rFonts w:ascii="Times New Roman" w:hAnsi="Times New Roman" w:cs="Times New Roman"/>
          <w:sz w:val="28"/>
          <w:szCs w:val="28"/>
          <w:lang w:val="uk-UA"/>
        </w:rPr>
        <w:t xml:space="preserve"> (дата звернення 04.11.2023)</w:t>
      </w:r>
      <w:r w:rsidRPr="005F0419">
        <w:rPr>
          <w:rFonts w:ascii="Times New Roman" w:hAnsi="Times New Roman" w:cs="Times New Roman"/>
          <w:sz w:val="28"/>
          <w:szCs w:val="28"/>
          <w:lang w:val="uk-UA"/>
        </w:rPr>
        <w:t>.</w:t>
      </w:r>
    </w:p>
    <w:p w14:paraId="57BE6DCB" w14:textId="6144B282"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14.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 Вплив туризму на розвиток готельної інфраструктури регіону в кризовий і посткризовий період. Розвиток готельної інфраструктури Буковини в період кризи. За </w:t>
      </w:r>
      <w:proofErr w:type="spellStart"/>
      <w:r w:rsidR="0000167A" w:rsidRPr="005F0419">
        <w:rPr>
          <w:rFonts w:ascii="Times New Roman" w:hAnsi="Times New Roman" w:cs="Times New Roman"/>
          <w:sz w:val="28"/>
          <w:szCs w:val="28"/>
          <w:lang w:val="uk-UA"/>
        </w:rPr>
        <w:t>заг</w:t>
      </w:r>
      <w:proofErr w:type="spellEnd"/>
      <w:r w:rsidR="0000167A" w:rsidRPr="005F0419">
        <w:rPr>
          <w:rFonts w:ascii="Times New Roman" w:hAnsi="Times New Roman" w:cs="Times New Roman"/>
          <w:sz w:val="28"/>
          <w:szCs w:val="28"/>
          <w:lang w:val="uk-UA"/>
        </w:rPr>
        <w:t xml:space="preserve">. ред. В.Ф. </w:t>
      </w:r>
      <w:proofErr w:type="spellStart"/>
      <w:r w:rsidR="0000167A" w:rsidRPr="005F0419">
        <w:rPr>
          <w:rFonts w:ascii="Times New Roman" w:hAnsi="Times New Roman" w:cs="Times New Roman"/>
          <w:sz w:val="28"/>
          <w:szCs w:val="28"/>
          <w:lang w:val="uk-UA"/>
        </w:rPr>
        <w:t>Кифяка</w:t>
      </w:r>
      <w:proofErr w:type="spellEnd"/>
      <w:r w:rsidR="0000167A" w:rsidRPr="005F0419">
        <w:rPr>
          <w:rFonts w:ascii="Times New Roman" w:hAnsi="Times New Roman" w:cs="Times New Roman"/>
          <w:sz w:val="28"/>
          <w:szCs w:val="28"/>
          <w:lang w:val="uk-UA"/>
        </w:rPr>
        <w:t>. Чернівці, ЧТЕІ, 2021. С. 97-123</w:t>
      </w:r>
      <w:r w:rsidRPr="005F0419">
        <w:rPr>
          <w:rFonts w:ascii="Times New Roman" w:hAnsi="Times New Roman" w:cs="Times New Roman"/>
          <w:sz w:val="28"/>
          <w:szCs w:val="28"/>
          <w:lang w:val="uk-UA"/>
        </w:rPr>
        <w:t>.</w:t>
      </w:r>
    </w:p>
    <w:p w14:paraId="3F86E435" w14:textId="208BB513"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15.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 Основні тенденції та перспективи змін роботи готельних підприємств туризму в пандемічний період: організаційні та управлінські аспекти. Управління розвитком сфери гостинності: регіональний аспект: матеріали Міжнародної науково-практичної онлайн-конференції, м. Чернівці, 5 травня 2022 р. Чернівці: </w:t>
      </w:r>
      <w:proofErr w:type="spellStart"/>
      <w:r w:rsidR="0000167A" w:rsidRPr="005F0419">
        <w:rPr>
          <w:rFonts w:ascii="Times New Roman" w:hAnsi="Times New Roman" w:cs="Times New Roman"/>
          <w:sz w:val="28"/>
          <w:szCs w:val="28"/>
          <w:lang w:val="uk-UA"/>
        </w:rPr>
        <w:t>Технодрук</w:t>
      </w:r>
      <w:proofErr w:type="spellEnd"/>
      <w:r w:rsidR="0000167A" w:rsidRPr="005F0419">
        <w:rPr>
          <w:rFonts w:ascii="Times New Roman" w:hAnsi="Times New Roman" w:cs="Times New Roman"/>
          <w:sz w:val="28"/>
          <w:szCs w:val="28"/>
          <w:lang w:val="uk-UA"/>
        </w:rPr>
        <w:t>, 2022. С. 154-158</w:t>
      </w:r>
      <w:r w:rsidRPr="005F0419">
        <w:rPr>
          <w:rFonts w:ascii="Times New Roman" w:hAnsi="Times New Roman" w:cs="Times New Roman"/>
          <w:sz w:val="28"/>
          <w:szCs w:val="28"/>
          <w:lang w:val="uk-UA"/>
        </w:rPr>
        <w:t>.</w:t>
      </w:r>
    </w:p>
    <w:p w14:paraId="34ED8877" w14:textId="7EC7D8A6" w:rsidR="0000167A" w:rsidRPr="005F0419" w:rsidRDefault="0000464F"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16.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 Особливості організації управління готелями в туризмі в період воєнного стану: матеріали Всеукраїнської науково-практичної Інтернет-конференції «Стратегічні засади розвитку підприємств у сучасних ринкових умовах», м. Хмельницький, 12 грудня 2022 року. ХНТУ, 2022. С.56-60</w:t>
      </w:r>
      <w:bookmarkEnd w:id="13"/>
      <w:r w:rsidRPr="005F0419">
        <w:rPr>
          <w:rFonts w:ascii="Times New Roman" w:hAnsi="Times New Roman" w:cs="Times New Roman"/>
          <w:sz w:val="28"/>
          <w:szCs w:val="28"/>
          <w:lang w:val="uk-UA"/>
        </w:rPr>
        <w:t>.</w:t>
      </w:r>
    </w:p>
    <w:p w14:paraId="1934EF64" w14:textId="0F3F8B96" w:rsidR="002178A9"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17. </w:t>
      </w:r>
      <w:proofErr w:type="spellStart"/>
      <w:r w:rsidRPr="005F0419">
        <w:rPr>
          <w:rFonts w:ascii="Times New Roman" w:hAnsi="Times New Roman" w:cs="Times New Roman"/>
          <w:sz w:val="28"/>
          <w:szCs w:val="28"/>
          <w:lang w:val="uk-UA"/>
        </w:rPr>
        <w:t>Elizabeth</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Jane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Vella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Briana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Milligan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Jessie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Lynn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Bennett</w:t>
      </w:r>
      <w:proofErr w:type="spellEnd"/>
      <w:r w:rsidRPr="005F0419">
        <w:rPr>
          <w:rFonts w:ascii="Times New Roman" w:hAnsi="Times New Roman" w:cs="Times New Roman"/>
          <w:sz w:val="28"/>
          <w:szCs w:val="28"/>
          <w:lang w:val="uk-UA"/>
        </w:rPr>
        <w:t xml:space="preserve"> (2013). </w:t>
      </w:r>
      <w:proofErr w:type="spellStart"/>
      <w:r w:rsidRPr="005F0419">
        <w:rPr>
          <w:rFonts w:ascii="Times New Roman" w:hAnsi="Times New Roman" w:cs="Times New Roman"/>
          <w:sz w:val="28"/>
          <w:szCs w:val="28"/>
          <w:lang w:val="uk-UA"/>
        </w:rPr>
        <w:t>Participation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Outdoor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Recreation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Program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Predicts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Improved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Psychosocial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Well-Being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Among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Veterans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With</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Post-Traumatic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Stress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Disorder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Military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Medicine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Volume</w:t>
      </w:r>
      <w:proofErr w:type="spellEnd"/>
      <w:r w:rsidRPr="005F0419">
        <w:rPr>
          <w:rFonts w:ascii="Times New Roman" w:hAnsi="Times New Roman" w:cs="Times New Roman"/>
          <w:sz w:val="28"/>
          <w:szCs w:val="28"/>
          <w:lang w:val="uk-UA"/>
        </w:rPr>
        <w:t xml:space="preserve"> 178, </w:t>
      </w:r>
      <w:proofErr w:type="spellStart"/>
      <w:r w:rsidRPr="005F0419">
        <w:rPr>
          <w:rFonts w:ascii="Times New Roman" w:hAnsi="Times New Roman" w:cs="Times New Roman"/>
          <w:sz w:val="28"/>
          <w:szCs w:val="28"/>
          <w:lang w:val="uk-UA"/>
        </w:rPr>
        <w:t>Issue</w:t>
      </w:r>
      <w:proofErr w:type="spellEnd"/>
      <w:r w:rsidRPr="005F0419">
        <w:rPr>
          <w:rFonts w:ascii="Times New Roman" w:hAnsi="Times New Roman" w:cs="Times New Roman"/>
          <w:sz w:val="28"/>
          <w:szCs w:val="28"/>
          <w:lang w:val="uk-UA"/>
        </w:rPr>
        <w:t xml:space="preserve"> 3, </w:t>
      </w:r>
      <w:proofErr w:type="spellStart"/>
      <w:r w:rsidRPr="005F0419">
        <w:rPr>
          <w:rFonts w:ascii="Times New Roman" w:hAnsi="Times New Roman" w:cs="Times New Roman"/>
          <w:sz w:val="28"/>
          <w:szCs w:val="28"/>
          <w:lang w:val="uk-UA"/>
        </w:rPr>
        <w:t>March</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Pages</w:t>
      </w:r>
      <w:proofErr w:type="spellEnd"/>
      <w:r w:rsidRPr="005F0419">
        <w:rPr>
          <w:rFonts w:ascii="Times New Roman" w:hAnsi="Times New Roman" w:cs="Times New Roman"/>
          <w:sz w:val="28"/>
          <w:szCs w:val="28"/>
          <w:lang w:val="uk-UA"/>
        </w:rPr>
        <w:t xml:space="preserve"> 254-260/</w:t>
      </w:r>
    </w:p>
    <w:p w14:paraId="66B243BC" w14:textId="78632C89"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18. </w:t>
      </w:r>
      <w:proofErr w:type="spellStart"/>
      <w:r w:rsidR="0000167A" w:rsidRPr="005F0419">
        <w:rPr>
          <w:rFonts w:ascii="Times New Roman" w:hAnsi="Times New Roman" w:cs="Times New Roman"/>
          <w:sz w:val="28"/>
          <w:szCs w:val="28"/>
          <w:lang w:val="uk-UA"/>
        </w:rPr>
        <w:t>Daniel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Dustin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Nathan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Bricker</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Joseph</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Arave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Wendy</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Wall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George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Wendt</w:t>
      </w:r>
      <w:proofErr w:type="spellEnd"/>
      <w:r w:rsidRPr="005F0419">
        <w:rPr>
          <w:rFonts w:ascii="Times New Roman" w:hAnsi="Times New Roman" w:cs="Times New Roman"/>
          <w:sz w:val="28"/>
          <w:szCs w:val="28"/>
          <w:lang w:val="uk-UA"/>
        </w:rPr>
        <w:t xml:space="preserve"> (2011)</w:t>
      </w:r>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Promise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River</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Running</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as</w:t>
      </w:r>
      <w:proofErr w:type="spellEnd"/>
      <w:r w:rsidR="0000167A" w:rsidRPr="005F0419">
        <w:rPr>
          <w:rFonts w:ascii="Times New Roman" w:hAnsi="Times New Roman" w:cs="Times New Roman"/>
          <w:sz w:val="28"/>
          <w:szCs w:val="28"/>
          <w:lang w:val="uk-UA"/>
        </w:rPr>
        <w:t xml:space="preserve"> a </w:t>
      </w:r>
      <w:proofErr w:type="spellStart"/>
      <w:r w:rsidR="0000167A" w:rsidRPr="005F0419">
        <w:rPr>
          <w:rFonts w:ascii="Times New Roman" w:hAnsi="Times New Roman" w:cs="Times New Roman"/>
          <w:sz w:val="28"/>
          <w:szCs w:val="28"/>
          <w:lang w:val="uk-UA"/>
        </w:rPr>
        <w:t>Therapeutic</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Medium</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for</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Veterans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Coping</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lastRenderedPageBreak/>
        <w:t>with</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Post-Traumatic</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Stress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Disorder</w:t>
      </w:r>
      <w:proofErr w:type="spellEnd"/>
      <w:r w:rsidRPr="005F0419">
        <w:rPr>
          <w:rFonts w:ascii="Times New Roman" w:hAnsi="Times New Roman" w:cs="Times New Roman"/>
          <w:sz w:val="28"/>
          <w:szCs w:val="28"/>
          <w:lang w:val="uk-UA"/>
        </w:rPr>
        <w:t>.</w:t>
      </w:r>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Therapeutic</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Recreation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Journal</w:t>
      </w:r>
      <w:proofErr w:type="spellEnd"/>
      <w:r w:rsidRPr="005F0419">
        <w:rPr>
          <w:rFonts w:ascii="Times New Roman" w:hAnsi="Times New Roman" w:cs="Times New Roman"/>
          <w:sz w:val="28"/>
          <w:szCs w:val="28"/>
          <w:lang w:val="uk-UA"/>
        </w:rPr>
        <w:t>/</w:t>
      </w:r>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Vol</w:t>
      </w:r>
      <w:proofErr w:type="spellEnd"/>
      <w:r w:rsidR="0000167A" w:rsidRPr="005F0419">
        <w:rPr>
          <w:rFonts w:ascii="Times New Roman" w:hAnsi="Times New Roman" w:cs="Times New Roman"/>
          <w:sz w:val="28"/>
          <w:szCs w:val="28"/>
          <w:lang w:val="uk-UA"/>
        </w:rPr>
        <w:t xml:space="preserve">. XLV, </w:t>
      </w:r>
      <w:proofErr w:type="spellStart"/>
      <w:r w:rsidR="0000167A" w:rsidRPr="005F0419">
        <w:rPr>
          <w:rFonts w:ascii="Times New Roman" w:hAnsi="Times New Roman" w:cs="Times New Roman"/>
          <w:sz w:val="28"/>
          <w:szCs w:val="28"/>
          <w:lang w:val="uk-UA"/>
        </w:rPr>
        <w:t>No</w:t>
      </w:r>
      <w:proofErr w:type="spellEnd"/>
      <w:r w:rsidR="0000167A" w:rsidRPr="005F0419">
        <w:rPr>
          <w:rFonts w:ascii="Times New Roman" w:hAnsi="Times New Roman" w:cs="Times New Roman"/>
          <w:sz w:val="28"/>
          <w:szCs w:val="28"/>
          <w:lang w:val="uk-UA"/>
        </w:rPr>
        <w:t xml:space="preserve">. 4. </w:t>
      </w:r>
      <w:proofErr w:type="spellStart"/>
      <w:r w:rsidR="0000167A" w:rsidRPr="005F0419">
        <w:rPr>
          <w:rFonts w:ascii="Times New Roman" w:hAnsi="Times New Roman" w:cs="Times New Roman"/>
          <w:sz w:val="28"/>
          <w:szCs w:val="28"/>
          <w:lang w:val="uk-UA"/>
        </w:rPr>
        <w:t>pp</w:t>
      </w:r>
      <w:proofErr w:type="spellEnd"/>
      <w:r w:rsidR="0000167A" w:rsidRPr="005F0419">
        <w:rPr>
          <w:rFonts w:ascii="Times New Roman" w:hAnsi="Times New Roman" w:cs="Times New Roman"/>
          <w:sz w:val="28"/>
          <w:szCs w:val="28"/>
          <w:lang w:val="uk-UA"/>
        </w:rPr>
        <w:t>. 326-340</w:t>
      </w:r>
      <w:r w:rsidRPr="005F0419">
        <w:rPr>
          <w:rFonts w:ascii="Times New Roman" w:hAnsi="Times New Roman" w:cs="Times New Roman"/>
          <w:sz w:val="28"/>
          <w:szCs w:val="28"/>
          <w:lang w:val="uk-UA"/>
        </w:rPr>
        <w:t>.</w:t>
      </w:r>
    </w:p>
    <w:p w14:paraId="5FDD79D5" w14:textId="13DAB9EF"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19. </w:t>
      </w:r>
      <w:proofErr w:type="spellStart"/>
      <w:r w:rsidR="0000167A" w:rsidRPr="005F0419">
        <w:rPr>
          <w:rFonts w:ascii="Times New Roman" w:hAnsi="Times New Roman" w:cs="Times New Roman"/>
          <w:sz w:val="28"/>
          <w:szCs w:val="28"/>
          <w:lang w:val="uk-UA"/>
        </w:rPr>
        <w:t>Michael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Greer</w:t>
      </w:r>
      <w:proofErr w:type="spellEnd"/>
      <w:r w:rsidR="0000167A" w:rsidRPr="005F0419">
        <w:rPr>
          <w:rFonts w:ascii="Times New Roman" w:hAnsi="Times New Roman" w:cs="Times New Roman"/>
          <w:sz w:val="28"/>
          <w:szCs w:val="28"/>
          <w:lang w:val="uk-UA"/>
        </w:rPr>
        <w:t xml:space="preserve"> &amp; </w:t>
      </w:r>
      <w:proofErr w:type="spellStart"/>
      <w:r w:rsidR="0000167A" w:rsidRPr="005F0419">
        <w:rPr>
          <w:rFonts w:ascii="Times New Roman" w:hAnsi="Times New Roman" w:cs="Times New Roman"/>
          <w:sz w:val="28"/>
          <w:szCs w:val="28"/>
          <w:lang w:val="uk-UA"/>
        </w:rPr>
        <w:t>Neomi</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Vin-Raviv</w:t>
      </w:r>
      <w:proofErr w:type="spellEnd"/>
      <w:r w:rsidR="0000167A" w:rsidRPr="005F0419">
        <w:rPr>
          <w:rFonts w:ascii="Times New Roman" w:hAnsi="Times New Roman" w:cs="Times New Roman"/>
          <w:sz w:val="28"/>
          <w:szCs w:val="28"/>
          <w:lang w:val="uk-UA"/>
        </w:rPr>
        <w:t xml:space="preserve"> (2019) </w:t>
      </w:r>
      <w:proofErr w:type="spellStart"/>
      <w:r w:rsidR="0000167A" w:rsidRPr="005F0419">
        <w:rPr>
          <w:rFonts w:ascii="Times New Roman" w:hAnsi="Times New Roman" w:cs="Times New Roman"/>
          <w:sz w:val="28"/>
          <w:szCs w:val="28"/>
          <w:lang w:val="uk-UA"/>
        </w:rPr>
        <w:t>Outdoor-Based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Therapeutic</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Recreation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Programs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Among</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Military</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Veterans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with</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Posttraumatic</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Stress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Disorder</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Assessing</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Evidence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Military</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Behavioral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Health</w:t>
      </w:r>
      <w:proofErr w:type="spellEnd"/>
      <w:r w:rsidR="0000167A" w:rsidRPr="005F0419">
        <w:rPr>
          <w:rFonts w:ascii="Times New Roman" w:hAnsi="Times New Roman" w:cs="Times New Roman"/>
          <w:sz w:val="28"/>
          <w:szCs w:val="28"/>
          <w:lang w:val="uk-UA"/>
        </w:rPr>
        <w:t>, 7:3, 286-303, DOI: 10.1080/21635781.2018.1543063</w:t>
      </w:r>
      <w:r w:rsidRPr="005F0419">
        <w:rPr>
          <w:rFonts w:ascii="Times New Roman" w:hAnsi="Times New Roman" w:cs="Times New Roman"/>
          <w:sz w:val="28"/>
          <w:szCs w:val="28"/>
          <w:lang w:val="uk-UA"/>
        </w:rPr>
        <w:t xml:space="preserve"> </w:t>
      </w:r>
    </w:p>
    <w:p w14:paraId="4E97C7DB" w14:textId="1D4CA844"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20. </w:t>
      </w:r>
      <w:proofErr w:type="spellStart"/>
      <w:r w:rsidR="0000167A" w:rsidRPr="005F0419">
        <w:rPr>
          <w:rFonts w:ascii="Times New Roman" w:hAnsi="Times New Roman" w:cs="Times New Roman"/>
          <w:sz w:val="28"/>
          <w:szCs w:val="28"/>
          <w:lang w:val="uk-UA"/>
        </w:rPr>
        <w:t>Miao</w:t>
      </w:r>
      <w:proofErr w:type="spellEnd"/>
      <w:r w:rsidR="0000167A" w:rsidRPr="005F0419">
        <w:rPr>
          <w:rFonts w:ascii="Times New Roman" w:hAnsi="Times New Roman" w:cs="Times New Roman"/>
          <w:sz w:val="28"/>
          <w:szCs w:val="28"/>
          <w:lang w:val="uk-UA"/>
        </w:rPr>
        <w:t xml:space="preserve"> L, </w:t>
      </w:r>
      <w:proofErr w:type="spellStart"/>
      <w:r w:rsidR="0000167A" w:rsidRPr="005F0419">
        <w:rPr>
          <w:rFonts w:ascii="Times New Roman" w:hAnsi="Times New Roman" w:cs="Times New Roman"/>
          <w:sz w:val="28"/>
          <w:szCs w:val="28"/>
          <w:lang w:val="uk-UA"/>
        </w:rPr>
        <w:t>Im</w:t>
      </w:r>
      <w:proofErr w:type="spellEnd"/>
      <w:r w:rsidR="0000167A" w:rsidRPr="005F0419">
        <w:rPr>
          <w:rFonts w:ascii="Times New Roman" w:hAnsi="Times New Roman" w:cs="Times New Roman"/>
          <w:sz w:val="28"/>
          <w:szCs w:val="28"/>
          <w:lang w:val="uk-UA"/>
        </w:rPr>
        <w:t xml:space="preserve"> J, </w:t>
      </w:r>
      <w:proofErr w:type="spellStart"/>
      <w:r w:rsidR="0000167A" w:rsidRPr="005F0419">
        <w:rPr>
          <w:rFonts w:ascii="Times New Roman" w:hAnsi="Times New Roman" w:cs="Times New Roman"/>
          <w:sz w:val="28"/>
          <w:szCs w:val="28"/>
          <w:lang w:val="uk-UA"/>
        </w:rPr>
        <w:t>So</w:t>
      </w:r>
      <w:proofErr w:type="spellEnd"/>
      <w:r w:rsidR="0000167A" w:rsidRPr="005F0419">
        <w:rPr>
          <w:rFonts w:ascii="Times New Roman" w:hAnsi="Times New Roman" w:cs="Times New Roman"/>
          <w:sz w:val="28"/>
          <w:szCs w:val="28"/>
          <w:lang w:val="uk-UA"/>
        </w:rPr>
        <w:t xml:space="preserve"> KKF, </w:t>
      </w:r>
      <w:proofErr w:type="spellStart"/>
      <w:r w:rsidR="0000167A" w:rsidRPr="005F0419">
        <w:rPr>
          <w:rFonts w:ascii="Times New Roman" w:hAnsi="Times New Roman" w:cs="Times New Roman"/>
          <w:sz w:val="28"/>
          <w:szCs w:val="28"/>
          <w:lang w:val="uk-UA"/>
        </w:rPr>
        <w:t>Cao</w:t>
      </w:r>
      <w:proofErr w:type="spellEnd"/>
      <w:r w:rsidR="0000167A" w:rsidRPr="005F0419">
        <w:rPr>
          <w:rFonts w:ascii="Times New Roman" w:hAnsi="Times New Roman" w:cs="Times New Roman"/>
          <w:sz w:val="28"/>
          <w:szCs w:val="28"/>
          <w:lang w:val="uk-UA"/>
        </w:rPr>
        <w:t xml:space="preserve"> Y. </w:t>
      </w:r>
      <w:proofErr w:type="spellStart"/>
      <w:r w:rsidR="0000167A" w:rsidRPr="005F0419">
        <w:rPr>
          <w:rFonts w:ascii="Times New Roman" w:hAnsi="Times New Roman" w:cs="Times New Roman"/>
          <w:sz w:val="28"/>
          <w:szCs w:val="28"/>
          <w:lang w:val="uk-UA"/>
        </w:rPr>
        <w:t>Post-pandemic</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post-traumatic</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tourism</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behavior</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Tour</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Res</w:t>
      </w:r>
      <w:proofErr w:type="spellEnd"/>
      <w:r w:rsidR="0000167A" w:rsidRPr="005F0419">
        <w:rPr>
          <w:rFonts w:ascii="Times New Roman" w:hAnsi="Times New Roman" w:cs="Times New Roman"/>
          <w:sz w:val="28"/>
          <w:szCs w:val="28"/>
          <w:lang w:val="uk-UA"/>
        </w:rPr>
        <w:t xml:space="preserve">. 2022 Jul;95:103410. </w:t>
      </w:r>
      <w:r w:rsidRPr="005F0419">
        <w:rPr>
          <w:rFonts w:ascii="Times New Roman" w:hAnsi="Times New Roman" w:cs="Times New Roman"/>
          <w:sz w:val="28"/>
          <w:szCs w:val="28"/>
          <w:lang w:val="uk-UA"/>
        </w:rPr>
        <w:t>DOI</w:t>
      </w:r>
      <w:r w:rsidR="0000167A" w:rsidRPr="005F0419">
        <w:rPr>
          <w:rFonts w:ascii="Times New Roman" w:hAnsi="Times New Roman" w:cs="Times New Roman"/>
          <w:sz w:val="28"/>
          <w:szCs w:val="28"/>
          <w:lang w:val="uk-UA"/>
        </w:rPr>
        <w:t xml:space="preserve">: 10.1016/j.annals.2022.103410. </w:t>
      </w:r>
      <w:proofErr w:type="spellStart"/>
      <w:r w:rsidR="0000167A" w:rsidRPr="005F0419">
        <w:rPr>
          <w:rFonts w:ascii="Times New Roman" w:hAnsi="Times New Roman" w:cs="Times New Roman"/>
          <w:sz w:val="28"/>
          <w:szCs w:val="28"/>
          <w:lang w:val="uk-UA"/>
        </w:rPr>
        <w:t>Epub</w:t>
      </w:r>
      <w:proofErr w:type="spellEnd"/>
      <w:r w:rsidR="0000167A" w:rsidRPr="005F0419">
        <w:rPr>
          <w:rFonts w:ascii="Times New Roman" w:hAnsi="Times New Roman" w:cs="Times New Roman"/>
          <w:sz w:val="28"/>
          <w:szCs w:val="28"/>
          <w:lang w:val="uk-UA"/>
        </w:rPr>
        <w:t xml:space="preserve"> 2022 </w:t>
      </w:r>
      <w:proofErr w:type="spellStart"/>
      <w:r w:rsidR="0000167A" w:rsidRPr="005F0419">
        <w:rPr>
          <w:rFonts w:ascii="Times New Roman" w:hAnsi="Times New Roman" w:cs="Times New Roman"/>
          <w:sz w:val="28"/>
          <w:szCs w:val="28"/>
          <w:lang w:val="uk-UA"/>
        </w:rPr>
        <w:t>May</w:t>
      </w:r>
      <w:proofErr w:type="spellEnd"/>
      <w:r w:rsidR="0000167A" w:rsidRPr="005F0419">
        <w:rPr>
          <w:rFonts w:ascii="Times New Roman" w:hAnsi="Times New Roman" w:cs="Times New Roman"/>
          <w:sz w:val="28"/>
          <w:szCs w:val="28"/>
          <w:lang w:val="uk-UA"/>
        </w:rPr>
        <w:t xml:space="preserve"> 7. PMID: 35574179; PMCID: PMC9077025</w:t>
      </w:r>
    </w:p>
    <w:p w14:paraId="72A1154D" w14:textId="77777777" w:rsidR="002178A9" w:rsidRPr="005F0419" w:rsidRDefault="002178A9" w:rsidP="001C3FA7">
      <w:pPr>
        <w:spacing w:after="0" w:line="360" w:lineRule="auto"/>
        <w:ind w:firstLine="720"/>
        <w:contextualSpacing/>
        <w:jc w:val="both"/>
        <w:rPr>
          <w:rFonts w:ascii="Times New Roman" w:hAnsi="Times New Roman" w:cs="Times New Roman"/>
          <w:sz w:val="28"/>
          <w:szCs w:val="28"/>
          <w:lang w:val="uk-UA"/>
        </w:rPr>
      </w:pPr>
      <w:bookmarkStart w:id="16" w:name="_Hlk157889636"/>
      <w:r w:rsidRPr="005F0419">
        <w:rPr>
          <w:rFonts w:ascii="Times New Roman" w:hAnsi="Times New Roman" w:cs="Times New Roman"/>
          <w:sz w:val="28"/>
          <w:szCs w:val="28"/>
          <w:lang w:val="uk-UA"/>
        </w:rPr>
        <w:t xml:space="preserve">21. </w:t>
      </w:r>
      <w:r w:rsidR="0000167A" w:rsidRPr="005F0419">
        <w:rPr>
          <w:rFonts w:ascii="Times New Roman" w:hAnsi="Times New Roman" w:cs="Times New Roman"/>
          <w:sz w:val="28"/>
          <w:szCs w:val="28"/>
          <w:lang w:val="uk-UA"/>
        </w:rPr>
        <w:t xml:space="preserve">Романюк О. </w:t>
      </w:r>
      <w:bookmarkEnd w:id="16"/>
      <w:r w:rsidR="0000167A" w:rsidRPr="005F0419">
        <w:rPr>
          <w:rFonts w:ascii="Times New Roman" w:hAnsi="Times New Roman" w:cs="Times New Roman"/>
          <w:sz w:val="28"/>
          <w:szCs w:val="28"/>
          <w:lang w:val="uk-UA"/>
        </w:rPr>
        <w:t xml:space="preserve">О. </w:t>
      </w:r>
      <w:proofErr w:type="spellStart"/>
      <w:r w:rsidR="0000167A" w:rsidRPr="005F0419">
        <w:rPr>
          <w:rFonts w:ascii="Times New Roman" w:hAnsi="Times New Roman" w:cs="Times New Roman"/>
          <w:sz w:val="28"/>
          <w:szCs w:val="28"/>
          <w:lang w:val="uk-UA"/>
        </w:rPr>
        <w:t>Постравматичний</w:t>
      </w:r>
      <w:proofErr w:type="spellEnd"/>
      <w:r w:rsidR="0000167A" w:rsidRPr="005F0419">
        <w:rPr>
          <w:rFonts w:ascii="Times New Roman" w:hAnsi="Times New Roman" w:cs="Times New Roman"/>
          <w:sz w:val="28"/>
          <w:szCs w:val="28"/>
          <w:lang w:val="uk-UA"/>
        </w:rPr>
        <w:t xml:space="preserve"> стресовий розлад як наслідок впливу бойового стресу на військовослужбовців</w:t>
      </w:r>
      <w:r w:rsidRPr="005F0419">
        <w:rPr>
          <w:rFonts w:ascii="Times New Roman" w:hAnsi="Times New Roman" w:cs="Times New Roman"/>
          <w:sz w:val="28"/>
          <w:szCs w:val="28"/>
          <w:lang w:val="uk-UA"/>
        </w:rPr>
        <w:t>.</w:t>
      </w:r>
      <w:r w:rsidR="0000167A" w:rsidRPr="005F0419">
        <w:rPr>
          <w:rFonts w:ascii="Times New Roman" w:hAnsi="Times New Roman" w:cs="Times New Roman"/>
          <w:sz w:val="28"/>
          <w:szCs w:val="28"/>
          <w:lang w:val="uk-UA"/>
        </w:rPr>
        <w:t xml:space="preserve"> Вісник Національного університету оборони України, 2020. </w:t>
      </w:r>
      <w:proofErr w:type="spellStart"/>
      <w:r w:rsidR="0000167A" w:rsidRPr="005F0419">
        <w:rPr>
          <w:rFonts w:ascii="Times New Roman" w:hAnsi="Times New Roman" w:cs="Times New Roman"/>
          <w:sz w:val="28"/>
          <w:szCs w:val="28"/>
          <w:lang w:val="uk-UA"/>
        </w:rPr>
        <w:t>Вип</w:t>
      </w:r>
      <w:proofErr w:type="spellEnd"/>
      <w:r w:rsidR="0000167A" w:rsidRPr="005F0419">
        <w:rPr>
          <w:rFonts w:ascii="Times New Roman" w:hAnsi="Times New Roman" w:cs="Times New Roman"/>
          <w:sz w:val="28"/>
          <w:szCs w:val="28"/>
          <w:lang w:val="uk-UA"/>
        </w:rPr>
        <w:t xml:space="preserve">. 5. С. 161-165. </w:t>
      </w:r>
    </w:p>
    <w:p w14:paraId="2FDAF07B" w14:textId="710F4A44" w:rsidR="0000167A" w:rsidRPr="005F0419" w:rsidRDefault="0000167A" w:rsidP="002178A9">
      <w:pPr>
        <w:spacing w:after="0" w:line="360" w:lineRule="auto"/>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URL: </w:t>
      </w:r>
      <w:hyperlink r:id="rId207" w:history="1">
        <w:r w:rsidRPr="005F0419">
          <w:rPr>
            <w:rStyle w:val="a6"/>
            <w:rFonts w:ascii="Times New Roman" w:hAnsi="Times New Roman" w:cs="Times New Roman"/>
            <w:color w:val="auto"/>
            <w:sz w:val="28"/>
            <w:szCs w:val="28"/>
            <w:lang w:val="uk-UA"/>
          </w:rPr>
          <w:t>http://nbuv.gov.ua/UJRN/Vnaou_2020_5_23</w:t>
        </w:r>
      </w:hyperlink>
    </w:p>
    <w:p w14:paraId="7D4862F1" w14:textId="674E1392"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bookmarkStart w:id="17" w:name="_Hlk157889670"/>
      <w:r w:rsidRPr="005F0419">
        <w:rPr>
          <w:rFonts w:ascii="Times New Roman" w:hAnsi="Times New Roman" w:cs="Times New Roman"/>
          <w:sz w:val="28"/>
          <w:szCs w:val="28"/>
          <w:lang w:val="uk-UA"/>
        </w:rPr>
        <w:t xml:space="preserve">22. </w:t>
      </w:r>
      <w:proofErr w:type="spellStart"/>
      <w:r w:rsidR="0000167A" w:rsidRPr="005F0419">
        <w:rPr>
          <w:rFonts w:ascii="Times New Roman" w:hAnsi="Times New Roman" w:cs="Times New Roman"/>
          <w:sz w:val="28"/>
          <w:szCs w:val="28"/>
          <w:lang w:val="uk-UA"/>
        </w:rPr>
        <w:t>Бочелюк</w:t>
      </w:r>
      <w:proofErr w:type="spellEnd"/>
      <w:r w:rsidR="0000167A" w:rsidRPr="005F0419">
        <w:rPr>
          <w:rFonts w:ascii="Times New Roman" w:hAnsi="Times New Roman" w:cs="Times New Roman"/>
          <w:sz w:val="28"/>
          <w:szCs w:val="28"/>
          <w:lang w:val="uk-UA"/>
        </w:rPr>
        <w:t xml:space="preserve"> В. Й., </w:t>
      </w:r>
      <w:proofErr w:type="spellStart"/>
      <w:r w:rsidR="0000167A" w:rsidRPr="005F0419">
        <w:rPr>
          <w:rFonts w:ascii="Times New Roman" w:hAnsi="Times New Roman" w:cs="Times New Roman"/>
          <w:sz w:val="28"/>
          <w:szCs w:val="28"/>
          <w:lang w:val="uk-UA"/>
        </w:rPr>
        <w:t>Панов</w:t>
      </w:r>
      <w:proofErr w:type="spellEnd"/>
      <w:r w:rsidR="0000167A" w:rsidRPr="005F0419">
        <w:rPr>
          <w:rFonts w:ascii="Times New Roman" w:hAnsi="Times New Roman" w:cs="Times New Roman"/>
          <w:sz w:val="28"/>
          <w:szCs w:val="28"/>
          <w:lang w:val="uk-UA"/>
        </w:rPr>
        <w:t xml:space="preserve"> М. С., </w:t>
      </w:r>
      <w:proofErr w:type="spellStart"/>
      <w:r w:rsidR="0000167A" w:rsidRPr="005F0419">
        <w:rPr>
          <w:rFonts w:ascii="Times New Roman" w:hAnsi="Times New Roman" w:cs="Times New Roman"/>
          <w:sz w:val="28"/>
          <w:szCs w:val="28"/>
          <w:lang w:val="uk-UA"/>
        </w:rPr>
        <w:t>Турубарова</w:t>
      </w:r>
      <w:proofErr w:type="spellEnd"/>
      <w:r w:rsidR="0000167A" w:rsidRPr="005F0419">
        <w:rPr>
          <w:rFonts w:ascii="Times New Roman" w:hAnsi="Times New Roman" w:cs="Times New Roman"/>
          <w:sz w:val="28"/>
          <w:szCs w:val="28"/>
          <w:lang w:val="uk-UA"/>
        </w:rPr>
        <w:t xml:space="preserve"> А. В.</w:t>
      </w:r>
      <w:bookmarkEnd w:id="17"/>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Постравматичний</w:t>
      </w:r>
      <w:proofErr w:type="spellEnd"/>
      <w:r w:rsidR="0000167A" w:rsidRPr="005F0419">
        <w:rPr>
          <w:rFonts w:ascii="Times New Roman" w:hAnsi="Times New Roman" w:cs="Times New Roman"/>
          <w:sz w:val="28"/>
          <w:szCs w:val="28"/>
          <w:lang w:val="uk-UA"/>
        </w:rPr>
        <w:t xml:space="preserve"> стресовий розлад: стан проблеми, психодіагностика та психологічна допомога</w:t>
      </w: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 xml:space="preserve">Теоретичні і прикладні проблеми психології та соціальної роботи, 2022. № 2. С. 51-63. URL: </w:t>
      </w:r>
      <w:hyperlink r:id="rId208" w:history="1">
        <w:r w:rsidR="0000167A" w:rsidRPr="005F0419">
          <w:rPr>
            <w:rStyle w:val="a6"/>
            <w:rFonts w:ascii="Times New Roman" w:hAnsi="Times New Roman" w:cs="Times New Roman"/>
            <w:color w:val="auto"/>
            <w:sz w:val="28"/>
            <w:szCs w:val="28"/>
            <w:lang w:val="uk-UA"/>
          </w:rPr>
          <w:t>http://nbuv.gov.ua/UJRN/Tippp_2022_2_7</w:t>
        </w:r>
      </w:hyperlink>
    </w:p>
    <w:p w14:paraId="5D08A399" w14:textId="59BBEE65"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23.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w:t>
      </w: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 xml:space="preserve">М., </w:t>
      </w:r>
      <w:proofErr w:type="spellStart"/>
      <w:r w:rsidR="0000167A" w:rsidRPr="005F0419">
        <w:rPr>
          <w:rFonts w:ascii="Times New Roman" w:hAnsi="Times New Roman" w:cs="Times New Roman"/>
          <w:sz w:val="28"/>
          <w:szCs w:val="28"/>
          <w:lang w:val="uk-UA"/>
        </w:rPr>
        <w:t>Пилипець</w:t>
      </w:r>
      <w:proofErr w:type="spellEnd"/>
      <w:r w:rsidR="0000167A" w:rsidRPr="005F0419">
        <w:rPr>
          <w:rFonts w:ascii="Times New Roman" w:hAnsi="Times New Roman" w:cs="Times New Roman"/>
          <w:sz w:val="28"/>
          <w:szCs w:val="28"/>
          <w:lang w:val="uk-UA"/>
        </w:rPr>
        <w:t xml:space="preserve"> О.</w:t>
      </w: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В. Оцінка можливостей реалізації рекреаційної терапії та активної рекреації в Чернівецькій області</w:t>
      </w: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 xml:space="preserve">«WORLD SCIENCE», </w:t>
      </w:r>
      <w:proofErr w:type="spellStart"/>
      <w:r w:rsidR="0000167A" w:rsidRPr="005F0419">
        <w:rPr>
          <w:rFonts w:ascii="Times New Roman" w:hAnsi="Times New Roman" w:cs="Times New Roman"/>
          <w:sz w:val="28"/>
          <w:szCs w:val="28"/>
          <w:lang w:val="uk-UA"/>
        </w:rPr>
        <w:t>Proceedings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III </w:t>
      </w:r>
      <w:proofErr w:type="spellStart"/>
      <w:r w:rsidR="0000167A" w:rsidRPr="005F0419">
        <w:rPr>
          <w:rFonts w:ascii="Times New Roman" w:hAnsi="Times New Roman" w:cs="Times New Roman"/>
          <w:sz w:val="28"/>
          <w:szCs w:val="28"/>
          <w:lang w:val="uk-UA"/>
        </w:rPr>
        <w:t>International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Scientific</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Practical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Conference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Modern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Scientific</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Achievements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and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Their</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Practical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Application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October</w:t>
      </w:r>
      <w:proofErr w:type="spellEnd"/>
      <w:r w:rsidR="0000167A" w:rsidRPr="005F0419">
        <w:rPr>
          <w:rFonts w:ascii="Times New Roman" w:hAnsi="Times New Roman" w:cs="Times New Roman"/>
          <w:sz w:val="28"/>
          <w:szCs w:val="28"/>
          <w:lang w:val="uk-UA"/>
        </w:rPr>
        <w:t xml:space="preserve"> 27 – 28, 2016, </w:t>
      </w:r>
      <w:proofErr w:type="spellStart"/>
      <w:r w:rsidR="0000167A" w:rsidRPr="005F0419">
        <w:rPr>
          <w:rFonts w:ascii="Times New Roman" w:hAnsi="Times New Roman" w:cs="Times New Roman"/>
          <w:sz w:val="28"/>
          <w:szCs w:val="28"/>
          <w:lang w:val="uk-UA"/>
        </w:rPr>
        <w:t>Dubai</w:t>
      </w:r>
      <w:proofErr w:type="spellEnd"/>
      <w:r w:rsidR="0000167A" w:rsidRPr="005F0419">
        <w:rPr>
          <w:rFonts w:ascii="Times New Roman" w:hAnsi="Times New Roman" w:cs="Times New Roman"/>
          <w:sz w:val="28"/>
          <w:szCs w:val="28"/>
          <w:lang w:val="uk-UA"/>
        </w:rPr>
        <w:t>, UAE)». UAE, 2016. 11(15). C. 56-61</w:t>
      </w:r>
      <w:r w:rsidRPr="005F0419">
        <w:rPr>
          <w:rFonts w:ascii="Times New Roman" w:hAnsi="Times New Roman" w:cs="Times New Roman"/>
          <w:sz w:val="28"/>
          <w:szCs w:val="28"/>
          <w:lang w:val="uk-UA"/>
        </w:rPr>
        <w:t>.</w:t>
      </w:r>
      <w:r w:rsidR="0000167A" w:rsidRPr="005F0419">
        <w:rPr>
          <w:rFonts w:ascii="Times New Roman" w:hAnsi="Times New Roman" w:cs="Times New Roman"/>
          <w:sz w:val="28"/>
          <w:szCs w:val="28"/>
          <w:lang w:val="uk-UA"/>
        </w:rPr>
        <w:t xml:space="preserve"> </w:t>
      </w:r>
    </w:p>
    <w:p w14:paraId="2F78FBBA" w14:textId="41D1A488"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24. </w:t>
      </w:r>
      <w:proofErr w:type="spellStart"/>
      <w:r w:rsidR="0000167A" w:rsidRPr="005F0419">
        <w:rPr>
          <w:rFonts w:ascii="Times New Roman" w:hAnsi="Times New Roman" w:cs="Times New Roman"/>
          <w:sz w:val="28"/>
          <w:szCs w:val="28"/>
          <w:lang w:val="uk-UA"/>
        </w:rPr>
        <w:t>Пилипець</w:t>
      </w:r>
      <w:proofErr w:type="spellEnd"/>
      <w:r w:rsidR="0000167A" w:rsidRPr="005F0419">
        <w:rPr>
          <w:rFonts w:ascii="Times New Roman" w:hAnsi="Times New Roman" w:cs="Times New Roman"/>
          <w:sz w:val="28"/>
          <w:szCs w:val="28"/>
          <w:lang w:val="uk-UA"/>
        </w:rPr>
        <w:t xml:space="preserve"> О.В. Впровадження методів активної рекреації у боротьбі з PTSD на території Чернівецької області (на прикладі США)</w:t>
      </w: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Збірник студентських наукових праць Чернівецького торговельно-економічного інституту КНТЕУ. Випуск XVІIІ. Чернівці, 2015. С.124-126</w:t>
      </w:r>
      <w:r w:rsidRPr="005F0419">
        <w:rPr>
          <w:rFonts w:ascii="Times New Roman" w:hAnsi="Times New Roman" w:cs="Times New Roman"/>
          <w:sz w:val="28"/>
          <w:szCs w:val="28"/>
          <w:lang w:val="uk-UA"/>
        </w:rPr>
        <w:t>.</w:t>
      </w:r>
    </w:p>
    <w:p w14:paraId="4F5DCB90" w14:textId="07ECA51B"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25. </w:t>
      </w:r>
      <w:proofErr w:type="spellStart"/>
      <w:r w:rsidR="0000167A" w:rsidRPr="005F0419">
        <w:rPr>
          <w:rFonts w:ascii="Times New Roman" w:hAnsi="Times New Roman" w:cs="Times New Roman"/>
          <w:sz w:val="28"/>
          <w:szCs w:val="28"/>
          <w:lang w:val="uk-UA"/>
        </w:rPr>
        <w:t>World</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Tourism</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Organization</w:t>
      </w:r>
      <w:proofErr w:type="spellEnd"/>
      <w:r w:rsidR="0000167A" w:rsidRPr="005F0419">
        <w:rPr>
          <w:rFonts w:ascii="Times New Roman" w:hAnsi="Times New Roman" w:cs="Times New Roman"/>
          <w:sz w:val="28"/>
          <w:szCs w:val="28"/>
          <w:lang w:val="uk-UA"/>
        </w:rPr>
        <w:t xml:space="preserve"> (2023), </w:t>
      </w:r>
      <w:proofErr w:type="spellStart"/>
      <w:r w:rsidR="0000167A" w:rsidRPr="005F0419">
        <w:rPr>
          <w:rFonts w:ascii="Times New Roman" w:hAnsi="Times New Roman" w:cs="Times New Roman"/>
          <w:sz w:val="28"/>
          <w:szCs w:val="28"/>
          <w:lang w:val="uk-UA"/>
        </w:rPr>
        <w:t>International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Tourism</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Highlights</w:t>
      </w:r>
      <w:proofErr w:type="spellEnd"/>
      <w:r w:rsidR="0000167A" w:rsidRPr="005F0419">
        <w:rPr>
          <w:rFonts w:ascii="Times New Roman" w:hAnsi="Times New Roman" w:cs="Times New Roman"/>
          <w:sz w:val="28"/>
          <w:szCs w:val="28"/>
          <w:lang w:val="uk-UA"/>
        </w:rPr>
        <w:t xml:space="preserve">, 2023 </w:t>
      </w:r>
      <w:proofErr w:type="spellStart"/>
      <w:r w:rsidR="0000167A" w:rsidRPr="005F0419">
        <w:rPr>
          <w:rFonts w:ascii="Times New Roman" w:hAnsi="Times New Roman" w:cs="Times New Roman"/>
          <w:sz w:val="28"/>
          <w:szCs w:val="28"/>
          <w:lang w:val="uk-UA"/>
        </w:rPr>
        <w:t>Edition</w:t>
      </w:r>
      <w:proofErr w:type="spellEnd"/>
      <w:r w:rsidR="0000167A" w:rsidRPr="005F0419">
        <w:rPr>
          <w:rFonts w:ascii="Times New Roman" w:hAnsi="Times New Roman" w:cs="Times New Roman"/>
          <w:sz w:val="28"/>
          <w:szCs w:val="28"/>
          <w:lang w:val="uk-UA"/>
        </w:rPr>
        <w:t xml:space="preserve"> –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impact</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COVID-19 </w:t>
      </w:r>
      <w:proofErr w:type="spellStart"/>
      <w:r w:rsidR="0000167A" w:rsidRPr="005F0419">
        <w:rPr>
          <w:rFonts w:ascii="Times New Roman" w:hAnsi="Times New Roman" w:cs="Times New Roman"/>
          <w:sz w:val="28"/>
          <w:szCs w:val="28"/>
          <w:lang w:val="uk-UA"/>
        </w:rPr>
        <w:t>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tourism</w:t>
      </w:r>
      <w:proofErr w:type="spellEnd"/>
      <w:r w:rsidR="0000167A" w:rsidRPr="005F0419">
        <w:rPr>
          <w:rFonts w:ascii="Times New Roman" w:hAnsi="Times New Roman" w:cs="Times New Roman"/>
          <w:sz w:val="28"/>
          <w:szCs w:val="28"/>
          <w:lang w:val="uk-UA"/>
        </w:rPr>
        <w:t xml:space="preserve"> (2020–2022), </w:t>
      </w:r>
      <w:proofErr w:type="spellStart"/>
      <w:r w:rsidR="0000167A" w:rsidRPr="005F0419">
        <w:rPr>
          <w:rFonts w:ascii="Times New Roman" w:hAnsi="Times New Roman" w:cs="Times New Roman"/>
          <w:sz w:val="28"/>
          <w:szCs w:val="28"/>
          <w:lang w:val="uk-UA"/>
        </w:rPr>
        <w:t>October</w:t>
      </w:r>
      <w:proofErr w:type="spellEnd"/>
      <w:r w:rsidR="0000167A" w:rsidRPr="005F0419">
        <w:rPr>
          <w:rFonts w:ascii="Times New Roman" w:hAnsi="Times New Roman" w:cs="Times New Roman"/>
          <w:sz w:val="28"/>
          <w:szCs w:val="28"/>
          <w:lang w:val="uk-UA"/>
        </w:rPr>
        <w:t xml:space="preserve"> 2023, UNWTO, </w:t>
      </w:r>
      <w:proofErr w:type="spellStart"/>
      <w:r w:rsidR="0000167A" w:rsidRPr="005F0419">
        <w:rPr>
          <w:rFonts w:ascii="Times New Roman" w:hAnsi="Times New Roman" w:cs="Times New Roman"/>
          <w:sz w:val="28"/>
          <w:szCs w:val="28"/>
          <w:lang w:val="uk-UA"/>
        </w:rPr>
        <w:t>Madrid</w:t>
      </w:r>
      <w:proofErr w:type="spellEnd"/>
      <w:r w:rsidR="0000167A" w:rsidRPr="005F0419">
        <w:rPr>
          <w:rFonts w:ascii="Times New Roman" w:hAnsi="Times New Roman" w:cs="Times New Roman"/>
          <w:sz w:val="28"/>
          <w:szCs w:val="28"/>
          <w:lang w:val="uk-UA"/>
        </w:rPr>
        <w:t xml:space="preserve">, DOI: </w:t>
      </w:r>
      <w:hyperlink r:id="rId209" w:history="1">
        <w:r w:rsidR="0000167A" w:rsidRPr="005F0419">
          <w:rPr>
            <w:rStyle w:val="a6"/>
            <w:rFonts w:ascii="Times New Roman" w:hAnsi="Times New Roman" w:cs="Times New Roman"/>
            <w:color w:val="auto"/>
            <w:sz w:val="28"/>
            <w:szCs w:val="28"/>
            <w:lang w:val="uk-UA"/>
          </w:rPr>
          <w:t>https://doi.org/10.18111/9789284424986</w:t>
        </w:r>
      </w:hyperlink>
      <w:r w:rsidR="0000167A" w:rsidRPr="005F0419">
        <w:rPr>
          <w:rFonts w:ascii="Times New Roman" w:hAnsi="Times New Roman" w:cs="Times New Roman"/>
          <w:sz w:val="28"/>
          <w:szCs w:val="28"/>
          <w:lang w:val="uk-UA"/>
        </w:rPr>
        <w:t>.</w:t>
      </w:r>
    </w:p>
    <w:p w14:paraId="5C57279B" w14:textId="76422EA5"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26. </w:t>
      </w:r>
      <w:proofErr w:type="spellStart"/>
      <w:r w:rsidR="0000167A" w:rsidRPr="005F0419">
        <w:rPr>
          <w:rFonts w:ascii="Times New Roman" w:hAnsi="Times New Roman" w:cs="Times New Roman"/>
          <w:sz w:val="28"/>
          <w:szCs w:val="28"/>
          <w:lang w:val="uk-UA"/>
        </w:rPr>
        <w:t>Кифяк</w:t>
      </w:r>
      <w:proofErr w:type="spellEnd"/>
      <w:r w:rsidR="0000167A" w:rsidRPr="005F0419">
        <w:rPr>
          <w:rFonts w:ascii="Times New Roman" w:hAnsi="Times New Roman" w:cs="Times New Roman"/>
          <w:sz w:val="28"/>
          <w:szCs w:val="28"/>
          <w:lang w:val="uk-UA"/>
        </w:rPr>
        <w:t xml:space="preserve"> В.Ф. Методологічні засади розрахунку чисельності туристів та обсягу наданих їм послуг. Вісник Чернівецького торговельно-економічного інституту. 2012. Економічні науки. Випуск ІІI (47). URL: </w:t>
      </w:r>
      <w:hyperlink r:id="rId210" w:history="1">
        <w:r w:rsidR="0000167A" w:rsidRPr="005F0419">
          <w:rPr>
            <w:rStyle w:val="a6"/>
            <w:rFonts w:ascii="Times New Roman" w:hAnsi="Times New Roman" w:cs="Times New Roman"/>
            <w:color w:val="auto"/>
            <w:sz w:val="28"/>
            <w:szCs w:val="28"/>
            <w:lang w:val="uk-UA"/>
          </w:rPr>
          <w:t>https://tourlib.net/statti_ukr/kyfjak5.htm</w:t>
        </w:r>
      </w:hyperlink>
    </w:p>
    <w:p w14:paraId="16974C6A" w14:textId="6CD13110"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27.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 Вплив туризму на розвиток готельної інфраструктури регіону в кризовий і посткризовий період</w:t>
      </w:r>
      <w:r w:rsidRPr="005F0419">
        <w:rPr>
          <w:rFonts w:ascii="Times New Roman" w:hAnsi="Times New Roman" w:cs="Times New Roman"/>
          <w:sz w:val="28"/>
          <w:szCs w:val="28"/>
          <w:lang w:val="uk-UA"/>
        </w:rPr>
        <w:t>.</w:t>
      </w:r>
      <w:r w:rsidR="0000167A" w:rsidRPr="005F0419">
        <w:rPr>
          <w:rFonts w:ascii="Times New Roman" w:hAnsi="Times New Roman" w:cs="Times New Roman"/>
          <w:sz w:val="28"/>
          <w:szCs w:val="28"/>
          <w:lang w:val="uk-UA"/>
        </w:rPr>
        <w:t xml:space="preserve"> Сфера гостинності Буковини в кризових умовах: стан та перспективи розвитку: монографія. За </w:t>
      </w:r>
      <w:proofErr w:type="spellStart"/>
      <w:r w:rsidR="0000167A" w:rsidRPr="005F0419">
        <w:rPr>
          <w:rFonts w:ascii="Times New Roman" w:hAnsi="Times New Roman" w:cs="Times New Roman"/>
          <w:sz w:val="28"/>
          <w:szCs w:val="28"/>
          <w:lang w:val="uk-UA"/>
        </w:rPr>
        <w:t>заг</w:t>
      </w:r>
      <w:proofErr w:type="spellEnd"/>
      <w:r w:rsidR="0000167A" w:rsidRPr="005F0419">
        <w:rPr>
          <w:rFonts w:ascii="Times New Roman" w:hAnsi="Times New Roman" w:cs="Times New Roman"/>
          <w:sz w:val="28"/>
          <w:szCs w:val="28"/>
          <w:lang w:val="uk-UA"/>
        </w:rPr>
        <w:t xml:space="preserve">. ред. В.Ф. </w:t>
      </w:r>
      <w:proofErr w:type="spellStart"/>
      <w:r w:rsidR="0000167A" w:rsidRPr="005F0419">
        <w:rPr>
          <w:rFonts w:ascii="Times New Roman" w:hAnsi="Times New Roman" w:cs="Times New Roman"/>
          <w:sz w:val="28"/>
          <w:szCs w:val="28"/>
          <w:lang w:val="uk-UA"/>
        </w:rPr>
        <w:t>Кифяка</w:t>
      </w:r>
      <w:proofErr w:type="spellEnd"/>
      <w:r w:rsidR="0000167A" w:rsidRPr="005F0419">
        <w:rPr>
          <w:rFonts w:ascii="Times New Roman" w:hAnsi="Times New Roman" w:cs="Times New Roman"/>
          <w:sz w:val="28"/>
          <w:szCs w:val="28"/>
          <w:lang w:val="uk-UA"/>
        </w:rPr>
        <w:t>. Чернівці. ЧТЕІ КНТЕУ, 2021. С. 97-123</w:t>
      </w:r>
      <w:r w:rsidRPr="005F0419">
        <w:rPr>
          <w:rFonts w:ascii="Times New Roman" w:hAnsi="Times New Roman" w:cs="Times New Roman"/>
          <w:sz w:val="28"/>
          <w:szCs w:val="28"/>
          <w:lang w:val="uk-UA"/>
        </w:rPr>
        <w:t>.</w:t>
      </w:r>
    </w:p>
    <w:p w14:paraId="455B2F96" w14:textId="66459ADF"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bookmarkStart w:id="18" w:name="_Hlk157891924"/>
      <w:r w:rsidRPr="005F0419">
        <w:rPr>
          <w:rFonts w:ascii="Times New Roman" w:hAnsi="Times New Roman" w:cs="Times New Roman"/>
          <w:sz w:val="28"/>
          <w:szCs w:val="28"/>
          <w:lang w:val="uk-UA"/>
        </w:rPr>
        <w:t xml:space="preserve">28. </w:t>
      </w:r>
      <w:r w:rsidR="0000167A" w:rsidRPr="005F0419">
        <w:rPr>
          <w:rFonts w:ascii="Times New Roman" w:hAnsi="Times New Roman" w:cs="Times New Roman"/>
          <w:sz w:val="28"/>
          <w:szCs w:val="28"/>
          <w:lang w:val="uk-UA"/>
        </w:rPr>
        <w:t>ДАРТ (Державне агентство розвитку туризму України). Статистика. Звіт за результатами опитування «Проведення дослідження внутрішнього та виїзного туризму українців». URL:</w:t>
      </w:r>
      <w:bookmarkEnd w:id="18"/>
      <w:r w:rsidR="0000167A" w:rsidRPr="005F0419">
        <w:rPr>
          <w:rFonts w:ascii="Times New Roman" w:hAnsi="Times New Roman" w:cs="Times New Roman"/>
          <w:sz w:val="28"/>
          <w:szCs w:val="28"/>
          <w:lang w:val="uk-UA"/>
        </w:rPr>
        <w:t xml:space="preserve"> </w:t>
      </w:r>
      <w:hyperlink r:id="rId211" w:history="1">
        <w:r w:rsidRPr="005F0419">
          <w:rPr>
            <w:rStyle w:val="a6"/>
            <w:rFonts w:ascii="Times New Roman" w:hAnsi="Times New Roman" w:cs="Times New Roman"/>
            <w:color w:val="auto"/>
            <w:sz w:val="28"/>
            <w:szCs w:val="28"/>
            <w:lang w:val="uk-UA"/>
          </w:rPr>
          <w:t>http://surl.li/catlt</w:t>
        </w:r>
      </w:hyperlink>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(дата звернення 04.01.2024)</w:t>
      </w:r>
    </w:p>
    <w:p w14:paraId="563D665B" w14:textId="071E9136"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29.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 </w:t>
      </w:r>
      <w:proofErr w:type="spellStart"/>
      <w:r w:rsidR="0000167A" w:rsidRPr="005F0419">
        <w:rPr>
          <w:rFonts w:ascii="Times New Roman" w:hAnsi="Times New Roman" w:cs="Times New Roman"/>
          <w:sz w:val="28"/>
          <w:szCs w:val="28"/>
          <w:lang w:val="uk-UA"/>
        </w:rPr>
        <w:t>Cоціальні</w:t>
      </w:r>
      <w:proofErr w:type="spellEnd"/>
      <w:r w:rsidR="0000167A" w:rsidRPr="005F0419">
        <w:rPr>
          <w:rFonts w:ascii="Times New Roman" w:hAnsi="Times New Roman" w:cs="Times New Roman"/>
          <w:sz w:val="28"/>
          <w:szCs w:val="28"/>
          <w:lang w:val="uk-UA"/>
        </w:rPr>
        <w:t xml:space="preserve"> мережі як альтернатива удосконалення та управління туристично-екскурсійною діяльністю. Вісник ЧТЕІ, Чернівці. № III (79). 2020. С. 115-128</w:t>
      </w:r>
      <w:r w:rsidRPr="005F0419">
        <w:rPr>
          <w:rFonts w:ascii="Times New Roman" w:hAnsi="Times New Roman" w:cs="Times New Roman"/>
          <w:sz w:val="28"/>
          <w:szCs w:val="28"/>
          <w:lang w:val="uk-UA"/>
        </w:rPr>
        <w:t>.</w:t>
      </w:r>
    </w:p>
    <w:p w14:paraId="0C8C9B3C" w14:textId="783B116C"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30.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 Соціальні мережі як альтернатива удосконалення та управління туристичними брендами в екскурсійній діяльності</w:t>
      </w:r>
      <w:r w:rsidRPr="005F0419">
        <w:rPr>
          <w:rFonts w:ascii="Times New Roman" w:hAnsi="Times New Roman" w:cs="Times New Roman"/>
          <w:sz w:val="28"/>
          <w:szCs w:val="28"/>
          <w:lang w:val="uk-UA"/>
        </w:rPr>
        <w:t>.</w:t>
      </w:r>
      <w:r w:rsidR="0000167A" w:rsidRPr="005F0419">
        <w:rPr>
          <w:rFonts w:ascii="Times New Roman" w:hAnsi="Times New Roman" w:cs="Times New Roman"/>
          <w:sz w:val="28"/>
          <w:szCs w:val="28"/>
          <w:lang w:val="uk-UA"/>
        </w:rPr>
        <w:t xml:space="preserve"> Формування та управління </w:t>
      </w:r>
      <w:proofErr w:type="spellStart"/>
      <w:r w:rsidR="0000167A" w:rsidRPr="005F0419">
        <w:rPr>
          <w:rFonts w:ascii="Times New Roman" w:hAnsi="Times New Roman" w:cs="Times New Roman"/>
          <w:sz w:val="28"/>
          <w:szCs w:val="28"/>
          <w:lang w:val="uk-UA"/>
        </w:rPr>
        <w:t>брендинговими</w:t>
      </w:r>
      <w:proofErr w:type="spellEnd"/>
      <w:r w:rsidR="0000167A" w:rsidRPr="005F0419">
        <w:rPr>
          <w:rFonts w:ascii="Times New Roman" w:hAnsi="Times New Roman" w:cs="Times New Roman"/>
          <w:sz w:val="28"/>
          <w:szCs w:val="28"/>
          <w:lang w:val="uk-UA"/>
        </w:rPr>
        <w:t xml:space="preserve"> технологіями підприємств регіону в умовах євроінтеграції: монографія / за </w:t>
      </w:r>
      <w:proofErr w:type="spellStart"/>
      <w:r w:rsidR="0000167A" w:rsidRPr="005F0419">
        <w:rPr>
          <w:rFonts w:ascii="Times New Roman" w:hAnsi="Times New Roman" w:cs="Times New Roman"/>
          <w:sz w:val="28"/>
          <w:szCs w:val="28"/>
          <w:lang w:val="uk-UA"/>
        </w:rPr>
        <w:t>заг</w:t>
      </w:r>
      <w:proofErr w:type="spellEnd"/>
      <w:r w:rsidR="0000167A" w:rsidRPr="005F0419">
        <w:rPr>
          <w:rFonts w:ascii="Times New Roman" w:hAnsi="Times New Roman" w:cs="Times New Roman"/>
          <w:sz w:val="28"/>
          <w:szCs w:val="28"/>
          <w:lang w:val="uk-UA"/>
        </w:rPr>
        <w:t xml:space="preserve">. ред. </w:t>
      </w:r>
      <w:proofErr w:type="spellStart"/>
      <w:r w:rsidR="0000167A" w:rsidRPr="005F0419">
        <w:rPr>
          <w:rFonts w:ascii="Times New Roman" w:hAnsi="Times New Roman" w:cs="Times New Roman"/>
          <w:sz w:val="28"/>
          <w:szCs w:val="28"/>
          <w:lang w:val="uk-UA"/>
        </w:rPr>
        <w:t>д.е.н</w:t>
      </w:r>
      <w:proofErr w:type="spellEnd"/>
      <w:r w:rsidR="0000167A" w:rsidRPr="005F0419">
        <w:rPr>
          <w:rFonts w:ascii="Times New Roman" w:hAnsi="Times New Roman" w:cs="Times New Roman"/>
          <w:sz w:val="28"/>
          <w:szCs w:val="28"/>
          <w:lang w:val="uk-UA"/>
        </w:rPr>
        <w:t xml:space="preserve">., проф. </w:t>
      </w:r>
      <w:proofErr w:type="spellStart"/>
      <w:r w:rsidR="0000167A" w:rsidRPr="005F0419">
        <w:rPr>
          <w:rFonts w:ascii="Times New Roman" w:hAnsi="Times New Roman" w:cs="Times New Roman"/>
          <w:sz w:val="28"/>
          <w:szCs w:val="28"/>
          <w:lang w:val="uk-UA"/>
        </w:rPr>
        <w:t>Вдовічена</w:t>
      </w:r>
      <w:proofErr w:type="spellEnd"/>
      <w:r w:rsidR="0000167A" w:rsidRPr="005F0419">
        <w:rPr>
          <w:rFonts w:ascii="Times New Roman" w:hAnsi="Times New Roman" w:cs="Times New Roman"/>
          <w:sz w:val="28"/>
          <w:szCs w:val="28"/>
          <w:lang w:val="uk-UA"/>
        </w:rPr>
        <w:t xml:space="preserve"> А.А. Чернівці: ЧТЕІ ДТЕУ, 2023. С. 86-91</w:t>
      </w:r>
      <w:r w:rsidRPr="005F0419">
        <w:rPr>
          <w:rFonts w:ascii="Times New Roman" w:hAnsi="Times New Roman" w:cs="Times New Roman"/>
          <w:sz w:val="28"/>
          <w:szCs w:val="28"/>
          <w:lang w:val="uk-UA"/>
        </w:rPr>
        <w:t>.</w:t>
      </w:r>
    </w:p>
    <w:p w14:paraId="092C0F0A" w14:textId="74C0FA5B"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31. </w:t>
      </w:r>
      <w:r w:rsidR="0000167A" w:rsidRPr="005F0419">
        <w:rPr>
          <w:rFonts w:ascii="Times New Roman" w:hAnsi="Times New Roman" w:cs="Times New Roman"/>
          <w:sz w:val="28"/>
          <w:szCs w:val="28"/>
          <w:lang w:val="uk-UA"/>
        </w:rPr>
        <w:t xml:space="preserve">Шевчук С. Україні потрібно буде залучати мінімум 300 000 мігрантів щороку. </w:t>
      </w:r>
      <w:proofErr w:type="spellStart"/>
      <w:r w:rsidR="0000167A" w:rsidRPr="005F0419">
        <w:rPr>
          <w:rFonts w:ascii="Times New Roman" w:hAnsi="Times New Roman" w:cs="Times New Roman"/>
          <w:sz w:val="28"/>
          <w:szCs w:val="28"/>
          <w:lang w:val="uk-UA"/>
        </w:rPr>
        <w:t>Соціологиня</w:t>
      </w:r>
      <w:proofErr w:type="spellEnd"/>
      <w:r w:rsidR="0000167A" w:rsidRPr="005F0419">
        <w:rPr>
          <w:rFonts w:ascii="Times New Roman" w:hAnsi="Times New Roman" w:cs="Times New Roman"/>
          <w:sz w:val="28"/>
          <w:szCs w:val="28"/>
          <w:lang w:val="uk-UA"/>
        </w:rPr>
        <w:t xml:space="preserve"> Елла </w:t>
      </w:r>
      <w:proofErr w:type="spellStart"/>
      <w:r w:rsidR="0000167A" w:rsidRPr="005F0419">
        <w:rPr>
          <w:rFonts w:ascii="Times New Roman" w:hAnsi="Times New Roman" w:cs="Times New Roman"/>
          <w:sz w:val="28"/>
          <w:szCs w:val="28"/>
          <w:lang w:val="uk-UA"/>
        </w:rPr>
        <w:t>Лібанова</w:t>
      </w:r>
      <w:proofErr w:type="spellEnd"/>
      <w:r w:rsidR="0000167A" w:rsidRPr="005F0419">
        <w:rPr>
          <w:rFonts w:ascii="Times New Roman" w:hAnsi="Times New Roman" w:cs="Times New Roman"/>
          <w:sz w:val="28"/>
          <w:szCs w:val="28"/>
          <w:lang w:val="uk-UA"/>
        </w:rPr>
        <w:t xml:space="preserve"> про </w:t>
      </w:r>
      <w:proofErr w:type="spellStart"/>
      <w:r w:rsidR="0000167A" w:rsidRPr="005F0419">
        <w:rPr>
          <w:rFonts w:ascii="Times New Roman" w:hAnsi="Times New Roman" w:cs="Times New Roman"/>
          <w:sz w:val="28"/>
          <w:szCs w:val="28"/>
          <w:lang w:val="uk-UA"/>
        </w:rPr>
        <w:t>екзистенційні</w:t>
      </w:r>
      <w:proofErr w:type="spellEnd"/>
      <w:r w:rsidR="0000167A" w:rsidRPr="005F0419">
        <w:rPr>
          <w:rFonts w:ascii="Times New Roman" w:hAnsi="Times New Roman" w:cs="Times New Roman"/>
          <w:sz w:val="28"/>
          <w:szCs w:val="28"/>
          <w:lang w:val="uk-UA"/>
        </w:rPr>
        <w:t xml:space="preserve"> проблеми з демографією і що можна зробити? </w:t>
      </w:r>
      <w:proofErr w:type="spellStart"/>
      <w:r w:rsidR="0000167A" w:rsidRPr="005F0419">
        <w:rPr>
          <w:rFonts w:ascii="Times New Roman" w:hAnsi="Times New Roman" w:cs="Times New Roman"/>
          <w:sz w:val="28"/>
          <w:szCs w:val="28"/>
          <w:lang w:val="uk-UA"/>
        </w:rPr>
        <w:t>Forbes</w:t>
      </w:r>
      <w:proofErr w:type="spellEnd"/>
      <w:r w:rsidR="0000167A" w:rsidRPr="005F0419">
        <w:rPr>
          <w:rFonts w:ascii="Times New Roman" w:hAnsi="Times New Roman" w:cs="Times New Roman"/>
          <w:sz w:val="28"/>
          <w:szCs w:val="28"/>
          <w:lang w:val="uk-UA"/>
        </w:rPr>
        <w:t xml:space="preserve">. URL: </w:t>
      </w:r>
      <w:hyperlink r:id="rId212" w:history="1">
        <w:r w:rsidRPr="005F0419">
          <w:rPr>
            <w:rStyle w:val="a6"/>
            <w:rFonts w:ascii="Times New Roman" w:hAnsi="Times New Roman" w:cs="Times New Roman"/>
            <w:color w:val="auto"/>
            <w:sz w:val="28"/>
            <w:szCs w:val="28"/>
            <w:lang w:val="uk-UA"/>
          </w:rPr>
          <w:t>http://surl.li/mmegz</w:t>
        </w:r>
      </w:hyperlink>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(дата звернення 04.01.2024)</w:t>
      </w:r>
    </w:p>
    <w:p w14:paraId="7A49959F" w14:textId="1E78C0EE"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32. </w:t>
      </w:r>
      <w:r w:rsidR="0000167A" w:rsidRPr="005F0419">
        <w:rPr>
          <w:rFonts w:ascii="Times New Roman" w:hAnsi="Times New Roman" w:cs="Times New Roman"/>
          <w:sz w:val="28"/>
          <w:szCs w:val="28"/>
          <w:lang w:val="uk-UA"/>
        </w:rPr>
        <w:t xml:space="preserve">ДАРТ (Державне агентство розвитку туризму України). Статистика. За 9 місяців 2023 року до державного бюджету від туристичної галузі надійшло майже 1,5 млрд. грн. </w:t>
      </w:r>
      <w:r w:rsidRPr="005F0419">
        <w:rPr>
          <w:rFonts w:ascii="Times New Roman" w:hAnsi="Times New Roman" w:cs="Times New Roman"/>
          <w:sz w:val="28"/>
          <w:szCs w:val="28"/>
          <w:lang w:val="uk-UA"/>
        </w:rPr>
        <w:t xml:space="preserve">URL: </w:t>
      </w:r>
      <w:hyperlink r:id="rId213" w:history="1">
        <w:r w:rsidRPr="005F0419">
          <w:rPr>
            <w:rStyle w:val="a6"/>
            <w:rFonts w:ascii="Times New Roman" w:hAnsi="Times New Roman" w:cs="Times New Roman"/>
            <w:color w:val="auto"/>
            <w:sz w:val="28"/>
            <w:szCs w:val="28"/>
            <w:lang w:val="uk-UA"/>
          </w:rPr>
          <w:t>http://surl.li/ncodi</w:t>
        </w:r>
      </w:hyperlink>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(дата звернення 04.01.2024)</w:t>
      </w:r>
      <w:r w:rsidRPr="005F0419">
        <w:rPr>
          <w:rFonts w:ascii="Times New Roman" w:hAnsi="Times New Roman" w:cs="Times New Roman"/>
          <w:sz w:val="28"/>
          <w:szCs w:val="28"/>
          <w:lang w:val="uk-UA"/>
        </w:rPr>
        <w:t>.</w:t>
      </w:r>
    </w:p>
    <w:p w14:paraId="73FDEE4B" w14:textId="4B649998" w:rsidR="0000167A" w:rsidRPr="005F0419" w:rsidRDefault="002178A9"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33. </w:t>
      </w:r>
      <w:r w:rsidR="0000167A" w:rsidRPr="005F0419">
        <w:rPr>
          <w:rFonts w:ascii="Times New Roman" w:hAnsi="Times New Roman" w:cs="Times New Roman"/>
          <w:sz w:val="28"/>
          <w:szCs w:val="28"/>
          <w:lang w:val="uk-UA"/>
        </w:rPr>
        <w:t xml:space="preserve">ДАРТ (Державне агентство розвитку туризму України). Статистика. Динаміка податкових надходжень від регіонів за три квартали 2023 року. URL: </w:t>
      </w:r>
      <w:hyperlink r:id="rId214" w:history="1">
        <w:r w:rsidRPr="005F0419">
          <w:rPr>
            <w:rStyle w:val="a6"/>
            <w:rFonts w:ascii="Times New Roman" w:hAnsi="Times New Roman" w:cs="Times New Roman"/>
            <w:color w:val="auto"/>
            <w:sz w:val="28"/>
            <w:szCs w:val="28"/>
            <w:lang w:val="uk-UA"/>
          </w:rPr>
          <w:t>http://surl.li/ngcgl</w:t>
        </w:r>
      </w:hyperlink>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(дата звернення 04.01.2024)</w:t>
      </w:r>
      <w:r w:rsidRPr="005F0419">
        <w:rPr>
          <w:rFonts w:ascii="Times New Roman" w:hAnsi="Times New Roman" w:cs="Times New Roman"/>
          <w:sz w:val="28"/>
          <w:szCs w:val="28"/>
          <w:lang w:val="uk-UA"/>
        </w:rPr>
        <w:t>.</w:t>
      </w:r>
    </w:p>
    <w:p w14:paraId="6FABA50F" w14:textId="457DADE3" w:rsidR="0000167A" w:rsidRPr="005F0419" w:rsidRDefault="00AF17B7"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34.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Р.М., </w:t>
      </w:r>
      <w:proofErr w:type="spellStart"/>
      <w:r w:rsidR="0000167A" w:rsidRPr="005F0419">
        <w:rPr>
          <w:rFonts w:ascii="Times New Roman" w:hAnsi="Times New Roman" w:cs="Times New Roman"/>
          <w:sz w:val="28"/>
          <w:szCs w:val="28"/>
          <w:lang w:val="uk-UA"/>
        </w:rPr>
        <w:t>Пилипець</w:t>
      </w:r>
      <w:proofErr w:type="spellEnd"/>
      <w:r w:rsidR="0000167A" w:rsidRPr="005F0419">
        <w:rPr>
          <w:rFonts w:ascii="Times New Roman" w:hAnsi="Times New Roman" w:cs="Times New Roman"/>
          <w:sz w:val="28"/>
          <w:szCs w:val="28"/>
          <w:lang w:val="uk-UA"/>
        </w:rPr>
        <w:t xml:space="preserve"> О.В. Напрями розвитку рекреаційної терапії для реабілітації населення після військових конфліктів</w:t>
      </w:r>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 xml:space="preserve">Матеріали Міжнародної </w:t>
      </w:r>
      <w:r w:rsidR="0000167A" w:rsidRPr="005F0419">
        <w:rPr>
          <w:rFonts w:ascii="Times New Roman" w:hAnsi="Times New Roman" w:cs="Times New Roman"/>
          <w:sz w:val="28"/>
          <w:szCs w:val="28"/>
          <w:lang w:val="uk-UA"/>
        </w:rPr>
        <w:lastRenderedPageBreak/>
        <w:t>наукової конференції «Європейський вибір економічного поступу регіону», (26-27 травня 2016 р., м. Чернівці). Чернівці, 2016. С. 67-69</w:t>
      </w:r>
      <w:r w:rsidRPr="005F0419">
        <w:rPr>
          <w:rFonts w:ascii="Times New Roman" w:hAnsi="Times New Roman" w:cs="Times New Roman"/>
          <w:sz w:val="28"/>
          <w:szCs w:val="28"/>
          <w:lang w:val="uk-UA"/>
        </w:rPr>
        <w:t>.</w:t>
      </w:r>
    </w:p>
    <w:p w14:paraId="26E82D5B" w14:textId="60A958EC" w:rsidR="0000167A" w:rsidRPr="005F0419" w:rsidRDefault="00AF17B7"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35.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Р.М., </w:t>
      </w:r>
      <w:proofErr w:type="spellStart"/>
      <w:r w:rsidR="0000167A" w:rsidRPr="005F0419">
        <w:rPr>
          <w:rFonts w:ascii="Times New Roman" w:hAnsi="Times New Roman" w:cs="Times New Roman"/>
          <w:sz w:val="28"/>
          <w:szCs w:val="28"/>
          <w:lang w:val="uk-UA"/>
        </w:rPr>
        <w:t>Пилипець</w:t>
      </w:r>
      <w:proofErr w:type="spellEnd"/>
      <w:r w:rsidR="0000167A" w:rsidRPr="005F0419">
        <w:rPr>
          <w:rFonts w:ascii="Times New Roman" w:hAnsi="Times New Roman" w:cs="Times New Roman"/>
          <w:sz w:val="28"/>
          <w:szCs w:val="28"/>
          <w:lang w:val="uk-UA"/>
        </w:rPr>
        <w:t xml:space="preserve"> О.В. Напрями розвитку активної рекреації у реабілітації українських військових та цивільного населення після збройних конфліктів</w:t>
      </w:r>
      <w:r w:rsidRPr="005F0419">
        <w:rPr>
          <w:rFonts w:ascii="Times New Roman" w:hAnsi="Times New Roman" w:cs="Times New Roman"/>
          <w:sz w:val="28"/>
          <w:szCs w:val="28"/>
          <w:lang w:val="uk-UA"/>
        </w:rPr>
        <w:t>.</w:t>
      </w:r>
      <w:r w:rsidR="0000167A" w:rsidRPr="005F0419">
        <w:rPr>
          <w:rFonts w:ascii="Times New Roman" w:hAnsi="Times New Roman" w:cs="Times New Roman"/>
          <w:sz w:val="28"/>
          <w:szCs w:val="28"/>
          <w:lang w:val="uk-UA"/>
        </w:rPr>
        <w:t xml:space="preserve"> Українська географія : сучасні виклики. </w:t>
      </w:r>
      <w:proofErr w:type="spellStart"/>
      <w:r w:rsidR="0000167A" w:rsidRPr="005F0419">
        <w:rPr>
          <w:rFonts w:ascii="Times New Roman" w:hAnsi="Times New Roman" w:cs="Times New Roman"/>
          <w:sz w:val="28"/>
          <w:szCs w:val="28"/>
          <w:lang w:val="uk-UA"/>
        </w:rPr>
        <w:t>Зб</w:t>
      </w:r>
      <w:proofErr w:type="spellEnd"/>
      <w:r w:rsidR="0000167A" w:rsidRPr="005F0419">
        <w:rPr>
          <w:rFonts w:ascii="Times New Roman" w:hAnsi="Times New Roman" w:cs="Times New Roman"/>
          <w:sz w:val="28"/>
          <w:szCs w:val="28"/>
          <w:lang w:val="uk-UA"/>
        </w:rPr>
        <w:t xml:space="preserve">. наук. праць у 3-х т. (м. Вінниця, 17-19 травня, 2016). К.: </w:t>
      </w:r>
      <w:proofErr w:type="spellStart"/>
      <w:r w:rsidR="0000167A" w:rsidRPr="005F0419">
        <w:rPr>
          <w:rFonts w:ascii="Times New Roman" w:hAnsi="Times New Roman" w:cs="Times New Roman"/>
          <w:sz w:val="28"/>
          <w:szCs w:val="28"/>
          <w:lang w:val="uk-UA"/>
        </w:rPr>
        <w:t>Прінт</w:t>
      </w:r>
      <w:proofErr w:type="spellEnd"/>
      <w:r w:rsidR="0000167A" w:rsidRPr="005F0419">
        <w:rPr>
          <w:rFonts w:ascii="Times New Roman" w:hAnsi="Times New Roman" w:cs="Times New Roman"/>
          <w:sz w:val="28"/>
          <w:szCs w:val="28"/>
          <w:lang w:val="uk-UA"/>
        </w:rPr>
        <w:t>-Сервіс, 2016. Т ІІІ. С. 35-37</w:t>
      </w:r>
      <w:r w:rsidRPr="005F0419">
        <w:rPr>
          <w:rFonts w:ascii="Times New Roman" w:hAnsi="Times New Roman" w:cs="Times New Roman"/>
          <w:sz w:val="28"/>
          <w:szCs w:val="28"/>
          <w:lang w:val="uk-UA"/>
        </w:rPr>
        <w:t>.</w:t>
      </w:r>
    </w:p>
    <w:p w14:paraId="3420CE1B" w14:textId="6499123B" w:rsidR="0000167A" w:rsidRPr="005F0419" w:rsidRDefault="00AF17B7" w:rsidP="001C3FA7">
      <w:pPr>
        <w:spacing w:after="0" w:line="360" w:lineRule="auto"/>
        <w:ind w:firstLine="720"/>
        <w:contextualSpacing/>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36. </w:t>
      </w:r>
      <w:proofErr w:type="spellStart"/>
      <w:r w:rsidR="0000167A" w:rsidRPr="005F0419">
        <w:rPr>
          <w:rFonts w:ascii="Times New Roman" w:hAnsi="Times New Roman" w:cs="Times New Roman"/>
          <w:sz w:val="28"/>
          <w:szCs w:val="28"/>
          <w:lang w:val="uk-UA"/>
        </w:rPr>
        <w:t>Гищук</w:t>
      </w:r>
      <w:proofErr w:type="spellEnd"/>
      <w:r w:rsidR="0000167A" w:rsidRPr="005F0419">
        <w:rPr>
          <w:rFonts w:ascii="Times New Roman" w:hAnsi="Times New Roman" w:cs="Times New Roman"/>
          <w:sz w:val="28"/>
          <w:szCs w:val="28"/>
          <w:lang w:val="uk-UA"/>
        </w:rPr>
        <w:t xml:space="preserve"> Р. До питання розвитку рекреаційно-оздоровчого кластеру для лікування посттравматичного стресового розладу</w:t>
      </w:r>
      <w:r w:rsidRPr="005F0419">
        <w:rPr>
          <w:rFonts w:ascii="Times New Roman" w:hAnsi="Times New Roman" w:cs="Times New Roman"/>
          <w:sz w:val="28"/>
          <w:szCs w:val="28"/>
          <w:lang w:val="uk-UA"/>
        </w:rPr>
        <w:t>.</w:t>
      </w:r>
      <w:r w:rsidR="0000167A" w:rsidRPr="005F0419">
        <w:rPr>
          <w:rFonts w:ascii="Times New Roman" w:hAnsi="Times New Roman" w:cs="Times New Roman"/>
          <w:sz w:val="28"/>
          <w:szCs w:val="28"/>
          <w:lang w:val="uk-UA"/>
        </w:rPr>
        <w:t xml:space="preserve"> Науковий вісник ЧНУ ім. </w:t>
      </w:r>
      <w:proofErr w:type="spellStart"/>
      <w:r w:rsidR="0000167A" w:rsidRPr="005F0419">
        <w:rPr>
          <w:rFonts w:ascii="Times New Roman" w:hAnsi="Times New Roman" w:cs="Times New Roman"/>
          <w:sz w:val="28"/>
          <w:szCs w:val="28"/>
          <w:lang w:val="uk-UA"/>
        </w:rPr>
        <w:t>Ю.Федьковича</w:t>
      </w:r>
      <w:proofErr w:type="spellEnd"/>
      <w:r w:rsidR="0000167A" w:rsidRPr="005F0419">
        <w:rPr>
          <w:rFonts w:ascii="Times New Roman" w:hAnsi="Times New Roman" w:cs="Times New Roman"/>
          <w:sz w:val="28"/>
          <w:szCs w:val="28"/>
          <w:lang w:val="uk-UA"/>
        </w:rPr>
        <w:t xml:space="preserve">: Географія, 2017. </w:t>
      </w:r>
      <w:proofErr w:type="spellStart"/>
      <w:r w:rsidR="0000167A" w:rsidRPr="005F0419">
        <w:rPr>
          <w:rFonts w:ascii="Times New Roman" w:hAnsi="Times New Roman" w:cs="Times New Roman"/>
          <w:sz w:val="28"/>
          <w:szCs w:val="28"/>
          <w:lang w:val="uk-UA"/>
        </w:rPr>
        <w:t>Вип</w:t>
      </w:r>
      <w:proofErr w:type="spellEnd"/>
      <w:r w:rsidR="0000167A" w:rsidRPr="005F0419">
        <w:rPr>
          <w:rFonts w:ascii="Times New Roman" w:hAnsi="Times New Roman" w:cs="Times New Roman"/>
          <w:sz w:val="28"/>
          <w:szCs w:val="28"/>
          <w:lang w:val="uk-UA"/>
        </w:rPr>
        <w:t>. 785: Географія. C. 54-59</w:t>
      </w:r>
      <w:r w:rsidRPr="005F0419">
        <w:rPr>
          <w:rFonts w:ascii="Times New Roman" w:hAnsi="Times New Roman" w:cs="Times New Roman"/>
          <w:sz w:val="28"/>
          <w:szCs w:val="28"/>
          <w:lang w:val="uk-UA"/>
        </w:rPr>
        <w:t>.</w:t>
      </w:r>
    </w:p>
    <w:p w14:paraId="698FB7AD" w14:textId="5F411640" w:rsidR="0000167A" w:rsidRPr="005F0419" w:rsidRDefault="00AF17B7" w:rsidP="001C3FA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37. </w:t>
      </w:r>
      <w:proofErr w:type="spellStart"/>
      <w:r w:rsidR="0000167A" w:rsidRPr="005F0419">
        <w:rPr>
          <w:rFonts w:ascii="Times New Roman" w:hAnsi="Times New Roman" w:cs="Times New Roman"/>
          <w:sz w:val="28"/>
          <w:szCs w:val="28"/>
          <w:lang w:val="uk-UA"/>
        </w:rPr>
        <w:t>Erickson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Dana</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Exploring</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the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possibility</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of</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using</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outdoor</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recreation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to</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promote</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mental</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health</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in</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veterans</w:t>
      </w:r>
      <w:proofErr w:type="spellEnd"/>
      <w:r w:rsidR="0000167A" w:rsidRPr="005F0419">
        <w:rPr>
          <w:rFonts w:ascii="Times New Roman" w:hAnsi="Times New Roman" w:cs="Times New Roman"/>
          <w:sz w:val="28"/>
          <w:szCs w:val="28"/>
          <w:lang w:val="uk-UA"/>
        </w:rPr>
        <w:t xml:space="preserve"> </w:t>
      </w:r>
      <w:proofErr w:type="spellStart"/>
      <w:r w:rsidR="0000167A" w:rsidRPr="005F0419">
        <w:rPr>
          <w:rFonts w:ascii="Times New Roman" w:hAnsi="Times New Roman" w:cs="Times New Roman"/>
          <w:sz w:val="28"/>
          <w:szCs w:val="28"/>
          <w:lang w:val="uk-UA"/>
        </w:rPr>
        <w:t>with</w:t>
      </w:r>
      <w:proofErr w:type="spellEnd"/>
      <w:r w:rsidR="0000167A" w:rsidRPr="005F0419">
        <w:rPr>
          <w:rFonts w:ascii="Times New Roman" w:hAnsi="Times New Roman" w:cs="Times New Roman"/>
          <w:sz w:val="28"/>
          <w:szCs w:val="28"/>
          <w:lang w:val="uk-UA"/>
        </w:rPr>
        <w:t xml:space="preserve"> PTSD. (2011). URL: </w:t>
      </w:r>
      <w:hyperlink r:id="rId215" w:history="1">
        <w:r w:rsidRPr="005F0419">
          <w:rPr>
            <w:rStyle w:val="a6"/>
            <w:rFonts w:ascii="Times New Roman" w:hAnsi="Times New Roman" w:cs="Times New Roman"/>
            <w:color w:val="auto"/>
            <w:sz w:val="28"/>
            <w:szCs w:val="28"/>
            <w:lang w:val="uk-UA"/>
          </w:rPr>
          <w:t>http://surl.li/rarbq</w:t>
        </w:r>
      </w:hyperlink>
      <w:r w:rsidRPr="005F0419">
        <w:rPr>
          <w:rFonts w:ascii="Times New Roman" w:hAnsi="Times New Roman" w:cs="Times New Roman"/>
          <w:sz w:val="28"/>
          <w:szCs w:val="28"/>
          <w:lang w:val="uk-UA"/>
        </w:rPr>
        <w:t xml:space="preserve"> </w:t>
      </w:r>
      <w:r w:rsidR="0000167A" w:rsidRPr="005F0419">
        <w:rPr>
          <w:rFonts w:ascii="Times New Roman" w:hAnsi="Times New Roman" w:cs="Times New Roman"/>
          <w:sz w:val="28"/>
          <w:szCs w:val="28"/>
          <w:lang w:val="uk-UA"/>
        </w:rPr>
        <w:t xml:space="preserve">(дата звернення 04.01.2024) </w:t>
      </w:r>
    </w:p>
    <w:p w14:paraId="498647D5" w14:textId="77777777" w:rsidR="0000167A" w:rsidRPr="005F0419" w:rsidRDefault="0000167A" w:rsidP="00662012">
      <w:pPr>
        <w:spacing w:after="0" w:line="360" w:lineRule="auto"/>
        <w:ind w:firstLine="720"/>
        <w:jc w:val="both"/>
        <w:rPr>
          <w:rFonts w:ascii="Times New Roman" w:hAnsi="Times New Roman" w:cs="Times New Roman"/>
          <w:sz w:val="28"/>
          <w:szCs w:val="28"/>
          <w:lang w:val="uk-UA"/>
        </w:rPr>
      </w:pPr>
    </w:p>
    <w:p w14:paraId="3F7E8401" w14:textId="4ED2C43C" w:rsidR="0000167A" w:rsidRPr="005F0419" w:rsidRDefault="0000167A" w:rsidP="00662012">
      <w:pPr>
        <w:spacing w:after="0" w:line="360" w:lineRule="auto"/>
        <w:ind w:firstLine="720"/>
        <w:jc w:val="both"/>
        <w:rPr>
          <w:rFonts w:ascii="Times New Roman" w:hAnsi="Times New Roman" w:cs="Times New Roman"/>
          <w:i/>
          <w:iCs/>
          <w:sz w:val="28"/>
          <w:szCs w:val="28"/>
          <w:lang w:val="uk-UA"/>
        </w:rPr>
      </w:pPr>
      <w:r w:rsidRPr="005F0419">
        <w:rPr>
          <w:rFonts w:ascii="Times New Roman" w:hAnsi="Times New Roman" w:cs="Times New Roman"/>
          <w:b/>
          <w:bCs/>
          <w:i/>
          <w:iCs/>
          <w:sz w:val="28"/>
          <w:szCs w:val="28"/>
          <w:lang w:val="uk-UA"/>
        </w:rPr>
        <w:t>Ключові слова</w:t>
      </w:r>
      <w:r w:rsidRPr="005F0419">
        <w:rPr>
          <w:rFonts w:ascii="Times New Roman" w:hAnsi="Times New Roman" w:cs="Times New Roman"/>
          <w:i/>
          <w:iCs/>
          <w:sz w:val="28"/>
          <w:szCs w:val="28"/>
          <w:lang w:val="uk-UA"/>
        </w:rPr>
        <w:t xml:space="preserve">: рекреація, туризм, послуги гостинності, пандемія COVID-19, воєнний стан, посттравматичний стресовий розлад (ПТРС), кластер, поведінка споживача, соціальні мережі. </w:t>
      </w:r>
    </w:p>
    <w:p w14:paraId="06BF03FF" w14:textId="69090B13" w:rsidR="0000167A" w:rsidRPr="005F0419" w:rsidRDefault="0000167A" w:rsidP="00662012">
      <w:pPr>
        <w:spacing w:after="0" w:line="360" w:lineRule="auto"/>
        <w:ind w:firstLine="720"/>
        <w:jc w:val="both"/>
        <w:rPr>
          <w:rFonts w:ascii="Times New Roman" w:hAnsi="Times New Roman" w:cs="Times New Roman"/>
          <w:sz w:val="28"/>
          <w:szCs w:val="28"/>
          <w:lang w:val="uk-UA"/>
        </w:rPr>
      </w:pPr>
    </w:p>
    <w:p w14:paraId="1AFAD602" w14:textId="23F0D91B" w:rsidR="0000167A" w:rsidRPr="005F0419" w:rsidRDefault="0000167A" w:rsidP="00662012">
      <w:pPr>
        <w:spacing w:after="0" w:line="360" w:lineRule="auto"/>
        <w:ind w:firstLine="720"/>
        <w:jc w:val="both"/>
        <w:rPr>
          <w:rFonts w:ascii="Times New Roman" w:hAnsi="Times New Roman" w:cs="Times New Roman"/>
          <w:sz w:val="28"/>
          <w:szCs w:val="28"/>
          <w:lang w:val="uk-UA"/>
        </w:rPr>
      </w:pPr>
    </w:p>
    <w:p w14:paraId="4B328F57" w14:textId="3B15D584" w:rsidR="00DF4A33" w:rsidRPr="005F0419" w:rsidRDefault="00DF4A33" w:rsidP="00662012">
      <w:pPr>
        <w:spacing w:after="0" w:line="360" w:lineRule="auto"/>
        <w:ind w:firstLine="720"/>
        <w:jc w:val="both"/>
        <w:rPr>
          <w:rFonts w:ascii="Times New Roman" w:hAnsi="Times New Roman" w:cs="Times New Roman"/>
          <w:sz w:val="28"/>
          <w:szCs w:val="28"/>
          <w:lang w:val="uk-UA"/>
        </w:rPr>
      </w:pPr>
    </w:p>
    <w:p w14:paraId="1FA43A5B" w14:textId="77777777" w:rsidR="00A55004" w:rsidRPr="005F0419" w:rsidRDefault="00A55004" w:rsidP="007715AB">
      <w:pPr>
        <w:spacing w:after="0" w:line="360" w:lineRule="auto"/>
        <w:ind w:firstLine="720"/>
        <w:jc w:val="center"/>
        <w:rPr>
          <w:rFonts w:ascii="Times New Roman" w:eastAsia="Times New Roman" w:hAnsi="Times New Roman" w:cs="Times New Roman"/>
          <w:sz w:val="28"/>
          <w:szCs w:val="28"/>
          <w:lang w:val="uk-UA"/>
        </w:rPr>
      </w:pPr>
      <w:bookmarkStart w:id="19" w:name="_Hlk160025227"/>
      <w:bookmarkStart w:id="20" w:name="_Hlk160025177"/>
      <w:r w:rsidRPr="005F0419">
        <w:rPr>
          <w:rFonts w:ascii="Times New Roman" w:eastAsia="Calibri" w:hAnsi="Times New Roman" w:cs="Times New Roman"/>
          <w:b/>
          <w:bCs/>
          <w:caps/>
          <w:sz w:val="28"/>
          <w:szCs w:val="28"/>
          <w:lang w:val="uk-UA"/>
        </w:rPr>
        <w:t>управління розвитком персоналу ЗАКЛАДІВ ІНДУСТРІЇ ГОСТИННОСТІ: теоретичний та практичний аспекти</w:t>
      </w:r>
      <w:r w:rsidRPr="005F0419">
        <w:rPr>
          <w:rFonts w:ascii="Times New Roman" w:eastAsia="Times New Roman" w:hAnsi="Times New Roman" w:cs="Times New Roman"/>
          <w:sz w:val="28"/>
          <w:szCs w:val="28"/>
          <w:lang w:val="uk-UA"/>
        </w:rPr>
        <w:t xml:space="preserve">                                        </w:t>
      </w:r>
    </w:p>
    <w:bookmarkEnd w:id="19"/>
    <w:p w14:paraId="7A5F8155" w14:textId="77777777" w:rsidR="00A55004" w:rsidRPr="005F0419" w:rsidRDefault="00A55004" w:rsidP="00662012">
      <w:pPr>
        <w:tabs>
          <w:tab w:val="left" w:pos="5245"/>
          <w:tab w:val="right" w:pos="9355"/>
        </w:tabs>
        <w:spacing w:after="0" w:line="360" w:lineRule="auto"/>
        <w:ind w:firstLine="720"/>
        <w:jc w:val="right"/>
        <w:rPr>
          <w:rFonts w:ascii="Times New Roman" w:eastAsia="Times New Roman" w:hAnsi="Times New Roman" w:cs="Times New Roman"/>
          <w:i/>
          <w:sz w:val="28"/>
          <w:szCs w:val="28"/>
          <w:lang w:val="uk-UA"/>
        </w:rPr>
      </w:pPr>
    </w:p>
    <w:bookmarkEnd w:id="20"/>
    <w:p w14:paraId="580634CD" w14:textId="76E07DB8" w:rsidR="00EF3405" w:rsidRDefault="00877ECC" w:rsidP="00877ECC">
      <w:pPr>
        <w:tabs>
          <w:tab w:val="left" w:pos="5245"/>
          <w:tab w:val="right" w:pos="9355"/>
        </w:tabs>
        <w:spacing w:after="0" w:line="360" w:lineRule="auto"/>
        <w:ind w:firstLine="720"/>
        <w:jc w:val="center"/>
        <w:rPr>
          <w:rFonts w:ascii="Times New Roman" w:eastAsia="Times New Roman" w:hAnsi="Times New Roman" w:cs="Times New Roman"/>
          <w:b/>
          <w:i/>
          <w:iCs/>
          <w:sz w:val="28"/>
          <w:szCs w:val="28"/>
          <w:lang w:val="uk-UA"/>
        </w:rPr>
      </w:pPr>
      <w:proofErr w:type="spellStart"/>
      <w:r w:rsidRPr="005F0419">
        <w:rPr>
          <w:rFonts w:ascii="Times New Roman" w:eastAsia="Times New Roman" w:hAnsi="Times New Roman" w:cs="Times New Roman"/>
          <w:b/>
          <w:i/>
          <w:iCs/>
          <w:sz w:val="28"/>
          <w:szCs w:val="28"/>
          <w:lang w:val="uk-UA"/>
        </w:rPr>
        <w:t>Гузар</w:t>
      </w:r>
      <w:proofErr w:type="spellEnd"/>
      <w:r w:rsidRPr="005F0419">
        <w:rPr>
          <w:rFonts w:ascii="Times New Roman" w:eastAsia="Times New Roman" w:hAnsi="Times New Roman" w:cs="Times New Roman"/>
          <w:b/>
          <w:i/>
          <w:iCs/>
          <w:sz w:val="28"/>
          <w:szCs w:val="28"/>
          <w:lang w:val="uk-UA"/>
        </w:rPr>
        <w:t xml:space="preserve"> Уляна Євгенівна, Паска Марія </w:t>
      </w:r>
      <w:r w:rsidR="00571B42" w:rsidRPr="005F0419">
        <w:rPr>
          <w:rFonts w:ascii="Times New Roman" w:eastAsia="Times New Roman" w:hAnsi="Times New Roman" w:cs="Times New Roman"/>
          <w:b/>
          <w:i/>
          <w:iCs/>
          <w:sz w:val="28"/>
          <w:szCs w:val="28"/>
          <w:lang w:val="uk-UA"/>
        </w:rPr>
        <w:t>Зіновіївна</w:t>
      </w:r>
      <w:r w:rsidR="00EF3405">
        <w:rPr>
          <w:rFonts w:ascii="Times New Roman" w:eastAsia="Times New Roman" w:hAnsi="Times New Roman" w:cs="Times New Roman"/>
          <w:b/>
          <w:i/>
          <w:iCs/>
          <w:sz w:val="28"/>
          <w:szCs w:val="28"/>
          <w:lang w:val="uk-UA"/>
        </w:rPr>
        <w:t xml:space="preserve">, </w:t>
      </w:r>
    </w:p>
    <w:p w14:paraId="57C7455B" w14:textId="7ADEFFBF" w:rsidR="00877ECC" w:rsidRPr="005F0419" w:rsidRDefault="00EF3405" w:rsidP="00877ECC">
      <w:pPr>
        <w:tabs>
          <w:tab w:val="left" w:pos="5245"/>
          <w:tab w:val="right" w:pos="9355"/>
        </w:tabs>
        <w:spacing w:after="0" w:line="360" w:lineRule="auto"/>
        <w:ind w:firstLine="720"/>
        <w:jc w:val="center"/>
        <w:rPr>
          <w:rFonts w:ascii="Times New Roman" w:eastAsia="Times New Roman" w:hAnsi="Times New Roman" w:cs="Times New Roman"/>
          <w:b/>
          <w:i/>
          <w:iCs/>
          <w:sz w:val="28"/>
          <w:szCs w:val="28"/>
          <w:lang w:val="uk-UA"/>
        </w:rPr>
      </w:pPr>
      <w:r w:rsidRPr="00EF3405">
        <w:rPr>
          <w:rFonts w:ascii="Times New Roman" w:eastAsia="Times New Roman" w:hAnsi="Times New Roman" w:cs="Times New Roman"/>
          <w:b/>
          <w:i/>
          <w:iCs/>
          <w:sz w:val="28"/>
          <w:szCs w:val="28"/>
          <w:lang w:val="uk-UA"/>
        </w:rPr>
        <w:t>Чирка В’ячеслав Ігорович</w:t>
      </w:r>
      <w:r>
        <w:rPr>
          <w:rFonts w:ascii="Times New Roman" w:eastAsia="Times New Roman" w:hAnsi="Times New Roman" w:cs="Times New Roman"/>
          <w:b/>
          <w:i/>
          <w:iCs/>
          <w:sz w:val="28"/>
          <w:szCs w:val="28"/>
          <w:lang w:val="uk-UA"/>
        </w:rPr>
        <w:t xml:space="preserve">, </w:t>
      </w:r>
      <w:r w:rsidRPr="005F0419">
        <w:rPr>
          <w:rFonts w:ascii="Times New Roman" w:eastAsia="Times New Roman" w:hAnsi="Times New Roman" w:cs="Times New Roman"/>
          <w:b/>
          <w:i/>
          <w:iCs/>
          <w:sz w:val="28"/>
          <w:szCs w:val="28"/>
          <w:lang w:val="uk-UA"/>
        </w:rPr>
        <w:t>Назар Мар’яна Ігорівна</w:t>
      </w:r>
    </w:p>
    <w:p w14:paraId="67E7135A" w14:textId="77777777" w:rsidR="00877ECC" w:rsidRPr="005F0419" w:rsidRDefault="00877ECC" w:rsidP="00877ECC">
      <w:pPr>
        <w:tabs>
          <w:tab w:val="left" w:pos="5245"/>
          <w:tab w:val="right" w:pos="9355"/>
        </w:tabs>
        <w:spacing w:after="0" w:line="360" w:lineRule="auto"/>
        <w:ind w:firstLine="720"/>
        <w:jc w:val="center"/>
        <w:rPr>
          <w:rFonts w:ascii="Times New Roman" w:eastAsia="Times New Roman" w:hAnsi="Times New Roman" w:cs="Times New Roman"/>
          <w:b/>
          <w:i/>
          <w:iCs/>
          <w:sz w:val="28"/>
          <w:szCs w:val="28"/>
          <w:lang w:val="uk-UA"/>
        </w:rPr>
      </w:pPr>
    </w:p>
    <w:p w14:paraId="47D293DB" w14:textId="12BC9684" w:rsidR="00A55004" w:rsidRPr="005F0419" w:rsidRDefault="00A55004" w:rsidP="00877ECC">
      <w:pPr>
        <w:tabs>
          <w:tab w:val="left" w:pos="5245"/>
          <w:tab w:val="right" w:pos="9355"/>
        </w:tabs>
        <w:spacing w:after="0" w:line="360" w:lineRule="auto"/>
        <w:ind w:firstLine="720"/>
        <w:jc w:val="both"/>
        <w:rPr>
          <w:rFonts w:ascii="Times New Roman" w:eastAsia="Times New Roman" w:hAnsi="Times New Roman" w:cs="Times New Roman"/>
          <w:sz w:val="28"/>
          <w:szCs w:val="28"/>
          <w:lang w:val="uk-UA" w:eastAsia="uk-UA"/>
        </w:rPr>
      </w:pPr>
      <w:r w:rsidRPr="005F0419">
        <w:rPr>
          <w:rFonts w:ascii="Times New Roman" w:eastAsia="Times New Roman" w:hAnsi="Times New Roman" w:cs="Times New Roman"/>
          <w:sz w:val="28"/>
          <w:szCs w:val="28"/>
          <w:lang w:val="uk-UA" w:eastAsia="uk-UA"/>
        </w:rPr>
        <w:t xml:space="preserve">Сьогодні розвиток практично усіх видів економічної діяльності пов'язується із здатністю генерувати нові знання, нагромаджувати інтелектуальний капітал як запоруки ефективної та прибуткової трудової діяльності в умовах сучасної економіки. </w:t>
      </w:r>
    </w:p>
    <w:p w14:paraId="747F2101"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 xml:space="preserve">В сучасних умовах становлення економіки побудованої на знаннях серед різноманітності проблем, зв’язаних із забезпеченням нормального та ефективного розвитку підприємств та організацій, однією із головних є проблема управління розвитком персоналом.  Адже в найближчому майбутньому найкращого розвитку досягнуть ті підприємства, які роблять головну ставку на людські ресурси та управління ними. </w:t>
      </w:r>
    </w:p>
    <w:p w14:paraId="4C222B82"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Розвиток персоналу –  одна з найважливіших складових загального підвищення ефективного виробництва.  В економічно нестабільні періоди проблемі розвитку персоналу надавали недостатньо уваги, але саме в період кризи розвиток персоналу є однією з умов економічного зростання.  Досягти високих результатів можна тільки тоді, коли люди володіють знаннями, уміннями і цілеспрямованістю.  Освіта і навчання персоналу повинна бути безперервною і забезпечувати необхідний професійний розвиток.  За сучасних умов проблема розвитку персоналу набуває все більшої актуальності [1]. </w:t>
      </w:r>
    </w:p>
    <w:p w14:paraId="55EBF5B7"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Успіх підприємства напряму залежить від злагодженої, командної роботи колективу. Для організацій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-ресторанного бізнесу, питання розвитку персоналу відіграє першочергову роль,  адже саме персонал є обличчям закладу, тим, хто зустрічає та проводжає гостей, надає рекомендації тощо [2].</w:t>
      </w:r>
    </w:p>
    <w:p w14:paraId="583E3F00"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Теоретичні аспекти управління розвитком персоналу досліджували ряд зарубіжних і вітчизняних вчених, зокрема:  </w:t>
      </w:r>
      <w:proofErr w:type="spellStart"/>
      <w:r w:rsidRPr="005F0419">
        <w:rPr>
          <w:rFonts w:ascii="Times New Roman" w:eastAsia="Times New Roman" w:hAnsi="Times New Roman" w:cs="Times New Roman"/>
          <w:sz w:val="28"/>
          <w:szCs w:val="28"/>
          <w:lang w:val="uk-UA"/>
        </w:rPr>
        <w:t>Бісвас</w:t>
      </w:r>
      <w:proofErr w:type="spellEnd"/>
      <w:r w:rsidRPr="005F0419">
        <w:rPr>
          <w:rFonts w:ascii="Times New Roman" w:eastAsia="Times New Roman" w:hAnsi="Times New Roman" w:cs="Times New Roman"/>
          <w:sz w:val="28"/>
          <w:szCs w:val="28"/>
          <w:lang w:val="uk-UA"/>
        </w:rPr>
        <w:t xml:space="preserve"> П.Ч.,  Євтушевський В.А., Крушельницька О.В., Мельничук Д.П.,  Савченко В.А. та ін.  Однак внаслідок складності й </w:t>
      </w:r>
      <w:proofErr w:type="spellStart"/>
      <w:r w:rsidRPr="005F0419">
        <w:rPr>
          <w:rFonts w:ascii="Times New Roman" w:eastAsia="Times New Roman" w:hAnsi="Times New Roman" w:cs="Times New Roman"/>
          <w:sz w:val="28"/>
          <w:szCs w:val="28"/>
          <w:lang w:val="uk-UA"/>
        </w:rPr>
        <w:t>багатоаспектності</w:t>
      </w:r>
      <w:proofErr w:type="spellEnd"/>
      <w:r w:rsidRPr="005F0419">
        <w:rPr>
          <w:rFonts w:ascii="Times New Roman" w:eastAsia="Times New Roman" w:hAnsi="Times New Roman" w:cs="Times New Roman"/>
          <w:sz w:val="28"/>
          <w:szCs w:val="28"/>
          <w:lang w:val="uk-UA"/>
        </w:rPr>
        <w:t xml:space="preserve"> цієї проблеми в сучасних умовах дані питання не достатньо досліджені на рівні закладів індустрії гостинності. </w:t>
      </w:r>
    </w:p>
    <w:p w14:paraId="6703D4D0"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Значне місце в процесі розвитку персоналу займають методи навчання. Вони є важливою складовою розвитку персоналу, ступінь їх </w:t>
      </w:r>
      <w:proofErr w:type="spellStart"/>
      <w:r w:rsidRPr="005F0419">
        <w:rPr>
          <w:rFonts w:ascii="Times New Roman" w:hAnsi="Times New Roman" w:cs="Times New Roman"/>
          <w:sz w:val="28"/>
          <w:szCs w:val="28"/>
          <w:lang w:val="uk-UA"/>
        </w:rPr>
        <w:t>дослідженості</w:t>
      </w:r>
      <w:proofErr w:type="spellEnd"/>
      <w:r w:rsidRPr="005F0419">
        <w:rPr>
          <w:rFonts w:ascii="Times New Roman" w:hAnsi="Times New Roman" w:cs="Times New Roman"/>
          <w:sz w:val="28"/>
          <w:szCs w:val="28"/>
          <w:lang w:val="uk-UA"/>
        </w:rPr>
        <w:t xml:space="preserve"> на сьогодні є достатньо високим. Охоплюючи різні аспекти діяльності працівника на підприємстві, ці методи пропонують чітко визначений інструментарій для досягнення прогнозованих результатів. Широка варіативність навчальних форм робить  ці  методи  достатньо  гнучкими  та  чутливими  до  особливостей предметної сфери їх застосування.</w:t>
      </w:r>
    </w:p>
    <w:p w14:paraId="19082C65"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 xml:space="preserve">Кожна компанія рано чи пізно приходить до єдиного висновку: персонал – це головний ресурс компанії. Сьогодні, в умовах повномасштабної війни в Україні, постають якісно нові зміни ролі людини в організації, перетворивши її на головний фактор успіху і ефективної діяльності організації. Так, за статистичними даними 85% опитаних японських менеджерів на перше місце в своїх задачах поставили розвиток людських ресурсів в той час, як впровадження нових технологій зайняло 45%, а просування продукції на нові ринки – 20% [3].   </w:t>
      </w:r>
    </w:p>
    <w:p w14:paraId="699BE9B1"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Різні вчені по-різному трактують сутність поняття «розвиток персоналу», акцентуючи увагу на окремих аспектах даної категорії.</w:t>
      </w:r>
    </w:p>
    <w:p w14:paraId="1D6124B0"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Грішнова</w:t>
      </w:r>
      <w:proofErr w:type="spellEnd"/>
      <w:r w:rsidRPr="005F0419">
        <w:rPr>
          <w:rFonts w:ascii="Times New Roman" w:eastAsia="Times New Roman" w:hAnsi="Times New Roman" w:cs="Times New Roman"/>
          <w:sz w:val="28"/>
          <w:szCs w:val="28"/>
          <w:lang w:val="uk-UA"/>
        </w:rPr>
        <w:t xml:space="preserve"> О.А. під розвитком персоналу розуміє передусім сукупність всіх організаційно-економічних заходів підприємства у сфері навчання персоналу, його перепідготовки і перекваліфікації [4]. В широкому ж розумінні розвиток персоналу також охоплює питання професійної адаптації, оцінки кандидатів на вакантні посади, поточного періодичного оцінювання персоналу, планування ділової кар’єри, службово-професійного просування та багато інших. </w:t>
      </w:r>
    </w:p>
    <w:p w14:paraId="32C9314E" w14:textId="6CBE7932" w:rsidR="00A55004" w:rsidRPr="005F0419" w:rsidRDefault="00A55004" w:rsidP="00877ECC">
      <w:pPr>
        <w:tabs>
          <w:tab w:val="left" w:pos="540"/>
        </w:tabs>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Зарубіжний вчений, Том Н. під системою розвитку персоналу розуміє цілеспрямований комплекс інформаційних, освітніх та прив’язаних до конкретних робочих місць елементів, які сприяють підвищенню кваліфікації працівників даного підприємства у відповідності із завданнями розвитку самого підприємства і потенціалом та нахилами співробітників [5]. </w:t>
      </w:r>
    </w:p>
    <w:p w14:paraId="6B754E1B"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Таким чином, розвиток персоналу – це сукупність організаційно-економічних, соціальних та педагогічних методів, форм і заходів служби управління персоналом організації в сфері професійної підготовки, перепідготовки і підвищення кваліфікації працівників для підготовки їх до виконання нових виробничих функцій, </w:t>
      </w:r>
      <w:proofErr w:type="spellStart"/>
      <w:r w:rsidRPr="005F0419">
        <w:rPr>
          <w:rFonts w:ascii="Times New Roman" w:eastAsia="Times New Roman" w:hAnsi="Times New Roman" w:cs="Times New Roman"/>
          <w:sz w:val="28"/>
          <w:szCs w:val="28"/>
          <w:lang w:val="uk-UA"/>
        </w:rPr>
        <w:t>професійно</w:t>
      </w:r>
      <w:proofErr w:type="spellEnd"/>
      <w:r w:rsidRPr="005F0419">
        <w:rPr>
          <w:rFonts w:ascii="Times New Roman" w:eastAsia="Times New Roman" w:hAnsi="Times New Roman" w:cs="Times New Roman"/>
          <w:sz w:val="28"/>
          <w:szCs w:val="28"/>
          <w:lang w:val="uk-UA"/>
        </w:rPr>
        <w:t>-кваліфікаційного просування, формування резерву керівників та вдосконалення соціальної структури персоналу. Розвиток персоналу забезпечується заходами, пов’язаними з оцінюванням кадрів з метою виробничої адаптації та атестації персоналу, плануванням трудової кар’єри робітників і фахівців, стимулюванням розвитку персоналу [6].</w:t>
      </w:r>
    </w:p>
    <w:p w14:paraId="0E425AAC"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 xml:space="preserve">Завданням розвитку персоналу організації є: </w:t>
      </w:r>
    </w:p>
    <w:p w14:paraId="229D2B83"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здійснення професійної підготовки робітників, створення сприятливих умов для ефективної роботи персоналу шляхом запровадження гнучкої системи безперервної післядипломної освіти працівників; </w:t>
      </w:r>
    </w:p>
    <w:p w14:paraId="029B0ED2"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організація виробничої адаптації персоналу, його </w:t>
      </w:r>
      <w:proofErr w:type="spellStart"/>
      <w:r w:rsidRPr="005F0419">
        <w:rPr>
          <w:rFonts w:ascii="Times New Roman" w:eastAsia="Times New Roman" w:hAnsi="Times New Roman" w:cs="Times New Roman"/>
          <w:sz w:val="28"/>
          <w:szCs w:val="28"/>
          <w:lang w:val="uk-UA"/>
        </w:rPr>
        <w:t>професійно</w:t>
      </w:r>
      <w:proofErr w:type="spellEnd"/>
      <w:r w:rsidRPr="005F0419">
        <w:rPr>
          <w:rFonts w:ascii="Times New Roman" w:eastAsia="Times New Roman" w:hAnsi="Times New Roman" w:cs="Times New Roman"/>
          <w:sz w:val="28"/>
          <w:szCs w:val="28"/>
          <w:lang w:val="uk-UA"/>
        </w:rPr>
        <w:t xml:space="preserve">-кваліфікаційного просування для реалізації цілей стратегічного управління; </w:t>
      </w:r>
    </w:p>
    <w:p w14:paraId="119433AE"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забезпечення більш повного використання здібностей, інтересів і нахилів працівника, його освітнього та професійного потенціалу для впровадження у практику нововведень, високих технологій і таким чином підвищувати гнучкість організації, її конкурентоспроможність на ринку; </w:t>
      </w:r>
    </w:p>
    <w:p w14:paraId="7D8F6630"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проведення оцінювання персоналу, застосування результатів оцінювання під час здійснення виробничої адаптації, атестації працівників, забезпечення взаємозв’язку атестації зі стратегією управління конкурентоспроможністю персоналу організації; </w:t>
      </w:r>
    </w:p>
    <w:p w14:paraId="01503754"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формування позитивного ставлення персоналу до організації, її керівництва внаслідок цілеспрямованого планування трудової кар’єри працівників, ефективного матеріального і нематеріального стимулювання їх розвитку, підвищення престижу та привабливості організації серед молоді й інших груп населення.</w:t>
      </w:r>
    </w:p>
    <w:p w14:paraId="7D67369A"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Процес розвитку персоналу багатоаспектний і представляє собою сукупність пов’язаних між собою елементів (рис. 1).</w:t>
      </w:r>
    </w:p>
    <w:p w14:paraId="4CC1D73C"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Розвиток персоналу в сучасних умовах тісно взаємопов’язаний та взаємообумовлений поняттями «освіта», «професійне навчання персоналу» і «</w:t>
      </w:r>
      <w:proofErr w:type="spellStart"/>
      <w:r w:rsidRPr="005F0419">
        <w:rPr>
          <w:rFonts w:ascii="Times New Roman" w:eastAsia="Times New Roman" w:hAnsi="Times New Roman" w:cs="Times New Roman"/>
          <w:sz w:val="28"/>
          <w:szCs w:val="28"/>
          <w:lang w:val="uk-UA"/>
        </w:rPr>
        <w:t>професійно</w:t>
      </w:r>
      <w:proofErr w:type="spellEnd"/>
      <w:r w:rsidRPr="005F0419">
        <w:rPr>
          <w:rFonts w:ascii="Times New Roman" w:eastAsia="Times New Roman" w:hAnsi="Times New Roman" w:cs="Times New Roman"/>
          <w:sz w:val="28"/>
          <w:szCs w:val="28"/>
          <w:lang w:val="uk-UA"/>
        </w:rPr>
        <w:t>-кваліфікаційне просування персоналу».</w:t>
      </w:r>
    </w:p>
    <w:p w14:paraId="436AE66C"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Освіта – це процес та результат засвоєння особистістю систематизованих теоретичних знань, умінь і практичних навичок, що необхідні їй для професійного навчання, підготовки до праці, інтеграції у суспільство [8]. Рівень загальної середньої, професійно-технічної та вищої освіти обумовлюється вимогами виробництва, станом розвитку науки, техніки, технологій і культури, а також суспільними відносинами.</w:t>
      </w:r>
    </w:p>
    <w:p w14:paraId="77169DF7" w14:textId="4F85F898" w:rsidR="00A55004"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pacing w:val="-4"/>
          <w:sz w:val="28"/>
          <w:szCs w:val="28"/>
          <w:lang w:val="uk-UA"/>
        </w:rPr>
      </w:pPr>
      <w:r w:rsidRPr="005F0419">
        <w:rPr>
          <w:rFonts w:ascii="Times New Roman" w:eastAsia="Times New Roman" w:hAnsi="Times New Roman" w:cs="Times New Roman"/>
          <w:spacing w:val="-4"/>
          <w:sz w:val="28"/>
          <w:szCs w:val="28"/>
          <w:lang w:val="uk-UA"/>
        </w:rPr>
        <w:lastRenderedPageBreak/>
        <w:t xml:space="preserve">У сфері </w:t>
      </w:r>
      <w:proofErr w:type="spellStart"/>
      <w:r w:rsidRPr="005F0419">
        <w:rPr>
          <w:rFonts w:ascii="Times New Roman" w:eastAsia="Times New Roman" w:hAnsi="Times New Roman" w:cs="Times New Roman"/>
          <w:spacing w:val="-4"/>
          <w:sz w:val="28"/>
          <w:szCs w:val="28"/>
          <w:lang w:val="uk-UA"/>
        </w:rPr>
        <w:t>готельно</w:t>
      </w:r>
      <w:proofErr w:type="spellEnd"/>
      <w:r w:rsidRPr="005F0419">
        <w:rPr>
          <w:rFonts w:ascii="Times New Roman" w:eastAsia="Times New Roman" w:hAnsi="Times New Roman" w:cs="Times New Roman"/>
          <w:spacing w:val="-4"/>
          <w:sz w:val="28"/>
          <w:szCs w:val="28"/>
          <w:lang w:val="uk-UA"/>
        </w:rPr>
        <w:t xml:space="preserve">-ресторанного бізнесу навчання персоналу відіграє велику роль і є необхідною складовою ефективного функціонування закладу. Специфіка сфери індустрії гостинності полягає в тому, що персонал є «обличчям» підприємства і саме якість надання послуги залежить від професіоналізму кожного працівника. Саме тому невід’ємним елементом навчання персоналу готельного та ресторанного господарства є професійне навчання.  </w:t>
      </w:r>
    </w:p>
    <w:p w14:paraId="4304CCEF" w14:textId="77777777" w:rsidR="007715AB" w:rsidRPr="005F0419" w:rsidRDefault="007715AB" w:rsidP="007715AB">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noProof/>
          <w:sz w:val="28"/>
          <w:szCs w:val="28"/>
          <w:lang w:val="uk-UA"/>
        </w:rPr>
        <mc:AlternateContent>
          <mc:Choice Requires="wpc">
            <w:drawing>
              <wp:inline distT="0" distB="0" distL="0" distR="0" wp14:anchorId="2D4C93A3" wp14:editId="6DC8A0CA">
                <wp:extent cx="5715000" cy="3310255"/>
                <wp:effectExtent l="0" t="3175" r="3810" b="10795"/>
                <wp:docPr id="516445470" name="Полотно 8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966969787" name="Oval 71"/>
                        <wps:cNvSpPr>
                          <a:spLocks noChangeArrowheads="1"/>
                        </wps:cNvSpPr>
                        <wps:spPr bwMode="auto">
                          <a:xfrm>
                            <a:off x="2057200" y="1125885"/>
                            <a:ext cx="1485600" cy="1206484"/>
                          </a:xfrm>
                          <a:prstGeom prst="ellipse">
                            <a:avLst/>
                          </a:prstGeom>
                          <a:solidFill>
                            <a:srgbClr val="FFFF99"/>
                          </a:solidFill>
                          <a:ln w="9525">
                            <a:solidFill>
                              <a:srgbClr val="000000"/>
                            </a:solidFill>
                            <a:round/>
                            <a:headEnd/>
                            <a:tailEnd/>
                          </a:ln>
                        </wps:spPr>
                        <wps:txbx>
                          <w:txbxContent>
                            <w:p w14:paraId="1F625AD1" w14:textId="77777777" w:rsidR="00571B42" w:rsidRDefault="00571B42" w:rsidP="007715AB">
                              <w:pPr>
                                <w:jc w:val="center"/>
                                <w:rPr>
                                  <w:lang w:val="uk-UA"/>
                                </w:rPr>
                              </w:pPr>
                            </w:p>
                            <w:p w14:paraId="1B42BE26" w14:textId="77777777" w:rsidR="00571B42" w:rsidRPr="009412B8" w:rsidRDefault="00571B42" w:rsidP="007715AB">
                              <w:pPr>
                                <w:jc w:val="center"/>
                                <w:rPr>
                                  <w:b/>
                                  <w:lang w:val="uk-UA"/>
                                </w:rPr>
                              </w:pPr>
                              <w:r>
                                <w:rPr>
                                  <w:b/>
                                  <w:lang w:val="uk-UA"/>
                                </w:rPr>
                                <w:t>РОЗВИТОК ПЕРСОНАЛ</w:t>
                              </w:r>
                            </w:p>
                          </w:txbxContent>
                        </wps:txbx>
                        <wps:bodyPr rot="0" vert="horz" wrap="square" lIns="91440" tIns="45720" rIns="91440" bIns="45720" anchor="t" anchorCtr="0" upright="1">
                          <a:noAutofit/>
                        </wps:bodyPr>
                      </wps:wsp>
                      <wps:wsp>
                        <wps:cNvPr id="852847810" name="Oval 72"/>
                        <wps:cNvSpPr>
                          <a:spLocks noChangeArrowheads="1"/>
                        </wps:cNvSpPr>
                        <wps:spPr bwMode="auto">
                          <a:xfrm>
                            <a:off x="3771900" y="1252883"/>
                            <a:ext cx="1599800" cy="914288"/>
                          </a:xfrm>
                          <a:prstGeom prst="ellipse">
                            <a:avLst/>
                          </a:prstGeom>
                          <a:solidFill>
                            <a:srgbClr val="C0C0C0"/>
                          </a:solidFill>
                          <a:ln w="9525">
                            <a:solidFill>
                              <a:srgbClr val="000000"/>
                            </a:solidFill>
                            <a:round/>
                            <a:headEnd/>
                            <a:tailEnd/>
                          </a:ln>
                        </wps:spPr>
                        <wps:txbx>
                          <w:txbxContent>
                            <w:p w14:paraId="6A857073" w14:textId="77777777" w:rsidR="00571B42" w:rsidRPr="00430187" w:rsidRDefault="00571B42" w:rsidP="007715AB">
                              <w:pPr>
                                <w:jc w:val="center"/>
                                <w:rPr>
                                  <w:sz w:val="24"/>
                                  <w:szCs w:val="24"/>
                                  <w:lang w:val="uk-UA"/>
                                </w:rPr>
                              </w:pPr>
                              <w:r w:rsidRPr="00430187">
                                <w:rPr>
                                  <w:sz w:val="24"/>
                                  <w:szCs w:val="24"/>
                                  <w:lang w:val="uk-UA"/>
                                </w:rPr>
                                <w:t>Виробнича адаптація персоналу</w:t>
                              </w:r>
                            </w:p>
                          </w:txbxContent>
                        </wps:txbx>
                        <wps:bodyPr rot="0" vert="horz" wrap="square" lIns="91440" tIns="45720" rIns="91440" bIns="45720" anchor="t" anchorCtr="0" upright="1">
                          <a:noAutofit/>
                        </wps:bodyPr>
                      </wps:wsp>
                      <wps:wsp>
                        <wps:cNvPr id="1711366361" name="Oval 73"/>
                        <wps:cNvSpPr>
                          <a:spLocks noChangeArrowheads="1"/>
                        </wps:cNvSpPr>
                        <wps:spPr bwMode="auto">
                          <a:xfrm>
                            <a:off x="247700" y="1252883"/>
                            <a:ext cx="1578600" cy="1033086"/>
                          </a:xfrm>
                          <a:prstGeom prst="ellipse">
                            <a:avLst/>
                          </a:prstGeom>
                          <a:solidFill>
                            <a:srgbClr val="C0C0C0"/>
                          </a:solidFill>
                          <a:ln w="9525">
                            <a:solidFill>
                              <a:srgbClr val="000000"/>
                            </a:solidFill>
                            <a:round/>
                            <a:headEnd/>
                            <a:tailEnd/>
                          </a:ln>
                        </wps:spPr>
                        <wps:txbx>
                          <w:txbxContent>
                            <w:p w14:paraId="1C37D1E8" w14:textId="77777777" w:rsidR="00571B42" w:rsidRPr="00160F37" w:rsidRDefault="00571B42" w:rsidP="007715AB">
                              <w:pPr>
                                <w:jc w:val="center"/>
                                <w:rPr>
                                  <w:sz w:val="24"/>
                                  <w:szCs w:val="24"/>
                                  <w:lang w:val="uk-UA"/>
                                </w:rPr>
                              </w:pPr>
                              <w:r w:rsidRPr="00160F37">
                                <w:rPr>
                                  <w:sz w:val="24"/>
                                  <w:szCs w:val="24"/>
                                  <w:lang w:val="uk-UA"/>
                                </w:rPr>
                                <w:t>Оцінювання й атестація персоналу</w:t>
                              </w:r>
                            </w:p>
                          </w:txbxContent>
                        </wps:txbx>
                        <wps:bodyPr rot="0" vert="horz" wrap="square" lIns="91440" tIns="45720" rIns="91440" bIns="45720" anchor="t" anchorCtr="0" upright="1">
                          <a:noAutofit/>
                        </wps:bodyPr>
                      </wps:wsp>
                      <wps:wsp>
                        <wps:cNvPr id="369966193" name="Oval 74"/>
                        <wps:cNvSpPr>
                          <a:spLocks noChangeArrowheads="1"/>
                        </wps:cNvSpPr>
                        <wps:spPr bwMode="auto">
                          <a:xfrm>
                            <a:off x="1911400" y="71099"/>
                            <a:ext cx="1831300" cy="915088"/>
                          </a:xfrm>
                          <a:prstGeom prst="ellipse">
                            <a:avLst/>
                          </a:prstGeom>
                          <a:solidFill>
                            <a:srgbClr val="C0C0C0"/>
                          </a:solidFill>
                          <a:ln w="9525">
                            <a:solidFill>
                              <a:srgbClr val="000000"/>
                            </a:solidFill>
                            <a:round/>
                            <a:headEnd/>
                            <a:tailEnd/>
                          </a:ln>
                        </wps:spPr>
                        <wps:txbx>
                          <w:txbxContent>
                            <w:p w14:paraId="247C7ADD" w14:textId="77777777" w:rsidR="00571B42" w:rsidRPr="00160F37" w:rsidRDefault="00571B42" w:rsidP="007715AB">
                              <w:pPr>
                                <w:jc w:val="center"/>
                                <w:rPr>
                                  <w:sz w:val="24"/>
                                  <w:szCs w:val="24"/>
                                  <w:lang w:val="uk-UA"/>
                                </w:rPr>
                              </w:pPr>
                              <w:r w:rsidRPr="00160F37">
                                <w:rPr>
                                  <w:sz w:val="24"/>
                                  <w:szCs w:val="24"/>
                                  <w:lang w:val="uk-UA"/>
                                </w:rPr>
                                <w:t>Первинна професійна</w:t>
                              </w:r>
                            </w:p>
                            <w:p w14:paraId="568231FF" w14:textId="77777777" w:rsidR="00571B42" w:rsidRPr="00160F37" w:rsidRDefault="00571B42" w:rsidP="007715AB">
                              <w:pPr>
                                <w:jc w:val="center"/>
                                <w:rPr>
                                  <w:sz w:val="24"/>
                                  <w:szCs w:val="24"/>
                                  <w:lang w:val="uk-UA"/>
                                </w:rPr>
                              </w:pPr>
                              <w:r w:rsidRPr="00160F37">
                                <w:rPr>
                                  <w:sz w:val="24"/>
                                  <w:szCs w:val="24"/>
                                  <w:lang w:val="uk-UA"/>
                                </w:rPr>
                                <w:t>підготовка</w:t>
                              </w:r>
                            </w:p>
                          </w:txbxContent>
                        </wps:txbx>
                        <wps:bodyPr rot="0" vert="horz" wrap="square" lIns="91440" tIns="45720" rIns="91440" bIns="45720" anchor="t" anchorCtr="0" upright="1">
                          <a:noAutofit/>
                        </wps:bodyPr>
                      </wps:wsp>
                      <wps:wsp>
                        <wps:cNvPr id="2069617570" name="Oval 75"/>
                        <wps:cNvSpPr>
                          <a:spLocks noChangeArrowheads="1"/>
                        </wps:cNvSpPr>
                        <wps:spPr bwMode="auto">
                          <a:xfrm>
                            <a:off x="1143100" y="2395967"/>
                            <a:ext cx="1599000" cy="914288"/>
                          </a:xfrm>
                          <a:prstGeom prst="ellipse">
                            <a:avLst/>
                          </a:prstGeom>
                          <a:solidFill>
                            <a:srgbClr val="C0C0C0"/>
                          </a:solidFill>
                          <a:ln w="9525">
                            <a:solidFill>
                              <a:srgbClr val="000000"/>
                            </a:solidFill>
                            <a:round/>
                            <a:headEnd/>
                            <a:tailEnd/>
                          </a:ln>
                        </wps:spPr>
                        <wps:txbx>
                          <w:txbxContent>
                            <w:p w14:paraId="5BC4E8F0" w14:textId="77777777" w:rsidR="00571B42" w:rsidRPr="00430187" w:rsidRDefault="00571B42" w:rsidP="007715AB">
                              <w:pPr>
                                <w:jc w:val="center"/>
                                <w:rPr>
                                  <w:sz w:val="24"/>
                                  <w:szCs w:val="24"/>
                                </w:rPr>
                              </w:pPr>
                              <w:r>
                                <w:rPr>
                                  <w:sz w:val="24"/>
                                  <w:szCs w:val="24"/>
                                  <w:lang w:val="uk-UA"/>
                                </w:rPr>
                                <w:t>Планування</w:t>
                              </w:r>
                              <w:r w:rsidRPr="00160F37">
                                <w:rPr>
                                  <w:sz w:val="24"/>
                                  <w:szCs w:val="24"/>
                                  <w:lang w:val="uk-UA"/>
                                </w:rPr>
                                <w:t xml:space="preserve"> кар’єри </w:t>
                              </w:r>
                              <w:r w:rsidRPr="00430187">
                                <w:rPr>
                                  <w:sz w:val="24"/>
                                  <w:szCs w:val="24"/>
                                </w:rPr>
                                <w:t>персоналу</w:t>
                              </w:r>
                            </w:p>
                          </w:txbxContent>
                        </wps:txbx>
                        <wps:bodyPr rot="0" vert="horz" wrap="square" lIns="91440" tIns="45720" rIns="91440" bIns="45720" anchor="t" anchorCtr="0" upright="1">
                          <a:noAutofit/>
                        </wps:bodyPr>
                      </wps:wsp>
                      <wps:wsp>
                        <wps:cNvPr id="1951121542" name="Oval 76"/>
                        <wps:cNvSpPr>
                          <a:spLocks noChangeArrowheads="1"/>
                        </wps:cNvSpPr>
                        <wps:spPr bwMode="auto">
                          <a:xfrm>
                            <a:off x="2857000" y="2395967"/>
                            <a:ext cx="1713200" cy="914288"/>
                          </a:xfrm>
                          <a:prstGeom prst="ellipse">
                            <a:avLst/>
                          </a:prstGeom>
                          <a:solidFill>
                            <a:srgbClr val="C0C0C0"/>
                          </a:solidFill>
                          <a:ln w="9525">
                            <a:solidFill>
                              <a:srgbClr val="000000"/>
                            </a:solidFill>
                            <a:round/>
                            <a:headEnd/>
                            <a:tailEnd/>
                          </a:ln>
                        </wps:spPr>
                        <wps:txbx>
                          <w:txbxContent>
                            <w:p w14:paraId="2C292F35" w14:textId="77777777" w:rsidR="00571B42" w:rsidRPr="009412B8" w:rsidRDefault="00571B42" w:rsidP="007715AB">
                              <w:pPr>
                                <w:jc w:val="center"/>
                                <w:rPr>
                                  <w:sz w:val="24"/>
                                  <w:szCs w:val="24"/>
                                  <w:lang w:val="uk-UA"/>
                                </w:rPr>
                              </w:pPr>
                              <w:r w:rsidRPr="009412B8">
                                <w:rPr>
                                  <w:sz w:val="24"/>
                                  <w:szCs w:val="24"/>
                                  <w:lang w:val="uk-UA"/>
                                </w:rPr>
                                <w:t>Перепідготовка та підвищення кваліфікації</w:t>
                              </w:r>
                            </w:p>
                          </w:txbxContent>
                        </wps:txbx>
                        <wps:bodyPr rot="0" vert="horz" wrap="square" lIns="91440" tIns="45720" rIns="91440" bIns="45720" anchor="t" anchorCtr="0" upright="1">
                          <a:noAutofit/>
                        </wps:bodyPr>
                      </wps:wsp>
                      <wps:wsp>
                        <wps:cNvPr id="2125907382" name="AutoShape 77"/>
                        <wps:cNvSpPr>
                          <a:spLocks noChangeArrowheads="1"/>
                        </wps:cNvSpPr>
                        <wps:spPr bwMode="auto">
                          <a:xfrm>
                            <a:off x="2514600" y="910188"/>
                            <a:ext cx="573200" cy="342695"/>
                          </a:xfrm>
                          <a:prstGeom prst="upArrow">
                            <a:avLst>
                              <a:gd name="adj1" fmla="val 50000"/>
                              <a:gd name="adj2" fmla="val 25000"/>
                            </a:avLst>
                          </a:prstGeom>
                          <a:solidFill>
                            <a:srgbClr val="FFFF99"/>
                          </a:solidFill>
                          <a:ln w="9525">
                            <a:solidFill>
                              <a:srgbClr val="000000"/>
                            </a:solidFill>
                            <a:miter lim="800000"/>
                            <a:headEnd/>
                            <a:tailEnd/>
                          </a:ln>
                        </wps:spPr>
                        <wps:bodyPr rot="0" vert="eaVert" wrap="square" lIns="91440" tIns="45720" rIns="91440" bIns="45720" anchor="t" anchorCtr="0" upright="1">
                          <a:noAutofit/>
                        </wps:bodyPr>
                      </wps:wsp>
                      <wps:wsp>
                        <wps:cNvPr id="514334749" name="AutoShape 78"/>
                        <wps:cNvSpPr>
                          <a:spLocks noChangeArrowheads="1"/>
                        </wps:cNvSpPr>
                        <wps:spPr bwMode="auto">
                          <a:xfrm rot="5400000">
                            <a:off x="3428304" y="1596176"/>
                            <a:ext cx="574792" cy="345700"/>
                          </a:xfrm>
                          <a:prstGeom prst="upArrow">
                            <a:avLst>
                              <a:gd name="adj1" fmla="val 50000"/>
                              <a:gd name="adj2" fmla="val 25000"/>
                            </a:avLst>
                          </a:prstGeom>
                          <a:solidFill>
                            <a:srgbClr val="FFFF99"/>
                          </a:solidFill>
                          <a:ln w="9525">
                            <a:solidFill>
                              <a:srgbClr val="000000"/>
                            </a:solidFill>
                            <a:miter lim="800000"/>
                            <a:headEnd/>
                            <a:tailEnd/>
                          </a:ln>
                        </wps:spPr>
                        <wps:bodyPr rot="0" vert="eaVert" wrap="square" lIns="91440" tIns="45720" rIns="91440" bIns="45720" anchor="t" anchorCtr="0" upright="1">
                          <a:noAutofit/>
                        </wps:bodyPr>
                      </wps:wsp>
                      <wps:wsp>
                        <wps:cNvPr id="442909145" name="AutoShape 79"/>
                        <wps:cNvSpPr>
                          <a:spLocks noChangeArrowheads="1"/>
                        </wps:cNvSpPr>
                        <wps:spPr bwMode="auto">
                          <a:xfrm rot="16200000">
                            <a:off x="1599404" y="1596976"/>
                            <a:ext cx="574792" cy="344900"/>
                          </a:xfrm>
                          <a:prstGeom prst="upArrow">
                            <a:avLst>
                              <a:gd name="adj1" fmla="val 50000"/>
                              <a:gd name="adj2" fmla="val 25000"/>
                            </a:avLst>
                          </a:prstGeom>
                          <a:solidFill>
                            <a:srgbClr val="FFFF99"/>
                          </a:solidFill>
                          <a:ln w="9525">
                            <a:solidFill>
                              <a:srgbClr val="000000"/>
                            </a:solidFill>
                            <a:miter lim="800000"/>
                            <a:headEnd/>
                            <a:tailEnd/>
                          </a:ln>
                        </wps:spPr>
                        <wps:bodyPr rot="0" vert="eaVert" wrap="square" lIns="91440" tIns="45720" rIns="91440" bIns="45720" anchor="t" anchorCtr="0" upright="1">
                          <a:noAutofit/>
                        </wps:bodyPr>
                      </wps:wsp>
                      <wps:wsp>
                        <wps:cNvPr id="1351731464" name="AutoShape 80"/>
                        <wps:cNvSpPr>
                          <a:spLocks noChangeArrowheads="1"/>
                        </wps:cNvSpPr>
                        <wps:spPr bwMode="auto">
                          <a:xfrm rot="12578731">
                            <a:off x="2057200" y="2167171"/>
                            <a:ext cx="574000" cy="342695"/>
                          </a:xfrm>
                          <a:prstGeom prst="upArrow">
                            <a:avLst>
                              <a:gd name="adj1" fmla="val 50000"/>
                              <a:gd name="adj2" fmla="val 25000"/>
                            </a:avLst>
                          </a:prstGeom>
                          <a:solidFill>
                            <a:srgbClr val="FFFF99"/>
                          </a:solidFill>
                          <a:ln w="9525">
                            <a:solidFill>
                              <a:srgbClr val="000000"/>
                            </a:solidFill>
                            <a:miter lim="800000"/>
                            <a:headEnd/>
                            <a:tailEnd/>
                          </a:ln>
                        </wps:spPr>
                        <wps:bodyPr rot="0" vert="eaVert" wrap="square" lIns="91440" tIns="45720" rIns="91440" bIns="45720" anchor="t" anchorCtr="0" upright="1">
                          <a:noAutofit/>
                        </wps:bodyPr>
                      </wps:wsp>
                      <wps:wsp>
                        <wps:cNvPr id="1341269422" name="AutoShape 81"/>
                        <wps:cNvSpPr>
                          <a:spLocks noChangeArrowheads="1"/>
                        </wps:cNvSpPr>
                        <wps:spPr bwMode="auto">
                          <a:xfrm rot="8781821">
                            <a:off x="2972000" y="2167171"/>
                            <a:ext cx="572400" cy="341095"/>
                          </a:xfrm>
                          <a:prstGeom prst="upArrow">
                            <a:avLst>
                              <a:gd name="adj1" fmla="val 50000"/>
                              <a:gd name="adj2" fmla="val 25000"/>
                            </a:avLst>
                          </a:prstGeom>
                          <a:solidFill>
                            <a:srgbClr val="FFFF99"/>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2D4C93A3" id="Полотно 82" o:spid="_x0000_s1229" editas="canvas" style="width:450pt;height:260.65pt;mso-position-horizontal-relative:char;mso-position-vertical-relative:line" coordsize="57150,33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">
                <v:shape id="_x0000_s1230" type="#_x0000_t75" style="position:absolute;width:57150;height:33102;visibility:visible;mso-wrap-style:square">
                  <v:fill o:detectmouseclick="t"/>
                  <v:path o:connecttype="none"/>
                </v:shape>
                <v:oval id="Oval 71" o:spid="_x0000_s1231" style="position:absolute;left:20572;top:11258;width:14856;height:1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" fillcolor="#ff9">
                  <v:textbox>
                    <w:txbxContent>
                      <w:p w14:paraId="1F625AD1" w14:textId="77777777" w:rsidR="00571B42" w:rsidRDefault="00571B42" w:rsidP="007715AB">
                        <w:pPr>
                          <w:jc w:val="center"/>
                          <w:rPr>
                            <w:lang w:val="uk-UA"/>
                          </w:rPr>
                        </w:pPr>
                      </w:p>
                      <w:p w14:paraId="1B42BE26" w14:textId="77777777" w:rsidR="00571B42" w:rsidRPr="009412B8" w:rsidRDefault="00571B42" w:rsidP="007715AB">
                        <w:pPr>
                          <w:jc w:val="center"/>
                          <w:rPr>
                            <w:b/>
                            <w:lang w:val="uk-UA"/>
                          </w:rPr>
                        </w:pPr>
                        <w:r>
                          <w:rPr>
                            <w:b/>
                            <w:lang w:val="uk-UA"/>
                          </w:rPr>
                          <w:t>РОЗВИТОК ПЕРСОНАЛ</w:t>
                        </w:r>
                      </w:p>
                    </w:txbxContent>
                  </v:textbox>
                </v:oval>
                <v:oval id="Oval 72" o:spid="_x0000_s1232" style="position:absolute;left:37719;top:12528;width:15998;height:9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" fillcolor="silver">
                  <v:textbox>
                    <w:txbxContent>
                      <w:p w14:paraId="6A857073" w14:textId="77777777" w:rsidR="00571B42" w:rsidRPr="00430187" w:rsidRDefault="00571B42" w:rsidP="007715AB">
                        <w:pPr>
                          <w:jc w:val="center"/>
                          <w:rPr>
                            <w:sz w:val="24"/>
                            <w:szCs w:val="24"/>
                            <w:lang w:val="uk-UA"/>
                          </w:rPr>
                        </w:pPr>
                        <w:r w:rsidRPr="00430187">
                          <w:rPr>
                            <w:sz w:val="24"/>
                            <w:szCs w:val="24"/>
                            <w:lang w:val="uk-UA"/>
                          </w:rPr>
                          <w:t>Виробнича адаптація персоналу</w:t>
                        </w:r>
                      </w:p>
                    </w:txbxContent>
                  </v:textbox>
                </v:oval>
                <v:oval id="Oval 73" o:spid="_x0000_s1233" style="position:absolute;left:2477;top:12528;width:15786;height:10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" fillcolor="silver">
                  <v:textbox>
                    <w:txbxContent>
                      <w:p w14:paraId="1C37D1E8" w14:textId="77777777" w:rsidR="00571B42" w:rsidRPr="00160F37" w:rsidRDefault="00571B42" w:rsidP="007715AB">
                        <w:pPr>
                          <w:jc w:val="center"/>
                          <w:rPr>
                            <w:sz w:val="24"/>
                            <w:szCs w:val="24"/>
                            <w:lang w:val="uk-UA"/>
                          </w:rPr>
                        </w:pPr>
                        <w:r w:rsidRPr="00160F37">
                          <w:rPr>
                            <w:sz w:val="24"/>
                            <w:szCs w:val="24"/>
                            <w:lang w:val="uk-UA"/>
                          </w:rPr>
                          <w:t>Оцінювання й атестація персоналу</w:t>
                        </w:r>
                      </w:p>
                    </w:txbxContent>
                  </v:textbox>
                </v:oval>
                <v:oval id="Oval 74" o:spid="_x0000_s1234" style="position:absolute;left:19114;top:710;width:18313;height:91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" fillcolor="silver">
                  <v:textbox>
                    <w:txbxContent>
                      <w:p w14:paraId="247C7ADD" w14:textId="77777777" w:rsidR="00571B42" w:rsidRPr="00160F37" w:rsidRDefault="00571B42" w:rsidP="007715AB">
                        <w:pPr>
                          <w:jc w:val="center"/>
                          <w:rPr>
                            <w:sz w:val="24"/>
                            <w:szCs w:val="24"/>
                            <w:lang w:val="uk-UA"/>
                          </w:rPr>
                        </w:pPr>
                        <w:r w:rsidRPr="00160F37">
                          <w:rPr>
                            <w:sz w:val="24"/>
                            <w:szCs w:val="24"/>
                            <w:lang w:val="uk-UA"/>
                          </w:rPr>
                          <w:t>Первинна професійна</w:t>
                        </w:r>
                      </w:p>
                      <w:p w14:paraId="568231FF" w14:textId="77777777" w:rsidR="00571B42" w:rsidRPr="00160F37" w:rsidRDefault="00571B42" w:rsidP="007715AB">
                        <w:pPr>
                          <w:jc w:val="center"/>
                          <w:rPr>
                            <w:sz w:val="24"/>
                            <w:szCs w:val="24"/>
                            <w:lang w:val="uk-UA"/>
                          </w:rPr>
                        </w:pPr>
                        <w:r w:rsidRPr="00160F37">
                          <w:rPr>
                            <w:sz w:val="24"/>
                            <w:szCs w:val="24"/>
                            <w:lang w:val="uk-UA"/>
                          </w:rPr>
                          <w:t>підготовка</w:t>
                        </w:r>
                      </w:p>
                    </w:txbxContent>
                  </v:textbox>
                </v:oval>
                <v:oval id="Oval 75" o:spid="_x0000_s1235" style="position:absolute;left:11431;top:23959;width:15990;height:9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" fillcolor="silver">
                  <v:textbox>
                    <w:txbxContent>
                      <w:p w14:paraId="5BC4E8F0" w14:textId="77777777" w:rsidR="00571B42" w:rsidRPr="00430187" w:rsidRDefault="00571B42" w:rsidP="007715AB">
                        <w:pPr>
                          <w:jc w:val="center"/>
                          <w:rPr>
                            <w:sz w:val="24"/>
                            <w:szCs w:val="24"/>
                          </w:rPr>
                        </w:pPr>
                        <w:r>
                          <w:rPr>
                            <w:sz w:val="24"/>
                            <w:szCs w:val="24"/>
                            <w:lang w:val="uk-UA"/>
                          </w:rPr>
                          <w:t>Планування</w:t>
                        </w:r>
                        <w:r w:rsidRPr="00160F37">
                          <w:rPr>
                            <w:sz w:val="24"/>
                            <w:szCs w:val="24"/>
                            <w:lang w:val="uk-UA"/>
                          </w:rPr>
                          <w:t xml:space="preserve"> кар’єри </w:t>
                        </w:r>
                        <w:r w:rsidRPr="00430187">
                          <w:rPr>
                            <w:sz w:val="24"/>
                            <w:szCs w:val="24"/>
                          </w:rPr>
                          <w:t>персоналу</w:t>
                        </w:r>
                      </w:p>
                    </w:txbxContent>
                  </v:textbox>
                </v:oval>
                <v:oval id="Oval 76" o:spid="_x0000_s1236" style="position:absolute;left:28570;top:23959;width:17132;height:9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" fillcolor="silver">
                  <v:textbox>
                    <w:txbxContent>
                      <w:p w14:paraId="2C292F35" w14:textId="77777777" w:rsidR="00571B42" w:rsidRPr="009412B8" w:rsidRDefault="00571B42" w:rsidP="007715AB">
                        <w:pPr>
                          <w:jc w:val="center"/>
                          <w:rPr>
                            <w:sz w:val="24"/>
                            <w:szCs w:val="24"/>
                            <w:lang w:val="uk-UA"/>
                          </w:rPr>
                        </w:pPr>
                        <w:r w:rsidRPr="009412B8">
                          <w:rPr>
                            <w:sz w:val="24"/>
                            <w:szCs w:val="24"/>
                            <w:lang w:val="uk-UA"/>
                          </w:rPr>
                          <w:t>Перепідготовка та підвищення кваліфікації</w:t>
                        </w:r>
                      </w:p>
                    </w:txbxContent>
                  </v:textbox>
                </v:oval>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77" o:spid="_x0000_s1237" type="#_x0000_t68" style="position:absolute;left:25146;top:9101;width:5732;height:34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" fillcolor="#ff9">
                  <v:textbox style="layout-flow:vertical-ideographic"/>
                </v:shape>
                <v:shape id="AutoShape 78" o:spid="_x0000_s1238" type="#_x0000_t68" style="position:absolute;left:34283;top:15961;width:5748;height:345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" fillcolor="#ff9">
                  <v:textbox style="layout-flow:vertical-ideographic"/>
                </v:shape>
                <v:shape id="AutoShape 79" o:spid="_x0000_s1239" type="#_x0000_t68" style="position:absolute;left:15994;top:15969;width:5748;height:344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" fillcolor="#ff9">
                  <v:textbox style="layout-flow:vertical-ideographic"/>
                </v:shape>
                <v:shape id="AutoShape 80" o:spid="_x0000_s1240" type="#_x0000_t68" style="position:absolute;left:20572;top:21671;width:5740;height:3427;rotation:-985363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" fillcolor="#ff9">
                  <v:textbox style="layout-flow:vertical-ideographic"/>
                </v:shape>
                <v:shape id="AutoShape 81" o:spid="_x0000_s1241" type="#_x0000_t68" style="position:absolute;left:29720;top:21671;width:5724;height:3411;rotation:959209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" fillcolor="#ff9">
                  <v:textbox style="layout-flow:vertical-ideographic"/>
                </v:shape>
                <w10:anchorlock/>
              </v:group>
            </w:pict>
          </mc:Fallback>
        </mc:AlternateContent>
      </w:r>
      <w:r w:rsidRPr="005F0419">
        <w:rPr>
          <w:rFonts w:ascii="Times New Roman" w:eastAsia="Times New Roman" w:hAnsi="Times New Roman" w:cs="Times New Roman"/>
          <w:sz w:val="28"/>
          <w:szCs w:val="28"/>
          <w:lang w:val="uk-UA"/>
        </w:rPr>
        <w:t xml:space="preserve">                         </w:t>
      </w:r>
    </w:p>
    <w:p w14:paraId="2A36CE02" w14:textId="77777777" w:rsidR="007715AB" w:rsidRPr="005F0419" w:rsidRDefault="007715AB" w:rsidP="007715AB">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Рис.1. Основні складові процесу розвитку персоналу організації</w:t>
      </w:r>
    </w:p>
    <w:p w14:paraId="1389ECC2" w14:textId="77777777" w:rsidR="007715AB" w:rsidRPr="005F0419" w:rsidRDefault="007715AB" w:rsidP="007715AB">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Джерело: складено на основі [7].</w:t>
      </w:r>
    </w:p>
    <w:p w14:paraId="619EAD11" w14:textId="77777777" w:rsidR="007715AB" w:rsidRPr="005F0419" w:rsidRDefault="007715AB" w:rsidP="00877ECC">
      <w:pPr>
        <w:widowControl w:val="0"/>
        <w:autoSpaceDE w:val="0"/>
        <w:autoSpaceDN w:val="0"/>
        <w:adjustRightInd w:val="0"/>
        <w:spacing w:after="0" w:line="360" w:lineRule="auto"/>
        <w:ind w:firstLine="720"/>
        <w:jc w:val="both"/>
        <w:rPr>
          <w:rFonts w:ascii="Times New Roman" w:eastAsia="Times New Roman" w:hAnsi="Times New Roman" w:cs="Times New Roman"/>
          <w:spacing w:val="-4"/>
          <w:sz w:val="28"/>
          <w:szCs w:val="28"/>
          <w:lang w:val="uk-UA"/>
        </w:rPr>
      </w:pPr>
    </w:p>
    <w:p w14:paraId="39B6F9AD"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Професійне навчання – це процес цілеспрямованого формування у співробітників спеціальних знань, розвиток необхідних навиків й умінь, які дозволяють підвищувати продуктивність праці, максимально якісно виконувати функціональні обов’язки, освоювати нові види діяльності. Сучасні умови вимагають, щоб навчання і розвиток співробітників було систематичним і пов’язаним із стратегічною метою розвитку і потребами фірми [8]. </w:t>
      </w:r>
    </w:p>
    <w:p w14:paraId="3B953FE2"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 організації професійне навчання персоналу забезпечує первинну професійну підготовку робітників, перепідготовку чи підвищення кваліфікації робітників та фахівців з вищою освітою.</w:t>
      </w:r>
    </w:p>
    <w:p w14:paraId="67C0995D"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Первинна професійна підготовка робітників – це здобуття професійно-технічної освіти особами, які раніше не мали робітничої професії або спеціальності, що забезпечує відповідний рівень професійної кваліфікації, необхідний для продуктивної трудової діяльності в організації [9].</w:t>
      </w:r>
    </w:p>
    <w:p w14:paraId="62C883F0"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Перепідготовка персоналу – це професійно-технічне чи вище навчання, спрямоване на оволодіння іншою професією (спеціальністю) робітниками або фахівцями з вищою освітою, які вже здобули первинну професійну підготовку у професійно-технічних чи вищих навчальних закладах [10]. </w:t>
      </w:r>
    </w:p>
    <w:p w14:paraId="417A7165"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Підвищення кваліфікації персоналу – це професійно-технічне або вище навчання робітників чи фахівців з вищою освітою, що дає можливість розширювати і поглиблювати раніше здобуті працівниками знання, уміння та практичні навички на рівні вимог сучасного виробництва або сфери послуг [11].</w:t>
      </w:r>
    </w:p>
    <w:p w14:paraId="115CF60D"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proofErr w:type="spellStart"/>
      <w:r w:rsidRPr="005F0419">
        <w:rPr>
          <w:rFonts w:ascii="Times New Roman" w:eastAsia="Times New Roman" w:hAnsi="Times New Roman" w:cs="Times New Roman"/>
          <w:sz w:val="28"/>
          <w:szCs w:val="28"/>
          <w:lang w:val="uk-UA"/>
        </w:rPr>
        <w:t>Професійно</w:t>
      </w:r>
      <w:proofErr w:type="spellEnd"/>
      <w:r w:rsidRPr="005F0419">
        <w:rPr>
          <w:rFonts w:ascii="Times New Roman" w:eastAsia="Times New Roman" w:hAnsi="Times New Roman" w:cs="Times New Roman"/>
          <w:sz w:val="28"/>
          <w:szCs w:val="28"/>
          <w:lang w:val="uk-UA"/>
        </w:rPr>
        <w:t xml:space="preserve">-кваліфікаційне просування персоналу – це процес переміщення робітників, фахівців з вищою освітою організації між професійними, кваліфікаційними та посадовими групами персоналу внаслідок опанування ним новими знаннями, уміннями і практичного досвіду роботи [12]. </w:t>
      </w:r>
    </w:p>
    <w:p w14:paraId="365819B4"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За умов безперервного навчання і підвищення кваліфікації працівників організації управлінці не мають необхідності звільняти робітників і витрачати кошти на підбір, навчання і підготовку нового персоналу.</w:t>
      </w:r>
    </w:p>
    <w:p w14:paraId="6CDEE515"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Нинішні умови функціонування закладів індустрії гостинності вимагають тісної співпраці із вищими навчальними закладами, які готують фахівців даної сфери. Завдяки тісній співпраці навчального закладу із рестораном, готелем – можна досягти максимального результату взаємодії теорії та практики.</w:t>
      </w:r>
    </w:p>
    <w:p w14:paraId="3E07368A"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Розвиток персоналу значною мірою залежить від стану профорієнтаційної роботи в навчальних закладах та безпосередньо на підприємствах. Одним з результатів розвитку персоналу є винахідницька й раціоналізаторська робота працівників. Водночас його здійснення передбачає наявність в організації відповідної системи матеріального й морального стимулювання. </w:t>
      </w:r>
    </w:p>
    <w:p w14:paraId="35C412CB"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Важливим напрямом розвитку персоналу є планування кар’єри працівника, його просування по кваліфікаційним або службовим рівням.</w:t>
      </w:r>
    </w:p>
    <w:p w14:paraId="3E11B43D"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Планування кар’єри виступає альтернативою стихійним переміщенням персоналу. Кар’єра у загальному розумінні цього слова означає успішне просування в галузі суспільної, службової, наукової або виробничої діяльності, досягнення популярності, слави. Під трудовою кар’єрою мається на увазі індивідуальна послідовність важливих змін праці, що пов’язані зі зміною становища працівника на вертикальній шкалі складності праці або соціальній драбині робочих місць, посад</w:t>
      </w:r>
    </w:p>
    <w:p w14:paraId="483C4E5E"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Кар'єра працівника як об'єкт планування і керування істотно впливає на стабільність кадрів, соціалізацію нових працівників, мотивацію до оволодіння новими професіями і підвищення кваліфікації.</w:t>
      </w:r>
    </w:p>
    <w:p w14:paraId="4C974D8E"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Планування кар'єри працівників може бути загальним і конкретним. У загальному випадку обираються декілька можливих напрямків службового зростання одного спеціаліс</w:t>
      </w:r>
      <w:r w:rsidRPr="005F0419">
        <w:rPr>
          <w:rFonts w:ascii="Times New Roman" w:eastAsia="Times New Roman" w:hAnsi="Times New Roman" w:cs="Times New Roman"/>
          <w:sz w:val="28"/>
          <w:szCs w:val="28"/>
          <w:lang w:val="uk-UA"/>
        </w:rPr>
        <w:softHyphen/>
        <w:t>та або групи, а в конкретному — розробляється чіткий графік заміщення посад і, відповідно, навчання [13]. Зазвичай працівник сам визначає власні фахові інтереси і методи їхньої реаліза</w:t>
      </w:r>
      <w:r w:rsidRPr="005F0419">
        <w:rPr>
          <w:rFonts w:ascii="Times New Roman" w:eastAsia="Times New Roman" w:hAnsi="Times New Roman" w:cs="Times New Roman"/>
          <w:sz w:val="28"/>
          <w:szCs w:val="28"/>
          <w:lang w:val="uk-UA"/>
        </w:rPr>
        <w:softHyphen/>
        <w:t>ції, тобто посаду, яку він хотів би обійняти. Відділ управлін</w:t>
      </w:r>
      <w:r w:rsidRPr="005F0419">
        <w:rPr>
          <w:rFonts w:ascii="Times New Roman" w:eastAsia="Times New Roman" w:hAnsi="Times New Roman" w:cs="Times New Roman"/>
          <w:sz w:val="28"/>
          <w:szCs w:val="28"/>
          <w:lang w:val="uk-UA"/>
        </w:rPr>
        <w:softHyphen/>
        <w:t xml:space="preserve">ня персоналом ознайомлює його з основними вимогами до претендента на цю посаду. Для визначення сильних і слабких сторін працівників може проводитися тестування. </w:t>
      </w:r>
    </w:p>
    <w:p w14:paraId="63871F85" w14:textId="43C5351A"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Однак планування кар'єри  не обмежується лише розстановкою персоналу. Воно має забезпечити подальший розвиток персоналу, </w:t>
      </w:r>
      <w:proofErr w:type="spellStart"/>
      <w:r w:rsidRPr="005F0419">
        <w:rPr>
          <w:rFonts w:ascii="Times New Roman" w:eastAsia="Times New Roman" w:hAnsi="Times New Roman" w:cs="Times New Roman"/>
          <w:sz w:val="28"/>
          <w:szCs w:val="28"/>
          <w:lang w:val="uk-UA"/>
        </w:rPr>
        <w:t>професійно</w:t>
      </w:r>
      <w:proofErr w:type="spellEnd"/>
      <w:r w:rsidR="00877ECC"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кваліфікаційне просування працівників. Це вимагає тісного взаємозв’язку планування кар’єри та планування виробничої адаптації, атестації персоналу, його професійного навчання, формування резерву керівників організації.</w:t>
      </w:r>
    </w:p>
    <w:p w14:paraId="51D11079"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сфері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 xml:space="preserve">-ресторанного бізнесу процес планування кар’єри є досить актуальним і ефективним </w:t>
      </w:r>
      <w:proofErr w:type="spellStart"/>
      <w:r w:rsidRPr="005F0419">
        <w:rPr>
          <w:rFonts w:ascii="Times New Roman" w:eastAsia="Times New Roman" w:hAnsi="Times New Roman" w:cs="Times New Roman"/>
          <w:sz w:val="28"/>
          <w:szCs w:val="28"/>
          <w:lang w:val="uk-UA"/>
        </w:rPr>
        <w:t>мотиватором</w:t>
      </w:r>
      <w:proofErr w:type="spellEnd"/>
      <w:r w:rsidRPr="005F0419">
        <w:rPr>
          <w:rFonts w:ascii="Times New Roman" w:eastAsia="Times New Roman" w:hAnsi="Times New Roman" w:cs="Times New Roman"/>
          <w:sz w:val="28"/>
          <w:szCs w:val="28"/>
          <w:lang w:val="uk-UA"/>
        </w:rPr>
        <w:t xml:space="preserve"> для персоналу. Завдяки чіткому та професійному виконанні обов’язків, працівник ресторану (готелю) може досягти відповідних висот у кар’єрному зростанні. </w:t>
      </w:r>
    </w:p>
    <w:p w14:paraId="5C71E605"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Каталізатором розвитку кар'єри працівника є включення його до кадрового резерву. Основними критеріями відбору до кадрового резерву є: рівень освіти, досвід роботи, стан здоров'я, вік, згода кандидата на зайняття вакантної посади. </w:t>
      </w:r>
    </w:p>
    <w:p w14:paraId="18923585"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З працівниками, зарахованими до кадрового резерву, від</w:t>
      </w:r>
      <w:r w:rsidRPr="005F0419">
        <w:rPr>
          <w:rFonts w:ascii="Times New Roman" w:eastAsia="Times New Roman" w:hAnsi="Times New Roman" w:cs="Times New Roman"/>
          <w:sz w:val="28"/>
          <w:szCs w:val="28"/>
          <w:lang w:val="uk-UA"/>
        </w:rPr>
        <w:softHyphen/>
        <w:t>ділом управління персоналом проводиться робота відповідно до розроблених ними особистих річних планів, у яких перед</w:t>
      </w:r>
      <w:r w:rsidRPr="005F0419">
        <w:rPr>
          <w:rFonts w:ascii="Times New Roman" w:eastAsia="Times New Roman" w:hAnsi="Times New Roman" w:cs="Times New Roman"/>
          <w:sz w:val="28"/>
          <w:szCs w:val="28"/>
          <w:lang w:val="uk-UA"/>
        </w:rPr>
        <w:softHyphen/>
        <w:t>бачаються:</w:t>
      </w:r>
    </w:p>
    <w:p w14:paraId="3C1BF1C7" w14:textId="480864F7" w:rsidR="00A55004" w:rsidRPr="005F0419" w:rsidRDefault="00877ECC"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r w:rsidR="00A55004" w:rsidRPr="005F0419">
        <w:rPr>
          <w:rFonts w:ascii="Times New Roman" w:eastAsia="Times New Roman" w:hAnsi="Times New Roman" w:cs="Times New Roman"/>
          <w:sz w:val="28"/>
          <w:szCs w:val="28"/>
          <w:lang w:val="uk-UA"/>
        </w:rPr>
        <w:t xml:space="preserve"> систематичне навчання шляхом самоосвіти;</w:t>
      </w:r>
    </w:p>
    <w:p w14:paraId="17173D8E" w14:textId="3DCF12DA" w:rsidR="00A55004" w:rsidRPr="005F0419" w:rsidRDefault="00877ECC"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r w:rsidR="00A55004" w:rsidRPr="005F0419">
        <w:rPr>
          <w:rFonts w:ascii="Times New Roman" w:eastAsia="Times New Roman" w:hAnsi="Times New Roman" w:cs="Times New Roman"/>
          <w:sz w:val="28"/>
          <w:szCs w:val="28"/>
          <w:lang w:val="uk-UA"/>
        </w:rPr>
        <w:t xml:space="preserve"> періодичне навчання і підвищення кваліфікації, в тому числі у відповідних навчальних закладах;</w:t>
      </w:r>
    </w:p>
    <w:p w14:paraId="71A13764" w14:textId="118DE572" w:rsidR="00A55004" w:rsidRPr="005F0419" w:rsidRDefault="00877ECC"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r w:rsidR="00A55004" w:rsidRPr="005F0419">
        <w:rPr>
          <w:rFonts w:ascii="Times New Roman" w:eastAsia="Times New Roman" w:hAnsi="Times New Roman" w:cs="Times New Roman"/>
          <w:sz w:val="28"/>
          <w:szCs w:val="28"/>
          <w:lang w:val="uk-UA"/>
        </w:rPr>
        <w:t xml:space="preserve"> участь у роботі семінарів, нарад, конференцій з проблем, що відповідають профілю роботи співробітника;</w:t>
      </w:r>
    </w:p>
    <w:p w14:paraId="50D6EA1E" w14:textId="476C6304" w:rsidR="00A55004" w:rsidRPr="005F0419" w:rsidRDefault="00877ECC"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r w:rsidR="00A55004" w:rsidRPr="005F0419">
        <w:rPr>
          <w:rFonts w:ascii="Times New Roman" w:eastAsia="Times New Roman" w:hAnsi="Times New Roman" w:cs="Times New Roman"/>
          <w:sz w:val="28"/>
          <w:szCs w:val="28"/>
          <w:lang w:val="uk-UA"/>
        </w:rPr>
        <w:t xml:space="preserve"> стажування на відповідному робочому місці;</w:t>
      </w:r>
    </w:p>
    <w:p w14:paraId="5FE0653A" w14:textId="63FE53C3" w:rsidR="00A55004" w:rsidRPr="005F0419" w:rsidRDefault="00877ECC"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r w:rsidR="00A55004" w:rsidRPr="005F0419">
        <w:rPr>
          <w:rFonts w:ascii="Times New Roman" w:eastAsia="Times New Roman" w:hAnsi="Times New Roman" w:cs="Times New Roman"/>
          <w:sz w:val="28"/>
          <w:szCs w:val="28"/>
          <w:lang w:val="uk-UA"/>
        </w:rPr>
        <w:t xml:space="preserve"> заміщення в період відсутності працівника, на посаду якого співробітник зарахований до кадрового резерву.</w:t>
      </w:r>
    </w:p>
    <w:p w14:paraId="3E98443A" w14:textId="25BE9824" w:rsidR="00A55004" w:rsidRPr="005F0419" w:rsidRDefault="00A55004" w:rsidP="00877ECC">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bCs/>
          <w:sz w:val="28"/>
          <w:szCs w:val="28"/>
          <w:shd w:val="clear" w:color="auto" w:fill="FDFDFF"/>
          <w:lang w:val="uk-UA"/>
        </w:rPr>
        <w:t xml:space="preserve">Також однією із складових розвитку персоналу є його атестація. </w:t>
      </w:r>
      <w:r w:rsidRPr="005F0419">
        <w:rPr>
          <w:rFonts w:ascii="Times New Roman" w:eastAsia="Times New Roman" w:hAnsi="Times New Roman" w:cs="Times New Roman"/>
          <w:sz w:val="28"/>
          <w:szCs w:val="28"/>
          <w:lang w:val="uk-UA"/>
        </w:rPr>
        <w:t xml:space="preserve">Атестація </w:t>
      </w:r>
      <w:r w:rsidR="00877ECC"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це</w:t>
      </w:r>
      <w:r w:rsidR="00877ECC"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процес оцінювання виконання працівни</w:t>
      </w:r>
      <w:r w:rsidRPr="005F0419">
        <w:rPr>
          <w:rFonts w:ascii="Times New Roman" w:eastAsia="Times New Roman" w:hAnsi="Times New Roman" w:cs="Times New Roman"/>
          <w:sz w:val="28"/>
          <w:szCs w:val="28"/>
          <w:lang w:val="uk-UA"/>
        </w:rPr>
        <w:softHyphen/>
        <w:t>ком посадових обов'язків. Як правило, вона проводиться ме</w:t>
      </w:r>
      <w:r w:rsidRPr="005F0419">
        <w:rPr>
          <w:rFonts w:ascii="Times New Roman" w:eastAsia="Times New Roman" w:hAnsi="Times New Roman" w:cs="Times New Roman"/>
          <w:sz w:val="28"/>
          <w:szCs w:val="28"/>
          <w:lang w:val="uk-UA"/>
        </w:rPr>
        <w:softHyphen/>
        <w:t>тодом атестаційної співбесіди.</w:t>
      </w:r>
    </w:p>
    <w:p w14:paraId="727E3CF5" w14:textId="77777777" w:rsidR="00A55004" w:rsidRPr="005F0419" w:rsidRDefault="00A55004" w:rsidP="00877ECC">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Для того щоб провести ефективну атестаційну співбесіду, керівник має старанно до неї підготуватися. Головними еле</w:t>
      </w:r>
      <w:r w:rsidRPr="005F0419">
        <w:rPr>
          <w:rFonts w:ascii="Times New Roman" w:eastAsia="Times New Roman" w:hAnsi="Times New Roman" w:cs="Times New Roman"/>
          <w:sz w:val="28"/>
          <w:szCs w:val="28"/>
          <w:lang w:val="uk-UA"/>
        </w:rPr>
        <w:softHyphen/>
        <w:t>ментами такої підготовки є:</w:t>
      </w:r>
    </w:p>
    <w:p w14:paraId="6FF585AD" w14:textId="22EFB15F" w:rsidR="00A55004" w:rsidRPr="005F0419" w:rsidRDefault="00877ECC" w:rsidP="00877ECC">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00A55004" w:rsidRPr="005F0419">
        <w:rPr>
          <w:rFonts w:ascii="Times New Roman" w:eastAsia="Times New Roman" w:hAnsi="Times New Roman" w:cs="Times New Roman"/>
          <w:sz w:val="28"/>
          <w:szCs w:val="28"/>
          <w:lang w:val="uk-UA"/>
        </w:rPr>
        <w:t>зважена і базована на об'єктивних фактах оцінка вико</w:t>
      </w:r>
      <w:r w:rsidR="00A55004" w:rsidRPr="005F0419">
        <w:rPr>
          <w:rFonts w:ascii="Times New Roman" w:eastAsia="Times New Roman" w:hAnsi="Times New Roman" w:cs="Times New Roman"/>
          <w:sz w:val="28"/>
          <w:szCs w:val="28"/>
          <w:lang w:val="uk-UA"/>
        </w:rPr>
        <w:softHyphen/>
        <w:t>нання працівником своїх функцій, здійснювана з урахуван</w:t>
      </w:r>
      <w:r w:rsidR="00A55004" w:rsidRPr="005F0419">
        <w:rPr>
          <w:rFonts w:ascii="Times New Roman" w:eastAsia="Times New Roman" w:hAnsi="Times New Roman" w:cs="Times New Roman"/>
          <w:sz w:val="28"/>
          <w:szCs w:val="28"/>
          <w:lang w:val="uk-UA"/>
        </w:rPr>
        <w:softHyphen/>
        <w:t>ням вимог посадової інструкції та індивідуального плану пра</w:t>
      </w:r>
      <w:r w:rsidR="00A55004" w:rsidRPr="005F0419">
        <w:rPr>
          <w:rFonts w:ascii="Times New Roman" w:eastAsia="Times New Roman" w:hAnsi="Times New Roman" w:cs="Times New Roman"/>
          <w:sz w:val="28"/>
          <w:szCs w:val="28"/>
          <w:lang w:val="uk-UA"/>
        </w:rPr>
        <w:softHyphen/>
        <w:t>цівника за минулий період;</w:t>
      </w:r>
    </w:p>
    <w:p w14:paraId="391635A9" w14:textId="37928D46" w:rsidR="00A55004" w:rsidRPr="005F0419" w:rsidRDefault="00877ECC" w:rsidP="00877ECC">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r w:rsidR="00A55004" w:rsidRPr="005F0419">
        <w:rPr>
          <w:rFonts w:ascii="Times New Roman" w:eastAsia="Times New Roman" w:hAnsi="Times New Roman" w:cs="Times New Roman"/>
          <w:sz w:val="28"/>
          <w:szCs w:val="28"/>
          <w:lang w:val="uk-UA"/>
        </w:rPr>
        <w:t xml:space="preserve"> продуманий план розвитку працівника на наступний період;</w:t>
      </w:r>
    </w:p>
    <w:p w14:paraId="241558F5" w14:textId="71325266" w:rsidR="00A55004" w:rsidRPr="005F0419" w:rsidRDefault="00877ECC" w:rsidP="00877ECC">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w:t>
      </w:r>
      <w:r w:rsidR="00A55004" w:rsidRPr="005F0419">
        <w:rPr>
          <w:rFonts w:ascii="Times New Roman" w:eastAsia="Times New Roman" w:hAnsi="Times New Roman" w:cs="Times New Roman"/>
          <w:sz w:val="28"/>
          <w:szCs w:val="28"/>
          <w:lang w:val="uk-UA"/>
        </w:rPr>
        <w:t xml:space="preserve"> детальний план проведення співбесіди.</w:t>
      </w:r>
    </w:p>
    <w:p w14:paraId="62026A32"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Якщо розвиток персоналу здійснюється переважно у межах організації або за її ініціативи і сприянням поза виробництвом, то професійний розвиток особистості може виходити з рамки трудової діяльності в організації, проводитися не тільки за рахунок її коштів, а й за рахунок бюджетних чи власних коштів громадянина.</w:t>
      </w:r>
    </w:p>
    <w:p w14:paraId="11B0ED0A"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закладах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 xml:space="preserve">-ресторанного бізнесу атестація персоналу відіграє надзвичайно важливу функцію. За результатами атестації в ресторані (готелі) можна будувати план навчання співробітників, план їх кар'єрного зростання, як вертикального так і професійного горизонтального. Крім того, результати </w:t>
      </w:r>
      <w:r w:rsidRPr="005F0419">
        <w:rPr>
          <w:rFonts w:ascii="Times New Roman" w:eastAsia="Times New Roman" w:hAnsi="Times New Roman" w:cs="Times New Roman"/>
          <w:sz w:val="28"/>
          <w:szCs w:val="28"/>
          <w:lang w:val="uk-UA"/>
        </w:rPr>
        <w:lastRenderedPageBreak/>
        <w:t>атестації допомагають створювати ефективну систему фінансової та нематеріальної мотивації. Завдання атестаційної комісії – не визнання факту, що всі молодці і все добре, а, навпаки, виявлення слабких місць, прогалин, помилок і зон розвитку кожного співробітника і команди в цілому.</w:t>
      </w:r>
    </w:p>
    <w:p w14:paraId="4B824930"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Управління розвитком персоналу на підприємствах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 xml:space="preserve">-ресторанного бізнесу сприяє ефективному використанню трудового потенціалу особистості, підвищенню її соціальної та професійної мобільності, є засобом профілактики масового безробіття, відіграє значну роль у підготовці працівників для здійснення структурної й технологічної перебудови індустрії гостинності. Це позитивно впливає на удосконалення конкурентних переваг закладу, збільшення клієнтської бази та покращення результатів фінансової діяльності підприємства.  </w:t>
      </w:r>
    </w:p>
    <w:p w14:paraId="603E84E3"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Перетворення традиційної системи розвитку персоналу в організаціях готельного та ресторанного господарств в умовах активних змін технологій та бізнес-процесів потребує ефективного планування. Завдання, які повинні виконуватися в рамках функціонування даної системи знаходять своє відображення й втілення в плані розвитку персоналу організації. </w:t>
      </w:r>
    </w:p>
    <w:p w14:paraId="597CD91F"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План розвитку персоналу організації – це сукупність організаційно-економічних заходів щодо навчання персоналу організації, його перепідготовки й підвищенню кваліфікації. Ці заходи охоплюють питання професійної адаптації, оцінювання кандидатів на вакантну посаду, поточної періодичної оцінки кадрів, планування ділової кар'єри й службово-професійного просування, роботи з кадровим резервом [14]. </w:t>
      </w:r>
    </w:p>
    <w:p w14:paraId="25A2603E"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Завданням планування розвитку персоналу є визначення майбутніх вимог, що ставляться до робочих місць, а також планування заходів, необхідних для професійного розвитку працівників.</w:t>
      </w:r>
    </w:p>
    <w:p w14:paraId="6152E62A"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У плануванні розвитку персоналу важливим завданням є планування заходів, спрямованих на досягнення рівня освіти, необхідного для призначення на певну посаду. Закладам індустрії гостинності варто розробляти плани щодо подальшої освіти співробітників, направлених для набуття спеціальної професійної кваліфікації і виробничого досвіду.</w:t>
      </w:r>
    </w:p>
    <w:p w14:paraId="4454C993"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Потреба в розвитку персоналу визначається через порівняння знань і вмінь працівників з майбутніми завданнями і вимогами. При цьому необхідно враховувати інтереси і побажання працівника, а також його потенціал. Працівники заінтересовані в пристосуванні своєї кваліфікації до вимог робочого місця, в гарантіях виробничого зростання (планування кар’єри): підвищення особистої мобільності на ринку робочої сили; отримання шансів для самореалізації на робочому місці.</w:t>
      </w:r>
    </w:p>
    <w:p w14:paraId="03C5F0F6"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Планування розвитку персоналу організацій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-ресторанного бізнесу являє собою системно організований процес складання плану безперервного професійного навчання працівників для підготовки їх до виконання нових професійних функцій.</w:t>
      </w:r>
    </w:p>
    <w:p w14:paraId="5BB9B7B3"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Фахівці, відповідальні за планування розвитку людських ресурсів, формують плани навчання, спрямовані на зростання професійних знань і навичок та інтеграційне навчання з розвитку комунікативних навичок, управлінських компетенцій, підвищення рівня особистісних компетенцій [15].</w:t>
      </w:r>
    </w:p>
    <w:p w14:paraId="7EC93FEA" w14:textId="185D9EE4"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Найчастіше план розвитку персоналу організації стосується якісних змін: кадрові переміщення персоналу, підготовка резерву керівників, навчання й розвиток персоналу з метою його відповідності вимогам виробничих планів, умовам мінливої конкурентної ситуації, проведення заходів, спрямованих на зміни в корпоративній культурі. </w:t>
      </w:r>
    </w:p>
    <w:p w14:paraId="14F48B13" w14:textId="77777777" w:rsidR="00877ECC" w:rsidRPr="005F0419" w:rsidRDefault="00877ECC"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Етапи складання плану розвитку персоналу організації полягають у наведенні певної послідовності виконання робіт та визначенні основних її елементів. Для практичного застосування в організації порядок складання плану може виглядати таким чином (рис. 2). </w:t>
      </w:r>
    </w:p>
    <w:p w14:paraId="39471AB3"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Даний порядок  планування містить достатній перелік робіт зі складання плану, але він може бути і розширеним (або скороченим), що залежить від конкретної специфіки діяльності організації, її організаційної структури, поточних та перспективних завдань.</w:t>
      </w:r>
    </w:p>
    <w:p w14:paraId="77D815DF"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 будь-якому випадку, необхідно звертати увагу на особливості формування функціональних планів, які повинні складатися детально з описом </w:t>
      </w:r>
      <w:r w:rsidRPr="005F0419">
        <w:rPr>
          <w:rFonts w:ascii="Times New Roman" w:eastAsia="Times New Roman" w:hAnsi="Times New Roman" w:cs="Times New Roman"/>
          <w:sz w:val="28"/>
          <w:szCs w:val="28"/>
          <w:lang w:val="uk-UA"/>
        </w:rPr>
        <w:lastRenderedPageBreak/>
        <w:t xml:space="preserve">конкретних дій стосовно кожного підрозділу організації з вказівкою певного заходу по категоріям працюючих. </w:t>
      </w:r>
    </w:p>
    <w:p w14:paraId="5E17D5AA" w14:textId="77777777" w:rsidR="007715AB" w:rsidRPr="005F0419" w:rsidRDefault="007715AB" w:rsidP="007715AB">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6D78029F" wp14:editId="3D4F8BFC">
            <wp:extent cx="5814392" cy="4462670"/>
            <wp:effectExtent l="0" t="0" r="15240" b="0"/>
            <wp:docPr id="653531992" name="Схема 65353199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6" r:lo="rId217" r:qs="rId218" r:cs="rId219"/>
              </a:graphicData>
            </a:graphic>
          </wp:inline>
        </w:drawing>
      </w:r>
    </w:p>
    <w:p w14:paraId="536CD30E" w14:textId="77777777" w:rsidR="007715AB" w:rsidRPr="005F0419" w:rsidRDefault="007715AB" w:rsidP="007715AB">
      <w:pPr>
        <w:autoSpaceDE w:val="0"/>
        <w:autoSpaceDN w:val="0"/>
        <w:adjustRightInd w:val="0"/>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Рис. 2. Етапи складання плану розвитку персоналу організації </w:t>
      </w:r>
    </w:p>
    <w:p w14:paraId="10E99EA6" w14:textId="77777777" w:rsidR="007715AB" w:rsidRPr="005F0419" w:rsidRDefault="007715AB" w:rsidP="007715AB">
      <w:pPr>
        <w:autoSpaceDE w:val="0"/>
        <w:autoSpaceDN w:val="0"/>
        <w:adjustRightInd w:val="0"/>
        <w:spacing w:after="0" w:line="360" w:lineRule="auto"/>
        <w:ind w:firstLine="720"/>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Джерело: складено авторами.</w:t>
      </w:r>
    </w:p>
    <w:p w14:paraId="0E9E3925" w14:textId="77777777" w:rsidR="007715AB" w:rsidRDefault="007715AB"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p>
    <w:p w14:paraId="37CC0BD7" w14:textId="2FBA06A8"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Окремим розділом плану є календарна форма, яка містить відомості про виконавців, відповідальних, планові показники для контролю виконання, перелік необхідних ресурсів [16].</w:t>
      </w:r>
    </w:p>
    <w:p w14:paraId="29EF0C73"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Складання бюджету плану є важливим етапом планування, тому що він визначає ресурси, необхідні для здійснення кожного заходу. Необхідно ретельно підрахувати вартість цих ресурсів, розподілити по можливості за часом, по функціях, наприклад, на навчання персоналу, атестацію, обов'язково треба визначити джерела фінансування (пряме фінансування, цільові фонди, зовнішні ресурси). Якщо ресурсів явно не вистачає або керівництво не згодне з розрахунком бюджету, то є можливість корегування плану розвитку персоналу </w:t>
      </w:r>
      <w:r w:rsidRPr="005F0419">
        <w:rPr>
          <w:rFonts w:ascii="Times New Roman" w:eastAsia="Times New Roman" w:hAnsi="Times New Roman" w:cs="Times New Roman"/>
          <w:sz w:val="28"/>
          <w:szCs w:val="28"/>
          <w:lang w:val="uk-UA"/>
        </w:rPr>
        <w:lastRenderedPageBreak/>
        <w:t xml:space="preserve">виходячи з пріоритетності, </w:t>
      </w:r>
      <w:proofErr w:type="spellStart"/>
      <w:r w:rsidRPr="005F0419">
        <w:rPr>
          <w:rFonts w:ascii="Times New Roman" w:eastAsia="Times New Roman" w:hAnsi="Times New Roman" w:cs="Times New Roman"/>
          <w:sz w:val="28"/>
          <w:szCs w:val="28"/>
          <w:lang w:val="uk-UA"/>
        </w:rPr>
        <w:t>надважливості</w:t>
      </w:r>
      <w:proofErr w:type="spellEnd"/>
      <w:r w:rsidRPr="005F0419">
        <w:rPr>
          <w:rFonts w:ascii="Times New Roman" w:eastAsia="Times New Roman" w:hAnsi="Times New Roman" w:cs="Times New Roman"/>
          <w:sz w:val="28"/>
          <w:szCs w:val="28"/>
          <w:lang w:val="uk-UA"/>
        </w:rPr>
        <w:t xml:space="preserve"> запланованих заходів, що є найбільш актуальними й першочерговими для організації на наступний період. </w:t>
      </w:r>
    </w:p>
    <w:p w14:paraId="52BD6D58"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Переконання керівництва організації в необхідності виконання плану розвитку у повному обсязі можливе шляхом включення в даний розділ розрахунків соціально-економічної ефективності пропонованих планових заходів щодо розвитку персоналу. </w:t>
      </w:r>
    </w:p>
    <w:p w14:paraId="4818B371"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Ефективність запланованих заходів розвитку персоналу повинна враховувати як економічні аспекти результативності діяльності організації, так і потреби й інтереси його працівників. Економічна ефективність розвитку персоналу визначає досягнення цілей організації, наприклад, виробництво продукції в більшому обсязі, надання послуг кращої якості, шляхом використання праці працівників за принципом економічного витрачання обмежених коштів. Даний принцип реалізується при найбільш сприятливому співвідношенні між результатом праці й масштабом його використання, тобто ростом продуктивності праці, і відповідно при найбільш сприятливому співвідношенні між результатами праці персоналу й витратами на його розвиток. Соціальна ефективність розвитку персоналу здійснюється у вигляді очікувань, реалізації потреб і задоволення інтересів працівників, які досить різноманітні: покращення оплати та  умов праці, можливості й перспективи кар'єрного росту, творчого розвитку особистості. </w:t>
      </w:r>
    </w:p>
    <w:p w14:paraId="76A8D428"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Визначення економічної й соціальної ефективності, якщо вона буде включена у план, дозволить більш докладно й обґрунтовано сформувати планові заходи щодо розвитку персоналу в організації.</w:t>
      </w:r>
    </w:p>
    <w:p w14:paraId="45E00821"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Планування персоналу повинно забезпечити максимальне розкриття здібностей працівників, враховувати економічні і соціальні наслідки при прийнятті відповідних рішень. Оскільки персонал є вирішальним фактором діяльності будь-якої організації, про ефективність планування можна судити з рівня досягнення цілей організацією [17].</w:t>
      </w:r>
    </w:p>
    <w:p w14:paraId="3EA4AEBC"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Заходи щодо розвитку персоналу організації необхідно проводити не в міру виникнення потреб в підвищенні їх </w:t>
      </w:r>
      <w:proofErr w:type="spellStart"/>
      <w:r w:rsidRPr="005F0419">
        <w:rPr>
          <w:rFonts w:ascii="Times New Roman" w:eastAsia="Times New Roman" w:hAnsi="Times New Roman" w:cs="Times New Roman"/>
          <w:sz w:val="28"/>
          <w:szCs w:val="28"/>
          <w:lang w:val="uk-UA"/>
        </w:rPr>
        <w:t>професійно</w:t>
      </w:r>
      <w:proofErr w:type="spellEnd"/>
      <w:r w:rsidRPr="005F0419">
        <w:rPr>
          <w:rFonts w:ascii="Times New Roman" w:eastAsia="Times New Roman" w:hAnsi="Times New Roman" w:cs="Times New Roman"/>
          <w:sz w:val="28"/>
          <w:szCs w:val="28"/>
          <w:lang w:val="uk-UA"/>
        </w:rPr>
        <w:t xml:space="preserve">-кваліфікаційного рівня, а </w:t>
      </w:r>
      <w:r w:rsidRPr="005F0419">
        <w:rPr>
          <w:rFonts w:ascii="Times New Roman" w:eastAsia="Times New Roman" w:hAnsi="Times New Roman" w:cs="Times New Roman"/>
          <w:sz w:val="28"/>
          <w:szCs w:val="28"/>
          <w:lang w:val="uk-UA"/>
        </w:rPr>
        <w:lastRenderedPageBreak/>
        <w:t xml:space="preserve">заздалегідь по зваженому й обґрунтованому плану, який повинен бути складений у встановленому порядку. Дотримування такого чіткого встановленого порядку допоможе уникнути помилок і </w:t>
      </w:r>
      <w:proofErr w:type="spellStart"/>
      <w:r w:rsidRPr="005F0419">
        <w:rPr>
          <w:rFonts w:ascii="Times New Roman" w:eastAsia="Times New Roman" w:hAnsi="Times New Roman" w:cs="Times New Roman"/>
          <w:sz w:val="28"/>
          <w:szCs w:val="28"/>
          <w:lang w:val="uk-UA"/>
        </w:rPr>
        <w:t>неточностей</w:t>
      </w:r>
      <w:proofErr w:type="spellEnd"/>
      <w:r w:rsidRPr="005F0419">
        <w:rPr>
          <w:rFonts w:ascii="Times New Roman" w:eastAsia="Times New Roman" w:hAnsi="Times New Roman" w:cs="Times New Roman"/>
          <w:sz w:val="28"/>
          <w:szCs w:val="28"/>
          <w:lang w:val="uk-UA"/>
        </w:rPr>
        <w:t xml:space="preserve"> при складанні плану, який є головним керівним документом для реалізації ефективної кадрової політики в організації.</w:t>
      </w:r>
    </w:p>
    <w:p w14:paraId="4ED0267B" w14:textId="77777777" w:rsidR="00A55004" w:rsidRPr="005F0419" w:rsidRDefault="00A55004" w:rsidP="00877ECC">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Розвиток персоналу для підприємств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-ресторанного бізнесу є важливим напрямом виробничих інвестицій. Пріоритетність інвестицій в розвиток персоналу визначається необхідністю підвищення ділової активності кожного працівника з метою подальшого успішного розвитку організації, упровадження нових технологій, зростання продуктивності праці тощо.</w:t>
      </w:r>
    </w:p>
    <w:p w14:paraId="226121C4"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У сучасному конкурентному середовищі закладам індустрії гостинності складно чимось кардинально відрізнятися від конкурентів, які пропонують одноманітні послуги щодо харчування, проживання тощо. Тому з недавнього часу почала дуже активно розвиватися тенденція вкладання коштів у розвиток персоналу. Адже саме персонал є тим найважливішим фактором успішної  діяльності організації, який вдало використовує інші фактори виробництва і забезпечує їх максимальну віддачу. Здатність організації навчатися і розвиватися швидше за своїх конкурентів є джерелом її соціальних, стратегічних і економічних переваг. Для підприємця, керівника повинно бути зрозуміло, що саме люди, турботливо підібраний ним персонал, який пройшов певні етапи розвитку, зможе успішно виконувати виробничо-організаційні завдання, формувати творчі і результативні колективи, оптимально використовувати капітал, обладнання, інформаційні та матеріальні ресурси.</w:t>
      </w:r>
    </w:p>
    <w:p w14:paraId="035910F5"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Одним з основних напрямів розвитку персоналу компанії  є організація взаємопов’язаних процесів розвитку конкурентоспроможних і особистісних здібностей працівника.</w:t>
      </w:r>
    </w:p>
    <w:p w14:paraId="22D45AA2" w14:textId="782346BA"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Сучасний працівник повинен мати стратегічне бачення перспектив розвитку організації, а також мати широку ерудицію, що вимагає безперервного розвитку персоналу, тобто проведення заходів, що сприяють розкриттю потенціалу працівників, і як наслідок, збільшують їх можливості виконувати нові </w:t>
      </w:r>
      <w:r w:rsidRPr="005F0419">
        <w:rPr>
          <w:rFonts w:ascii="Times New Roman" w:eastAsia="Times New Roman" w:hAnsi="Times New Roman" w:cs="Times New Roman"/>
          <w:sz w:val="28"/>
          <w:szCs w:val="28"/>
          <w:lang w:val="uk-UA"/>
        </w:rPr>
        <w:lastRenderedPageBreak/>
        <w:t>задачі.</w:t>
      </w:r>
      <w:r w:rsidR="007715AB">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Багато громадян високо оцінюють можливість підвищення свого рівня професійного розвитку. Ця обставина у ряді випадків відіграє вирішальну роль в прийнятті ними рішення стосовно працевлаштування в конкретній організації. Виграє у даному випадку і суспільство в цілому, оскільки зростає освітній потенціал країни, збільшується продуктивність суспільної праці без залучення значних бюджетних коштів. </w:t>
      </w:r>
    </w:p>
    <w:p w14:paraId="47A5CD72" w14:textId="7C5D5783"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iCs/>
          <w:sz w:val="28"/>
          <w:szCs w:val="28"/>
          <w:lang w:val="uk-UA"/>
        </w:rPr>
      </w:pPr>
      <w:r w:rsidRPr="005F0419">
        <w:rPr>
          <w:rFonts w:ascii="Times New Roman" w:eastAsia="Times New Roman" w:hAnsi="Times New Roman" w:cs="Times New Roman"/>
          <w:iCs/>
          <w:sz w:val="28"/>
          <w:szCs w:val="28"/>
          <w:lang w:val="uk-UA"/>
        </w:rPr>
        <w:t xml:space="preserve">Конкурентоспроможність працівника характеризує якісну сторону його трудового потенціалу, від рівня конкурентоспроможності залежить специфіка трудової поведінки, ступінь розвитку особистого трудового потенціалу. Конкурентоспроможність працівника, за словами </w:t>
      </w:r>
      <w:r w:rsidR="00877ECC" w:rsidRPr="005F0419">
        <w:rPr>
          <w:rFonts w:ascii="Times New Roman" w:eastAsia="Times New Roman" w:hAnsi="Times New Roman" w:cs="Times New Roman"/>
          <w:iCs/>
          <w:sz w:val="28"/>
          <w:szCs w:val="28"/>
          <w:lang w:val="uk-UA"/>
        </w:rPr>
        <w:t>О.</w:t>
      </w:r>
      <w:r w:rsidR="007715AB">
        <w:rPr>
          <w:rFonts w:ascii="Times New Roman" w:eastAsia="Times New Roman" w:hAnsi="Times New Roman" w:cs="Times New Roman"/>
          <w:iCs/>
          <w:sz w:val="28"/>
          <w:szCs w:val="28"/>
          <w:lang w:val="uk-UA"/>
        </w:rPr>
        <w:t xml:space="preserve"> </w:t>
      </w:r>
      <w:proofErr w:type="spellStart"/>
      <w:r w:rsidRPr="005F0419">
        <w:rPr>
          <w:rFonts w:ascii="Times New Roman" w:eastAsia="Times New Roman" w:hAnsi="Times New Roman" w:cs="Times New Roman"/>
          <w:iCs/>
          <w:sz w:val="28"/>
          <w:szCs w:val="28"/>
          <w:lang w:val="uk-UA"/>
        </w:rPr>
        <w:t>Грішнової</w:t>
      </w:r>
      <w:proofErr w:type="spellEnd"/>
      <w:r w:rsidR="00877ECC" w:rsidRPr="005F0419">
        <w:rPr>
          <w:rFonts w:ascii="Times New Roman" w:eastAsia="Times New Roman" w:hAnsi="Times New Roman" w:cs="Times New Roman"/>
          <w:iCs/>
          <w:sz w:val="28"/>
          <w:szCs w:val="28"/>
          <w:lang w:val="uk-UA"/>
        </w:rPr>
        <w:t xml:space="preserve"> </w:t>
      </w:r>
      <w:r w:rsidRPr="005F0419">
        <w:rPr>
          <w:rFonts w:ascii="Times New Roman" w:eastAsia="Times New Roman" w:hAnsi="Times New Roman" w:cs="Times New Roman"/>
          <w:iCs/>
          <w:sz w:val="28"/>
          <w:szCs w:val="28"/>
          <w:lang w:val="uk-UA"/>
        </w:rPr>
        <w:t xml:space="preserve">– це відповідність якості робочої сили потребам ринку, можливість перемагати в конкуренції на ринку праці, тобто повніше порівняно з іншими кандидатами задовольняти вимоги роботодавців за рівнем знань, умінь, навичок, особистих рис [4]. </w:t>
      </w:r>
    </w:p>
    <w:p w14:paraId="3EC76B07" w14:textId="2A306C91" w:rsidR="00A55004" w:rsidRPr="005F0419" w:rsidRDefault="00A55004" w:rsidP="00877ECC">
      <w:pPr>
        <w:spacing w:after="0" w:line="360" w:lineRule="auto"/>
        <w:ind w:firstLine="720"/>
        <w:jc w:val="both"/>
        <w:rPr>
          <w:rFonts w:ascii="Times New Roman" w:eastAsia="Times New Roman" w:hAnsi="Times New Roman" w:cs="Times New Roman"/>
          <w:iCs/>
          <w:sz w:val="28"/>
          <w:szCs w:val="28"/>
          <w:lang w:val="uk-UA"/>
        </w:rPr>
      </w:pPr>
      <w:r w:rsidRPr="005F0419">
        <w:rPr>
          <w:rFonts w:ascii="Times New Roman" w:eastAsia="Times New Roman" w:hAnsi="Times New Roman" w:cs="Times New Roman"/>
          <w:iCs/>
          <w:sz w:val="28"/>
          <w:szCs w:val="28"/>
          <w:lang w:val="uk-UA"/>
        </w:rPr>
        <w:t>Загалом, конкурентоспроможність працівника – це здатність до індивідуальних досягнень у праці, що представляють внесок у досягнення організаційних цілей. Конкурентоспроможність працівника визначається якістю робочої сили, відповідним до ринкової потреби у функціональній якості праці; рівнем потенційної й фактичної ефективності праці робітників й здатності до професійного розвитку [18]. Відбувається відбір найбільш здатних працівників з погляду відповідності їх людського капіталу якості праці. </w:t>
      </w:r>
    </w:p>
    <w:p w14:paraId="2BD6D6DD" w14:textId="77777777" w:rsidR="00877ECC" w:rsidRPr="005F0419" w:rsidRDefault="00A55004" w:rsidP="00877ECC">
      <w:pPr>
        <w:spacing w:after="0" w:line="360" w:lineRule="auto"/>
        <w:ind w:firstLine="720"/>
        <w:jc w:val="both"/>
        <w:rPr>
          <w:rFonts w:ascii="Times New Roman" w:eastAsia="Times New Roman" w:hAnsi="Times New Roman" w:cs="Times New Roman"/>
          <w:iCs/>
          <w:sz w:val="28"/>
          <w:szCs w:val="28"/>
          <w:lang w:val="uk-UA"/>
        </w:rPr>
      </w:pPr>
      <w:r w:rsidRPr="005F0419">
        <w:rPr>
          <w:rFonts w:ascii="Times New Roman" w:eastAsia="Times New Roman" w:hAnsi="Times New Roman" w:cs="Times New Roman"/>
          <w:iCs/>
          <w:sz w:val="28"/>
          <w:szCs w:val="28"/>
          <w:lang w:val="uk-UA"/>
        </w:rPr>
        <w:t xml:space="preserve">В аспекті якості конкурентоспроможність характеризується сукупністю споживчих властивостей робочої сили, здатних забезпечити ефективну працю: фах, стаж, вікові дані працівника, володіння ним іноземними мовами тощо. </w:t>
      </w:r>
    </w:p>
    <w:p w14:paraId="5609B2DD" w14:textId="5A132748" w:rsidR="00A55004" w:rsidRPr="005F0419" w:rsidRDefault="00A55004" w:rsidP="00877ECC">
      <w:pPr>
        <w:spacing w:after="0" w:line="360" w:lineRule="auto"/>
        <w:ind w:firstLine="720"/>
        <w:jc w:val="both"/>
        <w:rPr>
          <w:rFonts w:ascii="Times New Roman" w:eastAsia="Times New Roman" w:hAnsi="Times New Roman" w:cs="Times New Roman"/>
          <w:iCs/>
          <w:sz w:val="28"/>
          <w:szCs w:val="28"/>
          <w:lang w:val="uk-UA"/>
        </w:rPr>
      </w:pPr>
      <w:r w:rsidRPr="005F0419">
        <w:rPr>
          <w:rFonts w:ascii="Times New Roman" w:eastAsia="Times New Roman" w:hAnsi="Times New Roman" w:cs="Times New Roman"/>
          <w:sz w:val="28"/>
          <w:szCs w:val="28"/>
          <w:lang w:val="uk-UA"/>
        </w:rPr>
        <w:t xml:space="preserve">В аспекті кількісних характеристик категорія «конкурентоспроможність працівника» може визначатися такими показниками, як продуктивність праці та ефективність праці, витрати робочого часу на виконання певних операцій (робіт), якість надання послуги. </w:t>
      </w:r>
    </w:p>
    <w:p w14:paraId="4D1FA45F" w14:textId="77777777" w:rsidR="00A55004" w:rsidRPr="005F0419" w:rsidRDefault="00A55004" w:rsidP="00877ECC">
      <w:pPr>
        <w:spacing w:after="0" w:line="360" w:lineRule="auto"/>
        <w:ind w:firstLine="720"/>
        <w:jc w:val="both"/>
        <w:rPr>
          <w:rFonts w:ascii="Times New Roman" w:eastAsia="Times New Roman" w:hAnsi="Times New Roman" w:cs="Times New Roman"/>
          <w:iCs/>
          <w:sz w:val="28"/>
          <w:szCs w:val="28"/>
          <w:lang w:val="uk-UA"/>
        </w:rPr>
      </w:pPr>
      <w:r w:rsidRPr="005F0419">
        <w:rPr>
          <w:rFonts w:ascii="Times New Roman" w:eastAsia="Times New Roman" w:hAnsi="Times New Roman" w:cs="Times New Roman"/>
          <w:iCs/>
          <w:sz w:val="28"/>
          <w:szCs w:val="28"/>
          <w:lang w:val="uk-UA"/>
        </w:rPr>
        <w:t xml:space="preserve">Організація має бути зацікавленою у розвитку свого персоналу та раціональному використанню його компетенцій, щоб досягнути поставленої </w:t>
      </w:r>
      <w:r w:rsidRPr="005F0419">
        <w:rPr>
          <w:rFonts w:ascii="Times New Roman" w:eastAsia="Times New Roman" w:hAnsi="Times New Roman" w:cs="Times New Roman"/>
          <w:iCs/>
          <w:sz w:val="28"/>
          <w:szCs w:val="28"/>
          <w:lang w:val="uk-UA"/>
        </w:rPr>
        <w:lastRenderedPageBreak/>
        <w:t xml:space="preserve">мети, зберегти конкурентні переваги та здобути лідируючі позиції на зовнішньому ринку. </w:t>
      </w:r>
    </w:p>
    <w:p w14:paraId="51F1B36B" w14:textId="77777777" w:rsidR="00A55004" w:rsidRPr="005F0419" w:rsidRDefault="00A55004" w:rsidP="00877ECC">
      <w:pPr>
        <w:spacing w:after="0" w:line="360" w:lineRule="auto"/>
        <w:ind w:firstLine="720"/>
        <w:jc w:val="both"/>
        <w:outlineLvl w:val="3"/>
        <w:rPr>
          <w:rFonts w:ascii="Times New Roman" w:eastAsia="Times New Roman" w:hAnsi="Times New Roman" w:cs="Times New Roman"/>
          <w:bCs/>
          <w:sz w:val="28"/>
          <w:szCs w:val="28"/>
          <w:lang w:val="uk-UA"/>
        </w:rPr>
      </w:pPr>
      <w:r w:rsidRPr="005F0419">
        <w:rPr>
          <w:rFonts w:ascii="Times New Roman" w:eastAsia="Times New Roman" w:hAnsi="Times New Roman" w:cs="Times New Roman"/>
          <w:bCs/>
          <w:sz w:val="28"/>
          <w:szCs w:val="28"/>
          <w:lang w:val="uk-UA"/>
        </w:rPr>
        <w:t xml:space="preserve">Також, важливими складовими конкурентоспроможності працівника є стан його здоров'я і фізичного розвитку. Тому в організації для забезпечення збереження та розвитку трудового потенціалу повинні проводитися заходи щодо здорового способу життя, запобігання випадків професійних захворювань, травматизму та інвалідності. </w:t>
      </w:r>
      <w:r w:rsidRPr="005F0419">
        <w:rPr>
          <w:rFonts w:ascii="Times New Roman" w:eastAsia="Times New Roman" w:hAnsi="Times New Roman" w:cs="Times New Roman"/>
          <w:bCs/>
          <w:iCs/>
          <w:sz w:val="28"/>
          <w:szCs w:val="28"/>
          <w:lang w:val="uk-UA"/>
        </w:rPr>
        <w:t>Основні шляхи підвищення конкурентоспроможності персоналу (рис. 3):</w:t>
      </w:r>
    </w:p>
    <w:p w14:paraId="11C5CC50" w14:textId="77777777" w:rsidR="00A55004" w:rsidRPr="005F0419" w:rsidRDefault="00A55004" w:rsidP="00877ECC">
      <w:pPr>
        <w:widowControl w:val="0"/>
        <w:autoSpaceDE w:val="0"/>
        <w:autoSpaceDN w:val="0"/>
        <w:adjustRightInd w:val="0"/>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b/>
          <w:bCs/>
          <w:noProof/>
          <w:sz w:val="28"/>
          <w:szCs w:val="28"/>
          <w:lang w:val="uk-UA" w:eastAsia="uk-UA"/>
        </w:rPr>
        <w:drawing>
          <wp:inline distT="0" distB="0" distL="0" distR="0" wp14:anchorId="0FF344E5" wp14:editId="5822E5E1">
            <wp:extent cx="4546600" cy="2400300"/>
            <wp:effectExtent l="0" t="0" r="6350" b="0"/>
            <wp:docPr id="38" name="Рисунок 38" descr="Рисунок 3.1 - Шляхи підвищення конкурентоспроможності персонал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Рисунок 3.1 - Шляхи підвищення конкурентоспроможності персоналу"/>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4546600" cy="2400300"/>
                    </a:xfrm>
                    <a:prstGeom prst="rect">
                      <a:avLst/>
                    </a:prstGeom>
                    <a:noFill/>
                    <a:ln>
                      <a:noFill/>
                    </a:ln>
                  </pic:spPr>
                </pic:pic>
              </a:graphicData>
            </a:graphic>
          </wp:inline>
        </w:drawing>
      </w:r>
    </w:p>
    <w:p w14:paraId="6C3BC7E4" w14:textId="7E71C49B" w:rsidR="00A55004" w:rsidRPr="005F0419" w:rsidRDefault="00A55004" w:rsidP="00877ECC">
      <w:pPr>
        <w:spacing w:after="0" w:line="360" w:lineRule="auto"/>
        <w:ind w:firstLine="720"/>
        <w:jc w:val="center"/>
        <w:outlineLvl w:val="3"/>
        <w:rPr>
          <w:rFonts w:ascii="Times New Roman" w:eastAsia="Times New Roman" w:hAnsi="Times New Roman" w:cs="Times New Roman"/>
          <w:bCs/>
          <w:sz w:val="28"/>
          <w:szCs w:val="28"/>
          <w:lang w:val="uk-UA"/>
        </w:rPr>
      </w:pPr>
      <w:r w:rsidRPr="005F0419">
        <w:rPr>
          <w:rFonts w:ascii="Times New Roman" w:eastAsia="Times New Roman" w:hAnsi="Times New Roman" w:cs="Times New Roman"/>
          <w:bCs/>
          <w:sz w:val="28"/>
          <w:szCs w:val="28"/>
          <w:lang w:val="uk-UA"/>
        </w:rPr>
        <w:t>Рис.3. Шляхи підвищення конкурентоспроможності персоналу</w:t>
      </w:r>
    </w:p>
    <w:p w14:paraId="4C7063D3" w14:textId="46747E24" w:rsidR="00A55004" w:rsidRPr="005F0419" w:rsidRDefault="00877ECC" w:rsidP="00877ECC">
      <w:pPr>
        <w:spacing w:after="0" w:line="360" w:lineRule="auto"/>
        <w:ind w:firstLine="720"/>
        <w:jc w:val="both"/>
        <w:outlineLvl w:val="3"/>
        <w:rPr>
          <w:rFonts w:ascii="Times New Roman" w:eastAsia="Times New Roman" w:hAnsi="Times New Roman" w:cs="Times New Roman"/>
          <w:bCs/>
          <w:sz w:val="28"/>
          <w:szCs w:val="28"/>
          <w:lang w:val="uk-UA"/>
        </w:rPr>
      </w:pPr>
      <w:r w:rsidRPr="005F0419">
        <w:rPr>
          <w:rFonts w:ascii="Times New Roman" w:eastAsia="Times New Roman" w:hAnsi="Times New Roman" w:cs="Times New Roman"/>
          <w:bCs/>
          <w:sz w:val="28"/>
          <w:szCs w:val="28"/>
          <w:lang w:val="uk-UA"/>
        </w:rPr>
        <w:t xml:space="preserve">Джерело: </w:t>
      </w:r>
      <w:r w:rsidR="00A55004" w:rsidRPr="005F0419">
        <w:rPr>
          <w:rFonts w:ascii="Times New Roman" w:eastAsia="Times New Roman" w:hAnsi="Times New Roman" w:cs="Times New Roman"/>
          <w:bCs/>
          <w:sz w:val="28"/>
          <w:szCs w:val="28"/>
          <w:lang w:val="uk-UA"/>
        </w:rPr>
        <w:t>складено на основі</w:t>
      </w:r>
      <w:r w:rsidRPr="005F0419">
        <w:rPr>
          <w:rFonts w:ascii="Times New Roman" w:eastAsia="Times New Roman" w:hAnsi="Times New Roman" w:cs="Times New Roman"/>
          <w:bCs/>
          <w:sz w:val="28"/>
          <w:szCs w:val="28"/>
          <w:lang w:val="uk-UA"/>
        </w:rPr>
        <w:t xml:space="preserve"> [</w:t>
      </w:r>
      <w:r w:rsidR="00A55004" w:rsidRPr="005F0419">
        <w:rPr>
          <w:rFonts w:ascii="Times New Roman" w:eastAsia="Times New Roman" w:hAnsi="Times New Roman" w:cs="Times New Roman"/>
          <w:bCs/>
          <w:sz w:val="28"/>
          <w:szCs w:val="28"/>
          <w:lang w:val="uk-UA"/>
        </w:rPr>
        <w:t>18</w:t>
      </w:r>
      <w:r w:rsidRPr="005F0419">
        <w:rPr>
          <w:rFonts w:ascii="Times New Roman" w:eastAsia="Times New Roman" w:hAnsi="Times New Roman" w:cs="Times New Roman"/>
          <w:bCs/>
          <w:sz w:val="28"/>
          <w:szCs w:val="28"/>
          <w:lang w:val="uk-UA"/>
        </w:rPr>
        <w:t>].</w:t>
      </w:r>
    </w:p>
    <w:p w14:paraId="42007111" w14:textId="77777777" w:rsidR="007715AB" w:rsidRDefault="007715AB" w:rsidP="00877ECC">
      <w:pPr>
        <w:autoSpaceDE w:val="0"/>
        <w:autoSpaceDN w:val="0"/>
        <w:adjustRightInd w:val="0"/>
        <w:spacing w:after="0" w:line="360" w:lineRule="auto"/>
        <w:ind w:firstLine="720"/>
        <w:jc w:val="both"/>
        <w:rPr>
          <w:rFonts w:ascii="Times New Roman" w:eastAsia="TimesNewRomanPSMT" w:hAnsi="Times New Roman" w:cs="Times New Roman"/>
          <w:sz w:val="28"/>
          <w:szCs w:val="28"/>
          <w:lang w:val="uk-UA"/>
        </w:rPr>
      </w:pPr>
    </w:p>
    <w:p w14:paraId="0EB26202" w14:textId="23F325DE" w:rsidR="00A55004" w:rsidRPr="005F0419" w:rsidRDefault="00A55004" w:rsidP="00877ECC">
      <w:pPr>
        <w:autoSpaceDE w:val="0"/>
        <w:autoSpaceDN w:val="0"/>
        <w:adjustRightInd w:val="0"/>
        <w:spacing w:after="0" w:line="360" w:lineRule="auto"/>
        <w:ind w:firstLine="720"/>
        <w:jc w:val="both"/>
        <w:rPr>
          <w:rFonts w:ascii="Times New Roman" w:eastAsia="TimesNewRomanPSMT" w:hAnsi="Times New Roman" w:cs="Times New Roman"/>
          <w:sz w:val="28"/>
          <w:szCs w:val="28"/>
          <w:lang w:val="uk-UA"/>
        </w:rPr>
      </w:pPr>
      <w:r w:rsidRPr="005F0419">
        <w:rPr>
          <w:rFonts w:ascii="Times New Roman" w:eastAsia="TimesNewRomanPSMT" w:hAnsi="Times New Roman" w:cs="Times New Roman"/>
          <w:sz w:val="28"/>
          <w:szCs w:val="28"/>
          <w:lang w:val="uk-UA"/>
        </w:rPr>
        <w:t xml:space="preserve">Велике значення для забезпечення конкурентоспроможності персоналу організації має стимулювання розвитку працівників і раціональне використання їх компетенції. Набуті працівниками в процесі професійного навчання знання, уміння і практичні навички не принесуть ніякої користі організації, якщо робітники чи фахівці з вищою освітою не заінтересовані їх реалізувати з максимальною ефективністю, не виявляють інтересу до свого </w:t>
      </w:r>
      <w:proofErr w:type="spellStart"/>
      <w:r w:rsidRPr="005F0419">
        <w:rPr>
          <w:rFonts w:ascii="Times New Roman" w:eastAsia="TimesNewRomanPSMT" w:hAnsi="Times New Roman" w:cs="Times New Roman"/>
          <w:sz w:val="28"/>
          <w:szCs w:val="28"/>
          <w:lang w:val="uk-UA"/>
        </w:rPr>
        <w:t>професійно</w:t>
      </w:r>
      <w:proofErr w:type="spellEnd"/>
      <w:r w:rsidRPr="005F0419">
        <w:rPr>
          <w:rFonts w:ascii="Times New Roman" w:eastAsia="TimesNewRomanPSMT" w:hAnsi="Times New Roman" w:cs="Times New Roman"/>
          <w:sz w:val="28"/>
          <w:szCs w:val="28"/>
          <w:lang w:val="uk-UA"/>
        </w:rPr>
        <w:t xml:space="preserve">-кваліфікаційного просування тощо. У цьому розумінні професійні інтереси персоналу, його мотивація та устремління є винятково важливими складовими конкурентоспроможності персоналу організації. Їх значущість має виражену тенденцію до зростання. Тому одним із основних завдань управління розвитком </w:t>
      </w:r>
      <w:r w:rsidRPr="005F0419">
        <w:rPr>
          <w:rFonts w:ascii="Times New Roman" w:eastAsia="TimesNewRomanPSMT" w:hAnsi="Times New Roman" w:cs="Times New Roman"/>
          <w:sz w:val="28"/>
          <w:szCs w:val="28"/>
          <w:lang w:val="uk-UA"/>
        </w:rPr>
        <w:lastRenderedPageBreak/>
        <w:t>персоналу стає оптимізація результатів трудової діяльності працівників завдяки підвищенню їх рівня мотивації і прагнення до високопродуктивної праці [19].</w:t>
      </w:r>
    </w:p>
    <w:p w14:paraId="6C669DB9"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iCs/>
          <w:sz w:val="28"/>
          <w:szCs w:val="28"/>
          <w:lang w:val="uk-UA"/>
        </w:rPr>
      </w:pPr>
      <w:r w:rsidRPr="005F0419">
        <w:rPr>
          <w:rFonts w:ascii="Times New Roman" w:eastAsia="Times New Roman" w:hAnsi="Times New Roman" w:cs="Times New Roman"/>
          <w:iCs/>
          <w:sz w:val="28"/>
          <w:szCs w:val="28"/>
          <w:lang w:val="uk-UA"/>
        </w:rPr>
        <w:t xml:space="preserve">Розвиток персоналу забезпечує підвищення загального інтелектуального рівня особистості, розширює її ерудицію та коло спілкування, оскільки освічена людина вільно орієнтується в сучасному складному світі, у стосунках із людьми. У результаті поліпшується морально-психологічний клімат у структурних підрозділах організації, підвищується мотивація працівників до праці, їх вірність цілям і стратегічним завданням компанії, забезпечується наступність в управлінні, а також знижується плинність кадрів. </w:t>
      </w:r>
    </w:p>
    <w:p w14:paraId="37BDA87C"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iCs/>
          <w:sz w:val="28"/>
          <w:szCs w:val="28"/>
          <w:lang w:val="uk-UA"/>
        </w:rPr>
      </w:pPr>
      <w:r w:rsidRPr="005F0419">
        <w:rPr>
          <w:rFonts w:ascii="Times New Roman" w:eastAsia="Times New Roman" w:hAnsi="Times New Roman" w:cs="Times New Roman"/>
          <w:iCs/>
          <w:sz w:val="28"/>
          <w:szCs w:val="28"/>
          <w:lang w:val="uk-UA"/>
        </w:rPr>
        <w:t>Професійний розвиток персоналу, розвиток особистості належать до основних показників прогресивності суспільства, вирішальних важелів науково-технічного прогресу. Тому в країнах з розвинутою ринковою економікою дедалі більше компаній перебирають на себе ініціативу щодо подальшого розвитку персоналу своїх організацій. Планування та організація розвитку персоналу стають важливими функціями служби управління персоналом. Наслідування Україною цього прикладу є обов’язковою умовою забезпечення в державі сталого економічного зростання [20].</w:t>
      </w:r>
    </w:p>
    <w:p w14:paraId="01F574A4" w14:textId="65FFA5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Розвиток компетенції персоналу та виявлення його професійної придатності </w:t>
      </w:r>
      <w:r w:rsidR="00877ECC"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важливі</w:t>
      </w:r>
      <w:r w:rsidR="00877ECC"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складові реалізації обраної стратегії управління підприємствами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-ресторанного бізнесу. Мається на увазі створення сприятливих умов для розвитку загальних і професійних знань, умінь та практичних навичок, належної психологічної, моральної і економічної готовності персоналу до продуктивної праці. Це сприяє високому рівню конкурентоспроможності як самого персоналу, так і організації в цілому.</w:t>
      </w:r>
    </w:p>
    <w:p w14:paraId="40887804"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Заклад індустрії гостинності, який прагне зберегти свою конкурентну перевагу і зайняти лідируючі позиції на ринку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 xml:space="preserve">-ресторанних послуг, потребує співробітників, що володіють сучасними знаннями і навиками, здатними ефективно застосувати їх на практиці. Компетентний персонал є рушійною силою компанії на шляху до досягнення її стратегічних цілей. Сучасне технологічне удосконалення спрямоване на прогресивну зміну характеру </w:t>
      </w:r>
      <w:r w:rsidRPr="005F0419">
        <w:rPr>
          <w:rFonts w:ascii="Times New Roman" w:eastAsia="Times New Roman" w:hAnsi="Times New Roman" w:cs="Times New Roman"/>
          <w:sz w:val="28"/>
          <w:szCs w:val="28"/>
          <w:lang w:val="uk-UA"/>
        </w:rPr>
        <w:lastRenderedPageBreak/>
        <w:t>навчання та розвитку персоналу організації.</w:t>
      </w:r>
    </w:p>
    <w:p w14:paraId="4E711363"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Навчання персоналу повинне відбуватися в рамках концепції навчання в організації та бути систематичним. При цьому, дані дії здійснюють позитивний вплив на зміну рівня кваліфікації та продуктивності працівників усіх ієрархічних рівнів, задовольняючи індивідуальну потребу в навчанні і потребу організації у навчених співробітниках. У сучасних організаціях навчання персоналу являє собою комплексний безперервний процес.</w:t>
      </w:r>
    </w:p>
    <w:p w14:paraId="630196F4" w14:textId="47A94FAE"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Виділяють три великі групи методів навчання персоналу (рис. 4)</w:t>
      </w:r>
      <w:r w:rsidR="00877ECC"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w:t>
      </w:r>
    </w:p>
    <w:p w14:paraId="24A8DE66" w14:textId="4446BED6" w:rsidR="00A55004" w:rsidRPr="005F0419" w:rsidRDefault="00877ECC"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mc:AlternateContent>
          <mc:Choice Requires="wpg">
            <w:drawing>
              <wp:anchor distT="0" distB="0" distL="114300" distR="114300" simplePos="0" relativeHeight="251664384" behindDoc="0" locked="0" layoutInCell="1" allowOverlap="1" wp14:anchorId="3EB1AF2E" wp14:editId="4DD9DA08">
                <wp:simplePos x="0" y="0"/>
                <wp:positionH relativeFrom="column">
                  <wp:posOffset>571996</wp:posOffset>
                </wp:positionH>
                <wp:positionV relativeFrom="paragraph">
                  <wp:posOffset>91081</wp:posOffset>
                </wp:positionV>
                <wp:extent cx="5357191" cy="2077278"/>
                <wp:effectExtent l="0" t="0" r="15240" b="18415"/>
                <wp:wrapNone/>
                <wp:docPr id="41" name="Группа 41"/>
                <wp:cNvGraphicFramePr/>
                <a:graphic xmlns:a="http://schemas.openxmlformats.org/drawingml/2006/main">
                  <a:graphicData uri="http://schemas.microsoft.com/office/word/2010/wordprocessingGroup">
                    <wpg:wgp>
                      <wpg:cNvGrpSpPr/>
                      <wpg:grpSpPr>
                        <a:xfrm>
                          <a:off x="0" y="0"/>
                          <a:ext cx="5357191" cy="2077278"/>
                          <a:chOff x="0" y="0"/>
                          <a:chExt cx="5143500" cy="1757156"/>
                        </a:xfrm>
                      </wpg:grpSpPr>
                      <wps:wsp>
                        <wps:cNvPr id="68" name="Прямоугольник 68"/>
                        <wps:cNvSpPr>
                          <a:spLocks noChangeArrowheads="1"/>
                        </wps:cNvSpPr>
                        <wps:spPr bwMode="auto">
                          <a:xfrm>
                            <a:off x="0" y="0"/>
                            <a:ext cx="2400300" cy="800100"/>
                          </a:xfrm>
                          <a:prstGeom prst="rect">
                            <a:avLst/>
                          </a:prstGeom>
                          <a:solidFill>
                            <a:srgbClr val="CCFFCC"/>
                          </a:solidFill>
                          <a:ln w="22225">
                            <a:solidFill>
                              <a:srgbClr val="000000"/>
                            </a:solidFill>
                            <a:miter lim="800000"/>
                            <a:headEnd/>
                            <a:tailEnd/>
                          </a:ln>
                        </wps:spPr>
                        <wps:txbx>
                          <w:txbxContent>
                            <w:p w14:paraId="14E51CA6" w14:textId="77777777" w:rsidR="00571B42" w:rsidRPr="000F5283" w:rsidRDefault="00571B42" w:rsidP="00A55004">
                              <w:pPr>
                                <w:jc w:val="center"/>
                                <w:rPr>
                                  <w:b/>
                                  <w:bCs/>
                                  <w:sz w:val="24"/>
                                  <w:szCs w:val="24"/>
                                  <w:lang w:val="uk-UA"/>
                                </w:rPr>
                              </w:pPr>
                            </w:p>
                            <w:p w14:paraId="3488C7A6" w14:textId="77777777" w:rsidR="00571B42" w:rsidRPr="000F5283" w:rsidRDefault="00571B42" w:rsidP="00A55004">
                              <w:pPr>
                                <w:jc w:val="center"/>
                                <w:rPr>
                                  <w:rFonts w:ascii="Times New Roman" w:hAnsi="Times New Roman" w:cs="Times New Roman"/>
                                  <w:b/>
                                  <w:sz w:val="24"/>
                                  <w:szCs w:val="24"/>
                                  <w:lang w:val="uk-UA"/>
                                </w:rPr>
                              </w:pPr>
                              <w:r w:rsidRPr="000F5283">
                                <w:rPr>
                                  <w:rFonts w:ascii="Times New Roman" w:hAnsi="Times New Roman" w:cs="Times New Roman"/>
                                  <w:b/>
                                  <w:sz w:val="24"/>
                                  <w:szCs w:val="24"/>
                                  <w:lang w:val="uk-UA"/>
                                </w:rPr>
                                <w:t>Методи навчання персоналу</w:t>
                              </w:r>
                            </w:p>
                            <w:p w14:paraId="7E5FFFBF" w14:textId="77777777" w:rsidR="00571B42" w:rsidRPr="000F5283" w:rsidRDefault="00571B42" w:rsidP="00A55004">
                              <w:pPr>
                                <w:jc w:val="center"/>
                                <w:rPr>
                                  <w:b/>
                                  <w:bCs/>
                                  <w:sz w:val="24"/>
                                  <w:szCs w:val="24"/>
                                  <w:lang w:val="uk-UA"/>
                                </w:rPr>
                              </w:pPr>
                            </w:p>
                          </w:txbxContent>
                        </wps:txbx>
                        <wps:bodyPr rot="0" vert="horz" wrap="square" lIns="91440" tIns="45720" rIns="91440" bIns="45720" anchor="t" anchorCtr="0" upright="1">
                          <a:noAutofit/>
                        </wps:bodyPr>
                      </wps:wsp>
                      <wps:wsp>
                        <wps:cNvPr id="64" name="Прямоугольник 64"/>
                        <wps:cNvSpPr>
                          <a:spLocks noChangeArrowheads="1"/>
                        </wps:cNvSpPr>
                        <wps:spPr bwMode="auto">
                          <a:xfrm>
                            <a:off x="2743200" y="1023731"/>
                            <a:ext cx="2400300" cy="733425"/>
                          </a:xfrm>
                          <a:prstGeom prst="rect">
                            <a:avLst/>
                          </a:prstGeom>
                          <a:solidFill>
                            <a:srgbClr val="FFCC99"/>
                          </a:solidFill>
                          <a:ln w="9525">
                            <a:solidFill>
                              <a:srgbClr val="000000"/>
                            </a:solidFill>
                            <a:miter lim="800000"/>
                            <a:headEnd/>
                            <a:tailEnd/>
                          </a:ln>
                        </wps:spPr>
                        <wps:txbx>
                          <w:txbxContent>
                            <w:p w14:paraId="43E3376D" w14:textId="77777777" w:rsidR="00571B42" w:rsidRPr="000F5283" w:rsidRDefault="00571B42" w:rsidP="00A55004">
                              <w:pPr>
                                <w:rPr>
                                  <w:sz w:val="24"/>
                                  <w:szCs w:val="24"/>
                                </w:rPr>
                              </w:pPr>
                            </w:p>
                            <w:p w14:paraId="7ED21FF1" w14:textId="77777777" w:rsidR="00571B42" w:rsidRPr="000F5283" w:rsidRDefault="00571B42" w:rsidP="00A55004">
                              <w:pPr>
                                <w:rPr>
                                  <w:rFonts w:ascii="Times New Roman" w:hAnsi="Times New Roman" w:cs="Times New Roman"/>
                                  <w:sz w:val="24"/>
                                  <w:szCs w:val="24"/>
                                </w:rPr>
                              </w:pPr>
                              <w:r w:rsidRPr="000F5283">
                                <w:rPr>
                                  <w:rFonts w:ascii="Times New Roman" w:hAnsi="Times New Roman" w:cs="Times New Roman"/>
                                  <w:sz w:val="24"/>
                                  <w:szCs w:val="24"/>
                                  <w:lang w:val="uk-UA"/>
                                </w:rPr>
                                <w:t>Н</w:t>
                              </w:r>
                              <w:r w:rsidRPr="000F5283">
                                <w:rPr>
                                  <w:rFonts w:ascii="Times New Roman" w:hAnsi="Times New Roman" w:cs="Times New Roman"/>
                                  <w:sz w:val="24"/>
                                  <w:szCs w:val="24"/>
                                </w:rPr>
                                <w:t xml:space="preserve">авчання </w:t>
                              </w:r>
                              <w:r w:rsidRPr="000F5283">
                                <w:rPr>
                                  <w:rFonts w:ascii="Times New Roman" w:hAnsi="Times New Roman" w:cs="Times New Roman"/>
                                  <w:sz w:val="24"/>
                                  <w:szCs w:val="24"/>
                                  <w:lang w:val="uk-UA"/>
                                </w:rPr>
                                <w:t>за межами</w:t>
                              </w:r>
                              <w:r w:rsidRPr="000F5283">
                                <w:rPr>
                                  <w:rFonts w:ascii="Times New Roman" w:hAnsi="Times New Roman" w:cs="Times New Roman"/>
                                  <w:sz w:val="24"/>
                                  <w:szCs w:val="24"/>
                                </w:rPr>
                                <w:t xml:space="preserve"> робочого місця (або позавиробниче)</w:t>
                              </w:r>
                            </w:p>
                            <w:p w14:paraId="5E206E77" w14:textId="77777777" w:rsidR="00571B42" w:rsidRPr="000F5283" w:rsidRDefault="00571B42" w:rsidP="00A55004">
                              <w:pPr>
                                <w:rPr>
                                  <w:sz w:val="24"/>
                                  <w:szCs w:val="24"/>
                                </w:rPr>
                              </w:pPr>
                            </w:p>
                          </w:txbxContent>
                        </wps:txbx>
                        <wps:bodyPr rot="0" vert="horz" wrap="square" lIns="91440" tIns="45720" rIns="91440" bIns="45720" anchor="t" anchorCtr="0" upright="1">
                          <a:noAutofit/>
                        </wps:bodyPr>
                      </wps:wsp>
                      <wps:wsp>
                        <wps:cNvPr id="65" name="Прямоугольник 65"/>
                        <wps:cNvSpPr>
                          <a:spLocks noChangeArrowheads="1"/>
                        </wps:cNvSpPr>
                        <wps:spPr bwMode="auto">
                          <a:xfrm>
                            <a:off x="0" y="1023731"/>
                            <a:ext cx="2400300" cy="685800"/>
                          </a:xfrm>
                          <a:prstGeom prst="rect">
                            <a:avLst/>
                          </a:prstGeom>
                          <a:solidFill>
                            <a:srgbClr val="FFCC99"/>
                          </a:solidFill>
                          <a:ln w="9525">
                            <a:solidFill>
                              <a:srgbClr val="000000"/>
                            </a:solidFill>
                            <a:miter lim="800000"/>
                            <a:headEnd/>
                            <a:tailEnd/>
                          </a:ln>
                        </wps:spPr>
                        <wps:txbx>
                          <w:txbxContent>
                            <w:p w14:paraId="1D3AA645" w14:textId="77777777" w:rsidR="00571B42" w:rsidRPr="000F5283" w:rsidRDefault="00571B42" w:rsidP="00A55004">
                              <w:pPr>
                                <w:rPr>
                                  <w:sz w:val="24"/>
                                  <w:szCs w:val="24"/>
                                </w:rPr>
                              </w:pPr>
                            </w:p>
                            <w:p w14:paraId="6E097324" w14:textId="77777777" w:rsidR="00571B42" w:rsidRPr="000F5283" w:rsidRDefault="00571B42" w:rsidP="00A55004">
                              <w:pPr>
                                <w:rPr>
                                  <w:rFonts w:ascii="Times New Roman" w:hAnsi="Times New Roman" w:cs="Times New Roman"/>
                                  <w:sz w:val="24"/>
                                  <w:szCs w:val="24"/>
                                  <w:lang w:val="uk-UA"/>
                                </w:rPr>
                              </w:pPr>
                              <w:r w:rsidRPr="000F5283">
                                <w:rPr>
                                  <w:rFonts w:ascii="Times New Roman" w:hAnsi="Times New Roman" w:cs="Times New Roman"/>
                                  <w:sz w:val="24"/>
                                  <w:szCs w:val="24"/>
                                  <w:lang w:val="uk-UA"/>
                                </w:rPr>
                                <w:t xml:space="preserve">   Комбіноване навчання</w:t>
                              </w:r>
                            </w:p>
                            <w:p w14:paraId="7B931041" w14:textId="77777777" w:rsidR="00571B42" w:rsidRPr="000F5283" w:rsidRDefault="00571B42" w:rsidP="00A55004">
                              <w:pPr>
                                <w:rPr>
                                  <w:sz w:val="24"/>
                                  <w:szCs w:val="24"/>
                                </w:rPr>
                              </w:pPr>
                            </w:p>
                          </w:txbxContent>
                        </wps:txbx>
                        <wps:bodyPr rot="0" vert="horz" wrap="square" lIns="91440" tIns="45720" rIns="91440" bIns="45720" anchor="t" anchorCtr="0" upright="1">
                          <a:noAutofit/>
                        </wps:bodyPr>
                      </wps:wsp>
                      <wps:wsp>
                        <wps:cNvPr id="1589834461" name="Стрелка вправо 66"/>
                        <wps:cNvSpPr>
                          <a:spLocks noChangeArrowheads="1"/>
                        </wps:cNvSpPr>
                        <wps:spPr bwMode="auto">
                          <a:xfrm rot="2212194">
                            <a:off x="2395330" y="795131"/>
                            <a:ext cx="342900" cy="228600"/>
                          </a:xfrm>
                          <a:prstGeom prst="rightArrow">
                            <a:avLst>
                              <a:gd name="adj1" fmla="val 0"/>
                              <a:gd name="adj2" fmla="val 41667"/>
                            </a:avLst>
                          </a:prstGeom>
                          <a:solidFill>
                            <a:srgbClr val="FFFF00"/>
                          </a:solidFill>
                          <a:ln w="9525">
                            <a:solidFill>
                              <a:srgbClr val="000000"/>
                            </a:solidFill>
                            <a:miter lim="800000"/>
                            <a:headEnd/>
                            <a:tailEnd/>
                          </a:ln>
                        </wps:spPr>
                        <wps:bodyPr rot="0" vert="horz" wrap="square" lIns="91440" tIns="45720" rIns="91440" bIns="45720" anchor="t" anchorCtr="0" upright="1">
                          <a:noAutofit/>
                        </wps:bodyPr>
                      </wps:wsp>
                      <wps:wsp>
                        <wps:cNvPr id="67" name="Стрелка вправо 67"/>
                        <wps:cNvSpPr>
                          <a:spLocks noChangeArrowheads="1"/>
                        </wps:cNvSpPr>
                        <wps:spPr bwMode="auto">
                          <a:xfrm rot="5400000">
                            <a:off x="953494" y="871993"/>
                            <a:ext cx="342900" cy="194310"/>
                          </a:xfrm>
                          <a:prstGeom prst="rightArrow">
                            <a:avLst>
                              <a:gd name="adj1" fmla="val 0"/>
                              <a:gd name="adj2" fmla="val 49020"/>
                            </a:avLst>
                          </a:prstGeom>
                          <a:solidFill>
                            <a:srgbClr val="FFFF00"/>
                          </a:solidFill>
                          <a:ln w="9525">
                            <a:solidFill>
                              <a:srgbClr val="000000"/>
                            </a:solidFill>
                            <a:miter lim="800000"/>
                            <a:headEnd/>
                            <a:tailEnd/>
                          </a:ln>
                        </wps:spPr>
                        <wps:bodyPr rot="0" vert="horz" wrap="square" lIns="91440" tIns="45720" rIns="91440" bIns="45720" anchor="t" anchorCtr="0" upright="1">
                          <a:noAutofit/>
                        </wps:bodyPr>
                      </wps:wsp>
                      <wps:wsp>
                        <wps:cNvPr id="69" name="Прямоугольник 69"/>
                        <wps:cNvSpPr>
                          <a:spLocks noChangeArrowheads="1"/>
                        </wps:cNvSpPr>
                        <wps:spPr bwMode="auto">
                          <a:xfrm>
                            <a:off x="2743200" y="0"/>
                            <a:ext cx="2400300" cy="685800"/>
                          </a:xfrm>
                          <a:prstGeom prst="rect">
                            <a:avLst/>
                          </a:prstGeom>
                          <a:solidFill>
                            <a:srgbClr val="FFCC99"/>
                          </a:solidFill>
                          <a:ln w="9525">
                            <a:solidFill>
                              <a:srgbClr val="000000"/>
                            </a:solidFill>
                            <a:miter lim="800000"/>
                            <a:headEnd/>
                            <a:tailEnd/>
                          </a:ln>
                        </wps:spPr>
                        <wps:txbx>
                          <w:txbxContent>
                            <w:p w14:paraId="72514B43" w14:textId="77777777" w:rsidR="00571B42" w:rsidRPr="000F5283" w:rsidRDefault="00571B42" w:rsidP="00A55004">
                              <w:pPr>
                                <w:rPr>
                                  <w:rFonts w:ascii="Times New Roman" w:hAnsi="Times New Roman" w:cs="Times New Roman"/>
                                  <w:sz w:val="24"/>
                                  <w:szCs w:val="24"/>
                                </w:rPr>
                              </w:pPr>
                              <w:r w:rsidRPr="000F5283">
                                <w:rPr>
                                  <w:rFonts w:ascii="Times New Roman" w:hAnsi="Times New Roman" w:cs="Times New Roman"/>
                                  <w:sz w:val="24"/>
                                  <w:szCs w:val="24"/>
                                  <w:lang w:val="uk-UA"/>
                                </w:rPr>
                                <w:t>Навчання на робочому місці (або внутрішньовиробниче)</w:t>
                              </w:r>
                            </w:p>
                            <w:p w14:paraId="33C12CEC" w14:textId="77777777" w:rsidR="00571B42" w:rsidRPr="000F5283" w:rsidRDefault="00571B42" w:rsidP="00A55004">
                              <w:pPr>
                                <w:rPr>
                                  <w:sz w:val="24"/>
                                  <w:szCs w:val="24"/>
                                </w:rPr>
                              </w:pPr>
                            </w:p>
                          </w:txbxContent>
                        </wps:txbx>
                        <wps:bodyPr rot="0" vert="horz" wrap="square" lIns="91440" tIns="45720" rIns="91440" bIns="45720" anchor="t" anchorCtr="0" upright="1">
                          <a:noAutofit/>
                        </wps:bodyPr>
                      </wps:wsp>
                      <wps:wsp>
                        <wps:cNvPr id="70" name="Стрелка вправо 70"/>
                        <wps:cNvSpPr>
                          <a:spLocks noChangeArrowheads="1"/>
                        </wps:cNvSpPr>
                        <wps:spPr bwMode="auto">
                          <a:xfrm>
                            <a:off x="2395330" y="227772"/>
                            <a:ext cx="342900" cy="228600"/>
                          </a:xfrm>
                          <a:prstGeom prst="rightArrow">
                            <a:avLst>
                              <a:gd name="adj1" fmla="val 0"/>
                              <a:gd name="adj2" fmla="val 41667"/>
                            </a:avLst>
                          </a:prstGeom>
                          <a:solidFill>
                            <a:srgbClr val="FFFF00"/>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EB1AF2E" id="Группа 41" o:spid="_x0000_s1242" style="position:absolute;left:0;text-align:left;margin-left:45.05pt;margin-top:7.15pt;width:421.85pt;height:163.55pt;z-index:251664384;mso-position-horizontal-relative:text;mso-position-vertical-relative:text;mso-width-relative:margin;mso-height-relative:margin" coordsize="51435,175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">
                <v:rect id="Прямоугольник 68" o:spid="_x0000_s1243" style="position:absolute;width:24003;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" fillcolor="#cfc" strokeweight="1.75pt">
                  <v:textbox>
                    <w:txbxContent>
                      <w:p w14:paraId="14E51CA6" w14:textId="77777777" w:rsidR="00571B42" w:rsidRPr="000F5283" w:rsidRDefault="00571B42" w:rsidP="00A55004">
                        <w:pPr>
                          <w:jc w:val="center"/>
                          <w:rPr>
                            <w:b/>
                            <w:bCs/>
                            <w:sz w:val="24"/>
                            <w:szCs w:val="24"/>
                            <w:lang w:val="uk-UA"/>
                          </w:rPr>
                        </w:pPr>
                      </w:p>
                      <w:p w14:paraId="3488C7A6" w14:textId="77777777" w:rsidR="00571B42" w:rsidRPr="000F5283" w:rsidRDefault="00571B42" w:rsidP="00A55004">
                        <w:pPr>
                          <w:jc w:val="center"/>
                          <w:rPr>
                            <w:rFonts w:ascii="Times New Roman" w:hAnsi="Times New Roman" w:cs="Times New Roman"/>
                            <w:b/>
                            <w:sz w:val="24"/>
                            <w:szCs w:val="24"/>
                            <w:lang w:val="uk-UA"/>
                          </w:rPr>
                        </w:pPr>
                        <w:r w:rsidRPr="000F5283">
                          <w:rPr>
                            <w:rFonts w:ascii="Times New Roman" w:hAnsi="Times New Roman" w:cs="Times New Roman"/>
                            <w:b/>
                            <w:sz w:val="24"/>
                            <w:szCs w:val="24"/>
                            <w:lang w:val="uk-UA"/>
                          </w:rPr>
                          <w:t>Методи навчання персоналу</w:t>
                        </w:r>
                      </w:p>
                      <w:p w14:paraId="7E5FFFBF" w14:textId="77777777" w:rsidR="00571B42" w:rsidRPr="000F5283" w:rsidRDefault="00571B42" w:rsidP="00A55004">
                        <w:pPr>
                          <w:jc w:val="center"/>
                          <w:rPr>
                            <w:b/>
                            <w:bCs/>
                            <w:sz w:val="24"/>
                            <w:szCs w:val="24"/>
                            <w:lang w:val="uk-UA"/>
                          </w:rPr>
                        </w:pPr>
                      </w:p>
                    </w:txbxContent>
                  </v:textbox>
                </v:rect>
                <v:rect id="Прямоугольник 64" o:spid="_x0000_s1244" style="position:absolute;left:27432;top:10237;width:24003;height:7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" fillcolor="#fc9">
                  <v:textbox>
                    <w:txbxContent>
                      <w:p w14:paraId="43E3376D" w14:textId="77777777" w:rsidR="00571B42" w:rsidRPr="000F5283" w:rsidRDefault="00571B42" w:rsidP="00A55004">
                        <w:pPr>
                          <w:rPr>
                            <w:sz w:val="24"/>
                            <w:szCs w:val="24"/>
                          </w:rPr>
                        </w:pPr>
                      </w:p>
                      <w:p w14:paraId="7ED21FF1" w14:textId="77777777" w:rsidR="00571B42" w:rsidRPr="000F5283" w:rsidRDefault="00571B42" w:rsidP="00A55004">
                        <w:pPr>
                          <w:rPr>
                            <w:rFonts w:ascii="Times New Roman" w:hAnsi="Times New Roman" w:cs="Times New Roman"/>
                            <w:sz w:val="24"/>
                            <w:szCs w:val="24"/>
                          </w:rPr>
                        </w:pPr>
                        <w:r w:rsidRPr="000F5283">
                          <w:rPr>
                            <w:rFonts w:ascii="Times New Roman" w:hAnsi="Times New Roman" w:cs="Times New Roman"/>
                            <w:sz w:val="24"/>
                            <w:szCs w:val="24"/>
                            <w:lang w:val="uk-UA"/>
                          </w:rPr>
                          <w:t>Н</w:t>
                        </w:r>
                        <w:r w:rsidRPr="000F5283">
                          <w:rPr>
                            <w:rFonts w:ascii="Times New Roman" w:hAnsi="Times New Roman" w:cs="Times New Roman"/>
                            <w:sz w:val="24"/>
                            <w:szCs w:val="24"/>
                          </w:rPr>
                          <w:t xml:space="preserve">авчання </w:t>
                        </w:r>
                        <w:r w:rsidRPr="000F5283">
                          <w:rPr>
                            <w:rFonts w:ascii="Times New Roman" w:hAnsi="Times New Roman" w:cs="Times New Roman"/>
                            <w:sz w:val="24"/>
                            <w:szCs w:val="24"/>
                            <w:lang w:val="uk-UA"/>
                          </w:rPr>
                          <w:t>за межами</w:t>
                        </w:r>
                        <w:r w:rsidRPr="000F5283">
                          <w:rPr>
                            <w:rFonts w:ascii="Times New Roman" w:hAnsi="Times New Roman" w:cs="Times New Roman"/>
                            <w:sz w:val="24"/>
                            <w:szCs w:val="24"/>
                          </w:rPr>
                          <w:t xml:space="preserve"> робочого місця (або позавиробниче)</w:t>
                        </w:r>
                      </w:p>
                      <w:p w14:paraId="5E206E77" w14:textId="77777777" w:rsidR="00571B42" w:rsidRPr="000F5283" w:rsidRDefault="00571B42" w:rsidP="00A55004">
                        <w:pPr>
                          <w:rPr>
                            <w:sz w:val="24"/>
                            <w:szCs w:val="24"/>
                          </w:rPr>
                        </w:pPr>
                      </w:p>
                    </w:txbxContent>
                  </v:textbox>
                </v:rect>
                <v:rect id="Прямоугольник 65" o:spid="_x0000_s1245" style="position:absolute;top:10237;width:24003;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" fillcolor="#fc9">
                  <v:textbox>
                    <w:txbxContent>
                      <w:p w14:paraId="1D3AA645" w14:textId="77777777" w:rsidR="00571B42" w:rsidRPr="000F5283" w:rsidRDefault="00571B42" w:rsidP="00A55004">
                        <w:pPr>
                          <w:rPr>
                            <w:sz w:val="24"/>
                            <w:szCs w:val="24"/>
                          </w:rPr>
                        </w:pPr>
                      </w:p>
                      <w:p w14:paraId="6E097324" w14:textId="77777777" w:rsidR="00571B42" w:rsidRPr="000F5283" w:rsidRDefault="00571B42" w:rsidP="00A55004">
                        <w:pPr>
                          <w:rPr>
                            <w:rFonts w:ascii="Times New Roman" w:hAnsi="Times New Roman" w:cs="Times New Roman"/>
                            <w:sz w:val="24"/>
                            <w:szCs w:val="24"/>
                            <w:lang w:val="uk-UA"/>
                          </w:rPr>
                        </w:pPr>
                        <w:r w:rsidRPr="000F5283">
                          <w:rPr>
                            <w:rFonts w:ascii="Times New Roman" w:hAnsi="Times New Roman" w:cs="Times New Roman"/>
                            <w:sz w:val="24"/>
                            <w:szCs w:val="24"/>
                            <w:lang w:val="uk-UA"/>
                          </w:rPr>
                          <w:t xml:space="preserve">   Комбіноване навчання</w:t>
                        </w:r>
                      </w:p>
                      <w:p w14:paraId="7B931041" w14:textId="77777777" w:rsidR="00571B42" w:rsidRPr="000F5283" w:rsidRDefault="00571B42" w:rsidP="00A55004">
                        <w:pPr>
                          <w:rPr>
                            <w:sz w:val="24"/>
                            <w:szCs w:val="24"/>
                          </w:rPr>
                        </w:pPr>
                      </w:p>
                    </w:txbxContent>
                  </v:textbox>
                </v:rect>
                <v:shape id="Стрелка вправо 66" o:spid="_x0000_s1246" type="#_x0000_t13" style="position:absolute;left:23953;top:7951;width:3429;height:2286;rotation:2416306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" adj="15600,10800" fillcolor="yellow"/>
                <v:shape id="Стрелка вправо 67" o:spid="_x0000_s1247" type="#_x0000_t13" style="position:absolute;left:9534;top:8719;width:3429;height:194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" adj="15600,10800" fillcolor="yellow"/>
                <v:rect id="Прямоугольник 69" o:spid="_x0000_s1248" style="position:absolute;left:27432;width:24003;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" fillcolor="#fc9">
                  <v:textbox>
                    <w:txbxContent>
                      <w:p w14:paraId="72514B43" w14:textId="77777777" w:rsidR="00571B42" w:rsidRPr="000F5283" w:rsidRDefault="00571B42" w:rsidP="00A55004">
                        <w:pPr>
                          <w:rPr>
                            <w:rFonts w:ascii="Times New Roman" w:hAnsi="Times New Roman" w:cs="Times New Roman"/>
                            <w:sz w:val="24"/>
                            <w:szCs w:val="24"/>
                          </w:rPr>
                        </w:pPr>
                        <w:r w:rsidRPr="000F5283">
                          <w:rPr>
                            <w:rFonts w:ascii="Times New Roman" w:hAnsi="Times New Roman" w:cs="Times New Roman"/>
                            <w:sz w:val="24"/>
                            <w:szCs w:val="24"/>
                            <w:lang w:val="uk-UA"/>
                          </w:rPr>
                          <w:t>Навчання на робочому місці (або внутрішньовиробниче)</w:t>
                        </w:r>
                      </w:p>
                      <w:p w14:paraId="33C12CEC" w14:textId="77777777" w:rsidR="00571B42" w:rsidRPr="000F5283" w:rsidRDefault="00571B42" w:rsidP="00A55004">
                        <w:pPr>
                          <w:rPr>
                            <w:sz w:val="24"/>
                            <w:szCs w:val="24"/>
                          </w:rPr>
                        </w:pPr>
                      </w:p>
                    </w:txbxContent>
                  </v:textbox>
                </v:rect>
                <v:shape id="Стрелка вправо 70" o:spid="_x0000_s1249" type="#_x0000_t13" style="position:absolute;left:23953;top:2277;width:342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" adj="15600,10800" fillcolor="yellow"/>
              </v:group>
            </w:pict>
          </mc:Fallback>
        </mc:AlternateContent>
      </w:r>
    </w:p>
    <w:p w14:paraId="6913F480" w14:textId="77777777" w:rsidR="000F5283" w:rsidRPr="005F0419" w:rsidRDefault="000F5283"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p>
    <w:p w14:paraId="7D68BE07"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p>
    <w:p w14:paraId="364EFD9E" w14:textId="0B0864AB"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p>
    <w:p w14:paraId="0F645F9B" w14:textId="516EEF4A" w:rsidR="00A55004" w:rsidRPr="005F0419" w:rsidRDefault="00A55004" w:rsidP="00877ECC">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Calibri" w:hAnsi="Times New Roman" w:cs="Times New Roman"/>
          <w:sz w:val="28"/>
          <w:szCs w:val="28"/>
          <w:lang w:val="uk-UA"/>
        </w:rPr>
      </w:pPr>
    </w:p>
    <w:p w14:paraId="18B4828C" w14:textId="77777777" w:rsidR="00A55004" w:rsidRPr="005F0419" w:rsidRDefault="00A55004" w:rsidP="00877ECC">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Calibri" w:hAnsi="Times New Roman" w:cs="Times New Roman"/>
          <w:sz w:val="28"/>
          <w:szCs w:val="28"/>
          <w:lang w:val="uk-UA"/>
        </w:rPr>
      </w:pPr>
    </w:p>
    <w:p w14:paraId="6000E20A" w14:textId="77777777" w:rsidR="00A55004" w:rsidRPr="005F0419" w:rsidRDefault="00A55004" w:rsidP="00877ECC">
      <w:pPr>
        <w:widowControl w:val="0"/>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Calibri" w:hAnsi="Times New Roman" w:cs="Times New Roman"/>
          <w:sz w:val="28"/>
          <w:szCs w:val="28"/>
          <w:lang w:val="uk-UA"/>
        </w:rPr>
      </w:pPr>
    </w:p>
    <w:p w14:paraId="74B3F81B" w14:textId="5155D147" w:rsidR="00877ECC" w:rsidRPr="005F0419" w:rsidRDefault="00A55004" w:rsidP="00877ECC">
      <w:pPr>
        <w:widowControl w:val="0"/>
        <w:autoSpaceDE w:val="0"/>
        <w:autoSpaceDN w:val="0"/>
        <w:adjustRightInd w:val="0"/>
        <w:spacing w:after="0" w:line="360" w:lineRule="auto"/>
        <w:ind w:firstLine="720"/>
        <w:jc w:val="center"/>
        <w:rPr>
          <w:rFonts w:ascii="Times New Roman" w:hAnsi="Times New Roman" w:cs="Times New Roman"/>
          <w:sz w:val="28"/>
          <w:szCs w:val="28"/>
          <w:shd w:val="clear" w:color="auto" w:fill="FFFFFF"/>
          <w:lang w:val="uk-UA"/>
        </w:rPr>
      </w:pPr>
      <w:r w:rsidRPr="005F0419">
        <w:rPr>
          <w:rFonts w:ascii="Times New Roman" w:eastAsia="Times New Roman" w:hAnsi="Times New Roman" w:cs="Times New Roman"/>
          <w:sz w:val="28"/>
          <w:szCs w:val="28"/>
          <w:lang w:val="uk-UA"/>
        </w:rPr>
        <w:t>Рис. 4. Методи навчання персоналу</w:t>
      </w:r>
    </w:p>
    <w:p w14:paraId="5D8CA43F" w14:textId="4FD8F5AD" w:rsidR="00A55004" w:rsidRPr="005F0419" w:rsidRDefault="00877ECC" w:rsidP="00877ECC">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shd w:val="clear" w:color="auto" w:fill="FFFFFF"/>
          <w:lang w:val="uk-UA"/>
        </w:rPr>
        <w:t xml:space="preserve">Джерело: </w:t>
      </w:r>
      <w:r w:rsidR="00A55004" w:rsidRPr="005F0419">
        <w:rPr>
          <w:rFonts w:ascii="Times New Roman" w:hAnsi="Times New Roman" w:cs="Times New Roman"/>
          <w:sz w:val="28"/>
          <w:szCs w:val="28"/>
          <w:shd w:val="clear" w:color="auto" w:fill="FFFFFF"/>
          <w:lang w:val="uk-UA"/>
        </w:rPr>
        <w:t>складено на основі</w:t>
      </w:r>
      <w:r w:rsidRPr="005F0419">
        <w:rPr>
          <w:rFonts w:ascii="Times New Roman" w:hAnsi="Times New Roman" w:cs="Times New Roman"/>
          <w:sz w:val="28"/>
          <w:szCs w:val="28"/>
          <w:shd w:val="clear" w:color="auto" w:fill="FFFFFF"/>
          <w:lang w:val="uk-UA"/>
        </w:rPr>
        <w:t xml:space="preserve"> [</w:t>
      </w:r>
      <w:r w:rsidR="00A55004" w:rsidRPr="005F0419">
        <w:rPr>
          <w:rFonts w:ascii="Times New Roman" w:eastAsia="Times New Roman" w:hAnsi="Times New Roman" w:cs="Times New Roman"/>
          <w:sz w:val="28"/>
          <w:szCs w:val="28"/>
          <w:lang w:val="uk-UA"/>
        </w:rPr>
        <w:t>21</w:t>
      </w:r>
      <w:r w:rsidRPr="005F0419">
        <w:rPr>
          <w:rFonts w:ascii="Times New Roman" w:eastAsia="Times New Roman" w:hAnsi="Times New Roman" w:cs="Times New Roman"/>
          <w:sz w:val="28"/>
          <w:szCs w:val="28"/>
          <w:lang w:val="uk-UA"/>
        </w:rPr>
        <w:t>].</w:t>
      </w:r>
    </w:p>
    <w:p w14:paraId="7785EBE9" w14:textId="210161D8"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p>
    <w:p w14:paraId="4D134D98" w14:textId="2F73FC87" w:rsidR="000F5283" w:rsidRPr="005F0419" w:rsidRDefault="000F5283"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До методів навчання персоналу належать:</w:t>
      </w:r>
    </w:p>
    <w:p w14:paraId="67B8407B"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 навчання на робочому місці (або внутрішньовиробниче): виробничий інструктаж, ротація, направлене придбання досвіду, наставництво, наставництво-</w:t>
      </w:r>
      <w:proofErr w:type="spellStart"/>
      <w:r w:rsidRPr="005F0419">
        <w:rPr>
          <w:rFonts w:ascii="Times New Roman" w:eastAsia="Times New Roman" w:hAnsi="Times New Roman" w:cs="Times New Roman"/>
          <w:sz w:val="28"/>
          <w:szCs w:val="28"/>
          <w:lang w:val="uk-UA"/>
        </w:rPr>
        <w:t>супервізія</w:t>
      </w:r>
      <w:proofErr w:type="spellEnd"/>
      <w:r w:rsidRPr="005F0419">
        <w:rPr>
          <w:rFonts w:ascii="Times New Roman" w:eastAsia="Times New Roman" w:hAnsi="Times New Roman" w:cs="Times New Roman"/>
          <w:sz w:val="28"/>
          <w:szCs w:val="28"/>
          <w:lang w:val="uk-UA"/>
        </w:rPr>
        <w:t xml:space="preserve">, ситуаційне наставництво, формальне наставництво, неформальне наставництво, </w:t>
      </w:r>
      <w:proofErr w:type="spellStart"/>
      <w:r w:rsidRPr="005F0419">
        <w:rPr>
          <w:rFonts w:ascii="Times New Roman" w:eastAsia="Times New Roman" w:hAnsi="Times New Roman" w:cs="Times New Roman"/>
          <w:sz w:val="28"/>
          <w:szCs w:val="28"/>
          <w:lang w:val="uk-UA"/>
        </w:rPr>
        <w:t>коучинг</w:t>
      </w:r>
      <w:proofErr w:type="spellEnd"/>
      <w:r w:rsidRPr="005F0419">
        <w:rPr>
          <w:rFonts w:ascii="Times New Roman" w:eastAsia="Times New Roman" w:hAnsi="Times New Roman" w:cs="Times New Roman"/>
          <w:sz w:val="28"/>
          <w:szCs w:val="28"/>
          <w:lang w:val="uk-UA"/>
        </w:rPr>
        <w:t>, стажування, використовування працівників як асистентів, підготовка у проектних групах;</w:t>
      </w:r>
    </w:p>
    <w:p w14:paraId="228E8BD2"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 навчання поза межами робочого місця (або </w:t>
      </w:r>
      <w:proofErr w:type="spellStart"/>
      <w:r w:rsidRPr="005F0419">
        <w:rPr>
          <w:rFonts w:ascii="Times New Roman" w:eastAsia="Times New Roman" w:hAnsi="Times New Roman" w:cs="Times New Roman"/>
          <w:sz w:val="28"/>
          <w:szCs w:val="28"/>
          <w:lang w:val="uk-UA"/>
        </w:rPr>
        <w:t>позавиробниче</w:t>
      </w:r>
      <w:proofErr w:type="spellEnd"/>
      <w:r w:rsidRPr="005F0419">
        <w:rPr>
          <w:rFonts w:ascii="Times New Roman" w:eastAsia="Times New Roman" w:hAnsi="Times New Roman" w:cs="Times New Roman"/>
          <w:sz w:val="28"/>
          <w:szCs w:val="28"/>
          <w:lang w:val="uk-UA"/>
        </w:rPr>
        <w:t>): лекції, ділові ігри, інсценування, тренінги, метод вирішення практичних ситуацій (кейсів), методи рішення виробничо-економічних проблем за допомогою моделей, робочі групи, конференції, семінари, круглі столи, дискусії, зустрічі з керівництвом, екскурсії, самостійне навчання.</w:t>
      </w:r>
    </w:p>
    <w:p w14:paraId="5196C8A9"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 комбіновані методи навчання, які поєднують аспекти </w:t>
      </w:r>
      <w:r w:rsidRPr="005F0419">
        <w:rPr>
          <w:rFonts w:ascii="Times New Roman" w:eastAsia="Times New Roman" w:hAnsi="Times New Roman" w:cs="Times New Roman"/>
          <w:sz w:val="28"/>
          <w:szCs w:val="28"/>
          <w:lang w:val="uk-UA"/>
        </w:rPr>
        <w:lastRenderedPageBreak/>
        <w:t xml:space="preserve">внутрішньовиробничого і </w:t>
      </w:r>
      <w:proofErr w:type="spellStart"/>
      <w:r w:rsidRPr="005F0419">
        <w:rPr>
          <w:rFonts w:ascii="Times New Roman" w:eastAsia="Times New Roman" w:hAnsi="Times New Roman" w:cs="Times New Roman"/>
          <w:sz w:val="28"/>
          <w:szCs w:val="28"/>
          <w:lang w:val="uk-UA"/>
        </w:rPr>
        <w:t>позавиробничого</w:t>
      </w:r>
      <w:proofErr w:type="spellEnd"/>
      <w:r w:rsidRPr="005F0419">
        <w:rPr>
          <w:rFonts w:ascii="Times New Roman" w:eastAsia="Times New Roman" w:hAnsi="Times New Roman" w:cs="Times New Roman"/>
          <w:sz w:val="28"/>
          <w:szCs w:val="28"/>
          <w:lang w:val="uk-UA"/>
        </w:rPr>
        <w:t xml:space="preserve"> навчання. Серед них: емпіричне навчання, демонстрація і практика під керівництвом, програмовані курси, навчання дією, навчання за допомогою комп’ютера.</w:t>
      </w:r>
    </w:p>
    <w:p w14:paraId="209CDF47"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Вибір методів навчання обумовлюється критеріями: мета і завдання навчання; терміни проведення; вартість програм; склад учасників програм навчання (посади, досвід, кваліфікація, мотивація); ринкова репутація організації, кваліфікація та компетенція викладачів.</w:t>
      </w:r>
    </w:p>
    <w:p w14:paraId="3D2E5F24"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Завдання керівництва полягає в ефективному використанні чинників індивідуальної мотивації для запровадження програм навчання персоналу.</w:t>
      </w:r>
    </w:p>
    <w:p w14:paraId="3704B255"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Сучасна система навчання має свої переваги та обмеження, а також специфічні методи і технології.</w:t>
      </w:r>
    </w:p>
    <w:p w14:paraId="4A3A40F1" w14:textId="3D97CDC2"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Однією з сучасних технологій навчання є </w:t>
      </w:r>
      <w:r w:rsidRPr="005F0419">
        <w:rPr>
          <w:rFonts w:ascii="Times New Roman" w:eastAsia="Times New Roman" w:hAnsi="Times New Roman" w:cs="Times New Roman"/>
          <w:i/>
          <w:sz w:val="28"/>
          <w:szCs w:val="28"/>
          <w:lang w:val="uk-UA"/>
        </w:rPr>
        <w:t>модульне навчання</w:t>
      </w:r>
      <w:r w:rsidRPr="005F0419">
        <w:rPr>
          <w:rFonts w:ascii="Times New Roman" w:eastAsia="Times New Roman" w:hAnsi="Times New Roman" w:cs="Times New Roman"/>
          <w:sz w:val="28"/>
          <w:szCs w:val="28"/>
          <w:lang w:val="uk-UA"/>
        </w:rPr>
        <w:t>. </w:t>
      </w:r>
      <w:r w:rsidRPr="005F0419">
        <w:rPr>
          <w:rFonts w:ascii="Times New Roman" w:eastAsia="Times New Roman" w:hAnsi="Times New Roman" w:cs="Times New Roman"/>
          <w:sz w:val="28"/>
          <w:szCs w:val="28"/>
          <w:lang w:val="uk-UA"/>
        </w:rPr>
        <w:br/>
        <w:t>Для ефективної програми навчання персоналу можна використовувати модульний підхід. Модуль – це окрема, самостійна частина якої-небудь системи. Наприклад, у тренінгу модулем є завершений фрагмент заняття, спрямований на вирішення конкретного бізнес-завдання або розвитку необхідного досвіду. У модулі чітко визначені цілі навчання, завдання і рівні вивчення матеріалу, визначені навички та вміння. Модулі мають різноманітні засоби навчання. Вони забезпечують активну участь учнів, які засвоюють інформацію в дії, і активній роботі з навчальним матеріалом. Дана форма дозволяє створити програму навчання з окремих тематичних блоків, спрямованих на досягнення необхідного результату [22].</w:t>
      </w:r>
    </w:p>
    <w:p w14:paraId="4EE35852" w14:textId="77777777" w:rsidR="007715AB"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Модульне навчання варто використовувати у підготовці менеджерів, адміністраторів ресторанів, готелів. </w:t>
      </w:r>
    </w:p>
    <w:p w14:paraId="4B747304" w14:textId="172DB0C6"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Перевагами даного методу є: гнучкість; вибірковість; можливість змінювати послідовність модулів в залежності від запиту слухачів.  </w:t>
      </w:r>
    </w:p>
    <w:p w14:paraId="2140E685" w14:textId="77777777" w:rsidR="007715AB"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Наступною технологією розвитку та навчання персоналу є </w:t>
      </w:r>
      <w:proofErr w:type="spellStart"/>
      <w:r w:rsidRPr="005F0419">
        <w:rPr>
          <w:rFonts w:ascii="Times New Roman" w:eastAsia="Times New Roman" w:hAnsi="Times New Roman" w:cs="Times New Roman"/>
          <w:i/>
          <w:sz w:val="28"/>
          <w:szCs w:val="28"/>
          <w:lang w:val="uk-UA"/>
        </w:rPr>
        <w:t>Secondment</w:t>
      </w:r>
      <w:proofErr w:type="spellEnd"/>
      <w:r w:rsidRPr="005F0419">
        <w:rPr>
          <w:rFonts w:ascii="Times New Roman" w:eastAsia="Times New Roman" w:hAnsi="Times New Roman" w:cs="Times New Roman"/>
          <w:sz w:val="28"/>
          <w:szCs w:val="28"/>
          <w:lang w:val="uk-UA"/>
        </w:rPr>
        <w:t xml:space="preserve">. Це різновид ротації персоналу, при якому співробітника «відряджають» на інше місце роботи, на певний час, а потім він вертається до своїх колишніх обов'язків. Цей процес може бути внутрішнім, коли співробітники «відряджаються» </w:t>
      </w:r>
      <w:r w:rsidRPr="005F0419">
        <w:rPr>
          <w:rFonts w:ascii="Times New Roman" w:eastAsia="Times New Roman" w:hAnsi="Times New Roman" w:cs="Times New Roman"/>
          <w:sz w:val="28"/>
          <w:szCs w:val="28"/>
          <w:lang w:val="uk-UA"/>
        </w:rPr>
        <w:lastRenderedPageBreak/>
        <w:t>усередині організації (в інший департамент, відділ або підрозділ), і зовнішнім, коли співробітники відправляються на роботу в іншу компанію, причому, як правило, іншої галузі. Особливо цей метод використовують компанії із плоскою структурою, де обмежені можливості просування співробітників і, як слідство, розвиток у них додаткових навичок.</w:t>
      </w:r>
      <w:r w:rsidR="007715AB">
        <w:rPr>
          <w:rFonts w:ascii="Times New Roman" w:eastAsia="Times New Roman" w:hAnsi="Times New Roman" w:cs="Times New Roman"/>
          <w:sz w:val="28"/>
          <w:szCs w:val="28"/>
          <w:lang w:val="uk-UA"/>
        </w:rPr>
        <w:t xml:space="preserve"> </w:t>
      </w:r>
    </w:p>
    <w:p w14:paraId="70CFB305" w14:textId="02C02B11"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На нашу думку, така технологія навчання була б корисною для закладів індустрії гостинності. Якщо менеджер ресторану (готелю) вбачає додаткові здібності у свого працівника, які можна удосконалювати, можна застосувати такий метод, «відрядивши» його працювати в інший відділ (цех). Таким чином, можна проаналізувати ефективність роботи на одній та іншій посаді.</w:t>
      </w:r>
    </w:p>
    <w:p w14:paraId="42A0B35F" w14:textId="26A89838" w:rsidR="00A55004"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shd w:val="clear" w:color="auto" w:fill="FFFFFF"/>
          <w:lang w:val="uk-UA"/>
        </w:rPr>
        <w:t xml:space="preserve">Сучасною технологією навчання, яка </w:t>
      </w:r>
      <w:r w:rsidRPr="005F0419">
        <w:rPr>
          <w:rFonts w:ascii="Times New Roman" w:eastAsia="Times New Roman" w:hAnsi="Times New Roman" w:cs="Times New Roman"/>
          <w:sz w:val="28"/>
          <w:szCs w:val="28"/>
          <w:lang w:val="uk-UA"/>
        </w:rPr>
        <w:t xml:space="preserve">сприяє саморозкриттю людини </w:t>
      </w:r>
      <w:r w:rsidRPr="005F0419">
        <w:rPr>
          <w:rFonts w:ascii="Times New Roman" w:eastAsia="Times New Roman" w:hAnsi="Times New Roman" w:cs="Times New Roman"/>
          <w:sz w:val="28"/>
          <w:szCs w:val="28"/>
          <w:shd w:val="clear" w:color="auto" w:fill="FFFFFF"/>
          <w:lang w:val="uk-UA"/>
        </w:rPr>
        <w:t xml:space="preserve">є </w:t>
      </w:r>
      <w:proofErr w:type="spellStart"/>
      <w:r w:rsidRPr="005F0419">
        <w:rPr>
          <w:rFonts w:ascii="Times New Roman" w:eastAsia="Times New Roman" w:hAnsi="Times New Roman" w:cs="Times New Roman"/>
          <w:i/>
          <w:sz w:val="28"/>
          <w:szCs w:val="28"/>
          <w:shd w:val="clear" w:color="auto" w:fill="FFFFFF"/>
          <w:lang w:val="uk-UA"/>
        </w:rPr>
        <w:t>коучинг</w:t>
      </w:r>
      <w:proofErr w:type="spellEnd"/>
      <w:r w:rsidRPr="005F0419">
        <w:rPr>
          <w:rFonts w:ascii="Times New Roman" w:eastAsia="Times New Roman" w:hAnsi="Times New Roman" w:cs="Times New Roman"/>
          <w:i/>
          <w:sz w:val="28"/>
          <w:szCs w:val="28"/>
          <w:lang w:val="uk-UA"/>
        </w:rPr>
        <w:t>.</w:t>
      </w:r>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Коучинг</w:t>
      </w:r>
      <w:proofErr w:type="spellEnd"/>
      <w:r w:rsidRPr="005F0419">
        <w:rPr>
          <w:rFonts w:ascii="Times New Roman" w:eastAsia="Times New Roman" w:hAnsi="Times New Roman" w:cs="Times New Roman"/>
          <w:sz w:val="28"/>
          <w:szCs w:val="28"/>
          <w:lang w:val="uk-UA"/>
        </w:rPr>
        <w:t xml:space="preserve"> працює як інтерактивний процес підтримки окремих людей і організацій, який полягає в тому, щоб сприяти максимальному розкриттю їхнього потенціалу. Термін «</w:t>
      </w:r>
      <w:proofErr w:type="spellStart"/>
      <w:r w:rsidRPr="005F0419">
        <w:rPr>
          <w:rFonts w:ascii="Times New Roman" w:eastAsia="Times New Roman" w:hAnsi="Times New Roman" w:cs="Times New Roman"/>
          <w:sz w:val="28"/>
          <w:szCs w:val="28"/>
          <w:lang w:val="uk-UA"/>
        </w:rPr>
        <w:t>коуч</w:t>
      </w:r>
      <w:proofErr w:type="spellEnd"/>
      <w:r w:rsidRPr="005F0419">
        <w:rPr>
          <w:rFonts w:ascii="Times New Roman" w:eastAsia="Times New Roman" w:hAnsi="Times New Roman" w:cs="Times New Roman"/>
          <w:sz w:val="28"/>
          <w:szCs w:val="28"/>
          <w:lang w:val="uk-UA"/>
        </w:rPr>
        <w:t xml:space="preserve">» походить від англійського слова </w:t>
      </w:r>
      <w:proofErr w:type="spellStart"/>
      <w:r w:rsidRPr="005F0419">
        <w:rPr>
          <w:rFonts w:ascii="Times New Roman" w:eastAsia="Times New Roman" w:hAnsi="Times New Roman" w:cs="Times New Roman"/>
          <w:sz w:val="28"/>
          <w:szCs w:val="28"/>
          <w:lang w:val="uk-UA"/>
        </w:rPr>
        <w:t>coach</w:t>
      </w:r>
      <w:proofErr w:type="spellEnd"/>
      <w:r w:rsidRPr="005F0419">
        <w:rPr>
          <w:rFonts w:ascii="Times New Roman" w:eastAsia="Times New Roman" w:hAnsi="Times New Roman" w:cs="Times New Roman"/>
          <w:sz w:val="28"/>
          <w:szCs w:val="28"/>
          <w:lang w:val="uk-UA"/>
        </w:rPr>
        <w:t xml:space="preserve"> – «</w:t>
      </w:r>
      <w:proofErr w:type="spellStart"/>
      <w:r w:rsidRPr="005F0419">
        <w:rPr>
          <w:rFonts w:ascii="Times New Roman" w:eastAsia="Times New Roman" w:hAnsi="Times New Roman" w:cs="Times New Roman"/>
          <w:sz w:val="28"/>
          <w:szCs w:val="28"/>
          <w:lang w:val="uk-UA"/>
        </w:rPr>
        <w:t>візок»,«карета</w:t>
      </w:r>
      <w:proofErr w:type="spellEnd"/>
      <w:r w:rsidRPr="005F0419">
        <w:rPr>
          <w:rFonts w:ascii="Times New Roman" w:eastAsia="Times New Roman" w:hAnsi="Times New Roman" w:cs="Times New Roman"/>
          <w:sz w:val="28"/>
          <w:szCs w:val="28"/>
          <w:lang w:val="uk-UA"/>
        </w:rPr>
        <w:t xml:space="preserve">». Таким чином </w:t>
      </w:r>
      <w:proofErr w:type="spellStart"/>
      <w:r w:rsidRPr="005F0419">
        <w:rPr>
          <w:rFonts w:ascii="Times New Roman" w:eastAsia="Times New Roman" w:hAnsi="Times New Roman" w:cs="Times New Roman"/>
          <w:sz w:val="28"/>
          <w:szCs w:val="28"/>
          <w:lang w:val="uk-UA"/>
        </w:rPr>
        <w:t>коучинг</w:t>
      </w:r>
      <w:proofErr w:type="spellEnd"/>
      <w:r w:rsidRPr="005F0419">
        <w:rPr>
          <w:rFonts w:ascii="Times New Roman" w:eastAsia="Times New Roman" w:hAnsi="Times New Roman" w:cs="Times New Roman"/>
          <w:sz w:val="28"/>
          <w:szCs w:val="28"/>
          <w:lang w:val="uk-UA"/>
        </w:rPr>
        <w:t xml:space="preserve"> – це своєрідний засіб пересування (просування) клієнта до розкриття його потенціалу. А </w:t>
      </w:r>
      <w:proofErr w:type="spellStart"/>
      <w:r w:rsidRPr="005F0419">
        <w:rPr>
          <w:rFonts w:ascii="Times New Roman" w:eastAsia="Times New Roman" w:hAnsi="Times New Roman" w:cs="Times New Roman"/>
          <w:sz w:val="28"/>
          <w:szCs w:val="28"/>
          <w:lang w:val="uk-UA"/>
        </w:rPr>
        <w:t>коуч</w:t>
      </w:r>
      <w:proofErr w:type="spellEnd"/>
      <w:r w:rsidRPr="005F0419">
        <w:rPr>
          <w:rFonts w:ascii="Times New Roman" w:eastAsia="Times New Roman" w:hAnsi="Times New Roman" w:cs="Times New Roman"/>
          <w:sz w:val="28"/>
          <w:szCs w:val="28"/>
          <w:lang w:val="uk-UA"/>
        </w:rPr>
        <w:t xml:space="preserve"> – своєрідний провідник, тренер, який супроводжує людину чи команду до найбільших звершень. </w:t>
      </w:r>
      <w:proofErr w:type="spellStart"/>
      <w:r w:rsidRPr="005F0419">
        <w:rPr>
          <w:rFonts w:ascii="Times New Roman" w:eastAsia="Times New Roman" w:hAnsi="Times New Roman" w:cs="Times New Roman"/>
          <w:sz w:val="28"/>
          <w:szCs w:val="28"/>
          <w:lang w:val="uk-UA"/>
        </w:rPr>
        <w:t>Коучинг</w:t>
      </w:r>
      <w:proofErr w:type="spellEnd"/>
      <w:r w:rsidRPr="005F0419">
        <w:rPr>
          <w:rFonts w:ascii="Times New Roman" w:eastAsia="Times New Roman" w:hAnsi="Times New Roman" w:cs="Times New Roman"/>
          <w:sz w:val="28"/>
          <w:szCs w:val="28"/>
          <w:lang w:val="uk-UA"/>
        </w:rPr>
        <w:t xml:space="preserve"> виконує функції розвитку, консультування, креативності, адаптації та мотивування (рис.</w:t>
      </w:r>
      <w:r w:rsidR="007715AB">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5). </w:t>
      </w:r>
    </w:p>
    <w:p w14:paraId="4F388D0E" w14:textId="77777777" w:rsidR="007715AB" w:rsidRPr="005F0419" w:rsidRDefault="007715AB" w:rsidP="007715AB">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Переваги </w:t>
      </w:r>
      <w:proofErr w:type="spellStart"/>
      <w:r w:rsidRPr="005F0419">
        <w:rPr>
          <w:rFonts w:ascii="Times New Roman" w:eastAsia="Times New Roman" w:hAnsi="Times New Roman" w:cs="Times New Roman"/>
          <w:sz w:val="28"/>
          <w:szCs w:val="28"/>
          <w:lang w:val="uk-UA"/>
        </w:rPr>
        <w:t>коучингу</w:t>
      </w:r>
      <w:proofErr w:type="spellEnd"/>
      <w:r w:rsidRPr="005F0419">
        <w:rPr>
          <w:rFonts w:ascii="Times New Roman" w:eastAsia="Times New Roman" w:hAnsi="Times New Roman" w:cs="Times New Roman"/>
          <w:sz w:val="28"/>
          <w:szCs w:val="28"/>
          <w:lang w:val="uk-UA"/>
        </w:rPr>
        <w:t>: допомагає працівникові усвідомити його цілі, причини удач і невдач; визначає напрямок зміни поведінки працівників й, відповідно, зміни в  розвитку організації.</w:t>
      </w:r>
    </w:p>
    <w:p w14:paraId="4788234F" w14:textId="77777777" w:rsidR="007715AB" w:rsidRPr="005F0419" w:rsidRDefault="007715AB" w:rsidP="007715AB">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 багатьох організаціях </w:t>
      </w:r>
      <w:proofErr w:type="spellStart"/>
      <w:r w:rsidRPr="005F0419">
        <w:rPr>
          <w:rFonts w:ascii="Times New Roman" w:eastAsia="Times New Roman" w:hAnsi="Times New Roman" w:cs="Times New Roman"/>
          <w:sz w:val="28"/>
          <w:szCs w:val="28"/>
          <w:lang w:val="uk-UA"/>
        </w:rPr>
        <w:t>коучинг</w:t>
      </w:r>
      <w:proofErr w:type="spellEnd"/>
      <w:r w:rsidRPr="005F0419">
        <w:rPr>
          <w:rFonts w:ascii="Times New Roman" w:eastAsia="Times New Roman" w:hAnsi="Times New Roman" w:cs="Times New Roman"/>
          <w:sz w:val="28"/>
          <w:szCs w:val="28"/>
          <w:lang w:val="uk-UA"/>
        </w:rPr>
        <w:t xml:space="preserve"> сьогодні став доповненням, а подекуди й заміною тренінгу. Бо на відміну від тренінгу (навіть персонального) </w:t>
      </w:r>
      <w:proofErr w:type="spellStart"/>
      <w:r w:rsidRPr="005F0419">
        <w:rPr>
          <w:rFonts w:ascii="Times New Roman" w:eastAsia="Times New Roman" w:hAnsi="Times New Roman" w:cs="Times New Roman"/>
          <w:sz w:val="28"/>
          <w:szCs w:val="28"/>
          <w:lang w:val="uk-UA"/>
        </w:rPr>
        <w:t>коучинг</w:t>
      </w:r>
      <w:proofErr w:type="spellEnd"/>
      <w:r w:rsidRPr="005F0419">
        <w:rPr>
          <w:rFonts w:ascii="Times New Roman" w:eastAsia="Times New Roman" w:hAnsi="Times New Roman" w:cs="Times New Roman"/>
          <w:sz w:val="28"/>
          <w:szCs w:val="28"/>
          <w:lang w:val="uk-UA"/>
        </w:rPr>
        <w:t xml:space="preserve"> є більш сфокусованим, </w:t>
      </w:r>
      <w:proofErr w:type="spellStart"/>
      <w:r w:rsidRPr="005F0419">
        <w:rPr>
          <w:rFonts w:ascii="Times New Roman" w:eastAsia="Times New Roman" w:hAnsi="Times New Roman" w:cs="Times New Roman"/>
          <w:sz w:val="28"/>
          <w:szCs w:val="28"/>
          <w:lang w:val="uk-UA"/>
        </w:rPr>
        <w:t>контекстуалізованим</w:t>
      </w:r>
      <w:proofErr w:type="spellEnd"/>
      <w:r w:rsidRPr="005F0419">
        <w:rPr>
          <w:rFonts w:ascii="Times New Roman" w:eastAsia="Times New Roman" w:hAnsi="Times New Roman" w:cs="Times New Roman"/>
          <w:sz w:val="28"/>
          <w:szCs w:val="28"/>
          <w:lang w:val="uk-UA"/>
        </w:rPr>
        <w:t xml:space="preserve"> і має індивідуальну спрямованість, а також, якщо розглядати реальні зміни, </w:t>
      </w:r>
      <w:proofErr w:type="spellStart"/>
      <w:r w:rsidRPr="005F0419">
        <w:rPr>
          <w:rFonts w:ascii="Times New Roman" w:eastAsia="Times New Roman" w:hAnsi="Times New Roman" w:cs="Times New Roman"/>
          <w:sz w:val="28"/>
          <w:szCs w:val="28"/>
          <w:lang w:val="uk-UA"/>
        </w:rPr>
        <w:t>коучинг</w:t>
      </w:r>
      <w:proofErr w:type="spellEnd"/>
      <w:r w:rsidRPr="005F0419">
        <w:rPr>
          <w:rFonts w:ascii="Times New Roman" w:eastAsia="Times New Roman" w:hAnsi="Times New Roman" w:cs="Times New Roman"/>
          <w:sz w:val="28"/>
          <w:szCs w:val="28"/>
          <w:lang w:val="uk-UA"/>
        </w:rPr>
        <w:t xml:space="preserve"> є більш вигідним за ціною, ніж традиційні тренінгові методи, бо підхід </w:t>
      </w:r>
      <w:proofErr w:type="spellStart"/>
      <w:r w:rsidRPr="005F0419">
        <w:rPr>
          <w:rFonts w:ascii="Times New Roman" w:eastAsia="Times New Roman" w:hAnsi="Times New Roman" w:cs="Times New Roman"/>
          <w:sz w:val="28"/>
          <w:szCs w:val="28"/>
          <w:lang w:val="uk-UA"/>
        </w:rPr>
        <w:t>коучингу</w:t>
      </w:r>
      <w:proofErr w:type="spellEnd"/>
      <w:r w:rsidRPr="005F0419">
        <w:rPr>
          <w:rFonts w:ascii="Times New Roman" w:eastAsia="Times New Roman" w:hAnsi="Times New Roman" w:cs="Times New Roman"/>
          <w:sz w:val="28"/>
          <w:szCs w:val="28"/>
          <w:lang w:val="uk-UA"/>
        </w:rPr>
        <w:t xml:space="preserve"> більш орієнтований скоріше на досягнення успішних результатів, ніж на пошук причин існуючих проблем чи формування корисних навичок.</w:t>
      </w:r>
    </w:p>
    <w:p w14:paraId="655E7187" w14:textId="77777777" w:rsidR="007715AB" w:rsidRPr="005F0419" w:rsidRDefault="007715AB" w:rsidP="007715AB">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shd w:val="clear" w:color="auto" w:fill="FFFFFF"/>
          <w:lang w:val="uk-UA"/>
        </w:rPr>
        <w:t xml:space="preserve">Наступна сучасна технологія – це </w:t>
      </w:r>
      <w:r w:rsidRPr="005F0419">
        <w:rPr>
          <w:rFonts w:ascii="Times New Roman" w:eastAsia="Times New Roman" w:hAnsi="Times New Roman" w:cs="Times New Roman"/>
          <w:i/>
          <w:sz w:val="28"/>
          <w:szCs w:val="28"/>
          <w:shd w:val="clear" w:color="auto" w:fill="FFFFFF"/>
          <w:lang w:val="uk-UA"/>
        </w:rPr>
        <w:t>наставництво</w:t>
      </w:r>
      <w:r w:rsidRPr="005F0419">
        <w:rPr>
          <w:rFonts w:ascii="Times New Roman" w:eastAsia="Times New Roman" w:hAnsi="Times New Roman" w:cs="Times New Roman"/>
          <w:sz w:val="28"/>
          <w:szCs w:val="28"/>
          <w:shd w:val="clear" w:color="auto" w:fill="FFFFFF"/>
          <w:lang w:val="uk-UA"/>
        </w:rPr>
        <w:t>. </w:t>
      </w:r>
      <w:r w:rsidRPr="005F0419">
        <w:rPr>
          <w:rFonts w:ascii="Times New Roman" w:eastAsia="Times New Roman" w:hAnsi="Times New Roman" w:cs="Times New Roman"/>
          <w:sz w:val="28"/>
          <w:szCs w:val="28"/>
          <w:lang w:val="uk-UA"/>
        </w:rPr>
        <w:t xml:space="preserve">Взагалі, це дуже </w:t>
      </w:r>
      <w:r w:rsidRPr="005F0419">
        <w:rPr>
          <w:rFonts w:ascii="Times New Roman" w:eastAsia="Times New Roman" w:hAnsi="Times New Roman" w:cs="Times New Roman"/>
          <w:sz w:val="28"/>
          <w:szCs w:val="28"/>
          <w:lang w:val="uk-UA"/>
        </w:rPr>
        <w:lastRenderedPageBreak/>
        <w:t xml:space="preserve">розповсюджений метод, хоча далеко не найпростіший метод навчання й розвитку персоналу. У ресторанах така технологія використовується завдяки практичному навчанні компетентних фахівців, передачі їхніх вмінь та навиків персоналу, який навчається. Даний метод істотно впливає, з одного боку, на успішність адаптації, тих, хто був прийнятий на підприємство нещодавно, з іншого боку – розвиває управлінські організаційні навички наставника.  </w:t>
      </w:r>
    </w:p>
    <w:p w14:paraId="6982C41F" w14:textId="77777777" w:rsidR="000F5283" w:rsidRPr="005F0419" w:rsidRDefault="000F5283" w:rsidP="000F528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noProof/>
          <w:sz w:val="28"/>
          <w:szCs w:val="28"/>
          <w:lang w:val="uk-UA"/>
        </w:rPr>
        <mc:AlternateContent>
          <mc:Choice Requires="wpc">
            <w:drawing>
              <wp:inline distT="0" distB="0" distL="0" distR="0" wp14:anchorId="2B5D3350" wp14:editId="0781BC9E">
                <wp:extent cx="5691505" cy="4174435"/>
                <wp:effectExtent l="0" t="0" r="0" b="0"/>
                <wp:docPr id="1801598127" name="Полотно 6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841810693" name="AutoShape 44"/>
                        <wps:cNvSpPr>
                          <a:spLocks noChangeArrowheads="1"/>
                        </wps:cNvSpPr>
                        <wps:spPr bwMode="auto">
                          <a:xfrm>
                            <a:off x="89452" y="228000"/>
                            <a:ext cx="1943100" cy="528300"/>
                          </a:xfrm>
                          <a:prstGeom prst="rightArrowCallout">
                            <a:avLst>
                              <a:gd name="adj1" fmla="val 25000"/>
                              <a:gd name="adj2" fmla="val 25000"/>
                              <a:gd name="adj3" fmla="val 62101"/>
                              <a:gd name="adj4" fmla="val 66667"/>
                            </a:avLst>
                          </a:prstGeom>
                          <a:solidFill>
                            <a:srgbClr val="FFFFCC"/>
                          </a:solidFill>
                          <a:ln w="9525">
                            <a:solidFill>
                              <a:srgbClr val="000000"/>
                            </a:solidFill>
                            <a:miter lim="800000"/>
                            <a:headEnd/>
                            <a:tailEnd/>
                          </a:ln>
                        </wps:spPr>
                        <wps:txbx>
                          <w:txbxContent>
                            <w:p w14:paraId="2C987DE1"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ФУНКЦІЯ</w:t>
                              </w:r>
                            </w:p>
                            <w:p w14:paraId="7121D8EF"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РОЗВИТКУ</w:t>
                              </w:r>
                            </w:p>
                          </w:txbxContent>
                        </wps:txbx>
                        <wps:bodyPr rot="0" vert="horz" wrap="square" lIns="91440" tIns="45720" rIns="91440" bIns="45720" anchor="t" anchorCtr="0" upright="1">
                          <a:noAutofit/>
                        </wps:bodyPr>
                      </wps:wsp>
                      <wps:wsp>
                        <wps:cNvPr id="306429539" name="AutoShape 45"/>
                        <wps:cNvSpPr>
                          <a:spLocks noChangeArrowheads="1"/>
                        </wps:cNvSpPr>
                        <wps:spPr bwMode="auto">
                          <a:xfrm>
                            <a:off x="2032552" y="114000"/>
                            <a:ext cx="3314700" cy="685700"/>
                          </a:xfrm>
                          <a:prstGeom prst="flowChartAlternateProcess">
                            <a:avLst/>
                          </a:prstGeom>
                          <a:solidFill>
                            <a:srgbClr val="CCFF99"/>
                          </a:solidFill>
                          <a:ln w="9525">
                            <a:solidFill>
                              <a:srgbClr val="000000"/>
                            </a:solidFill>
                            <a:miter lim="800000"/>
                            <a:headEnd/>
                            <a:tailEnd/>
                          </a:ln>
                        </wps:spPr>
                        <wps:txbx>
                          <w:txbxContent>
                            <w:p w14:paraId="3A8C2B81"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Забезпечує розвиток трудового потенціалу та компетенції працівників,</w:t>
                              </w:r>
                            </w:p>
                            <w:p w14:paraId="2E6DD63F"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кар’єрний рух</w:t>
                              </w:r>
                            </w:p>
                          </w:txbxContent>
                        </wps:txbx>
                        <wps:bodyPr rot="0" vert="horz" wrap="square" lIns="91440" tIns="45720" rIns="91440" bIns="45720" anchor="t" anchorCtr="0" upright="1">
                          <a:noAutofit/>
                        </wps:bodyPr>
                      </wps:wsp>
                      <wps:wsp>
                        <wps:cNvPr id="887741730" name="AutoShape 46"/>
                        <wps:cNvSpPr>
                          <a:spLocks noChangeArrowheads="1"/>
                        </wps:cNvSpPr>
                        <wps:spPr bwMode="auto">
                          <a:xfrm>
                            <a:off x="89452" y="1028700"/>
                            <a:ext cx="1943100" cy="522600"/>
                          </a:xfrm>
                          <a:prstGeom prst="rightArrowCallout">
                            <a:avLst>
                              <a:gd name="adj1" fmla="val 25000"/>
                              <a:gd name="adj2" fmla="val 25000"/>
                              <a:gd name="adj3" fmla="val 62778"/>
                              <a:gd name="adj4" fmla="val 66667"/>
                            </a:avLst>
                          </a:prstGeom>
                          <a:solidFill>
                            <a:srgbClr val="FFFFCC"/>
                          </a:solidFill>
                          <a:ln w="9525">
                            <a:solidFill>
                              <a:srgbClr val="000000"/>
                            </a:solidFill>
                            <a:miter lim="800000"/>
                            <a:headEnd/>
                            <a:tailEnd/>
                          </a:ln>
                        </wps:spPr>
                        <wps:txbx>
                          <w:txbxContent>
                            <w:p w14:paraId="46C0F552"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ФУНКЦІЯ</w:t>
                              </w:r>
                            </w:p>
                            <w:p w14:paraId="73901ABC"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КРЕАТИВНА</w:t>
                              </w:r>
                            </w:p>
                          </w:txbxContent>
                        </wps:txbx>
                        <wps:bodyPr rot="0" vert="horz" wrap="square" lIns="91440" tIns="45720" rIns="91440" bIns="45720" anchor="t" anchorCtr="0" upright="1">
                          <a:noAutofit/>
                        </wps:bodyPr>
                      </wps:wsp>
                      <wps:wsp>
                        <wps:cNvPr id="464464663" name="AutoShape 47"/>
                        <wps:cNvSpPr>
                          <a:spLocks noChangeArrowheads="1"/>
                        </wps:cNvSpPr>
                        <wps:spPr bwMode="auto">
                          <a:xfrm>
                            <a:off x="89452" y="3429000"/>
                            <a:ext cx="1943700" cy="525100"/>
                          </a:xfrm>
                          <a:prstGeom prst="rightArrowCallout">
                            <a:avLst>
                              <a:gd name="adj1" fmla="val 25000"/>
                              <a:gd name="adj2" fmla="val 25000"/>
                              <a:gd name="adj3" fmla="val 62498"/>
                              <a:gd name="adj4" fmla="val 66667"/>
                            </a:avLst>
                          </a:prstGeom>
                          <a:solidFill>
                            <a:srgbClr val="FFFFCC"/>
                          </a:solidFill>
                          <a:ln w="9525">
                            <a:solidFill>
                              <a:srgbClr val="000000"/>
                            </a:solidFill>
                            <a:miter lim="800000"/>
                            <a:headEnd/>
                            <a:tailEnd/>
                          </a:ln>
                        </wps:spPr>
                        <wps:txbx>
                          <w:txbxContent>
                            <w:p w14:paraId="7A5E973A"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ФУНКЦІЯ АДАПТАЦІЇ</w:t>
                              </w:r>
                            </w:p>
                          </w:txbxContent>
                        </wps:txbx>
                        <wps:bodyPr rot="0" vert="horz" wrap="square" lIns="91440" tIns="45720" rIns="91440" bIns="45720" anchor="t" anchorCtr="0" upright="1">
                          <a:noAutofit/>
                        </wps:bodyPr>
                      </wps:wsp>
                      <wps:wsp>
                        <wps:cNvPr id="1293148121" name="AutoShape 48"/>
                        <wps:cNvSpPr>
                          <a:spLocks noChangeArrowheads="1"/>
                        </wps:cNvSpPr>
                        <wps:spPr bwMode="auto">
                          <a:xfrm>
                            <a:off x="89452" y="2561600"/>
                            <a:ext cx="1943700" cy="686400"/>
                          </a:xfrm>
                          <a:prstGeom prst="rightArrowCallout">
                            <a:avLst>
                              <a:gd name="adj1" fmla="val 25000"/>
                              <a:gd name="adj2" fmla="val 25000"/>
                              <a:gd name="adj3" fmla="val 47812"/>
                              <a:gd name="adj4" fmla="val 66667"/>
                            </a:avLst>
                          </a:prstGeom>
                          <a:solidFill>
                            <a:srgbClr val="FFFFCC"/>
                          </a:solidFill>
                          <a:ln w="9525">
                            <a:solidFill>
                              <a:srgbClr val="000000"/>
                            </a:solidFill>
                            <a:miter lim="800000"/>
                            <a:headEnd/>
                            <a:tailEnd/>
                          </a:ln>
                        </wps:spPr>
                        <wps:txbx>
                          <w:txbxContent>
                            <w:p w14:paraId="19DC92DE"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ФУНКЦІЯ</w:t>
                              </w:r>
                            </w:p>
                            <w:p w14:paraId="3DFB1FCC"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МОТИВУЮЧА</w:t>
                              </w:r>
                            </w:p>
                          </w:txbxContent>
                        </wps:txbx>
                        <wps:bodyPr rot="0" vert="horz" wrap="square" lIns="91440" tIns="45720" rIns="91440" bIns="45720" anchor="t" anchorCtr="0" upright="1">
                          <a:noAutofit/>
                        </wps:bodyPr>
                      </wps:wsp>
                      <wps:wsp>
                        <wps:cNvPr id="685748298" name="AutoShape 49"/>
                        <wps:cNvSpPr>
                          <a:spLocks noChangeArrowheads="1"/>
                        </wps:cNvSpPr>
                        <wps:spPr bwMode="auto">
                          <a:xfrm>
                            <a:off x="89452" y="1714500"/>
                            <a:ext cx="1943700" cy="760700"/>
                          </a:xfrm>
                          <a:prstGeom prst="rightArrowCallout">
                            <a:avLst>
                              <a:gd name="adj1" fmla="val 25000"/>
                              <a:gd name="adj2" fmla="val 25000"/>
                              <a:gd name="adj3" fmla="val 43142"/>
                              <a:gd name="adj4" fmla="val 66667"/>
                            </a:avLst>
                          </a:prstGeom>
                          <a:solidFill>
                            <a:srgbClr val="FFFFCC"/>
                          </a:solidFill>
                          <a:ln w="9525">
                            <a:solidFill>
                              <a:srgbClr val="000000"/>
                            </a:solidFill>
                            <a:miter lim="800000"/>
                            <a:headEnd/>
                            <a:tailEnd/>
                          </a:ln>
                        </wps:spPr>
                        <wps:txbx>
                          <w:txbxContent>
                            <w:p w14:paraId="65FFA415"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ФУНКЦІЯ</w:t>
                              </w:r>
                            </w:p>
                            <w:p w14:paraId="1B46A4B4"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КОНСУЛЬТУ</w:t>
                              </w:r>
                            </w:p>
                            <w:p w14:paraId="00295686"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ВАННЯ</w:t>
                              </w:r>
                            </w:p>
                          </w:txbxContent>
                        </wps:txbx>
                        <wps:bodyPr rot="0" vert="horz" wrap="square" lIns="91440" tIns="45720" rIns="91440" bIns="45720" anchor="t" anchorCtr="0" upright="1">
                          <a:noAutofit/>
                        </wps:bodyPr>
                      </wps:wsp>
                      <wps:wsp>
                        <wps:cNvPr id="605743296" name="AutoShape 50"/>
                        <wps:cNvSpPr>
                          <a:spLocks noChangeArrowheads="1"/>
                        </wps:cNvSpPr>
                        <wps:spPr bwMode="auto">
                          <a:xfrm>
                            <a:off x="2032552" y="3314700"/>
                            <a:ext cx="3314700" cy="685800"/>
                          </a:xfrm>
                          <a:prstGeom prst="flowChartAlternateProcess">
                            <a:avLst/>
                          </a:prstGeom>
                          <a:solidFill>
                            <a:srgbClr val="CCFF99"/>
                          </a:solidFill>
                          <a:ln w="9525">
                            <a:solidFill>
                              <a:srgbClr val="000000"/>
                            </a:solidFill>
                            <a:miter lim="800000"/>
                            <a:headEnd/>
                            <a:tailEnd/>
                          </a:ln>
                        </wps:spPr>
                        <wps:txbx>
                          <w:txbxContent>
                            <w:p w14:paraId="4CE910F2"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Навчає працівників швидко пристосовуватись до мінливих умов</w:t>
                              </w:r>
                            </w:p>
                            <w:p w14:paraId="243BEB95"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навколишнього середовища</w:t>
                              </w:r>
                            </w:p>
                          </w:txbxContent>
                        </wps:txbx>
                        <wps:bodyPr rot="0" vert="horz" wrap="square" lIns="91440" tIns="45720" rIns="91440" bIns="45720" anchor="t" anchorCtr="0" upright="1">
                          <a:noAutofit/>
                        </wps:bodyPr>
                      </wps:wsp>
                      <wps:wsp>
                        <wps:cNvPr id="508778383" name="AutoShape 51"/>
                        <wps:cNvSpPr>
                          <a:spLocks noChangeArrowheads="1"/>
                        </wps:cNvSpPr>
                        <wps:spPr bwMode="auto">
                          <a:xfrm>
                            <a:off x="2032552" y="2514100"/>
                            <a:ext cx="3314700" cy="685800"/>
                          </a:xfrm>
                          <a:prstGeom prst="flowChartAlternateProcess">
                            <a:avLst/>
                          </a:prstGeom>
                          <a:solidFill>
                            <a:srgbClr val="CCFF99"/>
                          </a:solidFill>
                          <a:ln w="9525">
                            <a:solidFill>
                              <a:srgbClr val="000000"/>
                            </a:solidFill>
                            <a:miter lim="800000"/>
                            <a:headEnd/>
                            <a:tailEnd/>
                          </a:ln>
                        </wps:spPr>
                        <wps:txbx>
                          <w:txbxContent>
                            <w:p w14:paraId="29C988EC"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Дає змогу працівникам забезпечувати досягнення мети як особистої, так і</w:t>
                              </w:r>
                            </w:p>
                            <w:p w14:paraId="33969EC0"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підприємства</w:t>
                              </w:r>
                            </w:p>
                          </w:txbxContent>
                        </wps:txbx>
                        <wps:bodyPr rot="0" vert="horz" wrap="square" lIns="91440" tIns="45720" rIns="91440" bIns="45720" anchor="t" anchorCtr="0" upright="1">
                          <a:noAutofit/>
                        </wps:bodyPr>
                      </wps:wsp>
                      <wps:wsp>
                        <wps:cNvPr id="805191237" name="AutoShape 52"/>
                        <wps:cNvSpPr>
                          <a:spLocks noChangeArrowheads="1"/>
                        </wps:cNvSpPr>
                        <wps:spPr bwMode="auto">
                          <a:xfrm>
                            <a:off x="2032552" y="1714300"/>
                            <a:ext cx="3314700" cy="685800"/>
                          </a:xfrm>
                          <a:prstGeom prst="flowChartAlternateProcess">
                            <a:avLst/>
                          </a:prstGeom>
                          <a:solidFill>
                            <a:srgbClr val="CCFF99"/>
                          </a:solidFill>
                          <a:ln w="9525">
                            <a:solidFill>
                              <a:srgbClr val="000000"/>
                            </a:solidFill>
                            <a:miter lim="800000"/>
                            <a:headEnd/>
                            <a:tailEnd/>
                          </a:ln>
                        </wps:spPr>
                        <wps:txbx>
                          <w:txbxContent>
                            <w:p w14:paraId="3454FD7F"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Може використовуватись в усіх сферах та усіма підрозділами, на будь-якій</w:t>
                              </w:r>
                            </w:p>
                            <w:p w14:paraId="3B8DD17F"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стадії розвитку</w:t>
                              </w:r>
                            </w:p>
                          </w:txbxContent>
                        </wps:txbx>
                        <wps:bodyPr rot="0" vert="horz" wrap="square" lIns="91440" tIns="45720" rIns="91440" bIns="45720" anchor="t" anchorCtr="0" upright="1">
                          <a:noAutofit/>
                        </wps:bodyPr>
                      </wps:wsp>
                      <wps:wsp>
                        <wps:cNvPr id="1266270412" name="AutoShape 53"/>
                        <wps:cNvSpPr>
                          <a:spLocks noChangeArrowheads="1"/>
                        </wps:cNvSpPr>
                        <wps:spPr bwMode="auto">
                          <a:xfrm>
                            <a:off x="2032552" y="913700"/>
                            <a:ext cx="3314700" cy="687400"/>
                          </a:xfrm>
                          <a:prstGeom prst="flowChartAlternateProcess">
                            <a:avLst/>
                          </a:prstGeom>
                          <a:solidFill>
                            <a:srgbClr val="CCFF99"/>
                          </a:solidFill>
                          <a:ln w="9525">
                            <a:solidFill>
                              <a:srgbClr val="000000"/>
                            </a:solidFill>
                            <a:miter lim="800000"/>
                            <a:headEnd/>
                            <a:tailEnd/>
                          </a:ln>
                        </wps:spPr>
                        <wps:txbx>
                          <w:txbxContent>
                            <w:p w14:paraId="4AAABF3E"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Дає змогу працівникам максимально виявляти ініціативу, генерувати нові</w:t>
                              </w:r>
                            </w:p>
                            <w:p w14:paraId="137779A7"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ідеї, приймати креативні рішення</w:t>
                              </w:r>
                            </w:p>
                          </w:txbxContent>
                        </wps:txbx>
                        <wps:bodyPr rot="0" vert="horz" wrap="square" lIns="91440" tIns="45720" rIns="91440" bIns="45720" anchor="t" anchorCtr="0" upright="1">
                          <a:noAutofit/>
                        </wps:bodyPr>
                      </wps:wsp>
                    </wpc:wpc>
                  </a:graphicData>
                </a:graphic>
              </wp:inline>
            </w:drawing>
          </mc:Choice>
          <mc:Fallback>
            <w:pict>
              <v:group w14:anchorId="2B5D3350" id="Полотно 63" o:spid="_x0000_s1250" editas="canvas" style="width:448.15pt;height:328.7pt;mso-position-horizontal-relative:char;mso-position-vertical-relative:line" coordsize="56915,41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">
                <v:shape id="_x0000_s1251" type="#_x0000_t75" style="position:absolute;width:56915;height:41738;visibility:visible;mso-wrap-style:square">
                  <v:fill o:detectmouseclick="t"/>
                  <v:path o:connecttype="none"/>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44" o:spid="_x0000_s1252" type="#_x0000_t78" style="position:absolute;left:894;top:2280;width:19431;height:5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" adj=",,17953" fillcolor="#ffc">
                  <v:textbox>
                    <w:txbxContent>
                      <w:p w14:paraId="2C987DE1"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ФУНКЦІЯ</w:t>
                        </w:r>
                      </w:p>
                      <w:p w14:paraId="7121D8EF"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РОЗВИТКУ</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45" o:spid="_x0000_s1253" type="#_x0000_t176" style="position:absolute;left:20325;top:1140;width:33147;height:6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" fillcolor="#cf9">
                  <v:textbox>
                    <w:txbxContent>
                      <w:p w14:paraId="3A8C2B81"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Забезпечує розвиток трудового потенціалу та компетенції працівників,</w:t>
                        </w:r>
                      </w:p>
                      <w:p w14:paraId="2E6DD63F"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кар’єрний рух</w:t>
                        </w:r>
                      </w:p>
                    </w:txbxContent>
                  </v:textbox>
                </v:shape>
                <v:shape id="AutoShape 46" o:spid="_x0000_s1254" type="#_x0000_t78" style="position:absolute;left:894;top:10287;width:19431;height: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" adj=",,17953" fillcolor="#ffc">
                  <v:textbox>
                    <w:txbxContent>
                      <w:p w14:paraId="46C0F552"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ФУНКЦІЯ</w:t>
                        </w:r>
                      </w:p>
                      <w:p w14:paraId="73901ABC"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КРЕАТИВНА</w:t>
                        </w:r>
                      </w:p>
                    </w:txbxContent>
                  </v:textbox>
                </v:shape>
                <v:shape id="AutoShape 47" o:spid="_x0000_s1255" type="#_x0000_t78" style="position:absolute;left:894;top:34290;width:19437;height:5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" adj=",,17953" fillcolor="#ffc">
                  <v:textbox>
                    <w:txbxContent>
                      <w:p w14:paraId="7A5E973A"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ФУНКЦІЯ АДАПТАЦІЇ</w:t>
                        </w:r>
                      </w:p>
                    </w:txbxContent>
                  </v:textbox>
                </v:shape>
                <v:shape id="AutoShape 48" o:spid="_x0000_s1256" type="#_x0000_t78" style="position:absolute;left:894;top:25616;width:19437;height:6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" adj=",,17953" fillcolor="#ffc">
                  <v:textbox>
                    <w:txbxContent>
                      <w:p w14:paraId="19DC92DE"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ФУНКЦІЯ</w:t>
                        </w:r>
                      </w:p>
                      <w:p w14:paraId="3DFB1FCC"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МОТИВУЮЧА</w:t>
                        </w:r>
                      </w:p>
                    </w:txbxContent>
                  </v:textbox>
                </v:shape>
                <v:shape id="AutoShape 49" o:spid="_x0000_s1257" type="#_x0000_t78" style="position:absolute;left:894;top:17145;width:19437;height:7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" adj=",,17953" fillcolor="#ffc">
                  <v:textbox>
                    <w:txbxContent>
                      <w:p w14:paraId="65FFA415"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ФУНКЦІЯ</w:t>
                        </w:r>
                      </w:p>
                      <w:p w14:paraId="1B46A4B4"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КОНСУЛЬТУ</w:t>
                        </w:r>
                      </w:p>
                      <w:p w14:paraId="00295686"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ВАННЯ</w:t>
                        </w:r>
                      </w:p>
                    </w:txbxContent>
                  </v:textbox>
                </v:shape>
                <v:shape id="AutoShape 50" o:spid="_x0000_s1258" type="#_x0000_t176" style="position:absolute;left:20325;top:33147;width:33147;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" fillcolor="#cf9">
                  <v:textbox>
                    <w:txbxContent>
                      <w:p w14:paraId="4CE910F2"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Навчає працівників швидко пристосовуватись до мінливих умов</w:t>
                        </w:r>
                      </w:p>
                      <w:p w14:paraId="243BEB95"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навколишнього середовища</w:t>
                        </w:r>
                      </w:p>
                    </w:txbxContent>
                  </v:textbox>
                </v:shape>
                <v:shape id="AutoShape 51" o:spid="_x0000_s1259" type="#_x0000_t176" style="position:absolute;left:20325;top:25141;width:33147;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" fillcolor="#cf9">
                  <v:textbox>
                    <w:txbxContent>
                      <w:p w14:paraId="29C988EC"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Дає змогу працівникам забезпечувати досягнення мети як особистої, так і</w:t>
                        </w:r>
                      </w:p>
                      <w:p w14:paraId="33969EC0"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підприємства</w:t>
                        </w:r>
                      </w:p>
                    </w:txbxContent>
                  </v:textbox>
                </v:shape>
                <v:shape id="AutoShape 52" o:spid="_x0000_s1260" type="#_x0000_t176" style="position:absolute;left:20325;top:17143;width:33147;height:6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" fillcolor="#cf9">
                  <v:textbox>
                    <w:txbxContent>
                      <w:p w14:paraId="3454FD7F"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Може використовуватись в усіх сферах та усіма підрозділами, на будь-якій</w:t>
                        </w:r>
                      </w:p>
                      <w:p w14:paraId="3B8DD17F"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стадії розвитку</w:t>
                        </w:r>
                      </w:p>
                    </w:txbxContent>
                  </v:textbox>
                </v:shape>
                <v:shape id="AutoShape 53" o:spid="_x0000_s1261" type="#_x0000_t176" style="position:absolute;left:20325;top:9137;width:33147;height:6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" fillcolor="#cf9">
                  <v:textbox>
                    <w:txbxContent>
                      <w:p w14:paraId="4AAABF3E"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Дає змогу працівникам максимально виявляти ініціативу, генерувати нові</w:t>
                        </w:r>
                      </w:p>
                      <w:p w14:paraId="137779A7" w14:textId="77777777" w:rsidR="00571B42" w:rsidRPr="007715AB" w:rsidRDefault="00571B42" w:rsidP="000F5283">
                        <w:pPr>
                          <w:spacing w:after="0" w:line="240" w:lineRule="auto"/>
                          <w:rPr>
                            <w:rFonts w:ascii="Times New Roman" w:hAnsi="Times New Roman" w:cs="Times New Roman"/>
                            <w:sz w:val="24"/>
                            <w:szCs w:val="24"/>
                            <w:lang w:val="uk-UA"/>
                          </w:rPr>
                        </w:pPr>
                        <w:r w:rsidRPr="007715AB">
                          <w:rPr>
                            <w:rFonts w:ascii="Times New Roman" w:hAnsi="Times New Roman" w:cs="Times New Roman"/>
                            <w:sz w:val="24"/>
                            <w:szCs w:val="24"/>
                            <w:lang w:val="uk-UA"/>
                          </w:rPr>
                          <w:t>ідеї, приймати креативні рішення</w:t>
                        </w:r>
                      </w:p>
                    </w:txbxContent>
                  </v:textbox>
                </v:shape>
                <w10:anchorlock/>
              </v:group>
            </w:pict>
          </mc:Fallback>
        </mc:AlternateContent>
      </w:r>
    </w:p>
    <w:p w14:paraId="23F67410" w14:textId="562ECB43" w:rsidR="000F5283" w:rsidRPr="005F0419" w:rsidRDefault="000F5283" w:rsidP="000F5283">
      <w:pPr>
        <w:widowControl w:val="0"/>
        <w:autoSpaceDE w:val="0"/>
        <w:autoSpaceDN w:val="0"/>
        <w:adjustRightInd w:val="0"/>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Рис.5. Функції </w:t>
      </w:r>
      <w:proofErr w:type="spellStart"/>
      <w:r w:rsidRPr="005F0419">
        <w:rPr>
          <w:rFonts w:ascii="Times New Roman" w:eastAsia="Times New Roman" w:hAnsi="Times New Roman" w:cs="Times New Roman"/>
          <w:sz w:val="28"/>
          <w:szCs w:val="28"/>
          <w:lang w:val="uk-UA"/>
        </w:rPr>
        <w:t>коучингу</w:t>
      </w:r>
      <w:proofErr w:type="spellEnd"/>
    </w:p>
    <w:p w14:paraId="49DFFA88" w14:textId="484690D3" w:rsidR="000F5283" w:rsidRPr="005F0419" w:rsidRDefault="000F5283" w:rsidP="000F5283">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shd w:val="clear" w:color="auto" w:fill="FFFFFF"/>
          <w:lang w:val="uk-UA"/>
        </w:rPr>
        <w:t>Джерело: складено на основі [</w:t>
      </w:r>
      <w:r w:rsidRPr="005F0419">
        <w:rPr>
          <w:rFonts w:ascii="Times New Roman" w:eastAsia="Times New Roman" w:hAnsi="Times New Roman" w:cs="Times New Roman"/>
          <w:sz w:val="28"/>
          <w:szCs w:val="28"/>
          <w:lang w:val="uk-UA"/>
        </w:rPr>
        <w:t>23].</w:t>
      </w:r>
    </w:p>
    <w:p w14:paraId="0E56A22E" w14:textId="77777777" w:rsidR="000F5283" w:rsidRPr="005F0419" w:rsidRDefault="000F5283"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p>
    <w:p w14:paraId="71715B51"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Переваги застосування наставництва: процес адаптації нових співробітників стає більш якісним;  підвищується рівень мотивації досвідчених фахівців; більш якісно оцінюється вищим керівником управлінський потенціал наставника; забезпечується професійний ріст співробітників. </w:t>
      </w:r>
    </w:p>
    <w:p w14:paraId="24C92777"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США існує різновид наставництва – </w:t>
      </w:r>
      <w:proofErr w:type="spellStart"/>
      <w:r w:rsidRPr="005F0419">
        <w:rPr>
          <w:rFonts w:ascii="Times New Roman" w:eastAsia="Times New Roman" w:hAnsi="Times New Roman" w:cs="Times New Roman"/>
          <w:i/>
          <w:sz w:val="28"/>
          <w:szCs w:val="28"/>
          <w:lang w:val="uk-UA"/>
        </w:rPr>
        <w:t>Buddying</w:t>
      </w:r>
      <w:proofErr w:type="spellEnd"/>
      <w:r w:rsidRPr="005F0419">
        <w:rPr>
          <w:rFonts w:ascii="Times New Roman" w:eastAsia="Times New Roman" w:hAnsi="Times New Roman" w:cs="Times New Roman"/>
          <w:sz w:val="28"/>
          <w:szCs w:val="28"/>
          <w:lang w:val="uk-UA"/>
        </w:rPr>
        <w:t>. Це цікава і досить незвичайна форма навчання, адже в перекладі з англійської слово</w:t>
      </w:r>
      <w:r w:rsidRPr="005F0419">
        <w:rPr>
          <w:rFonts w:ascii="Times New Roman" w:eastAsia="Times New Roman" w:hAnsi="Times New Roman" w:cs="Times New Roman"/>
          <w:b/>
          <w:bCs/>
          <w:sz w:val="28"/>
          <w:szCs w:val="28"/>
          <w:lang w:val="uk-UA"/>
        </w:rPr>
        <w:t> </w:t>
      </w:r>
      <w:r w:rsidRPr="005F0419">
        <w:rPr>
          <w:rFonts w:ascii="Times New Roman" w:eastAsia="Times New Roman" w:hAnsi="Times New Roman" w:cs="Times New Roman"/>
          <w:bCs/>
          <w:sz w:val="28"/>
          <w:szCs w:val="28"/>
          <w:lang w:val="uk-UA"/>
        </w:rPr>
        <w:t>«</w:t>
      </w:r>
      <w:proofErr w:type="spellStart"/>
      <w:r w:rsidRPr="005F0419">
        <w:rPr>
          <w:rFonts w:ascii="Times New Roman" w:eastAsia="Times New Roman" w:hAnsi="Times New Roman" w:cs="Times New Roman"/>
          <w:bCs/>
          <w:sz w:val="28"/>
          <w:szCs w:val="28"/>
          <w:lang w:val="uk-UA"/>
        </w:rPr>
        <w:t>buddy</w:t>
      </w:r>
      <w:proofErr w:type="spellEnd"/>
      <w:r w:rsidRPr="005F0419">
        <w:rPr>
          <w:rFonts w:ascii="Times New Roman" w:eastAsia="Times New Roman" w:hAnsi="Times New Roman" w:cs="Times New Roman"/>
          <w:bCs/>
          <w:sz w:val="28"/>
          <w:szCs w:val="28"/>
          <w:lang w:val="uk-UA"/>
        </w:rPr>
        <w:t>»</w:t>
      </w:r>
      <w:r w:rsidRPr="005F0419">
        <w:rPr>
          <w:rFonts w:ascii="Times New Roman" w:eastAsia="Times New Roman" w:hAnsi="Times New Roman" w:cs="Times New Roman"/>
          <w:b/>
          <w:bCs/>
          <w:sz w:val="28"/>
          <w:szCs w:val="28"/>
          <w:lang w:val="uk-UA"/>
        </w:rPr>
        <w:t xml:space="preserve"> </w:t>
      </w:r>
      <w:r w:rsidRPr="005F0419">
        <w:rPr>
          <w:rFonts w:ascii="Times New Roman" w:eastAsia="Times New Roman" w:hAnsi="Times New Roman" w:cs="Times New Roman"/>
          <w:sz w:val="28"/>
          <w:szCs w:val="28"/>
          <w:lang w:val="uk-UA"/>
        </w:rPr>
        <w:t xml:space="preserve">перекладається як приятель. Цей метод заснований на наданні один одному </w:t>
      </w:r>
      <w:r w:rsidRPr="005F0419">
        <w:rPr>
          <w:rFonts w:ascii="Times New Roman" w:eastAsia="Times New Roman" w:hAnsi="Times New Roman" w:cs="Times New Roman"/>
          <w:sz w:val="28"/>
          <w:szCs w:val="28"/>
          <w:lang w:val="uk-UA"/>
        </w:rPr>
        <w:lastRenderedPageBreak/>
        <w:t>підтримки у виконанні цілей і завдань (як особистих, так і корпоративних) і в освоєнні нових навичок [7].</w:t>
      </w:r>
    </w:p>
    <w:p w14:paraId="53FBCF94"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Суть методу полягає в тому, що за фахівцем закріплюється </w:t>
      </w:r>
      <w:r w:rsidRPr="005F0419">
        <w:rPr>
          <w:rFonts w:ascii="Times New Roman" w:eastAsia="Times New Roman" w:hAnsi="Times New Roman" w:cs="Times New Roman"/>
          <w:bCs/>
          <w:sz w:val="28"/>
          <w:szCs w:val="28"/>
          <w:lang w:val="uk-UA"/>
        </w:rPr>
        <w:t>«</w:t>
      </w:r>
      <w:proofErr w:type="spellStart"/>
      <w:r w:rsidRPr="005F0419">
        <w:rPr>
          <w:rFonts w:ascii="Times New Roman" w:eastAsia="Times New Roman" w:hAnsi="Times New Roman" w:cs="Times New Roman"/>
          <w:bCs/>
          <w:sz w:val="28"/>
          <w:szCs w:val="28"/>
          <w:lang w:val="uk-UA"/>
        </w:rPr>
        <w:t>buddy</w:t>
      </w:r>
      <w:proofErr w:type="spellEnd"/>
      <w:r w:rsidRPr="005F0419">
        <w:rPr>
          <w:rFonts w:ascii="Times New Roman" w:eastAsia="Times New Roman" w:hAnsi="Times New Roman" w:cs="Times New Roman"/>
          <w:bCs/>
          <w:sz w:val="28"/>
          <w:szCs w:val="28"/>
          <w:lang w:val="uk-UA"/>
        </w:rPr>
        <w:t>»</w:t>
      </w:r>
      <w:r w:rsidRPr="005F0419">
        <w:rPr>
          <w:rFonts w:ascii="Times New Roman" w:eastAsia="Times New Roman" w:hAnsi="Times New Roman" w:cs="Times New Roman"/>
          <w:sz w:val="28"/>
          <w:szCs w:val="28"/>
          <w:lang w:val="uk-UA"/>
        </w:rPr>
        <w:t xml:space="preserve">, партнер. Його завдання – надавати постійний зворотний зв'язок про дії та рішення того співробітника, за яким він закріплений. </w:t>
      </w:r>
    </w:p>
    <w:p w14:paraId="7E574850"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Від наставництва або </w:t>
      </w:r>
      <w:proofErr w:type="spellStart"/>
      <w:r w:rsidRPr="005F0419">
        <w:rPr>
          <w:rFonts w:ascii="Times New Roman" w:eastAsia="Times New Roman" w:hAnsi="Times New Roman" w:cs="Times New Roman"/>
          <w:sz w:val="28"/>
          <w:szCs w:val="28"/>
          <w:lang w:val="uk-UA"/>
        </w:rPr>
        <w:t>коучингу</w:t>
      </w:r>
      <w:proofErr w:type="spellEnd"/>
      <w:r w:rsidRPr="005F0419">
        <w:rPr>
          <w:rFonts w:ascii="Times New Roman" w:eastAsia="Times New Roman" w:hAnsi="Times New Roman" w:cs="Times New Roman"/>
          <w:b/>
          <w:bCs/>
          <w:sz w:val="28"/>
          <w:szCs w:val="28"/>
          <w:lang w:val="uk-UA"/>
        </w:rPr>
        <w:t> </w:t>
      </w:r>
      <w:proofErr w:type="spellStart"/>
      <w:r w:rsidRPr="005F0419">
        <w:rPr>
          <w:rFonts w:ascii="Times New Roman" w:eastAsia="Times New Roman" w:hAnsi="Times New Roman" w:cs="Times New Roman"/>
          <w:bCs/>
          <w:sz w:val="28"/>
          <w:szCs w:val="28"/>
          <w:lang w:val="uk-UA"/>
        </w:rPr>
        <w:t>buddying</w:t>
      </w:r>
      <w:proofErr w:type="spellEnd"/>
      <w:r w:rsidRPr="005F0419">
        <w:rPr>
          <w:rFonts w:ascii="Times New Roman" w:eastAsia="Times New Roman" w:hAnsi="Times New Roman" w:cs="Times New Roman"/>
          <w:sz w:val="28"/>
          <w:szCs w:val="28"/>
          <w:lang w:val="uk-UA"/>
        </w:rPr>
        <w:t xml:space="preserve"> відрізняє те, що його учасники абсолютно рівноправні. У такій формі роботи немає «старшого і «молодшого, наставника і підопічного, що навчається. Зворотній зв'язок можна надавати після нарад, дискусій, телефонних переговорів. Звичайно, перш ніж приступити до такого методу необхідно навчити співробітників робити висновки і </w:t>
      </w:r>
      <w:proofErr w:type="spellStart"/>
      <w:r w:rsidRPr="005F0419">
        <w:rPr>
          <w:rFonts w:ascii="Times New Roman" w:eastAsia="Times New Roman" w:hAnsi="Times New Roman" w:cs="Times New Roman"/>
          <w:sz w:val="28"/>
          <w:szCs w:val="28"/>
          <w:lang w:val="uk-UA"/>
        </w:rPr>
        <w:t>грамотно</w:t>
      </w:r>
      <w:proofErr w:type="spellEnd"/>
      <w:r w:rsidRPr="005F0419">
        <w:rPr>
          <w:rFonts w:ascii="Times New Roman" w:eastAsia="Times New Roman" w:hAnsi="Times New Roman" w:cs="Times New Roman"/>
          <w:sz w:val="28"/>
          <w:szCs w:val="28"/>
          <w:lang w:val="uk-UA"/>
        </w:rPr>
        <w:t xml:space="preserve"> надавати інформацію. Така система вимагає постійного контролю з боку служби персоналу [24]. </w:t>
      </w:r>
    </w:p>
    <w:p w14:paraId="757E2650"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b/>
          <w:bCs/>
          <w:sz w:val="28"/>
          <w:szCs w:val="28"/>
          <w:lang w:val="uk-UA"/>
        </w:rPr>
      </w:pPr>
      <w:r w:rsidRPr="005F0419">
        <w:rPr>
          <w:rFonts w:ascii="Times New Roman" w:eastAsia="Times New Roman" w:hAnsi="Times New Roman" w:cs="Times New Roman"/>
          <w:bCs/>
          <w:sz w:val="28"/>
          <w:szCs w:val="28"/>
          <w:lang w:val="uk-UA"/>
        </w:rPr>
        <w:t xml:space="preserve">Переваги застосування методу </w:t>
      </w:r>
      <w:proofErr w:type="spellStart"/>
      <w:r w:rsidRPr="005F0419">
        <w:rPr>
          <w:rFonts w:ascii="Times New Roman" w:eastAsia="Times New Roman" w:hAnsi="Times New Roman" w:cs="Times New Roman"/>
          <w:bCs/>
          <w:sz w:val="28"/>
          <w:szCs w:val="28"/>
          <w:lang w:val="uk-UA"/>
        </w:rPr>
        <w:t>buddying</w:t>
      </w:r>
      <w:proofErr w:type="spellEnd"/>
      <w:r w:rsidRPr="005F0419">
        <w:rPr>
          <w:rFonts w:ascii="Times New Roman" w:eastAsia="Times New Roman" w:hAnsi="Times New Roman" w:cs="Times New Roman"/>
          <w:bCs/>
          <w:sz w:val="28"/>
          <w:szCs w:val="28"/>
          <w:lang w:val="uk-UA"/>
        </w:rPr>
        <w:t>:</w:t>
      </w:r>
      <w:r w:rsidRPr="005F0419">
        <w:rPr>
          <w:rFonts w:ascii="Times New Roman" w:eastAsia="Times New Roman" w:hAnsi="Times New Roman" w:cs="Times New Roman"/>
          <w:b/>
          <w:bCs/>
          <w:sz w:val="28"/>
          <w:szCs w:val="28"/>
          <w:lang w:val="uk-UA"/>
        </w:rPr>
        <w:t> </w:t>
      </w:r>
    </w:p>
    <w:p w14:paraId="0390B1A5" w14:textId="6474BB61" w:rsidR="00A55004" w:rsidRPr="005F0419" w:rsidRDefault="000F5283" w:rsidP="000F528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00A55004" w:rsidRPr="005F0419">
        <w:rPr>
          <w:rFonts w:ascii="Times New Roman" w:eastAsia="Times New Roman" w:hAnsi="Times New Roman" w:cs="Times New Roman"/>
          <w:sz w:val="28"/>
          <w:szCs w:val="28"/>
          <w:lang w:val="uk-UA"/>
        </w:rPr>
        <w:t>можливість отримати об'єктивну інформацію про свою роботу; </w:t>
      </w:r>
    </w:p>
    <w:p w14:paraId="60FBADAD" w14:textId="47AE1889" w:rsidR="00A55004" w:rsidRPr="005F0419" w:rsidRDefault="000F5283" w:rsidP="000F528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00A55004" w:rsidRPr="005F0419">
        <w:rPr>
          <w:rFonts w:ascii="Times New Roman" w:eastAsia="Times New Roman" w:hAnsi="Times New Roman" w:cs="Times New Roman"/>
          <w:sz w:val="28"/>
          <w:szCs w:val="28"/>
          <w:lang w:val="uk-UA"/>
        </w:rPr>
        <w:t>можливість намітити точки особистісного і професійного зростання; </w:t>
      </w:r>
    </w:p>
    <w:p w14:paraId="3242C288" w14:textId="237A972E" w:rsidR="00A55004" w:rsidRPr="005F0419" w:rsidRDefault="000F5283" w:rsidP="000F528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00A55004" w:rsidRPr="005F0419">
        <w:rPr>
          <w:rFonts w:ascii="Times New Roman" w:eastAsia="Times New Roman" w:hAnsi="Times New Roman" w:cs="Times New Roman"/>
          <w:sz w:val="28"/>
          <w:szCs w:val="28"/>
          <w:lang w:val="uk-UA"/>
        </w:rPr>
        <w:t xml:space="preserve">можливість створити інтерактивне спілкування, покращити навички міжособистісної взаємодії.  </w:t>
      </w:r>
    </w:p>
    <w:p w14:paraId="462D9879"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Одним із самих  реалізованих і </w:t>
      </w:r>
      <w:proofErr w:type="spellStart"/>
      <w:r w:rsidRPr="005F0419">
        <w:rPr>
          <w:rFonts w:ascii="Times New Roman" w:eastAsia="Times New Roman" w:hAnsi="Times New Roman" w:cs="Times New Roman"/>
          <w:sz w:val="28"/>
          <w:szCs w:val="28"/>
          <w:lang w:val="uk-UA"/>
        </w:rPr>
        <w:t>маловитратних</w:t>
      </w:r>
      <w:proofErr w:type="spellEnd"/>
      <w:r w:rsidRPr="005F0419">
        <w:rPr>
          <w:rFonts w:ascii="Times New Roman" w:eastAsia="Times New Roman" w:hAnsi="Times New Roman" w:cs="Times New Roman"/>
          <w:sz w:val="28"/>
          <w:szCs w:val="28"/>
          <w:lang w:val="uk-UA"/>
        </w:rPr>
        <w:t xml:space="preserve"> методів навчання й розвитку персоналу є </w:t>
      </w:r>
      <w:proofErr w:type="spellStart"/>
      <w:r w:rsidRPr="005F0419">
        <w:rPr>
          <w:rFonts w:ascii="Times New Roman" w:eastAsia="Times New Roman" w:hAnsi="Times New Roman" w:cs="Times New Roman"/>
          <w:i/>
          <w:sz w:val="28"/>
          <w:szCs w:val="28"/>
          <w:lang w:val="uk-UA"/>
        </w:rPr>
        <w:t>Shadowing</w:t>
      </w:r>
      <w:proofErr w:type="spellEnd"/>
      <w:r w:rsidRPr="005F0419">
        <w:rPr>
          <w:rFonts w:ascii="Times New Roman" w:eastAsia="Times New Roman" w:hAnsi="Times New Roman" w:cs="Times New Roman"/>
          <w:sz w:val="28"/>
          <w:szCs w:val="28"/>
          <w:lang w:val="uk-UA"/>
        </w:rPr>
        <w:t>. Цей метод припускає, що до співробітника прикріплюють «тінь» (</w:t>
      </w:r>
      <w:proofErr w:type="spellStart"/>
      <w:r w:rsidRPr="005F0419">
        <w:rPr>
          <w:rFonts w:ascii="Times New Roman" w:eastAsia="Times New Roman" w:hAnsi="Times New Roman" w:cs="Times New Roman"/>
          <w:sz w:val="28"/>
          <w:szCs w:val="28"/>
          <w:lang w:val="uk-UA"/>
        </w:rPr>
        <w:t>shadow</w:t>
      </w:r>
      <w:proofErr w:type="spellEnd"/>
      <w:r w:rsidRPr="005F0419">
        <w:rPr>
          <w:rFonts w:ascii="Times New Roman" w:eastAsia="Times New Roman" w:hAnsi="Times New Roman" w:cs="Times New Roman"/>
          <w:sz w:val="28"/>
          <w:szCs w:val="28"/>
          <w:lang w:val="uk-UA"/>
        </w:rPr>
        <w:t xml:space="preserve"> – тінь (</w:t>
      </w:r>
      <w:proofErr w:type="spellStart"/>
      <w:r w:rsidRPr="005F0419">
        <w:rPr>
          <w:rFonts w:ascii="Times New Roman" w:eastAsia="Times New Roman" w:hAnsi="Times New Roman" w:cs="Times New Roman"/>
          <w:sz w:val="28"/>
          <w:szCs w:val="28"/>
          <w:lang w:val="uk-UA"/>
        </w:rPr>
        <w:t>англ</w:t>
      </w:r>
      <w:proofErr w:type="spellEnd"/>
      <w:r w:rsidRPr="005F0419">
        <w:rPr>
          <w:rFonts w:ascii="Times New Roman" w:eastAsia="Times New Roman" w:hAnsi="Times New Roman" w:cs="Times New Roman"/>
          <w:sz w:val="28"/>
          <w:szCs w:val="28"/>
          <w:lang w:val="uk-UA"/>
        </w:rPr>
        <w:t xml:space="preserve">.)). Цей метод зовні досить простий та полягає в тому, що співробітник, який навчається, протягом якогось періоду часу слідує «як тінь» за більш досвідченим та спостерігає за тим, як той виконує свої професійні обов'язки. При цьому сам учень нічого не робить, не коментує те, що відбувається, не ставить питання й взагалі жодним чином не втручається в процес. Цей метод часто використовується комплексно з іншими способами навчання для введення в курс справи нових співробітників, стажистів, а також підготовки («вирощування») тих, хто висунутий на вищу посаду всередині компанії, або переходить з одного відділу до іншого зі зміною спеціалізації. Метод цей досить новий як країн пострадянського простору, так наших західних колег. Найбільшого поширення на цей момент він отримав у Сполучених Штатах </w:t>
      </w:r>
      <w:r w:rsidRPr="005F0419">
        <w:rPr>
          <w:rFonts w:ascii="Times New Roman" w:eastAsia="Times New Roman" w:hAnsi="Times New Roman" w:cs="Times New Roman"/>
          <w:sz w:val="28"/>
          <w:szCs w:val="28"/>
          <w:lang w:val="uk-UA"/>
        </w:rPr>
        <w:lastRenderedPageBreak/>
        <w:t xml:space="preserve">та деяких країнах західної Європи [25]. </w:t>
      </w:r>
    </w:p>
    <w:p w14:paraId="5E3F3538"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Розвиток комп'ютерних та інтернет-технологій дозволив створити ще одну сучасну форму навчання та розвитку персоналу. Йдеться про </w:t>
      </w:r>
      <w:r w:rsidRPr="005F0419">
        <w:rPr>
          <w:rFonts w:ascii="Times New Roman" w:eastAsia="Times New Roman" w:hAnsi="Times New Roman" w:cs="Times New Roman"/>
          <w:i/>
          <w:sz w:val="28"/>
          <w:szCs w:val="28"/>
          <w:lang w:val="uk-UA"/>
        </w:rPr>
        <w:t>дистанційне навчання</w:t>
      </w:r>
      <w:r w:rsidRPr="005F0419">
        <w:rPr>
          <w:rFonts w:ascii="Times New Roman" w:eastAsia="Times New Roman" w:hAnsi="Times New Roman" w:cs="Times New Roman"/>
          <w:sz w:val="28"/>
          <w:szCs w:val="28"/>
          <w:lang w:val="uk-UA"/>
        </w:rPr>
        <w:t>, яке має низку унікальних переваг:</w:t>
      </w:r>
    </w:p>
    <w:p w14:paraId="39E98853" w14:textId="50FF1C08" w:rsidR="00A55004" w:rsidRPr="005F0419" w:rsidRDefault="000F5283" w:rsidP="000F528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00A55004" w:rsidRPr="005F0419">
        <w:rPr>
          <w:rFonts w:ascii="Times New Roman" w:eastAsia="Times New Roman" w:hAnsi="Times New Roman" w:cs="Times New Roman"/>
          <w:sz w:val="28"/>
          <w:szCs w:val="28"/>
          <w:lang w:val="uk-UA"/>
        </w:rPr>
        <w:t>низька вартість (не вимагає витрат на оренду приміщень, поїздки тощо);</w:t>
      </w:r>
    </w:p>
    <w:p w14:paraId="4F1FAFF8" w14:textId="6920330D" w:rsidR="00A55004" w:rsidRPr="005F0419" w:rsidRDefault="000F5283" w:rsidP="000F528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00A55004" w:rsidRPr="005F0419">
        <w:rPr>
          <w:rFonts w:ascii="Times New Roman" w:eastAsia="Times New Roman" w:hAnsi="Times New Roman" w:cs="Times New Roman"/>
          <w:sz w:val="28"/>
          <w:szCs w:val="28"/>
          <w:lang w:val="uk-UA"/>
        </w:rPr>
        <w:t>доступність (для проходження дистанційного навчання необхідно: наявність комп'ютера та доступ до мережі Інтернет);</w:t>
      </w:r>
    </w:p>
    <w:p w14:paraId="0DAE9271" w14:textId="00F2CA63" w:rsidR="00A55004" w:rsidRPr="005F0419" w:rsidRDefault="000F5283" w:rsidP="000F528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00A55004" w:rsidRPr="005F0419">
        <w:rPr>
          <w:rFonts w:ascii="Times New Roman" w:eastAsia="Times New Roman" w:hAnsi="Times New Roman" w:cs="Times New Roman"/>
          <w:sz w:val="28"/>
          <w:szCs w:val="28"/>
          <w:lang w:val="uk-UA"/>
        </w:rPr>
        <w:t>складання індивідуального графіка навчання, максимально підходящого співробітнику;</w:t>
      </w:r>
    </w:p>
    <w:p w14:paraId="7D34A841" w14:textId="3B3D61FF" w:rsidR="00A55004" w:rsidRPr="005F0419" w:rsidRDefault="000F5283" w:rsidP="000F528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00A55004" w:rsidRPr="005F0419">
        <w:rPr>
          <w:rFonts w:ascii="Times New Roman" w:eastAsia="Times New Roman" w:hAnsi="Times New Roman" w:cs="Times New Roman"/>
          <w:sz w:val="28"/>
          <w:szCs w:val="28"/>
          <w:lang w:val="uk-UA"/>
        </w:rPr>
        <w:t>висока ступінь засвоєння знань;</w:t>
      </w:r>
    </w:p>
    <w:p w14:paraId="6827B016" w14:textId="4275A307" w:rsidR="00A55004" w:rsidRPr="005F0419" w:rsidRDefault="000F5283" w:rsidP="000F5283">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w:t>
      </w:r>
      <w:r w:rsidR="00A55004" w:rsidRPr="005F0419">
        <w:rPr>
          <w:rFonts w:ascii="Times New Roman" w:eastAsia="Times New Roman" w:hAnsi="Times New Roman" w:cs="Times New Roman"/>
          <w:sz w:val="28"/>
          <w:szCs w:val="28"/>
          <w:lang w:val="uk-UA"/>
        </w:rPr>
        <w:t xml:space="preserve">можливість поєднувати навчання і роботу.  </w:t>
      </w:r>
    </w:p>
    <w:p w14:paraId="559B1A2D"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Дана форма навчання передбачає використання телекомунікаційних технологій, які дозволяють навчати персонал на відстані. За допомогою дистанційного навчання учень може самостійно організовувати свої заняття, вибираючи зручний для цього час. </w:t>
      </w:r>
    </w:p>
    <w:p w14:paraId="3A48168D"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Дана схема включає такі етапи: учень обирає потрібну йому тему і проходить попереднє тестування. За даним тестування робиться висновок про поточний рівень знань. Далі висилається пробний урок, який необхідно виконати. Після виконання ряду уроків з однієї тематики, учень пише контрольних тест. У залежності від його результатів висилаються вправи на повторення теми або завдання з нової теми [7]. </w:t>
      </w:r>
    </w:p>
    <w:p w14:paraId="7A95EFC4"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Така форма вимагає хорошої технічної оснащеності та грамотного опрацювання матеріалів для навчання і контрольних процедур. За рахунок дистанційного навчання складно сформувати поведінкові навички. Крім того, для якісного засвоєння знань учень повинен володіти високою мотивацією. </w:t>
      </w:r>
    </w:p>
    <w:p w14:paraId="651C3C85" w14:textId="0959E94C"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shd w:val="clear" w:color="auto" w:fill="FFFFFF"/>
          <w:lang w:val="uk-UA"/>
        </w:rPr>
        <w:t xml:space="preserve">Останнім часом одним з перспективних напрямів сучасного менеджменту стало формування «самонавчальних» організацій. Разом з ними прийшла і технологія навчання </w:t>
      </w:r>
      <w:r w:rsidR="000F5283" w:rsidRPr="005F0419">
        <w:rPr>
          <w:rFonts w:ascii="Times New Roman" w:eastAsia="Times New Roman" w:hAnsi="Times New Roman" w:cs="Times New Roman"/>
          <w:sz w:val="28"/>
          <w:szCs w:val="28"/>
          <w:shd w:val="clear" w:color="auto" w:fill="FFFFFF"/>
          <w:lang w:val="uk-UA"/>
        </w:rPr>
        <w:t>–</w:t>
      </w:r>
      <w:r w:rsidRPr="005F0419">
        <w:rPr>
          <w:rFonts w:ascii="Times New Roman" w:eastAsia="Times New Roman" w:hAnsi="Times New Roman" w:cs="Times New Roman"/>
          <w:sz w:val="28"/>
          <w:szCs w:val="28"/>
          <w:shd w:val="clear" w:color="auto" w:fill="FFFFFF"/>
          <w:lang w:val="uk-UA"/>
        </w:rPr>
        <w:t xml:space="preserve"> </w:t>
      </w:r>
      <w:r w:rsidRPr="005F0419">
        <w:rPr>
          <w:rFonts w:ascii="Times New Roman" w:eastAsia="Times New Roman" w:hAnsi="Times New Roman" w:cs="Times New Roman"/>
          <w:i/>
          <w:sz w:val="28"/>
          <w:szCs w:val="28"/>
          <w:shd w:val="clear" w:color="auto" w:fill="FFFFFF"/>
          <w:lang w:val="uk-UA"/>
        </w:rPr>
        <w:t>«</w:t>
      </w:r>
      <w:proofErr w:type="spellStart"/>
      <w:r w:rsidRPr="005F0419">
        <w:rPr>
          <w:rFonts w:ascii="Times New Roman" w:eastAsia="Times New Roman" w:hAnsi="Times New Roman" w:cs="Times New Roman"/>
          <w:iCs/>
          <w:sz w:val="28"/>
          <w:szCs w:val="28"/>
          <w:shd w:val="clear" w:color="auto" w:fill="FFFFFF"/>
          <w:lang w:val="uk-UA"/>
        </w:rPr>
        <w:t>аction</w:t>
      </w:r>
      <w:proofErr w:type="spellEnd"/>
      <w:r w:rsidRPr="005F0419">
        <w:rPr>
          <w:rFonts w:ascii="Times New Roman" w:eastAsia="Times New Roman" w:hAnsi="Times New Roman" w:cs="Times New Roman"/>
          <w:iCs/>
          <w:sz w:val="28"/>
          <w:szCs w:val="28"/>
          <w:shd w:val="clear" w:color="auto" w:fill="FFFFFF"/>
          <w:lang w:val="uk-UA"/>
        </w:rPr>
        <w:t xml:space="preserve"> </w:t>
      </w:r>
      <w:proofErr w:type="spellStart"/>
      <w:r w:rsidRPr="005F0419">
        <w:rPr>
          <w:rFonts w:ascii="Times New Roman" w:eastAsia="Times New Roman" w:hAnsi="Times New Roman" w:cs="Times New Roman"/>
          <w:iCs/>
          <w:sz w:val="28"/>
          <w:szCs w:val="28"/>
          <w:shd w:val="clear" w:color="auto" w:fill="FFFFFF"/>
          <w:lang w:val="uk-UA"/>
        </w:rPr>
        <w:t>learning</w:t>
      </w:r>
      <w:proofErr w:type="spellEnd"/>
      <w:r w:rsidR="000F5283" w:rsidRPr="005F0419">
        <w:rPr>
          <w:rFonts w:ascii="Times New Roman" w:eastAsia="Times New Roman" w:hAnsi="Times New Roman" w:cs="Times New Roman"/>
          <w:iCs/>
          <w:sz w:val="28"/>
          <w:szCs w:val="28"/>
          <w:shd w:val="clear" w:color="auto" w:fill="FFFFFF"/>
          <w:lang w:val="uk-UA"/>
        </w:rPr>
        <w:t>»</w:t>
      </w:r>
      <w:r w:rsidRPr="005F0419">
        <w:rPr>
          <w:rFonts w:ascii="Times New Roman" w:eastAsia="Times New Roman" w:hAnsi="Times New Roman" w:cs="Times New Roman"/>
          <w:iCs/>
          <w:sz w:val="28"/>
          <w:szCs w:val="28"/>
          <w:shd w:val="clear" w:color="auto" w:fill="FFFFFF"/>
          <w:lang w:val="uk-UA"/>
        </w:rPr>
        <w:t xml:space="preserve"> </w:t>
      </w:r>
      <w:r w:rsidR="000F5283" w:rsidRPr="005F0419">
        <w:rPr>
          <w:rFonts w:ascii="Times New Roman" w:eastAsia="Times New Roman" w:hAnsi="Times New Roman" w:cs="Times New Roman"/>
          <w:iCs/>
          <w:sz w:val="28"/>
          <w:szCs w:val="28"/>
          <w:shd w:val="clear" w:color="auto" w:fill="FFFFFF"/>
          <w:lang w:val="uk-UA"/>
        </w:rPr>
        <w:t>–</w:t>
      </w:r>
      <w:r w:rsidRPr="005F0419">
        <w:rPr>
          <w:rFonts w:ascii="Times New Roman" w:eastAsia="Times New Roman" w:hAnsi="Times New Roman" w:cs="Times New Roman"/>
          <w:iCs/>
          <w:sz w:val="28"/>
          <w:szCs w:val="28"/>
          <w:shd w:val="clear" w:color="auto" w:fill="FFFFFF"/>
          <w:lang w:val="uk-UA"/>
        </w:rPr>
        <w:t xml:space="preserve"> «навчання дією</w:t>
      </w:r>
      <w:r w:rsidRPr="005F0419">
        <w:rPr>
          <w:rFonts w:ascii="Times New Roman" w:eastAsia="Times New Roman" w:hAnsi="Times New Roman" w:cs="Times New Roman"/>
          <w:i/>
          <w:sz w:val="28"/>
          <w:szCs w:val="28"/>
          <w:shd w:val="clear" w:color="auto" w:fill="FFFFFF"/>
          <w:lang w:val="uk-UA"/>
        </w:rPr>
        <w:t>».</w:t>
      </w:r>
      <w:r w:rsidRPr="005F0419">
        <w:rPr>
          <w:rFonts w:ascii="Times New Roman" w:eastAsia="Times New Roman" w:hAnsi="Times New Roman" w:cs="Times New Roman"/>
          <w:sz w:val="28"/>
          <w:szCs w:val="28"/>
          <w:shd w:val="clear" w:color="auto" w:fill="FFFFFF"/>
          <w:lang w:val="uk-UA"/>
        </w:rPr>
        <w:t xml:space="preserve"> Метод «навчання дією» дозволяє найбільш ефективно вирішувати організаційні проблеми, розробляти структуру і динаміку організаційних змін [26]. </w:t>
      </w:r>
    </w:p>
    <w:p w14:paraId="074AA026" w14:textId="3CB7CC32"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shd w:val="clear" w:color="auto" w:fill="FFFFFF"/>
          <w:lang w:val="uk-UA"/>
        </w:rPr>
        <w:lastRenderedPageBreak/>
        <w:t>Технологія «</w:t>
      </w:r>
      <w:proofErr w:type="spellStart"/>
      <w:r w:rsidRPr="005F0419">
        <w:rPr>
          <w:rFonts w:ascii="Times New Roman" w:eastAsia="Times New Roman" w:hAnsi="Times New Roman" w:cs="Times New Roman"/>
          <w:sz w:val="28"/>
          <w:szCs w:val="28"/>
          <w:shd w:val="clear" w:color="auto" w:fill="FFFFFF"/>
          <w:lang w:val="uk-UA"/>
        </w:rPr>
        <w:t>аction</w:t>
      </w:r>
      <w:proofErr w:type="spellEnd"/>
      <w:r w:rsidRPr="005F0419">
        <w:rPr>
          <w:rFonts w:ascii="Times New Roman" w:eastAsia="Times New Roman" w:hAnsi="Times New Roman" w:cs="Times New Roman"/>
          <w:sz w:val="28"/>
          <w:szCs w:val="28"/>
          <w:shd w:val="clear" w:color="auto" w:fill="FFFFFF"/>
          <w:lang w:val="uk-UA"/>
        </w:rPr>
        <w:t xml:space="preserve"> </w:t>
      </w:r>
      <w:proofErr w:type="spellStart"/>
      <w:r w:rsidRPr="005F0419">
        <w:rPr>
          <w:rFonts w:ascii="Times New Roman" w:eastAsia="Times New Roman" w:hAnsi="Times New Roman" w:cs="Times New Roman"/>
          <w:sz w:val="28"/>
          <w:szCs w:val="28"/>
          <w:shd w:val="clear" w:color="auto" w:fill="FFFFFF"/>
          <w:lang w:val="uk-UA"/>
        </w:rPr>
        <w:t>learning</w:t>
      </w:r>
      <w:proofErr w:type="spellEnd"/>
      <w:r w:rsidRPr="005F0419">
        <w:rPr>
          <w:rFonts w:ascii="Times New Roman" w:eastAsia="Times New Roman" w:hAnsi="Times New Roman" w:cs="Times New Roman"/>
          <w:sz w:val="28"/>
          <w:szCs w:val="28"/>
          <w:shd w:val="clear" w:color="auto" w:fill="FFFFFF"/>
          <w:lang w:val="uk-UA"/>
        </w:rPr>
        <w:t>» є одним із самих популярних і ефективних способів навчання менеджерів без відриву від повсякденної роботи. Він широко застосовується в організаціях по всьому світу. Тривалість одного циклу складає від 3 до 12 місяців. Число учасників однієї групи, як правило, не перевищує шести співробітників. Періодичність зустрічей може коливатися від трьох разів на тиждень по дві години, до дводенних семінарів у вихідні дні. </w:t>
      </w:r>
      <w:r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shd w:val="clear" w:color="auto" w:fill="FFFFFF"/>
          <w:lang w:val="uk-UA"/>
        </w:rPr>
        <w:t>Основою у «навчанні дією» є група менеджерів, ключових співробітників компанії, кожен з яких вирішує поставлене перед ним завдання. У даному підході застосовується поєднання регулярного аналізу ситуації і постановка цілей, продумування кроків з їх досягнення з періодами реальних дій, здійснення запланованих кроків. Учасники працюють над реальними завданнями, а не над вправами або штучними ситуаціями. Головна мета «</w:t>
      </w:r>
      <w:proofErr w:type="spellStart"/>
      <w:r w:rsidRPr="005F0419">
        <w:rPr>
          <w:rFonts w:ascii="Times New Roman" w:eastAsia="Times New Roman" w:hAnsi="Times New Roman" w:cs="Times New Roman"/>
          <w:sz w:val="28"/>
          <w:szCs w:val="28"/>
          <w:shd w:val="clear" w:color="auto" w:fill="FFFFFF"/>
          <w:lang w:val="uk-UA"/>
        </w:rPr>
        <w:t>аction</w:t>
      </w:r>
      <w:proofErr w:type="spellEnd"/>
      <w:r w:rsidRPr="005F0419">
        <w:rPr>
          <w:rFonts w:ascii="Times New Roman" w:eastAsia="Times New Roman" w:hAnsi="Times New Roman" w:cs="Times New Roman"/>
          <w:sz w:val="28"/>
          <w:szCs w:val="28"/>
          <w:shd w:val="clear" w:color="auto" w:fill="FFFFFF"/>
          <w:lang w:val="uk-UA"/>
        </w:rPr>
        <w:t xml:space="preserve"> </w:t>
      </w:r>
      <w:proofErr w:type="spellStart"/>
      <w:r w:rsidRPr="005F0419">
        <w:rPr>
          <w:rFonts w:ascii="Times New Roman" w:eastAsia="Times New Roman" w:hAnsi="Times New Roman" w:cs="Times New Roman"/>
          <w:sz w:val="28"/>
          <w:szCs w:val="28"/>
          <w:shd w:val="clear" w:color="auto" w:fill="FFFFFF"/>
          <w:lang w:val="uk-UA"/>
        </w:rPr>
        <w:t>learning</w:t>
      </w:r>
      <w:proofErr w:type="spellEnd"/>
      <w:r w:rsidRPr="005F0419">
        <w:rPr>
          <w:rFonts w:ascii="Times New Roman" w:eastAsia="Times New Roman" w:hAnsi="Times New Roman" w:cs="Times New Roman"/>
          <w:sz w:val="28"/>
          <w:szCs w:val="28"/>
          <w:shd w:val="clear" w:color="auto" w:fill="FFFFFF"/>
          <w:lang w:val="uk-UA"/>
        </w:rPr>
        <w:t xml:space="preserve">» </w:t>
      </w:r>
      <w:r w:rsidR="000F5283" w:rsidRPr="005F0419">
        <w:rPr>
          <w:rFonts w:ascii="Times New Roman" w:eastAsia="Times New Roman" w:hAnsi="Times New Roman" w:cs="Times New Roman"/>
          <w:sz w:val="28"/>
          <w:szCs w:val="28"/>
          <w:shd w:val="clear" w:color="auto" w:fill="FFFFFF"/>
          <w:lang w:val="uk-UA"/>
        </w:rPr>
        <w:t>–</w:t>
      </w:r>
      <w:r w:rsidRPr="005F0419">
        <w:rPr>
          <w:rFonts w:ascii="Times New Roman" w:eastAsia="Times New Roman" w:hAnsi="Times New Roman" w:cs="Times New Roman"/>
          <w:sz w:val="28"/>
          <w:szCs w:val="28"/>
          <w:shd w:val="clear" w:color="auto" w:fill="FFFFFF"/>
          <w:lang w:val="uk-UA"/>
        </w:rPr>
        <w:t xml:space="preserve"> подолати розрив між тим, що «говорять в організації, і тим, що в ній «роблять [27]. </w:t>
      </w:r>
    </w:p>
    <w:p w14:paraId="54EE7F83" w14:textId="77777777" w:rsidR="00A55004" w:rsidRPr="005F0419" w:rsidRDefault="00A55004" w:rsidP="00877ECC">
      <w:pPr>
        <w:spacing w:after="0" w:line="360" w:lineRule="auto"/>
        <w:ind w:firstLine="720"/>
        <w:jc w:val="both"/>
        <w:rPr>
          <w:rFonts w:ascii="Times New Roman" w:eastAsia="Calibri" w:hAnsi="Times New Roman" w:cs="Times New Roman"/>
          <w:sz w:val="28"/>
          <w:szCs w:val="28"/>
          <w:lang w:val="uk-UA"/>
        </w:rPr>
      </w:pPr>
      <w:proofErr w:type="spellStart"/>
      <w:r w:rsidRPr="005F0419">
        <w:rPr>
          <w:rFonts w:ascii="Times New Roman" w:eastAsia="Calibri" w:hAnsi="Times New Roman" w:cs="Times New Roman"/>
          <w:iCs/>
          <w:sz w:val="28"/>
          <w:szCs w:val="28"/>
          <w:lang w:val="uk-UA"/>
        </w:rPr>
        <w:t>Сторітеллінг</w:t>
      </w:r>
      <w:proofErr w:type="spellEnd"/>
      <w:r w:rsidRPr="005F0419">
        <w:rPr>
          <w:rFonts w:ascii="Times New Roman" w:eastAsia="Calibri" w:hAnsi="Times New Roman" w:cs="Times New Roman"/>
          <w:iCs/>
          <w:sz w:val="28"/>
          <w:szCs w:val="28"/>
          <w:lang w:val="uk-UA"/>
        </w:rPr>
        <w:t xml:space="preserve"> (мотиваційна розповідь)</w:t>
      </w:r>
      <w:r w:rsidRPr="005F0419">
        <w:rPr>
          <w:rFonts w:ascii="Times New Roman" w:eastAsia="Calibri" w:hAnsi="Times New Roman" w:cs="Times New Roman"/>
          <w:sz w:val="28"/>
          <w:szCs w:val="28"/>
          <w:lang w:val="uk-UA"/>
        </w:rPr>
        <w:t xml:space="preserve"> – метод навчання нових співробітників організації для ознайомлення з організаційною структурою, корпоративною культурою, локальними розпорядчими документами тощо. Навчання починається з моменту підбору персоналу до повної адаптації працівника; воно проводиться безпосереднім керівником (наставником) для надання інформації про організацію, її особливості, для контролю в період випробувального терміну (стажування). </w:t>
      </w:r>
      <w:proofErr w:type="spellStart"/>
      <w:r w:rsidRPr="005F0419">
        <w:rPr>
          <w:rFonts w:ascii="Times New Roman" w:eastAsia="Calibri" w:hAnsi="Times New Roman" w:cs="Times New Roman"/>
          <w:sz w:val="28"/>
          <w:szCs w:val="28"/>
          <w:lang w:val="uk-UA"/>
        </w:rPr>
        <w:t>Сторітелінг</w:t>
      </w:r>
      <w:proofErr w:type="spellEnd"/>
      <w:r w:rsidRPr="005F0419">
        <w:rPr>
          <w:rFonts w:ascii="Times New Roman" w:eastAsia="Calibri" w:hAnsi="Times New Roman" w:cs="Times New Roman"/>
          <w:sz w:val="28"/>
          <w:szCs w:val="28"/>
          <w:lang w:val="uk-UA"/>
        </w:rPr>
        <w:t xml:space="preserve"> був винайдений та успішно випробуваний на власному досвіді Девідом Армстронгом, главою міжнародної компанії </w:t>
      </w:r>
      <w:proofErr w:type="spellStart"/>
      <w:r w:rsidRPr="005F0419">
        <w:rPr>
          <w:rFonts w:ascii="Times New Roman" w:eastAsia="Calibri" w:hAnsi="Times New Roman" w:cs="Times New Roman"/>
          <w:sz w:val="28"/>
          <w:szCs w:val="28"/>
          <w:lang w:val="uk-UA"/>
        </w:rPr>
        <w:t>Armstrong</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International</w:t>
      </w:r>
      <w:proofErr w:type="spellEnd"/>
      <w:r w:rsidRPr="005F0419">
        <w:rPr>
          <w:rFonts w:ascii="Times New Roman" w:eastAsia="Calibri" w:hAnsi="Times New Roman" w:cs="Times New Roman"/>
          <w:sz w:val="28"/>
          <w:szCs w:val="28"/>
          <w:lang w:val="uk-UA"/>
        </w:rPr>
        <w:t xml:space="preserve">. Розробляючи свій метод керівник врахував відомий психологічний фактор: історії більш виразні, цікаві асоціюються з особистим досвідом, ніж правила або директиви </w:t>
      </w:r>
      <w:r w:rsidRPr="005F0419">
        <w:rPr>
          <w:rFonts w:ascii="Times New Roman" w:eastAsia="Times New Roman" w:hAnsi="Times New Roman" w:cs="Times New Roman"/>
          <w:sz w:val="28"/>
          <w:szCs w:val="28"/>
          <w:lang w:val="uk-UA"/>
        </w:rPr>
        <w:t>[28].</w:t>
      </w:r>
      <w:r w:rsidRPr="005F0419">
        <w:rPr>
          <w:rFonts w:ascii="Times New Roman" w:eastAsia="Calibri" w:hAnsi="Times New Roman" w:cs="Times New Roman"/>
          <w:sz w:val="28"/>
          <w:szCs w:val="28"/>
          <w:lang w:val="uk-UA"/>
        </w:rPr>
        <w:t xml:space="preserve"> </w:t>
      </w:r>
    </w:p>
    <w:p w14:paraId="5C9E96C9" w14:textId="77777777" w:rsidR="00A55004" w:rsidRPr="005F0419" w:rsidRDefault="00A55004" w:rsidP="00877ECC">
      <w:pPr>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iCs/>
          <w:sz w:val="28"/>
          <w:szCs w:val="28"/>
          <w:lang w:val="uk-UA"/>
        </w:rPr>
        <w:t xml:space="preserve">Організаційний </w:t>
      </w:r>
      <w:proofErr w:type="spellStart"/>
      <w:r w:rsidRPr="005F0419">
        <w:rPr>
          <w:rFonts w:ascii="Times New Roman" w:eastAsia="Calibri" w:hAnsi="Times New Roman" w:cs="Times New Roman"/>
          <w:iCs/>
          <w:sz w:val="28"/>
          <w:szCs w:val="28"/>
          <w:lang w:val="uk-UA"/>
        </w:rPr>
        <w:t>сторітеллінг</w:t>
      </w:r>
      <w:proofErr w:type="spellEnd"/>
      <w:r w:rsidRPr="005F0419">
        <w:rPr>
          <w:rFonts w:ascii="Times New Roman" w:eastAsia="Calibri" w:hAnsi="Times New Roman" w:cs="Times New Roman"/>
          <w:iCs/>
          <w:sz w:val="28"/>
          <w:szCs w:val="28"/>
          <w:lang w:val="uk-UA"/>
        </w:rPr>
        <w:t xml:space="preserve"> </w:t>
      </w:r>
      <w:r w:rsidRPr="005F0419">
        <w:rPr>
          <w:rFonts w:ascii="Times New Roman" w:eastAsia="Calibri" w:hAnsi="Times New Roman" w:cs="Times New Roman"/>
          <w:sz w:val="28"/>
          <w:szCs w:val="28"/>
          <w:lang w:val="uk-UA"/>
        </w:rPr>
        <w:t xml:space="preserve">– інструмент управління, який застосовується для розуміння, інтерпретації та поширення цінностей, норм, правил і принципів організаційної культури, передачі неформальних знань за допомогою використання корпоративних історій, міфів, легенд. Ми вважаємо, що </w:t>
      </w:r>
      <w:proofErr w:type="spellStart"/>
      <w:r w:rsidRPr="005F0419">
        <w:rPr>
          <w:rFonts w:ascii="Times New Roman" w:eastAsia="Calibri" w:hAnsi="Times New Roman" w:cs="Times New Roman"/>
          <w:sz w:val="28"/>
          <w:szCs w:val="28"/>
          <w:lang w:val="uk-UA"/>
        </w:rPr>
        <w:t>сторітеллінг</w:t>
      </w:r>
      <w:proofErr w:type="spellEnd"/>
      <w:r w:rsidRPr="005F0419">
        <w:rPr>
          <w:rFonts w:ascii="Times New Roman" w:eastAsia="Calibri" w:hAnsi="Times New Roman" w:cs="Times New Roman"/>
          <w:sz w:val="28"/>
          <w:szCs w:val="28"/>
          <w:lang w:val="uk-UA"/>
        </w:rPr>
        <w:t xml:space="preserve"> є дієвим інструментом керівництва для управління персоналом. Саме для розробки певних стратегічних планів, інноваційних проектів – історія </w:t>
      </w:r>
      <w:r w:rsidRPr="005F0419">
        <w:rPr>
          <w:rFonts w:ascii="Times New Roman" w:eastAsia="Calibri" w:hAnsi="Times New Roman" w:cs="Times New Roman"/>
          <w:sz w:val="28"/>
          <w:szCs w:val="28"/>
          <w:lang w:val="uk-UA"/>
        </w:rPr>
        <w:lastRenderedPageBreak/>
        <w:t>може п</w:t>
      </w:r>
      <w:r w:rsidRPr="005F0419">
        <w:rPr>
          <w:rFonts w:ascii="Times New Roman" w:hAnsi="Times New Roman" w:cs="Times New Roman"/>
          <w:sz w:val="28"/>
          <w:szCs w:val="28"/>
          <w:lang w:val="uk-UA"/>
        </w:rPr>
        <w:t>ереконати співробітників у необ</w:t>
      </w:r>
      <w:r w:rsidRPr="005F0419">
        <w:rPr>
          <w:rFonts w:ascii="Times New Roman" w:eastAsia="Calibri" w:hAnsi="Times New Roman" w:cs="Times New Roman"/>
          <w:sz w:val="28"/>
          <w:szCs w:val="28"/>
          <w:lang w:val="uk-UA"/>
        </w:rPr>
        <w:t>х</w:t>
      </w:r>
      <w:r w:rsidRPr="005F0419">
        <w:rPr>
          <w:rFonts w:ascii="Times New Roman" w:hAnsi="Times New Roman" w:cs="Times New Roman"/>
          <w:sz w:val="28"/>
          <w:szCs w:val="28"/>
          <w:lang w:val="uk-UA"/>
        </w:rPr>
        <w:t>ід</w:t>
      </w:r>
      <w:r w:rsidRPr="005F0419">
        <w:rPr>
          <w:rFonts w:ascii="Times New Roman" w:eastAsia="Calibri" w:hAnsi="Times New Roman" w:cs="Times New Roman"/>
          <w:sz w:val="28"/>
          <w:szCs w:val="28"/>
          <w:lang w:val="uk-UA"/>
        </w:rPr>
        <w:t>ності даного проекту, вмотивувати, досягти розуміння.</w:t>
      </w:r>
    </w:p>
    <w:p w14:paraId="4B0B80D3" w14:textId="77777777" w:rsidR="00A55004" w:rsidRPr="005F0419" w:rsidRDefault="00A55004" w:rsidP="00877ECC">
      <w:pPr>
        <w:spacing w:after="0" w:line="360" w:lineRule="auto"/>
        <w:ind w:firstLine="720"/>
        <w:jc w:val="both"/>
        <w:rPr>
          <w:rFonts w:ascii="Times New Roman" w:eastAsia="Calibri" w:hAnsi="Times New Roman" w:cs="Times New Roman"/>
          <w:sz w:val="28"/>
          <w:szCs w:val="28"/>
          <w:shd w:val="clear" w:color="auto" w:fill="FFFFFF"/>
          <w:lang w:val="uk-UA"/>
        </w:rPr>
      </w:pPr>
      <w:r w:rsidRPr="005F0419">
        <w:rPr>
          <w:rFonts w:ascii="Times New Roman" w:eastAsia="Calibri" w:hAnsi="Times New Roman" w:cs="Times New Roman"/>
          <w:iCs/>
          <w:sz w:val="28"/>
          <w:szCs w:val="28"/>
          <w:lang w:val="uk-UA"/>
        </w:rPr>
        <w:t>Екшн-навчання</w:t>
      </w:r>
      <w:r w:rsidRPr="005F0419">
        <w:rPr>
          <w:rFonts w:ascii="Times New Roman" w:eastAsia="Calibri" w:hAnsi="Times New Roman" w:cs="Times New Roman"/>
          <w:sz w:val="28"/>
          <w:szCs w:val="28"/>
          <w:lang w:val="uk-UA"/>
        </w:rPr>
        <w:t xml:space="preserve"> – метод навчання для вирішення реальних проблем на практиці в процесі діяльності організації. Основою цього методу є створення робочої групи, що вирішує поставлене завдання. Термін навчання може тривати від кількох тижнів до року. За допомогою цього методу можна удосконалити компетенції зі стратегічного планування, навички прийняття обґрунтованих рішень, вирішити конкретні виробничі завдання. </w:t>
      </w:r>
    </w:p>
    <w:p w14:paraId="1359F665" w14:textId="77777777" w:rsidR="00A55004" w:rsidRPr="005F0419" w:rsidRDefault="00A55004" w:rsidP="00877ECC">
      <w:pPr>
        <w:spacing w:after="0" w:line="360" w:lineRule="auto"/>
        <w:ind w:firstLine="720"/>
        <w:jc w:val="both"/>
        <w:rPr>
          <w:rFonts w:ascii="Times New Roman" w:hAnsi="Times New Roman" w:cs="Times New Roman"/>
          <w:sz w:val="28"/>
          <w:szCs w:val="28"/>
          <w:shd w:val="clear" w:color="auto" w:fill="FFFFFF"/>
          <w:lang w:val="uk-UA"/>
        </w:rPr>
      </w:pPr>
      <w:proofErr w:type="spellStart"/>
      <w:r w:rsidRPr="005F0419">
        <w:rPr>
          <w:rFonts w:ascii="Times New Roman" w:eastAsia="Calibri" w:hAnsi="Times New Roman" w:cs="Times New Roman"/>
          <w:iCs/>
          <w:sz w:val="28"/>
          <w:szCs w:val="28"/>
          <w:lang w:val="uk-UA"/>
        </w:rPr>
        <w:t>Баскет</w:t>
      </w:r>
      <w:proofErr w:type="spellEnd"/>
      <w:r w:rsidRPr="005F0419">
        <w:rPr>
          <w:rFonts w:ascii="Times New Roman" w:eastAsia="Calibri" w:hAnsi="Times New Roman" w:cs="Times New Roman"/>
          <w:iCs/>
          <w:sz w:val="28"/>
          <w:szCs w:val="28"/>
          <w:lang w:val="uk-UA"/>
        </w:rPr>
        <w:t>-метод</w:t>
      </w:r>
      <w:r w:rsidRPr="005F0419">
        <w:rPr>
          <w:rFonts w:ascii="Times New Roman" w:eastAsia="Calibri" w:hAnsi="Times New Roman" w:cs="Times New Roman"/>
          <w:sz w:val="28"/>
          <w:szCs w:val="28"/>
          <w:lang w:val="uk-UA"/>
        </w:rPr>
        <w:t xml:space="preserve"> – метод імітації ситуацій «керівної діяльності», за якого співробітник долучається до ролі керівника. Цей метод застосовується до працівників, які претендуватимуть на керівну посаду.</w:t>
      </w:r>
    </w:p>
    <w:p w14:paraId="7D4E4F10" w14:textId="1A32C02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Якщо те, що необхідно для досягнення результату, – це конкретні навички, то тренінги найчастіше є найкращим рішенням. Від традиційних форм навчання тренінг відрізняється мінімальною кількістю теорій та </w:t>
      </w:r>
      <w:r w:rsidR="000F5283"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опором</w:t>
      </w:r>
      <w:r w:rsidR="000F5283"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на практику, </w:t>
      </w:r>
      <w:r w:rsidR="000F5283"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відпрацюванням</w:t>
      </w:r>
      <w:r w:rsidR="000F5283"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конкретних навичок. Єдиною проблемою в даному випадку є те, що перед учасниками, які повернулися з тренінгу, постає питання про необхідність перенесення навичок з </w:t>
      </w:r>
      <w:r w:rsidR="000F5283"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віртуальної</w:t>
      </w:r>
      <w:r w:rsidR="000F5283"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реальності тренінгу в </w:t>
      </w:r>
      <w:r w:rsidR="000F5283"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суворі будні</w:t>
      </w:r>
      <w:r w:rsidR="000F5283"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щоденного бізнесу. Цей процес дуже складний, однак, якщо тренінг підготовлений і проведений на високому рівні, а умови всередині організації сприяють тому, щоб учасник застосовував отримані знання на практиці, тренінг дає результат. Основне обмеження тренінгів як методу підвищення результативності полягає  в тому, що неможливо створити і </w:t>
      </w:r>
      <w:r w:rsidR="000F5283"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відпрацювати</w:t>
      </w:r>
      <w:r w:rsidR="000F5283"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готові рішення, що підходять для всіх без винятку ситуацій. У визначених умовах співробітник повинен навчитися самостійно ініціювати нові методи і підходи до вирішення проблем. </w:t>
      </w:r>
    </w:p>
    <w:p w14:paraId="403C18DE"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При виборі форм і технологій навчання доцільно не зупинятися на чомусь одному, оскільки всі вони мають свої переваги і недоліки. Найефективніші сучасні навчальні програми припускають поєднання різних технологій навчання. Вибір технологій навчання і розвитку персоналу залежить від специфіки компанії, її потреб, оснащення робочих місць технічними засобами і багатьох </w:t>
      </w:r>
      <w:r w:rsidRPr="005F0419">
        <w:rPr>
          <w:rFonts w:ascii="Times New Roman" w:eastAsia="Times New Roman" w:hAnsi="Times New Roman" w:cs="Times New Roman"/>
          <w:sz w:val="28"/>
          <w:szCs w:val="28"/>
          <w:lang w:val="uk-UA"/>
        </w:rPr>
        <w:lastRenderedPageBreak/>
        <w:t xml:space="preserve">інших чинників. Головне, щоб програма навчання була збалансована і містила теоретичний, практичний і контрольний розділи. Сучасним тенденціям у сфері управління персоналом відповідає перехід від разових заходів до створення системи навчання і розвитку персоналу. </w:t>
      </w:r>
    </w:p>
    <w:p w14:paraId="5C92C075" w14:textId="2802547D"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Завданням організації є визначення кількісних і якісних потреб у розвитку персоналу та забезпечення відповідних можливостей навчання. Навчатися та підвищувати рівень кваліфікації можна або на роботі (наприклад, через організацію навчальних програм безпосередньо на робочому місці чи у власному центрі навчання), або на семінарах, тренінгах і курсах за межами організації. У будь-якому разі програма має бути узгоджена з учасниками навчання та повинні враховувати їхні особисті характеристики й можливості.</w:t>
      </w:r>
    </w:p>
    <w:p w14:paraId="04EE311C"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Об’єктом нашого дослідження та відповідно практичним аспектом дослідницької складової є ресторан «Жаровня на Замку».</w:t>
      </w:r>
    </w:p>
    <w:p w14:paraId="40DEA22A"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«Жаровня на Замку» – це м'ясний ресторан, який розміщений у місті Львові на вулиці Максима Кривоноса, 39а [29].</w:t>
      </w:r>
    </w:p>
    <w:p w14:paraId="37FFF86E"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Ресторан позиціонує себе, як такий, в якому вміють та люблять готувати м'ясо. Адміністрація запевняє, що гість буде почуватися у них, як вдома, адже зустрінуть кожного із щирою посмішкою. </w:t>
      </w:r>
      <w:proofErr w:type="spellStart"/>
      <w:r w:rsidRPr="005F0419">
        <w:rPr>
          <w:rFonts w:ascii="Times New Roman" w:hAnsi="Times New Roman" w:cs="Times New Roman"/>
          <w:sz w:val="28"/>
          <w:szCs w:val="28"/>
          <w:lang w:val="uk-UA"/>
        </w:rPr>
        <w:t>Мангальщик</w:t>
      </w:r>
      <w:proofErr w:type="spellEnd"/>
      <w:r w:rsidRPr="005F0419">
        <w:rPr>
          <w:rFonts w:ascii="Times New Roman" w:hAnsi="Times New Roman" w:cs="Times New Roman"/>
          <w:sz w:val="28"/>
          <w:szCs w:val="28"/>
          <w:lang w:val="uk-UA"/>
        </w:rPr>
        <w:t xml:space="preserve"> закладу стане товаришем і гідом по м’ясних стравах, а офіціанти будуть пам’ятати улюблені страви і напої кожного гостя.</w:t>
      </w:r>
    </w:p>
    <w:p w14:paraId="358BDD0B"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noProof/>
          <w:sz w:val="28"/>
          <w:szCs w:val="28"/>
          <w:lang w:val="uk-UA" w:eastAsia="uk-UA"/>
        </w:rPr>
        <w:drawing>
          <wp:anchor distT="0" distB="0" distL="114300" distR="114300" simplePos="0" relativeHeight="251665408" behindDoc="0" locked="0" layoutInCell="1" allowOverlap="1" wp14:anchorId="3F573912" wp14:editId="1EF90EDB">
            <wp:simplePos x="0" y="0"/>
            <wp:positionH relativeFrom="column">
              <wp:posOffset>-17145</wp:posOffset>
            </wp:positionH>
            <wp:positionV relativeFrom="paragraph">
              <wp:posOffset>307975</wp:posOffset>
            </wp:positionV>
            <wp:extent cx="2390140" cy="2390140"/>
            <wp:effectExtent l="0" t="0" r="0" b="0"/>
            <wp:wrapSquare wrapText="bothSides"/>
            <wp:docPr id="3" name="Рисунок 3" descr="Жаровня» на замку - Ресторан у Льв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Жаровня» на замку - Ресторан у Львів"/>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2390140" cy="23901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F0419">
        <w:rPr>
          <w:rFonts w:ascii="Times New Roman" w:hAnsi="Times New Roman" w:cs="Times New Roman"/>
          <w:iCs/>
          <w:sz w:val="28"/>
          <w:szCs w:val="28"/>
          <w:lang w:val="uk-UA"/>
        </w:rPr>
        <w:t>Система цінностей</w:t>
      </w:r>
      <w:r w:rsidRPr="005F0419">
        <w:rPr>
          <w:rFonts w:ascii="Times New Roman" w:hAnsi="Times New Roman" w:cs="Times New Roman"/>
          <w:sz w:val="28"/>
          <w:szCs w:val="28"/>
          <w:lang w:val="uk-UA"/>
        </w:rPr>
        <w:t xml:space="preserve"> ресторану проявляється у командній взаємодії, де кожен готовий допомогти один одному. Саме завдяки побудові такій системі цінностей у закладі – гості задоволені привітністю, компетентністю та увагою з боку працівників ресторану. Дуже вдалим, на нашу думку, є тип звернення до гостей у меню ресторану – «друзі». Ми вважаємо, що цей елемент – також є частиною системи цінностей закладу, так як вибудовується дружня атмосфера у комунікації між гостем та персоналом. </w:t>
      </w:r>
    </w:p>
    <w:p w14:paraId="3253A13C" w14:textId="77777777" w:rsidR="00D42F9E" w:rsidRPr="005F0419" w:rsidRDefault="00D42F9E" w:rsidP="00D42F9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Спеціалізація ресторану – це страви на мангалі, але це не лише м’ясо та риба, а й великий вибір овочів та неймовірні хачапурі з хрусткою скоринкою та тягучим розплавленим сиром </w:t>
      </w:r>
      <w:proofErr w:type="spellStart"/>
      <w:r w:rsidRPr="005F0419">
        <w:rPr>
          <w:rFonts w:ascii="Times New Roman" w:hAnsi="Times New Roman" w:cs="Times New Roman"/>
          <w:sz w:val="28"/>
          <w:szCs w:val="28"/>
          <w:lang w:val="uk-UA"/>
        </w:rPr>
        <w:t>сулугуні</w:t>
      </w:r>
      <w:proofErr w:type="spellEnd"/>
      <w:r w:rsidRPr="005F0419">
        <w:rPr>
          <w:rFonts w:ascii="Times New Roman" w:hAnsi="Times New Roman" w:cs="Times New Roman"/>
          <w:sz w:val="28"/>
          <w:szCs w:val="28"/>
          <w:lang w:val="uk-UA"/>
        </w:rPr>
        <w:t xml:space="preserve">. Також наголошують на доброму вині, яке називають справжнім напоєм до м’яса. Пропонують пляшкове чи бочкове від місцевих виробників – гість точно знайде своє ідеальне, а персонал ресторану обіцяє пильнувати, щоб його завжди було вдосталь у винному погребі. </w:t>
      </w:r>
    </w:p>
    <w:p w14:paraId="4D5D5875" w14:textId="77777777" w:rsidR="00D42F9E" w:rsidRPr="005F0419" w:rsidRDefault="00D42F9E" w:rsidP="00D42F9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lang w:val="uk-UA"/>
        </w:rPr>
        <w:t>Місія закладу</w:t>
      </w:r>
      <w:r w:rsidRPr="005F0419">
        <w:rPr>
          <w:rFonts w:ascii="Times New Roman" w:hAnsi="Times New Roman" w:cs="Times New Roman"/>
          <w:i/>
          <w:sz w:val="28"/>
          <w:szCs w:val="28"/>
          <w:lang w:val="uk-UA"/>
        </w:rPr>
        <w:t xml:space="preserve"> – </w:t>
      </w:r>
      <w:r w:rsidRPr="005F0419">
        <w:rPr>
          <w:rFonts w:ascii="Times New Roman" w:hAnsi="Times New Roman" w:cs="Times New Roman"/>
          <w:sz w:val="28"/>
          <w:szCs w:val="28"/>
          <w:lang w:val="uk-UA"/>
        </w:rPr>
        <w:t>«подарувати Вам найкращі емоції».</w:t>
      </w:r>
    </w:p>
    <w:p w14:paraId="51ABC144"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Екстер’єр.</w:t>
      </w:r>
      <w:r w:rsidRPr="005F0419">
        <w:rPr>
          <w:rFonts w:ascii="Times New Roman" w:hAnsi="Times New Roman" w:cs="Times New Roman"/>
          <w:sz w:val="28"/>
          <w:szCs w:val="28"/>
          <w:lang w:val="uk-UA"/>
        </w:rPr>
        <w:t xml:space="preserve"> Ресторан розташований у підніжжі «Високого замку», що захоплює своїми краєвидами. Будівля складається із двох поверхів, збудованих у стилі старовинного замку із використанням каменю, кованих виробів, чорними елементами покриття будівлі. Перший поверх закритий великими скляними вікнами, що надає ресторану сучасного вигляду.</w:t>
      </w:r>
    </w:p>
    <w:p w14:paraId="4CDD73F1" w14:textId="53B9F219"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 території закладу розміщений дитячий майданчик, закрита альтанка, три відкриті альтанки, поряд – велике </w:t>
      </w:r>
      <w:proofErr w:type="spellStart"/>
      <w:r w:rsidRPr="005F0419">
        <w:rPr>
          <w:rFonts w:ascii="Times New Roman" w:hAnsi="Times New Roman" w:cs="Times New Roman"/>
          <w:sz w:val="28"/>
          <w:szCs w:val="28"/>
          <w:lang w:val="uk-UA"/>
        </w:rPr>
        <w:t>паркомісце</w:t>
      </w:r>
      <w:proofErr w:type="spellEnd"/>
      <w:r w:rsidRPr="005F0419">
        <w:rPr>
          <w:rFonts w:ascii="Times New Roman" w:hAnsi="Times New Roman" w:cs="Times New Roman"/>
          <w:sz w:val="28"/>
          <w:szCs w:val="28"/>
          <w:lang w:val="uk-UA"/>
        </w:rPr>
        <w:t xml:space="preserve"> для автомобілів. </w:t>
      </w:r>
      <w:r w:rsidRPr="005F0419">
        <w:rPr>
          <w:rFonts w:ascii="Times New Roman" w:hAnsi="Times New Roman" w:cs="Times New Roman"/>
          <w:iCs/>
          <w:sz w:val="28"/>
          <w:szCs w:val="28"/>
          <w:lang w:val="uk-UA"/>
        </w:rPr>
        <w:t xml:space="preserve">Інтер’єр </w:t>
      </w:r>
      <w:r w:rsidRPr="005F0419">
        <w:rPr>
          <w:rFonts w:ascii="Times New Roman" w:hAnsi="Times New Roman" w:cs="Times New Roman"/>
          <w:sz w:val="28"/>
          <w:szCs w:val="28"/>
          <w:lang w:val="uk-UA"/>
        </w:rPr>
        <w:t xml:space="preserve">ресторану зроблений у стилі рококо із поєднаннями елементів сучасності: використано золотисту ліпнину, картини, натуральне дерево, ковані світильники, цікаві декорації, натуральні рослини. Кількість місць для розміщення гостей – 80 (перший поверх – 20 осіб, другий – 60). У ресторані є бенкетний зал, який розрахований на 45 місць та </w:t>
      </w:r>
      <w:proofErr w:type="spellStart"/>
      <w:r w:rsidRPr="005F0419">
        <w:rPr>
          <w:rFonts w:ascii="Times New Roman" w:hAnsi="Times New Roman" w:cs="Times New Roman"/>
          <w:sz w:val="28"/>
          <w:szCs w:val="28"/>
          <w:lang w:val="uk-UA"/>
        </w:rPr>
        <w:t>vip</w:t>
      </w:r>
      <w:proofErr w:type="spellEnd"/>
      <w:r w:rsidRPr="005F0419">
        <w:rPr>
          <w:rFonts w:ascii="Times New Roman" w:hAnsi="Times New Roman" w:cs="Times New Roman"/>
          <w:sz w:val="28"/>
          <w:szCs w:val="28"/>
          <w:lang w:val="uk-UA"/>
        </w:rPr>
        <w:t xml:space="preserve">-кімната – на 10 осіб, закрита альтанка – на 25, відкриті – по 10 осіб у кожній. Вбиральня також виконана у стилі поєднання рококо із елементами сучасності, із великими дзеркалами та усіма зручностями для гостя. Кухня – велика, зручна для персоналу; простора </w:t>
      </w:r>
      <w:proofErr w:type="spellStart"/>
      <w:r w:rsidRPr="005F0419">
        <w:rPr>
          <w:rFonts w:ascii="Times New Roman" w:hAnsi="Times New Roman" w:cs="Times New Roman"/>
          <w:sz w:val="28"/>
          <w:szCs w:val="28"/>
          <w:lang w:val="uk-UA"/>
        </w:rPr>
        <w:t>барна</w:t>
      </w:r>
      <w:proofErr w:type="spellEnd"/>
      <w:r w:rsidRPr="005F0419">
        <w:rPr>
          <w:rFonts w:ascii="Times New Roman" w:hAnsi="Times New Roman" w:cs="Times New Roman"/>
          <w:sz w:val="28"/>
          <w:szCs w:val="28"/>
          <w:lang w:val="uk-UA"/>
        </w:rPr>
        <w:t xml:space="preserve"> стійка, поряд </w:t>
      </w:r>
      <w:proofErr w:type="spellStart"/>
      <w:r w:rsidRPr="005F0419">
        <w:rPr>
          <w:rFonts w:ascii="Times New Roman" w:hAnsi="Times New Roman" w:cs="Times New Roman"/>
          <w:sz w:val="28"/>
          <w:szCs w:val="28"/>
          <w:lang w:val="uk-UA"/>
        </w:rPr>
        <w:t>хоспер</w:t>
      </w:r>
      <w:proofErr w:type="spellEnd"/>
      <w:r w:rsidRPr="005F0419">
        <w:rPr>
          <w:rFonts w:ascii="Times New Roman" w:hAnsi="Times New Roman" w:cs="Times New Roman"/>
          <w:sz w:val="28"/>
          <w:szCs w:val="28"/>
          <w:lang w:val="uk-UA"/>
        </w:rPr>
        <w:t xml:space="preserve">. У закладі  дуже </w:t>
      </w:r>
      <w:proofErr w:type="spellStart"/>
      <w:r w:rsidRPr="005F0419">
        <w:rPr>
          <w:rFonts w:ascii="Times New Roman" w:hAnsi="Times New Roman" w:cs="Times New Roman"/>
          <w:sz w:val="28"/>
          <w:szCs w:val="28"/>
          <w:lang w:val="uk-UA"/>
        </w:rPr>
        <w:t>атмосферно</w:t>
      </w:r>
      <w:proofErr w:type="spellEnd"/>
      <w:r w:rsidRPr="005F0419">
        <w:rPr>
          <w:rFonts w:ascii="Times New Roman" w:hAnsi="Times New Roman" w:cs="Times New Roman"/>
          <w:sz w:val="28"/>
          <w:szCs w:val="28"/>
          <w:lang w:val="uk-UA"/>
        </w:rPr>
        <w:t xml:space="preserve"> та затишно. </w:t>
      </w:r>
    </w:p>
    <w:p w14:paraId="66B5B34C" w14:textId="0211CAE0" w:rsidR="00A55004" w:rsidRPr="005F0419" w:rsidRDefault="000F5283"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noProof/>
          <w:sz w:val="28"/>
          <w:szCs w:val="28"/>
          <w:lang w:val="uk-UA" w:eastAsia="uk-UA"/>
        </w:rPr>
        <w:lastRenderedPageBreak/>
        <w:drawing>
          <wp:anchor distT="0" distB="0" distL="114300" distR="114300" simplePos="0" relativeHeight="251702272" behindDoc="0" locked="0" layoutInCell="1" allowOverlap="1" wp14:anchorId="29BC7FE8" wp14:editId="53BBB7F5">
            <wp:simplePos x="0" y="0"/>
            <wp:positionH relativeFrom="column">
              <wp:posOffset>0</wp:posOffset>
            </wp:positionH>
            <wp:positionV relativeFrom="paragraph">
              <wp:posOffset>307340</wp:posOffset>
            </wp:positionV>
            <wp:extent cx="4083685" cy="1840230"/>
            <wp:effectExtent l="0" t="0" r="0" b="7620"/>
            <wp:wrapSquare wrapText="bothSides"/>
            <wp:docPr id="653531993" name="Рисунок 653531993" descr="Посмотрите на внутренний интерьер &amp;quot;Жаровня На Замку&amp;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Посмотрите на внутренний интерьер &amp;quot;Жаровня На Замку&amp;quot;"/>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4083685" cy="1840230"/>
                    </a:xfrm>
                    <a:prstGeom prst="rect">
                      <a:avLst/>
                    </a:prstGeom>
                    <a:noFill/>
                    <a:ln>
                      <a:noFill/>
                    </a:ln>
                  </pic:spPr>
                </pic:pic>
              </a:graphicData>
            </a:graphic>
            <wp14:sizeRelH relativeFrom="page">
              <wp14:pctWidth>0</wp14:pctWidth>
            </wp14:sizeRelH>
            <wp14:sizeRelV relativeFrom="page">
              <wp14:pctHeight>0</wp14:pctHeight>
            </wp14:sizeRelV>
          </wp:anchor>
        </w:drawing>
      </w:r>
      <w:r w:rsidR="00A55004" w:rsidRPr="005F0419">
        <w:rPr>
          <w:rFonts w:ascii="Times New Roman" w:hAnsi="Times New Roman" w:cs="Times New Roman"/>
          <w:iCs/>
          <w:sz w:val="28"/>
          <w:szCs w:val="28"/>
          <w:lang w:val="uk-UA"/>
        </w:rPr>
        <w:t>Меню ресторану</w:t>
      </w:r>
      <w:r w:rsidR="00A55004" w:rsidRPr="005F0419">
        <w:rPr>
          <w:rFonts w:ascii="Times New Roman" w:hAnsi="Times New Roman" w:cs="Times New Roman"/>
          <w:sz w:val="28"/>
          <w:szCs w:val="28"/>
          <w:lang w:val="uk-UA"/>
        </w:rPr>
        <w:t xml:space="preserve"> достатньо різноманітне, але у більшій мірі пропонується гостям страви із м’яса. Так, до 13 год гості можуть замовити сніданки; достатня кількість традиційний салатів, холодних закусок, гарячих закусок, серед яких хачапурі, які отримали багато позитивних відгуків від гостей. Звісно, родзинкою закладу є страви на мангалі, на якому готують страви із баранини, свинини, телятини, курятини та риби. Велике різноманіття вин – ще одна особливість ресторану, де кожен офіціант, бармен </w:t>
      </w:r>
      <w:proofErr w:type="spellStart"/>
      <w:r w:rsidR="00A55004" w:rsidRPr="005F0419">
        <w:rPr>
          <w:rFonts w:ascii="Times New Roman" w:hAnsi="Times New Roman" w:cs="Times New Roman"/>
          <w:sz w:val="28"/>
          <w:szCs w:val="28"/>
          <w:lang w:val="uk-UA"/>
        </w:rPr>
        <w:t>компетентно</w:t>
      </w:r>
      <w:proofErr w:type="spellEnd"/>
      <w:r w:rsidR="00A55004" w:rsidRPr="005F0419">
        <w:rPr>
          <w:rFonts w:ascii="Times New Roman" w:hAnsi="Times New Roman" w:cs="Times New Roman"/>
          <w:sz w:val="28"/>
          <w:szCs w:val="28"/>
          <w:lang w:val="uk-UA"/>
        </w:rPr>
        <w:t xml:space="preserve"> обізнані, які вина і до яких страв запропонувати гостеві [34</w:t>
      </w:r>
      <w:r w:rsidRPr="005F0419">
        <w:rPr>
          <w:rFonts w:ascii="Times New Roman" w:hAnsi="Times New Roman" w:cs="Times New Roman"/>
          <w:sz w:val="28"/>
          <w:szCs w:val="28"/>
          <w:lang w:val="uk-UA"/>
        </w:rPr>
        <w:t>-</w:t>
      </w:r>
      <w:r w:rsidR="00A55004" w:rsidRPr="005F0419">
        <w:rPr>
          <w:rFonts w:ascii="Times New Roman" w:hAnsi="Times New Roman" w:cs="Times New Roman"/>
          <w:sz w:val="28"/>
          <w:szCs w:val="28"/>
          <w:lang w:val="uk-UA"/>
        </w:rPr>
        <w:t>36].</w:t>
      </w:r>
    </w:p>
    <w:p w14:paraId="63AC6723"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lang w:val="uk-UA"/>
        </w:rPr>
        <w:t>Цифровий маркетинг.</w:t>
      </w:r>
      <w:r w:rsidRPr="005F0419">
        <w:rPr>
          <w:rFonts w:ascii="Times New Roman" w:hAnsi="Times New Roman" w:cs="Times New Roman"/>
          <w:i/>
          <w:sz w:val="28"/>
          <w:szCs w:val="28"/>
          <w:lang w:val="uk-UA"/>
        </w:rPr>
        <w:t xml:space="preserve"> </w:t>
      </w:r>
      <w:r w:rsidRPr="005F0419">
        <w:rPr>
          <w:rFonts w:ascii="Times New Roman" w:hAnsi="Times New Roman" w:cs="Times New Roman"/>
          <w:sz w:val="28"/>
          <w:szCs w:val="28"/>
          <w:lang w:val="uk-UA"/>
        </w:rPr>
        <w:t>Серед структурних елементів цифрового маркетингу, на сьогодні, ресторан «Жаровня на Замку» використовує соціальні мережі «</w:t>
      </w:r>
      <w:proofErr w:type="spellStart"/>
      <w:r w:rsidRPr="005F0419">
        <w:rPr>
          <w:rFonts w:ascii="Times New Roman" w:hAnsi="Times New Roman" w:cs="Times New Roman"/>
          <w:sz w:val="28"/>
          <w:szCs w:val="28"/>
          <w:lang w:val="uk-UA"/>
        </w:rPr>
        <w:t>Facebook</w:t>
      </w:r>
      <w:proofErr w:type="spellEnd"/>
      <w:r w:rsidRPr="005F0419">
        <w:rPr>
          <w:rFonts w:ascii="Times New Roman" w:hAnsi="Times New Roman" w:cs="Times New Roman"/>
          <w:sz w:val="28"/>
          <w:szCs w:val="28"/>
          <w:lang w:val="uk-UA"/>
        </w:rPr>
        <w:t>», «</w:t>
      </w:r>
      <w:proofErr w:type="spellStart"/>
      <w:r w:rsidRPr="005F0419">
        <w:rPr>
          <w:rFonts w:ascii="Times New Roman" w:hAnsi="Times New Roman" w:cs="Times New Roman"/>
          <w:sz w:val="28"/>
          <w:szCs w:val="28"/>
          <w:lang w:val="uk-UA"/>
        </w:rPr>
        <w:t>Instagram</w:t>
      </w:r>
      <w:proofErr w:type="spellEnd"/>
      <w:r w:rsidRPr="005F0419">
        <w:rPr>
          <w:rFonts w:ascii="Times New Roman" w:hAnsi="Times New Roman" w:cs="Times New Roman"/>
          <w:sz w:val="28"/>
          <w:szCs w:val="28"/>
          <w:lang w:val="uk-UA"/>
        </w:rPr>
        <w:t xml:space="preserve">». Керівник закладу особисто веде сторінки, дуже часто оновлює інформацію, ознайомлює підписників щодо оновленого меню, швидко та </w:t>
      </w:r>
      <w:proofErr w:type="spellStart"/>
      <w:r w:rsidRPr="005F0419">
        <w:rPr>
          <w:rFonts w:ascii="Times New Roman" w:hAnsi="Times New Roman" w:cs="Times New Roman"/>
          <w:sz w:val="28"/>
          <w:szCs w:val="28"/>
          <w:lang w:val="uk-UA"/>
        </w:rPr>
        <w:t>компетентно</w:t>
      </w:r>
      <w:proofErr w:type="spellEnd"/>
      <w:r w:rsidRPr="005F0419">
        <w:rPr>
          <w:rFonts w:ascii="Times New Roman" w:hAnsi="Times New Roman" w:cs="Times New Roman"/>
          <w:sz w:val="28"/>
          <w:szCs w:val="28"/>
          <w:lang w:val="uk-UA"/>
        </w:rPr>
        <w:t xml:space="preserve"> дає відповідь на будь який відгук. </w:t>
      </w:r>
    </w:p>
    <w:p w14:paraId="67FDA592"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lang w:val="uk-UA"/>
        </w:rPr>
        <w:t>Стиль управління.</w:t>
      </w:r>
      <w:r w:rsidRPr="005F0419">
        <w:rPr>
          <w:rFonts w:ascii="Times New Roman" w:hAnsi="Times New Roman" w:cs="Times New Roman"/>
          <w:sz w:val="28"/>
          <w:szCs w:val="28"/>
          <w:lang w:val="uk-UA"/>
        </w:rPr>
        <w:t xml:space="preserve"> У ресторані «Жаровня на Замку» домінує демократичний стиль, який характеризуються високим ступенем децентралізації повноважень. Тут підлеглі беруть активну участь у прийнятті рішень під час що понеділкових нарад і користуються широкою свободою у виконанні повноважень. Керівник дозволяє підлеглим визначити свої власні цілі у відповідності з тими, які він сформулював. Замість того щоб здійснювати жорсткий контроль за підлеглими в процесі їх роботи, менеджер чекає, коли робота буде виконана до кінця, щоб провести її оцінку. У ресторації керівник діє як сполучна ланка, забезпечуючи відповідність цілей організації в цілому [37]. </w:t>
      </w:r>
    </w:p>
    <w:p w14:paraId="08C5B58C" w14:textId="1322DEB8" w:rsidR="00A55004"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lang w:val="uk-UA"/>
        </w:rPr>
        <w:t>Організаційна структура</w:t>
      </w:r>
      <w:r w:rsidRPr="005F0419">
        <w:rPr>
          <w:rFonts w:ascii="Times New Roman" w:hAnsi="Times New Roman" w:cs="Times New Roman"/>
          <w:i/>
          <w:sz w:val="28"/>
          <w:szCs w:val="28"/>
          <w:lang w:val="uk-UA"/>
        </w:rPr>
        <w:t>.</w:t>
      </w:r>
      <w:r w:rsidRPr="005F0419">
        <w:rPr>
          <w:rFonts w:ascii="Times New Roman" w:hAnsi="Times New Roman" w:cs="Times New Roman"/>
          <w:sz w:val="28"/>
          <w:szCs w:val="28"/>
          <w:lang w:val="uk-UA"/>
        </w:rPr>
        <w:t xml:space="preserve"> Організаційна структура ресторану забезпечує стабільність функціонування системи управління, завдяки чому підприємство ритмічно працює незалежно від впливу зовнішніх і внутрішніх факторів. </w:t>
      </w:r>
      <w:r w:rsidRPr="005F0419">
        <w:rPr>
          <w:rFonts w:ascii="Times New Roman" w:hAnsi="Times New Roman" w:cs="Times New Roman"/>
          <w:sz w:val="28"/>
          <w:szCs w:val="28"/>
          <w:lang w:val="uk-UA"/>
        </w:rPr>
        <w:lastRenderedPageBreak/>
        <w:t xml:space="preserve">Створення організаційної структури закладу зумовлене необхідністю розподілу прав і обов'язків між окремими підрозділами організації. Оптимальною є структура, що дає змогу підприємству ефективно взаємодіяти з зовнішнім середовищем, </w:t>
      </w:r>
      <w:proofErr w:type="spellStart"/>
      <w:r w:rsidRPr="005F0419">
        <w:rPr>
          <w:rFonts w:ascii="Times New Roman" w:hAnsi="Times New Roman" w:cs="Times New Roman"/>
          <w:sz w:val="28"/>
          <w:szCs w:val="28"/>
          <w:lang w:val="uk-UA"/>
        </w:rPr>
        <w:t>продуктивно</w:t>
      </w:r>
      <w:proofErr w:type="spellEnd"/>
      <w:r w:rsidRPr="005F0419">
        <w:rPr>
          <w:rFonts w:ascii="Times New Roman" w:hAnsi="Times New Roman" w:cs="Times New Roman"/>
          <w:sz w:val="28"/>
          <w:szCs w:val="28"/>
          <w:lang w:val="uk-UA"/>
        </w:rPr>
        <w:t xml:space="preserve"> та доцільно розподіляти та спрямовувати зусилля працівників, задовольняючи попит споживачів послуг і продукції та досягаючи визначених цілей з високою ефективністю.</w:t>
      </w:r>
    </w:p>
    <w:p w14:paraId="57D54970" w14:textId="77777777" w:rsidR="00D42F9E" w:rsidRPr="005F0419" w:rsidRDefault="00D42F9E" w:rsidP="00D42F9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Ми дослідили, що для ресторану «Жаровня на замку» притаманна лінійна організаційна структура. </w:t>
      </w:r>
      <w:r w:rsidRPr="005F0419">
        <w:rPr>
          <w:rFonts w:ascii="Times New Roman" w:hAnsi="Times New Roman" w:cs="Times New Roman"/>
          <w:bCs/>
          <w:sz w:val="28"/>
          <w:szCs w:val="28"/>
          <w:lang w:val="uk-UA"/>
        </w:rPr>
        <w:t>Лінійна структура управління</w:t>
      </w:r>
      <w:r w:rsidRPr="005F0419">
        <w:rPr>
          <w:rFonts w:ascii="Times New Roman" w:hAnsi="Times New Roman" w:cs="Times New Roman"/>
          <w:b/>
          <w:bCs/>
          <w:sz w:val="28"/>
          <w:szCs w:val="28"/>
          <w:lang w:val="uk-UA"/>
        </w:rPr>
        <w:t> </w:t>
      </w:r>
      <w:r w:rsidRPr="005F0419">
        <w:rPr>
          <w:rFonts w:ascii="Times New Roman" w:hAnsi="Times New Roman" w:cs="Times New Roman"/>
          <w:sz w:val="28"/>
          <w:szCs w:val="28"/>
          <w:lang w:val="uk-UA"/>
        </w:rPr>
        <w:t>базується на зосередженні всіх ви</w:t>
      </w:r>
      <w:r w:rsidRPr="005F0419">
        <w:rPr>
          <w:rFonts w:ascii="Times New Roman" w:hAnsi="Times New Roman" w:cs="Times New Roman"/>
          <w:sz w:val="28"/>
          <w:szCs w:val="28"/>
          <w:lang w:val="uk-UA"/>
        </w:rPr>
        <w:softHyphen/>
        <w:t xml:space="preserve">робничих та управлінських функцій в руках одного керівника. Тобто, директору ресторану безпосередньо підпорядковуються: адміністратори, офіціанти, бармени, </w:t>
      </w:r>
      <w:proofErr w:type="spellStart"/>
      <w:r w:rsidRPr="005F0419">
        <w:rPr>
          <w:rFonts w:ascii="Times New Roman" w:hAnsi="Times New Roman" w:cs="Times New Roman"/>
          <w:sz w:val="28"/>
          <w:szCs w:val="28"/>
          <w:lang w:val="uk-UA"/>
        </w:rPr>
        <w:t>мангальщики</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кухарі</w:t>
      </w:r>
      <w:proofErr w:type="spellEnd"/>
      <w:r w:rsidRPr="005F0419">
        <w:rPr>
          <w:rFonts w:ascii="Times New Roman" w:hAnsi="Times New Roman" w:cs="Times New Roman"/>
          <w:sz w:val="28"/>
          <w:szCs w:val="28"/>
          <w:lang w:val="uk-UA"/>
        </w:rPr>
        <w:t>, мийники посуду, бухгалтер. Така організаційна структура орієнтує на надто високі вимоги до компетентності керівника з усіх питань (рис.6).</w:t>
      </w:r>
    </w:p>
    <w:p w14:paraId="5C47F96E" w14:textId="29A015EE" w:rsidR="00A55004" w:rsidRPr="005F0419" w:rsidRDefault="000F5283"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rPr>
        <mc:AlternateContent>
          <mc:Choice Requires="wpg">
            <w:drawing>
              <wp:anchor distT="0" distB="0" distL="114300" distR="114300" simplePos="0" relativeHeight="251704320" behindDoc="0" locked="0" layoutInCell="1" allowOverlap="1" wp14:anchorId="7D76036E" wp14:editId="1618E132">
                <wp:simplePos x="0" y="0"/>
                <wp:positionH relativeFrom="column">
                  <wp:posOffset>1088832</wp:posOffset>
                </wp:positionH>
                <wp:positionV relativeFrom="paragraph">
                  <wp:posOffset>8200</wp:posOffset>
                </wp:positionV>
                <wp:extent cx="4750904" cy="4114800"/>
                <wp:effectExtent l="0" t="0" r="12065" b="19050"/>
                <wp:wrapNone/>
                <wp:docPr id="43" name="Группа 43"/>
                <wp:cNvGraphicFramePr/>
                <a:graphic xmlns:a="http://schemas.openxmlformats.org/drawingml/2006/main">
                  <a:graphicData uri="http://schemas.microsoft.com/office/word/2010/wordprocessingGroup">
                    <wpg:wgp>
                      <wpg:cNvGrpSpPr/>
                      <wpg:grpSpPr>
                        <a:xfrm>
                          <a:off x="0" y="0"/>
                          <a:ext cx="4750904" cy="4114800"/>
                          <a:chOff x="0" y="0"/>
                          <a:chExt cx="3301199" cy="4418772"/>
                        </a:xfrm>
                      </wpg:grpSpPr>
                      <wps:wsp>
                        <wps:cNvPr id="653531983" name="Скругленный прямоугольник 2"/>
                        <wps:cNvSpPr>
                          <a:spLocks/>
                        </wps:cNvSpPr>
                        <wps:spPr>
                          <a:xfrm>
                            <a:off x="407504" y="0"/>
                            <a:ext cx="2893695" cy="375285"/>
                          </a:xfrm>
                          <a:prstGeom prst="roundRect">
                            <a:avLst/>
                          </a:prstGeom>
                          <a:solidFill>
                            <a:sysClr val="window" lastClr="FFFFFF"/>
                          </a:solidFill>
                          <a:ln w="9525" cap="flat" cmpd="sng" algn="ctr">
                            <a:solidFill>
                              <a:sysClr val="windowText" lastClr="000000"/>
                            </a:solidFill>
                            <a:prstDash val="solid"/>
                          </a:ln>
                          <a:effectLst/>
                        </wps:spPr>
                        <wps:txbx>
                          <w:txbxContent>
                            <w:p w14:paraId="43EE13AE" w14:textId="77777777" w:rsidR="00571B42" w:rsidRPr="000F5283" w:rsidRDefault="00571B42" w:rsidP="00A55004">
                              <w:pPr>
                                <w:jc w:val="center"/>
                                <w:rPr>
                                  <w:rFonts w:ascii="Times New Roman" w:hAnsi="Times New Roman" w:cs="Times New Roman"/>
                                  <w:bCs/>
                                  <w:sz w:val="28"/>
                                  <w:szCs w:val="28"/>
                                </w:rPr>
                              </w:pPr>
                              <w:r w:rsidRPr="000F5283">
                                <w:rPr>
                                  <w:rFonts w:ascii="Times New Roman" w:hAnsi="Times New Roman" w:cs="Times New Roman"/>
                                  <w:bCs/>
                                  <w:sz w:val="28"/>
                                  <w:szCs w:val="28"/>
                                </w:rPr>
                                <w:t>Керівник ресторану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3531984" name="Скругленный прямоугольник 4"/>
                        <wps:cNvSpPr>
                          <a:spLocks/>
                        </wps:cNvSpPr>
                        <wps:spPr>
                          <a:xfrm>
                            <a:off x="944217" y="695739"/>
                            <a:ext cx="2025650" cy="323850"/>
                          </a:xfrm>
                          <a:prstGeom prst="roundRect">
                            <a:avLst/>
                          </a:prstGeom>
                          <a:solidFill>
                            <a:sysClr val="window" lastClr="FFFFFF"/>
                          </a:solidFill>
                          <a:ln w="9525" cap="flat" cmpd="sng" algn="ctr">
                            <a:solidFill>
                              <a:sysClr val="windowText" lastClr="000000"/>
                            </a:solidFill>
                            <a:prstDash val="solid"/>
                          </a:ln>
                          <a:effectLst/>
                        </wps:spPr>
                        <wps:txbx>
                          <w:txbxContent>
                            <w:p w14:paraId="1F75DEB1"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бухгалтер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3531986" name="Скругленный прямоугольник 11"/>
                        <wps:cNvSpPr>
                          <a:spLocks/>
                        </wps:cNvSpPr>
                        <wps:spPr>
                          <a:xfrm>
                            <a:off x="944217" y="1262269"/>
                            <a:ext cx="2025650" cy="323850"/>
                          </a:xfrm>
                          <a:prstGeom prst="roundRect">
                            <a:avLst/>
                          </a:prstGeom>
                          <a:solidFill>
                            <a:sysClr val="window" lastClr="FFFFFF"/>
                          </a:solidFill>
                          <a:ln w="9525" cap="flat" cmpd="sng" algn="ctr">
                            <a:solidFill>
                              <a:sysClr val="windowText" lastClr="000000"/>
                            </a:solidFill>
                            <a:prstDash val="solid"/>
                          </a:ln>
                          <a:effectLst/>
                        </wps:spPr>
                        <wps:txbx>
                          <w:txbxContent>
                            <w:p w14:paraId="07ECF609"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адміністратор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3531987" name="Скругленный прямоугольник 12"/>
                        <wps:cNvSpPr>
                          <a:spLocks/>
                        </wps:cNvSpPr>
                        <wps:spPr>
                          <a:xfrm>
                            <a:off x="944217" y="1719469"/>
                            <a:ext cx="2025015" cy="323850"/>
                          </a:xfrm>
                          <a:prstGeom prst="roundRect">
                            <a:avLst/>
                          </a:prstGeom>
                          <a:solidFill>
                            <a:sysClr val="window" lastClr="FFFFFF"/>
                          </a:solidFill>
                          <a:ln w="9525" cap="flat" cmpd="sng" algn="ctr">
                            <a:solidFill>
                              <a:sysClr val="windowText" lastClr="000000"/>
                            </a:solidFill>
                            <a:prstDash val="solid"/>
                          </a:ln>
                          <a:effectLst/>
                        </wps:spPr>
                        <wps:txbx>
                          <w:txbxContent>
                            <w:p w14:paraId="28A7608F"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бармен</w:t>
                              </w:r>
                            </w:p>
                            <w:p w14:paraId="383004A6" w14:textId="77777777" w:rsidR="00571B42" w:rsidRPr="000F5283" w:rsidRDefault="00571B42" w:rsidP="00A55004">
                              <w:pPr>
                                <w:jc w:val="center"/>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3531988" name="Скругленный прямоугольник 13"/>
                        <wps:cNvSpPr>
                          <a:spLocks/>
                        </wps:cNvSpPr>
                        <wps:spPr>
                          <a:xfrm>
                            <a:off x="964095" y="2286000"/>
                            <a:ext cx="2025015" cy="323850"/>
                          </a:xfrm>
                          <a:prstGeom prst="roundRect">
                            <a:avLst/>
                          </a:prstGeom>
                          <a:solidFill>
                            <a:sysClr val="window" lastClr="FFFFFF"/>
                          </a:solidFill>
                          <a:ln w="9525" cap="flat" cmpd="sng" algn="ctr">
                            <a:solidFill>
                              <a:sysClr val="windowText" lastClr="000000"/>
                            </a:solidFill>
                            <a:prstDash val="solid"/>
                          </a:ln>
                          <a:effectLst/>
                        </wps:spPr>
                        <wps:txbx>
                          <w:txbxContent>
                            <w:p w14:paraId="252F1EB6"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офіціант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3531989" name="Скругленный прямоугольник 14"/>
                        <wps:cNvSpPr>
                          <a:spLocks/>
                        </wps:cNvSpPr>
                        <wps:spPr>
                          <a:xfrm>
                            <a:off x="964095" y="2872408"/>
                            <a:ext cx="2025015" cy="323850"/>
                          </a:xfrm>
                          <a:prstGeom prst="roundRect">
                            <a:avLst/>
                          </a:prstGeom>
                          <a:solidFill>
                            <a:sysClr val="window" lastClr="FFFFFF"/>
                          </a:solidFill>
                          <a:ln w="9525" cap="flat" cmpd="sng" algn="ctr">
                            <a:solidFill>
                              <a:sysClr val="windowText" lastClr="000000"/>
                            </a:solidFill>
                            <a:prstDash val="solid"/>
                          </a:ln>
                          <a:effectLst/>
                        </wps:spPr>
                        <wps:txbx>
                          <w:txbxContent>
                            <w:p w14:paraId="1BB9EDC2"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мангальщик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3531990" name="Скругленный прямоугольник 15"/>
                        <wps:cNvSpPr>
                          <a:spLocks/>
                        </wps:cNvSpPr>
                        <wps:spPr>
                          <a:xfrm>
                            <a:off x="944217" y="3488635"/>
                            <a:ext cx="2025015" cy="323850"/>
                          </a:xfrm>
                          <a:prstGeom prst="roundRect">
                            <a:avLst/>
                          </a:prstGeom>
                          <a:solidFill>
                            <a:sysClr val="window" lastClr="FFFFFF"/>
                          </a:solidFill>
                          <a:ln w="9525" cap="flat" cmpd="sng" algn="ctr">
                            <a:solidFill>
                              <a:sysClr val="windowText" lastClr="000000"/>
                            </a:solidFill>
                            <a:prstDash val="solid"/>
                          </a:ln>
                          <a:effectLst/>
                        </wps:spPr>
                        <wps:txbx>
                          <w:txbxContent>
                            <w:p w14:paraId="46E2E373"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кухар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3531991" name="Скругленный прямоугольник 16"/>
                        <wps:cNvSpPr>
                          <a:spLocks/>
                        </wps:cNvSpPr>
                        <wps:spPr>
                          <a:xfrm>
                            <a:off x="964095" y="4094922"/>
                            <a:ext cx="2025015" cy="323850"/>
                          </a:xfrm>
                          <a:prstGeom prst="roundRect">
                            <a:avLst/>
                          </a:prstGeom>
                          <a:solidFill>
                            <a:sysClr val="window" lastClr="FFFFFF"/>
                          </a:solidFill>
                          <a:ln w="9525" cap="flat" cmpd="sng" algn="ctr">
                            <a:solidFill>
                              <a:sysClr val="windowText" lastClr="000000"/>
                            </a:solidFill>
                            <a:prstDash val="solid"/>
                          </a:ln>
                          <a:effectLst/>
                        </wps:spPr>
                        <wps:txbx>
                          <w:txbxContent>
                            <w:p w14:paraId="093C808E"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мийник посуду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рямая соединительная линия 17"/>
                        <wps:cNvCnPr>
                          <a:cxnSpLocks/>
                        </wps:cNvCnPr>
                        <wps:spPr>
                          <a:xfrm flipH="1">
                            <a:off x="29817" y="119269"/>
                            <a:ext cx="375285" cy="0"/>
                          </a:xfrm>
                          <a:prstGeom prst="line">
                            <a:avLst/>
                          </a:prstGeom>
                          <a:noFill/>
                          <a:ln w="9525" cap="flat" cmpd="sng" algn="ctr">
                            <a:solidFill>
                              <a:sysClr val="windowText" lastClr="000000">
                                <a:shade val="95000"/>
                                <a:satMod val="105000"/>
                              </a:sysClr>
                            </a:solidFill>
                            <a:prstDash val="solid"/>
                          </a:ln>
                          <a:effectLst/>
                        </wps:spPr>
                        <wps:bodyPr/>
                      </wps:wsp>
                      <wps:wsp>
                        <wps:cNvPr id="18" name="Прямая соединительная линия 18"/>
                        <wps:cNvCnPr>
                          <a:cxnSpLocks/>
                        </wps:cNvCnPr>
                        <wps:spPr>
                          <a:xfrm flipH="1">
                            <a:off x="9939" y="119269"/>
                            <a:ext cx="19878" cy="4191000"/>
                          </a:xfrm>
                          <a:prstGeom prst="line">
                            <a:avLst/>
                          </a:prstGeom>
                          <a:noFill/>
                          <a:ln w="9525" cap="flat" cmpd="sng" algn="ctr">
                            <a:solidFill>
                              <a:sysClr val="windowText" lastClr="000000">
                                <a:shade val="95000"/>
                                <a:satMod val="105000"/>
                              </a:sysClr>
                            </a:solidFill>
                            <a:prstDash val="solid"/>
                          </a:ln>
                          <a:effectLst/>
                        </wps:spPr>
                        <wps:bodyPr/>
                      </wps:wsp>
                      <wps:wsp>
                        <wps:cNvPr id="19" name="Прямая со стрелкой 19"/>
                        <wps:cNvCnPr>
                          <a:cxnSpLocks/>
                        </wps:cNvCnPr>
                        <wps:spPr>
                          <a:xfrm flipV="1">
                            <a:off x="29817" y="921026"/>
                            <a:ext cx="937260" cy="1143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53531985" name="Прямая со стрелкой 653531985"/>
                        <wps:cNvCnPr>
                          <a:cxnSpLocks/>
                        </wps:cNvCnPr>
                        <wps:spPr>
                          <a:xfrm flipV="1">
                            <a:off x="0" y="1398104"/>
                            <a:ext cx="937260" cy="1143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1" name="Прямая со стрелкой 21"/>
                        <wps:cNvCnPr>
                          <a:cxnSpLocks/>
                        </wps:cNvCnPr>
                        <wps:spPr>
                          <a:xfrm flipV="1">
                            <a:off x="9939" y="1984513"/>
                            <a:ext cx="908685" cy="571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508153251" name="Прямая со стрелкой 22"/>
                        <wps:cNvCnPr>
                          <a:cxnSpLocks noChangeShapeType="1"/>
                        </wps:cNvCnPr>
                        <wps:spPr bwMode="auto">
                          <a:xfrm>
                            <a:off x="39977" y="2491823"/>
                            <a:ext cx="937895" cy="5715"/>
                          </a:xfrm>
                          <a:prstGeom prst="bentConnector3">
                            <a:avLst>
                              <a:gd name="adj1" fmla="val 49968"/>
                            </a:avLst>
                          </a:prstGeom>
                          <a:noFill/>
                          <a:ln w="9525">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23" name="Прямая со стрелкой 23"/>
                        <wps:cNvCnPr>
                          <a:cxnSpLocks/>
                        </wps:cNvCnPr>
                        <wps:spPr>
                          <a:xfrm>
                            <a:off x="59635" y="3077817"/>
                            <a:ext cx="90932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4" name="Прямая со стрелкой 24"/>
                        <wps:cNvCnPr>
                          <a:cxnSpLocks/>
                        </wps:cNvCnPr>
                        <wps:spPr>
                          <a:xfrm flipV="1">
                            <a:off x="9939" y="3664226"/>
                            <a:ext cx="937260" cy="11430"/>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2" name="Прямая со стрелкой 42"/>
                        <wps:cNvCnPr/>
                        <wps:spPr>
                          <a:xfrm>
                            <a:off x="29817" y="4310269"/>
                            <a:ext cx="94805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D76036E" id="Группа 43" o:spid="_x0000_s1262" style="position:absolute;left:0;text-align:left;margin-left:85.75pt;margin-top:.65pt;width:374.1pt;height:324pt;z-index:251704320;mso-position-horizontal-relative:text;mso-position-vertical-relative:text;mso-width-relative:margin;mso-height-relative:margin" coordsize="33011,44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">
                <v:roundrect id="Скругленный прямоугольник 2" o:spid="_x0000_s1263" style="position:absolute;left:4075;width:28936;height:375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" fillcolor="window" strokecolor="windowText">
                  <v:path arrowok="t"/>
                  <v:textbox>
                    <w:txbxContent>
                      <w:p w14:paraId="43EE13AE" w14:textId="77777777" w:rsidR="00571B42" w:rsidRPr="000F5283" w:rsidRDefault="00571B42" w:rsidP="00A55004">
                        <w:pPr>
                          <w:jc w:val="center"/>
                          <w:rPr>
                            <w:rFonts w:ascii="Times New Roman" w:hAnsi="Times New Roman" w:cs="Times New Roman"/>
                            <w:bCs/>
                            <w:sz w:val="28"/>
                            <w:szCs w:val="28"/>
                          </w:rPr>
                        </w:pPr>
                        <w:r w:rsidRPr="000F5283">
                          <w:rPr>
                            <w:rFonts w:ascii="Times New Roman" w:hAnsi="Times New Roman" w:cs="Times New Roman"/>
                            <w:bCs/>
                            <w:sz w:val="28"/>
                            <w:szCs w:val="28"/>
                          </w:rPr>
                          <w:t>Керівник ресторану</w:t>
                        </w:r>
                      </w:p>
                    </w:txbxContent>
                  </v:textbox>
                </v:roundrect>
                <v:roundrect id="Скругленный прямоугольник 4" o:spid="_x0000_s1264" style="position:absolute;left:9442;top:6957;width:20256;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" fillcolor="window" strokecolor="windowText">
                  <v:path arrowok="t"/>
                  <v:textbox>
                    <w:txbxContent>
                      <w:p w14:paraId="1F75DEB1"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бухгалтер</w:t>
                        </w:r>
                      </w:p>
                    </w:txbxContent>
                  </v:textbox>
                </v:roundrect>
                <v:roundrect id="Скругленный прямоугольник 11" o:spid="_x0000_s1265" style="position:absolute;left:9442;top:12622;width:20256;height:3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" fillcolor="window" strokecolor="windowText">
                  <v:path arrowok="t"/>
                  <v:textbox>
                    <w:txbxContent>
                      <w:p w14:paraId="07ECF609"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адміністратор</w:t>
                        </w:r>
                      </w:p>
                    </w:txbxContent>
                  </v:textbox>
                </v:roundrect>
                <v:roundrect id="Скругленный прямоугольник 12" o:spid="_x0000_s1266" style="position:absolute;left:9442;top:17194;width:20250;height:3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" fillcolor="window" strokecolor="windowText">
                  <v:path arrowok="t"/>
                  <v:textbox>
                    <w:txbxContent>
                      <w:p w14:paraId="28A7608F"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бармен</w:t>
                        </w:r>
                      </w:p>
                      <w:p w14:paraId="383004A6" w14:textId="77777777" w:rsidR="00571B42" w:rsidRPr="000F5283" w:rsidRDefault="00571B42" w:rsidP="00A55004">
                        <w:pPr>
                          <w:jc w:val="center"/>
                          <w:rPr>
                            <w:rFonts w:ascii="Times New Roman" w:hAnsi="Times New Roman" w:cs="Times New Roman"/>
                            <w:sz w:val="28"/>
                            <w:szCs w:val="28"/>
                          </w:rPr>
                        </w:pPr>
                      </w:p>
                    </w:txbxContent>
                  </v:textbox>
                </v:roundrect>
                <v:roundrect id="Скругленный прямоугольник 13" o:spid="_x0000_s1267" style="position:absolute;left:9640;top:22860;width:20251;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" fillcolor="window" strokecolor="windowText">
                  <v:path arrowok="t"/>
                  <v:textbox>
                    <w:txbxContent>
                      <w:p w14:paraId="252F1EB6"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офіціант</w:t>
                        </w:r>
                      </w:p>
                    </w:txbxContent>
                  </v:textbox>
                </v:roundrect>
                <v:roundrect id="Скругленный прямоугольник 14" o:spid="_x0000_s1268" style="position:absolute;left:9640;top:28724;width:20251;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" fillcolor="window" strokecolor="windowText">
                  <v:path arrowok="t"/>
                  <v:textbox>
                    <w:txbxContent>
                      <w:p w14:paraId="1BB9EDC2"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мангальщик</w:t>
                        </w:r>
                      </w:p>
                    </w:txbxContent>
                  </v:textbox>
                </v:roundrect>
                <v:roundrect id="Скругленный прямоугольник 15" o:spid="_x0000_s1269" style="position:absolute;left:9442;top:34886;width:20250;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" fillcolor="window" strokecolor="windowText">
                  <v:path arrowok="t"/>
                  <v:textbox>
                    <w:txbxContent>
                      <w:p w14:paraId="46E2E373"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кухар</w:t>
                        </w:r>
                      </w:p>
                    </w:txbxContent>
                  </v:textbox>
                </v:roundrect>
                <v:roundrect id="Скругленный прямоугольник 16" o:spid="_x0000_s1270" style="position:absolute;left:9640;top:40949;width:20251;height:32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" fillcolor="window" strokecolor="windowText">
                  <v:path arrowok="t"/>
                  <v:textbox>
                    <w:txbxContent>
                      <w:p w14:paraId="093C808E" w14:textId="77777777" w:rsidR="00571B42" w:rsidRPr="000F5283" w:rsidRDefault="00571B42" w:rsidP="00A55004">
                        <w:pPr>
                          <w:jc w:val="center"/>
                          <w:rPr>
                            <w:rFonts w:ascii="Times New Roman" w:hAnsi="Times New Roman" w:cs="Times New Roman"/>
                            <w:sz w:val="28"/>
                            <w:szCs w:val="28"/>
                          </w:rPr>
                        </w:pPr>
                        <w:r w:rsidRPr="000F5283">
                          <w:rPr>
                            <w:rFonts w:ascii="Times New Roman" w:hAnsi="Times New Roman" w:cs="Times New Roman"/>
                            <w:sz w:val="28"/>
                            <w:szCs w:val="28"/>
                          </w:rPr>
                          <w:t>мийник посуду</w:t>
                        </w:r>
                      </w:p>
                    </w:txbxContent>
                  </v:textbox>
                </v:roundrect>
                <v:line id="Прямая соединительная линия 17" o:spid="_x0000_s1271" style="position:absolute;flip:x;visibility:visible;mso-wrap-style:square" from="298,1192" to="4051,1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">
                  <o:lock v:ext="edit" shapetype="f"/>
                </v:line>
                <v:line id="Прямая соединительная линия 18" o:spid="_x0000_s1272" style="position:absolute;flip:x;visibility:visible;mso-wrap-style:square" from="99,1192" to="298,43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">
                  <o:lock v:ext="edit" shapetype="f"/>
                </v:line>
                <v:shape id="Прямая со стрелкой 19" o:spid="_x0000_s1273" type="#_x0000_t32" style="position:absolute;left:298;top:9210;width:9372;height:11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">
                  <v:stroke endarrow="open"/>
                  <o:lock v:ext="edit" shapetype="f"/>
                </v:shape>
                <v:shape id="Прямая со стрелкой 653531985" o:spid="_x0000_s1274" type="#_x0000_t32" style="position:absolute;top:13981;width:9372;height:11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">
                  <v:stroke endarrow="open"/>
                  <o:lock v:ext="edit" shapetype="f"/>
                </v:shape>
                <v:shape id="Прямая со стрелкой 21" o:spid="_x0000_s1275" type="#_x0000_t32" style="position:absolute;left:99;top:19845;width:9087;height: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">
                  <v:stroke endarrow="open"/>
                  <o:lock v:ext="edit" shapetype="f"/>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22" o:spid="_x0000_s1276" type="#_x0000_t34" style="position:absolute;left:399;top:24918;width:9379;height:5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" adj="10793">
                  <v:stroke endarrow="open"/>
                </v:shape>
                <v:shape id="Прямая со стрелкой 23" o:spid="_x0000_s1277" type="#_x0000_t32" style="position:absolute;left:596;top:30778;width:909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">
                  <v:stroke endarrow="open"/>
                  <o:lock v:ext="edit" shapetype="f"/>
                </v:shape>
                <v:shape id="Прямая со стрелкой 24" o:spid="_x0000_s1278" type="#_x0000_t32" style="position:absolute;left:99;top:36642;width:9372;height:11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">
                  <v:stroke endarrow="open"/>
                  <o:lock v:ext="edit" shapetype="f"/>
                </v:shape>
                <v:shape id="Прямая со стрелкой 42" o:spid="_x0000_s1279" type="#_x0000_t32" style="position:absolute;left:298;top:43102;width:94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" strokecolor="black [3213]" strokeweight=".5pt">
                  <v:stroke endarrow="open" joinstyle="miter"/>
                </v:shape>
              </v:group>
            </w:pict>
          </mc:Fallback>
        </mc:AlternateContent>
      </w:r>
    </w:p>
    <w:p w14:paraId="5038C927"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2D89AEFE" w14:textId="12C3B828"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160B073D" w14:textId="62CB8822"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40217525" w14:textId="6ACFB159"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5E97D8F1" w14:textId="2EFBE1C4"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026A80DA" w14:textId="272CC85A"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4ADDE2DE" w14:textId="67CE0DAB"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3D5536EB" w14:textId="2B8FEA78"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09289ECE" w14:textId="24F3E193"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7660F89C" w14:textId="6DF69783"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012E6639" w14:textId="2088ECA3"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6C143B65" w14:textId="5C855A1B"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375B3F2B" w14:textId="77777777" w:rsidR="000F5283" w:rsidRPr="005F0419" w:rsidRDefault="000F5283" w:rsidP="000F5283">
      <w:pPr>
        <w:spacing w:after="0" w:line="360" w:lineRule="auto"/>
        <w:ind w:firstLine="720"/>
        <w:jc w:val="center"/>
        <w:rPr>
          <w:rFonts w:ascii="Times New Roman" w:hAnsi="Times New Roman" w:cs="Times New Roman"/>
          <w:sz w:val="28"/>
          <w:szCs w:val="28"/>
          <w:lang w:val="uk-UA"/>
        </w:rPr>
      </w:pPr>
    </w:p>
    <w:p w14:paraId="2D7E7484" w14:textId="7A44AAD9" w:rsidR="00A55004" w:rsidRPr="005F0419" w:rsidRDefault="00A55004" w:rsidP="000F5283">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6. Лінійна організаційна структура ресторану «Жаровня на Замку»</w:t>
      </w:r>
    </w:p>
    <w:p w14:paraId="6748C8B6" w14:textId="73226263" w:rsidR="00A55004" w:rsidRPr="005F0419" w:rsidRDefault="000F5283"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Джерело: </w:t>
      </w:r>
      <w:r w:rsidR="00A55004" w:rsidRPr="005F0419">
        <w:rPr>
          <w:rFonts w:ascii="Times New Roman" w:hAnsi="Times New Roman" w:cs="Times New Roman"/>
          <w:sz w:val="28"/>
          <w:szCs w:val="28"/>
          <w:lang w:val="uk-UA"/>
        </w:rPr>
        <w:t>складено авторами</w:t>
      </w:r>
      <w:r w:rsidRPr="005F0419">
        <w:rPr>
          <w:rFonts w:ascii="Times New Roman" w:hAnsi="Times New Roman" w:cs="Times New Roman"/>
          <w:sz w:val="28"/>
          <w:szCs w:val="28"/>
          <w:lang w:val="uk-UA"/>
        </w:rPr>
        <w:t>.</w:t>
      </w:r>
    </w:p>
    <w:p w14:paraId="0925629C" w14:textId="169C60E6" w:rsidR="000F5283" w:rsidRDefault="000F5283" w:rsidP="00877ECC">
      <w:pPr>
        <w:spacing w:after="0" w:line="360" w:lineRule="auto"/>
        <w:ind w:firstLine="720"/>
        <w:jc w:val="both"/>
        <w:rPr>
          <w:rFonts w:ascii="Times New Roman" w:hAnsi="Times New Roman" w:cs="Times New Roman"/>
          <w:sz w:val="28"/>
          <w:szCs w:val="28"/>
          <w:lang w:val="uk-UA"/>
        </w:rPr>
      </w:pPr>
    </w:p>
    <w:p w14:paraId="7E2DD9FE"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Отже, варто зробити висновок, що ресторан «Жаровня на Замку» досить колоритний заклад індустрії гостинності, який поєднав у собі </w:t>
      </w:r>
      <w:proofErr w:type="spellStart"/>
      <w:r w:rsidRPr="005F0419">
        <w:rPr>
          <w:rFonts w:ascii="Times New Roman" w:hAnsi="Times New Roman" w:cs="Times New Roman"/>
          <w:sz w:val="28"/>
          <w:szCs w:val="28"/>
          <w:lang w:val="uk-UA"/>
        </w:rPr>
        <w:t>старовинність</w:t>
      </w:r>
      <w:proofErr w:type="spellEnd"/>
      <w:r w:rsidRPr="005F0419">
        <w:rPr>
          <w:rFonts w:ascii="Times New Roman" w:hAnsi="Times New Roman" w:cs="Times New Roman"/>
          <w:sz w:val="28"/>
          <w:szCs w:val="28"/>
          <w:lang w:val="uk-UA"/>
        </w:rPr>
        <w:t xml:space="preserve"> та сучасність, своїм індивідуальним підходом обслуговування кожного гостя, своєрідною системою цінностей. </w:t>
      </w:r>
    </w:p>
    <w:p w14:paraId="4010E879"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Персонал – це основна складова успіху ресторану. Саме від правильно підібраного персоналу, організації його роботи та розвитку </w:t>
      </w:r>
      <w:proofErr w:type="spellStart"/>
      <w:r w:rsidRPr="005F0419">
        <w:rPr>
          <w:rFonts w:ascii="Times New Roman" w:hAnsi="Times New Roman" w:cs="Times New Roman"/>
          <w:sz w:val="28"/>
          <w:szCs w:val="28"/>
          <w:lang w:val="uk-UA"/>
        </w:rPr>
        <w:t>залежатиме</w:t>
      </w:r>
      <w:proofErr w:type="spellEnd"/>
      <w:r w:rsidRPr="005F0419">
        <w:rPr>
          <w:rFonts w:ascii="Times New Roman" w:hAnsi="Times New Roman" w:cs="Times New Roman"/>
          <w:sz w:val="28"/>
          <w:szCs w:val="28"/>
          <w:lang w:val="uk-UA"/>
        </w:rPr>
        <w:t xml:space="preserve"> результативність закладу. </w:t>
      </w:r>
    </w:p>
    <w:p w14:paraId="63B345E4" w14:textId="77777777" w:rsidR="00A55004" w:rsidRPr="005F0419" w:rsidRDefault="00A55004" w:rsidP="00877ECC">
      <w:pPr>
        <w:spacing w:after="0" w:line="360" w:lineRule="auto"/>
        <w:ind w:firstLine="720"/>
        <w:jc w:val="both"/>
        <w:rPr>
          <w:rFonts w:ascii="Times New Roman" w:eastAsia="Calibri" w:hAnsi="Times New Roman" w:cs="Times New Roman"/>
          <w:sz w:val="28"/>
          <w:szCs w:val="28"/>
          <w:shd w:val="clear" w:color="auto" w:fill="FFFFFF"/>
          <w:lang w:val="uk-UA"/>
        </w:rPr>
      </w:pPr>
      <w:r w:rsidRPr="005F0419">
        <w:rPr>
          <w:rFonts w:ascii="Times New Roman" w:eastAsia="Calibri" w:hAnsi="Times New Roman" w:cs="Times New Roman"/>
          <w:sz w:val="28"/>
          <w:szCs w:val="28"/>
          <w:shd w:val="clear" w:color="auto" w:fill="FFFFFF"/>
          <w:lang w:val="uk-UA"/>
        </w:rPr>
        <w:t xml:space="preserve">Аналіз діяльності персоналу у ресторані «Жаровня на Замку» показав, що кількість персоналу сягає 24 особи: </w:t>
      </w:r>
    </w:p>
    <w:p w14:paraId="6F8D3728" w14:textId="722557AB" w:rsidR="00A55004" w:rsidRPr="005F0419" w:rsidRDefault="00A55004" w:rsidP="006D1666">
      <w:pPr>
        <w:numPr>
          <w:ilvl w:val="0"/>
          <w:numId w:val="20"/>
        </w:numPr>
        <w:spacing w:after="0" w:line="360" w:lineRule="auto"/>
        <w:contextualSpacing/>
        <w:jc w:val="both"/>
        <w:rPr>
          <w:rFonts w:ascii="Times New Roman" w:eastAsia="Calibri" w:hAnsi="Times New Roman" w:cs="Times New Roman"/>
          <w:sz w:val="28"/>
          <w:szCs w:val="28"/>
          <w:shd w:val="clear" w:color="auto" w:fill="FFFFFF"/>
          <w:lang w:val="uk-UA"/>
        </w:rPr>
      </w:pPr>
      <w:r w:rsidRPr="005F0419">
        <w:rPr>
          <w:rFonts w:ascii="Times New Roman" w:eastAsia="Calibri" w:hAnsi="Times New Roman" w:cs="Times New Roman"/>
          <w:sz w:val="28"/>
          <w:szCs w:val="28"/>
          <w:shd w:val="clear" w:color="auto" w:fill="FFFFFF"/>
          <w:lang w:val="uk-UA"/>
        </w:rPr>
        <w:t>керівник закладу</w:t>
      </w:r>
      <w:r w:rsidR="000F5283" w:rsidRPr="005F0419">
        <w:rPr>
          <w:rFonts w:ascii="Times New Roman" w:eastAsia="Calibri" w:hAnsi="Times New Roman" w:cs="Times New Roman"/>
          <w:sz w:val="28"/>
          <w:szCs w:val="28"/>
          <w:shd w:val="clear" w:color="auto" w:fill="FFFFFF"/>
          <w:lang w:val="uk-UA"/>
        </w:rPr>
        <w:t xml:space="preserve"> – 1</w:t>
      </w:r>
      <w:r w:rsidRPr="005F0419">
        <w:rPr>
          <w:rFonts w:ascii="Times New Roman" w:eastAsia="Calibri" w:hAnsi="Times New Roman" w:cs="Times New Roman"/>
          <w:sz w:val="28"/>
          <w:szCs w:val="28"/>
          <w:shd w:val="clear" w:color="auto" w:fill="FFFFFF"/>
          <w:lang w:val="uk-UA"/>
        </w:rPr>
        <w:t>;</w:t>
      </w:r>
    </w:p>
    <w:p w14:paraId="1789F8FD" w14:textId="27E39799" w:rsidR="00A55004" w:rsidRPr="005F0419" w:rsidRDefault="00A55004" w:rsidP="006D1666">
      <w:pPr>
        <w:numPr>
          <w:ilvl w:val="0"/>
          <w:numId w:val="20"/>
        </w:numPr>
        <w:spacing w:after="0" w:line="360" w:lineRule="auto"/>
        <w:contextualSpacing/>
        <w:jc w:val="both"/>
        <w:rPr>
          <w:rFonts w:ascii="Times New Roman" w:eastAsia="Calibri" w:hAnsi="Times New Roman" w:cs="Times New Roman"/>
          <w:sz w:val="28"/>
          <w:szCs w:val="28"/>
          <w:shd w:val="clear" w:color="auto" w:fill="FFFFFF"/>
          <w:lang w:val="uk-UA"/>
        </w:rPr>
      </w:pPr>
      <w:r w:rsidRPr="005F0419">
        <w:rPr>
          <w:rFonts w:ascii="Times New Roman" w:eastAsia="Calibri" w:hAnsi="Times New Roman" w:cs="Times New Roman"/>
          <w:sz w:val="28"/>
          <w:szCs w:val="28"/>
          <w:shd w:val="clear" w:color="auto" w:fill="FFFFFF"/>
          <w:lang w:val="uk-UA"/>
        </w:rPr>
        <w:t>бухгалтер</w:t>
      </w:r>
      <w:r w:rsidR="000F5283" w:rsidRPr="005F0419">
        <w:rPr>
          <w:rFonts w:ascii="Times New Roman" w:eastAsia="Calibri" w:hAnsi="Times New Roman" w:cs="Times New Roman"/>
          <w:sz w:val="28"/>
          <w:szCs w:val="28"/>
          <w:shd w:val="clear" w:color="auto" w:fill="FFFFFF"/>
          <w:lang w:val="uk-UA"/>
        </w:rPr>
        <w:t xml:space="preserve"> – 1</w:t>
      </w:r>
      <w:r w:rsidRPr="005F0419">
        <w:rPr>
          <w:rFonts w:ascii="Times New Roman" w:eastAsia="Calibri" w:hAnsi="Times New Roman" w:cs="Times New Roman"/>
          <w:sz w:val="28"/>
          <w:szCs w:val="28"/>
          <w:shd w:val="clear" w:color="auto" w:fill="FFFFFF"/>
          <w:lang w:val="uk-UA"/>
        </w:rPr>
        <w:t>;</w:t>
      </w:r>
    </w:p>
    <w:p w14:paraId="2321B457" w14:textId="77777777" w:rsidR="00A55004" w:rsidRPr="005F0419" w:rsidRDefault="00A55004" w:rsidP="006D1666">
      <w:pPr>
        <w:numPr>
          <w:ilvl w:val="0"/>
          <w:numId w:val="20"/>
        </w:numPr>
        <w:spacing w:after="0" w:line="360" w:lineRule="auto"/>
        <w:contextualSpacing/>
        <w:jc w:val="both"/>
        <w:rPr>
          <w:rFonts w:ascii="Times New Roman" w:eastAsia="Calibri" w:hAnsi="Times New Roman" w:cs="Times New Roman"/>
          <w:sz w:val="28"/>
          <w:szCs w:val="28"/>
          <w:shd w:val="clear" w:color="auto" w:fill="FFFFFF"/>
          <w:lang w:val="uk-UA"/>
        </w:rPr>
      </w:pPr>
      <w:r w:rsidRPr="005F0419">
        <w:rPr>
          <w:rFonts w:ascii="Times New Roman" w:eastAsia="Calibri" w:hAnsi="Times New Roman" w:cs="Times New Roman"/>
          <w:sz w:val="28"/>
          <w:szCs w:val="28"/>
          <w:shd w:val="clear" w:color="auto" w:fill="FFFFFF"/>
          <w:lang w:val="uk-UA"/>
        </w:rPr>
        <w:t>адміністратор – 2;</w:t>
      </w:r>
    </w:p>
    <w:p w14:paraId="5F102A72" w14:textId="77777777" w:rsidR="00A55004" w:rsidRPr="005F0419" w:rsidRDefault="00A55004" w:rsidP="006D1666">
      <w:pPr>
        <w:numPr>
          <w:ilvl w:val="0"/>
          <w:numId w:val="20"/>
        </w:numPr>
        <w:spacing w:after="0" w:line="360" w:lineRule="auto"/>
        <w:contextualSpacing/>
        <w:jc w:val="both"/>
        <w:rPr>
          <w:rFonts w:ascii="Times New Roman" w:eastAsia="Calibri" w:hAnsi="Times New Roman" w:cs="Times New Roman"/>
          <w:sz w:val="28"/>
          <w:szCs w:val="28"/>
          <w:shd w:val="clear" w:color="auto" w:fill="FFFFFF"/>
          <w:lang w:val="uk-UA"/>
        </w:rPr>
      </w:pPr>
      <w:r w:rsidRPr="005F0419">
        <w:rPr>
          <w:rFonts w:ascii="Times New Roman" w:eastAsia="Calibri" w:hAnsi="Times New Roman" w:cs="Times New Roman"/>
          <w:sz w:val="28"/>
          <w:szCs w:val="28"/>
          <w:shd w:val="clear" w:color="auto" w:fill="FFFFFF"/>
          <w:lang w:val="uk-UA"/>
        </w:rPr>
        <w:t>офіціант – 6;</w:t>
      </w:r>
    </w:p>
    <w:p w14:paraId="0A394423" w14:textId="77777777" w:rsidR="00A55004" w:rsidRPr="005F0419" w:rsidRDefault="00A55004" w:rsidP="006D1666">
      <w:pPr>
        <w:numPr>
          <w:ilvl w:val="0"/>
          <w:numId w:val="20"/>
        </w:numPr>
        <w:spacing w:after="0" w:line="360" w:lineRule="auto"/>
        <w:contextualSpacing/>
        <w:jc w:val="both"/>
        <w:rPr>
          <w:rFonts w:ascii="Times New Roman" w:eastAsia="Calibri" w:hAnsi="Times New Roman" w:cs="Times New Roman"/>
          <w:sz w:val="28"/>
          <w:szCs w:val="28"/>
          <w:shd w:val="clear" w:color="auto" w:fill="FFFFFF"/>
          <w:lang w:val="uk-UA"/>
        </w:rPr>
      </w:pPr>
      <w:proofErr w:type="spellStart"/>
      <w:r w:rsidRPr="005F0419">
        <w:rPr>
          <w:rFonts w:ascii="Times New Roman" w:eastAsia="Calibri" w:hAnsi="Times New Roman" w:cs="Times New Roman"/>
          <w:sz w:val="28"/>
          <w:szCs w:val="28"/>
          <w:shd w:val="clear" w:color="auto" w:fill="FFFFFF"/>
          <w:lang w:val="uk-UA"/>
        </w:rPr>
        <w:t>мангальщик</w:t>
      </w:r>
      <w:proofErr w:type="spellEnd"/>
      <w:r w:rsidRPr="005F0419">
        <w:rPr>
          <w:rFonts w:ascii="Times New Roman" w:eastAsia="Calibri" w:hAnsi="Times New Roman" w:cs="Times New Roman"/>
          <w:sz w:val="28"/>
          <w:szCs w:val="28"/>
          <w:shd w:val="clear" w:color="auto" w:fill="FFFFFF"/>
          <w:lang w:val="uk-UA"/>
        </w:rPr>
        <w:t xml:space="preserve"> – 4;</w:t>
      </w:r>
    </w:p>
    <w:p w14:paraId="51F7BBB2" w14:textId="77777777" w:rsidR="00A55004" w:rsidRPr="005F0419" w:rsidRDefault="00A55004" w:rsidP="006D1666">
      <w:pPr>
        <w:numPr>
          <w:ilvl w:val="0"/>
          <w:numId w:val="20"/>
        </w:numPr>
        <w:spacing w:after="0" w:line="360" w:lineRule="auto"/>
        <w:contextualSpacing/>
        <w:jc w:val="both"/>
        <w:rPr>
          <w:rFonts w:ascii="Times New Roman" w:eastAsia="Calibri" w:hAnsi="Times New Roman" w:cs="Times New Roman"/>
          <w:sz w:val="28"/>
          <w:szCs w:val="28"/>
          <w:shd w:val="clear" w:color="auto" w:fill="FFFFFF"/>
          <w:lang w:val="uk-UA"/>
        </w:rPr>
      </w:pPr>
      <w:r w:rsidRPr="005F0419">
        <w:rPr>
          <w:rFonts w:ascii="Times New Roman" w:eastAsia="Calibri" w:hAnsi="Times New Roman" w:cs="Times New Roman"/>
          <w:sz w:val="28"/>
          <w:szCs w:val="28"/>
          <w:shd w:val="clear" w:color="auto" w:fill="FFFFFF"/>
          <w:lang w:val="uk-UA"/>
        </w:rPr>
        <w:t>бармен – 2;</w:t>
      </w:r>
    </w:p>
    <w:p w14:paraId="27E8725C" w14:textId="77777777" w:rsidR="00A55004" w:rsidRPr="005F0419" w:rsidRDefault="00A55004" w:rsidP="006D1666">
      <w:pPr>
        <w:numPr>
          <w:ilvl w:val="0"/>
          <w:numId w:val="20"/>
        </w:numPr>
        <w:spacing w:after="0" w:line="360" w:lineRule="auto"/>
        <w:contextualSpacing/>
        <w:jc w:val="both"/>
        <w:rPr>
          <w:rFonts w:ascii="Times New Roman" w:eastAsia="Calibri" w:hAnsi="Times New Roman" w:cs="Times New Roman"/>
          <w:sz w:val="28"/>
          <w:szCs w:val="28"/>
          <w:shd w:val="clear" w:color="auto" w:fill="FFFFFF"/>
          <w:lang w:val="uk-UA"/>
        </w:rPr>
      </w:pPr>
      <w:r w:rsidRPr="005F0419">
        <w:rPr>
          <w:rFonts w:ascii="Times New Roman" w:eastAsia="Calibri" w:hAnsi="Times New Roman" w:cs="Times New Roman"/>
          <w:sz w:val="28"/>
          <w:szCs w:val="28"/>
          <w:shd w:val="clear" w:color="auto" w:fill="FFFFFF"/>
          <w:lang w:val="uk-UA"/>
        </w:rPr>
        <w:t>кухар – 5;</w:t>
      </w:r>
    </w:p>
    <w:p w14:paraId="1B77ECF8" w14:textId="77777777" w:rsidR="00A55004" w:rsidRPr="005F0419" w:rsidRDefault="00A55004" w:rsidP="006D1666">
      <w:pPr>
        <w:numPr>
          <w:ilvl w:val="0"/>
          <w:numId w:val="20"/>
        </w:numPr>
        <w:spacing w:after="0" w:line="360" w:lineRule="auto"/>
        <w:contextualSpacing/>
        <w:jc w:val="both"/>
        <w:rPr>
          <w:rFonts w:ascii="Times New Roman" w:eastAsia="Calibri" w:hAnsi="Times New Roman" w:cs="Times New Roman"/>
          <w:sz w:val="28"/>
          <w:szCs w:val="28"/>
          <w:shd w:val="clear" w:color="auto" w:fill="FFFFFF"/>
          <w:lang w:val="uk-UA"/>
        </w:rPr>
      </w:pPr>
      <w:r w:rsidRPr="005F0419">
        <w:rPr>
          <w:rFonts w:ascii="Times New Roman" w:eastAsia="Calibri" w:hAnsi="Times New Roman" w:cs="Times New Roman"/>
          <w:sz w:val="28"/>
          <w:szCs w:val="28"/>
          <w:shd w:val="clear" w:color="auto" w:fill="FFFFFF"/>
          <w:lang w:val="uk-UA"/>
        </w:rPr>
        <w:t xml:space="preserve">мийники посуду – 3. </w:t>
      </w:r>
    </w:p>
    <w:p w14:paraId="62CAACC0" w14:textId="77777777" w:rsidR="00A55004" w:rsidRPr="005F0419" w:rsidRDefault="00A55004" w:rsidP="00877ECC">
      <w:pPr>
        <w:spacing w:after="0" w:line="360" w:lineRule="auto"/>
        <w:ind w:firstLine="720"/>
        <w:jc w:val="both"/>
        <w:rPr>
          <w:rFonts w:ascii="Times New Roman" w:eastAsia="Calibri" w:hAnsi="Times New Roman" w:cs="Times New Roman"/>
          <w:sz w:val="28"/>
          <w:szCs w:val="28"/>
          <w:shd w:val="clear" w:color="auto" w:fill="FFFFFF"/>
          <w:lang w:val="uk-UA"/>
        </w:rPr>
      </w:pPr>
      <w:r w:rsidRPr="005F0419">
        <w:rPr>
          <w:rFonts w:ascii="Times New Roman" w:eastAsia="Calibri" w:hAnsi="Times New Roman" w:cs="Times New Roman"/>
          <w:sz w:val="28"/>
          <w:szCs w:val="28"/>
          <w:shd w:val="clear" w:color="auto" w:fill="FFFFFF"/>
          <w:lang w:val="uk-UA"/>
        </w:rPr>
        <w:t xml:space="preserve">Керівник ресторану компетентний у всіх питаннях, які виникають у закладі, відповідно до лінійної структури управління йому безпосередньо підпорядковується увесь персонал. Також керівник займається фінансовими питаннями, підбором, розвитком персоналу тощо. </w:t>
      </w:r>
    </w:p>
    <w:p w14:paraId="1452269B"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sz w:val="28"/>
          <w:szCs w:val="28"/>
          <w:shd w:val="clear" w:color="auto" w:fill="FFFFFF"/>
          <w:lang w:val="uk-UA"/>
        </w:rPr>
        <w:t>Одним з найбільш важливих напрямків управлінської діяльності є забезпечення ресторану в достатній кількості та якості працівниками.</w:t>
      </w:r>
      <w:r w:rsidRPr="005F0419">
        <w:rPr>
          <w:rFonts w:ascii="Times New Roman" w:eastAsia="Calibri" w:hAnsi="Times New Roman" w:cs="Times New Roman"/>
          <w:bCs/>
          <w:sz w:val="28"/>
          <w:szCs w:val="28"/>
          <w:shd w:val="clear" w:color="auto" w:fill="FFFFFF"/>
          <w:lang w:val="uk-UA"/>
        </w:rPr>
        <w:t xml:space="preserve"> Пошук та залучення перспективних, талановитих і висококваліфікованих працівників – один з інструментів виконання даного завдання.</w:t>
      </w:r>
    </w:p>
    <w:p w14:paraId="2E9FCE85"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У ресторані «Жаровня на Замку» використовують такі методи пошуку персоналу:</w:t>
      </w:r>
    </w:p>
    <w:p w14:paraId="43C27F5C"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1)</w:t>
      </w:r>
      <w:r w:rsidRPr="005F0419">
        <w:rPr>
          <w:rFonts w:ascii="Times New Roman" w:eastAsia="Calibri" w:hAnsi="Times New Roman" w:cs="Times New Roman"/>
          <w:bCs/>
          <w:i/>
          <w:sz w:val="28"/>
          <w:szCs w:val="28"/>
          <w:shd w:val="clear" w:color="auto" w:fill="FFFFFF"/>
          <w:lang w:val="uk-UA"/>
        </w:rPr>
        <w:t xml:space="preserve"> пасивний пошук персоналу – </w:t>
      </w:r>
      <w:r w:rsidRPr="005F0419">
        <w:rPr>
          <w:rFonts w:ascii="Times New Roman" w:eastAsia="Calibri" w:hAnsi="Times New Roman" w:cs="Times New Roman"/>
          <w:bCs/>
          <w:sz w:val="28"/>
          <w:szCs w:val="28"/>
          <w:shd w:val="clear" w:color="auto" w:fill="FFFFFF"/>
          <w:lang w:val="uk-UA"/>
        </w:rPr>
        <w:t>розміщення оголошення про вакансію в засобах масової інформації (соціальні мережі, інтернет-сайти).</w:t>
      </w:r>
    </w:p>
    <w:p w14:paraId="179CCB5C" w14:textId="77777777" w:rsidR="00A55004" w:rsidRPr="005F0419" w:rsidRDefault="00A55004" w:rsidP="00877ECC">
      <w:pPr>
        <w:spacing w:after="0" w:line="360" w:lineRule="auto"/>
        <w:ind w:firstLine="720"/>
        <w:jc w:val="both"/>
        <w:rPr>
          <w:rFonts w:ascii="Times New Roman" w:eastAsia="Calibri" w:hAnsi="Times New Roman" w:cs="Times New Roman"/>
          <w:bCs/>
          <w:i/>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 xml:space="preserve">2) </w:t>
      </w:r>
      <w:r w:rsidRPr="005F0419">
        <w:rPr>
          <w:rFonts w:ascii="Times New Roman" w:eastAsia="Calibri" w:hAnsi="Times New Roman" w:cs="Times New Roman"/>
          <w:bCs/>
          <w:i/>
          <w:sz w:val="28"/>
          <w:szCs w:val="28"/>
          <w:shd w:val="clear" w:color="auto" w:fill="FFFFFF"/>
          <w:lang w:val="uk-UA"/>
        </w:rPr>
        <w:t>активний пошук персоналу:</w:t>
      </w:r>
    </w:p>
    <w:p w14:paraId="75324137"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lastRenderedPageBreak/>
        <w:t>- пошук персоналу по рекомендаціях, наданих і рекомендованих працівниками закладу, колегами із інших закладів індустрії гостинності;</w:t>
      </w:r>
    </w:p>
    <w:p w14:paraId="23FCCF0C"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 xml:space="preserve">- </w:t>
      </w:r>
      <w:proofErr w:type="spellStart"/>
      <w:r w:rsidRPr="005F0419">
        <w:rPr>
          <w:rFonts w:ascii="Times New Roman" w:eastAsia="Calibri" w:hAnsi="Times New Roman" w:cs="Times New Roman"/>
          <w:bCs/>
          <w:sz w:val="28"/>
          <w:szCs w:val="28"/>
          <w:shd w:val="clear" w:color="auto" w:fill="FFFFFF"/>
          <w:lang w:val="uk-UA"/>
        </w:rPr>
        <w:t>head</w:t>
      </w:r>
      <w:proofErr w:type="spellEnd"/>
      <w:r w:rsidRPr="005F0419">
        <w:rPr>
          <w:rFonts w:ascii="Times New Roman" w:eastAsia="Calibri" w:hAnsi="Times New Roman" w:cs="Times New Roman"/>
          <w:bCs/>
          <w:sz w:val="28"/>
          <w:szCs w:val="28"/>
          <w:shd w:val="clear" w:color="auto" w:fill="FFFFFF"/>
          <w:lang w:val="uk-UA"/>
        </w:rPr>
        <w:t xml:space="preserve"> </w:t>
      </w:r>
      <w:proofErr w:type="spellStart"/>
      <w:r w:rsidRPr="005F0419">
        <w:rPr>
          <w:rFonts w:ascii="Times New Roman" w:eastAsia="Calibri" w:hAnsi="Times New Roman" w:cs="Times New Roman"/>
          <w:bCs/>
          <w:sz w:val="28"/>
          <w:szCs w:val="28"/>
          <w:shd w:val="clear" w:color="auto" w:fill="FFFFFF"/>
          <w:lang w:val="uk-UA"/>
        </w:rPr>
        <w:t>hunting</w:t>
      </w:r>
      <w:proofErr w:type="spellEnd"/>
      <w:r w:rsidRPr="005F0419">
        <w:rPr>
          <w:rFonts w:ascii="Times New Roman" w:eastAsia="Calibri" w:hAnsi="Times New Roman" w:cs="Times New Roman"/>
          <w:bCs/>
          <w:sz w:val="28"/>
          <w:szCs w:val="28"/>
          <w:shd w:val="clear" w:color="auto" w:fill="FFFFFF"/>
          <w:lang w:val="uk-UA"/>
        </w:rPr>
        <w:t xml:space="preserve"> – пошук (переманювання) конкретного фахівця, який найбільше відповідає вимогам по даній вакансії.</w:t>
      </w:r>
    </w:p>
    <w:p w14:paraId="349FC0C6" w14:textId="77777777" w:rsidR="00A55004" w:rsidRPr="005F0419" w:rsidRDefault="00A55004" w:rsidP="00877ECC">
      <w:pPr>
        <w:spacing w:after="0" w:line="360" w:lineRule="auto"/>
        <w:ind w:firstLine="720"/>
        <w:jc w:val="both"/>
        <w:rPr>
          <w:rFonts w:ascii="Times New Roman" w:eastAsia="Calibri" w:hAnsi="Times New Roman" w:cs="Times New Roman"/>
          <w:bCs/>
          <w:i/>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 xml:space="preserve">3) </w:t>
      </w:r>
      <w:r w:rsidRPr="005F0419">
        <w:rPr>
          <w:rFonts w:ascii="Times New Roman" w:eastAsia="Calibri" w:hAnsi="Times New Roman" w:cs="Times New Roman"/>
          <w:bCs/>
          <w:i/>
          <w:sz w:val="28"/>
          <w:szCs w:val="28"/>
          <w:shd w:val="clear" w:color="auto" w:fill="FFFFFF"/>
          <w:lang w:val="uk-UA"/>
        </w:rPr>
        <w:t>альтернативні джерела пошуку персоналу:</w:t>
      </w:r>
    </w:p>
    <w:p w14:paraId="6FB3355B"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 внутрішній кадровий резерв;</w:t>
      </w:r>
    </w:p>
    <w:p w14:paraId="4912E48F"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 розміщення оголошення про вакантну посаду у вищих навчальних закладах, проведення конкурсу серед студентів-випускників;</w:t>
      </w:r>
    </w:p>
    <w:p w14:paraId="74D72F91"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 xml:space="preserve">- пошук персоналу за допомогою </w:t>
      </w:r>
      <w:proofErr w:type="spellStart"/>
      <w:r w:rsidRPr="005F0419">
        <w:rPr>
          <w:rFonts w:ascii="Times New Roman" w:eastAsia="Calibri" w:hAnsi="Times New Roman" w:cs="Times New Roman"/>
          <w:bCs/>
          <w:sz w:val="28"/>
          <w:szCs w:val="28"/>
          <w:shd w:val="clear" w:color="auto" w:fill="FFFFFF"/>
          <w:lang w:val="uk-UA"/>
        </w:rPr>
        <w:t>рекрутингових</w:t>
      </w:r>
      <w:proofErr w:type="spellEnd"/>
      <w:r w:rsidRPr="005F0419">
        <w:rPr>
          <w:rFonts w:ascii="Times New Roman" w:eastAsia="Calibri" w:hAnsi="Times New Roman" w:cs="Times New Roman"/>
          <w:bCs/>
          <w:sz w:val="28"/>
          <w:szCs w:val="28"/>
          <w:shd w:val="clear" w:color="auto" w:fill="FFFFFF"/>
          <w:lang w:val="uk-UA"/>
        </w:rPr>
        <w:t xml:space="preserve"> компаній.</w:t>
      </w:r>
    </w:p>
    <w:p w14:paraId="7E48C3E9"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 xml:space="preserve">Внутрішній та зовнішній підбір персоналу в ресторан «Жаровня на Замку» проходить на конкурсній основі. </w:t>
      </w:r>
    </w:p>
    <w:p w14:paraId="4890B3C3"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Етапи відбору персоналу у ресторані «Жаровня на Замку»:</w:t>
      </w:r>
    </w:p>
    <w:p w14:paraId="724D0BE4"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І етап. Резюме. Керівник ресторану дуже прискіпливо ознайомлюється із резюме кандидата, адже вважає, що резюме – це один із найефективніших інструментів пошуку роботи.</w:t>
      </w:r>
    </w:p>
    <w:p w14:paraId="10CE11AF"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Резюме – це короткий виклад найбільш важливих для потенційного роботодавця фактів вашої біографії, в основному пов'язаних із вашим досвідом роботи, навичками й знаннями. На прочитання резюме в середньому витрачається не більше 1–2 хвилин, тому дуже важливо відразу привернути увагу роботодавця, зацікавити його й спонукати призначити вам інтерв'ю. При створенні резюме потрібно пам'ятати про те, що воно стане вашою візитівкою й повинне виділяти вас з усього потоку людей, які шукають роботу.</w:t>
      </w:r>
    </w:p>
    <w:p w14:paraId="4C8910C2"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 xml:space="preserve">Саме на такі деталі звертає увагу керівник ресторану, і на основі резюме здійснюється перший відбір кандидатів на посаду. </w:t>
      </w:r>
    </w:p>
    <w:p w14:paraId="4154C66E"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 xml:space="preserve">ІІ етап. Співбесіда. Проводить безпосередньо керівник ресторану «Жаровня на Замку». Співбесіду проводять індивідуальну, з кожним кандидатом окремо.  Захід відбувається невимушено, адже керівник, за допомогою психологічних усних запитань має на меті визначити характер претендента. Також для керівника важливий факт освіти, набутих знань та навичок. Останнім </w:t>
      </w:r>
      <w:r w:rsidRPr="005F0419">
        <w:rPr>
          <w:rFonts w:ascii="Times New Roman" w:eastAsia="Calibri" w:hAnsi="Times New Roman" w:cs="Times New Roman"/>
          <w:bCs/>
          <w:sz w:val="28"/>
          <w:szCs w:val="28"/>
          <w:shd w:val="clear" w:color="auto" w:fill="FFFFFF"/>
          <w:lang w:val="uk-UA"/>
        </w:rPr>
        <w:lastRenderedPageBreak/>
        <w:t xml:space="preserve">етапом під час співбесіди є участь у ситуаційному завданні, яке керівник створює на власний розсуд та відповідно по ситуації. </w:t>
      </w:r>
    </w:p>
    <w:p w14:paraId="6C4D4FA3"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eastAsia="Calibri" w:hAnsi="Times New Roman" w:cs="Times New Roman"/>
          <w:bCs/>
          <w:sz w:val="28"/>
          <w:szCs w:val="28"/>
          <w:shd w:val="clear" w:color="auto" w:fill="FFFFFF"/>
          <w:lang w:val="uk-UA"/>
        </w:rPr>
        <w:t xml:space="preserve">ІІІ етап. Стажування. </w:t>
      </w:r>
      <w:r w:rsidRPr="005F0419">
        <w:rPr>
          <w:rFonts w:ascii="Times New Roman" w:hAnsi="Times New Roman" w:cs="Times New Roman"/>
          <w:sz w:val="28"/>
          <w:szCs w:val="28"/>
          <w:lang w:val="uk-UA"/>
        </w:rPr>
        <w:t xml:space="preserve">На підприємстві є сформована індивідуальна програма стажування, завдяки якій стажер (при наявності профільної освіти) проходить три дні стажування. Якщо кандидат немає профільної освіти, то стажування відбувається протягом більшого терміну залежно від швидкості набуття певних вмінь та засвоєння відповідних знань. </w:t>
      </w:r>
    </w:p>
    <w:p w14:paraId="6CF50CB5"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Кожному стажеру надається щоденник стажування, у якому затверджені:</w:t>
      </w:r>
    </w:p>
    <w:p w14:paraId="0FF57C8F"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Стандарти обслуговування гостей. У розділі роз’яснюється, який зовнішній вигляд повинен бути у персоналу, алгоритм дій працівника під час обслуговування гостей, послідовність прийняття та виносу замовлення, послідовність виносу страв та напоїв.</w:t>
      </w:r>
    </w:p>
    <w:p w14:paraId="57B836B7"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Мангал. Міститься чітка інструкція щодо характеристика м’яса, риби та основні вимоги до їх приготування, подача страв з мангалу, ступені просмаження </w:t>
      </w:r>
      <w:proofErr w:type="spellStart"/>
      <w:r w:rsidRPr="005F0419">
        <w:rPr>
          <w:rFonts w:ascii="Times New Roman" w:hAnsi="Times New Roman" w:cs="Times New Roman"/>
          <w:sz w:val="28"/>
          <w:szCs w:val="28"/>
          <w:lang w:val="uk-UA"/>
        </w:rPr>
        <w:t>стейків</w:t>
      </w:r>
      <w:proofErr w:type="spellEnd"/>
      <w:r w:rsidRPr="005F0419">
        <w:rPr>
          <w:rFonts w:ascii="Times New Roman" w:hAnsi="Times New Roman" w:cs="Times New Roman"/>
          <w:sz w:val="28"/>
          <w:szCs w:val="28"/>
          <w:lang w:val="uk-UA"/>
        </w:rPr>
        <w:t>.</w:t>
      </w:r>
    </w:p>
    <w:p w14:paraId="5117F03B"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Кухня. Охарактеризовані перші страви, холодні закуски, салати, гарячі закуски,  їх приготування, інгредієнти, подача.</w:t>
      </w:r>
    </w:p>
    <w:p w14:paraId="1E67FAE7"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Алергени. Описані основні алергени, який вони чинять вплив на організм людини, симптоми реакції на алергени та дії щодо ситуації, яка склалася під час споживання алергену.  </w:t>
      </w:r>
    </w:p>
    <w:p w14:paraId="16111FE0"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 xml:space="preserve">ІV етап. Відібрані кандидати обов’язково отримують погодження від керівника ресторану на предмет відповідності вимогам до стажу роботи, професійних знань та особистих якостей. Після погодження керівник ресторану надає кандидату необхідні документи при прийому на роботу, ознайомлює із посадовими обов’язками, робочим місцем. </w:t>
      </w:r>
    </w:p>
    <w:p w14:paraId="2A009171" w14:textId="77777777" w:rsidR="00A55004" w:rsidRPr="005F0419" w:rsidRDefault="00A55004" w:rsidP="00877ECC">
      <w:pPr>
        <w:spacing w:after="0" w:line="360" w:lineRule="auto"/>
        <w:ind w:firstLine="720"/>
        <w:jc w:val="both"/>
        <w:rPr>
          <w:rFonts w:ascii="Times New Roman" w:eastAsia="Calibri" w:hAnsi="Times New Roman" w:cs="Times New Roman"/>
          <w:bCs/>
          <w:sz w:val="28"/>
          <w:szCs w:val="28"/>
          <w:shd w:val="clear" w:color="auto" w:fill="FFFFFF"/>
          <w:lang w:val="uk-UA"/>
        </w:rPr>
      </w:pPr>
      <w:r w:rsidRPr="005F0419">
        <w:rPr>
          <w:rFonts w:ascii="Times New Roman" w:eastAsia="Calibri" w:hAnsi="Times New Roman" w:cs="Times New Roman"/>
          <w:bCs/>
          <w:sz w:val="28"/>
          <w:szCs w:val="28"/>
          <w:shd w:val="clear" w:color="auto" w:fill="FFFFFF"/>
          <w:lang w:val="uk-UA"/>
        </w:rPr>
        <w:t xml:space="preserve">Прийняття та оформлення на роботу в ресторан нових працівників здійснюється керівником закладу відповідно до вимог чинного законодавства України про працю із оформленням усіх відповідних документів, тобто формують наказ про прийняття кандидата на роботу, ознайомлюють із посадовою інструкцією. </w:t>
      </w:r>
    </w:p>
    <w:p w14:paraId="72D87750" w14:textId="77777777" w:rsidR="00A55004" w:rsidRPr="005F0419" w:rsidRDefault="00A55004" w:rsidP="00877ECC">
      <w:pPr>
        <w:spacing w:after="0" w:line="360" w:lineRule="auto"/>
        <w:ind w:firstLine="720"/>
        <w:jc w:val="both"/>
        <w:rPr>
          <w:rFonts w:ascii="Times New Roman" w:eastAsia="Calibri" w:hAnsi="Times New Roman" w:cs="Times New Roman"/>
          <w:sz w:val="28"/>
          <w:szCs w:val="28"/>
          <w:shd w:val="clear" w:color="auto" w:fill="FFFFFF"/>
          <w:lang w:val="uk-UA"/>
        </w:rPr>
      </w:pPr>
      <w:r w:rsidRPr="005F0419">
        <w:rPr>
          <w:rFonts w:ascii="Times New Roman" w:eastAsia="Calibri" w:hAnsi="Times New Roman" w:cs="Times New Roman"/>
          <w:sz w:val="28"/>
          <w:szCs w:val="28"/>
          <w:shd w:val="clear" w:color="auto" w:fill="FFFFFF"/>
          <w:lang w:val="uk-UA"/>
        </w:rPr>
        <w:lastRenderedPageBreak/>
        <w:t xml:space="preserve">Також одним з важливих напрямків роботи керівника закладу є оцінювання працівників. Метою проведення оцінювання персоналу є створення системи оцінок для здійснення регулярного контролю за виконанням трудових обов’язків та професійними досягненнями працівників ресторану. </w:t>
      </w:r>
    </w:p>
    <w:p w14:paraId="75661B0A"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ресторані «Жаровня на Замку» атестацію проводить керівник закладу, який роз’яснює цілі і порядок проведення атестації; проводить підготовку необхідних для атестації документів: атестаційний лист попередньої атестації, бланк атестаційного листа чергової атестації та щорічні оцінки виконання працівником покладених на нього завдань та обов’язків за період, що минув з часу попередньої атестації. </w:t>
      </w:r>
    </w:p>
    <w:p w14:paraId="69284CE3"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Обов’язковим документом під час проведення атестації є спеціальний атестаційний лист, у якому вказуються особисті дані про працівника, дата проведення атестації, хто здійснює процедуру оцінювання, навчальний матеріал, який використовується під час атестації, наявність відповідних документів, результат оцінювання, результат. </w:t>
      </w:r>
    </w:p>
    <w:p w14:paraId="4A1A7CDA"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Цікавим є той факт, що керівник ресторану «Жаровня на Замку» використовує для оцінки свого персоналу методику «таємного покупця». </w:t>
      </w:r>
    </w:p>
    <w:p w14:paraId="75348F9C" w14:textId="667CD429" w:rsidR="00A55004" w:rsidRPr="005F0419" w:rsidRDefault="00A55004" w:rsidP="00877ECC">
      <w:pPr>
        <w:spacing w:after="0" w:line="360" w:lineRule="auto"/>
        <w:ind w:firstLine="720"/>
        <w:jc w:val="both"/>
        <w:rPr>
          <w:rFonts w:ascii="Times New Roman" w:hAnsi="Times New Roman" w:cs="Times New Roman"/>
          <w:sz w:val="28"/>
          <w:szCs w:val="28"/>
          <w:lang w:val="uk-UA"/>
        </w:rPr>
      </w:pPr>
      <w:proofErr w:type="spellStart"/>
      <w:r w:rsidRPr="005F0419">
        <w:rPr>
          <w:rFonts w:ascii="Times New Roman" w:hAnsi="Times New Roman" w:cs="Times New Roman"/>
          <w:bCs/>
          <w:sz w:val="28"/>
          <w:szCs w:val="28"/>
          <w:lang w:val="uk-UA"/>
        </w:rPr>
        <w:t>Mystery</w:t>
      </w:r>
      <w:proofErr w:type="spellEnd"/>
      <w:r w:rsidRPr="005F0419">
        <w:rPr>
          <w:rFonts w:ascii="Times New Roman" w:hAnsi="Times New Roman" w:cs="Times New Roman"/>
          <w:bCs/>
          <w:sz w:val="28"/>
          <w:szCs w:val="28"/>
          <w:lang w:val="uk-UA"/>
        </w:rPr>
        <w:t xml:space="preserve"> </w:t>
      </w:r>
      <w:proofErr w:type="spellStart"/>
      <w:r w:rsidRPr="005F0419">
        <w:rPr>
          <w:rFonts w:ascii="Times New Roman" w:hAnsi="Times New Roman" w:cs="Times New Roman"/>
          <w:bCs/>
          <w:sz w:val="28"/>
          <w:szCs w:val="28"/>
          <w:lang w:val="uk-UA"/>
        </w:rPr>
        <w:t>Shopping</w:t>
      </w:r>
      <w:proofErr w:type="spellEnd"/>
      <w:r w:rsidRPr="005F0419">
        <w:rPr>
          <w:rFonts w:ascii="Times New Roman" w:hAnsi="Times New Roman" w:cs="Times New Roman"/>
          <w:sz w:val="28"/>
          <w:szCs w:val="28"/>
          <w:lang w:val="uk-UA"/>
        </w:rPr>
        <w:t> (</w:t>
      </w:r>
      <w:proofErr w:type="spellStart"/>
      <w:r w:rsidRPr="005F0419">
        <w:rPr>
          <w:rFonts w:ascii="Times New Roman" w:hAnsi="Times New Roman" w:cs="Times New Roman"/>
          <w:sz w:val="28"/>
          <w:szCs w:val="28"/>
          <w:lang w:val="uk-UA"/>
        </w:rPr>
        <w:t>англ</w:t>
      </w:r>
      <w:proofErr w:type="spellEnd"/>
      <w:r w:rsidRPr="005F0419">
        <w:rPr>
          <w:rFonts w:ascii="Times New Roman" w:hAnsi="Times New Roman" w:cs="Times New Roman"/>
          <w:sz w:val="28"/>
          <w:szCs w:val="28"/>
          <w:lang w:val="uk-UA"/>
        </w:rPr>
        <w:t xml:space="preserve">. метод «таємного покупця», або метод «інсценованої покупки») – метод оцінки умов надання послуг, </w:t>
      </w:r>
      <w:proofErr w:type="spellStart"/>
      <w:r w:rsidRPr="005F0419">
        <w:rPr>
          <w:rFonts w:ascii="Times New Roman" w:hAnsi="Times New Roman" w:cs="Times New Roman"/>
          <w:sz w:val="28"/>
          <w:szCs w:val="28"/>
          <w:lang w:val="uk-UA"/>
        </w:rPr>
        <w:t>визнаення</w:t>
      </w:r>
      <w:proofErr w:type="spellEnd"/>
      <w:r w:rsidRPr="005F0419">
        <w:rPr>
          <w:rFonts w:ascii="Times New Roman" w:hAnsi="Times New Roman" w:cs="Times New Roman"/>
          <w:sz w:val="28"/>
          <w:szCs w:val="28"/>
          <w:lang w:val="uk-UA"/>
        </w:rPr>
        <w:t xml:space="preserve"> сильних і слабких сторін роботи персоналу компанії  з допомогою придбання товару (послуги), що здійснюються фахівцями дослідницької компанії, що діють інкогніто (звідси і назва - «таємничий / таємний покупець»). Метод «таємний покупець» дозволяє провести оцінку (або перевірку) діяльності фірми без відома її персоналу, проаналізувати і оцінити різні аспекти функціонування фірми очима реального споживача.</w:t>
      </w:r>
    </w:p>
    <w:p w14:paraId="7C763A65"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Методика </w:t>
      </w:r>
      <w:proofErr w:type="spellStart"/>
      <w:r w:rsidRPr="005F0419">
        <w:rPr>
          <w:rFonts w:ascii="Times New Roman" w:hAnsi="Times New Roman" w:cs="Times New Roman"/>
          <w:sz w:val="28"/>
          <w:szCs w:val="28"/>
          <w:lang w:val="uk-UA"/>
        </w:rPr>
        <w:t>Mystery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shopping</w:t>
      </w:r>
      <w:proofErr w:type="spellEnd"/>
      <w:r w:rsidRPr="005F0419">
        <w:rPr>
          <w:rFonts w:ascii="Times New Roman" w:hAnsi="Times New Roman" w:cs="Times New Roman"/>
          <w:sz w:val="28"/>
          <w:szCs w:val="28"/>
          <w:lang w:val="uk-UA"/>
        </w:rPr>
        <w:t xml:space="preserve">, широко використовується в США та Європі (80% всіх ресторанів регулярно проводять перевірки) набирає оберти і в нашій країні. Сценарій спілкування побудований таким чином, щоб виявити і оцінити всі питання, що цікавлять аспекти діяльності компанії: якість роботи </w:t>
      </w:r>
      <w:r w:rsidRPr="005F0419">
        <w:rPr>
          <w:rFonts w:ascii="Times New Roman" w:hAnsi="Times New Roman" w:cs="Times New Roman"/>
          <w:sz w:val="28"/>
          <w:szCs w:val="28"/>
          <w:lang w:val="uk-UA"/>
        </w:rPr>
        <w:lastRenderedPageBreak/>
        <w:t>обслуговуючого персоналу, рівень цін, асортимент страв, місце розташування й інтер'єр закладу тощо.</w:t>
      </w:r>
    </w:p>
    <w:p w14:paraId="5EAB3617"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Мотивація ефективної праці персоналу займає одне з ключових місць у системі управління </w:t>
      </w:r>
      <w:r w:rsidRPr="005F0419">
        <w:rPr>
          <w:rFonts w:ascii="Times New Roman" w:hAnsi="Times New Roman" w:cs="Times New Roman"/>
          <w:bCs/>
          <w:sz w:val="28"/>
          <w:szCs w:val="28"/>
          <w:lang w:val="uk-UA"/>
        </w:rPr>
        <w:t>ресторану «Жаровня на Замку»</w:t>
      </w:r>
      <w:r w:rsidRPr="005F0419">
        <w:rPr>
          <w:rFonts w:ascii="Times New Roman" w:hAnsi="Times New Roman" w:cs="Times New Roman"/>
          <w:sz w:val="28"/>
          <w:szCs w:val="28"/>
          <w:lang w:val="uk-UA"/>
        </w:rPr>
        <w:t>. У закладі</w:t>
      </w:r>
      <w:r w:rsidRPr="005F0419">
        <w:rPr>
          <w:rFonts w:ascii="Times New Roman" w:hAnsi="Times New Roman" w:cs="Times New Roman"/>
          <w:bCs/>
          <w:sz w:val="28"/>
          <w:szCs w:val="28"/>
          <w:lang w:val="uk-UA"/>
        </w:rPr>
        <w:t xml:space="preserve"> існують два основні види мотивації:</w:t>
      </w:r>
    </w:p>
    <w:p w14:paraId="694704DE" w14:textId="77777777" w:rsidR="00A55004" w:rsidRPr="005F0419" w:rsidRDefault="00A55004" w:rsidP="00877ECC">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bCs/>
          <w:sz w:val="28"/>
          <w:szCs w:val="28"/>
          <w:lang w:val="uk-UA"/>
        </w:rPr>
        <w:t>1) нематеріальна мотивація: різні дії роботодавця, спрямовані на формування рівня задоволеності співробітників;</w:t>
      </w:r>
    </w:p>
    <w:p w14:paraId="6492A3CB"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 матеріальна мотивація: пов’язана безпосередньо з фінансовим  аспектом (заробітні плати, премії, бонуси, інші складові зарплати).</w:t>
      </w:r>
    </w:p>
    <w:p w14:paraId="68A29935"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Побудова ефективної системи мотивації у ресторані передбачає баланс цих двох видів, оскільки окремо жоден із способів мотивації не дає бажаного результату. Матеріальна мотивація сама по собі не є достатньою , оскільки завжди спрацьовує «ефект ненаситності» - грошей багато не буває, і має короткотривалий ефект, оскільки людина дуже швидко звикає до збільшення винагороди. Також нематеріальна мотивація не буде працювати, якщо система матеріальної мотивації не відповідає ринковим тенденціям та очікуванням персоналу, якщо вона не носить прозорий та зрозумілий характер. </w:t>
      </w:r>
    </w:p>
    <w:p w14:paraId="40DC66C3" w14:textId="77777777" w:rsidR="00A55004" w:rsidRPr="005F0419" w:rsidRDefault="00A55004" w:rsidP="00877ECC">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sz w:val="28"/>
          <w:szCs w:val="28"/>
          <w:lang w:val="uk-UA"/>
        </w:rPr>
        <w:t>Система матеріально та нематеріальної мотивації у ресторані представлена наступним чином (рис. 7).</w:t>
      </w:r>
      <w:r w:rsidRPr="005F0419">
        <w:rPr>
          <w:rFonts w:ascii="Times New Roman" w:hAnsi="Times New Roman" w:cs="Times New Roman"/>
          <w:bCs/>
          <w:sz w:val="28"/>
          <w:szCs w:val="28"/>
          <w:lang w:val="uk-UA"/>
        </w:rPr>
        <w:t xml:space="preserve"> </w:t>
      </w:r>
    </w:p>
    <w:p w14:paraId="1EABA695" w14:textId="77777777" w:rsidR="000F5283" w:rsidRPr="005F0419" w:rsidRDefault="000F5283" w:rsidP="000F5283">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rPr>
        <mc:AlternateContent>
          <mc:Choice Requires="wpc">
            <w:drawing>
              <wp:inline distT="0" distB="0" distL="0" distR="0" wp14:anchorId="3351F4D9" wp14:editId="6A2AFBA0">
                <wp:extent cx="5600700" cy="3152389"/>
                <wp:effectExtent l="0" t="0" r="0" b="0"/>
                <wp:docPr id="130" name="Полотно 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586071765" name="Oval 112"/>
                        <wps:cNvSpPr>
                          <a:spLocks noChangeArrowheads="1"/>
                        </wps:cNvSpPr>
                        <wps:spPr bwMode="auto">
                          <a:xfrm>
                            <a:off x="1828800" y="0"/>
                            <a:ext cx="1943000" cy="685603"/>
                          </a:xfrm>
                          <a:prstGeom prst="ellipse">
                            <a:avLst/>
                          </a:prstGeom>
                          <a:solidFill>
                            <a:srgbClr val="FFFFFF"/>
                          </a:solidFill>
                          <a:ln w="9525">
                            <a:solidFill>
                              <a:srgbClr val="000000"/>
                            </a:solidFill>
                            <a:round/>
                            <a:headEnd/>
                            <a:tailEnd/>
                          </a:ln>
                        </wps:spPr>
                        <wps:txbx>
                          <w:txbxContent>
                            <w:p w14:paraId="66458685" w14:textId="77777777" w:rsidR="00571B42" w:rsidRPr="000F5283" w:rsidRDefault="00571B42" w:rsidP="000F5283">
                              <w:pPr>
                                <w:spacing w:after="0" w:line="240" w:lineRule="auto"/>
                                <w:jc w:val="center"/>
                                <w:rPr>
                                  <w:rFonts w:ascii="Times New Roman" w:hAnsi="Times New Roman" w:cs="Times New Roman"/>
                                  <w:sz w:val="28"/>
                                  <w:szCs w:val="28"/>
                                </w:rPr>
                              </w:pPr>
                              <w:r w:rsidRPr="000F5283">
                                <w:rPr>
                                  <w:rFonts w:ascii="Times New Roman" w:hAnsi="Times New Roman" w:cs="Times New Roman"/>
                                  <w:sz w:val="28"/>
                                  <w:szCs w:val="28"/>
                                </w:rPr>
                                <w:t>МОТИВАЦІЯ</w:t>
                              </w:r>
                            </w:p>
                          </w:txbxContent>
                        </wps:txbx>
                        <wps:bodyPr rot="0" vert="horz" wrap="square" lIns="91440" tIns="45720" rIns="91440" bIns="45720" anchor="t" anchorCtr="0" upright="1">
                          <a:noAutofit/>
                        </wps:bodyPr>
                      </wps:wsp>
                      <wps:wsp>
                        <wps:cNvPr id="1927167584" name="AutoShape 113"/>
                        <wps:cNvSpPr>
                          <a:spLocks noChangeArrowheads="1"/>
                        </wps:cNvSpPr>
                        <wps:spPr bwMode="auto">
                          <a:xfrm>
                            <a:off x="343200" y="686503"/>
                            <a:ext cx="1713900" cy="799604"/>
                          </a:xfrm>
                          <a:prstGeom prst="downArrowCallout">
                            <a:avLst>
                              <a:gd name="adj1" fmla="val 54281"/>
                              <a:gd name="adj2" fmla="val 54291"/>
                              <a:gd name="adj3" fmla="val 16667"/>
                              <a:gd name="adj4" fmla="val 66667"/>
                            </a:avLst>
                          </a:prstGeom>
                          <a:solidFill>
                            <a:srgbClr val="FFFFFF"/>
                          </a:solidFill>
                          <a:ln w="9525">
                            <a:solidFill>
                              <a:srgbClr val="000000"/>
                            </a:solidFill>
                            <a:miter lim="800000"/>
                            <a:headEnd/>
                            <a:tailEnd/>
                          </a:ln>
                        </wps:spPr>
                        <wps:txbx>
                          <w:txbxContent>
                            <w:p w14:paraId="14468B37" w14:textId="77777777" w:rsidR="00571B42" w:rsidRPr="000F5283" w:rsidRDefault="00571B42" w:rsidP="000F5283">
                              <w:pPr>
                                <w:spacing w:after="0" w:line="240" w:lineRule="auto"/>
                                <w:jc w:val="center"/>
                                <w:rPr>
                                  <w:rFonts w:ascii="Times New Roman" w:hAnsi="Times New Roman" w:cs="Times New Roman"/>
                                  <w:sz w:val="28"/>
                                  <w:szCs w:val="28"/>
                                </w:rPr>
                              </w:pPr>
                              <w:r w:rsidRPr="000F5283">
                                <w:rPr>
                                  <w:rFonts w:ascii="Times New Roman" w:hAnsi="Times New Roman" w:cs="Times New Roman"/>
                                  <w:sz w:val="28"/>
                                  <w:szCs w:val="28"/>
                                </w:rPr>
                                <w:t>Матеріальна</w:t>
                              </w:r>
                            </w:p>
                            <w:p w14:paraId="715769DC" w14:textId="77777777" w:rsidR="00571B42" w:rsidRPr="000F5283" w:rsidRDefault="00571B42" w:rsidP="000F5283">
                              <w:pPr>
                                <w:spacing w:after="0" w:line="240" w:lineRule="auto"/>
                                <w:jc w:val="center"/>
                                <w:rPr>
                                  <w:rFonts w:ascii="Times New Roman" w:hAnsi="Times New Roman" w:cs="Times New Roman"/>
                                  <w:sz w:val="28"/>
                                  <w:szCs w:val="28"/>
                                </w:rPr>
                              </w:pPr>
                            </w:p>
                            <w:p w14:paraId="4185158F" w14:textId="77777777" w:rsidR="00571B42" w:rsidRPr="000F5283" w:rsidRDefault="00571B42" w:rsidP="000F5283">
                              <w:pPr>
                                <w:spacing w:after="0" w:line="240" w:lineRule="auto"/>
                                <w:jc w:val="center"/>
                                <w:rPr>
                                  <w:rFonts w:ascii="Times New Roman" w:hAnsi="Times New Roman" w:cs="Times New Roman"/>
                                  <w:sz w:val="28"/>
                                  <w:szCs w:val="28"/>
                                </w:rPr>
                              </w:pPr>
                            </w:p>
                            <w:p w14:paraId="2998D383" w14:textId="77777777" w:rsidR="00571B42" w:rsidRPr="000F5283" w:rsidRDefault="00571B42" w:rsidP="000F5283">
                              <w:pPr>
                                <w:spacing w:after="0" w:line="240" w:lineRule="auto"/>
                                <w:jc w:val="center"/>
                                <w:rPr>
                                  <w:rFonts w:ascii="Times New Roman" w:hAnsi="Times New Roman" w:cs="Times New Roman"/>
                                  <w:sz w:val="28"/>
                                  <w:szCs w:val="28"/>
                                </w:rPr>
                              </w:pPr>
                            </w:p>
                            <w:p w14:paraId="66F703C8" w14:textId="77777777" w:rsidR="00571B42" w:rsidRPr="000F5283" w:rsidRDefault="00571B42" w:rsidP="000F5283">
                              <w:pPr>
                                <w:spacing w:after="0" w:line="240" w:lineRule="auto"/>
                                <w:jc w:val="center"/>
                                <w:rPr>
                                  <w:rFonts w:ascii="Times New Roman" w:hAnsi="Times New Roman" w:cs="Times New Roman"/>
                                  <w:sz w:val="28"/>
                                  <w:szCs w:val="28"/>
                                </w:rPr>
                              </w:pPr>
                            </w:p>
                          </w:txbxContent>
                        </wps:txbx>
                        <wps:bodyPr rot="0" vert="horz" wrap="square" lIns="91440" tIns="45720" rIns="91440" bIns="45720" anchor="t" anchorCtr="0" upright="1">
                          <a:noAutofit/>
                        </wps:bodyPr>
                      </wps:wsp>
                      <wps:wsp>
                        <wps:cNvPr id="1158008429" name="AutoShape 114"/>
                        <wps:cNvSpPr>
                          <a:spLocks noChangeArrowheads="1"/>
                        </wps:cNvSpPr>
                        <wps:spPr bwMode="auto">
                          <a:xfrm>
                            <a:off x="3543500" y="685603"/>
                            <a:ext cx="1713900" cy="800504"/>
                          </a:xfrm>
                          <a:prstGeom prst="downArrowCallout">
                            <a:avLst>
                              <a:gd name="adj1" fmla="val 54220"/>
                              <a:gd name="adj2" fmla="val 54230"/>
                              <a:gd name="adj3" fmla="val 16667"/>
                              <a:gd name="adj4" fmla="val 66667"/>
                            </a:avLst>
                          </a:prstGeom>
                          <a:solidFill>
                            <a:srgbClr val="FFFFFF"/>
                          </a:solidFill>
                          <a:ln w="9525">
                            <a:solidFill>
                              <a:srgbClr val="000000"/>
                            </a:solidFill>
                            <a:miter lim="800000"/>
                            <a:headEnd/>
                            <a:tailEnd/>
                          </a:ln>
                        </wps:spPr>
                        <wps:txbx>
                          <w:txbxContent>
                            <w:p w14:paraId="2D58FC87"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 xml:space="preserve">     Нематеріальна</w:t>
                              </w:r>
                            </w:p>
                          </w:txbxContent>
                        </wps:txbx>
                        <wps:bodyPr rot="0" vert="horz" wrap="square" lIns="91440" tIns="45720" rIns="91440" bIns="45720" anchor="t" anchorCtr="0" upright="1">
                          <a:noAutofit/>
                        </wps:bodyPr>
                      </wps:wsp>
                      <wps:wsp>
                        <wps:cNvPr id="2091600270" name="Line 115"/>
                        <wps:cNvCnPr>
                          <a:cxnSpLocks noChangeShapeType="1"/>
                        </wps:cNvCnPr>
                        <wps:spPr bwMode="auto">
                          <a:xfrm flipH="1">
                            <a:off x="1828800" y="571603"/>
                            <a:ext cx="342500" cy="2297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32170945" name="Line 116"/>
                        <wps:cNvCnPr>
                          <a:cxnSpLocks noChangeShapeType="1"/>
                        </wps:cNvCnPr>
                        <wps:spPr bwMode="auto">
                          <a:xfrm>
                            <a:off x="3543500" y="685603"/>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11427743" name="Line 117"/>
                        <wps:cNvCnPr>
                          <a:cxnSpLocks noChangeShapeType="1"/>
                        </wps:cNvCnPr>
                        <wps:spPr bwMode="auto">
                          <a:xfrm>
                            <a:off x="3429300" y="571603"/>
                            <a:ext cx="341700" cy="2321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5579651" name="Rectangle 118"/>
                        <wps:cNvSpPr>
                          <a:spLocks noChangeArrowheads="1"/>
                        </wps:cNvSpPr>
                        <wps:spPr bwMode="auto">
                          <a:xfrm>
                            <a:off x="228300" y="1486107"/>
                            <a:ext cx="2376000" cy="1314906"/>
                          </a:xfrm>
                          <a:prstGeom prst="rect">
                            <a:avLst/>
                          </a:prstGeom>
                          <a:solidFill>
                            <a:srgbClr val="FFFFFF"/>
                          </a:solidFill>
                          <a:ln w="9525">
                            <a:solidFill>
                              <a:srgbClr val="000000"/>
                            </a:solidFill>
                            <a:miter lim="800000"/>
                            <a:headEnd/>
                            <a:tailEnd/>
                          </a:ln>
                        </wps:spPr>
                        <wps:txbx>
                          <w:txbxContent>
                            <w:p w14:paraId="49DC9DF6"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1. Відсоток від загальної суми чеків, яка перевищує встанов</w:t>
                              </w:r>
                              <w:r w:rsidRPr="000F5283">
                                <w:rPr>
                                  <w:rFonts w:ascii="Times New Roman" w:hAnsi="Times New Roman" w:cs="Times New Roman"/>
                                  <w:sz w:val="28"/>
                                  <w:szCs w:val="28"/>
                                </w:rPr>
                                <w:softHyphen/>
                                <w:t>лений обсяг товарообороту.</w:t>
                              </w:r>
                            </w:p>
                            <w:p w14:paraId="2FA4B4D2"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2.Преміювання за виконання окремих завдань.</w:t>
                              </w:r>
                            </w:p>
                            <w:p w14:paraId="5CB99695"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3. Бонуси за результатами атес</w:t>
                              </w:r>
                              <w:r w:rsidRPr="000F5283">
                                <w:rPr>
                                  <w:rFonts w:ascii="Times New Roman" w:hAnsi="Times New Roman" w:cs="Times New Roman"/>
                                  <w:sz w:val="28"/>
                                  <w:szCs w:val="28"/>
                                </w:rPr>
                                <w:softHyphen/>
                                <w:t>тації.</w:t>
                              </w:r>
                            </w:p>
                          </w:txbxContent>
                        </wps:txbx>
                        <wps:bodyPr rot="0" vert="horz" wrap="square" lIns="91440" tIns="45720" rIns="91440" bIns="45720" anchor="t" anchorCtr="0" upright="1">
                          <a:noAutofit/>
                        </wps:bodyPr>
                      </wps:wsp>
                      <wps:wsp>
                        <wps:cNvPr id="1830708627" name="Rectangle 119"/>
                        <wps:cNvSpPr>
                          <a:spLocks noChangeArrowheads="1"/>
                        </wps:cNvSpPr>
                        <wps:spPr bwMode="auto">
                          <a:xfrm>
                            <a:off x="3429300" y="1486107"/>
                            <a:ext cx="1939800" cy="1534807"/>
                          </a:xfrm>
                          <a:prstGeom prst="rect">
                            <a:avLst/>
                          </a:prstGeom>
                          <a:solidFill>
                            <a:srgbClr val="FFFFFF"/>
                          </a:solidFill>
                          <a:ln w="9525">
                            <a:solidFill>
                              <a:srgbClr val="000000"/>
                            </a:solidFill>
                            <a:miter lim="800000"/>
                            <a:headEnd/>
                            <a:tailEnd/>
                          </a:ln>
                        </wps:spPr>
                        <wps:txbx>
                          <w:txbxContent>
                            <w:p w14:paraId="56D2B81B"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1. Проведення навчань за рахунок закладу.</w:t>
                              </w:r>
                            </w:p>
                            <w:p w14:paraId="6CEDC5D0"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2. Корпоративні заходи.</w:t>
                              </w:r>
                            </w:p>
                            <w:p w14:paraId="78CAACE0"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3. Привітання з днем народження.</w:t>
                              </w:r>
                            </w:p>
                            <w:p w14:paraId="1257185F"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4. Подарунки.</w:t>
                              </w:r>
                            </w:p>
                            <w:p w14:paraId="324EA5E4"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5. Квитки у кіно.</w:t>
                              </w:r>
                            </w:p>
                            <w:p w14:paraId="0E3EEA35"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6. Година релаксу.</w:t>
                              </w:r>
                            </w:p>
                          </w:txbxContent>
                        </wps:txbx>
                        <wps:bodyPr rot="0" vert="horz" wrap="square" lIns="91440" tIns="45720" rIns="91440" bIns="45720" anchor="t" anchorCtr="0" upright="1">
                          <a:noAutofit/>
                        </wps:bodyPr>
                      </wps:wsp>
                    </wpc:wpc>
                  </a:graphicData>
                </a:graphic>
              </wp:inline>
            </w:drawing>
          </mc:Choice>
          <mc:Fallback>
            <w:pict>
              <v:group w14:anchorId="3351F4D9" id="Полотно 6" o:spid="_x0000_s1280" editas="canvas" style="width:441pt;height:248.2pt;mso-position-horizontal-relative:char;mso-position-vertical-relative:line" coordsize="56007,31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">
                <v:shape id="_x0000_s1281" type="#_x0000_t75" style="position:absolute;width:56007;height:31521;visibility:visible;mso-wrap-style:square">
                  <v:fill o:detectmouseclick="t"/>
                  <v:path o:connecttype="none"/>
                </v:shape>
                <v:oval id="Oval 112" o:spid="_x0000_s1282" style="position:absolute;left:18288;width:19430;height:68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">
                  <v:textbox>
                    <w:txbxContent>
                      <w:p w14:paraId="66458685" w14:textId="77777777" w:rsidR="00571B42" w:rsidRPr="000F5283" w:rsidRDefault="00571B42" w:rsidP="000F5283">
                        <w:pPr>
                          <w:spacing w:after="0" w:line="240" w:lineRule="auto"/>
                          <w:jc w:val="center"/>
                          <w:rPr>
                            <w:rFonts w:ascii="Times New Roman" w:hAnsi="Times New Roman" w:cs="Times New Roman"/>
                            <w:sz w:val="28"/>
                            <w:szCs w:val="28"/>
                          </w:rPr>
                        </w:pPr>
                        <w:r w:rsidRPr="000F5283">
                          <w:rPr>
                            <w:rFonts w:ascii="Times New Roman" w:hAnsi="Times New Roman" w:cs="Times New Roman"/>
                            <w:sz w:val="28"/>
                            <w:szCs w:val="28"/>
                          </w:rPr>
                          <w:t>МОТИВАЦІЯ</w:t>
                        </w:r>
                      </w:p>
                    </w:txbxContent>
                  </v:textbox>
                </v:oval>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113" o:spid="_x0000_s1283" type="#_x0000_t80" style="position:absolute;left:3432;top:6865;width:17139;height:7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" adj=",5329,,8065">
                  <v:textbox>
                    <w:txbxContent>
                      <w:p w14:paraId="14468B37" w14:textId="77777777" w:rsidR="00571B42" w:rsidRPr="000F5283" w:rsidRDefault="00571B42" w:rsidP="000F5283">
                        <w:pPr>
                          <w:spacing w:after="0" w:line="240" w:lineRule="auto"/>
                          <w:jc w:val="center"/>
                          <w:rPr>
                            <w:rFonts w:ascii="Times New Roman" w:hAnsi="Times New Roman" w:cs="Times New Roman"/>
                            <w:sz w:val="28"/>
                            <w:szCs w:val="28"/>
                          </w:rPr>
                        </w:pPr>
                        <w:r w:rsidRPr="000F5283">
                          <w:rPr>
                            <w:rFonts w:ascii="Times New Roman" w:hAnsi="Times New Roman" w:cs="Times New Roman"/>
                            <w:sz w:val="28"/>
                            <w:szCs w:val="28"/>
                          </w:rPr>
                          <w:t>Матеріальна</w:t>
                        </w:r>
                      </w:p>
                      <w:p w14:paraId="715769DC" w14:textId="77777777" w:rsidR="00571B42" w:rsidRPr="000F5283" w:rsidRDefault="00571B42" w:rsidP="000F5283">
                        <w:pPr>
                          <w:spacing w:after="0" w:line="240" w:lineRule="auto"/>
                          <w:jc w:val="center"/>
                          <w:rPr>
                            <w:rFonts w:ascii="Times New Roman" w:hAnsi="Times New Roman" w:cs="Times New Roman"/>
                            <w:sz w:val="28"/>
                            <w:szCs w:val="28"/>
                          </w:rPr>
                        </w:pPr>
                      </w:p>
                      <w:p w14:paraId="4185158F" w14:textId="77777777" w:rsidR="00571B42" w:rsidRPr="000F5283" w:rsidRDefault="00571B42" w:rsidP="000F5283">
                        <w:pPr>
                          <w:spacing w:after="0" w:line="240" w:lineRule="auto"/>
                          <w:jc w:val="center"/>
                          <w:rPr>
                            <w:rFonts w:ascii="Times New Roman" w:hAnsi="Times New Roman" w:cs="Times New Roman"/>
                            <w:sz w:val="28"/>
                            <w:szCs w:val="28"/>
                          </w:rPr>
                        </w:pPr>
                      </w:p>
                      <w:p w14:paraId="2998D383" w14:textId="77777777" w:rsidR="00571B42" w:rsidRPr="000F5283" w:rsidRDefault="00571B42" w:rsidP="000F5283">
                        <w:pPr>
                          <w:spacing w:after="0" w:line="240" w:lineRule="auto"/>
                          <w:jc w:val="center"/>
                          <w:rPr>
                            <w:rFonts w:ascii="Times New Roman" w:hAnsi="Times New Roman" w:cs="Times New Roman"/>
                            <w:sz w:val="28"/>
                            <w:szCs w:val="28"/>
                          </w:rPr>
                        </w:pPr>
                      </w:p>
                      <w:p w14:paraId="66F703C8" w14:textId="77777777" w:rsidR="00571B42" w:rsidRPr="000F5283" w:rsidRDefault="00571B42" w:rsidP="000F5283">
                        <w:pPr>
                          <w:spacing w:after="0" w:line="240" w:lineRule="auto"/>
                          <w:jc w:val="center"/>
                          <w:rPr>
                            <w:rFonts w:ascii="Times New Roman" w:hAnsi="Times New Roman" w:cs="Times New Roman"/>
                            <w:sz w:val="28"/>
                            <w:szCs w:val="28"/>
                          </w:rPr>
                        </w:pPr>
                      </w:p>
                    </w:txbxContent>
                  </v:textbox>
                </v:shape>
                <v:shape id="AutoShape 114" o:spid="_x0000_s1284" type="#_x0000_t80" style="position:absolute;left:35435;top:6856;width:17139;height:8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" adj=",5329,,8065">
                  <v:textbox>
                    <w:txbxContent>
                      <w:p w14:paraId="2D58FC87"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 xml:space="preserve">     Нематеріальна</w:t>
                        </w:r>
                      </w:p>
                    </w:txbxContent>
                  </v:textbox>
                </v:shape>
                <v:line id="Line 115" o:spid="_x0000_s1285" style="position:absolute;flip:x;visibility:visible;mso-wrap-style:square" from="18288,5716" to="21713,8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">
                  <v:stroke endarrow="block"/>
                </v:line>
                <v:line id="Line 116" o:spid="_x0000_s1286" style="position:absolute;visibility:visible;mso-wrap-style:square" from="35435,6856" to="35435,6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">
                  <v:stroke endarrow="block"/>
                </v:line>
                <v:line id="Line 117" o:spid="_x0000_s1287" style="position:absolute;visibility:visible;mso-wrap-style:square" from="34293,5716" to="37710,8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">
                  <v:stroke endarrow="block"/>
                </v:line>
                <v:rect id="Rectangle 118" o:spid="_x0000_s1288" style="position:absolute;left:2283;top:14861;width:23760;height:13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">
                  <v:textbox>
                    <w:txbxContent>
                      <w:p w14:paraId="49DC9DF6"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1. Відсоток від загальної суми чеків, яка перевищує встанов</w:t>
                        </w:r>
                        <w:r w:rsidRPr="000F5283">
                          <w:rPr>
                            <w:rFonts w:ascii="Times New Roman" w:hAnsi="Times New Roman" w:cs="Times New Roman"/>
                            <w:sz w:val="28"/>
                            <w:szCs w:val="28"/>
                          </w:rPr>
                          <w:softHyphen/>
                          <w:t>лений обсяг товарообороту.</w:t>
                        </w:r>
                      </w:p>
                      <w:p w14:paraId="2FA4B4D2"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2.Преміювання за виконання окремих завдань.</w:t>
                        </w:r>
                      </w:p>
                      <w:p w14:paraId="5CB99695"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3. Бонуси за результатами атес</w:t>
                        </w:r>
                        <w:r w:rsidRPr="000F5283">
                          <w:rPr>
                            <w:rFonts w:ascii="Times New Roman" w:hAnsi="Times New Roman" w:cs="Times New Roman"/>
                            <w:sz w:val="28"/>
                            <w:szCs w:val="28"/>
                          </w:rPr>
                          <w:softHyphen/>
                          <w:t>тації.</w:t>
                        </w:r>
                      </w:p>
                    </w:txbxContent>
                  </v:textbox>
                </v:rect>
                <v:rect id="Rectangle 119" o:spid="_x0000_s1289" style="position:absolute;left:34293;top:14861;width:19398;height:153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">
                  <v:textbox>
                    <w:txbxContent>
                      <w:p w14:paraId="56D2B81B"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1. Проведення навчань за рахунок закладу.</w:t>
                        </w:r>
                      </w:p>
                      <w:p w14:paraId="6CEDC5D0"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2. Корпоративні заходи.</w:t>
                        </w:r>
                      </w:p>
                      <w:p w14:paraId="78CAACE0"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3. Привітання з днем народження.</w:t>
                        </w:r>
                      </w:p>
                      <w:p w14:paraId="1257185F"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4. Подарунки.</w:t>
                        </w:r>
                      </w:p>
                      <w:p w14:paraId="324EA5E4"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5. Квитки у кіно.</w:t>
                        </w:r>
                      </w:p>
                      <w:p w14:paraId="0E3EEA35" w14:textId="77777777" w:rsidR="00571B42" w:rsidRPr="000F5283" w:rsidRDefault="00571B42" w:rsidP="000F5283">
                        <w:pPr>
                          <w:spacing w:after="0" w:line="240" w:lineRule="auto"/>
                          <w:rPr>
                            <w:rFonts w:ascii="Times New Roman" w:hAnsi="Times New Roman" w:cs="Times New Roman"/>
                            <w:sz w:val="28"/>
                            <w:szCs w:val="28"/>
                          </w:rPr>
                        </w:pPr>
                        <w:r w:rsidRPr="000F5283">
                          <w:rPr>
                            <w:rFonts w:ascii="Times New Roman" w:hAnsi="Times New Roman" w:cs="Times New Roman"/>
                            <w:sz w:val="28"/>
                            <w:szCs w:val="28"/>
                          </w:rPr>
                          <w:t>6. Година релаксу.</w:t>
                        </w:r>
                      </w:p>
                    </w:txbxContent>
                  </v:textbox>
                </v:rect>
                <w10:anchorlock/>
              </v:group>
            </w:pict>
          </mc:Fallback>
        </mc:AlternateContent>
      </w:r>
    </w:p>
    <w:p w14:paraId="3A2265DD" w14:textId="77777777" w:rsidR="000F5283" w:rsidRPr="005F0419" w:rsidRDefault="000F5283" w:rsidP="000F5283">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Рис.7. Система матеріальної та нематеріальної мотивації ресторану «Жаровня на Замку» </w:t>
      </w:r>
    </w:p>
    <w:p w14:paraId="54AAB0EA" w14:textId="77777777" w:rsidR="000F5283" w:rsidRPr="005F0419" w:rsidRDefault="000F5283" w:rsidP="000F5283">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авторами.</w:t>
      </w:r>
    </w:p>
    <w:p w14:paraId="4F0BC033" w14:textId="77777777" w:rsidR="000F5283" w:rsidRPr="005F0419" w:rsidRDefault="000F5283" w:rsidP="00877ECC">
      <w:pPr>
        <w:spacing w:after="0" w:line="360" w:lineRule="auto"/>
        <w:ind w:firstLine="720"/>
        <w:jc w:val="both"/>
        <w:rPr>
          <w:rFonts w:ascii="Times New Roman" w:hAnsi="Times New Roman" w:cs="Times New Roman"/>
          <w:sz w:val="28"/>
          <w:szCs w:val="28"/>
          <w:lang w:val="uk-UA"/>
        </w:rPr>
      </w:pPr>
    </w:p>
    <w:p w14:paraId="40BB4B5A" w14:textId="77777777" w:rsidR="00D42F9E" w:rsidRPr="005F0419" w:rsidRDefault="00D42F9E" w:rsidP="00D42F9E">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bCs/>
          <w:sz w:val="28"/>
          <w:szCs w:val="28"/>
          <w:lang w:val="uk-UA"/>
        </w:rPr>
        <w:t xml:space="preserve">Матеріальна мотивація ресторану «Жаровня на Замку» включає такі складові: відсоток від загальної суми </w:t>
      </w:r>
      <w:proofErr w:type="spellStart"/>
      <w:r w:rsidRPr="005F0419">
        <w:rPr>
          <w:rFonts w:ascii="Times New Roman" w:hAnsi="Times New Roman" w:cs="Times New Roman"/>
          <w:bCs/>
          <w:sz w:val="28"/>
          <w:szCs w:val="28"/>
          <w:lang w:val="uk-UA"/>
        </w:rPr>
        <w:t>чеків</w:t>
      </w:r>
      <w:proofErr w:type="spellEnd"/>
      <w:r w:rsidRPr="005F0419">
        <w:rPr>
          <w:rFonts w:ascii="Times New Roman" w:hAnsi="Times New Roman" w:cs="Times New Roman"/>
          <w:bCs/>
          <w:sz w:val="28"/>
          <w:szCs w:val="28"/>
          <w:lang w:val="uk-UA"/>
        </w:rPr>
        <w:t>, яка перевищує встанов</w:t>
      </w:r>
      <w:r w:rsidRPr="005F0419">
        <w:rPr>
          <w:rFonts w:ascii="Times New Roman" w:hAnsi="Times New Roman" w:cs="Times New Roman"/>
          <w:bCs/>
          <w:sz w:val="28"/>
          <w:szCs w:val="28"/>
          <w:lang w:val="uk-UA"/>
        </w:rPr>
        <w:softHyphen/>
        <w:t>лений обсяг товарообороту; преміювання за виконання окремих завдань; бонуси за результатами атес</w:t>
      </w:r>
      <w:r w:rsidRPr="005F0419">
        <w:rPr>
          <w:rFonts w:ascii="Times New Roman" w:hAnsi="Times New Roman" w:cs="Times New Roman"/>
          <w:bCs/>
          <w:sz w:val="28"/>
          <w:szCs w:val="28"/>
          <w:lang w:val="uk-UA"/>
        </w:rPr>
        <w:softHyphen/>
        <w:t>тації.</w:t>
      </w:r>
    </w:p>
    <w:p w14:paraId="6C46A0EC" w14:textId="77777777" w:rsidR="00D42F9E" w:rsidRPr="005F0419" w:rsidRDefault="00D42F9E" w:rsidP="00D42F9E">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bCs/>
          <w:iCs/>
          <w:sz w:val="28"/>
          <w:szCs w:val="28"/>
          <w:lang w:val="uk-UA"/>
        </w:rPr>
        <w:t>Нематеріальна мотивація</w:t>
      </w:r>
      <w:r w:rsidRPr="005F0419">
        <w:rPr>
          <w:rFonts w:ascii="Times New Roman" w:hAnsi="Times New Roman" w:cs="Times New Roman"/>
          <w:bCs/>
          <w:sz w:val="28"/>
          <w:szCs w:val="28"/>
          <w:lang w:val="uk-UA"/>
        </w:rPr>
        <w:t xml:space="preserve"> включає: проведення навчань за рахунок закладу, корпоративні заходи, привітання з днем народження, подарунки. За рахунок ресторану проводяться такі види навчань, як тренінги, семінари та конференції. Корпоративні заходи передбачають святкування Нового Року, тематичні вечірки. Також керівник закладу увів традицію привітань із днем народження, вручення подарунків, квитків у кіно, а також у ресторані діє час </w:t>
      </w:r>
      <w:proofErr w:type="spellStart"/>
      <w:r w:rsidRPr="005F0419">
        <w:rPr>
          <w:rFonts w:ascii="Times New Roman" w:hAnsi="Times New Roman" w:cs="Times New Roman"/>
          <w:bCs/>
          <w:sz w:val="28"/>
          <w:szCs w:val="28"/>
          <w:lang w:val="uk-UA"/>
        </w:rPr>
        <w:t>релаксу</w:t>
      </w:r>
      <w:proofErr w:type="spellEnd"/>
      <w:r w:rsidRPr="005F0419">
        <w:rPr>
          <w:rFonts w:ascii="Times New Roman" w:hAnsi="Times New Roman" w:cs="Times New Roman"/>
          <w:bCs/>
          <w:sz w:val="28"/>
          <w:szCs w:val="28"/>
          <w:lang w:val="uk-UA"/>
        </w:rPr>
        <w:t xml:space="preserve"> – о 17 год. при відсутності гостей, персонал відпочиває, спілкується. </w:t>
      </w:r>
    </w:p>
    <w:p w14:paraId="78FC2EE4" w14:textId="0E041E51"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Конкурентоспроможність у сучасних умовах відіграє важливе значення і тому набуває особливої актуальності. Якісна система професійної підготовки та розвитку працівників, здатних ефективно керувати інноваційними процесами, розробляти і впроваджувати високотехнологічні проекти є пріоритетним напрямом закладів індустрії гостинності.</w:t>
      </w:r>
    </w:p>
    <w:p w14:paraId="7D9FD99C"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Продуктивна та якісна робота персоналу є запорукою розвитку  ресторану </w:t>
      </w:r>
      <w:r w:rsidRPr="005F0419">
        <w:rPr>
          <w:rFonts w:ascii="Times New Roman" w:hAnsi="Times New Roman" w:cs="Times New Roman"/>
          <w:bCs/>
          <w:sz w:val="28"/>
          <w:szCs w:val="28"/>
          <w:lang w:val="uk-UA"/>
        </w:rPr>
        <w:t>«Жаровня на Замку»</w:t>
      </w:r>
      <w:r w:rsidRPr="005F0419">
        <w:rPr>
          <w:rFonts w:ascii="Times New Roman" w:hAnsi="Times New Roman" w:cs="Times New Roman"/>
          <w:sz w:val="28"/>
          <w:szCs w:val="28"/>
          <w:lang w:val="uk-UA"/>
        </w:rPr>
        <w:t>. Однак постійний прогрес і розвиток суспільства вимагають постійного та періодичного оновлення знань працівників, щоб створити належні умови для самореалізації їх потенціалу і забезпечити ефективне функціонування закладу серед конкурентів.</w:t>
      </w:r>
    </w:p>
    <w:p w14:paraId="786C2E61"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Саме тому ми здійснили маркетингове дослідження на основі анкетування працівників досліджуваного підприємства </w:t>
      </w:r>
      <w:r w:rsidRPr="005F0419">
        <w:rPr>
          <w:rFonts w:ascii="Times New Roman" w:hAnsi="Times New Roman" w:cs="Times New Roman"/>
          <w:i/>
          <w:sz w:val="28"/>
          <w:szCs w:val="28"/>
          <w:lang w:val="uk-UA"/>
        </w:rPr>
        <w:t>(Додаток А).</w:t>
      </w:r>
      <w:r w:rsidRPr="005F0419">
        <w:rPr>
          <w:rFonts w:ascii="Times New Roman" w:hAnsi="Times New Roman" w:cs="Times New Roman"/>
          <w:sz w:val="28"/>
          <w:szCs w:val="28"/>
          <w:lang w:val="uk-UA"/>
        </w:rPr>
        <w:t xml:space="preserve"> </w:t>
      </w:r>
    </w:p>
    <w:p w14:paraId="693C310D" w14:textId="77777777" w:rsidR="00A55004" w:rsidRPr="005F0419" w:rsidRDefault="00A55004" w:rsidP="00877ECC">
      <w:pPr>
        <w:spacing w:after="0" w:line="360" w:lineRule="auto"/>
        <w:ind w:firstLine="720"/>
        <w:jc w:val="both"/>
        <w:rPr>
          <w:rFonts w:ascii="Times New Roman" w:hAnsi="Times New Roman" w:cs="Times New Roman"/>
          <w:iCs/>
          <w:sz w:val="28"/>
          <w:szCs w:val="28"/>
          <w:lang w:val="uk-UA"/>
        </w:rPr>
      </w:pPr>
      <w:r w:rsidRPr="005F0419">
        <w:rPr>
          <w:rFonts w:ascii="Times New Roman" w:hAnsi="Times New Roman" w:cs="Times New Roman"/>
          <w:iCs/>
          <w:sz w:val="28"/>
          <w:szCs w:val="28"/>
          <w:lang w:val="uk-UA"/>
        </w:rPr>
        <w:t xml:space="preserve">Метою даного дослідження було проаналізувати процес управління розвитком персоналу у ресторані «Жаровня на Замку». Результати дослідження </w:t>
      </w:r>
      <w:r w:rsidRPr="005F0419">
        <w:rPr>
          <w:rFonts w:ascii="Times New Roman" w:hAnsi="Times New Roman" w:cs="Times New Roman"/>
          <w:iCs/>
          <w:sz w:val="28"/>
          <w:szCs w:val="28"/>
          <w:lang w:val="uk-UA"/>
        </w:rPr>
        <w:lastRenderedPageBreak/>
        <w:t xml:space="preserve">спрямовані на удосконалення стратегії управління розвитком персоналу у закладах індустрії гостинності. </w:t>
      </w:r>
    </w:p>
    <w:p w14:paraId="4532BCA1"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lang w:val="uk-UA"/>
        </w:rPr>
        <w:t>Респондентами дослідження</w:t>
      </w:r>
      <w:r w:rsidRPr="005F0419">
        <w:rPr>
          <w:rFonts w:ascii="Times New Roman" w:hAnsi="Times New Roman" w:cs="Times New Roman"/>
          <w:sz w:val="28"/>
          <w:szCs w:val="28"/>
          <w:lang w:val="uk-UA"/>
        </w:rPr>
        <w:t xml:space="preserve"> є 15 працівників ресторану «Жаровня на Замку». </w:t>
      </w:r>
    </w:p>
    <w:p w14:paraId="467B3E76" w14:textId="2DABF9F9" w:rsidR="00A55004"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Структура опитування складається із чотирьох складових. </w:t>
      </w:r>
      <w:r w:rsidRPr="005F0419">
        <w:rPr>
          <w:rFonts w:ascii="Times New Roman" w:hAnsi="Times New Roman" w:cs="Times New Roman"/>
          <w:iCs/>
          <w:sz w:val="28"/>
          <w:szCs w:val="28"/>
          <w:lang w:val="uk-UA"/>
        </w:rPr>
        <w:t xml:space="preserve">Першою складовою </w:t>
      </w:r>
      <w:r w:rsidRPr="005F0419">
        <w:rPr>
          <w:rFonts w:ascii="Times New Roman" w:hAnsi="Times New Roman" w:cs="Times New Roman"/>
          <w:sz w:val="28"/>
          <w:szCs w:val="28"/>
          <w:lang w:val="uk-UA"/>
        </w:rPr>
        <w:t>є дослідження процесу навчання та розвитку персоналу у ресторані.  На запитання «Хто, на Вашу думку, повинен навчати персонал навичок роботи з гостями», більшість (47%) погоджується з думкою, що це має бути менеджер з персоналу або ж наставник (старший офіціант) (рис.8).</w:t>
      </w:r>
    </w:p>
    <w:p w14:paraId="05CE164A" w14:textId="77777777" w:rsidR="00D42F9E" w:rsidRPr="005F0419" w:rsidRDefault="00D42F9E" w:rsidP="00D42F9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Відповідно до результатів опитування щодо попереднього запитання персонал переконаний, що основним джерелом отримання інформації в процесі своєї діяльності, допомоги у вирішення певних проблемних запитань є людина, яка є старшою за посадою (67%), тобто людина-наставник, який готовий надати певну інформацію щодо вирішення питань чи консультаційної допомоги.</w:t>
      </w:r>
    </w:p>
    <w:p w14:paraId="011803C5"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348E3299" wp14:editId="5AE43B76">
            <wp:extent cx="4618298" cy="2361236"/>
            <wp:effectExtent l="0" t="0" r="11430" b="1270"/>
            <wp:docPr id="653531994" name="Диаграмма 65353199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4"/>
              </a:graphicData>
            </a:graphic>
          </wp:inline>
        </w:drawing>
      </w:r>
    </w:p>
    <w:p w14:paraId="11555A4F" w14:textId="77777777" w:rsidR="00A55004" w:rsidRPr="005F0419" w:rsidRDefault="00A55004" w:rsidP="000F5283">
      <w:pPr>
        <w:spacing w:after="0" w:line="360" w:lineRule="auto"/>
        <w:ind w:firstLine="720"/>
        <w:jc w:val="center"/>
        <w:rPr>
          <w:rFonts w:ascii="Times New Roman" w:hAnsi="Times New Roman" w:cs="Times New Roman"/>
          <w:bCs/>
          <w:sz w:val="28"/>
          <w:szCs w:val="28"/>
          <w:lang w:val="uk-UA"/>
        </w:rPr>
      </w:pPr>
      <w:r w:rsidRPr="005F0419">
        <w:rPr>
          <w:rFonts w:ascii="Times New Roman" w:hAnsi="Times New Roman" w:cs="Times New Roman"/>
          <w:sz w:val="28"/>
          <w:szCs w:val="28"/>
          <w:lang w:val="uk-UA"/>
        </w:rPr>
        <w:t>Рис. 8. Хто, на Вашу думку, повинен навчати персонал навичок роботи з гостями?</w:t>
      </w:r>
    </w:p>
    <w:p w14:paraId="61305567" w14:textId="77777777" w:rsidR="000F5283" w:rsidRPr="005F0419" w:rsidRDefault="000F5283" w:rsidP="000F5283">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авторами.</w:t>
      </w:r>
    </w:p>
    <w:p w14:paraId="127655F4"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16018BBF" w14:textId="3C7C2DF8"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Позитивним є той факт, що у закладі застосовують внутрішні та зовнішні методи підвищення кваліфікації, а саме удосконалення вмінь та знань на робочому місці та різноманітні тренінги, участь у конференціях та майстер-</w:t>
      </w:r>
      <w:r w:rsidRPr="005F0419">
        <w:rPr>
          <w:rFonts w:ascii="Times New Roman" w:hAnsi="Times New Roman" w:cs="Times New Roman"/>
          <w:sz w:val="28"/>
          <w:szCs w:val="28"/>
          <w:lang w:val="uk-UA"/>
        </w:rPr>
        <w:lastRenderedPageBreak/>
        <w:t>класах, що у свою чергу дає змогу займатися самоосвітою. Свідченням того є результати опитування, які представлені у діаграмах (рис.</w:t>
      </w:r>
      <w:r w:rsidR="000F5283"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9</w:t>
      </w:r>
      <w:r w:rsidR="000F5283"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10).</w:t>
      </w:r>
    </w:p>
    <w:p w14:paraId="545AD47C" w14:textId="77777777" w:rsidR="00A55004" w:rsidRPr="005F0419" w:rsidRDefault="00A55004" w:rsidP="000F5283">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4FCBB538" wp14:editId="48EA6EB9">
            <wp:extent cx="3848582" cy="2129741"/>
            <wp:effectExtent l="0" t="0" r="0" b="4445"/>
            <wp:docPr id="653531995" name="Диаграмма 65353199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5"/>
              </a:graphicData>
            </a:graphic>
          </wp:inline>
        </w:drawing>
      </w:r>
    </w:p>
    <w:p w14:paraId="3B96786E" w14:textId="64F8569D" w:rsidR="00A55004" w:rsidRPr="005F0419" w:rsidRDefault="00A55004" w:rsidP="000F5283">
      <w:pPr>
        <w:tabs>
          <w:tab w:val="left" w:pos="1850"/>
        </w:tabs>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sidR="000F5283"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9. Які методи підвищення кваліфікації застосовують у Вашому закладі?</w:t>
      </w:r>
    </w:p>
    <w:p w14:paraId="2A015C4D" w14:textId="77777777" w:rsidR="000F5283" w:rsidRPr="005F0419" w:rsidRDefault="000F5283" w:rsidP="000F5283">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авторами.</w:t>
      </w:r>
    </w:p>
    <w:p w14:paraId="387DF404" w14:textId="77777777" w:rsidR="00A55004" w:rsidRPr="005F0419" w:rsidRDefault="00A55004" w:rsidP="000F5283">
      <w:pPr>
        <w:tabs>
          <w:tab w:val="left" w:pos="1850"/>
        </w:tabs>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33461512" wp14:editId="1C42F987">
            <wp:extent cx="4635661" cy="2673752"/>
            <wp:effectExtent l="0" t="0" r="12700" b="12700"/>
            <wp:docPr id="653531996" name="Диаграмма 65353199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6"/>
              </a:graphicData>
            </a:graphic>
          </wp:inline>
        </w:drawing>
      </w:r>
    </w:p>
    <w:p w14:paraId="5307010A" w14:textId="77777777" w:rsidR="00A55004" w:rsidRPr="005F0419" w:rsidRDefault="00A55004" w:rsidP="000F5283">
      <w:pPr>
        <w:tabs>
          <w:tab w:val="left" w:pos="1850"/>
        </w:tabs>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Рис.10. За допомогою яких ресурсів Ви займаєтеся самоосвітою?</w:t>
      </w:r>
    </w:p>
    <w:p w14:paraId="506B7068" w14:textId="77777777" w:rsidR="000F5283" w:rsidRPr="005F0419" w:rsidRDefault="000F5283" w:rsidP="000F5283">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авторами.</w:t>
      </w:r>
    </w:p>
    <w:p w14:paraId="4EBFB054" w14:textId="77777777" w:rsidR="00A55004" w:rsidRPr="005F0419" w:rsidRDefault="00A55004" w:rsidP="00877ECC">
      <w:pPr>
        <w:tabs>
          <w:tab w:val="left" w:pos="1850"/>
        </w:tabs>
        <w:spacing w:after="0" w:line="360" w:lineRule="auto"/>
        <w:ind w:firstLine="720"/>
        <w:jc w:val="both"/>
        <w:rPr>
          <w:rFonts w:ascii="Times New Roman" w:hAnsi="Times New Roman" w:cs="Times New Roman"/>
          <w:sz w:val="28"/>
          <w:szCs w:val="28"/>
          <w:lang w:val="uk-UA"/>
        </w:rPr>
      </w:pPr>
    </w:p>
    <w:p w14:paraId="4D50FD59" w14:textId="77777777" w:rsidR="00D42F9E" w:rsidRDefault="00A55004" w:rsidP="00877ECC">
      <w:pPr>
        <w:tabs>
          <w:tab w:val="left" w:pos="185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lang w:val="uk-UA"/>
        </w:rPr>
        <w:t>Другою складовою</w:t>
      </w:r>
      <w:r w:rsidRPr="005F0419">
        <w:rPr>
          <w:rFonts w:ascii="Times New Roman" w:hAnsi="Times New Roman" w:cs="Times New Roman"/>
          <w:sz w:val="28"/>
          <w:szCs w:val="28"/>
          <w:lang w:val="uk-UA"/>
        </w:rPr>
        <w:t xml:space="preserve"> нашого опитування є дослідження питань щодо адаптації та оцінювання персоналу у ресторані «Жаровня на Замку». Нам вдалося виявити, що у закладі використовують такі методи адаптації персоналу, як контакт керівника і новачка та поступове ускладнення завдань (рис.11). </w:t>
      </w:r>
    </w:p>
    <w:p w14:paraId="29C3A357" w14:textId="77777777" w:rsidR="00A55004" w:rsidRPr="005F0419" w:rsidRDefault="00A55004" w:rsidP="00877ECC">
      <w:pPr>
        <w:tabs>
          <w:tab w:val="left" w:pos="185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lastRenderedPageBreak/>
        <w:drawing>
          <wp:inline distT="0" distB="0" distL="0" distR="0" wp14:anchorId="666A526E" wp14:editId="12C9FD34">
            <wp:extent cx="5289550" cy="2781300"/>
            <wp:effectExtent l="0" t="0" r="6350" b="0"/>
            <wp:docPr id="653531997" name="Диаграмма 65353199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7"/>
              </a:graphicData>
            </a:graphic>
          </wp:inline>
        </w:drawing>
      </w:r>
    </w:p>
    <w:p w14:paraId="515DFA39" w14:textId="77777777" w:rsidR="00A55004" w:rsidRPr="005F0419" w:rsidRDefault="00A55004" w:rsidP="000F5283">
      <w:pPr>
        <w:tabs>
          <w:tab w:val="left" w:pos="1850"/>
        </w:tabs>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Рис.11. Які із методів адаптації персоналу застосовують у Вашому закладі?</w:t>
      </w:r>
    </w:p>
    <w:p w14:paraId="3329067F" w14:textId="17BAAE4F" w:rsidR="000F5283" w:rsidRDefault="000F5283" w:rsidP="000F5283">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авторами.</w:t>
      </w:r>
    </w:p>
    <w:p w14:paraId="5D6E30EC" w14:textId="77777777" w:rsidR="00D42F9E" w:rsidRPr="005F0419" w:rsidRDefault="00D42F9E" w:rsidP="00D42F9E">
      <w:pPr>
        <w:tabs>
          <w:tab w:val="left" w:pos="185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Це свідчить про те, що комунікаційний зв'язок керівника підприємства і усіх членів колективу є досить тісним, адже, як згадувалося вище, на основі лінійної організаційної структури закладу – є пряме підпорядкування кожного працівника безпосередньо керівнику. Також варто зазначити, що 80% персоналу відзначили, що задоволені взаємовідносинами в колективі та зі своїм керівником. </w:t>
      </w:r>
    </w:p>
    <w:p w14:paraId="0B7418A4" w14:textId="77777777" w:rsidR="00A55004" w:rsidRPr="005F0419" w:rsidRDefault="00A55004" w:rsidP="00877ECC">
      <w:pPr>
        <w:tabs>
          <w:tab w:val="left" w:pos="185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Важливим етапом роботи працівників у закладах індустрії гостинності є процес оцінювання. Свідченням того є результати дослідження, які виявили, що у ресторані «Жаровня на Замку» проводиться перевірка професійних знань (80%) та атестація персоналу (47%) (рис.12). </w:t>
      </w:r>
    </w:p>
    <w:p w14:paraId="1CA38685" w14:textId="77777777" w:rsidR="00A55004" w:rsidRPr="005F0419" w:rsidRDefault="00A55004" w:rsidP="000F5283">
      <w:pPr>
        <w:tabs>
          <w:tab w:val="left" w:pos="1850"/>
        </w:tabs>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6769F6A4" wp14:editId="76826724">
            <wp:extent cx="4184249" cy="2286000"/>
            <wp:effectExtent l="0" t="0" r="6985"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8"/>
              </a:graphicData>
            </a:graphic>
          </wp:inline>
        </w:drawing>
      </w:r>
    </w:p>
    <w:p w14:paraId="486C4EE5" w14:textId="77777777" w:rsidR="00A55004" w:rsidRPr="005F0419" w:rsidRDefault="00A55004" w:rsidP="00877ECC">
      <w:pPr>
        <w:tabs>
          <w:tab w:val="left" w:pos="185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Рис.12. Які методи оцінювання персоналу застосовують у Вашому закладі?</w:t>
      </w:r>
    </w:p>
    <w:p w14:paraId="03BBC618" w14:textId="77777777" w:rsidR="000F5283" w:rsidRPr="005F0419" w:rsidRDefault="000F5283" w:rsidP="000F5283">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авторами.</w:t>
      </w:r>
    </w:p>
    <w:p w14:paraId="7E1B71F7" w14:textId="77777777" w:rsidR="00A55004" w:rsidRPr="005F0419" w:rsidRDefault="00A55004" w:rsidP="00877ECC">
      <w:pPr>
        <w:tabs>
          <w:tab w:val="left" w:pos="1850"/>
        </w:tabs>
        <w:spacing w:after="0" w:line="360" w:lineRule="auto"/>
        <w:ind w:firstLine="720"/>
        <w:jc w:val="both"/>
        <w:rPr>
          <w:rFonts w:ascii="Times New Roman" w:hAnsi="Times New Roman" w:cs="Times New Roman"/>
          <w:sz w:val="28"/>
          <w:szCs w:val="28"/>
          <w:lang w:val="uk-UA"/>
        </w:rPr>
      </w:pPr>
    </w:p>
    <w:p w14:paraId="7DF01B92" w14:textId="77777777" w:rsidR="00A55004" w:rsidRPr="005F0419" w:rsidRDefault="00A55004" w:rsidP="00877ECC">
      <w:pPr>
        <w:tabs>
          <w:tab w:val="left" w:pos="185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Варто зазначити, що більшість персоналу (9 із 15) працюють не за своєю спеціальністю відповідно до рівня освіти. Але керівник закладу досить </w:t>
      </w:r>
      <w:proofErr w:type="spellStart"/>
      <w:r w:rsidRPr="005F0419">
        <w:rPr>
          <w:rFonts w:ascii="Times New Roman" w:hAnsi="Times New Roman" w:cs="Times New Roman"/>
          <w:sz w:val="28"/>
          <w:szCs w:val="28"/>
          <w:lang w:val="uk-UA"/>
        </w:rPr>
        <w:t>відповідально</w:t>
      </w:r>
      <w:proofErr w:type="spellEnd"/>
      <w:r w:rsidRPr="005F0419">
        <w:rPr>
          <w:rFonts w:ascii="Times New Roman" w:hAnsi="Times New Roman" w:cs="Times New Roman"/>
          <w:sz w:val="28"/>
          <w:szCs w:val="28"/>
          <w:lang w:val="uk-UA"/>
        </w:rPr>
        <w:t xml:space="preserve"> вирішує питання адаптації таких працівників та проводить первинну професійну підготовку перед виконанням своїх обов’язків, регулярну атестацію. </w:t>
      </w:r>
    </w:p>
    <w:p w14:paraId="7F5EA034" w14:textId="77777777" w:rsidR="00A55004" w:rsidRPr="005F0419" w:rsidRDefault="00A55004" w:rsidP="00877ECC">
      <w:pPr>
        <w:tabs>
          <w:tab w:val="left" w:pos="185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Не менш важливим аспектом діяльності підприємств </w:t>
      </w:r>
      <w:proofErr w:type="spellStart"/>
      <w:r w:rsidRPr="005F0419">
        <w:rPr>
          <w:rFonts w:ascii="Times New Roman" w:hAnsi="Times New Roman" w:cs="Times New Roman"/>
          <w:sz w:val="28"/>
          <w:szCs w:val="28"/>
          <w:lang w:val="uk-UA"/>
        </w:rPr>
        <w:t>готельно</w:t>
      </w:r>
      <w:proofErr w:type="spellEnd"/>
      <w:r w:rsidRPr="005F0419">
        <w:rPr>
          <w:rFonts w:ascii="Times New Roman" w:hAnsi="Times New Roman" w:cs="Times New Roman"/>
          <w:sz w:val="28"/>
          <w:szCs w:val="28"/>
          <w:lang w:val="uk-UA"/>
        </w:rPr>
        <w:t xml:space="preserve">-ресторанного бізнесу є мотивація персоналу </w:t>
      </w:r>
      <w:r w:rsidRPr="005F0419">
        <w:rPr>
          <w:rFonts w:ascii="Times New Roman" w:hAnsi="Times New Roman" w:cs="Times New Roman"/>
          <w:i/>
          <w:sz w:val="28"/>
          <w:szCs w:val="28"/>
          <w:lang w:val="uk-UA"/>
        </w:rPr>
        <w:t>(третя складова дослідження),</w:t>
      </w:r>
      <w:r w:rsidRPr="005F0419">
        <w:rPr>
          <w:rFonts w:ascii="Times New Roman" w:hAnsi="Times New Roman" w:cs="Times New Roman"/>
          <w:sz w:val="28"/>
          <w:szCs w:val="28"/>
          <w:lang w:val="uk-UA"/>
        </w:rPr>
        <w:t xml:space="preserve"> тобто створення сприятливих умов і стимулів, які спонукають співробітників працювати з більшою самовіддачею, з націленістю на якість і результат. Сьогодні для працівників не є першочерговим методом мотивації фінансова складова (6,9 – заробітна плата, 5,3 – премії, 2,7 – пільги), а основним </w:t>
      </w:r>
      <w:proofErr w:type="spellStart"/>
      <w:r w:rsidRPr="005F0419">
        <w:rPr>
          <w:rFonts w:ascii="Times New Roman" w:hAnsi="Times New Roman" w:cs="Times New Roman"/>
          <w:sz w:val="28"/>
          <w:szCs w:val="28"/>
          <w:lang w:val="uk-UA"/>
        </w:rPr>
        <w:t>мотиватором</w:t>
      </w:r>
      <w:proofErr w:type="spellEnd"/>
      <w:r w:rsidRPr="005F0419">
        <w:rPr>
          <w:rFonts w:ascii="Times New Roman" w:hAnsi="Times New Roman" w:cs="Times New Roman"/>
          <w:sz w:val="28"/>
          <w:szCs w:val="28"/>
          <w:lang w:val="uk-UA"/>
        </w:rPr>
        <w:t xml:space="preserve"> виступають хороші умови праці (9,1) та можливість кар’єрного росту (8,3) (рис.13). Відповідно керівник ресторану дбає про розвиток свого колективу та дає можливість просуватися по кар’єрним сходинкам і вдосконалюватися як фахівець. </w:t>
      </w:r>
    </w:p>
    <w:p w14:paraId="244F5B42" w14:textId="77777777" w:rsidR="00A55004" w:rsidRPr="005F0419" w:rsidRDefault="00A55004" w:rsidP="000F5283">
      <w:pPr>
        <w:tabs>
          <w:tab w:val="left" w:pos="1850"/>
        </w:tabs>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7E6885E2" wp14:editId="65367928">
            <wp:extent cx="5556885" cy="3220279"/>
            <wp:effectExtent l="0" t="0" r="5715" b="18415"/>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9"/>
              </a:graphicData>
            </a:graphic>
          </wp:inline>
        </w:drawing>
      </w:r>
    </w:p>
    <w:p w14:paraId="136CB451" w14:textId="59694654" w:rsidR="00A55004" w:rsidRPr="005F0419" w:rsidRDefault="00A55004" w:rsidP="000F5283">
      <w:pPr>
        <w:tabs>
          <w:tab w:val="left" w:pos="1850"/>
        </w:tabs>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Рис.13. Оцініть, будь ласка, ступінь важливості методів мотивації праці</w:t>
      </w:r>
    </w:p>
    <w:p w14:paraId="7A6A41BF" w14:textId="77777777" w:rsidR="000F5283" w:rsidRPr="005F0419" w:rsidRDefault="000F5283" w:rsidP="000F5283">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авторами.</w:t>
      </w:r>
    </w:p>
    <w:p w14:paraId="4C4E49E3" w14:textId="77777777" w:rsidR="00A55004" w:rsidRPr="005F0419" w:rsidRDefault="00A55004" w:rsidP="00877ECC">
      <w:pPr>
        <w:tabs>
          <w:tab w:val="left" w:pos="1850"/>
        </w:tabs>
        <w:spacing w:after="0" w:line="360" w:lineRule="auto"/>
        <w:ind w:firstLine="720"/>
        <w:jc w:val="both"/>
        <w:rPr>
          <w:rFonts w:ascii="Times New Roman" w:hAnsi="Times New Roman" w:cs="Times New Roman"/>
          <w:sz w:val="28"/>
          <w:szCs w:val="28"/>
          <w:lang w:val="uk-UA"/>
        </w:rPr>
      </w:pPr>
    </w:p>
    <w:p w14:paraId="2D08D2EF" w14:textId="77777777" w:rsidR="00D42F9E" w:rsidRPr="005F0419" w:rsidRDefault="00D42F9E" w:rsidP="00D42F9E">
      <w:pPr>
        <w:tabs>
          <w:tab w:val="left" w:pos="185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На нашу думку, так як персонал низько оцінив ступінь важливості такого </w:t>
      </w:r>
      <w:proofErr w:type="spellStart"/>
      <w:r w:rsidRPr="005F0419">
        <w:rPr>
          <w:rFonts w:ascii="Times New Roman" w:hAnsi="Times New Roman" w:cs="Times New Roman"/>
          <w:sz w:val="28"/>
          <w:szCs w:val="28"/>
          <w:lang w:val="uk-UA"/>
        </w:rPr>
        <w:t>мотиватора</w:t>
      </w:r>
      <w:proofErr w:type="spellEnd"/>
      <w:r w:rsidRPr="005F0419">
        <w:rPr>
          <w:rFonts w:ascii="Times New Roman" w:hAnsi="Times New Roman" w:cs="Times New Roman"/>
          <w:sz w:val="28"/>
          <w:szCs w:val="28"/>
          <w:lang w:val="uk-UA"/>
        </w:rPr>
        <w:t>, як подарунки, то керівнику закладу варто було б зосередити свої матеріальні та організаційні ресурси на умовах праці, аніж на подарунки.</w:t>
      </w:r>
    </w:p>
    <w:p w14:paraId="727567B9" w14:textId="77777777" w:rsidR="00A55004" w:rsidRPr="005F0419" w:rsidRDefault="00A55004" w:rsidP="00877ECC">
      <w:pPr>
        <w:tabs>
          <w:tab w:val="left" w:pos="185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Більшість працівників зазначають, що мотивація праці у ресторані є ефективною, але все ж 33% з персоналу не впевнені у її ефективності (рис.14), що дозволяє зробити висновок про удосконалення мотиваційної програми ресторану. </w:t>
      </w:r>
    </w:p>
    <w:p w14:paraId="5DE83B58" w14:textId="3F8633AC" w:rsidR="00A55004" w:rsidRDefault="00A55004" w:rsidP="00877ECC">
      <w:pPr>
        <w:tabs>
          <w:tab w:val="left" w:pos="2269"/>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 нашу думку, можна стверджувати про досить позитивну атмосферу, яка притаманна колективу ресторану «Жаровня на Замку», адже працівники відмітили досить високими оцінками критерії, які приваблюють кожного працювати саме у цьому підприємстві (рис. 15). Якщо враховувати середнє  значення оцінки критеріїв, то кожен із них має місце у роботі членів колективу. </w:t>
      </w:r>
    </w:p>
    <w:p w14:paraId="34FD6BCA" w14:textId="77777777" w:rsidR="00D42F9E" w:rsidRPr="005F0419" w:rsidRDefault="00D42F9E" w:rsidP="00D42F9E">
      <w:pPr>
        <w:tabs>
          <w:tab w:val="left" w:pos="185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0CF6896A" wp14:editId="69026818">
            <wp:extent cx="5376545" cy="2286000"/>
            <wp:effectExtent l="0" t="0" r="14605" b="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0"/>
              </a:graphicData>
            </a:graphic>
          </wp:inline>
        </w:drawing>
      </w:r>
    </w:p>
    <w:p w14:paraId="791D032A" w14:textId="77777777" w:rsidR="00D42F9E" w:rsidRPr="005F0419" w:rsidRDefault="00D42F9E" w:rsidP="00D42F9E">
      <w:pPr>
        <w:tabs>
          <w:tab w:val="left" w:pos="2269"/>
        </w:tabs>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Рис.14. Чи згідні Ви, що система мотивації, яка існує у Вашому закладі є ефективною?</w:t>
      </w:r>
    </w:p>
    <w:p w14:paraId="690F59D7" w14:textId="77777777" w:rsidR="00D42F9E" w:rsidRPr="005F0419" w:rsidRDefault="00D42F9E" w:rsidP="00D42F9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авторами.</w:t>
      </w:r>
    </w:p>
    <w:p w14:paraId="1A7927ED" w14:textId="77777777" w:rsidR="00D42F9E" w:rsidRPr="005F0419" w:rsidRDefault="00D42F9E" w:rsidP="00877ECC">
      <w:pPr>
        <w:tabs>
          <w:tab w:val="left" w:pos="2269"/>
        </w:tabs>
        <w:spacing w:after="0" w:line="360" w:lineRule="auto"/>
        <w:ind w:firstLine="720"/>
        <w:jc w:val="both"/>
        <w:rPr>
          <w:rFonts w:ascii="Times New Roman" w:hAnsi="Times New Roman" w:cs="Times New Roman"/>
          <w:sz w:val="28"/>
          <w:szCs w:val="28"/>
          <w:lang w:val="uk-UA"/>
        </w:rPr>
      </w:pPr>
    </w:p>
    <w:p w14:paraId="3139822D" w14:textId="77777777" w:rsidR="00A55004" w:rsidRPr="005F0419" w:rsidRDefault="00A55004" w:rsidP="00877ECC">
      <w:pPr>
        <w:tabs>
          <w:tab w:val="left" w:pos="2269"/>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lastRenderedPageBreak/>
        <w:drawing>
          <wp:inline distT="0" distB="0" distL="0" distR="0" wp14:anchorId="6F4DFEBB" wp14:editId="48A147D0">
            <wp:extent cx="4939497" cy="3023885"/>
            <wp:effectExtent l="0" t="0" r="13970" b="5080"/>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1"/>
              </a:graphicData>
            </a:graphic>
          </wp:inline>
        </w:drawing>
      </w:r>
    </w:p>
    <w:p w14:paraId="0643BEB6" w14:textId="77777777" w:rsidR="00A55004" w:rsidRPr="005F0419" w:rsidRDefault="00A55004" w:rsidP="000F5283">
      <w:pPr>
        <w:tabs>
          <w:tab w:val="left" w:pos="1540"/>
        </w:tabs>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15. Що приваблює Вас працювати у ресторані «Жаровня на Замку»?</w:t>
      </w:r>
    </w:p>
    <w:p w14:paraId="6E4CDE69" w14:textId="77777777" w:rsidR="000F5283" w:rsidRPr="005F0419" w:rsidRDefault="000F5283" w:rsidP="000F5283">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авторами.</w:t>
      </w:r>
    </w:p>
    <w:p w14:paraId="6FF7EEBB" w14:textId="77777777" w:rsidR="00A55004" w:rsidRPr="005F0419" w:rsidRDefault="00A55004" w:rsidP="00877ECC">
      <w:pPr>
        <w:tabs>
          <w:tab w:val="left" w:pos="1540"/>
        </w:tabs>
        <w:spacing w:after="0" w:line="360" w:lineRule="auto"/>
        <w:ind w:firstLine="720"/>
        <w:jc w:val="both"/>
        <w:rPr>
          <w:rFonts w:ascii="Times New Roman" w:hAnsi="Times New Roman" w:cs="Times New Roman"/>
          <w:sz w:val="28"/>
          <w:szCs w:val="28"/>
          <w:lang w:val="uk-UA"/>
        </w:rPr>
      </w:pPr>
    </w:p>
    <w:p w14:paraId="158E78FE" w14:textId="77777777" w:rsidR="00A55004" w:rsidRPr="005F0419" w:rsidRDefault="00A55004" w:rsidP="00877ECC">
      <w:pPr>
        <w:tabs>
          <w:tab w:val="left" w:pos="154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Більшість працівників ресторану – це молоді люди, які працюють у закладі 1-3 роки (60%) та володіють базовою або вищою освітою. Саме тому, ми вважаємо, що керівнику закладу варто зосередити увагу на постійному розвитку колективу: організовувати тренінги, майстер-класи, конкурси та відкриті зустрічі із представниками ресторанного бізнесу, в якості подарунків – безкоштовне навчання чи участь у бізнес-</w:t>
      </w:r>
      <w:proofErr w:type="spellStart"/>
      <w:r w:rsidRPr="005F0419">
        <w:rPr>
          <w:rFonts w:ascii="Times New Roman" w:hAnsi="Times New Roman" w:cs="Times New Roman"/>
          <w:sz w:val="28"/>
          <w:szCs w:val="28"/>
          <w:lang w:val="uk-UA"/>
        </w:rPr>
        <w:t>проєктах</w:t>
      </w:r>
      <w:proofErr w:type="spellEnd"/>
      <w:r w:rsidRPr="005F0419">
        <w:rPr>
          <w:rFonts w:ascii="Times New Roman" w:hAnsi="Times New Roman" w:cs="Times New Roman"/>
          <w:sz w:val="28"/>
          <w:szCs w:val="28"/>
          <w:lang w:val="uk-UA"/>
        </w:rPr>
        <w:t xml:space="preserve"> тощо. </w:t>
      </w:r>
    </w:p>
    <w:p w14:paraId="15C461E5" w14:textId="77777777" w:rsidR="00A55004" w:rsidRPr="005F0419" w:rsidRDefault="00A55004" w:rsidP="00877ECC">
      <w:pPr>
        <w:tabs>
          <w:tab w:val="left" w:pos="1540"/>
        </w:tab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Таким чином, проведене анкетування дає змогу зробити висновок, що у ресторані «Жаровня на Замку» процес управління розвитком персоналу здійснюється на хорошому рівні адже добре налагоджений комунікативний зв'язок між керівником та працівниками, який дбає про розвиток членів своєї команди та якість формування іміджу закладу. Та все ж, на нашу думку, є ряд проблемних питань, які варто вирішити та удосконалити процес управління розвитком персоналу у ресторані «Жаровня на Замку». </w:t>
      </w:r>
    </w:p>
    <w:p w14:paraId="29EC5BD2"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Проведені дослідження дають змогу зробити висновок, що для ресторану «Жаровня на Замку» удосконалення професійного розвитку персоналу є важливою складовою загального розвитку закладу. Тому, до основних методів формування професійного потенціалу працівників ресторану слід віднести:</w:t>
      </w:r>
    </w:p>
    <w:p w14:paraId="6B8B41A8"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 створення ціннісних характеристик персоналу шляхом використання новітніх форм і методів навчання;</w:t>
      </w:r>
    </w:p>
    <w:p w14:paraId="5862B6FA"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забезпечення системи передачі знань, умінь і навиків передових працівників;</w:t>
      </w:r>
    </w:p>
    <w:p w14:paraId="5E1272DB"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залучення висококваліфікованого персоналу, що володіє високим потенціалом;</w:t>
      </w:r>
    </w:p>
    <w:p w14:paraId="04CD13D4"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розробка дієвої системи професійної орієнтації і адаптації тих що навчаються в учбових закладах.</w:t>
      </w:r>
    </w:p>
    <w:p w14:paraId="4A7E5E71"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Організація розвитку персоналу ресторану будується на інтелекті персоналу і його навчанні. Тому ми пропонуємо, насамперед, </w:t>
      </w:r>
      <w:r w:rsidRPr="005F0419">
        <w:rPr>
          <w:rFonts w:ascii="Times New Roman" w:eastAsia="Times New Roman" w:hAnsi="Times New Roman" w:cs="Times New Roman"/>
          <w:i/>
          <w:sz w:val="28"/>
          <w:szCs w:val="28"/>
          <w:lang w:val="uk-UA"/>
        </w:rPr>
        <w:t>розробити керівнику програми професійного розвитку персоналу, у якій слід враховувати, що працівники відрізняються між собою:</w:t>
      </w:r>
      <w:r w:rsidRPr="005F0419">
        <w:rPr>
          <w:rFonts w:ascii="Times New Roman" w:eastAsia="Times New Roman" w:hAnsi="Times New Roman" w:cs="Times New Roman"/>
          <w:sz w:val="28"/>
          <w:szCs w:val="28"/>
          <w:lang w:val="uk-UA"/>
        </w:rPr>
        <w:t xml:space="preserve"> отриманою базовою освітою (більшість працює не за спеціальністю відповідно до освіти), стажем роботи та кар'єрними устремліннями.</w:t>
      </w:r>
    </w:p>
    <w:p w14:paraId="6CF9F841"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i/>
          <w:sz w:val="28"/>
          <w:szCs w:val="28"/>
          <w:lang w:val="uk-UA"/>
        </w:rPr>
      </w:pPr>
      <w:r w:rsidRPr="005F0419">
        <w:rPr>
          <w:rFonts w:ascii="Times New Roman" w:eastAsia="Times New Roman" w:hAnsi="Times New Roman" w:cs="Times New Roman"/>
          <w:sz w:val="28"/>
          <w:szCs w:val="28"/>
          <w:lang w:val="uk-UA"/>
        </w:rPr>
        <w:t xml:space="preserve">На основі цього, ресторану «Жаровня на Замку» слід </w:t>
      </w:r>
      <w:r w:rsidRPr="005F0419">
        <w:rPr>
          <w:rFonts w:ascii="Times New Roman" w:eastAsia="Times New Roman" w:hAnsi="Times New Roman" w:cs="Times New Roman"/>
          <w:i/>
          <w:sz w:val="28"/>
          <w:szCs w:val="28"/>
          <w:lang w:val="uk-UA"/>
        </w:rPr>
        <w:t>розділити учасників програм розвитку персоналу на такі категорії:</w:t>
      </w:r>
    </w:p>
    <w:p w14:paraId="4CB5C255"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працівників, які мають профільну освіту, але не мають досвіду роботи та практичних навичок. Для цієї категорії працівників навчальний курс може містити мінімум теоретичного матеріалу, основна увага повинна приділятися якісно новим тенденціям у сфері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-ресторанного бізнесу, а основу розвиваючих програм повинні скласти практичні та ситуаційні завдання, тренінги, стажування.</w:t>
      </w:r>
    </w:p>
    <w:p w14:paraId="73ED264B"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працівників з досвідом роботи у сфері індустрії гостинності, але без профільної освіти. Дана категорія працівників вимагає викладу теоретичних основ, отримання систематизованих знань, які дозволяють бачити проблеми щоденної практичної роботи ширше і глибше. Практичні ж завдання навчального курсу повинні бути спрямовані на вдосконалення наявних навичок роботи і придбання нових.</w:t>
      </w:r>
    </w:p>
    <w:p w14:paraId="6BE30F44"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працівників з профільною освітою та багатим досвідом роботи у сфері індустрії гостинності, для яких навчання є необхідною складовою кар'єрного </w:t>
      </w:r>
      <w:r w:rsidRPr="005F0419">
        <w:rPr>
          <w:rFonts w:ascii="Times New Roman" w:eastAsia="Times New Roman" w:hAnsi="Times New Roman" w:cs="Times New Roman"/>
          <w:sz w:val="28"/>
          <w:szCs w:val="28"/>
          <w:lang w:val="uk-UA"/>
        </w:rPr>
        <w:lastRenderedPageBreak/>
        <w:t>зростання. Для даної категорії працівників навчальні програми повинні в першу чергу концентруватися на отриманні знань про новітні технології, новаторських підходах, про передовий та зарубіжний досвід, а також отримання теоретичних знань у сфері менеджменту.</w:t>
      </w:r>
    </w:p>
    <w:p w14:paraId="00CDA602"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Схематично програма розвитку персоналу ресторану «Жаровня на Замку» за категоріями зображена на рисунку (рис.16). </w:t>
      </w:r>
    </w:p>
    <w:p w14:paraId="6C664968" w14:textId="02243B6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Також при розробці програми розвитку працівника слід враховувати наступне: при надходженні молодого або нового працівника до ресторану, його варто спершу піддати тестуванню і співбесіді для виявлення його творчого і професійного потенціалу. При позитивній оцінці можливостей і настільки ж позитивних відгуках про його відношення до професійних обов’язків необхідно разом з ним скласти детальну програму його професійного росту у ресторані. Вона повинна включати як питання обов’язкового теоретичного навчання в сполученні з практичною діяльністю, так і можливості навчання з відривом від діяльності й обов’язковим поверненням у ресторані для наступної роботи, а також періоди обов’язкового стажування. Якщо ж у програму крім професійних питань включити і зведення про передбачувану матеріальну винагороду, це створить гарну основу для націленості молодого фахівця й у значній мірі на тривалу перспективу визначить його мотивацію [7, 38].</w:t>
      </w:r>
    </w:p>
    <w:p w14:paraId="2B1AFAD8"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noProof/>
          <w:sz w:val="28"/>
          <w:szCs w:val="28"/>
          <w:lang w:val="uk-UA"/>
        </w:rPr>
        <w:lastRenderedPageBreak/>
        <mc:AlternateContent>
          <mc:Choice Requires="wpc">
            <w:drawing>
              <wp:inline distT="0" distB="0" distL="0" distR="0" wp14:anchorId="086C45D0" wp14:editId="3B614A7D">
                <wp:extent cx="5829300" cy="4096385"/>
                <wp:effectExtent l="0" t="635" r="3810" b="0"/>
                <wp:docPr id="179" name="Полотно 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38305396" name="AutoShape 12"/>
                        <wps:cNvSpPr>
                          <a:spLocks noChangeArrowheads="1"/>
                        </wps:cNvSpPr>
                        <wps:spPr bwMode="auto">
                          <a:xfrm>
                            <a:off x="1143100" y="114002"/>
                            <a:ext cx="3543000" cy="685614"/>
                          </a:xfrm>
                          <a:prstGeom prst="roundRect">
                            <a:avLst>
                              <a:gd name="adj" fmla="val 16667"/>
                            </a:avLst>
                          </a:prstGeom>
                          <a:solidFill>
                            <a:srgbClr val="FFFFFF"/>
                          </a:solidFill>
                          <a:ln w="9525">
                            <a:solidFill>
                              <a:srgbClr val="000000"/>
                            </a:solidFill>
                            <a:round/>
                            <a:headEnd/>
                            <a:tailEnd/>
                          </a:ln>
                        </wps:spPr>
                        <wps:txbx>
                          <w:txbxContent>
                            <w:p w14:paraId="44239029" w14:textId="77777777" w:rsidR="00571B42" w:rsidRPr="000F5283" w:rsidRDefault="00571B42" w:rsidP="000F5283">
                              <w:pPr>
                                <w:spacing w:after="0" w:line="240" w:lineRule="auto"/>
                                <w:jc w:val="center"/>
                                <w:rPr>
                                  <w:rFonts w:ascii="Times New Roman" w:hAnsi="Times New Roman" w:cs="Times New Roman"/>
                                  <w:b/>
                                  <w:sz w:val="24"/>
                                  <w:szCs w:val="24"/>
                                  <w:lang w:val="uk-UA"/>
                                </w:rPr>
                              </w:pPr>
                            </w:p>
                            <w:p w14:paraId="235E50AF" w14:textId="77777777" w:rsidR="00571B42" w:rsidRPr="000F5283" w:rsidRDefault="00571B42" w:rsidP="000F5283">
                              <w:pPr>
                                <w:spacing w:after="0" w:line="240" w:lineRule="auto"/>
                                <w:jc w:val="center"/>
                                <w:rPr>
                                  <w:rFonts w:ascii="Times New Roman" w:hAnsi="Times New Roman" w:cs="Times New Roman"/>
                                  <w:b/>
                                  <w:sz w:val="24"/>
                                  <w:szCs w:val="24"/>
                                  <w:lang w:val="uk-UA"/>
                                </w:rPr>
                              </w:pPr>
                              <w:r w:rsidRPr="000F5283">
                                <w:rPr>
                                  <w:rFonts w:ascii="Times New Roman" w:hAnsi="Times New Roman" w:cs="Times New Roman"/>
                                  <w:b/>
                                  <w:sz w:val="24"/>
                                  <w:szCs w:val="24"/>
                                  <w:lang w:val="uk-UA"/>
                                </w:rPr>
                                <w:t>Розвиток персоналу за категоріями</w:t>
                              </w:r>
                            </w:p>
                          </w:txbxContent>
                        </wps:txbx>
                        <wps:bodyPr rot="0" vert="horz" wrap="square" lIns="91440" tIns="45720" rIns="91440" bIns="45720" anchor="t" anchorCtr="0" upright="1">
                          <a:noAutofit/>
                        </wps:bodyPr>
                      </wps:wsp>
                      <wps:wsp>
                        <wps:cNvPr id="938272100" name="Line 13"/>
                        <wps:cNvCnPr>
                          <a:cxnSpLocks noChangeShapeType="1"/>
                        </wps:cNvCnPr>
                        <wps:spPr bwMode="auto">
                          <a:xfrm>
                            <a:off x="2857100" y="799617"/>
                            <a:ext cx="800" cy="2289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77070163" name="Line 14"/>
                        <wps:cNvCnPr>
                          <a:cxnSpLocks noChangeShapeType="1"/>
                        </wps:cNvCnPr>
                        <wps:spPr bwMode="auto">
                          <a:xfrm>
                            <a:off x="1485600" y="799617"/>
                            <a:ext cx="800" cy="2289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0457973" name="Line 15"/>
                        <wps:cNvCnPr>
                          <a:cxnSpLocks noChangeShapeType="1"/>
                        </wps:cNvCnPr>
                        <wps:spPr bwMode="auto">
                          <a:xfrm>
                            <a:off x="4343600" y="799617"/>
                            <a:ext cx="800" cy="229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96934498" name="Rectangle 16"/>
                        <wps:cNvSpPr>
                          <a:spLocks noChangeArrowheads="1"/>
                        </wps:cNvSpPr>
                        <wps:spPr bwMode="auto">
                          <a:xfrm>
                            <a:off x="821800" y="1028521"/>
                            <a:ext cx="1235400" cy="1371328"/>
                          </a:xfrm>
                          <a:prstGeom prst="rect">
                            <a:avLst/>
                          </a:prstGeom>
                          <a:solidFill>
                            <a:srgbClr val="FFFFFF"/>
                          </a:solidFill>
                          <a:ln w="9525">
                            <a:solidFill>
                              <a:srgbClr val="000000"/>
                            </a:solidFill>
                            <a:miter lim="800000"/>
                            <a:headEnd/>
                            <a:tailEnd/>
                          </a:ln>
                        </wps:spPr>
                        <wps:txbx>
                          <w:txbxContent>
                            <w:p w14:paraId="744A109A" w14:textId="77777777" w:rsidR="00571B42" w:rsidRPr="000F5283" w:rsidRDefault="00571B42" w:rsidP="000F5283">
                              <w:pPr>
                                <w:spacing w:after="0" w:line="240" w:lineRule="auto"/>
                                <w:jc w:val="center"/>
                                <w:rPr>
                                  <w:rFonts w:ascii="Times New Roman" w:hAnsi="Times New Roman" w:cs="Times New Roman"/>
                                  <w:sz w:val="24"/>
                                  <w:szCs w:val="24"/>
                                </w:rPr>
                              </w:pPr>
                              <w:r w:rsidRPr="000F5283">
                                <w:rPr>
                                  <w:rFonts w:ascii="Times New Roman" w:hAnsi="Times New Roman" w:cs="Times New Roman"/>
                                  <w:sz w:val="24"/>
                                  <w:szCs w:val="24"/>
                                  <w:lang w:val="uk-UA"/>
                                </w:rPr>
                                <w:t>Працівники,з профільною освітою без досвіду роботи у сфері індустрії гостинності</w:t>
                              </w:r>
                            </w:p>
                          </w:txbxContent>
                        </wps:txbx>
                        <wps:bodyPr rot="0" vert="horz" wrap="square" lIns="91440" tIns="45720" rIns="91440" bIns="45720" anchor="t" anchorCtr="0" upright="1">
                          <a:noAutofit/>
                        </wps:bodyPr>
                      </wps:wsp>
                      <wps:wsp>
                        <wps:cNvPr id="1039614243" name="Rectangle 17"/>
                        <wps:cNvSpPr>
                          <a:spLocks noChangeArrowheads="1"/>
                        </wps:cNvSpPr>
                        <wps:spPr bwMode="auto">
                          <a:xfrm>
                            <a:off x="821800" y="2628655"/>
                            <a:ext cx="1237000" cy="1329928"/>
                          </a:xfrm>
                          <a:prstGeom prst="rect">
                            <a:avLst/>
                          </a:prstGeom>
                          <a:solidFill>
                            <a:srgbClr val="FFFFFF"/>
                          </a:solidFill>
                          <a:ln w="9525">
                            <a:solidFill>
                              <a:srgbClr val="000000"/>
                            </a:solidFill>
                            <a:miter lim="800000"/>
                            <a:headEnd/>
                            <a:tailEnd/>
                          </a:ln>
                        </wps:spPr>
                        <wps:txbx>
                          <w:txbxContent>
                            <w:p w14:paraId="586BEBA4" w14:textId="77777777" w:rsidR="00571B42" w:rsidRPr="000F5283" w:rsidRDefault="00571B42" w:rsidP="000F5283">
                              <w:pPr>
                                <w:spacing w:after="0" w:line="240" w:lineRule="auto"/>
                                <w:jc w:val="center"/>
                                <w:rPr>
                                  <w:rFonts w:ascii="Times New Roman" w:hAnsi="Times New Roman" w:cs="Times New Roman"/>
                                  <w:i/>
                                  <w:sz w:val="24"/>
                                  <w:szCs w:val="24"/>
                                  <w:lang w:val="uk-UA"/>
                                </w:rPr>
                              </w:pPr>
                              <w:r w:rsidRPr="000F5283">
                                <w:rPr>
                                  <w:rFonts w:ascii="Times New Roman" w:hAnsi="Times New Roman" w:cs="Times New Roman"/>
                                  <w:i/>
                                  <w:sz w:val="24"/>
                                  <w:szCs w:val="24"/>
                                  <w:lang w:val="uk-UA"/>
                                </w:rPr>
                                <w:t>Вид навчання:</w:t>
                              </w:r>
                            </w:p>
                            <w:p w14:paraId="3F3BCA9F" w14:textId="77777777" w:rsidR="00571B42" w:rsidRPr="000F5283" w:rsidRDefault="00571B42" w:rsidP="000F5283">
                              <w:pPr>
                                <w:spacing w:after="0" w:line="240" w:lineRule="auto"/>
                                <w:jc w:val="center"/>
                                <w:rPr>
                                  <w:rFonts w:ascii="Times New Roman" w:hAnsi="Times New Roman" w:cs="Times New Roman"/>
                                  <w:sz w:val="24"/>
                                  <w:szCs w:val="24"/>
                                  <w:lang w:val="uk-UA"/>
                                </w:rPr>
                              </w:pPr>
                              <w:r w:rsidRPr="000F5283">
                                <w:rPr>
                                  <w:rFonts w:ascii="Times New Roman" w:hAnsi="Times New Roman" w:cs="Times New Roman"/>
                                  <w:sz w:val="24"/>
                                  <w:szCs w:val="24"/>
                                  <w:lang w:val="uk-UA"/>
                                </w:rPr>
                                <w:t>практичні та ситуаційні завдання, тренінги, коучинг, стажування</w:t>
                              </w:r>
                            </w:p>
                            <w:p w14:paraId="73D8F9A5" w14:textId="77777777" w:rsidR="00571B42" w:rsidRPr="000F5283" w:rsidRDefault="00571B42" w:rsidP="000F5283">
                              <w:pPr>
                                <w:spacing w:after="0" w:line="240" w:lineRule="auto"/>
                                <w:jc w:val="center"/>
                                <w:rPr>
                                  <w:rFonts w:ascii="Times New Roman" w:hAnsi="Times New Roman" w:cs="Times New Roman"/>
                                  <w:sz w:val="24"/>
                                  <w:szCs w:val="24"/>
                                  <w:lang w:val="uk-UA"/>
                                </w:rPr>
                              </w:pPr>
                            </w:p>
                          </w:txbxContent>
                        </wps:txbx>
                        <wps:bodyPr rot="0" vert="horz" wrap="square" lIns="91440" tIns="45720" rIns="91440" bIns="45720" anchor="t" anchorCtr="0" upright="1">
                          <a:noAutofit/>
                        </wps:bodyPr>
                      </wps:wsp>
                      <wps:wsp>
                        <wps:cNvPr id="278221120" name="Rectangle 18"/>
                        <wps:cNvSpPr>
                          <a:spLocks noChangeArrowheads="1"/>
                        </wps:cNvSpPr>
                        <wps:spPr bwMode="auto">
                          <a:xfrm>
                            <a:off x="2286300" y="2628655"/>
                            <a:ext cx="1215000" cy="1329928"/>
                          </a:xfrm>
                          <a:prstGeom prst="rect">
                            <a:avLst/>
                          </a:prstGeom>
                          <a:solidFill>
                            <a:srgbClr val="FFFFFF"/>
                          </a:solidFill>
                          <a:ln w="9525">
                            <a:solidFill>
                              <a:srgbClr val="000000"/>
                            </a:solidFill>
                            <a:miter lim="800000"/>
                            <a:headEnd/>
                            <a:tailEnd/>
                          </a:ln>
                        </wps:spPr>
                        <wps:txbx>
                          <w:txbxContent>
                            <w:p w14:paraId="65EE1E82" w14:textId="77777777" w:rsidR="00571B42" w:rsidRPr="000F5283" w:rsidRDefault="00571B42" w:rsidP="000F5283">
                              <w:pPr>
                                <w:spacing w:after="0" w:line="240" w:lineRule="auto"/>
                                <w:jc w:val="center"/>
                                <w:rPr>
                                  <w:rFonts w:ascii="Times New Roman" w:hAnsi="Times New Roman" w:cs="Times New Roman"/>
                                  <w:sz w:val="24"/>
                                  <w:szCs w:val="24"/>
                                  <w:lang w:val="uk-UA"/>
                                </w:rPr>
                              </w:pPr>
                              <w:r w:rsidRPr="000F5283">
                                <w:rPr>
                                  <w:rFonts w:ascii="Times New Roman" w:hAnsi="Times New Roman" w:cs="Times New Roman"/>
                                  <w:i/>
                                  <w:sz w:val="24"/>
                                  <w:szCs w:val="24"/>
                                  <w:lang w:val="uk-UA"/>
                                </w:rPr>
                                <w:t>Вид навчання:</w:t>
                              </w:r>
                              <w:r w:rsidRPr="000F5283">
                                <w:rPr>
                                  <w:rFonts w:ascii="Times New Roman" w:hAnsi="Times New Roman" w:cs="Times New Roman"/>
                                  <w:sz w:val="24"/>
                                  <w:szCs w:val="24"/>
                                  <w:lang w:val="uk-UA"/>
                                </w:rPr>
                                <w:t xml:space="preserve"> курси підвищення кваліфікації, тренінг, коучинг</w:t>
                              </w:r>
                            </w:p>
                          </w:txbxContent>
                        </wps:txbx>
                        <wps:bodyPr rot="0" vert="horz" wrap="square" lIns="91440" tIns="45720" rIns="91440" bIns="45720" anchor="t" anchorCtr="0" upright="1">
                          <a:noAutofit/>
                        </wps:bodyPr>
                      </wps:wsp>
                      <wps:wsp>
                        <wps:cNvPr id="2104055132" name="Rectangle 19"/>
                        <wps:cNvSpPr>
                          <a:spLocks noChangeArrowheads="1"/>
                        </wps:cNvSpPr>
                        <wps:spPr bwMode="auto">
                          <a:xfrm>
                            <a:off x="2286300" y="1028521"/>
                            <a:ext cx="1249700" cy="1372128"/>
                          </a:xfrm>
                          <a:prstGeom prst="rect">
                            <a:avLst/>
                          </a:prstGeom>
                          <a:solidFill>
                            <a:srgbClr val="FFFFFF"/>
                          </a:solidFill>
                          <a:ln w="9525">
                            <a:solidFill>
                              <a:srgbClr val="000000"/>
                            </a:solidFill>
                            <a:miter lim="800000"/>
                            <a:headEnd/>
                            <a:tailEnd/>
                          </a:ln>
                        </wps:spPr>
                        <wps:txbx>
                          <w:txbxContent>
                            <w:p w14:paraId="7B154CE5" w14:textId="77777777" w:rsidR="00571B42" w:rsidRPr="000F5283" w:rsidRDefault="00571B42" w:rsidP="000F5283">
                              <w:pPr>
                                <w:spacing w:after="0" w:line="240" w:lineRule="auto"/>
                                <w:jc w:val="center"/>
                                <w:rPr>
                                  <w:rFonts w:ascii="Times New Roman" w:hAnsi="Times New Roman" w:cs="Times New Roman"/>
                                  <w:sz w:val="24"/>
                                  <w:szCs w:val="24"/>
                                </w:rPr>
                              </w:pPr>
                              <w:r w:rsidRPr="000F5283">
                                <w:rPr>
                                  <w:rFonts w:ascii="Times New Roman" w:hAnsi="Times New Roman" w:cs="Times New Roman"/>
                                  <w:sz w:val="24"/>
                                  <w:szCs w:val="24"/>
                                  <w:lang w:val="uk-UA"/>
                                </w:rPr>
                                <w:t>Працівники з досвідом роботи у сфері індустрії гостинності без профільної освіти</w:t>
                              </w:r>
                            </w:p>
                          </w:txbxContent>
                        </wps:txbx>
                        <wps:bodyPr rot="0" vert="horz" wrap="square" lIns="91440" tIns="45720" rIns="91440" bIns="45720" anchor="t" anchorCtr="0" upright="1">
                          <a:noAutofit/>
                        </wps:bodyPr>
                      </wps:wsp>
                      <wps:wsp>
                        <wps:cNvPr id="181176955" name="Rectangle 20"/>
                        <wps:cNvSpPr>
                          <a:spLocks noChangeArrowheads="1"/>
                        </wps:cNvSpPr>
                        <wps:spPr bwMode="auto">
                          <a:xfrm>
                            <a:off x="3772000" y="2628655"/>
                            <a:ext cx="1234000" cy="1257426"/>
                          </a:xfrm>
                          <a:prstGeom prst="rect">
                            <a:avLst/>
                          </a:prstGeom>
                          <a:solidFill>
                            <a:srgbClr val="FFFFFF"/>
                          </a:solidFill>
                          <a:ln w="9525">
                            <a:solidFill>
                              <a:srgbClr val="000000"/>
                            </a:solidFill>
                            <a:miter lim="800000"/>
                            <a:headEnd/>
                            <a:tailEnd/>
                          </a:ln>
                        </wps:spPr>
                        <wps:txbx>
                          <w:txbxContent>
                            <w:p w14:paraId="7B33EE11" w14:textId="77777777" w:rsidR="00571B42" w:rsidRPr="000F5283" w:rsidRDefault="00571B42" w:rsidP="000F5283">
                              <w:pPr>
                                <w:spacing w:after="0" w:line="240" w:lineRule="auto"/>
                                <w:rPr>
                                  <w:rFonts w:ascii="Times New Roman" w:hAnsi="Times New Roman" w:cs="Times New Roman"/>
                                  <w:i/>
                                  <w:sz w:val="24"/>
                                  <w:szCs w:val="24"/>
                                  <w:lang w:val="uk-UA"/>
                                </w:rPr>
                              </w:pPr>
                              <w:r w:rsidRPr="000F5283">
                                <w:rPr>
                                  <w:rFonts w:ascii="Times New Roman" w:hAnsi="Times New Roman" w:cs="Times New Roman"/>
                                  <w:i/>
                                  <w:sz w:val="24"/>
                                  <w:szCs w:val="24"/>
                                  <w:lang w:val="uk-UA"/>
                                </w:rPr>
                                <w:t>Вид навчання:</w:t>
                              </w:r>
                            </w:p>
                            <w:p w14:paraId="1240EC34" w14:textId="77777777" w:rsidR="00571B42" w:rsidRPr="000F5283" w:rsidRDefault="00571B42" w:rsidP="000F5283">
                              <w:pPr>
                                <w:spacing w:after="0" w:line="240" w:lineRule="auto"/>
                                <w:jc w:val="center"/>
                                <w:rPr>
                                  <w:rFonts w:ascii="Times New Roman" w:hAnsi="Times New Roman" w:cs="Times New Roman"/>
                                  <w:sz w:val="24"/>
                                  <w:szCs w:val="24"/>
                                </w:rPr>
                              </w:pPr>
                              <w:r w:rsidRPr="000F5283">
                                <w:rPr>
                                  <w:rFonts w:ascii="Times New Roman" w:hAnsi="Times New Roman" w:cs="Times New Roman"/>
                                  <w:sz w:val="24"/>
                                  <w:szCs w:val="24"/>
                                  <w:lang w:val="uk-UA"/>
                                </w:rPr>
                                <w:t>бізнес-тренінги, участь у конкурсах, бізнес-проєктах</w:t>
                              </w:r>
                            </w:p>
                          </w:txbxContent>
                        </wps:txbx>
                        <wps:bodyPr rot="0" vert="horz" wrap="square" lIns="91440" tIns="45720" rIns="91440" bIns="45720" anchor="t" anchorCtr="0" upright="1">
                          <a:noAutofit/>
                        </wps:bodyPr>
                      </wps:wsp>
                      <wps:wsp>
                        <wps:cNvPr id="459253155" name="Rectangle 21"/>
                        <wps:cNvSpPr>
                          <a:spLocks noChangeArrowheads="1"/>
                        </wps:cNvSpPr>
                        <wps:spPr bwMode="auto">
                          <a:xfrm>
                            <a:off x="3772000" y="1028521"/>
                            <a:ext cx="1199300" cy="1372128"/>
                          </a:xfrm>
                          <a:prstGeom prst="rect">
                            <a:avLst/>
                          </a:prstGeom>
                          <a:solidFill>
                            <a:srgbClr val="FFFFFF"/>
                          </a:solidFill>
                          <a:ln w="9525">
                            <a:solidFill>
                              <a:srgbClr val="000000"/>
                            </a:solidFill>
                            <a:miter lim="800000"/>
                            <a:headEnd/>
                            <a:tailEnd/>
                          </a:ln>
                        </wps:spPr>
                        <wps:txbx>
                          <w:txbxContent>
                            <w:p w14:paraId="5FB23B44" w14:textId="77777777" w:rsidR="00571B42" w:rsidRPr="000F5283" w:rsidRDefault="00571B42" w:rsidP="000F5283">
                              <w:pPr>
                                <w:spacing w:after="0" w:line="240" w:lineRule="auto"/>
                                <w:jc w:val="center"/>
                                <w:rPr>
                                  <w:rFonts w:ascii="Times New Roman" w:hAnsi="Times New Roman" w:cs="Times New Roman"/>
                                  <w:sz w:val="24"/>
                                  <w:szCs w:val="24"/>
                                </w:rPr>
                              </w:pPr>
                              <w:r w:rsidRPr="000F5283">
                                <w:rPr>
                                  <w:rFonts w:ascii="Times New Roman" w:hAnsi="Times New Roman" w:cs="Times New Roman"/>
                                  <w:sz w:val="24"/>
                                  <w:szCs w:val="24"/>
                                  <w:lang w:val="uk-UA"/>
                                </w:rPr>
                                <w:t>Працівники з профільною освітою та досвідом роботи сфері індустрії гостинності</w:t>
                              </w:r>
                            </w:p>
                          </w:txbxContent>
                        </wps:txbx>
                        <wps:bodyPr rot="0" vert="horz" wrap="square" lIns="91440" tIns="45720" rIns="91440" bIns="45720" anchor="t" anchorCtr="0" upright="1">
                          <a:noAutofit/>
                        </wps:bodyPr>
                      </wps:wsp>
                      <wps:wsp>
                        <wps:cNvPr id="1519086925" name="Line 22"/>
                        <wps:cNvCnPr>
                          <a:cxnSpLocks noChangeShapeType="1"/>
                        </wps:cNvCnPr>
                        <wps:spPr bwMode="auto">
                          <a:xfrm>
                            <a:off x="1485600" y="2400650"/>
                            <a:ext cx="800" cy="2280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6466927" name="Line 23"/>
                        <wps:cNvCnPr>
                          <a:cxnSpLocks noChangeShapeType="1"/>
                        </wps:cNvCnPr>
                        <wps:spPr bwMode="auto">
                          <a:xfrm>
                            <a:off x="2857100" y="2400650"/>
                            <a:ext cx="800" cy="2272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34226006" name="Line 24"/>
                        <wps:cNvCnPr>
                          <a:cxnSpLocks noChangeShapeType="1"/>
                        </wps:cNvCnPr>
                        <wps:spPr bwMode="auto">
                          <a:xfrm>
                            <a:off x="4343600" y="2400650"/>
                            <a:ext cx="800" cy="2272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86C45D0" id="Полотно 64" o:spid="_x0000_s1290" editas="canvas" style="width:459pt;height:322.55pt;mso-position-horizontal-relative:char;mso-position-vertical-relative:line" coordsize="58293,40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">
                <v:shape id="_x0000_s1291" type="#_x0000_t75" style="position:absolute;width:58293;height:40963;visibility:visible;mso-wrap-style:square">
                  <v:fill o:detectmouseclick="t"/>
                  <v:path o:connecttype="none"/>
                </v:shape>
                <v:roundrect id="AutoShape 12" o:spid="_x0000_s1292" style="position:absolute;left:11431;top:1140;width:35430;height:685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">
                  <v:textbox>
                    <w:txbxContent>
                      <w:p w14:paraId="44239029" w14:textId="77777777" w:rsidR="00571B42" w:rsidRPr="000F5283" w:rsidRDefault="00571B42" w:rsidP="000F5283">
                        <w:pPr>
                          <w:spacing w:after="0" w:line="240" w:lineRule="auto"/>
                          <w:jc w:val="center"/>
                          <w:rPr>
                            <w:rFonts w:ascii="Times New Roman" w:hAnsi="Times New Roman" w:cs="Times New Roman"/>
                            <w:b/>
                            <w:sz w:val="24"/>
                            <w:szCs w:val="24"/>
                            <w:lang w:val="uk-UA"/>
                          </w:rPr>
                        </w:pPr>
                      </w:p>
                      <w:p w14:paraId="235E50AF" w14:textId="77777777" w:rsidR="00571B42" w:rsidRPr="000F5283" w:rsidRDefault="00571B42" w:rsidP="000F5283">
                        <w:pPr>
                          <w:spacing w:after="0" w:line="240" w:lineRule="auto"/>
                          <w:jc w:val="center"/>
                          <w:rPr>
                            <w:rFonts w:ascii="Times New Roman" w:hAnsi="Times New Roman" w:cs="Times New Roman"/>
                            <w:b/>
                            <w:sz w:val="24"/>
                            <w:szCs w:val="24"/>
                            <w:lang w:val="uk-UA"/>
                          </w:rPr>
                        </w:pPr>
                        <w:r w:rsidRPr="000F5283">
                          <w:rPr>
                            <w:rFonts w:ascii="Times New Roman" w:hAnsi="Times New Roman" w:cs="Times New Roman"/>
                            <w:b/>
                            <w:sz w:val="24"/>
                            <w:szCs w:val="24"/>
                            <w:lang w:val="uk-UA"/>
                          </w:rPr>
                          <w:t>Розвиток персоналу за категоріями</w:t>
                        </w:r>
                      </w:p>
                    </w:txbxContent>
                  </v:textbox>
                </v:roundrect>
                <v:line id="Line 13" o:spid="_x0000_s1293" style="position:absolute;visibility:visible;mso-wrap-style:square" from="28571,7996" to="28579,10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">
                  <v:stroke endarrow="block"/>
                </v:line>
                <v:line id="Line 14" o:spid="_x0000_s1294" style="position:absolute;visibility:visible;mso-wrap-style:square" from="14856,7996" to="14864,10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">
                  <v:stroke endarrow="block"/>
                </v:line>
                <v:line id="Line 15" o:spid="_x0000_s1295" style="position:absolute;visibility:visible;mso-wrap-style:square" from="43436,7996" to="43444,10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">
                  <v:stroke endarrow="block"/>
                </v:line>
                <v:rect id="Rectangle 16" o:spid="_x0000_s1296" style="position:absolute;left:8218;top:10285;width:12354;height:13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">
                  <v:textbox>
                    <w:txbxContent>
                      <w:p w14:paraId="744A109A" w14:textId="77777777" w:rsidR="00571B42" w:rsidRPr="000F5283" w:rsidRDefault="00571B42" w:rsidP="000F5283">
                        <w:pPr>
                          <w:spacing w:after="0" w:line="240" w:lineRule="auto"/>
                          <w:jc w:val="center"/>
                          <w:rPr>
                            <w:rFonts w:ascii="Times New Roman" w:hAnsi="Times New Roman" w:cs="Times New Roman"/>
                            <w:sz w:val="24"/>
                            <w:szCs w:val="24"/>
                          </w:rPr>
                        </w:pPr>
                        <w:r w:rsidRPr="000F5283">
                          <w:rPr>
                            <w:rFonts w:ascii="Times New Roman" w:hAnsi="Times New Roman" w:cs="Times New Roman"/>
                            <w:sz w:val="24"/>
                            <w:szCs w:val="24"/>
                            <w:lang w:val="uk-UA"/>
                          </w:rPr>
                          <w:t>Працівники,з профільною освітою без досвіду роботи у сфері індустрії гостинності</w:t>
                        </w:r>
                      </w:p>
                    </w:txbxContent>
                  </v:textbox>
                </v:rect>
                <v:rect id="Rectangle 17" o:spid="_x0000_s1297" style="position:absolute;left:8218;top:26286;width:12370;height:13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">
                  <v:textbox>
                    <w:txbxContent>
                      <w:p w14:paraId="586BEBA4" w14:textId="77777777" w:rsidR="00571B42" w:rsidRPr="000F5283" w:rsidRDefault="00571B42" w:rsidP="000F5283">
                        <w:pPr>
                          <w:spacing w:after="0" w:line="240" w:lineRule="auto"/>
                          <w:jc w:val="center"/>
                          <w:rPr>
                            <w:rFonts w:ascii="Times New Roman" w:hAnsi="Times New Roman" w:cs="Times New Roman"/>
                            <w:i/>
                            <w:sz w:val="24"/>
                            <w:szCs w:val="24"/>
                            <w:lang w:val="uk-UA"/>
                          </w:rPr>
                        </w:pPr>
                        <w:r w:rsidRPr="000F5283">
                          <w:rPr>
                            <w:rFonts w:ascii="Times New Roman" w:hAnsi="Times New Roman" w:cs="Times New Roman"/>
                            <w:i/>
                            <w:sz w:val="24"/>
                            <w:szCs w:val="24"/>
                            <w:lang w:val="uk-UA"/>
                          </w:rPr>
                          <w:t>Вид навчання:</w:t>
                        </w:r>
                      </w:p>
                      <w:p w14:paraId="3F3BCA9F" w14:textId="77777777" w:rsidR="00571B42" w:rsidRPr="000F5283" w:rsidRDefault="00571B42" w:rsidP="000F5283">
                        <w:pPr>
                          <w:spacing w:after="0" w:line="240" w:lineRule="auto"/>
                          <w:jc w:val="center"/>
                          <w:rPr>
                            <w:rFonts w:ascii="Times New Roman" w:hAnsi="Times New Roman" w:cs="Times New Roman"/>
                            <w:sz w:val="24"/>
                            <w:szCs w:val="24"/>
                            <w:lang w:val="uk-UA"/>
                          </w:rPr>
                        </w:pPr>
                        <w:r w:rsidRPr="000F5283">
                          <w:rPr>
                            <w:rFonts w:ascii="Times New Roman" w:hAnsi="Times New Roman" w:cs="Times New Roman"/>
                            <w:sz w:val="24"/>
                            <w:szCs w:val="24"/>
                            <w:lang w:val="uk-UA"/>
                          </w:rPr>
                          <w:t>практичні та ситуаційні завдання, тренінги, коучинг, стажування</w:t>
                        </w:r>
                      </w:p>
                      <w:p w14:paraId="73D8F9A5" w14:textId="77777777" w:rsidR="00571B42" w:rsidRPr="000F5283" w:rsidRDefault="00571B42" w:rsidP="000F5283">
                        <w:pPr>
                          <w:spacing w:after="0" w:line="240" w:lineRule="auto"/>
                          <w:jc w:val="center"/>
                          <w:rPr>
                            <w:rFonts w:ascii="Times New Roman" w:hAnsi="Times New Roman" w:cs="Times New Roman"/>
                            <w:sz w:val="24"/>
                            <w:szCs w:val="24"/>
                            <w:lang w:val="uk-UA"/>
                          </w:rPr>
                        </w:pPr>
                      </w:p>
                    </w:txbxContent>
                  </v:textbox>
                </v:rect>
                <v:rect id="Rectangle 18" o:spid="_x0000_s1298" style="position:absolute;left:22863;top:26286;width:12150;height:13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">
                  <v:textbox>
                    <w:txbxContent>
                      <w:p w14:paraId="65EE1E82" w14:textId="77777777" w:rsidR="00571B42" w:rsidRPr="000F5283" w:rsidRDefault="00571B42" w:rsidP="000F5283">
                        <w:pPr>
                          <w:spacing w:after="0" w:line="240" w:lineRule="auto"/>
                          <w:jc w:val="center"/>
                          <w:rPr>
                            <w:rFonts w:ascii="Times New Roman" w:hAnsi="Times New Roman" w:cs="Times New Roman"/>
                            <w:sz w:val="24"/>
                            <w:szCs w:val="24"/>
                            <w:lang w:val="uk-UA"/>
                          </w:rPr>
                        </w:pPr>
                        <w:r w:rsidRPr="000F5283">
                          <w:rPr>
                            <w:rFonts w:ascii="Times New Roman" w:hAnsi="Times New Roman" w:cs="Times New Roman"/>
                            <w:i/>
                            <w:sz w:val="24"/>
                            <w:szCs w:val="24"/>
                            <w:lang w:val="uk-UA"/>
                          </w:rPr>
                          <w:t>Вид навчання:</w:t>
                        </w:r>
                        <w:r w:rsidRPr="000F5283">
                          <w:rPr>
                            <w:rFonts w:ascii="Times New Roman" w:hAnsi="Times New Roman" w:cs="Times New Roman"/>
                            <w:sz w:val="24"/>
                            <w:szCs w:val="24"/>
                            <w:lang w:val="uk-UA"/>
                          </w:rPr>
                          <w:t xml:space="preserve"> курси підвищення кваліфікації, тренінг, коучинг</w:t>
                        </w:r>
                      </w:p>
                    </w:txbxContent>
                  </v:textbox>
                </v:rect>
                <v:rect id="Rectangle 19" o:spid="_x0000_s1299" style="position:absolute;left:22863;top:10285;width:12497;height:13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">
                  <v:textbox>
                    <w:txbxContent>
                      <w:p w14:paraId="7B154CE5" w14:textId="77777777" w:rsidR="00571B42" w:rsidRPr="000F5283" w:rsidRDefault="00571B42" w:rsidP="000F5283">
                        <w:pPr>
                          <w:spacing w:after="0" w:line="240" w:lineRule="auto"/>
                          <w:jc w:val="center"/>
                          <w:rPr>
                            <w:rFonts w:ascii="Times New Roman" w:hAnsi="Times New Roman" w:cs="Times New Roman"/>
                            <w:sz w:val="24"/>
                            <w:szCs w:val="24"/>
                          </w:rPr>
                        </w:pPr>
                        <w:r w:rsidRPr="000F5283">
                          <w:rPr>
                            <w:rFonts w:ascii="Times New Roman" w:hAnsi="Times New Roman" w:cs="Times New Roman"/>
                            <w:sz w:val="24"/>
                            <w:szCs w:val="24"/>
                            <w:lang w:val="uk-UA"/>
                          </w:rPr>
                          <w:t>Працівники з досвідом роботи у сфері індустрії гостинності без профільної освіти</w:t>
                        </w:r>
                      </w:p>
                    </w:txbxContent>
                  </v:textbox>
                </v:rect>
                <v:rect id="Rectangle 20" o:spid="_x0000_s1300" style="position:absolute;left:37720;top:26286;width:12340;height:12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">
                  <v:textbox>
                    <w:txbxContent>
                      <w:p w14:paraId="7B33EE11" w14:textId="77777777" w:rsidR="00571B42" w:rsidRPr="000F5283" w:rsidRDefault="00571B42" w:rsidP="000F5283">
                        <w:pPr>
                          <w:spacing w:after="0" w:line="240" w:lineRule="auto"/>
                          <w:rPr>
                            <w:rFonts w:ascii="Times New Roman" w:hAnsi="Times New Roman" w:cs="Times New Roman"/>
                            <w:i/>
                            <w:sz w:val="24"/>
                            <w:szCs w:val="24"/>
                            <w:lang w:val="uk-UA"/>
                          </w:rPr>
                        </w:pPr>
                        <w:r w:rsidRPr="000F5283">
                          <w:rPr>
                            <w:rFonts w:ascii="Times New Roman" w:hAnsi="Times New Roman" w:cs="Times New Roman"/>
                            <w:i/>
                            <w:sz w:val="24"/>
                            <w:szCs w:val="24"/>
                            <w:lang w:val="uk-UA"/>
                          </w:rPr>
                          <w:t>Вид навчання:</w:t>
                        </w:r>
                      </w:p>
                      <w:p w14:paraId="1240EC34" w14:textId="77777777" w:rsidR="00571B42" w:rsidRPr="000F5283" w:rsidRDefault="00571B42" w:rsidP="000F5283">
                        <w:pPr>
                          <w:spacing w:after="0" w:line="240" w:lineRule="auto"/>
                          <w:jc w:val="center"/>
                          <w:rPr>
                            <w:rFonts w:ascii="Times New Roman" w:hAnsi="Times New Roman" w:cs="Times New Roman"/>
                            <w:sz w:val="24"/>
                            <w:szCs w:val="24"/>
                          </w:rPr>
                        </w:pPr>
                        <w:r w:rsidRPr="000F5283">
                          <w:rPr>
                            <w:rFonts w:ascii="Times New Roman" w:hAnsi="Times New Roman" w:cs="Times New Roman"/>
                            <w:sz w:val="24"/>
                            <w:szCs w:val="24"/>
                            <w:lang w:val="uk-UA"/>
                          </w:rPr>
                          <w:t>бізнес-тренінги, участь у конкурсах, бізнес-проєктах</w:t>
                        </w:r>
                      </w:p>
                    </w:txbxContent>
                  </v:textbox>
                </v:rect>
                <v:rect id="Rectangle 21" o:spid="_x0000_s1301" style="position:absolute;left:37720;top:10285;width:11993;height:13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">
                  <v:textbox>
                    <w:txbxContent>
                      <w:p w14:paraId="5FB23B44" w14:textId="77777777" w:rsidR="00571B42" w:rsidRPr="000F5283" w:rsidRDefault="00571B42" w:rsidP="000F5283">
                        <w:pPr>
                          <w:spacing w:after="0" w:line="240" w:lineRule="auto"/>
                          <w:jc w:val="center"/>
                          <w:rPr>
                            <w:rFonts w:ascii="Times New Roman" w:hAnsi="Times New Roman" w:cs="Times New Roman"/>
                            <w:sz w:val="24"/>
                            <w:szCs w:val="24"/>
                          </w:rPr>
                        </w:pPr>
                        <w:r w:rsidRPr="000F5283">
                          <w:rPr>
                            <w:rFonts w:ascii="Times New Roman" w:hAnsi="Times New Roman" w:cs="Times New Roman"/>
                            <w:sz w:val="24"/>
                            <w:szCs w:val="24"/>
                            <w:lang w:val="uk-UA"/>
                          </w:rPr>
                          <w:t>Працівники з профільною освітою та досвідом роботи сфері індустрії гостинності</w:t>
                        </w:r>
                      </w:p>
                    </w:txbxContent>
                  </v:textbox>
                </v:rect>
                <v:line id="Line 22" o:spid="_x0000_s1302" style="position:absolute;visibility:visible;mso-wrap-style:square" from="14856,24006" to="14864,26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">
                  <v:stroke endarrow="block"/>
                </v:line>
                <v:line id="Line 23" o:spid="_x0000_s1303" style="position:absolute;visibility:visible;mso-wrap-style:square" from="28571,24006" to="28579,26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">
                  <v:stroke endarrow="block"/>
                </v:line>
                <v:line id="Line 24" o:spid="_x0000_s1304" style="position:absolute;visibility:visible;mso-wrap-style:square" from="43436,24006" to="43444,26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">
                  <v:stroke endarrow="block"/>
                </v:line>
                <w10:anchorlock/>
              </v:group>
            </w:pict>
          </mc:Fallback>
        </mc:AlternateContent>
      </w:r>
    </w:p>
    <w:p w14:paraId="4515EA3D" w14:textId="77777777" w:rsidR="00A55004" w:rsidRPr="005F0419" w:rsidRDefault="00A55004" w:rsidP="000F5283">
      <w:pPr>
        <w:widowControl w:val="0"/>
        <w:autoSpaceDE w:val="0"/>
        <w:autoSpaceDN w:val="0"/>
        <w:adjustRightInd w:val="0"/>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Рис.16. Розвиток персоналу ресторану за категоріями (складено авторами)</w:t>
      </w:r>
    </w:p>
    <w:p w14:paraId="15FD58E9" w14:textId="77777777" w:rsidR="000F5283" w:rsidRPr="005F0419" w:rsidRDefault="000F5283" w:rsidP="000F5283">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складено авторами.</w:t>
      </w:r>
    </w:p>
    <w:p w14:paraId="74C801B8"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p>
    <w:p w14:paraId="36006B9A" w14:textId="77777777" w:rsidR="00D42F9E" w:rsidRPr="005F0419" w:rsidRDefault="00D42F9E" w:rsidP="00D42F9E">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На нашу думку, варто достатньо уваги приділяти новим співробітникам компанії. Для таких працівників </w:t>
      </w:r>
      <w:r w:rsidRPr="005F0419">
        <w:rPr>
          <w:rFonts w:ascii="Times New Roman" w:eastAsia="Calibri" w:hAnsi="Times New Roman" w:cs="Times New Roman"/>
          <w:sz w:val="28"/>
          <w:szCs w:val="28"/>
          <w:lang w:val="uk-UA"/>
        </w:rPr>
        <w:t xml:space="preserve">інноваційним та цікавим методом навчання буде </w:t>
      </w:r>
      <w:proofErr w:type="spellStart"/>
      <w:r w:rsidRPr="005F0419">
        <w:rPr>
          <w:rFonts w:ascii="Times New Roman" w:eastAsia="Calibri" w:hAnsi="Times New Roman" w:cs="Times New Roman"/>
          <w:i/>
          <w:sz w:val="28"/>
          <w:szCs w:val="28"/>
          <w:lang w:val="uk-UA"/>
        </w:rPr>
        <w:t>сторітеллінг</w:t>
      </w:r>
      <w:proofErr w:type="spellEnd"/>
      <w:r w:rsidRPr="005F0419">
        <w:rPr>
          <w:rFonts w:ascii="Times New Roman" w:eastAsia="Calibri" w:hAnsi="Times New Roman" w:cs="Times New Roman"/>
          <w:i/>
          <w:sz w:val="28"/>
          <w:szCs w:val="28"/>
          <w:lang w:val="uk-UA"/>
        </w:rPr>
        <w:t xml:space="preserve"> (мотиваційна розповідь)</w:t>
      </w:r>
      <w:r w:rsidRPr="005F0419">
        <w:rPr>
          <w:rFonts w:ascii="Times New Roman" w:eastAsia="Calibri" w:hAnsi="Times New Roman" w:cs="Times New Roman"/>
          <w:sz w:val="28"/>
          <w:szCs w:val="28"/>
          <w:lang w:val="uk-UA"/>
        </w:rPr>
        <w:t xml:space="preserve"> суть якого полягає в ознайомлення з організаційною структурою, корпоративною культурою, локальними розпорядчими документами тощо. Навчання варто розпочинати ще з моменту підбору персоналу до повної адаптації працівника та проводити безпосереднім керівником (наставником) для надання інформації про організацію, її особливості, для контролю в період випробувального терміну (стажування).</w:t>
      </w:r>
    </w:p>
    <w:p w14:paraId="76561213" w14:textId="1411729D"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У ресторані «Жаровня на Замку» повинна бути розроблена сучасна ефективна система управління розвитком персоналу. Вона повинна надавати співробітникам можливість професійного росту і формування кар’єри.</w:t>
      </w:r>
      <w:r w:rsidR="000F5283"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Як уже зазначалось, при позитивних тенденціях навчання та розвитку персоналу в ресторані «Жаровня на Замку» існують питання, які потребують подальшого </w:t>
      </w:r>
      <w:r w:rsidRPr="005F0419">
        <w:rPr>
          <w:rFonts w:ascii="Times New Roman" w:eastAsia="Times New Roman" w:hAnsi="Times New Roman" w:cs="Times New Roman"/>
          <w:sz w:val="28"/>
          <w:szCs w:val="28"/>
          <w:lang w:val="uk-UA"/>
        </w:rPr>
        <w:lastRenderedPageBreak/>
        <w:t xml:space="preserve">розгляду і удосконалення. Перш за все, програма розвитку повинна включати всіх працівників закладу, тих які ефективно виконують свої посадові обов’язки, показуючи високі результати праці, і тих працівників, які мають потребу в навчанні з метою покращення виконання посадових обов’язків, яким необхідно підвищувати свій професійний рівень. </w:t>
      </w:r>
    </w:p>
    <w:p w14:paraId="5F00480E"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Для вирішення даного питання ефективно було б запровадити в ресторані «Жаровня на Замку» </w:t>
      </w:r>
      <w:r w:rsidRPr="005F0419">
        <w:rPr>
          <w:rFonts w:ascii="Times New Roman" w:eastAsia="Times New Roman" w:hAnsi="Times New Roman" w:cs="Times New Roman"/>
          <w:iCs/>
          <w:sz w:val="28"/>
          <w:szCs w:val="28"/>
          <w:lang w:val="uk-UA"/>
        </w:rPr>
        <w:t>систему сертифікації персоналу</w:t>
      </w:r>
      <w:r w:rsidRPr="005F0419">
        <w:rPr>
          <w:rFonts w:ascii="Times New Roman" w:eastAsia="Times New Roman" w:hAnsi="Times New Roman" w:cs="Times New Roman"/>
          <w:sz w:val="28"/>
          <w:szCs w:val="28"/>
          <w:lang w:val="uk-UA"/>
        </w:rPr>
        <w:t>. Дана система  дає можливість визначити рівень професійної придатності працівника. Що в свою чергу сприятиме визначенню категорії працівників, яка потребує проходження навчання для покращення професійного рівня.</w:t>
      </w:r>
    </w:p>
    <w:p w14:paraId="28D92352"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Система дозволяє провести комплексну оцінку вартості персоналу на ринку праці, визначити рівень його конкурентоспроможності і відповідності сучасним вимогам, разом з визначенням рівня навичок, поведінки і ставлення співробітників, які роблять суттєвий вплив на формування іміджу закладу.</w:t>
      </w:r>
    </w:p>
    <w:p w14:paraId="2D2CB949"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Сертифікація дає можливість визначити в яких питаннях сфери ресторанного бізнесу працівник є обізнаним, а в яких має дещо слабші знання. Що дає змогу одночасно визначити напрямок навчання працівника.</w:t>
      </w:r>
    </w:p>
    <w:p w14:paraId="27CCFDB6"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Для працівника сертифікація є критерієм його успішності, він краще розуміє і оцінює свій внесок в діяльність підприємства, підвищується ступінь відповідальності, долається відчуження, що позначається на задоволеності працею і зростанні його мотивації. </w:t>
      </w:r>
    </w:p>
    <w:p w14:paraId="7E2E00EF"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На нашу думку, також варто запровадити в ресторані </w:t>
      </w:r>
      <w:r w:rsidRPr="005F0419">
        <w:rPr>
          <w:rFonts w:ascii="Times New Roman" w:eastAsia="Times New Roman" w:hAnsi="Times New Roman" w:cs="Times New Roman"/>
          <w:i/>
          <w:sz w:val="28"/>
          <w:szCs w:val="28"/>
          <w:lang w:val="uk-UA"/>
        </w:rPr>
        <w:t>систему рейтингування</w:t>
      </w:r>
      <w:r w:rsidRPr="005F0419">
        <w:rPr>
          <w:rFonts w:ascii="Times New Roman" w:eastAsia="Times New Roman" w:hAnsi="Times New Roman" w:cs="Times New Roman"/>
          <w:sz w:val="28"/>
          <w:szCs w:val="28"/>
          <w:lang w:val="uk-UA"/>
        </w:rPr>
        <w:t xml:space="preserve"> для персоналу. Суть якої полягає в тому, що </w:t>
      </w:r>
      <w:r w:rsidRPr="005F0419">
        <w:rPr>
          <w:rFonts w:ascii="Times New Roman" w:hAnsi="Times New Roman" w:cs="Times New Roman"/>
          <w:sz w:val="28"/>
          <w:szCs w:val="28"/>
          <w:lang w:val="uk-UA"/>
        </w:rPr>
        <w:t xml:space="preserve">залежно від якості обслуговування, кількості гостей, яким надані послуги сервісу тощо кожному працівнику нараховуватимуться бонуси. Відповідно до цих бонусів буде відбуватися рейтингування працівників. Якщо за рейтингом працівник двічі потрапляє у 3% гірших, то його очікує звільнення. </w:t>
      </w:r>
    </w:p>
    <w:p w14:paraId="534F3401" w14:textId="77777777" w:rsidR="00D42F9E" w:rsidRDefault="00D42F9E" w:rsidP="00877ECC">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p>
    <w:p w14:paraId="45E6DE83" w14:textId="492CB602"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 xml:space="preserve">Також інноваційним методом розвитку персоналу в ресторані «Жаровня на Замку» може бути розробка та впровадження </w:t>
      </w:r>
      <w:r w:rsidRPr="005F0419">
        <w:rPr>
          <w:rFonts w:ascii="Times New Roman" w:hAnsi="Times New Roman" w:cs="Times New Roman"/>
          <w:i/>
          <w:sz w:val="28"/>
          <w:szCs w:val="28"/>
          <w:lang w:val="uk-UA"/>
        </w:rPr>
        <w:t>системи наставництва.</w:t>
      </w:r>
      <w:r w:rsidRPr="005F0419">
        <w:rPr>
          <w:rFonts w:ascii="Times New Roman" w:hAnsi="Times New Roman" w:cs="Times New Roman"/>
          <w:sz w:val="28"/>
          <w:szCs w:val="28"/>
          <w:lang w:val="uk-UA"/>
        </w:rPr>
        <w:t xml:space="preserve"> Основна </w:t>
      </w:r>
      <w:r w:rsidRPr="005F0419">
        <w:rPr>
          <w:rFonts w:ascii="Times New Roman" w:hAnsi="Times New Roman" w:cs="Times New Roman"/>
          <w:sz w:val="28"/>
          <w:szCs w:val="28"/>
          <w:lang w:val="uk-UA"/>
        </w:rPr>
        <w:lastRenderedPageBreak/>
        <w:t>суть такої системи полягає в тому, що кращі 3% працівників стають наставниками гірших 3%. Як премію, наставники можуть отримати 50% від зростання рівня бонусу їх підлеглих. Як бачимо, системи рейтингування та наставництва можуть тісно бути пов’язані між собою та мотивувати працівників щодо якісного виконання своїх посадових обов’язків.</w:t>
      </w:r>
    </w:p>
    <w:p w14:paraId="44F33403"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Наступним напрямком покращення системи розвитку персоналу ресторану могла б послугувати </w:t>
      </w:r>
      <w:r w:rsidRPr="005F0419">
        <w:rPr>
          <w:rFonts w:ascii="Times New Roman" w:eastAsia="Times New Roman" w:hAnsi="Times New Roman" w:cs="Times New Roman"/>
          <w:i/>
          <w:sz w:val="28"/>
          <w:szCs w:val="28"/>
          <w:lang w:val="uk-UA"/>
        </w:rPr>
        <w:t xml:space="preserve">підтримка працівників </w:t>
      </w:r>
      <w:r w:rsidRPr="005F0419">
        <w:rPr>
          <w:rFonts w:ascii="Times New Roman" w:eastAsia="Times New Roman" w:hAnsi="Times New Roman" w:cs="Times New Roman"/>
          <w:iCs/>
          <w:sz w:val="28"/>
          <w:szCs w:val="28"/>
          <w:lang w:val="uk-UA"/>
        </w:rPr>
        <w:t>у вдосконаленні знань та навичок з польської та англійської мови</w:t>
      </w:r>
      <w:r w:rsidRPr="005F0419">
        <w:rPr>
          <w:rFonts w:ascii="Times New Roman" w:eastAsia="Times New Roman" w:hAnsi="Times New Roman" w:cs="Times New Roman"/>
          <w:i/>
          <w:sz w:val="28"/>
          <w:szCs w:val="28"/>
          <w:lang w:val="uk-UA"/>
        </w:rPr>
        <w:t xml:space="preserve">. </w:t>
      </w:r>
      <w:r w:rsidRPr="005F0419">
        <w:rPr>
          <w:rFonts w:ascii="Times New Roman" w:eastAsia="Times New Roman" w:hAnsi="Times New Roman" w:cs="Times New Roman"/>
          <w:sz w:val="28"/>
          <w:szCs w:val="28"/>
          <w:lang w:val="uk-UA"/>
        </w:rPr>
        <w:t xml:space="preserve">Львів є тим туристичним містом, яке відвідує велика кількість туристів із Республіки Польщі та країн, де основною мовою спілкування є англійська. Коли персонал, який обслуговує гостей володіє іноземною мовою, та ще й тою, якою володіє гість – це суттєва конкурентна перевага закладу. Ми рекомендуємо організувати </w:t>
      </w:r>
      <w:proofErr w:type="spellStart"/>
      <w:r w:rsidRPr="005F0419">
        <w:rPr>
          <w:rFonts w:ascii="Times New Roman" w:eastAsia="Times New Roman" w:hAnsi="Times New Roman" w:cs="Times New Roman"/>
          <w:sz w:val="28"/>
          <w:szCs w:val="28"/>
          <w:lang w:val="uk-UA"/>
        </w:rPr>
        <w:t>мовні</w:t>
      </w:r>
      <w:proofErr w:type="spellEnd"/>
      <w:r w:rsidRPr="005F0419">
        <w:rPr>
          <w:rFonts w:ascii="Times New Roman" w:eastAsia="Times New Roman" w:hAnsi="Times New Roman" w:cs="Times New Roman"/>
          <w:sz w:val="28"/>
          <w:szCs w:val="28"/>
          <w:lang w:val="uk-UA"/>
        </w:rPr>
        <w:t xml:space="preserve"> курси та розмовні клуби з вивчення польської та англійської мови для співробітників  ресторану, які матимуть можливість вдосконалювати свої знання з іноземної мови в межах закладу, при цьому сплачуючи лише половину ціни </w:t>
      </w:r>
      <w:proofErr w:type="spellStart"/>
      <w:r w:rsidRPr="005F0419">
        <w:rPr>
          <w:rFonts w:ascii="Times New Roman" w:eastAsia="Times New Roman" w:hAnsi="Times New Roman" w:cs="Times New Roman"/>
          <w:sz w:val="28"/>
          <w:szCs w:val="28"/>
          <w:lang w:val="uk-UA"/>
        </w:rPr>
        <w:t>мовного</w:t>
      </w:r>
      <w:proofErr w:type="spellEnd"/>
      <w:r w:rsidRPr="005F0419">
        <w:rPr>
          <w:rFonts w:ascii="Times New Roman" w:eastAsia="Times New Roman" w:hAnsi="Times New Roman" w:cs="Times New Roman"/>
          <w:sz w:val="28"/>
          <w:szCs w:val="28"/>
          <w:lang w:val="uk-UA"/>
        </w:rPr>
        <w:t xml:space="preserve"> курсу. Решту коштів сплачуватиме підприємство.</w:t>
      </w:r>
    </w:p>
    <w:p w14:paraId="411F2A8F"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Звісно для покращення системи розвитку персоналу у ресторані «Жаровня на Замку» можна було б </w:t>
      </w:r>
      <w:r w:rsidRPr="005F0419">
        <w:rPr>
          <w:rFonts w:ascii="Times New Roman" w:eastAsia="Times New Roman" w:hAnsi="Times New Roman" w:cs="Times New Roman"/>
          <w:i/>
          <w:sz w:val="28"/>
          <w:szCs w:val="28"/>
          <w:lang w:val="uk-UA"/>
        </w:rPr>
        <w:t>створити власний тренінг-центр.</w:t>
      </w:r>
      <w:r w:rsidRPr="005F0419">
        <w:rPr>
          <w:rFonts w:ascii="Times New Roman" w:eastAsia="Times New Roman" w:hAnsi="Times New Roman" w:cs="Times New Roman"/>
          <w:sz w:val="28"/>
          <w:szCs w:val="28"/>
          <w:lang w:val="uk-UA"/>
        </w:rPr>
        <w:t xml:space="preserve"> Адже практика тренінгів є досить ефективною і часто проводиться. Але так, як дана ідея потребує суттєвих витрат, то можна б  було об’єднати дані зусилля із іншими ресторанами для спільної підготовки працівників. Така </w:t>
      </w:r>
      <w:proofErr w:type="spellStart"/>
      <w:r w:rsidRPr="005F0419">
        <w:rPr>
          <w:rFonts w:ascii="Times New Roman" w:eastAsia="Times New Roman" w:hAnsi="Times New Roman" w:cs="Times New Roman"/>
          <w:sz w:val="28"/>
          <w:szCs w:val="28"/>
          <w:lang w:val="uk-UA"/>
        </w:rPr>
        <w:t>колаборація</w:t>
      </w:r>
      <w:proofErr w:type="spellEnd"/>
      <w:r w:rsidRPr="005F0419">
        <w:rPr>
          <w:rFonts w:ascii="Times New Roman" w:eastAsia="Times New Roman" w:hAnsi="Times New Roman" w:cs="Times New Roman"/>
          <w:sz w:val="28"/>
          <w:szCs w:val="28"/>
          <w:lang w:val="uk-UA"/>
        </w:rPr>
        <w:t xml:space="preserve"> зусиль буде перспективною для кожного закладу ресторанного господарства. </w:t>
      </w:r>
    </w:p>
    <w:p w14:paraId="63B09720"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 ресторані «Жаровня на Замку» ефективно було б запровадити такі сучасні технології розвитку та навчання персоналу, як E–</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 xml:space="preserve"> та M-</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w:t>
      </w:r>
    </w:p>
    <w:p w14:paraId="08A2850A"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i/>
          <w:sz w:val="28"/>
          <w:szCs w:val="28"/>
          <w:lang w:val="uk-UA"/>
        </w:rPr>
        <w:t>E-</w:t>
      </w:r>
      <w:proofErr w:type="spellStart"/>
      <w:r w:rsidRPr="005F0419">
        <w:rPr>
          <w:rFonts w:ascii="Times New Roman" w:eastAsia="Times New Roman" w:hAnsi="Times New Roman" w:cs="Times New Roman"/>
          <w:i/>
          <w:sz w:val="28"/>
          <w:szCs w:val="28"/>
          <w:lang w:val="uk-UA"/>
        </w:rPr>
        <w:t>learning</w:t>
      </w:r>
      <w:proofErr w:type="spellEnd"/>
      <w:r w:rsidRPr="005F0419">
        <w:rPr>
          <w:rFonts w:ascii="Times New Roman" w:eastAsia="Times New Roman" w:hAnsi="Times New Roman" w:cs="Times New Roman"/>
          <w:sz w:val="28"/>
          <w:szCs w:val="28"/>
          <w:lang w:val="uk-UA"/>
        </w:rPr>
        <w:t xml:space="preserve"> (скорочення від </w:t>
      </w:r>
      <w:proofErr w:type="spellStart"/>
      <w:r w:rsidRPr="005F0419">
        <w:rPr>
          <w:rFonts w:ascii="Times New Roman" w:eastAsia="Times New Roman" w:hAnsi="Times New Roman" w:cs="Times New Roman"/>
          <w:sz w:val="28"/>
          <w:szCs w:val="28"/>
          <w:lang w:val="uk-UA"/>
        </w:rPr>
        <w:t>англ</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Electronic</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 – система електронного навчання, синонім таких термінів, як електронне навчання, дистанційне навчання, навчання із застосуванням комп'ютерів, мережне навчання, віртуальне навчання, навчання за допомогою інформаційних, електронних технологій [30].</w:t>
      </w:r>
    </w:p>
    <w:p w14:paraId="5DD67F03"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lastRenderedPageBreak/>
        <w:t xml:space="preserve">Відповідно до статистичних даних, у Великобританії цей метод використовують 64% організацій, 81% британських фахівців вважають, що його використання зросте. </w:t>
      </w:r>
    </w:p>
    <w:p w14:paraId="08D380A4" w14:textId="7C66AB40"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У відповідності з вимогами бізнес-процесу у ресторані, даний вид навчання передбачав би </w:t>
      </w:r>
      <w:r w:rsidRPr="005F0419">
        <w:rPr>
          <w:rFonts w:ascii="Times New Roman" w:eastAsia="Times New Roman" w:hAnsi="Times New Roman" w:cs="Times New Roman"/>
          <w:i/>
          <w:sz w:val="28"/>
          <w:szCs w:val="28"/>
          <w:lang w:val="uk-UA"/>
        </w:rPr>
        <w:t>розробку комплексу навчальних курсів</w:t>
      </w:r>
      <w:r w:rsidRPr="005F0419">
        <w:rPr>
          <w:rFonts w:ascii="Times New Roman" w:eastAsia="Times New Roman" w:hAnsi="Times New Roman" w:cs="Times New Roman"/>
          <w:sz w:val="28"/>
          <w:szCs w:val="28"/>
          <w:lang w:val="uk-UA"/>
        </w:rPr>
        <w:t xml:space="preserve">, які розміщуються в середовищі електронної системи управління навчанням та розвитком. Тобто, матеріал який розміщений, наприклад, у щоденнику стажування, можна сформувати у вигляді </w:t>
      </w:r>
      <w:proofErr w:type="spellStart"/>
      <w:r w:rsidRPr="005F0419">
        <w:rPr>
          <w:rFonts w:ascii="Times New Roman" w:eastAsia="Times New Roman" w:hAnsi="Times New Roman" w:cs="Times New Roman"/>
          <w:sz w:val="28"/>
          <w:szCs w:val="28"/>
          <w:lang w:val="uk-UA"/>
        </w:rPr>
        <w:t>онлан</w:t>
      </w:r>
      <w:proofErr w:type="spellEnd"/>
      <w:r w:rsidRPr="005F0419">
        <w:rPr>
          <w:rFonts w:ascii="Times New Roman" w:eastAsia="Times New Roman" w:hAnsi="Times New Roman" w:cs="Times New Roman"/>
          <w:sz w:val="28"/>
          <w:szCs w:val="28"/>
          <w:lang w:val="uk-UA"/>
        </w:rPr>
        <w:t xml:space="preserve">-лекції, де за допомогою візуалізації працівнику краще б засвоювалися знання. За допомогою короткого підсумкового тестування по лекції, автоматично визначатиметься рівень оволодіння матеріалом. Таким чином, це спростить питання стажування, на яке не витрачатиметься стільки часу з боку керівника закладу та буде систематизоване навчання. На основі впровадження системи електронного навчання, можна </w:t>
      </w:r>
      <w:r w:rsidRPr="005F0419">
        <w:rPr>
          <w:rFonts w:ascii="Times New Roman" w:eastAsia="Times New Roman" w:hAnsi="Times New Roman" w:cs="Times New Roman"/>
          <w:i/>
          <w:sz w:val="28"/>
          <w:szCs w:val="28"/>
          <w:lang w:val="uk-UA"/>
        </w:rPr>
        <w:t xml:space="preserve">заключити договори із вищими навчальними закладами, </w:t>
      </w:r>
      <w:r w:rsidRPr="005F0419">
        <w:rPr>
          <w:rFonts w:ascii="Times New Roman" w:eastAsia="Times New Roman" w:hAnsi="Times New Roman" w:cs="Times New Roman"/>
          <w:sz w:val="28"/>
          <w:szCs w:val="28"/>
          <w:lang w:val="uk-UA"/>
        </w:rPr>
        <w:t xml:space="preserve">які готують фахівців у сфері індустрії гостинності з метою взаємної співпраці. </w:t>
      </w:r>
    </w:p>
    <w:p w14:paraId="34FAD24B"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Здійснення дистанційної освіти у ресторані «Жаровня на замку» на основі E-</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 xml:space="preserve"> передбачало б:</w:t>
      </w:r>
    </w:p>
    <w:p w14:paraId="1562625D" w14:textId="77777777" w:rsidR="00A55004" w:rsidRPr="005F0419" w:rsidRDefault="00A55004" w:rsidP="006D1666">
      <w:pPr>
        <w:widowControl w:val="0"/>
        <w:numPr>
          <w:ilvl w:val="0"/>
          <w:numId w:val="6"/>
        </w:numPr>
        <w:tabs>
          <w:tab w:val="left" w:pos="993"/>
        </w:tabs>
        <w:autoSpaceDE w:val="0"/>
        <w:autoSpaceDN w:val="0"/>
        <w:adjustRightInd w:val="0"/>
        <w:spacing w:after="0" w:line="360" w:lineRule="auto"/>
        <w:ind w:left="0" w:firstLine="720"/>
        <w:jc w:val="both"/>
        <w:rPr>
          <w:rFonts w:ascii="Times New Roman" w:eastAsia="SymbolMT" w:hAnsi="Times New Roman" w:cs="Times New Roman"/>
          <w:sz w:val="28"/>
          <w:szCs w:val="28"/>
          <w:lang w:val="uk-UA"/>
        </w:rPr>
      </w:pPr>
      <w:r w:rsidRPr="005F0419">
        <w:rPr>
          <w:rFonts w:ascii="Times New Roman" w:eastAsia="Times New Roman" w:hAnsi="Times New Roman" w:cs="Times New Roman"/>
          <w:sz w:val="28"/>
          <w:szCs w:val="28"/>
          <w:lang w:val="uk-UA"/>
        </w:rPr>
        <w:t>можливість працівників у будь-який час, з будь-якого місця одержувати</w:t>
      </w:r>
      <w:r w:rsidRPr="005F0419">
        <w:rPr>
          <w:rFonts w:ascii="Times New Roman" w:eastAsia="SymbolMT" w:hAnsi="Times New Roman" w:cs="Times New Roman"/>
          <w:sz w:val="28"/>
          <w:szCs w:val="28"/>
          <w:lang w:val="uk-UA"/>
        </w:rPr>
        <w:t xml:space="preserve"> </w:t>
      </w:r>
      <w:r w:rsidRPr="005F0419">
        <w:rPr>
          <w:rFonts w:ascii="Times New Roman" w:eastAsia="Times New Roman" w:hAnsi="Times New Roman" w:cs="Times New Roman"/>
          <w:sz w:val="28"/>
          <w:szCs w:val="28"/>
          <w:lang w:val="uk-UA"/>
        </w:rPr>
        <w:t>сучасні знання;</w:t>
      </w:r>
    </w:p>
    <w:p w14:paraId="7A643876" w14:textId="77777777" w:rsidR="00A55004" w:rsidRPr="005F0419" w:rsidRDefault="00A55004" w:rsidP="006D1666">
      <w:pPr>
        <w:widowControl w:val="0"/>
        <w:numPr>
          <w:ilvl w:val="0"/>
          <w:numId w:val="5"/>
        </w:numPr>
        <w:tabs>
          <w:tab w:val="left" w:pos="993"/>
        </w:tabs>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отримання консультацій від експерта, проведення нарад;</w:t>
      </w:r>
    </w:p>
    <w:p w14:paraId="71D70D49" w14:textId="77777777" w:rsidR="00A55004" w:rsidRPr="005F0419" w:rsidRDefault="00A55004" w:rsidP="006D1666">
      <w:pPr>
        <w:widowControl w:val="0"/>
        <w:numPr>
          <w:ilvl w:val="0"/>
          <w:numId w:val="5"/>
        </w:numPr>
        <w:tabs>
          <w:tab w:val="left" w:pos="993"/>
        </w:tabs>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можливість дистанційної взаємодії працівників;</w:t>
      </w:r>
    </w:p>
    <w:p w14:paraId="6225A4A0" w14:textId="77777777" w:rsidR="00A55004" w:rsidRPr="005F0419" w:rsidRDefault="00A55004" w:rsidP="006D1666">
      <w:pPr>
        <w:widowControl w:val="0"/>
        <w:numPr>
          <w:ilvl w:val="0"/>
          <w:numId w:val="5"/>
        </w:numPr>
        <w:tabs>
          <w:tab w:val="left" w:pos="993"/>
        </w:tabs>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створення розподіленої групи користувачів, які ведуть спільну віртуальну навчальну діяльність;</w:t>
      </w:r>
    </w:p>
    <w:p w14:paraId="592978BF" w14:textId="77777777" w:rsidR="00A55004" w:rsidRPr="005F0419" w:rsidRDefault="00A55004" w:rsidP="006D1666">
      <w:pPr>
        <w:widowControl w:val="0"/>
        <w:numPr>
          <w:ilvl w:val="0"/>
          <w:numId w:val="6"/>
        </w:numPr>
        <w:tabs>
          <w:tab w:val="left" w:pos="993"/>
        </w:tabs>
        <w:autoSpaceDE w:val="0"/>
        <w:autoSpaceDN w:val="0"/>
        <w:adjustRightInd w:val="0"/>
        <w:spacing w:after="0" w:line="360" w:lineRule="auto"/>
        <w:ind w:left="0" w:firstLine="720"/>
        <w:jc w:val="both"/>
        <w:rPr>
          <w:rFonts w:ascii="Times New Roman" w:eastAsia="SymbolMT" w:hAnsi="Times New Roman" w:cs="Times New Roman"/>
          <w:sz w:val="28"/>
          <w:szCs w:val="28"/>
          <w:lang w:val="uk-UA"/>
        </w:rPr>
      </w:pPr>
      <w:r w:rsidRPr="005F0419">
        <w:rPr>
          <w:rFonts w:ascii="Times New Roman" w:eastAsia="Times New Roman" w:hAnsi="Times New Roman" w:cs="Times New Roman"/>
          <w:sz w:val="28"/>
          <w:szCs w:val="28"/>
          <w:lang w:val="uk-UA"/>
        </w:rPr>
        <w:t>своєчасну неперервну доставку електронних навчальних</w:t>
      </w:r>
      <w:r w:rsidRPr="005F0419">
        <w:rPr>
          <w:rFonts w:ascii="Times New Roman" w:eastAsia="SymbolMT" w:hAnsi="Times New Roman" w:cs="Times New Roman"/>
          <w:sz w:val="28"/>
          <w:szCs w:val="28"/>
          <w:lang w:val="uk-UA"/>
        </w:rPr>
        <w:t xml:space="preserve"> </w:t>
      </w:r>
      <w:r w:rsidRPr="005F0419">
        <w:rPr>
          <w:rFonts w:ascii="Times New Roman" w:eastAsia="Times New Roman" w:hAnsi="Times New Roman" w:cs="Times New Roman"/>
          <w:sz w:val="28"/>
          <w:szCs w:val="28"/>
          <w:lang w:val="uk-UA"/>
        </w:rPr>
        <w:t>матеріалів;</w:t>
      </w:r>
    </w:p>
    <w:p w14:paraId="270A236F" w14:textId="77777777" w:rsidR="00A55004" w:rsidRPr="005F0419" w:rsidRDefault="00A55004" w:rsidP="006D1666">
      <w:pPr>
        <w:widowControl w:val="0"/>
        <w:numPr>
          <w:ilvl w:val="0"/>
          <w:numId w:val="6"/>
        </w:numPr>
        <w:tabs>
          <w:tab w:val="left" w:pos="993"/>
        </w:tabs>
        <w:autoSpaceDE w:val="0"/>
        <w:autoSpaceDN w:val="0"/>
        <w:adjustRightInd w:val="0"/>
        <w:spacing w:after="0" w:line="360" w:lineRule="auto"/>
        <w:ind w:left="0" w:firstLine="720"/>
        <w:jc w:val="both"/>
        <w:rPr>
          <w:rFonts w:ascii="Times New Roman" w:eastAsia="SymbolMT" w:hAnsi="Times New Roman" w:cs="Times New Roman"/>
          <w:sz w:val="28"/>
          <w:szCs w:val="28"/>
          <w:lang w:val="uk-UA"/>
        </w:rPr>
      </w:pPr>
      <w:r w:rsidRPr="005F0419">
        <w:rPr>
          <w:rFonts w:ascii="Times New Roman" w:eastAsia="Times New Roman" w:hAnsi="Times New Roman" w:cs="Times New Roman"/>
          <w:sz w:val="28"/>
          <w:szCs w:val="28"/>
          <w:lang w:val="uk-UA"/>
        </w:rPr>
        <w:t>стандартизацію та сертифікацію електронних навчальних</w:t>
      </w:r>
      <w:r w:rsidRPr="005F0419">
        <w:rPr>
          <w:rFonts w:ascii="Times New Roman" w:eastAsia="SymbolMT" w:hAnsi="Times New Roman" w:cs="Times New Roman"/>
          <w:sz w:val="28"/>
          <w:szCs w:val="28"/>
          <w:lang w:val="uk-UA"/>
        </w:rPr>
        <w:t xml:space="preserve"> </w:t>
      </w:r>
      <w:r w:rsidRPr="005F0419">
        <w:rPr>
          <w:rFonts w:ascii="Times New Roman" w:eastAsia="Times New Roman" w:hAnsi="Times New Roman" w:cs="Times New Roman"/>
          <w:sz w:val="28"/>
          <w:szCs w:val="28"/>
          <w:lang w:val="uk-UA"/>
        </w:rPr>
        <w:t>матеріалів, технологій, дистанційних засобів навчання;</w:t>
      </w:r>
    </w:p>
    <w:p w14:paraId="4AFE3051" w14:textId="77777777" w:rsidR="00A55004" w:rsidRPr="005F0419" w:rsidRDefault="00A55004" w:rsidP="006D1666">
      <w:pPr>
        <w:widowControl w:val="0"/>
        <w:numPr>
          <w:ilvl w:val="0"/>
          <w:numId w:val="6"/>
        </w:numPr>
        <w:tabs>
          <w:tab w:val="left" w:pos="993"/>
        </w:tabs>
        <w:autoSpaceDE w:val="0"/>
        <w:autoSpaceDN w:val="0"/>
        <w:adjustRightInd w:val="0"/>
        <w:spacing w:after="0" w:line="360" w:lineRule="auto"/>
        <w:ind w:left="0" w:firstLine="720"/>
        <w:jc w:val="both"/>
        <w:rPr>
          <w:rFonts w:ascii="Times New Roman" w:eastAsia="SymbolMT" w:hAnsi="Times New Roman" w:cs="Times New Roman"/>
          <w:sz w:val="28"/>
          <w:szCs w:val="28"/>
          <w:lang w:val="uk-UA"/>
        </w:rPr>
      </w:pPr>
      <w:r w:rsidRPr="005F0419">
        <w:rPr>
          <w:rFonts w:ascii="Times New Roman" w:eastAsia="Times New Roman" w:hAnsi="Times New Roman" w:cs="Times New Roman"/>
          <w:sz w:val="28"/>
          <w:szCs w:val="28"/>
          <w:lang w:val="uk-UA"/>
        </w:rPr>
        <w:t>формування та підвищення інформаційної культури всіх</w:t>
      </w:r>
      <w:r w:rsidRPr="005F0419">
        <w:rPr>
          <w:rFonts w:ascii="Times New Roman" w:eastAsia="SymbolMT" w:hAnsi="Times New Roman" w:cs="Times New Roman"/>
          <w:sz w:val="28"/>
          <w:szCs w:val="28"/>
          <w:lang w:val="uk-UA"/>
        </w:rPr>
        <w:t xml:space="preserve"> </w:t>
      </w:r>
      <w:r w:rsidRPr="005F0419">
        <w:rPr>
          <w:rFonts w:ascii="Times New Roman" w:eastAsia="Times New Roman" w:hAnsi="Times New Roman" w:cs="Times New Roman"/>
          <w:sz w:val="28"/>
          <w:szCs w:val="28"/>
          <w:lang w:val="uk-UA"/>
        </w:rPr>
        <w:t>учасників навчального процесу;</w:t>
      </w:r>
    </w:p>
    <w:p w14:paraId="149068D9" w14:textId="77777777" w:rsidR="00A55004" w:rsidRPr="005F0419" w:rsidRDefault="00A55004" w:rsidP="006D1666">
      <w:pPr>
        <w:widowControl w:val="0"/>
        <w:numPr>
          <w:ilvl w:val="0"/>
          <w:numId w:val="6"/>
        </w:numPr>
        <w:tabs>
          <w:tab w:val="left" w:pos="993"/>
        </w:tabs>
        <w:autoSpaceDE w:val="0"/>
        <w:autoSpaceDN w:val="0"/>
        <w:adjustRightInd w:val="0"/>
        <w:spacing w:after="0" w:line="360" w:lineRule="auto"/>
        <w:ind w:left="0" w:firstLine="720"/>
        <w:jc w:val="both"/>
        <w:rPr>
          <w:rFonts w:ascii="Times New Roman" w:eastAsia="SymbolMT" w:hAnsi="Times New Roman" w:cs="Times New Roman"/>
          <w:sz w:val="28"/>
          <w:szCs w:val="28"/>
          <w:lang w:val="uk-UA"/>
        </w:rPr>
      </w:pPr>
      <w:r w:rsidRPr="005F0419">
        <w:rPr>
          <w:rFonts w:ascii="Times New Roman" w:eastAsia="Times New Roman" w:hAnsi="Times New Roman" w:cs="Times New Roman"/>
          <w:sz w:val="28"/>
          <w:szCs w:val="28"/>
          <w:lang w:val="uk-UA"/>
        </w:rPr>
        <w:t>засвоєння, популяризацію та передачу інноваційних</w:t>
      </w:r>
      <w:r w:rsidRPr="005F0419">
        <w:rPr>
          <w:rFonts w:ascii="Times New Roman" w:eastAsia="SymbolMT"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технологій, </w:t>
      </w:r>
      <w:r w:rsidRPr="005F0419">
        <w:rPr>
          <w:rFonts w:ascii="Times New Roman" w:eastAsia="Times New Roman" w:hAnsi="Times New Roman" w:cs="Times New Roman"/>
          <w:sz w:val="28"/>
          <w:szCs w:val="28"/>
          <w:lang w:val="uk-UA"/>
        </w:rPr>
        <w:lastRenderedPageBreak/>
        <w:t>підвищення ефективності діяльності працівників;</w:t>
      </w:r>
    </w:p>
    <w:p w14:paraId="03130302" w14:textId="77777777" w:rsidR="00A55004" w:rsidRPr="005F0419" w:rsidRDefault="00A55004" w:rsidP="006D1666">
      <w:pPr>
        <w:widowControl w:val="0"/>
        <w:numPr>
          <w:ilvl w:val="0"/>
          <w:numId w:val="6"/>
        </w:numPr>
        <w:tabs>
          <w:tab w:val="left" w:pos="993"/>
        </w:tabs>
        <w:autoSpaceDE w:val="0"/>
        <w:autoSpaceDN w:val="0"/>
        <w:adjustRightInd w:val="0"/>
        <w:spacing w:after="0" w:line="360" w:lineRule="auto"/>
        <w:ind w:left="0" w:firstLine="720"/>
        <w:jc w:val="both"/>
        <w:rPr>
          <w:rFonts w:ascii="Times New Roman" w:eastAsia="SymbolMT" w:hAnsi="Times New Roman" w:cs="Times New Roman"/>
          <w:sz w:val="28"/>
          <w:szCs w:val="28"/>
          <w:lang w:val="uk-UA"/>
        </w:rPr>
      </w:pPr>
      <w:r w:rsidRPr="005F0419">
        <w:rPr>
          <w:rFonts w:ascii="Times New Roman" w:eastAsia="SymbolMT"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можливість розвивати навчальні </w:t>
      </w:r>
      <w:proofErr w:type="spellStart"/>
      <w:r w:rsidRPr="005F0419">
        <w:rPr>
          <w:rFonts w:ascii="Times New Roman" w:eastAsia="Times New Roman" w:hAnsi="Times New Roman" w:cs="Times New Roman"/>
          <w:sz w:val="28"/>
          <w:szCs w:val="28"/>
          <w:lang w:val="uk-UA"/>
        </w:rPr>
        <w:t>Web</w:t>
      </w:r>
      <w:proofErr w:type="spellEnd"/>
      <w:r w:rsidRPr="005F0419">
        <w:rPr>
          <w:rFonts w:ascii="Times New Roman" w:eastAsia="Times New Roman" w:hAnsi="Times New Roman" w:cs="Times New Roman"/>
          <w:sz w:val="28"/>
          <w:szCs w:val="28"/>
          <w:lang w:val="uk-UA"/>
        </w:rPr>
        <w:t>-ресурси.</w:t>
      </w:r>
    </w:p>
    <w:p w14:paraId="0B6723B8"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До засобів Е – </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 xml:space="preserve"> відносимо електронні підручники, освітні послуги та технології.</w:t>
      </w:r>
    </w:p>
    <w:p w14:paraId="0ED201F9"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Е – </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 xml:space="preserve"> дозволяє вибирати:</w:t>
      </w:r>
    </w:p>
    <w:p w14:paraId="29A25370" w14:textId="77777777" w:rsidR="00A55004" w:rsidRPr="005F0419" w:rsidRDefault="00A55004" w:rsidP="006D1666">
      <w:pPr>
        <w:widowControl w:val="0"/>
        <w:numPr>
          <w:ilvl w:val="0"/>
          <w:numId w:val="7"/>
        </w:numPr>
        <w:tabs>
          <w:tab w:val="left" w:pos="993"/>
        </w:tabs>
        <w:autoSpaceDE w:val="0"/>
        <w:autoSpaceDN w:val="0"/>
        <w:adjustRightInd w:val="0"/>
        <w:spacing w:after="0" w:line="360" w:lineRule="auto"/>
        <w:ind w:left="0" w:firstLine="720"/>
        <w:jc w:val="both"/>
        <w:rPr>
          <w:rFonts w:ascii="Times New Roman" w:eastAsia="SymbolMT" w:hAnsi="Times New Roman" w:cs="Times New Roman"/>
          <w:sz w:val="28"/>
          <w:szCs w:val="28"/>
          <w:lang w:val="uk-UA"/>
        </w:rPr>
      </w:pPr>
      <w:r w:rsidRPr="005F0419">
        <w:rPr>
          <w:rFonts w:ascii="Times New Roman" w:eastAsia="Times New Roman" w:hAnsi="Times New Roman" w:cs="Times New Roman"/>
          <w:sz w:val="28"/>
          <w:szCs w:val="28"/>
          <w:lang w:val="uk-UA"/>
        </w:rPr>
        <w:t>зручне місце та час для навчання;</w:t>
      </w:r>
    </w:p>
    <w:p w14:paraId="5367BDCD" w14:textId="77777777" w:rsidR="00A55004" w:rsidRPr="005F0419" w:rsidRDefault="00A55004" w:rsidP="006D1666">
      <w:pPr>
        <w:widowControl w:val="0"/>
        <w:numPr>
          <w:ilvl w:val="0"/>
          <w:numId w:val="7"/>
        </w:numPr>
        <w:tabs>
          <w:tab w:val="left" w:pos="993"/>
        </w:tabs>
        <w:autoSpaceDE w:val="0"/>
        <w:autoSpaceDN w:val="0"/>
        <w:adjustRightInd w:val="0"/>
        <w:spacing w:after="0" w:line="360" w:lineRule="auto"/>
        <w:ind w:left="0" w:firstLine="720"/>
        <w:jc w:val="both"/>
        <w:rPr>
          <w:rFonts w:ascii="Times New Roman" w:eastAsia="SymbolMT" w:hAnsi="Times New Roman" w:cs="Times New Roman"/>
          <w:sz w:val="28"/>
          <w:szCs w:val="28"/>
          <w:lang w:val="uk-UA"/>
        </w:rPr>
      </w:pPr>
      <w:r w:rsidRPr="005F0419">
        <w:rPr>
          <w:rFonts w:ascii="Times New Roman" w:eastAsia="Times New Roman" w:hAnsi="Times New Roman" w:cs="Times New Roman"/>
          <w:sz w:val="28"/>
          <w:szCs w:val="28"/>
          <w:lang w:val="uk-UA"/>
        </w:rPr>
        <w:t>спосіб якісного засвоєння знань;</w:t>
      </w:r>
    </w:p>
    <w:p w14:paraId="4DE935F4" w14:textId="77777777" w:rsidR="00A55004" w:rsidRPr="005F0419" w:rsidRDefault="00A55004" w:rsidP="006D1666">
      <w:pPr>
        <w:widowControl w:val="0"/>
        <w:numPr>
          <w:ilvl w:val="0"/>
          <w:numId w:val="7"/>
        </w:numPr>
        <w:tabs>
          <w:tab w:val="left" w:pos="993"/>
        </w:tabs>
        <w:autoSpaceDE w:val="0"/>
        <w:autoSpaceDN w:val="0"/>
        <w:adjustRightInd w:val="0"/>
        <w:spacing w:after="0" w:line="360" w:lineRule="auto"/>
        <w:ind w:left="0" w:firstLine="720"/>
        <w:jc w:val="both"/>
        <w:rPr>
          <w:rFonts w:ascii="Times New Roman" w:eastAsia="SymbolMT" w:hAnsi="Times New Roman" w:cs="Times New Roman"/>
          <w:sz w:val="28"/>
          <w:szCs w:val="28"/>
          <w:lang w:val="uk-UA"/>
        </w:rPr>
      </w:pPr>
      <w:r w:rsidRPr="005F0419">
        <w:rPr>
          <w:rFonts w:ascii="Times New Roman" w:eastAsia="Times New Roman" w:hAnsi="Times New Roman" w:cs="Times New Roman"/>
          <w:sz w:val="28"/>
          <w:szCs w:val="28"/>
          <w:lang w:val="uk-UA"/>
        </w:rPr>
        <w:t xml:space="preserve">економію часу, коштів. </w:t>
      </w:r>
    </w:p>
    <w:p w14:paraId="06C7B6F3"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Активне використання нових </w:t>
      </w:r>
      <w:proofErr w:type="spellStart"/>
      <w:r w:rsidRPr="005F0419">
        <w:rPr>
          <w:rFonts w:ascii="Times New Roman" w:eastAsia="Times New Roman" w:hAnsi="Times New Roman" w:cs="Times New Roman"/>
          <w:sz w:val="28"/>
          <w:szCs w:val="28"/>
          <w:lang w:val="uk-UA"/>
        </w:rPr>
        <w:t>методик</w:t>
      </w:r>
      <w:proofErr w:type="spellEnd"/>
      <w:r w:rsidRPr="005F0419">
        <w:rPr>
          <w:rFonts w:ascii="Times New Roman" w:eastAsia="Times New Roman" w:hAnsi="Times New Roman" w:cs="Times New Roman"/>
          <w:sz w:val="28"/>
          <w:szCs w:val="28"/>
          <w:lang w:val="uk-UA"/>
        </w:rPr>
        <w:t xml:space="preserve"> в практиці електронного навчання дозволяє з високою ефективністю передати необхідні знання, і сформувати практичні навики. Дистанційне навчання дозволяє:</w:t>
      </w:r>
    </w:p>
    <w:p w14:paraId="36C22B92"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 в короткі терміни і з мінімальними витратами надати персоналу знання і сформувати навики, необхідні для ефективної роботи в тактичній і стратегічній перспективі;</w:t>
      </w:r>
    </w:p>
    <w:p w14:paraId="520E48B8"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 швидко ознайомити всіх співробітників в електронному вигляді з змінами що відбулися у сфері ресторанного бізнесу;</w:t>
      </w:r>
    </w:p>
    <w:p w14:paraId="09089C08"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 стандартизувати навчальні матеріали у відповідності з цілями і задачами закладу в цілому;</w:t>
      </w:r>
    </w:p>
    <w:p w14:paraId="2A568293"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 автоматизувати процес тестування співробітників;</w:t>
      </w:r>
    </w:p>
    <w:p w14:paraId="53DC068F"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 допомагати формуванню корпоративної культури закладу.</w:t>
      </w:r>
    </w:p>
    <w:p w14:paraId="531A8CBB" w14:textId="58DE16F0"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Активне використання мобільних телефонів, смартфонів і кишенькових персональних комп’ютерів зумовило розвиток технології </w:t>
      </w:r>
      <w:r w:rsidRPr="005F0419">
        <w:rPr>
          <w:rFonts w:ascii="Times New Roman" w:eastAsia="Times New Roman" w:hAnsi="Times New Roman" w:cs="Times New Roman"/>
          <w:i/>
          <w:sz w:val="28"/>
          <w:szCs w:val="28"/>
          <w:lang w:val="uk-UA"/>
        </w:rPr>
        <w:t>M-</w:t>
      </w:r>
      <w:proofErr w:type="spellStart"/>
      <w:r w:rsidRPr="005F0419">
        <w:rPr>
          <w:rFonts w:ascii="Times New Roman" w:eastAsia="Times New Roman" w:hAnsi="Times New Roman" w:cs="Times New Roman"/>
          <w:i/>
          <w:sz w:val="28"/>
          <w:szCs w:val="28"/>
          <w:lang w:val="uk-UA"/>
        </w:rPr>
        <w:t>learning</w:t>
      </w:r>
      <w:proofErr w:type="spellEnd"/>
      <w:r w:rsidRPr="005F0419">
        <w:rPr>
          <w:rFonts w:ascii="Times New Roman" w:eastAsia="Times New Roman" w:hAnsi="Times New Roman" w:cs="Times New Roman"/>
          <w:sz w:val="28"/>
          <w:szCs w:val="28"/>
          <w:lang w:val="uk-UA"/>
        </w:rPr>
        <w:t>, яка є продовженням технології E-</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w:t>
      </w:r>
      <w:r w:rsidR="000F5283"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M-</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 xml:space="preserve"> – це передача знань на мобільний пристрій із використанням WAP або GPRS технологій. Мета М-</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 xml:space="preserve"> – зробити процес навчання гнучким, доступним і персоналізованим. Головний принцип мобільного навчання – навчання в будь-якому місті в будь-який зручний час [31]. </w:t>
      </w:r>
    </w:p>
    <w:p w14:paraId="3C95BBD9"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Переваги M-</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w:t>
      </w:r>
    </w:p>
    <w:p w14:paraId="57544C79" w14:textId="77777777" w:rsidR="00A55004" w:rsidRPr="005F0419" w:rsidRDefault="00A55004" w:rsidP="006D1666">
      <w:pPr>
        <w:pStyle w:val="a4"/>
        <w:numPr>
          <w:ilvl w:val="0"/>
          <w:numId w:val="8"/>
        </w:numPr>
        <w:tabs>
          <w:tab w:val="left" w:pos="993"/>
        </w:tabs>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eastAsia="ru-RU"/>
        </w:rPr>
      </w:pPr>
      <w:r w:rsidRPr="005F0419">
        <w:rPr>
          <w:rFonts w:ascii="Times New Roman" w:eastAsia="Times New Roman" w:hAnsi="Times New Roman" w:cs="Times New Roman"/>
          <w:i/>
          <w:sz w:val="28"/>
          <w:szCs w:val="28"/>
          <w:lang w:val="uk-UA" w:eastAsia="ru-RU"/>
        </w:rPr>
        <w:t>Можливість навчитися завжди та усюди</w:t>
      </w:r>
      <w:r w:rsidRPr="005F0419">
        <w:rPr>
          <w:rFonts w:ascii="Times New Roman" w:eastAsia="Times New Roman" w:hAnsi="Times New Roman" w:cs="Times New Roman"/>
          <w:sz w:val="28"/>
          <w:szCs w:val="28"/>
          <w:lang w:val="uk-UA" w:eastAsia="ru-RU"/>
        </w:rPr>
        <w:t xml:space="preserve">. Мобільні пристрої компактніші і легші за книгу, тому користуватися смартфоном можна навіть у </w:t>
      </w:r>
      <w:r w:rsidRPr="005F0419">
        <w:rPr>
          <w:rFonts w:ascii="Times New Roman" w:eastAsia="Times New Roman" w:hAnsi="Times New Roman" w:cs="Times New Roman"/>
          <w:sz w:val="28"/>
          <w:szCs w:val="28"/>
          <w:lang w:val="uk-UA" w:eastAsia="ru-RU"/>
        </w:rPr>
        <w:lastRenderedPageBreak/>
        <w:t>переповненому транспорті. Для роботи з інформацією можна використовувати час очікування в аеропорту або у приймальні лікаря.</w:t>
      </w:r>
    </w:p>
    <w:p w14:paraId="58069339" w14:textId="77777777" w:rsidR="00A55004" w:rsidRPr="005F0419" w:rsidRDefault="00A55004" w:rsidP="006D1666">
      <w:pPr>
        <w:pStyle w:val="a4"/>
        <w:numPr>
          <w:ilvl w:val="0"/>
          <w:numId w:val="8"/>
        </w:numPr>
        <w:tabs>
          <w:tab w:val="left" w:pos="993"/>
        </w:tabs>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eastAsia="ru-RU"/>
        </w:rPr>
      </w:pPr>
      <w:r w:rsidRPr="005F0419">
        <w:rPr>
          <w:rFonts w:ascii="Times New Roman" w:eastAsia="Times New Roman" w:hAnsi="Times New Roman" w:cs="Times New Roman"/>
          <w:i/>
          <w:sz w:val="28"/>
          <w:szCs w:val="28"/>
          <w:lang w:val="uk-UA" w:eastAsia="ru-RU"/>
        </w:rPr>
        <w:t>Високий рівень концентрації уваги.</w:t>
      </w:r>
      <w:r w:rsidRPr="005F0419">
        <w:rPr>
          <w:rFonts w:ascii="Times New Roman" w:eastAsia="Times New Roman" w:hAnsi="Times New Roman" w:cs="Times New Roman"/>
          <w:sz w:val="28"/>
          <w:szCs w:val="28"/>
          <w:lang w:val="uk-UA" w:eastAsia="ru-RU"/>
        </w:rPr>
        <w:t xml:space="preserve"> Фокус уваги тримається 30-40 хвилин – на відміну від роботи на стаціонарному комп'ютері.</w:t>
      </w:r>
    </w:p>
    <w:p w14:paraId="0F4AE6AC" w14:textId="77777777" w:rsidR="00A55004" w:rsidRPr="005F0419" w:rsidRDefault="00A55004" w:rsidP="006D1666">
      <w:pPr>
        <w:pStyle w:val="a4"/>
        <w:numPr>
          <w:ilvl w:val="0"/>
          <w:numId w:val="8"/>
        </w:numPr>
        <w:tabs>
          <w:tab w:val="left" w:pos="993"/>
        </w:tabs>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eastAsia="ru-RU"/>
        </w:rPr>
      </w:pPr>
      <w:r w:rsidRPr="005F0419">
        <w:rPr>
          <w:rFonts w:ascii="Times New Roman" w:eastAsia="Times New Roman" w:hAnsi="Times New Roman" w:cs="Times New Roman"/>
          <w:i/>
          <w:sz w:val="28"/>
          <w:szCs w:val="28"/>
          <w:lang w:val="uk-UA" w:eastAsia="ru-RU"/>
        </w:rPr>
        <w:t>Повний обсяг інформації будь-якої миті.</w:t>
      </w:r>
      <w:r w:rsidRPr="005F0419">
        <w:rPr>
          <w:rFonts w:ascii="Times New Roman" w:eastAsia="Times New Roman" w:hAnsi="Times New Roman" w:cs="Times New Roman"/>
          <w:sz w:val="28"/>
          <w:szCs w:val="28"/>
          <w:lang w:val="uk-UA" w:eastAsia="ru-RU"/>
        </w:rPr>
        <w:t xml:space="preserve"> Мобільний пристрій можна синхронізувати з комп'ютером працівника.</w:t>
      </w:r>
    </w:p>
    <w:p w14:paraId="47801CB7" w14:textId="77777777" w:rsidR="00A55004" w:rsidRPr="005F0419" w:rsidRDefault="00A55004" w:rsidP="006D1666">
      <w:pPr>
        <w:pStyle w:val="a4"/>
        <w:numPr>
          <w:ilvl w:val="0"/>
          <w:numId w:val="8"/>
        </w:numPr>
        <w:tabs>
          <w:tab w:val="left" w:pos="993"/>
        </w:tabs>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eastAsia="ru-RU"/>
        </w:rPr>
      </w:pPr>
      <w:r w:rsidRPr="005F0419">
        <w:rPr>
          <w:rFonts w:ascii="Times New Roman" w:eastAsia="Times New Roman" w:hAnsi="Times New Roman" w:cs="Times New Roman"/>
          <w:i/>
          <w:sz w:val="28"/>
          <w:szCs w:val="28"/>
          <w:lang w:val="uk-UA" w:eastAsia="ru-RU"/>
        </w:rPr>
        <w:t>Можливості сенсорного дисплея.</w:t>
      </w:r>
      <w:r w:rsidRPr="005F0419">
        <w:rPr>
          <w:rFonts w:ascii="Times New Roman" w:eastAsia="Times New Roman" w:hAnsi="Times New Roman" w:cs="Times New Roman"/>
          <w:sz w:val="28"/>
          <w:szCs w:val="28"/>
          <w:lang w:val="uk-UA" w:eastAsia="ru-RU"/>
        </w:rPr>
        <w:t xml:space="preserve"> У програмі навчання можна використовувати тактильні піктограми.</w:t>
      </w:r>
    </w:p>
    <w:p w14:paraId="18DA7638"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На нашу думку, такий вид дистанційного навчання, як M-</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 xml:space="preserve"> буде корисний для розвитку та навчання адміністраторів, барменів, офіціантів ресторану.</w:t>
      </w:r>
    </w:p>
    <w:p w14:paraId="0FF5FEBD"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Покоління Z – це люди, народжені між 1997 і 2015 роками. Станом на 2021 рік їхній вік коливався від 6 до 24 років. За даними CNBC, на цю групу припадає понад 61 мільйон осіб у США. Така група людей прагне отримати повноцінний досвід роботи, ніж будь-яке інше покоління. Тому ресторани, які хочуть найняти покоління Z, повинні вжити додаткових заходів, щоб зробити умови привабливими, перш ніж залучати їх до роботи. Саме про це і свідчать результати нашого опитування, де 60% працівників – це представники покоління Z, для яких основним методом мотивації є хороші умови праці, можливість кар’єрного росту, розвиток. </w:t>
      </w:r>
    </w:p>
    <w:p w14:paraId="6B3A5B92" w14:textId="4267B38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Для такої категорії працівників  M-</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 xml:space="preserve"> є найбільш ефективним методом навчання та відповідно розвитку. Оскільки покоління Z відрізняється від </w:t>
      </w:r>
      <w:proofErr w:type="spellStart"/>
      <w:r w:rsidRPr="005F0419">
        <w:rPr>
          <w:rFonts w:ascii="Times New Roman" w:eastAsia="Times New Roman" w:hAnsi="Times New Roman" w:cs="Times New Roman"/>
          <w:sz w:val="28"/>
          <w:szCs w:val="28"/>
          <w:lang w:val="uk-UA"/>
        </w:rPr>
        <w:t>міленіалів</w:t>
      </w:r>
      <w:proofErr w:type="spellEnd"/>
      <w:r w:rsidRPr="005F0419">
        <w:rPr>
          <w:rFonts w:ascii="Times New Roman" w:eastAsia="Times New Roman" w:hAnsi="Times New Roman" w:cs="Times New Roman"/>
          <w:sz w:val="28"/>
          <w:szCs w:val="28"/>
          <w:lang w:val="uk-UA"/>
        </w:rPr>
        <w:t xml:space="preserve">, керівник ресторану повинен звернути увагу на нові способи їх навчання. Старі методи навчання в залі, які є звичними для більшості підприємств </w:t>
      </w:r>
      <w:r w:rsidR="00D42F9E">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застарілі. Це покоління виросло завдяки текстовим повідомленням, соцмережам, </w:t>
      </w:r>
      <w:proofErr w:type="spellStart"/>
      <w:r w:rsidRPr="005F0419">
        <w:rPr>
          <w:rFonts w:ascii="Times New Roman" w:eastAsia="Times New Roman" w:hAnsi="Times New Roman" w:cs="Times New Roman"/>
          <w:sz w:val="28"/>
          <w:szCs w:val="28"/>
          <w:lang w:val="uk-UA"/>
        </w:rPr>
        <w:t>YouTube</w:t>
      </w:r>
      <w:proofErr w:type="spellEnd"/>
      <w:r w:rsidRPr="005F0419">
        <w:rPr>
          <w:rFonts w:ascii="Times New Roman" w:eastAsia="Times New Roman" w:hAnsi="Times New Roman" w:cs="Times New Roman"/>
          <w:sz w:val="28"/>
          <w:szCs w:val="28"/>
          <w:lang w:val="uk-UA"/>
        </w:rPr>
        <w:t xml:space="preserve"> і світовим тенденціям. Найкращий спосіб скористатися їхньою базою знань – скористатися тими ж методами, які вони використовували все своє життя, щоб вчитися та залишатися на зв’язку.</w:t>
      </w:r>
      <w:r w:rsidRPr="005F0419">
        <w:rPr>
          <w:rFonts w:ascii="Times New Roman" w:eastAsia="Times New Roman" w:hAnsi="Times New Roman" w:cs="Times New Roman"/>
          <w:sz w:val="28"/>
          <w:szCs w:val="28"/>
          <w:lang w:val="uk-UA" w:eastAsia="uk-UA"/>
        </w:rPr>
        <w:t xml:space="preserve"> </w:t>
      </w:r>
      <w:r w:rsidRPr="005F0419">
        <w:rPr>
          <w:rFonts w:ascii="Times New Roman" w:eastAsia="Times New Roman" w:hAnsi="Times New Roman" w:cs="Times New Roman"/>
          <w:sz w:val="28"/>
          <w:szCs w:val="28"/>
          <w:lang w:val="uk-UA"/>
        </w:rPr>
        <w:t xml:space="preserve">Мобільна платформа допомагає їм залишатися незалежними під час роботи в команді, а програмне забезпечення для мобільного навчання дає їм гнучкість </w:t>
      </w:r>
      <w:r w:rsidRPr="005F0419">
        <w:rPr>
          <w:rFonts w:ascii="Times New Roman" w:eastAsia="Times New Roman" w:hAnsi="Times New Roman" w:cs="Times New Roman"/>
          <w:sz w:val="28"/>
          <w:szCs w:val="28"/>
          <w:lang w:val="uk-UA"/>
        </w:rPr>
        <w:lastRenderedPageBreak/>
        <w:t>вчитися відповідно до їхнього графіка без додаткового обладнання. Також мобільне навчання може використовувати переваги технологій, подібних до повсякденних соціальних сайтів, щоб покращити взаємодію.</w:t>
      </w:r>
    </w:p>
    <w:p w14:paraId="38D7D1BF"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Варто врахувати такі цілі M-</w:t>
      </w:r>
      <w:proofErr w:type="spellStart"/>
      <w:r w:rsidRPr="005F0419">
        <w:rPr>
          <w:rFonts w:ascii="Times New Roman" w:eastAsia="Times New Roman" w:hAnsi="Times New Roman" w:cs="Times New Roman"/>
          <w:sz w:val="28"/>
          <w:szCs w:val="28"/>
          <w:lang w:val="uk-UA"/>
        </w:rPr>
        <w:t>learning</w:t>
      </w:r>
      <w:proofErr w:type="spellEnd"/>
      <w:r w:rsidRPr="005F0419">
        <w:rPr>
          <w:rFonts w:ascii="Times New Roman" w:eastAsia="Times New Roman" w:hAnsi="Times New Roman" w:cs="Times New Roman"/>
          <w:sz w:val="28"/>
          <w:szCs w:val="28"/>
          <w:lang w:val="uk-UA"/>
        </w:rPr>
        <w:t xml:space="preserve"> у ресторанах:</w:t>
      </w:r>
    </w:p>
    <w:p w14:paraId="4A9660D5" w14:textId="77777777" w:rsidR="00A55004" w:rsidRPr="005F0419" w:rsidRDefault="00A55004" w:rsidP="006D1666">
      <w:pPr>
        <w:pStyle w:val="a4"/>
        <w:numPr>
          <w:ilvl w:val="0"/>
          <w:numId w:val="9"/>
        </w:numPr>
        <w:tabs>
          <w:tab w:val="left" w:pos="1134"/>
        </w:tabs>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eastAsia="ru-RU"/>
        </w:rPr>
      </w:pPr>
      <w:r w:rsidRPr="005F0419">
        <w:rPr>
          <w:rFonts w:ascii="Times New Roman" w:eastAsia="Times New Roman" w:hAnsi="Times New Roman" w:cs="Times New Roman"/>
          <w:sz w:val="28"/>
          <w:szCs w:val="28"/>
          <w:lang w:val="uk-UA" w:eastAsia="ru-RU"/>
        </w:rPr>
        <w:t>навчання має відповідати тенденціям, що переважають у ресторанній індустрії. Ці тенденції час від часу змінюються, тому потрібно адаптуватися до нових, щоб залишатися на вершині гри. Наприклад, тенденції ресторанів 2021 року включають широке використання безконтактних платежів, цифрового меню, а також технології бронювання та доставки, яких у 2020 році не було.</w:t>
      </w:r>
    </w:p>
    <w:p w14:paraId="060D9A0F" w14:textId="77777777" w:rsidR="00A55004" w:rsidRPr="005F0419" w:rsidRDefault="00A55004" w:rsidP="006D1666">
      <w:pPr>
        <w:pStyle w:val="a4"/>
        <w:numPr>
          <w:ilvl w:val="0"/>
          <w:numId w:val="9"/>
        </w:numPr>
        <w:tabs>
          <w:tab w:val="left" w:pos="1134"/>
        </w:tabs>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eastAsia="ru-RU"/>
        </w:rPr>
      </w:pPr>
      <w:r w:rsidRPr="005F0419">
        <w:rPr>
          <w:rFonts w:ascii="Times New Roman" w:eastAsia="Times New Roman" w:hAnsi="Times New Roman" w:cs="Times New Roman"/>
          <w:sz w:val="28"/>
          <w:szCs w:val="28"/>
          <w:lang w:val="uk-UA" w:eastAsia="ru-RU"/>
        </w:rPr>
        <w:t xml:space="preserve">в ідеалі програмне забезпечення для мобільного навчання має працювати на платформах </w:t>
      </w:r>
      <w:proofErr w:type="spellStart"/>
      <w:r w:rsidRPr="005F0419">
        <w:rPr>
          <w:rFonts w:ascii="Times New Roman" w:eastAsia="Times New Roman" w:hAnsi="Times New Roman" w:cs="Times New Roman"/>
          <w:sz w:val="28"/>
          <w:szCs w:val="28"/>
          <w:lang w:val="uk-UA" w:eastAsia="ru-RU"/>
        </w:rPr>
        <w:t>iOS</w:t>
      </w:r>
      <w:proofErr w:type="spellEnd"/>
      <w:r w:rsidRPr="005F0419">
        <w:rPr>
          <w:rFonts w:ascii="Times New Roman" w:eastAsia="Times New Roman" w:hAnsi="Times New Roman" w:cs="Times New Roman"/>
          <w:sz w:val="28"/>
          <w:szCs w:val="28"/>
          <w:lang w:val="uk-UA" w:eastAsia="ru-RU"/>
        </w:rPr>
        <w:t xml:space="preserve"> та </w:t>
      </w:r>
      <w:proofErr w:type="spellStart"/>
      <w:r w:rsidRPr="005F0419">
        <w:rPr>
          <w:rFonts w:ascii="Times New Roman" w:eastAsia="Times New Roman" w:hAnsi="Times New Roman" w:cs="Times New Roman"/>
          <w:sz w:val="28"/>
          <w:szCs w:val="28"/>
          <w:lang w:val="uk-UA" w:eastAsia="ru-RU"/>
        </w:rPr>
        <w:t>Android</w:t>
      </w:r>
      <w:proofErr w:type="spellEnd"/>
      <w:r w:rsidRPr="005F0419">
        <w:rPr>
          <w:rFonts w:ascii="Times New Roman" w:eastAsia="Times New Roman" w:hAnsi="Times New Roman" w:cs="Times New Roman"/>
          <w:sz w:val="28"/>
          <w:szCs w:val="28"/>
          <w:lang w:val="uk-UA" w:eastAsia="ru-RU"/>
        </w:rPr>
        <w:t>. Це економія коштів для ресторану, оскільки можна використовувати власні пристрої покоління Z для їх навчання.</w:t>
      </w:r>
    </w:p>
    <w:p w14:paraId="52DBDA49" w14:textId="77777777" w:rsidR="00A55004" w:rsidRPr="005F0419" w:rsidRDefault="00A55004" w:rsidP="006D1666">
      <w:pPr>
        <w:pStyle w:val="a4"/>
        <w:numPr>
          <w:ilvl w:val="0"/>
          <w:numId w:val="9"/>
        </w:numPr>
        <w:tabs>
          <w:tab w:val="left" w:pos="1134"/>
        </w:tabs>
        <w:autoSpaceDE w:val="0"/>
        <w:autoSpaceDN w:val="0"/>
        <w:adjustRightInd w:val="0"/>
        <w:spacing w:after="0" w:line="360" w:lineRule="auto"/>
        <w:ind w:left="0" w:firstLine="720"/>
        <w:jc w:val="both"/>
        <w:rPr>
          <w:rFonts w:ascii="Times New Roman" w:eastAsia="Times New Roman" w:hAnsi="Times New Roman" w:cs="Times New Roman"/>
          <w:sz w:val="28"/>
          <w:szCs w:val="28"/>
          <w:lang w:val="uk-UA" w:eastAsia="ru-RU"/>
        </w:rPr>
      </w:pPr>
      <w:r w:rsidRPr="005F0419">
        <w:rPr>
          <w:rFonts w:ascii="Times New Roman" w:eastAsia="Times New Roman" w:hAnsi="Times New Roman" w:cs="Times New Roman"/>
          <w:sz w:val="28"/>
          <w:szCs w:val="28"/>
          <w:lang w:val="uk-UA" w:eastAsia="ru-RU"/>
        </w:rPr>
        <w:t xml:space="preserve">згідно з дослідженнями </w:t>
      </w:r>
      <w:proofErr w:type="spellStart"/>
      <w:r w:rsidRPr="005F0419">
        <w:rPr>
          <w:rFonts w:ascii="Times New Roman" w:eastAsia="Times New Roman" w:hAnsi="Times New Roman" w:cs="Times New Roman"/>
          <w:sz w:val="28"/>
          <w:szCs w:val="28"/>
          <w:lang w:val="uk-UA" w:eastAsia="ru-RU"/>
        </w:rPr>
        <w:t>Trendera</w:t>
      </w:r>
      <w:proofErr w:type="spellEnd"/>
      <w:r w:rsidRPr="005F0419">
        <w:rPr>
          <w:rFonts w:ascii="Times New Roman" w:eastAsia="Times New Roman" w:hAnsi="Times New Roman" w:cs="Times New Roman"/>
          <w:sz w:val="28"/>
          <w:szCs w:val="28"/>
          <w:lang w:val="uk-UA" w:eastAsia="ru-RU"/>
        </w:rPr>
        <w:t xml:space="preserve">, середній член групи </w:t>
      </w:r>
      <w:proofErr w:type="spellStart"/>
      <w:r w:rsidRPr="005F0419">
        <w:rPr>
          <w:rFonts w:ascii="Times New Roman" w:eastAsia="Times New Roman" w:hAnsi="Times New Roman" w:cs="Times New Roman"/>
          <w:sz w:val="28"/>
          <w:szCs w:val="28"/>
          <w:lang w:val="uk-UA" w:eastAsia="ru-RU"/>
        </w:rPr>
        <w:t>Gen</w:t>
      </w:r>
      <w:proofErr w:type="spellEnd"/>
      <w:r w:rsidRPr="005F0419">
        <w:rPr>
          <w:rFonts w:ascii="Times New Roman" w:eastAsia="Times New Roman" w:hAnsi="Times New Roman" w:cs="Times New Roman"/>
          <w:sz w:val="28"/>
          <w:szCs w:val="28"/>
          <w:lang w:val="uk-UA" w:eastAsia="ru-RU"/>
        </w:rPr>
        <w:t xml:space="preserve"> Z переглядає близько 68 відео на день. Це означає, що вони більш сприйнятливі до </w:t>
      </w:r>
      <w:proofErr w:type="spellStart"/>
      <w:r w:rsidRPr="005F0419">
        <w:rPr>
          <w:rFonts w:ascii="Times New Roman" w:eastAsia="Times New Roman" w:hAnsi="Times New Roman" w:cs="Times New Roman"/>
          <w:sz w:val="28"/>
          <w:szCs w:val="28"/>
          <w:lang w:val="uk-UA" w:eastAsia="ru-RU"/>
        </w:rPr>
        <w:t>відеовмісту</w:t>
      </w:r>
      <w:proofErr w:type="spellEnd"/>
      <w:r w:rsidRPr="005F0419">
        <w:rPr>
          <w:rFonts w:ascii="Times New Roman" w:eastAsia="Times New Roman" w:hAnsi="Times New Roman" w:cs="Times New Roman"/>
          <w:sz w:val="28"/>
          <w:szCs w:val="28"/>
          <w:lang w:val="uk-UA" w:eastAsia="ru-RU"/>
        </w:rPr>
        <w:t>, ніж просто текст. Варто подумати про створення цікавого навчального контенту, який включає інфографіку, відео та демонстрації продуктів, де це можливо. Це покоління любить вирішувати проблеми, таким  чином, можна посилити залучення, додавши деякі сценарії або проблеми відповідно до тренінгу, щоб дати їм змогу застосувати свої нові знання.</w:t>
      </w:r>
    </w:p>
    <w:p w14:paraId="5751FC22"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На нашу думку, також ефективним способом професійного розвитку персоналу у ресторані «Жаровня на Замку» міг би послугувати </w:t>
      </w:r>
      <w:r w:rsidRPr="005F0419">
        <w:rPr>
          <w:rFonts w:ascii="Times New Roman" w:eastAsia="Times New Roman" w:hAnsi="Times New Roman" w:cs="Times New Roman"/>
          <w:i/>
          <w:sz w:val="28"/>
          <w:szCs w:val="28"/>
          <w:lang w:val="uk-UA"/>
        </w:rPr>
        <w:t>гурток якості</w:t>
      </w:r>
      <w:r w:rsidRPr="005F0419">
        <w:rPr>
          <w:rFonts w:ascii="Times New Roman" w:eastAsia="Times New Roman" w:hAnsi="Times New Roman" w:cs="Times New Roman"/>
          <w:sz w:val="28"/>
          <w:szCs w:val="28"/>
          <w:lang w:val="uk-UA"/>
        </w:rPr>
        <w:t>. Адже гуртки якості сприяють обміну професійним досвідом між різними категоріями працівників. Це призведе як до покращення працездатності працівників, так і ефективної діяльності закладу в цілому.</w:t>
      </w:r>
    </w:p>
    <w:p w14:paraId="7F42877A"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Гурток якості – це невелика група працівників (від 6 до 12 осіб), які добровільно зустрічаються на регулярній основі для вирішення проблем, пов'язаних з умовами їхньої роботи. </w:t>
      </w:r>
    </w:p>
    <w:p w14:paraId="36545F70"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Гуртки якості працюють над проблемами, які безпосередньо позначаються на результатах діяльності працівників. Гурток формується зі схвалення керівництва для вирішення конкретної проблеми, виявленої працівниками. </w:t>
      </w:r>
      <w:r w:rsidRPr="005F0419">
        <w:rPr>
          <w:rFonts w:ascii="Times New Roman" w:eastAsia="Times New Roman" w:hAnsi="Times New Roman" w:cs="Times New Roman"/>
          <w:sz w:val="28"/>
          <w:szCs w:val="28"/>
          <w:lang w:val="uk-UA"/>
        </w:rPr>
        <w:lastRenderedPageBreak/>
        <w:t xml:space="preserve">Гурток якості може працювати на постійній основі або розпускатися після остаточного вирішення проблеми. </w:t>
      </w:r>
    </w:p>
    <w:p w14:paraId="5DDE18F0"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Тривалість засідання гуртка якості не повинна перевищувати однієї години. Перші сім-вісім засідань гуртка являють собою навчальні заняття.</w:t>
      </w:r>
      <w:r w:rsidRPr="005F0419">
        <w:rPr>
          <w:rFonts w:ascii="Times New Roman" w:eastAsia="Times New Roman" w:hAnsi="Times New Roman" w:cs="Times New Roman"/>
          <w:sz w:val="28"/>
          <w:szCs w:val="28"/>
          <w:lang w:val="uk-UA"/>
        </w:rPr>
        <w:br/>
        <w:t xml:space="preserve">Гуртки якості можуть доповнювати діяльність групи з поліпшення роботи, якщо така є у закладі. </w:t>
      </w:r>
    </w:p>
    <w:p w14:paraId="2C6F9371"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Активне впровадження гуртків якості у закладах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-ресторанного бізнесу сприятиме розвитку таких факторів:</w:t>
      </w:r>
    </w:p>
    <w:p w14:paraId="4F78313D"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1) членами гуртка якості стають тільки ті працівники, які самі хочуть займатися цією діяльністю; у результаті цього їх не потрібно додатково стимулювати; </w:t>
      </w:r>
    </w:p>
    <w:p w14:paraId="5105CD2C"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2) навчання розширює кругозір окремих членів гуртка; </w:t>
      </w:r>
    </w:p>
    <w:p w14:paraId="669CECEB"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 працівники розглядають проблеми, у вирішенні яких вони особисто зацікавлені; </w:t>
      </w:r>
    </w:p>
    <w:p w14:paraId="2D39EEB4" w14:textId="77777777" w:rsidR="00A55004" w:rsidRPr="005F0419" w:rsidRDefault="00A55004" w:rsidP="00877ECC">
      <w:pPr>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4) члени гуртка якості зацікавлені у втіленні своїх рішень у життя; </w:t>
      </w:r>
    </w:p>
    <w:p w14:paraId="2287487C"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Практика функціонування гуртків якості бере початок з Японії. В Японії понад один мільйон гуртків якості, які об'єднують майже 11 мільйонів працівників. В США близько 90% найбільших організацій використовують гуртки якості з метою підвищення ефективності функціонування  даної організації та розвитку працівників шляхом вивчення нових методів вирішення того чи іншого завдання. Також практика формування гуртків якості поступово починає запроваджуватися і в Україні [32]. </w:t>
      </w:r>
    </w:p>
    <w:p w14:paraId="3AF46F66"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Загалом, гуртки якості не тільки сприятимуть розвитку працівників, але й впливатимуть на краще виконання ними посадових обов’язків, що в свою чергу сприятиме ефективному функціонуванню закладу, покращенню його конкурентних позицій.</w:t>
      </w:r>
    </w:p>
    <w:p w14:paraId="4E62784A"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Загалом, гуртки якості можна організовувати не лише із числа працівників одного закладу, це також могло б бути своєрідне </w:t>
      </w:r>
      <w:r w:rsidRPr="005F0419">
        <w:rPr>
          <w:rFonts w:ascii="Times New Roman" w:eastAsia="Times New Roman" w:hAnsi="Times New Roman" w:cs="Times New Roman"/>
          <w:i/>
          <w:sz w:val="28"/>
          <w:szCs w:val="28"/>
          <w:lang w:val="uk-UA"/>
        </w:rPr>
        <w:t>об’єднання (асоціація),</w:t>
      </w:r>
      <w:r w:rsidRPr="005F0419">
        <w:rPr>
          <w:rFonts w:ascii="Times New Roman" w:eastAsia="Times New Roman" w:hAnsi="Times New Roman" w:cs="Times New Roman"/>
          <w:sz w:val="28"/>
          <w:szCs w:val="28"/>
          <w:lang w:val="uk-UA"/>
        </w:rPr>
        <w:t xml:space="preserve"> у склад якої входили б ті представники закладів індустрії гостинності, які б виявили добровільне бажання навчатися та розвиватися. </w:t>
      </w:r>
    </w:p>
    <w:p w14:paraId="32AD9FBA"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pacing w:val="-4"/>
          <w:sz w:val="28"/>
          <w:szCs w:val="28"/>
          <w:lang w:val="uk-UA"/>
        </w:rPr>
      </w:pPr>
      <w:r w:rsidRPr="005F0419">
        <w:rPr>
          <w:rFonts w:ascii="Times New Roman" w:eastAsia="Times New Roman" w:hAnsi="Times New Roman" w:cs="Times New Roman"/>
          <w:spacing w:val="-4"/>
          <w:sz w:val="28"/>
          <w:szCs w:val="28"/>
          <w:lang w:val="uk-UA"/>
        </w:rPr>
        <w:lastRenderedPageBreak/>
        <w:t xml:space="preserve">Описані методи розвитку персоналу потребують дієвого контролю та оцінку результатів їх застосування. При цьому проміжний контроль не менш важливий, ніж кінцевий, оскільки дозволяє вчасно скорегувати процес навчання та посилити його цілеспрямованість. Комплексний контроль за процесом розвитку персоналу повинен здійснювати, на нашу думку, менеджер роботи з персоналом, а не керівник закладу, як це функціонує у ресторані «Жаровня на Замку». </w:t>
      </w:r>
    </w:p>
    <w:p w14:paraId="49D56B2D"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Результати опитування свідчать, що більшість працівників колективу ресторану вважають, що навчання для персоналу </w:t>
      </w:r>
      <w:r w:rsidRPr="005F0419">
        <w:rPr>
          <w:rFonts w:ascii="Times New Roman" w:eastAsia="Times New Roman" w:hAnsi="Times New Roman" w:cs="Times New Roman"/>
          <w:i/>
          <w:sz w:val="28"/>
          <w:szCs w:val="28"/>
          <w:lang w:val="uk-UA"/>
        </w:rPr>
        <w:t xml:space="preserve">повинен проводити менеджер з персоналу. </w:t>
      </w:r>
      <w:r w:rsidRPr="005F0419">
        <w:rPr>
          <w:rFonts w:ascii="Times New Roman" w:eastAsia="Times New Roman" w:hAnsi="Times New Roman" w:cs="Times New Roman"/>
          <w:sz w:val="28"/>
          <w:szCs w:val="28"/>
          <w:lang w:val="uk-UA"/>
        </w:rPr>
        <w:t>Така позиція є ефективною з точки зору більш ґрунтовного професійного підходу до процесу розвитку персоналу, економії часу роботи керівника,  який виконує ще й обов’язки фінансового директора.</w:t>
      </w:r>
    </w:p>
    <w:p w14:paraId="1B7D7790"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Спираючись на світовий досвід та світові тенденції розвитку персоналу, закладам індустрії гостинності необхідно прагнути до розвитку саме внутрішнього трудового потенціалу, формування корпоративної прихильності серед своїх працівників, підготовки високопрофесійних фахівців.</w:t>
      </w:r>
    </w:p>
    <w:p w14:paraId="37609D77"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Навчання персоналу має бути спрямоване на те, щоб  працівники насамперед ознайомилися із сучасними досягненнями науки і практики сфери гостинності, розширили свої знання в даній галузі. </w:t>
      </w:r>
    </w:p>
    <w:p w14:paraId="71CBA08C" w14:textId="20B1A846"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Працівники ресторану «Жаровня на Замку» повинні бути зацікавлені у своєму розвитку, тому при складанні планів навчання персоналу необхідно враховувати думку і бажання кожного окремого співробітника. Якщо тематика і спрямованість розвитку персоналу відповідають особисто цілям працівника, то й ефективність процесу навчання буде вищою. Для оцінки рівня ефективності навчання персоналу закладу </w:t>
      </w:r>
      <w:r w:rsidRPr="005F0419">
        <w:rPr>
          <w:rFonts w:ascii="Times New Roman" w:eastAsia="Times New Roman" w:hAnsi="Times New Roman" w:cs="Times New Roman"/>
          <w:i/>
          <w:sz w:val="28"/>
          <w:szCs w:val="28"/>
          <w:lang w:val="uk-UA"/>
        </w:rPr>
        <w:t>пропонуємо використовувати соціологічну анкету,</w:t>
      </w:r>
      <w:r w:rsidRPr="005F0419">
        <w:rPr>
          <w:rFonts w:ascii="Times New Roman" w:eastAsia="Times New Roman" w:hAnsi="Times New Roman" w:cs="Times New Roman"/>
          <w:sz w:val="28"/>
          <w:szCs w:val="28"/>
          <w:lang w:val="uk-UA"/>
        </w:rPr>
        <w:t xml:space="preserve"> що рекомендується заповнювати всім працівникам, охопленим тією або іншою формою навчання.</w:t>
      </w:r>
      <w:r w:rsidR="00D42F9E">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Таким чином, за умов постійного оновлення технологій, методів і форм обслуговування гостей, подачі страв тощо професійне навчання персоналу, максимальне розкриття можливостей і здібностей працівників є необхідними. Удосконалення системи професійного розвитку персоналу у закладах індустрії гостинності буде сприяти підвищенню якості трудової </w:t>
      </w:r>
      <w:r w:rsidRPr="005F0419">
        <w:rPr>
          <w:rFonts w:ascii="Times New Roman" w:eastAsia="Times New Roman" w:hAnsi="Times New Roman" w:cs="Times New Roman"/>
          <w:sz w:val="28"/>
          <w:szCs w:val="28"/>
          <w:lang w:val="uk-UA"/>
        </w:rPr>
        <w:lastRenderedPageBreak/>
        <w:t>діяльності, ініціативності, творчої активності та закріпленню працівників на підприємстві.</w:t>
      </w:r>
    </w:p>
    <w:p w14:paraId="2BDB21BB"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Керівництво підприємств сфери гостинності має забезпечити працівників можливостями й умовами вдосконалення професійних знань та навичок, що відбивається на рівні соціально-економічної задоволеності потреб та інтересів персоналу закладу. Це дасть змогу уникнути зниження якості і ефективності системи розвитку персоналу підприємства загалом.</w:t>
      </w:r>
    </w:p>
    <w:p w14:paraId="10A9DAFA" w14:textId="77777777" w:rsidR="00A55004" w:rsidRPr="005F0419" w:rsidRDefault="00A55004" w:rsidP="00877ECC">
      <w:pPr>
        <w:widowControl w:val="0"/>
        <w:shd w:val="clear" w:color="auto" w:fill="FFFFFF"/>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Професійний розвиток працівників сприятиме формуванню та розвитку трудового потенціалу безпосередньо у закладі, що є важливим фактором задоволеності потреб як працівників у самореалізації, кар’єрному зростанні так і гостей задля задоволення їх потреб.</w:t>
      </w:r>
    </w:p>
    <w:p w14:paraId="5F426CB4"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Для майбутнього розвитку підприємства дуже велике значення має підготовка фахівців і постійне підвищення їхнього професійного рівня, тому ресторану «Жаровня на Замку» слід звернувся до існуючих навчальних закладів, до створених в останні роки нових освітніх структур і численних курсів підвищення кваліфікації. Активно використовувати всі можливості навчання і стажування за кордоном.</w:t>
      </w:r>
    </w:p>
    <w:p w14:paraId="125124F6" w14:textId="77777777" w:rsidR="00A55004" w:rsidRPr="005F0419" w:rsidRDefault="00A55004" w:rsidP="00877ECC">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Таким чином, можемо виділити такі основні форми підвищення кваліфікації працівників, які  були б ефективні для ресторану «Жаровня на Замку»:</w:t>
      </w:r>
    </w:p>
    <w:p w14:paraId="4E03B69A"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 короткострокові курси підвищення кваліфікації за фаховими програ</w:t>
      </w:r>
      <w:r w:rsidRPr="005F0419">
        <w:rPr>
          <w:rFonts w:ascii="Times New Roman" w:eastAsia="Times New Roman" w:hAnsi="Times New Roman" w:cs="Times New Roman"/>
          <w:sz w:val="28"/>
          <w:szCs w:val="28"/>
          <w:lang w:val="uk-UA"/>
        </w:rPr>
        <w:softHyphen/>
        <w:t>мами для працівників сфери гостинності;</w:t>
      </w:r>
    </w:p>
    <w:p w14:paraId="7F81057D"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  тематичні семінари;</w:t>
      </w:r>
    </w:p>
    <w:p w14:paraId="13BC7A8F"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  навчальні тренінги;</w:t>
      </w:r>
    </w:p>
    <w:p w14:paraId="40B67406"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 дистанційне навчання на основі різноманітних програм;</w:t>
      </w:r>
    </w:p>
    <w:p w14:paraId="328DED3C" w14:textId="77777777" w:rsidR="00A55004" w:rsidRPr="005F0419" w:rsidRDefault="00A55004" w:rsidP="006D1666">
      <w:pPr>
        <w:pStyle w:val="a4"/>
        <w:numPr>
          <w:ilvl w:val="0"/>
          <w:numId w:val="8"/>
        </w:numPr>
        <w:tabs>
          <w:tab w:val="left" w:pos="993"/>
        </w:tabs>
        <w:spacing w:after="0" w:line="360" w:lineRule="auto"/>
        <w:ind w:left="0" w:firstLine="720"/>
        <w:jc w:val="both"/>
        <w:rPr>
          <w:rFonts w:ascii="Times New Roman" w:eastAsia="Times New Roman" w:hAnsi="Times New Roman" w:cs="Times New Roman"/>
          <w:sz w:val="28"/>
          <w:szCs w:val="28"/>
          <w:lang w:val="uk-UA" w:eastAsia="ru-RU"/>
        </w:rPr>
      </w:pPr>
      <w:r w:rsidRPr="005F0419">
        <w:rPr>
          <w:rFonts w:ascii="Times New Roman" w:eastAsia="Times New Roman" w:hAnsi="Times New Roman" w:cs="Times New Roman"/>
          <w:sz w:val="28"/>
          <w:szCs w:val="28"/>
          <w:lang w:val="uk-UA" w:eastAsia="ru-RU"/>
        </w:rPr>
        <w:t>майстер-класи;</w:t>
      </w:r>
    </w:p>
    <w:p w14:paraId="09D2F596" w14:textId="77777777" w:rsidR="00A55004" w:rsidRPr="005F0419" w:rsidRDefault="00A55004" w:rsidP="006D1666">
      <w:pPr>
        <w:pStyle w:val="a4"/>
        <w:numPr>
          <w:ilvl w:val="0"/>
          <w:numId w:val="8"/>
        </w:numPr>
        <w:tabs>
          <w:tab w:val="left" w:pos="993"/>
        </w:tabs>
        <w:spacing w:after="0" w:line="360" w:lineRule="auto"/>
        <w:ind w:left="0" w:firstLine="720"/>
        <w:jc w:val="both"/>
        <w:rPr>
          <w:rFonts w:ascii="Times New Roman" w:eastAsia="Times New Roman" w:hAnsi="Times New Roman" w:cs="Times New Roman"/>
          <w:sz w:val="28"/>
          <w:szCs w:val="28"/>
          <w:lang w:val="uk-UA" w:eastAsia="ru-RU"/>
        </w:rPr>
      </w:pPr>
      <w:r w:rsidRPr="005F0419">
        <w:rPr>
          <w:rFonts w:ascii="Times New Roman" w:eastAsia="Times New Roman" w:hAnsi="Times New Roman" w:cs="Times New Roman"/>
          <w:sz w:val="28"/>
          <w:szCs w:val="28"/>
          <w:lang w:val="uk-UA" w:eastAsia="ru-RU"/>
        </w:rPr>
        <w:t>участь у конкурсах.</w:t>
      </w:r>
    </w:p>
    <w:p w14:paraId="7D242659"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Пропонуємо створити у ресторані власне «Дерево навчання» (рис. 17). Дерево навчання – це графічне зображення програм навчання персоналу ресторану, призначених для того, щоб допомогти людям виконувати свою </w:t>
      </w:r>
      <w:r w:rsidRPr="005F0419">
        <w:rPr>
          <w:rFonts w:ascii="Times New Roman" w:eastAsia="Times New Roman" w:hAnsi="Times New Roman" w:cs="Times New Roman"/>
          <w:sz w:val="28"/>
          <w:szCs w:val="28"/>
          <w:lang w:val="uk-UA"/>
        </w:rPr>
        <w:lastRenderedPageBreak/>
        <w:t>роботу якнайкраще та сприяти добробуту команди. Кожна людина працює найкраще, коли відчуває, що є частиною команди і робить внесок у щось більше, ніж вони самі.</w:t>
      </w:r>
    </w:p>
    <w:p w14:paraId="5346CB5E" w14:textId="0030CC3E" w:rsidR="000F5283" w:rsidRPr="005F0419" w:rsidRDefault="00D42F9E" w:rsidP="000F5283">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noProof/>
          <w:sz w:val="28"/>
          <w:szCs w:val="28"/>
          <w:lang w:val="uk-UA"/>
        </w:rPr>
        <mc:AlternateContent>
          <mc:Choice Requires="wps">
            <w:drawing>
              <wp:anchor distT="0" distB="0" distL="114300" distR="114300" simplePos="0" relativeHeight="251706368" behindDoc="0" locked="0" layoutInCell="1" allowOverlap="1" wp14:anchorId="07C81591" wp14:editId="2788F8B0">
                <wp:simplePos x="0" y="0"/>
                <wp:positionH relativeFrom="column">
                  <wp:posOffset>1141730</wp:posOffset>
                </wp:positionH>
                <wp:positionV relativeFrom="paragraph">
                  <wp:posOffset>4311650</wp:posOffset>
                </wp:positionV>
                <wp:extent cx="3900170" cy="422275"/>
                <wp:effectExtent l="0" t="0" r="0" b="0"/>
                <wp:wrapNone/>
                <wp:docPr id="63" name="Скругленный прямоугольник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0170" cy="422275"/>
                        </a:xfrm>
                        <a:prstGeom prst="roundRect">
                          <a:avLst/>
                        </a:prstGeom>
                        <a:solidFill>
                          <a:sysClr val="window" lastClr="FFFFFF"/>
                        </a:solidFill>
                        <a:ln w="3175" cap="flat" cmpd="sng" algn="ctr">
                          <a:noFill/>
                          <a:prstDash val="solid"/>
                        </a:ln>
                        <a:effectLst/>
                      </wps:spPr>
                      <wps:txbx>
                        <w:txbxContent>
                          <w:p w14:paraId="73991851" w14:textId="77777777" w:rsidR="00571B42" w:rsidRPr="00A64AA7" w:rsidRDefault="00571B42" w:rsidP="000F5283">
                            <w:pPr>
                              <w:jc w:val="center"/>
                              <w:rPr>
                                <w:i/>
                                <w:lang w:val="uk-UA"/>
                              </w:rPr>
                            </w:pPr>
                            <w:r>
                              <w:rPr>
                                <w:i/>
                                <w:lang w:val="uk-UA"/>
                              </w:rPr>
                              <w:t xml:space="preserve">    </w:t>
                            </w:r>
                            <w:r w:rsidRPr="00A64AA7">
                              <w:rPr>
                                <w:i/>
                                <w:lang w:val="uk-UA"/>
                              </w:rPr>
                              <w:t xml:space="preserve">Місія, цілі, цінності закладу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07C81591" id="Скругленный прямоугольник 63" o:spid="_x0000_s1305" style="position:absolute;left:0;text-align:left;margin-left:89.9pt;margin-top:339.5pt;width:307.1pt;height:33.2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" fillcolor="window" stroked="f" strokeweight=".25pt">
                <v:textbox>
                  <w:txbxContent>
                    <w:p w14:paraId="73991851" w14:textId="77777777" w:rsidR="00571B42" w:rsidRPr="00A64AA7" w:rsidRDefault="00571B42" w:rsidP="000F5283">
                      <w:pPr>
                        <w:jc w:val="center"/>
                        <w:rPr>
                          <w:i/>
                          <w:lang w:val="uk-UA"/>
                        </w:rPr>
                      </w:pPr>
                      <w:r>
                        <w:rPr>
                          <w:i/>
                          <w:lang w:val="uk-UA"/>
                        </w:rPr>
                        <w:t xml:space="preserve">    </w:t>
                      </w:r>
                      <w:r w:rsidRPr="00A64AA7">
                        <w:rPr>
                          <w:i/>
                          <w:lang w:val="uk-UA"/>
                        </w:rPr>
                        <w:t xml:space="preserve">Місія, цілі, цінності закладу </w:t>
                      </w:r>
                    </w:p>
                  </w:txbxContent>
                </v:textbox>
              </v:roundrect>
            </w:pict>
          </mc:Fallback>
        </mc:AlternateContent>
      </w:r>
      <w:r w:rsidR="000F5283" w:rsidRPr="005F0419">
        <w:rPr>
          <w:rFonts w:ascii="Times New Roman" w:hAnsi="Times New Roman" w:cs="Times New Roman"/>
          <w:noProof/>
          <w:sz w:val="28"/>
          <w:szCs w:val="28"/>
          <w:lang w:val="uk-UA"/>
        </w:rPr>
        <mc:AlternateContent>
          <mc:Choice Requires="wps">
            <w:drawing>
              <wp:anchor distT="0" distB="0" distL="114300" distR="114300" simplePos="0" relativeHeight="251707392" behindDoc="0" locked="0" layoutInCell="1" allowOverlap="1" wp14:anchorId="56407D18" wp14:editId="030BEF45">
                <wp:simplePos x="0" y="0"/>
                <wp:positionH relativeFrom="column">
                  <wp:posOffset>2721610</wp:posOffset>
                </wp:positionH>
                <wp:positionV relativeFrom="paragraph">
                  <wp:posOffset>2486660</wp:posOffset>
                </wp:positionV>
                <wp:extent cx="1035685" cy="1202690"/>
                <wp:effectExtent l="0" t="0" r="0" b="0"/>
                <wp:wrapNone/>
                <wp:docPr id="59" name="Скругленный прямоугольник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5685" cy="1202690"/>
                        </a:xfrm>
                        <a:prstGeom prst="roundRect">
                          <a:avLst/>
                        </a:prstGeom>
                        <a:noFill/>
                        <a:ln w="25400" cap="flat" cmpd="sng" algn="ctr">
                          <a:noFill/>
                          <a:prstDash val="solid"/>
                        </a:ln>
                        <a:effectLst/>
                      </wps:spPr>
                      <wps:txbx>
                        <w:txbxContent>
                          <w:p w14:paraId="05E22BA6" w14:textId="77777777" w:rsidR="00571B42" w:rsidRPr="00F45609" w:rsidRDefault="00571B42" w:rsidP="000F5283">
                            <w:pPr>
                              <w:jc w:val="center"/>
                              <w:rPr>
                                <w:i/>
                                <w:color w:val="7030A0"/>
                                <w:sz w:val="18"/>
                                <w:lang w:val="uk-UA"/>
                              </w:rPr>
                            </w:pPr>
                            <w:r w:rsidRPr="00F45609">
                              <w:rPr>
                                <w:i/>
                                <w:color w:val="7030A0"/>
                                <w:sz w:val="18"/>
                                <w:lang w:val="uk-UA"/>
                              </w:rPr>
                              <w:t>базові знання, якими повинен володіти працівник ресторану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6407D18" id="Скругленный прямоугольник 59" o:spid="_x0000_s1306" style="position:absolute;left:0;text-align:left;margin-left:214.3pt;margin-top:195.8pt;width:81.55pt;height:94.7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" filled="f" stroked="f" strokeweight="2pt">
                <v:textbox>
                  <w:txbxContent>
                    <w:p w14:paraId="05E22BA6" w14:textId="77777777" w:rsidR="00571B42" w:rsidRPr="00F45609" w:rsidRDefault="00571B42" w:rsidP="000F5283">
                      <w:pPr>
                        <w:jc w:val="center"/>
                        <w:rPr>
                          <w:i/>
                          <w:color w:val="7030A0"/>
                          <w:sz w:val="18"/>
                          <w:lang w:val="uk-UA"/>
                        </w:rPr>
                      </w:pPr>
                      <w:r w:rsidRPr="00F45609">
                        <w:rPr>
                          <w:i/>
                          <w:color w:val="7030A0"/>
                          <w:sz w:val="18"/>
                          <w:lang w:val="uk-UA"/>
                        </w:rPr>
                        <w:t>базові знання, якими повинен володіти працівник ресторану</w:t>
                      </w:r>
                    </w:p>
                  </w:txbxContent>
                </v:textbox>
              </v:roundrect>
            </w:pict>
          </mc:Fallback>
        </mc:AlternateContent>
      </w:r>
      <w:r w:rsidR="000F5283" w:rsidRPr="005F0419">
        <w:rPr>
          <w:rFonts w:ascii="Times New Roman" w:hAnsi="Times New Roman" w:cs="Times New Roman"/>
          <w:noProof/>
          <w:sz w:val="28"/>
          <w:szCs w:val="28"/>
          <w:lang w:val="uk-UA"/>
        </w:rPr>
        <mc:AlternateContent>
          <mc:Choice Requires="wps">
            <w:drawing>
              <wp:anchor distT="0" distB="0" distL="114300" distR="114300" simplePos="0" relativeHeight="251710464" behindDoc="0" locked="0" layoutInCell="1" allowOverlap="1" wp14:anchorId="7BE6CC9B" wp14:editId="60444C65">
                <wp:simplePos x="0" y="0"/>
                <wp:positionH relativeFrom="column">
                  <wp:posOffset>2496820</wp:posOffset>
                </wp:positionH>
                <wp:positionV relativeFrom="paragraph">
                  <wp:posOffset>849630</wp:posOffset>
                </wp:positionV>
                <wp:extent cx="1730375" cy="1116330"/>
                <wp:effectExtent l="0" t="0" r="0" b="0"/>
                <wp:wrapNone/>
                <wp:docPr id="60" name="Скругленный прямоугольник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30375" cy="1116330"/>
                        </a:xfrm>
                        <a:prstGeom prst="roundRect">
                          <a:avLst/>
                        </a:prstGeom>
                        <a:noFill/>
                        <a:ln w="25400" cap="flat" cmpd="sng" algn="ctr">
                          <a:noFill/>
                          <a:prstDash val="solid"/>
                        </a:ln>
                        <a:effectLst/>
                      </wps:spPr>
                      <wps:txbx>
                        <w:txbxContent>
                          <w:p w14:paraId="50B12092" w14:textId="77777777" w:rsidR="00571B42" w:rsidRPr="00F45609" w:rsidRDefault="00571B42" w:rsidP="000F5283">
                            <w:pPr>
                              <w:jc w:val="center"/>
                              <w:rPr>
                                <w:b/>
                                <w:color w:val="FF0000"/>
                                <w:sz w:val="18"/>
                              </w:rPr>
                            </w:pPr>
                            <w:r w:rsidRPr="00F45609">
                              <w:rPr>
                                <w:b/>
                                <w:color w:val="FF0000"/>
                                <w:sz w:val="18"/>
                                <w:lang w:val="uk-UA"/>
                              </w:rPr>
                              <w:t>програма для працівників з профільною освітою та досвідом роботи сфері індустрії гостинності</w:t>
                            </w:r>
                          </w:p>
                          <w:p w14:paraId="363B73C1" w14:textId="77777777" w:rsidR="00571B42" w:rsidRPr="00F45609" w:rsidRDefault="00571B42" w:rsidP="000F5283">
                            <w:pPr>
                              <w:jc w:val="center"/>
                              <w:rPr>
                                <w:color w:val="FF0000"/>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E6CC9B" id="Скругленный прямоугольник 60" o:spid="_x0000_s1307" style="position:absolute;left:0;text-align:left;margin-left:196.6pt;margin-top:66.9pt;width:136.25pt;height:87.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" filled="f" stroked="f" strokeweight="2pt">
                <v:textbox>
                  <w:txbxContent>
                    <w:p w14:paraId="50B12092" w14:textId="77777777" w:rsidR="00571B42" w:rsidRPr="00F45609" w:rsidRDefault="00571B42" w:rsidP="000F5283">
                      <w:pPr>
                        <w:jc w:val="center"/>
                        <w:rPr>
                          <w:b/>
                          <w:color w:val="FF0000"/>
                          <w:sz w:val="18"/>
                        </w:rPr>
                      </w:pPr>
                      <w:r w:rsidRPr="00F45609">
                        <w:rPr>
                          <w:b/>
                          <w:color w:val="FF0000"/>
                          <w:sz w:val="18"/>
                          <w:lang w:val="uk-UA"/>
                        </w:rPr>
                        <w:t>програма для працівників з профільною освітою та досвідом роботи сфері індустрії гостинності</w:t>
                      </w:r>
                    </w:p>
                    <w:p w14:paraId="363B73C1" w14:textId="77777777" w:rsidR="00571B42" w:rsidRPr="00F45609" w:rsidRDefault="00571B42" w:rsidP="000F5283">
                      <w:pPr>
                        <w:jc w:val="center"/>
                        <w:rPr>
                          <w:color w:val="FF0000"/>
                          <w:sz w:val="18"/>
                        </w:rPr>
                      </w:pPr>
                    </w:p>
                  </w:txbxContent>
                </v:textbox>
              </v:roundrect>
            </w:pict>
          </mc:Fallback>
        </mc:AlternateContent>
      </w:r>
      <w:r w:rsidR="000F5283" w:rsidRPr="005F0419">
        <w:rPr>
          <w:rFonts w:ascii="Times New Roman" w:hAnsi="Times New Roman" w:cs="Times New Roman"/>
          <w:noProof/>
          <w:sz w:val="28"/>
          <w:szCs w:val="28"/>
          <w:lang w:val="uk-UA"/>
        </w:rPr>
        <mc:AlternateContent>
          <mc:Choice Requires="wps">
            <w:drawing>
              <wp:anchor distT="0" distB="0" distL="114300" distR="114300" simplePos="0" relativeHeight="251709440" behindDoc="0" locked="0" layoutInCell="1" allowOverlap="1" wp14:anchorId="3733B9CD" wp14:editId="566BB1A8">
                <wp:simplePos x="0" y="0"/>
                <wp:positionH relativeFrom="column">
                  <wp:posOffset>1141730</wp:posOffset>
                </wp:positionH>
                <wp:positionV relativeFrom="paragraph">
                  <wp:posOffset>1421765</wp:posOffset>
                </wp:positionV>
                <wp:extent cx="1637665" cy="1116330"/>
                <wp:effectExtent l="0" t="0" r="0" b="0"/>
                <wp:wrapNone/>
                <wp:docPr id="61" name="Скругленный прямоугольник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7665" cy="1116330"/>
                        </a:xfrm>
                        <a:prstGeom prst="roundRect">
                          <a:avLst/>
                        </a:prstGeom>
                        <a:noFill/>
                        <a:ln w="25400" cap="flat" cmpd="sng" algn="ctr">
                          <a:noFill/>
                          <a:prstDash val="solid"/>
                        </a:ln>
                        <a:effectLst/>
                      </wps:spPr>
                      <wps:txbx>
                        <w:txbxContent>
                          <w:p w14:paraId="21D4907A" w14:textId="77777777" w:rsidR="00571B42" w:rsidRPr="00F45609" w:rsidRDefault="00571B42" w:rsidP="000F5283">
                            <w:pPr>
                              <w:jc w:val="center"/>
                              <w:rPr>
                                <w:b/>
                                <w:color w:val="00B0F0"/>
                                <w:sz w:val="18"/>
                              </w:rPr>
                            </w:pPr>
                            <w:r w:rsidRPr="00F45609">
                              <w:rPr>
                                <w:b/>
                                <w:color w:val="00B0F0"/>
                                <w:sz w:val="18"/>
                                <w:lang w:val="uk-UA"/>
                              </w:rPr>
                              <w:t>програма для працівників з досвідом роботи у сфері індустрії гостинності без профільної освіти</w:t>
                            </w:r>
                          </w:p>
                          <w:p w14:paraId="72B7583B" w14:textId="77777777" w:rsidR="00571B42" w:rsidRPr="00F45609" w:rsidRDefault="00571B42" w:rsidP="000F5283">
                            <w:pPr>
                              <w:jc w:val="center"/>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733B9CD" id="Скругленный прямоугольник 61" o:spid="_x0000_s1308" style="position:absolute;left:0;text-align:left;margin-left:89.9pt;margin-top:111.95pt;width:128.95pt;height:87.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" filled="f" stroked="f" strokeweight="2pt">
                <v:textbox>
                  <w:txbxContent>
                    <w:p w14:paraId="21D4907A" w14:textId="77777777" w:rsidR="00571B42" w:rsidRPr="00F45609" w:rsidRDefault="00571B42" w:rsidP="000F5283">
                      <w:pPr>
                        <w:jc w:val="center"/>
                        <w:rPr>
                          <w:b/>
                          <w:color w:val="00B0F0"/>
                          <w:sz w:val="18"/>
                        </w:rPr>
                      </w:pPr>
                      <w:r w:rsidRPr="00F45609">
                        <w:rPr>
                          <w:b/>
                          <w:color w:val="00B0F0"/>
                          <w:sz w:val="18"/>
                          <w:lang w:val="uk-UA"/>
                        </w:rPr>
                        <w:t>програма для працівників з досвідом роботи у сфері індустрії гостинності без профільної освіти</w:t>
                      </w:r>
                    </w:p>
                    <w:p w14:paraId="72B7583B" w14:textId="77777777" w:rsidR="00571B42" w:rsidRPr="00F45609" w:rsidRDefault="00571B42" w:rsidP="000F5283">
                      <w:pPr>
                        <w:jc w:val="center"/>
                        <w:rPr>
                          <w:sz w:val="18"/>
                        </w:rPr>
                      </w:pPr>
                    </w:p>
                  </w:txbxContent>
                </v:textbox>
              </v:roundrect>
            </w:pict>
          </mc:Fallback>
        </mc:AlternateContent>
      </w:r>
      <w:r w:rsidR="000F5283" w:rsidRPr="005F0419">
        <w:rPr>
          <w:rFonts w:ascii="Times New Roman" w:hAnsi="Times New Roman" w:cs="Times New Roman"/>
          <w:noProof/>
          <w:sz w:val="28"/>
          <w:szCs w:val="28"/>
          <w:lang w:val="uk-UA"/>
        </w:rPr>
        <mc:AlternateContent>
          <mc:Choice Requires="wps">
            <w:drawing>
              <wp:anchor distT="0" distB="0" distL="114300" distR="114300" simplePos="0" relativeHeight="251708416" behindDoc="0" locked="0" layoutInCell="1" allowOverlap="1" wp14:anchorId="7C8B5F1B" wp14:editId="569998FC">
                <wp:simplePos x="0" y="0"/>
                <wp:positionH relativeFrom="column">
                  <wp:posOffset>3758565</wp:posOffset>
                </wp:positionH>
                <wp:positionV relativeFrom="paragraph">
                  <wp:posOffset>1561465</wp:posOffset>
                </wp:positionV>
                <wp:extent cx="1626235" cy="850900"/>
                <wp:effectExtent l="0" t="0" r="0" b="0"/>
                <wp:wrapNone/>
                <wp:docPr id="62" name="Скругленный прямоугольник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6235" cy="850900"/>
                        </a:xfrm>
                        <a:prstGeom prst="roundRect">
                          <a:avLst/>
                        </a:prstGeom>
                        <a:noFill/>
                        <a:ln w="25400" cap="flat" cmpd="sng" algn="ctr">
                          <a:noFill/>
                          <a:prstDash val="solid"/>
                        </a:ln>
                        <a:effectLst/>
                      </wps:spPr>
                      <wps:txbx>
                        <w:txbxContent>
                          <w:p w14:paraId="7EC0CD4F" w14:textId="77777777" w:rsidR="00571B42" w:rsidRPr="00F45609" w:rsidRDefault="00571B42" w:rsidP="000F5283">
                            <w:pPr>
                              <w:jc w:val="center"/>
                              <w:rPr>
                                <w:b/>
                                <w:color w:val="00B050"/>
                                <w:sz w:val="18"/>
                              </w:rPr>
                            </w:pPr>
                            <w:r w:rsidRPr="00F45609">
                              <w:rPr>
                                <w:b/>
                                <w:color w:val="00B050"/>
                                <w:sz w:val="18"/>
                                <w:lang w:val="uk-UA"/>
                              </w:rPr>
                              <w:t>програма для працівників з профільною освітою без досвіду роботи у сфері індустрії гостинності</w:t>
                            </w:r>
                          </w:p>
                          <w:p w14:paraId="459155E5" w14:textId="77777777" w:rsidR="00571B42" w:rsidRPr="00F45609" w:rsidRDefault="00571B42" w:rsidP="000F5283">
                            <w:pPr>
                              <w:jc w:val="center"/>
                              <w:rPr>
                                <w:sz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8B5F1B" id="Скругленный прямоугольник 62" o:spid="_x0000_s1309" style="position:absolute;left:0;text-align:left;margin-left:295.95pt;margin-top:122.95pt;width:128.05pt;height:6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" filled="f" stroked="f" strokeweight="2pt">
                <v:textbox>
                  <w:txbxContent>
                    <w:p w14:paraId="7EC0CD4F" w14:textId="77777777" w:rsidR="00571B42" w:rsidRPr="00F45609" w:rsidRDefault="00571B42" w:rsidP="000F5283">
                      <w:pPr>
                        <w:jc w:val="center"/>
                        <w:rPr>
                          <w:b/>
                          <w:color w:val="00B050"/>
                          <w:sz w:val="18"/>
                        </w:rPr>
                      </w:pPr>
                      <w:r w:rsidRPr="00F45609">
                        <w:rPr>
                          <w:b/>
                          <w:color w:val="00B050"/>
                          <w:sz w:val="18"/>
                          <w:lang w:val="uk-UA"/>
                        </w:rPr>
                        <w:t>програма для працівників з профільною освітою без досвіду роботи у сфері індустрії гостинності</w:t>
                      </w:r>
                    </w:p>
                    <w:p w14:paraId="459155E5" w14:textId="77777777" w:rsidR="00571B42" w:rsidRPr="00F45609" w:rsidRDefault="00571B42" w:rsidP="000F5283">
                      <w:pPr>
                        <w:jc w:val="center"/>
                        <w:rPr>
                          <w:sz w:val="18"/>
                        </w:rPr>
                      </w:pPr>
                    </w:p>
                  </w:txbxContent>
                </v:textbox>
              </v:roundrect>
            </w:pict>
          </mc:Fallback>
        </mc:AlternateContent>
      </w:r>
      <w:r w:rsidR="000F5283" w:rsidRPr="005F0419">
        <w:rPr>
          <w:rFonts w:ascii="Times New Roman" w:hAnsi="Times New Roman" w:cs="Times New Roman"/>
          <w:noProof/>
          <w:sz w:val="28"/>
          <w:szCs w:val="28"/>
          <w:lang w:val="uk-UA" w:eastAsia="uk-UA"/>
        </w:rPr>
        <w:drawing>
          <wp:inline distT="0" distB="0" distL="0" distR="0" wp14:anchorId="1270B21C" wp14:editId="3BA7543C">
            <wp:extent cx="5448300" cy="4309745"/>
            <wp:effectExtent l="0" t="0" r="0" b="0"/>
            <wp:docPr id="66" name="Рисунок 66" descr="Раскраски Дерево, Раскраска Трава и дерево Контур дере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Раскраски Дерево, Раскраска Трава и дерево Контур дерева."/>
                    <pic:cNvPicPr>
                      <a:picLocks noChangeAspect="1" noChangeArrowheads="1"/>
                    </pic:cNvPicPr>
                  </pic:nvPicPr>
                  <pic:blipFill rotWithShape="1">
                    <a:blip r:embed="rId232">
                      <a:extLst>
                        <a:ext uri="{28A0092B-C50C-407E-A947-70E740481C1C}">
                          <a14:useLocalDpi xmlns:a14="http://schemas.microsoft.com/office/drawing/2010/main" val="0"/>
                        </a:ext>
                      </a:extLst>
                    </a:blip>
                    <a:srcRect l="2645" t="4270" r="2253" b="13608"/>
                    <a:stretch/>
                  </pic:blipFill>
                  <pic:spPr bwMode="auto">
                    <a:xfrm>
                      <a:off x="0" y="0"/>
                      <a:ext cx="5451123" cy="4311978"/>
                    </a:xfrm>
                    <a:prstGeom prst="rect">
                      <a:avLst/>
                    </a:prstGeom>
                    <a:noFill/>
                    <a:ln>
                      <a:noFill/>
                    </a:ln>
                    <a:extLst>
                      <a:ext uri="{53640926-AAD7-44D8-BBD7-CCE9431645EC}">
                        <a14:shadowObscured xmlns:a14="http://schemas.microsoft.com/office/drawing/2010/main"/>
                      </a:ext>
                    </a:extLst>
                  </pic:spPr>
                </pic:pic>
              </a:graphicData>
            </a:graphic>
          </wp:inline>
        </w:drawing>
      </w:r>
    </w:p>
    <w:p w14:paraId="31EF322A" w14:textId="77777777" w:rsidR="000F5283" w:rsidRPr="005F0419" w:rsidRDefault="000F5283" w:rsidP="000F5283">
      <w:pPr>
        <w:spacing w:after="0" w:line="360" w:lineRule="auto"/>
        <w:ind w:firstLine="720"/>
        <w:jc w:val="both"/>
        <w:rPr>
          <w:rFonts w:ascii="Times New Roman" w:eastAsia="Times New Roman" w:hAnsi="Times New Roman" w:cs="Times New Roman"/>
          <w:sz w:val="28"/>
          <w:szCs w:val="28"/>
          <w:lang w:val="uk-UA"/>
        </w:rPr>
      </w:pPr>
    </w:p>
    <w:p w14:paraId="74B52586" w14:textId="6E970030" w:rsidR="000F5283" w:rsidRPr="005F0419" w:rsidRDefault="000F5283" w:rsidP="000F5283">
      <w:pPr>
        <w:spacing w:after="0" w:line="360" w:lineRule="auto"/>
        <w:ind w:firstLine="720"/>
        <w:jc w:val="center"/>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Рис. 17. «Дерево навчання» для закладів індустрії гостинності</w:t>
      </w:r>
    </w:p>
    <w:p w14:paraId="646D7579" w14:textId="570DE6A8" w:rsidR="000F5283" w:rsidRPr="005F0419" w:rsidRDefault="000F5283" w:rsidP="000F5283">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 Джерело: складено авторами.</w:t>
      </w:r>
    </w:p>
    <w:p w14:paraId="4B568CA1" w14:textId="77777777" w:rsidR="000F5283" w:rsidRPr="005F0419" w:rsidRDefault="000F5283" w:rsidP="000F5283">
      <w:pPr>
        <w:spacing w:after="0" w:line="360" w:lineRule="auto"/>
        <w:ind w:firstLine="720"/>
        <w:jc w:val="both"/>
        <w:rPr>
          <w:rFonts w:ascii="Times New Roman" w:eastAsia="Times New Roman" w:hAnsi="Times New Roman" w:cs="Times New Roman"/>
          <w:sz w:val="28"/>
          <w:szCs w:val="28"/>
          <w:lang w:val="uk-UA"/>
        </w:rPr>
      </w:pPr>
    </w:p>
    <w:p w14:paraId="6B18168D" w14:textId="77777777" w:rsidR="00D42F9E" w:rsidRPr="005F0419" w:rsidRDefault="00D42F9E" w:rsidP="00D42F9E">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Основою для вирощування власного «дерева навчання» повинні бути місія, цілі та цінності закладу. Такі складові розвитку організації повинні бути присутні у кожній програмі навчання, кожен працівник повинен розуміти основу місію діяльності підприємству у якому працює. Фундамент має вирішальне значення – якщо зекономити на фундаменті, то він врешті решт зруйнується.</w:t>
      </w:r>
    </w:p>
    <w:p w14:paraId="7BAB8D91"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Стовбур дерева – це базові знання, якими володіє кожен працівник. Чи це знання щодо меню, приготування страв, їх подачі, методів обслуговування – саме </w:t>
      </w:r>
      <w:r w:rsidRPr="005F0419">
        <w:rPr>
          <w:rFonts w:ascii="Times New Roman" w:eastAsia="Times New Roman" w:hAnsi="Times New Roman" w:cs="Times New Roman"/>
          <w:sz w:val="28"/>
          <w:szCs w:val="28"/>
          <w:lang w:val="uk-UA"/>
        </w:rPr>
        <w:lastRenderedPageBreak/>
        <w:t xml:space="preserve">на основі даних вихідних знань буде залежати на якій гілці дерева буде «знаходитися» працівник – до якої програми навчання його варто зарахувати. </w:t>
      </w:r>
    </w:p>
    <w:p w14:paraId="7F62EFFA"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Гілки дерева – це програми навчання відповідно до профілю освіти та стажу роботи працівника у сфері індустрії гостинності. </w:t>
      </w:r>
    </w:p>
    <w:p w14:paraId="119D5737" w14:textId="77777777" w:rsidR="00A55004" w:rsidRPr="005F0419" w:rsidRDefault="00A55004" w:rsidP="00877ECC">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Ми пропонуємо аби таке наочне зображення процесу навчання та розвитку персоналу було присутнє у кожному закладі. На даному «дереві навчання» можна за допомогою фотографій працівників розміщувати до якої програми варто зарахувати, варто вказувати терміни виконання та результати досягнення. </w:t>
      </w:r>
    </w:p>
    <w:p w14:paraId="5C27832A"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Окремо слід розглядати підвищення кваліфікації працівників управлінського складу. При підвищенні кваліфікації працівників управлінського складу слід застосовувати систему індивідуальної підготовки. Перспективні плани навчання і підвищення кваліфікації управлінських працівників закладів гостинності повинні коректуватися в зв’язку з прийомом працівників, що мають підвищені та вищі кваліфікаційні рівні.</w:t>
      </w:r>
      <w:r w:rsidRPr="005F0419">
        <w:rPr>
          <w:rFonts w:ascii="Times New Roman" w:eastAsia="Times New Roman" w:hAnsi="Times New Roman" w:cs="Times New Roman"/>
          <w:sz w:val="28"/>
          <w:szCs w:val="28"/>
          <w:lang w:val="uk-UA"/>
        </w:rPr>
        <w:tab/>
      </w:r>
    </w:p>
    <w:p w14:paraId="72DFC636" w14:textId="77777777" w:rsidR="00A55004" w:rsidRPr="005F0419" w:rsidRDefault="00A55004" w:rsidP="00877ECC">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Для кращої ефективності функціонування програм підвищення кваліфікації працівників ресторанів (готелів) слід здійснювати їх оцінювання.</w:t>
      </w:r>
    </w:p>
    <w:p w14:paraId="0DC3EB4C"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Проводячи оцінку системи підвищення кваліфікації працівників підприємств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-ресторанного бізнесу, слід проаналізувати обсяг і рівень охоплення працівників всіх рівнів різними формами підготовки і підвищення кваліфікації, періодизацію підвищення їхньої кваліфікації, обсяг витрат на розвиток персоналу в цілому, в тому числі і на одного працівника. Динаміка питомої ваги працівників, охоплених усіма формами навчання, у загальній чисельності персоналу повинна постійно зростати [33].</w:t>
      </w:r>
    </w:p>
    <w:p w14:paraId="302688D2"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Для кожної категорії працівників повинні встановлюватися свої методи та періодичність оцінювання, саме тому важливим є виділення об’єкта оцінки. Крім того оцінка персоналу є елементом управлінського процесу, а тому базується на взаємодії суб’єкта та об’єкта. Суб’єктом, у даному випадку, є сукупність працівників, що мають права та можливості для виконання оціночних та управлінських функцій, які регламентуються юридичними нормами. До суб’єктів оцінки персоналу можуть належати акціонери, власник закладу тощо. </w:t>
      </w:r>
      <w:r w:rsidRPr="005F0419">
        <w:rPr>
          <w:rFonts w:ascii="Times New Roman" w:eastAsia="Times New Roman" w:hAnsi="Times New Roman" w:cs="Times New Roman"/>
          <w:sz w:val="28"/>
          <w:szCs w:val="28"/>
          <w:lang w:val="uk-UA"/>
        </w:rPr>
        <w:lastRenderedPageBreak/>
        <w:t>Об’єктом оцінки персоналу виступає конкретна сукупність працівників закладу, на яку направлений процес оцінювання: весь колектив, структурний підрозділ, керівництво або окремо взятий співробітник [39].</w:t>
      </w:r>
    </w:p>
    <w:p w14:paraId="515B9B55" w14:textId="65BA04D0"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Підвищення кваліфікації персоналу дозволяє вирішувати задачі як на користь закладу – підвищується ефективність праці, включаючи якість праці, так і на користь людини – підвищуються якість життя, можливості для реалізації своїх здібностей. Тому підвищення кваліфікації працівників з урахуванням сучасних умов сприяє формуванню конкурентоздатного як на внутрішньому, так і на зовнішньому ринку персоналу</w:t>
      </w:r>
      <w:r w:rsidR="000F5283"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[40</w:t>
      </w:r>
      <w:r w:rsidR="000F5283"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41].</w:t>
      </w:r>
    </w:p>
    <w:p w14:paraId="4262EAD0"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Крім того, підвищення кваліфікації – це також можливість реалізувати себе на іншій посаді, іншій ділянці, поєднуючи максимальну професійну ефективність із потенціалом особистості.</w:t>
      </w:r>
    </w:p>
    <w:p w14:paraId="67D70CB8"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Отже, важливою умовою підвищення кваліфікації працівників ресторану «Жаровня на Замку» є збалансований підхід до планування зміни складу і кількості робочих місць, залучення та вивільнення працівників. За допомогою запропонованого нами «дерева навчання» можна достовірно визначити працівників, які потребують підвищення кваліфікації, і форми, в яких це можна зробити з мінімальними витратами. </w:t>
      </w:r>
    </w:p>
    <w:p w14:paraId="400FE2E8"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Також, при організації процесу розвитку персоналу, зокрема, підвищення кваліфікації працівників, варто враховувати зміни, що відбуваються в економіці. Ці зміни істотно впливають на мету, з якою проводяться підготовка, перепідготовка і підвищення кваліфікації персоналу. У сучасних умовах підвищуються вимоги стосовно відповідності працівників сфери гостинності вимогам кваліфікаційних характеристик професії і моделей робочого місця, яка полягає у вмінні працювати якісно без порушень трудової дисципліни, здатності самостійно приймати рішення в сфері своєї компетенції. В той же час, вищі керівники і провідні фахівці повинні підвищувати свій рівень в області нових економічних знань, стежити за змінами нормативно-правової бази, удосконалювати методи обробки й аналізу великого обсягу інформації, навчатися вільному володінні засобами оргтехніки, персональними </w:t>
      </w:r>
      <w:r w:rsidRPr="005F0419">
        <w:rPr>
          <w:rFonts w:ascii="Times New Roman" w:eastAsia="Times New Roman" w:hAnsi="Times New Roman" w:cs="Times New Roman"/>
          <w:sz w:val="28"/>
          <w:szCs w:val="28"/>
          <w:lang w:val="uk-UA"/>
        </w:rPr>
        <w:lastRenderedPageBreak/>
        <w:t xml:space="preserve">комп’ютерами та спеціальними програмами, освоїти нові економіко-психологічні стилі управління персоналом, розвивати особистісні та відповідні ділові якості. Також ринкова економіка сьогодні пред’являє підвищені вимоги до організаторських здібностей управлінського персоналу підприємств </w:t>
      </w:r>
      <w:proofErr w:type="spellStart"/>
      <w:r w:rsidRPr="005F0419">
        <w:rPr>
          <w:rFonts w:ascii="Times New Roman" w:eastAsia="Times New Roman" w:hAnsi="Times New Roman" w:cs="Times New Roman"/>
          <w:sz w:val="28"/>
          <w:szCs w:val="28"/>
          <w:lang w:val="uk-UA"/>
        </w:rPr>
        <w:t>готельно</w:t>
      </w:r>
      <w:proofErr w:type="spellEnd"/>
      <w:r w:rsidRPr="005F0419">
        <w:rPr>
          <w:rFonts w:ascii="Times New Roman" w:eastAsia="Times New Roman" w:hAnsi="Times New Roman" w:cs="Times New Roman"/>
          <w:sz w:val="28"/>
          <w:szCs w:val="28"/>
          <w:lang w:val="uk-UA"/>
        </w:rPr>
        <w:t>-ресторанного бізнесу, що треба враховувати певною мірою, при побудові ефективної системи підвищення кваліфікації працівників.</w:t>
      </w:r>
    </w:p>
    <w:p w14:paraId="3C80C5FC"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Система підвищення кваліфікації персоналу закладів сфери гостинності повинна бути дуже гнучкою і відповідати як мінливим потребам ринку, так і кваліфікаційній структурі персоналу, а зміст програм має носити все більш прикладний, практичний характер. </w:t>
      </w:r>
    </w:p>
    <w:p w14:paraId="33381702" w14:textId="77777777" w:rsidR="00A55004" w:rsidRPr="005F0419" w:rsidRDefault="00A55004" w:rsidP="00877ECC">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Спираючись на світові тенденції і досвід, закладам </w:t>
      </w:r>
      <w:proofErr w:type="spellStart"/>
      <w:r w:rsidRPr="005F0419">
        <w:rPr>
          <w:rFonts w:ascii="Times New Roman" w:hAnsi="Times New Roman" w:cs="Times New Roman"/>
          <w:sz w:val="28"/>
          <w:szCs w:val="28"/>
          <w:lang w:val="uk-UA"/>
        </w:rPr>
        <w:t>готельно</w:t>
      </w:r>
      <w:proofErr w:type="spellEnd"/>
      <w:r w:rsidRPr="005F0419">
        <w:rPr>
          <w:rFonts w:ascii="Times New Roman" w:hAnsi="Times New Roman" w:cs="Times New Roman"/>
          <w:sz w:val="28"/>
          <w:szCs w:val="28"/>
          <w:lang w:val="uk-UA"/>
        </w:rPr>
        <w:t>-ресторанного бізнесу необхідно прагнути розвивати саме внутрішній трудовий потенціал, формувати корпоративну прихильність серед своїх працівників, готувати професійних фахівців у сфері індустрії гостинності.</w:t>
      </w:r>
    </w:p>
    <w:p w14:paraId="2C3C01B8" w14:textId="34F87DA6" w:rsidR="00A55004" w:rsidRPr="005F0419" w:rsidRDefault="00A55004" w:rsidP="00877ECC">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p>
    <w:p w14:paraId="3BF91715" w14:textId="3CCA4626" w:rsidR="000F5283" w:rsidRPr="005F0419" w:rsidRDefault="000F5283" w:rsidP="000F5283">
      <w:pPr>
        <w:widowControl w:val="0"/>
        <w:autoSpaceDE w:val="0"/>
        <w:autoSpaceDN w:val="0"/>
        <w:adjustRightInd w:val="0"/>
        <w:spacing w:after="0" w:line="360" w:lineRule="auto"/>
        <w:ind w:firstLine="720"/>
        <w:jc w:val="center"/>
        <w:rPr>
          <w:rFonts w:ascii="Times New Roman" w:hAnsi="Times New Roman" w:cs="Times New Roman"/>
          <w:b/>
          <w:bCs/>
          <w:sz w:val="28"/>
          <w:szCs w:val="28"/>
          <w:lang w:val="uk-UA"/>
        </w:rPr>
      </w:pPr>
      <w:r w:rsidRPr="005F0419">
        <w:rPr>
          <w:rFonts w:ascii="Times New Roman" w:hAnsi="Times New Roman" w:cs="Times New Roman"/>
          <w:b/>
          <w:bCs/>
          <w:sz w:val="28"/>
          <w:szCs w:val="28"/>
          <w:lang w:val="uk-UA"/>
        </w:rPr>
        <w:t>Список використаних джерел</w:t>
      </w:r>
    </w:p>
    <w:p w14:paraId="78180FD8" w14:textId="3C6DE075" w:rsidR="00A55004" w:rsidRPr="005F0419" w:rsidRDefault="00A55004" w:rsidP="006D1666">
      <w:pPr>
        <w:widowControl w:val="0"/>
        <w:numPr>
          <w:ilvl w:val="0"/>
          <w:numId w:val="10"/>
        </w:numPr>
        <w:tabs>
          <w:tab w:val="left" w:pos="0"/>
          <w:tab w:val="left" w:pos="993"/>
        </w:tabs>
        <w:autoSpaceDE w:val="0"/>
        <w:autoSpaceDN w:val="0"/>
        <w:adjustRightInd w:val="0"/>
        <w:spacing w:after="0" w:line="360" w:lineRule="auto"/>
        <w:ind w:left="0" w:firstLine="720"/>
        <w:contextualSpacing/>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Калюжна М.</w:t>
      </w:r>
      <w:r w:rsidR="00A85FA7" w:rsidRPr="005F0419">
        <w:rPr>
          <w:rFonts w:ascii="Times New Roman" w:eastAsia="Calibri" w:hAnsi="Times New Roman" w:cs="Times New Roman"/>
          <w:sz w:val="28"/>
          <w:szCs w:val="28"/>
          <w:lang w:val="uk-UA"/>
        </w:rPr>
        <w:t>, Юрик Я.</w:t>
      </w:r>
      <w:r w:rsidRPr="005F0419">
        <w:rPr>
          <w:rFonts w:ascii="Times New Roman" w:eastAsia="Calibri" w:hAnsi="Times New Roman" w:cs="Times New Roman"/>
          <w:sz w:val="28"/>
          <w:szCs w:val="28"/>
          <w:lang w:val="uk-UA"/>
        </w:rPr>
        <w:t xml:space="preserve"> Професійний розвиток персоналу в системі забезпечення ефективного використання трудового потенціалу підприємства</w:t>
      </w:r>
      <w:r w:rsidR="00A85FA7"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Наукові здобутки молоді – вирішенню проблем харчування людства у ХХІ столітті : програма і матеріали 80 міжнародної наукової конференції молодих учених, аспірантів і студентів, 10–11 квітня 2014 р. К. : НУХТ, 2014. Ч. 3. С. 191-192.</w:t>
      </w:r>
    </w:p>
    <w:p w14:paraId="4E24CFB9" w14:textId="7BFE1F2C"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2. </w:t>
      </w:r>
      <w:proofErr w:type="spellStart"/>
      <w:r w:rsidRPr="005F0419">
        <w:rPr>
          <w:rFonts w:ascii="Times New Roman" w:eastAsia="Calibri" w:hAnsi="Times New Roman" w:cs="Times New Roman"/>
          <w:sz w:val="28"/>
          <w:szCs w:val="28"/>
          <w:lang w:val="uk-UA"/>
        </w:rPr>
        <w:t>Вільчинська</w:t>
      </w:r>
      <w:proofErr w:type="spellEnd"/>
      <w:r w:rsidR="00A85FA7" w:rsidRPr="005F0419">
        <w:rPr>
          <w:rFonts w:ascii="Times New Roman" w:eastAsia="Calibri" w:hAnsi="Times New Roman" w:cs="Times New Roman"/>
          <w:sz w:val="28"/>
          <w:szCs w:val="28"/>
          <w:lang w:val="uk-UA"/>
        </w:rPr>
        <w:t xml:space="preserve"> О.</w:t>
      </w:r>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Гузар</w:t>
      </w:r>
      <w:proofErr w:type="spellEnd"/>
      <w:r w:rsidR="00A85FA7" w:rsidRPr="005F0419">
        <w:rPr>
          <w:rFonts w:ascii="Times New Roman" w:eastAsia="Calibri" w:hAnsi="Times New Roman" w:cs="Times New Roman"/>
          <w:sz w:val="28"/>
          <w:szCs w:val="28"/>
          <w:lang w:val="uk-UA"/>
        </w:rPr>
        <w:t xml:space="preserve"> У.</w:t>
      </w:r>
      <w:r w:rsidRPr="005F0419">
        <w:rPr>
          <w:rFonts w:ascii="Times New Roman" w:eastAsia="Calibri" w:hAnsi="Times New Roman" w:cs="Times New Roman"/>
          <w:sz w:val="28"/>
          <w:szCs w:val="28"/>
          <w:lang w:val="uk-UA"/>
        </w:rPr>
        <w:t xml:space="preserve"> Удосконалення професійного розвитку персоналу на підприємствах індустрії гостинності</w:t>
      </w:r>
      <w:r w:rsidR="00A85FA7"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Інновації, гостинність, туризм: наука, освіта, практика : </w:t>
      </w:r>
      <w:proofErr w:type="spellStart"/>
      <w:r w:rsidRPr="005F0419">
        <w:rPr>
          <w:rFonts w:ascii="Times New Roman" w:eastAsia="Calibri" w:hAnsi="Times New Roman" w:cs="Times New Roman"/>
          <w:sz w:val="28"/>
          <w:szCs w:val="28"/>
          <w:lang w:val="uk-UA"/>
        </w:rPr>
        <w:t>зб</w:t>
      </w:r>
      <w:proofErr w:type="spellEnd"/>
      <w:r w:rsidRPr="005F0419">
        <w:rPr>
          <w:rFonts w:ascii="Times New Roman" w:eastAsia="Calibri" w:hAnsi="Times New Roman" w:cs="Times New Roman"/>
          <w:sz w:val="28"/>
          <w:szCs w:val="28"/>
          <w:lang w:val="uk-UA"/>
        </w:rPr>
        <w:t xml:space="preserve">. тез </w:t>
      </w:r>
      <w:proofErr w:type="spellStart"/>
      <w:r w:rsidRPr="005F0419">
        <w:rPr>
          <w:rFonts w:ascii="Times New Roman" w:eastAsia="Calibri" w:hAnsi="Times New Roman" w:cs="Times New Roman"/>
          <w:sz w:val="28"/>
          <w:szCs w:val="28"/>
          <w:lang w:val="uk-UA"/>
        </w:rPr>
        <w:t>доп</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Всеукр</w:t>
      </w:r>
      <w:proofErr w:type="spellEnd"/>
      <w:r w:rsidRPr="005F0419">
        <w:rPr>
          <w:rFonts w:ascii="Times New Roman" w:eastAsia="Calibri" w:hAnsi="Times New Roman" w:cs="Times New Roman"/>
          <w:sz w:val="28"/>
          <w:szCs w:val="28"/>
          <w:lang w:val="uk-UA"/>
        </w:rPr>
        <w:t>. наук.-</w:t>
      </w:r>
      <w:proofErr w:type="spellStart"/>
      <w:r w:rsidRPr="005F0419">
        <w:rPr>
          <w:rFonts w:ascii="Times New Roman" w:eastAsia="Calibri" w:hAnsi="Times New Roman" w:cs="Times New Roman"/>
          <w:sz w:val="28"/>
          <w:szCs w:val="28"/>
          <w:lang w:val="uk-UA"/>
        </w:rPr>
        <w:t>практ</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конф</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мол</w:t>
      </w:r>
      <w:proofErr w:type="spellEnd"/>
      <w:r w:rsidRPr="005F0419">
        <w:rPr>
          <w:rFonts w:ascii="Times New Roman" w:eastAsia="Calibri" w:hAnsi="Times New Roman" w:cs="Times New Roman"/>
          <w:sz w:val="28"/>
          <w:szCs w:val="28"/>
          <w:lang w:val="uk-UA"/>
        </w:rPr>
        <w:t xml:space="preserve">. учених,  </w:t>
      </w:r>
      <w:proofErr w:type="spellStart"/>
      <w:r w:rsidRPr="005F0419">
        <w:rPr>
          <w:rFonts w:ascii="Times New Roman" w:eastAsia="Calibri" w:hAnsi="Times New Roman" w:cs="Times New Roman"/>
          <w:sz w:val="28"/>
          <w:szCs w:val="28"/>
          <w:lang w:val="uk-UA"/>
        </w:rPr>
        <w:t>асп</w:t>
      </w:r>
      <w:proofErr w:type="spellEnd"/>
      <w:r w:rsidRPr="005F0419">
        <w:rPr>
          <w:rFonts w:ascii="Times New Roman" w:eastAsia="Calibri" w:hAnsi="Times New Roman" w:cs="Times New Roman"/>
          <w:sz w:val="28"/>
          <w:szCs w:val="28"/>
          <w:lang w:val="uk-UA"/>
        </w:rPr>
        <w:t xml:space="preserve">.  і  </w:t>
      </w:r>
      <w:proofErr w:type="spellStart"/>
      <w:r w:rsidRPr="005F0419">
        <w:rPr>
          <w:rFonts w:ascii="Times New Roman" w:eastAsia="Calibri" w:hAnsi="Times New Roman" w:cs="Times New Roman"/>
          <w:sz w:val="28"/>
          <w:szCs w:val="28"/>
          <w:lang w:val="uk-UA"/>
        </w:rPr>
        <w:t>студ</w:t>
      </w:r>
      <w:proofErr w:type="spellEnd"/>
      <w:r w:rsidRPr="005F0419">
        <w:rPr>
          <w:rFonts w:ascii="Times New Roman" w:eastAsia="Calibri" w:hAnsi="Times New Roman" w:cs="Times New Roman"/>
          <w:sz w:val="28"/>
          <w:szCs w:val="28"/>
          <w:lang w:val="uk-UA"/>
        </w:rPr>
        <w:t xml:space="preserve">. (26  травня 2021  року, м. Львів). Львів : ЛДУФК ім. Івана </w:t>
      </w:r>
      <w:proofErr w:type="spellStart"/>
      <w:r w:rsidRPr="005F0419">
        <w:rPr>
          <w:rFonts w:ascii="Times New Roman" w:eastAsia="Calibri" w:hAnsi="Times New Roman" w:cs="Times New Roman"/>
          <w:sz w:val="28"/>
          <w:szCs w:val="28"/>
          <w:lang w:val="uk-UA"/>
        </w:rPr>
        <w:t>Боберського</w:t>
      </w:r>
      <w:proofErr w:type="spellEnd"/>
      <w:r w:rsidRPr="005F0419">
        <w:rPr>
          <w:rFonts w:ascii="Times New Roman" w:eastAsia="Calibri" w:hAnsi="Times New Roman" w:cs="Times New Roman"/>
          <w:sz w:val="28"/>
          <w:szCs w:val="28"/>
          <w:lang w:val="uk-UA"/>
        </w:rPr>
        <w:t xml:space="preserve">, 2021. </w:t>
      </w:r>
      <w:r w:rsidR="00A85FA7" w:rsidRPr="005F0419">
        <w:rPr>
          <w:rFonts w:ascii="Times New Roman" w:eastAsia="Calibri" w:hAnsi="Times New Roman" w:cs="Times New Roman"/>
          <w:sz w:val="28"/>
          <w:szCs w:val="28"/>
          <w:lang w:val="uk-UA"/>
        </w:rPr>
        <w:t>С</w:t>
      </w:r>
      <w:r w:rsidRPr="005F0419">
        <w:rPr>
          <w:rFonts w:ascii="Times New Roman" w:eastAsia="Calibri" w:hAnsi="Times New Roman" w:cs="Times New Roman"/>
          <w:sz w:val="28"/>
          <w:szCs w:val="28"/>
          <w:lang w:val="uk-UA"/>
        </w:rPr>
        <w:t>.113-116.</w:t>
      </w:r>
    </w:p>
    <w:p w14:paraId="7541C897" w14:textId="6BA0EF89"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3. </w:t>
      </w:r>
      <w:proofErr w:type="spellStart"/>
      <w:r w:rsidRPr="005F0419">
        <w:rPr>
          <w:rFonts w:ascii="Times New Roman" w:eastAsia="Calibri" w:hAnsi="Times New Roman" w:cs="Times New Roman"/>
          <w:sz w:val="28"/>
          <w:szCs w:val="28"/>
          <w:lang w:val="uk-UA"/>
        </w:rPr>
        <w:t>Котенко</w:t>
      </w:r>
      <w:proofErr w:type="spellEnd"/>
      <w:r w:rsidRPr="005F0419">
        <w:rPr>
          <w:rFonts w:ascii="Times New Roman" w:eastAsia="Calibri" w:hAnsi="Times New Roman" w:cs="Times New Roman"/>
          <w:sz w:val="28"/>
          <w:szCs w:val="28"/>
          <w:lang w:val="uk-UA"/>
        </w:rPr>
        <w:t xml:space="preserve"> Р.</w:t>
      </w:r>
      <w:r w:rsidR="00A85FA7"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М. Необхідність та передумови розвитку персоналу для підприємств готельного господарства</w:t>
      </w:r>
      <w:r w:rsidR="00A85FA7"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Матеріали ІІІ міжнародної науково-практичної конференції «Індустрія гостинності в країнах Європи». 4-6 грудня </w:t>
      </w:r>
      <w:r w:rsidRPr="005F0419">
        <w:rPr>
          <w:rFonts w:ascii="Times New Roman" w:eastAsia="Calibri" w:hAnsi="Times New Roman" w:cs="Times New Roman"/>
          <w:sz w:val="28"/>
          <w:szCs w:val="28"/>
          <w:lang w:val="uk-UA"/>
        </w:rPr>
        <w:lastRenderedPageBreak/>
        <w:t xml:space="preserve">2009 р. Сімферополь: </w:t>
      </w:r>
      <w:proofErr w:type="spellStart"/>
      <w:r w:rsidRPr="005F0419">
        <w:rPr>
          <w:rFonts w:ascii="Times New Roman" w:eastAsia="Calibri" w:hAnsi="Times New Roman" w:cs="Times New Roman"/>
          <w:sz w:val="28"/>
          <w:szCs w:val="28"/>
          <w:lang w:val="uk-UA"/>
        </w:rPr>
        <w:t>ВіТроПринт</w:t>
      </w:r>
      <w:proofErr w:type="spellEnd"/>
      <w:r w:rsidRPr="005F0419">
        <w:rPr>
          <w:rFonts w:ascii="Times New Roman" w:eastAsia="Calibri" w:hAnsi="Times New Roman" w:cs="Times New Roman"/>
          <w:sz w:val="28"/>
          <w:szCs w:val="28"/>
          <w:lang w:val="uk-UA"/>
        </w:rPr>
        <w:t>, 2009. С.154-159.</w:t>
      </w:r>
    </w:p>
    <w:p w14:paraId="77B947A2" w14:textId="0DA2E9B8"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4. </w:t>
      </w:r>
      <w:proofErr w:type="spellStart"/>
      <w:r w:rsidRPr="005F0419">
        <w:rPr>
          <w:rFonts w:ascii="Times New Roman" w:eastAsia="Calibri" w:hAnsi="Times New Roman" w:cs="Times New Roman"/>
          <w:sz w:val="28"/>
          <w:szCs w:val="28"/>
          <w:lang w:val="uk-UA"/>
        </w:rPr>
        <w:t>Грішнова</w:t>
      </w:r>
      <w:proofErr w:type="spellEnd"/>
      <w:r w:rsidRPr="005F0419">
        <w:rPr>
          <w:rFonts w:ascii="Times New Roman" w:eastAsia="Calibri" w:hAnsi="Times New Roman" w:cs="Times New Roman"/>
          <w:sz w:val="28"/>
          <w:szCs w:val="28"/>
          <w:lang w:val="uk-UA"/>
        </w:rPr>
        <w:t xml:space="preserve"> О.</w:t>
      </w:r>
      <w:r w:rsidR="00A85FA7"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А.</w:t>
      </w:r>
      <w:r w:rsidR="00A85FA7"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 xml:space="preserve"> </w:t>
      </w:r>
      <w:proofErr w:type="spellStart"/>
      <w:r w:rsidR="00A85FA7" w:rsidRPr="005F0419">
        <w:rPr>
          <w:rFonts w:ascii="Times New Roman" w:eastAsia="Calibri" w:hAnsi="Times New Roman" w:cs="Times New Roman"/>
          <w:sz w:val="28"/>
          <w:szCs w:val="28"/>
          <w:lang w:val="uk-UA"/>
        </w:rPr>
        <w:t>Небукін</w:t>
      </w:r>
      <w:proofErr w:type="spellEnd"/>
      <w:r w:rsidR="00A85FA7" w:rsidRPr="005F0419">
        <w:rPr>
          <w:rFonts w:ascii="Times New Roman" w:eastAsia="Calibri" w:hAnsi="Times New Roman" w:cs="Times New Roman"/>
          <w:sz w:val="28"/>
          <w:szCs w:val="28"/>
          <w:lang w:val="uk-UA"/>
        </w:rPr>
        <w:t xml:space="preserve"> В. </w:t>
      </w:r>
      <w:r w:rsidRPr="005F0419">
        <w:rPr>
          <w:rFonts w:ascii="Times New Roman" w:eastAsia="Calibri" w:hAnsi="Times New Roman" w:cs="Times New Roman"/>
          <w:sz w:val="28"/>
          <w:szCs w:val="28"/>
          <w:lang w:val="uk-UA"/>
        </w:rPr>
        <w:t>Розвиток персоналу як інвестиційний проект: методичні підходи до визначення ефективності</w:t>
      </w:r>
      <w:r w:rsidR="00A85FA7"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 xml:space="preserve">Регіональні аспекти розвитку і розміщення продуктивних сил України: </w:t>
      </w:r>
      <w:proofErr w:type="spellStart"/>
      <w:r w:rsidRPr="005F0419">
        <w:rPr>
          <w:rFonts w:ascii="Times New Roman" w:eastAsia="Calibri" w:hAnsi="Times New Roman" w:cs="Times New Roman"/>
          <w:sz w:val="28"/>
          <w:szCs w:val="28"/>
          <w:lang w:val="uk-UA"/>
        </w:rPr>
        <w:t>Зб</w:t>
      </w:r>
      <w:proofErr w:type="spellEnd"/>
      <w:r w:rsidRPr="005F0419">
        <w:rPr>
          <w:rFonts w:ascii="Times New Roman" w:eastAsia="Calibri" w:hAnsi="Times New Roman" w:cs="Times New Roman"/>
          <w:sz w:val="28"/>
          <w:szCs w:val="28"/>
          <w:lang w:val="uk-UA"/>
        </w:rPr>
        <w:t>. наук. пр. Тернопіль: Економічна думка, 2004</w:t>
      </w:r>
      <w:r w:rsidR="00A85FA7"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Вип</w:t>
      </w:r>
      <w:proofErr w:type="spellEnd"/>
      <w:r w:rsidRPr="005F0419">
        <w:rPr>
          <w:rFonts w:ascii="Times New Roman" w:eastAsia="Calibri" w:hAnsi="Times New Roman" w:cs="Times New Roman"/>
          <w:sz w:val="28"/>
          <w:szCs w:val="28"/>
          <w:lang w:val="uk-UA"/>
        </w:rPr>
        <w:t>. 9. С. 15–19.</w:t>
      </w:r>
    </w:p>
    <w:p w14:paraId="19FDF895" w14:textId="75951D9D"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5. Савельєва В. С. Психологія управління. К. : ВД «Професіонал», 2005. 320 с.</w:t>
      </w:r>
    </w:p>
    <w:p w14:paraId="3F3620CE" w14:textId="7960EC85"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sz w:val="28"/>
          <w:szCs w:val="28"/>
          <w:lang w:val="uk-UA"/>
        </w:rPr>
        <w:t xml:space="preserve">6. </w:t>
      </w:r>
      <w:r w:rsidRPr="005F0419">
        <w:rPr>
          <w:rFonts w:ascii="Times New Roman" w:eastAsia="Calibri" w:hAnsi="Times New Roman" w:cs="Times New Roman"/>
          <w:bCs/>
          <w:sz w:val="28"/>
          <w:szCs w:val="28"/>
          <w:lang w:val="uk-UA"/>
        </w:rPr>
        <w:t>Сутність розвитку персоналу у забезпеченості конкурентоспроможності працівників і організації</w:t>
      </w:r>
      <w:r w:rsidR="00A85FA7" w:rsidRPr="005F0419">
        <w:rPr>
          <w:rFonts w:ascii="Times New Roman" w:eastAsia="Calibri" w:hAnsi="Times New Roman" w:cs="Times New Roman"/>
          <w:bCs/>
          <w:sz w:val="28"/>
          <w:szCs w:val="28"/>
          <w:lang w:val="uk-UA"/>
        </w:rPr>
        <w:t xml:space="preserve">. URL: </w:t>
      </w:r>
      <w:hyperlink r:id="rId233" w:history="1">
        <w:r w:rsidRPr="005F0419">
          <w:rPr>
            <w:rFonts w:ascii="Times New Roman" w:eastAsia="Calibri" w:hAnsi="Times New Roman" w:cs="Times New Roman"/>
            <w:sz w:val="28"/>
            <w:szCs w:val="28"/>
            <w:u w:val="single"/>
            <w:lang w:val="uk-UA"/>
          </w:rPr>
          <w:t>http://www.frontmanagement.org/fomants-127-1.html</w:t>
        </w:r>
      </w:hyperlink>
      <w:r w:rsidRPr="005F0419">
        <w:rPr>
          <w:rFonts w:ascii="Times New Roman" w:eastAsia="Calibri" w:hAnsi="Times New Roman" w:cs="Times New Roman"/>
          <w:sz w:val="28"/>
          <w:szCs w:val="28"/>
          <w:u w:val="single"/>
          <w:lang w:val="uk-UA"/>
        </w:rPr>
        <w:t>.</w:t>
      </w:r>
      <w:r w:rsidRPr="005F0419">
        <w:rPr>
          <w:rFonts w:ascii="Times New Roman" w:eastAsia="Calibri" w:hAnsi="Times New Roman" w:cs="Times New Roman"/>
          <w:sz w:val="28"/>
          <w:szCs w:val="28"/>
          <w:lang w:val="uk-UA"/>
        </w:rPr>
        <w:t xml:space="preserve"> </w:t>
      </w:r>
    </w:p>
    <w:p w14:paraId="1A954CEA" w14:textId="4EDAC496" w:rsidR="00A55004" w:rsidRPr="005F0419" w:rsidRDefault="00A55004" w:rsidP="00A85FA7">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7. </w:t>
      </w:r>
      <w:proofErr w:type="spellStart"/>
      <w:r w:rsidRPr="005F0419">
        <w:rPr>
          <w:rFonts w:ascii="Times New Roman" w:eastAsia="Calibri" w:hAnsi="Times New Roman" w:cs="Times New Roman"/>
          <w:sz w:val="28"/>
          <w:szCs w:val="28"/>
          <w:lang w:val="uk-UA"/>
        </w:rPr>
        <w:t>Козяр</w:t>
      </w:r>
      <w:proofErr w:type="spellEnd"/>
      <w:r w:rsidRPr="005F0419">
        <w:rPr>
          <w:rFonts w:ascii="Times New Roman" w:eastAsia="Calibri" w:hAnsi="Times New Roman" w:cs="Times New Roman"/>
          <w:sz w:val="28"/>
          <w:szCs w:val="28"/>
          <w:lang w:val="uk-UA"/>
        </w:rPr>
        <w:t xml:space="preserve"> М.</w:t>
      </w:r>
      <w:r w:rsidR="00A85FA7"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М</w:t>
      </w:r>
      <w:r w:rsidR="00A85FA7"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Кузик</w:t>
      </w:r>
      <w:proofErr w:type="spellEnd"/>
      <w:r w:rsidRPr="005F0419">
        <w:rPr>
          <w:rFonts w:ascii="Times New Roman" w:eastAsia="Calibri" w:hAnsi="Times New Roman" w:cs="Times New Roman"/>
          <w:sz w:val="28"/>
          <w:szCs w:val="28"/>
          <w:lang w:val="uk-UA"/>
        </w:rPr>
        <w:t xml:space="preserve"> А.</w:t>
      </w:r>
      <w:r w:rsidR="00A85FA7"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Д</w:t>
      </w:r>
      <w:r w:rsidR="00A85FA7"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w:t>
      </w:r>
      <w:r w:rsidR="00A85FA7" w:rsidRPr="005F0419">
        <w:rPr>
          <w:rFonts w:ascii="Times New Roman" w:eastAsia="Calibri" w:hAnsi="Times New Roman" w:cs="Times New Roman"/>
          <w:sz w:val="28"/>
          <w:szCs w:val="28"/>
          <w:lang w:val="uk-UA"/>
        </w:rPr>
        <w:t xml:space="preserve">Застосування мультимедійних телекомунікаційних технологій у навчально-виховному процесі. </w:t>
      </w:r>
      <w:r w:rsidRPr="005F0419">
        <w:rPr>
          <w:rFonts w:ascii="Times New Roman" w:eastAsia="Calibri" w:hAnsi="Times New Roman" w:cs="Times New Roman"/>
          <w:sz w:val="28"/>
          <w:szCs w:val="28"/>
          <w:lang w:val="uk-UA"/>
        </w:rPr>
        <w:t>Сучасні інформаційні технології та інноваційні методики у підготовці фахівців: методологія, теорія, досвід, проблеми</w:t>
      </w:r>
      <w:r w:rsidR="00A85FA7"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w:t>
      </w:r>
      <w:proofErr w:type="spellStart"/>
      <w:r w:rsidR="00A85FA7" w:rsidRPr="005F0419">
        <w:rPr>
          <w:rFonts w:ascii="Times New Roman" w:eastAsia="Calibri" w:hAnsi="Times New Roman" w:cs="Times New Roman"/>
          <w:sz w:val="28"/>
          <w:szCs w:val="28"/>
          <w:lang w:val="uk-UA"/>
        </w:rPr>
        <w:t>З</w:t>
      </w:r>
      <w:r w:rsidRPr="005F0419">
        <w:rPr>
          <w:rFonts w:ascii="Times New Roman" w:eastAsia="Calibri" w:hAnsi="Times New Roman" w:cs="Times New Roman"/>
          <w:sz w:val="28"/>
          <w:szCs w:val="28"/>
          <w:lang w:val="uk-UA"/>
        </w:rPr>
        <w:t>б</w:t>
      </w:r>
      <w:proofErr w:type="spellEnd"/>
      <w:r w:rsidRPr="005F0419">
        <w:rPr>
          <w:rFonts w:ascii="Times New Roman" w:eastAsia="Calibri" w:hAnsi="Times New Roman" w:cs="Times New Roman"/>
          <w:sz w:val="28"/>
          <w:szCs w:val="28"/>
          <w:lang w:val="uk-UA"/>
        </w:rPr>
        <w:t xml:space="preserve">. наук пр. 2006. </w:t>
      </w:r>
      <w:proofErr w:type="spellStart"/>
      <w:r w:rsidR="00A85FA7" w:rsidRPr="005F0419">
        <w:rPr>
          <w:rFonts w:ascii="Times New Roman" w:eastAsia="Calibri" w:hAnsi="Times New Roman" w:cs="Times New Roman"/>
          <w:sz w:val="28"/>
          <w:szCs w:val="28"/>
          <w:lang w:val="uk-UA"/>
        </w:rPr>
        <w:t>Вип</w:t>
      </w:r>
      <w:proofErr w:type="spellEnd"/>
      <w:r w:rsidR="00A85FA7" w:rsidRPr="005F0419">
        <w:rPr>
          <w:rFonts w:ascii="Times New Roman" w:eastAsia="Calibri" w:hAnsi="Times New Roman" w:cs="Times New Roman"/>
          <w:sz w:val="28"/>
          <w:szCs w:val="28"/>
          <w:lang w:val="uk-UA"/>
        </w:rPr>
        <w:t>. 10. С. 340-</w:t>
      </w:r>
      <w:r w:rsidRPr="005F0419">
        <w:rPr>
          <w:rFonts w:ascii="Times New Roman" w:eastAsia="Calibri" w:hAnsi="Times New Roman" w:cs="Times New Roman"/>
          <w:sz w:val="28"/>
          <w:szCs w:val="28"/>
          <w:lang w:val="uk-UA"/>
        </w:rPr>
        <w:t>345.</w:t>
      </w:r>
    </w:p>
    <w:p w14:paraId="425EC95E" w14:textId="1E63FE48" w:rsidR="00A85FA7"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8. Управління розвитком персоналу</w:t>
      </w:r>
      <w:r w:rsidR="00A85FA7" w:rsidRPr="005F0419">
        <w:rPr>
          <w:rFonts w:ascii="Times New Roman" w:eastAsia="Calibri" w:hAnsi="Times New Roman" w:cs="Times New Roman"/>
          <w:sz w:val="28"/>
          <w:szCs w:val="28"/>
          <w:lang w:val="uk-UA"/>
        </w:rPr>
        <w:t xml:space="preserve">. </w:t>
      </w:r>
      <w:r w:rsidR="00A85FA7" w:rsidRPr="005F0419">
        <w:rPr>
          <w:rFonts w:ascii="Times New Roman" w:eastAsia="Calibri" w:hAnsi="Times New Roman" w:cs="Times New Roman"/>
          <w:bCs/>
          <w:sz w:val="28"/>
          <w:szCs w:val="28"/>
          <w:lang w:val="uk-UA"/>
        </w:rPr>
        <w:t>URL</w:t>
      </w:r>
      <w:r w:rsidRPr="005F0419">
        <w:rPr>
          <w:rFonts w:ascii="Times New Roman" w:eastAsia="Calibri" w:hAnsi="Times New Roman" w:cs="Times New Roman"/>
          <w:sz w:val="28"/>
          <w:szCs w:val="28"/>
          <w:lang w:val="uk-UA"/>
        </w:rPr>
        <w:t xml:space="preserve">: </w:t>
      </w:r>
      <w:hyperlink r:id="rId234" w:history="1">
        <w:r w:rsidR="00A85FA7" w:rsidRPr="005F0419">
          <w:rPr>
            <w:rStyle w:val="a6"/>
            <w:rFonts w:ascii="Times New Roman" w:eastAsia="Calibri" w:hAnsi="Times New Roman" w:cs="Times New Roman"/>
            <w:color w:val="auto"/>
            <w:sz w:val="28"/>
            <w:szCs w:val="28"/>
            <w:lang w:val="uk-UA"/>
          </w:rPr>
          <w:t>http://surl.li/rarop</w:t>
        </w:r>
      </w:hyperlink>
      <w:r w:rsidR="00A85FA7" w:rsidRPr="005F0419">
        <w:rPr>
          <w:rFonts w:ascii="Times New Roman" w:eastAsia="Calibri" w:hAnsi="Times New Roman" w:cs="Times New Roman"/>
          <w:sz w:val="28"/>
          <w:szCs w:val="28"/>
          <w:lang w:val="uk-UA"/>
        </w:rPr>
        <w:t xml:space="preserve"> </w:t>
      </w:r>
    </w:p>
    <w:p w14:paraId="6072F4DF" w14:textId="38BA11DD"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9. Про професійно-технічну освіту</w:t>
      </w:r>
      <w:r w:rsidR="00A85FA7" w:rsidRPr="005F0419">
        <w:rPr>
          <w:rFonts w:ascii="Times New Roman" w:eastAsia="Calibri" w:hAnsi="Times New Roman" w:cs="Times New Roman"/>
          <w:sz w:val="28"/>
          <w:szCs w:val="28"/>
          <w:lang w:val="uk-UA"/>
        </w:rPr>
        <w:t xml:space="preserve">: Закон України. </w:t>
      </w:r>
      <w:r w:rsidR="00A85FA7" w:rsidRPr="005F0419">
        <w:rPr>
          <w:rFonts w:ascii="Times New Roman" w:eastAsia="Calibri" w:hAnsi="Times New Roman" w:cs="Times New Roman"/>
          <w:bCs/>
          <w:sz w:val="28"/>
          <w:szCs w:val="28"/>
          <w:lang w:val="uk-UA"/>
        </w:rPr>
        <w:t>URL</w:t>
      </w:r>
      <w:r w:rsidRPr="005F0419">
        <w:rPr>
          <w:rFonts w:ascii="Times New Roman" w:eastAsia="Calibri" w:hAnsi="Times New Roman" w:cs="Times New Roman"/>
          <w:sz w:val="28"/>
          <w:szCs w:val="28"/>
          <w:lang w:val="uk-UA"/>
        </w:rPr>
        <w:t xml:space="preserve">: </w:t>
      </w:r>
      <w:hyperlink r:id="rId235" w:history="1">
        <w:r w:rsidRPr="005F0419">
          <w:rPr>
            <w:rFonts w:ascii="Times New Roman" w:eastAsia="Calibri" w:hAnsi="Times New Roman" w:cs="Times New Roman"/>
            <w:sz w:val="28"/>
            <w:szCs w:val="28"/>
            <w:u w:val="single"/>
            <w:lang w:val="uk-UA"/>
          </w:rPr>
          <w:t>https://osvita.ua/legislation/law/2245/</w:t>
        </w:r>
      </w:hyperlink>
      <w:r w:rsidRPr="005F0419">
        <w:rPr>
          <w:rFonts w:ascii="Times New Roman" w:eastAsia="Calibri" w:hAnsi="Times New Roman" w:cs="Times New Roman"/>
          <w:sz w:val="28"/>
          <w:szCs w:val="28"/>
          <w:lang w:val="uk-UA"/>
        </w:rPr>
        <w:t xml:space="preserve">. </w:t>
      </w:r>
    </w:p>
    <w:p w14:paraId="3528EF25" w14:textId="22D08D8F"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10. Професійна підготовка, перепідготовка та підвищення кваліфікації працівників </w:t>
      </w:r>
      <w:r w:rsidR="00A85FA7" w:rsidRPr="005F0419">
        <w:rPr>
          <w:rFonts w:ascii="Times New Roman" w:eastAsia="Calibri" w:hAnsi="Times New Roman" w:cs="Times New Roman"/>
          <w:bCs/>
          <w:sz w:val="28"/>
          <w:szCs w:val="28"/>
          <w:lang w:val="uk-UA"/>
        </w:rPr>
        <w:t>URL</w:t>
      </w:r>
      <w:r w:rsidRPr="005F0419">
        <w:rPr>
          <w:rFonts w:ascii="Times New Roman" w:eastAsia="Calibri" w:hAnsi="Times New Roman" w:cs="Times New Roman"/>
          <w:sz w:val="28"/>
          <w:szCs w:val="28"/>
          <w:lang w:val="uk-UA"/>
        </w:rPr>
        <w:t xml:space="preserve">: </w:t>
      </w:r>
      <w:hyperlink r:id="rId236" w:history="1">
        <w:r w:rsidRPr="005F0419">
          <w:rPr>
            <w:rFonts w:ascii="Times New Roman" w:eastAsia="Calibri" w:hAnsi="Times New Roman" w:cs="Times New Roman"/>
            <w:sz w:val="28"/>
            <w:szCs w:val="28"/>
            <w:u w:val="single"/>
            <w:lang w:val="uk-UA"/>
          </w:rPr>
          <w:t>https://ips.ligazakon.net/document/DG080606</w:t>
        </w:r>
      </w:hyperlink>
      <w:r w:rsidRPr="005F0419">
        <w:rPr>
          <w:rFonts w:ascii="Times New Roman" w:eastAsia="Calibri" w:hAnsi="Times New Roman" w:cs="Times New Roman"/>
          <w:sz w:val="28"/>
          <w:szCs w:val="28"/>
          <w:lang w:val="uk-UA"/>
        </w:rPr>
        <w:t xml:space="preserve">. </w:t>
      </w:r>
    </w:p>
    <w:p w14:paraId="7E6B3A00" w14:textId="59C6BAE7"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11. Сутність розвитку персоналу у забезпеченості конкурентоспроможності працівників і організації</w:t>
      </w:r>
      <w:r w:rsidR="00A85FA7"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w:t>
      </w:r>
      <w:r w:rsidR="00A85FA7" w:rsidRPr="005F0419">
        <w:rPr>
          <w:rFonts w:ascii="Times New Roman" w:eastAsia="Calibri" w:hAnsi="Times New Roman" w:cs="Times New Roman"/>
          <w:bCs/>
          <w:sz w:val="28"/>
          <w:szCs w:val="28"/>
          <w:lang w:val="uk-UA"/>
        </w:rPr>
        <w:t>URL</w:t>
      </w:r>
      <w:r w:rsidRPr="005F0419">
        <w:rPr>
          <w:rFonts w:ascii="Times New Roman" w:eastAsia="Calibri" w:hAnsi="Times New Roman" w:cs="Times New Roman"/>
          <w:sz w:val="28"/>
          <w:szCs w:val="28"/>
          <w:lang w:val="uk-UA"/>
        </w:rPr>
        <w:t xml:space="preserve">: </w:t>
      </w:r>
      <w:hyperlink r:id="rId237" w:history="1">
        <w:r w:rsidRPr="005F0419">
          <w:rPr>
            <w:rFonts w:ascii="Times New Roman" w:eastAsia="Calibri" w:hAnsi="Times New Roman" w:cs="Times New Roman"/>
            <w:sz w:val="28"/>
            <w:szCs w:val="28"/>
            <w:u w:val="single"/>
            <w:lang w:val="uk-UA"/>
          </w:rPr>
          <w:t>http://www.frontmanagement.org/fomants-127-2.html</w:t>
        </w:r>
      </w:hyperlink>
      <w:r w:rsidRPr="005F0419">
        <w:rPr>
          <w:rFonts w:ascii="Times New Roman" w:eastAsia="Calibri" w:hAnsi="Times New Roman" w:cs="Times New Roman"/>
          <w:sz w:val="28"/>
          <w:szCs w:val="28"/>
          <w:lang w:val="uk-UA"/>
        </w:rPr>
        <w:t>.</w:t>
      </w:r>
    </w:p>
    <w:p w14:paraId="729D10DA" w14:textId="69BF4E59"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12. </w:t>
      </w:r>
      <w:proofErr w:type="spellStart"/>
      <w:r w:rsidRPr="005F0419">
        <w:rPr>
          <w:rFonts w:ascii="Times New Roman" w:eastAsia="Calibri" w:hAnsi="Times New Roman" w:cs="Times New Roman"/>
          <w:sz w:val="28"/>
          <w:szCs w:val="28"/>
          <w:lang w:val="uk-UA"/>
        </w:rPr>
        <w:t>Лебедева</w:t>
      </w:r>
      <w:proofErr w:type="spellEnd"/>
      <w:r w:rsidRPr="005F0419">
        <w:rPr>
          <w:rFonts w:ascii="Times New Roman" w:eastAsia="Calibri" w:hAnsi="Times New Roman" w:cs="Times New Roman"/>
          <w:sz w:val="28"/>
          <w:szCs w:val="28"/>
          <w:lang w:val="uk-UA"/>
        </w:rPr>
        <w:t xml:space="preserve"> И.</w:t>
      </w:r>
      <w:r w:rsidR="00A85FA7"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 xml:space="preserve">Ю. Роль розвитку персоналу у забезпеченні конкурентоспроможності працівників підприємства </w:t>
      </w:r>
      <w:r w:rsidR="00A85FA7" w:rsidRPr="005F0419">
        <w:rPr>
          <w:rFonts w:ascii="Times New Roman" w:eastAsia="Calibri" w:hAnsi="Times New Roman" w:cs="Times New Roman"/>
          <w:bCs/>
          <w:sz w:val="28"/>
          <w:szCs w:val="28"/>
          <w:lang w:val="uk-UA"/>
        </w:rPr>
        <w:t>URL</w:t>
      </w:r>
      <w:r w:rsidRPr="005F0419">
        <w:rPr>
          <w:rFonts w:ascii="Times New Roman" w:eastAsia="Calibri" w:hAnsi="Times New Roman" w:cs="Times New Roman"/>
          <w:sz w:val="28"/>
          <w:szCs w:val="28"/>
          <w:lang w:val="uk-UA"/>
        </w:rPr>
        <w:t xml:space="preserve">: </w:t>
      </w:r>
      <w:hyperlink r:id="rId238" w:history="1">
        <w:r w:rsidRPr="005F0419">
          <w:rPr>
            <w:rFonts w:ascii="Times New Roman" w:eastAsia="Calibri" w:hAnsi="Times New Roman" w:cs="Times New Roman"/>
            <w:sz w:val="28"/>
            <w:szCs w:val="28"/>
            <w:u w:val="single"/>
            <w:lang w:val="uk-UA"/>
          </w:rPr>
          <w:t>https://www.sworld.com.ua/konfer37/518.pdf</w:t>
        </w:r>
      </w:hyperlink>
      <w:r w:rsidRPr="005F0419">
        <w:rPr>
          <w:rFonts w:ascii="Times New Roman" w:eastAsia="Calibri" w:hAnsi="Times New Roman" w:cs="Times New Roman"/>
          <w:sz w:val="28"/>
          <w:szCs w:val="28"/>
          <w:lang w:val="uk-UA"/>
        </w:rPr>
        <w:t xml:space="preserve">. </w:t>
      </w:r>
    </w:p>
    <w:p w14:paraId="0E9C68F8" w14:textId="1A1F229E"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13. Крушельницька О.В., Мельничук Д.П. Управління персоналом: </w:t>
      </w:r>
      <w:r w:rsidR="00A85FA7" w:rsidRPr="005F0419">
        <w:rPr>
          <w:rFonts w:ascii="Times New Roman" w:eastAsia="Calibri" w:hAnsi="Times New Roman" w:cs="Times New Roman"/>
          <w:sz w:val="28"/>
          <w:szCs w:val="28"/>
          <w:lang w:val="uk-UA"/>
        </w:rPr>
        <w:t>н</w:t>
      </w:r>
      <w:r w:rsidRPr="005F0419">
        <w:rPr>
          <w:rFonts w:ascii="Times New Roman" w:eastAsia="Calibri" w:hAnsi="Times New Roman" w:cs="Times New Roman"/>
          <w:sz w:val="28"/>
          <w:szCs w:val="28"/>
          <w:lang w:val="uk-UA"/>
        </w:rPr>
        <w:t>авчальний посібник. К., Кондор. 2003. 296</w:t>
      </w:r>
      <w:r w:rsidR="00A85FA7"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с.</w:t>
      </w:r>
    </w:p>
    <w:p w14:paraId="06B1BDB8" w14:textId="246A4C6E" w:rsidR="00285FFB"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14. </w:t>
      </w:r>
      <w:r w:rsidR="00285FFB" w:rsidRPr="005F0419">
        <w:rPr>
          <w:rFonts w:ascii="Times New Roman" w:eastAsia="Calibri" w:hAnsi="Times New Roman" w:cs="Times New Roman"/>
          <w:sz w:val="28"/>
          <w:szCs w:val="28"/>
          <w:lang w:val="uk-UA"/>
        </w:rPr>
        <w:t xml:space="preserve">Воробей О. Ю., </w:t>
      </w:r>
      <w:proofErr w:type="spellStart"/>
      <w:r w:rsidR="00285FFB" w:rsidRPr="005F0419">
        <w:rPr>
          <w:rFonts w:ascii="Times New Roman" w:eastAsia="Calibri" w:hAnsi="Times New Roman" w:cs="Times New Roman"/>
          <w:sz w:val="28"/>
          <w:szCs w:val="28"/>
          <w:lang w:val="uk-UA"/>
        </w:rPr>
        <w:t>Невмержицька</w:t>
      </w:r>
      <w:proofErr w:type="spellEnd"/>
      <w:r w:rsidR="00285FFB" w:rsidRPr="005F0419">
        <w:rPr>
          <w:rFonts w:ascii="Times New Roman" w:eastAsia="Calibri" w:hAnsi="Times New Roman" w:cs="Times New Roman"/>
          <w:sz w:val="28"/>
          <w:szCs w:val="28"/>
          <w:lang w:val="uk-UA"/>
        </w:rPr>
        <w:t xml:space="preserve"> С. М. Розвиток персоналу як засіб забезпечення його конкурентоспроможності. URL: </w:t>
      </w:r>
      <w:hyperlink r:id="rId239" w:history="1">
        <w:r w:rsidR="00285FFB" w:rsidRPr="005F0419">
          <w:rPr>
            <w:rStyle w:val="a6"/>
            <w:rFonts w:ascii="Times New Roman" w:eastAsia="Calibri" w:hAnsi="Times New Roman" w:cs="Times New Roman"/>
            <w:color w:val="auto"/>
            <w:sz w:val="28"/>
            <w:szCs w:val="28"/>
            <w:lang w:val="uk-UA"/>
          </w:rPr>
          <w:t>http://surl.li/rarsb</w:t>
        </w:r>
      </w:hyperlink>
    </w:p>
    <w:p w14:paraId="6D3EDCBA" w14:textId="02BBDB37"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15. Борщ Л. М. Інвестування: теорія і практика: </w:t>
      </w:r>
      <w:r w:rsidR="00285FFB" w:rsidRPr="005F0419">
        <w:rPr>
          <w:rFonts w:ascii="Times New Roman" w:eastAsia="Calibri" w:hAnsi="Times New Roman" w:cs="Times New Roman"/>
          <w:sz w:val="28"/>
          <w:szCs w:val="28"/>
          <w:lang w:val="uk-UA"/>
        </w:rPr>
        <w:t>навчальний</w:t>
      </w:r>
      <w:r w:rsidRPr="005F0419">
        <w:rPr>
          <w:rFonts w:ascii="Times New Roman" w:eastAsia="Calibri" w:hAnsi="Times New Roman" w:cs="Times New Roman"/>
          <w:sz w:val="28"/>
          <w:szCs w:val="28"/>
          <w:lang w:val="uk-UA"/>
        </w:rPr>
        <w:t xml:space="preserve"> посібник. К.: </w:t>
      </w:r>
      <w:r w:rsidRPr="005F0419">
        <w:rPr>
          <w:rFonts w:ascii="Times New Roman" w:eastAsia="Calibri" w:hAnsi="Times New Roman" w:cs="Times New Roman"/>
          <w:sz w:val="28"/>
          <w:szCs w:val="28"/>
          <w:lang w:val="uk-UA"/>
        </w:rPr>
        <w:lastRenderedPageBreak/>
        <w:t>Знання, 2005. 470 с.</w:t>
      </w:r>
    </w:p>
    <w:p w14:paraId="1FA6AC9B" w14:textId="5ECFDD52"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16. Менеджмент: </w:t>
      </w:r>
      <w:proofErr w:type="spellStart"/>
      <w:r w:rsidR="00285FFB" w:rsidRPr="005F0419">
        <w:rPr>
          <w:rFonts w:ascii="Times New Roman" w:eastAsia="Calibri" w:hAnsi="Times New Roman" w:cs="Times New Roman"/>
          <w:sz w:val="28"/>
          <w:szCs w:val="28"/>
          <w:lang w:val="uk-UA"/>
        </w:rPr>
        <w:t>п</w:t>
      </w:r>
      <w:r w:rsidRPr="005F0419">
        <w:rPr>
          <w:rFonts w:ascii="Times New Roman" w:eastAsia="Calibri" w:hAnsi="Times New Roman" w:cs="Times New Roman"/>
          <w:sz w:val="28"/>
          <w:szCs w:val="28"/>
          <w:lang w:val="uk-UA"/>
        </w:rPr>
        <w:t>онят</w:t>
      </w:r>
      <w:r w:rsidR="00285FFB" w:rsidRPr="005F0419">
        <w:rPr>
          <w:rFonts w:ascii="Times New Roman" w:eastAsia="Calibri" w:hAnsi="Times New Roman" w:cs="Times New Roman"/>
          <w:sz w:val="28"/>
          <w:szCs w:val="28"/>
          <w:lang w:val="uk-UA"/>
        </w:rPr>
        <w:t>ійно</w:t>
      </w:r>
      <w:proofErr w:type="spellEnd"/>
      <w:r w:rsidRPr="005F0419">
        <w:rPr>
          <w:rFonts w:ascii="Times New Roman" w:eastAsia="Calibri" w:hAnsi="Times New Roman" w:cs="Times New Roman"/>
          <w:sz w:val="28"/>
          <w:szCs w:val="28"/>
          <w:lang w:val="uk-UA"/>
        </w:rPr>
        <w:t>-термінол</w:t>
      </w:r>
      <w:r w:rsidR="00285FFB" w:rsidRPr="005F0419">
        <w:rPr>
          <w:rFonts w:ascii="Times New Roman" w:eastAsia="Calibri" w:hAnsi="Times New Roman" w:cs="Times New Roman"/>
          <w:sz w:val="28"/>
          <w:szCs w:val="28"/>
          <w:lang w:val="uk-UA"/>
        </w:rPr>
        <w:t>огічний</w:t>
      </w:r>
      <w:r w:rsidRPr="005F0419">
        <w:rPr>
          <w:rFonts w:ascii="Times New Roman" w:eastAsia="Calibri" w:hAnsi="Times New Roman" w:cs="Times New Roman"/>
          <w:sz w:val="28"/>
          <w:szCs w:val="28"/>
          <w:lang w:val="uk-UA"/>
        </w:rPr>
        <w:t xml:space="preserve"> слов</w:t>
      </w:r>
      <w:r w:rsidR="00285FFB" w:rsidRPr="005F0419">
        <w:rPr>
          <w:rFonts w:ascii="Times New Roman" w:eastAsia="Calibri" w:hAnsi="Times New Roman" w:cs="Times New Roman"/>
          <w:sz w:val="28"/>
          <w:szCs w:val="28"/>
          <w:lang w:val="uk-UA"/>
        </w:rPr>
        <w:t>ник</w:t>
      </w:r>
      <w:r w:rsidRPr="005F0419">
        <w:rPr>
          <w:rFonts w:ascii="Times New Roman" w:eastAsia="Calibri" w:hAnsi="Times New Roman" w:cs="Times New Roman"/>
          <w:sz w:val="28"/>
          <w:szCs w:val="28"/>
          <w:lang w:val="uk-UA"/>
        </w:rPr>
        <w:t xml:space="preserve">. Ред.: Г.В. </w:t>
      </w:r>
      <w:proofErr w:type="spellStart"/>
      <w:r w:rsidRPr="005F0419">
        <w:rPr>
          <w:rFonts w:ascii="Times New Roman" w:eastAsia="Calibri" w:hAnsi="Times New Roman" w:cs="Times New Roman"/>
          <w:sz w:val="28"/>
          <w:szCs w:val="28"/>
          <w:lang w:val="uk-UA"/>
        </w:rPr>
        <w:t>Щокін</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Міжрегіон</w:t>
      </w:r>
      <w:proofErr w:type="spellEnd"/>
      <w:r w:rsidRPr="005F0419">
        <w:rPr>
          <w:rFonts w:ascii="Times New Roman" w:eastAsia="Calibri" w:hAnsi="Times New Roman" w:cs="Times New Roman"/>
          <w:sz w:val="28"/>
          <w:szCs w:val="28"/>
          <w:lang w:val="uk-UA"/>
        </w:rPr>
        <w:t xml:space="preserve">. акад. </w:t>
      </w:r>
      <w:proofErr w:type="spellStart"/>
      <w:r w:rsidRPr="005F0419">
        <w:rPr>
          <w:rFonts w:ascii="Times New Roman" w:eastAsia="Calibri" w:hAnsi="Times New Roman" w:cs="Times New Roman"/>
          <w:sz w:val="28"/>
          <w:szCs w:val="28"/>
          <w:lang w:val="uk-UA"/>
        </w:rPr>
        <w:t>упр</w:t>
      </w:r>
      <w:proofErr w:type="spellEnd"/>
      <w:r w:rsidRPr="005F0419">
        <w:rPr>
          <w:rFonts w:ascii="Times New Roman" w:eastAsia="Calibri" w:hAnsi="Times New Roman" w:cs="Times New Roman"/>
          <w:sz w:val="28"/>
          <w:szCs w:val="28"/>
          <w:lang w:val="uk-UA"/>
        </w:rPr>
        <w:t>. персоналом. К., 2007. 744 с.</w:t>
      </w:r>
    </w:p>
    <w:p w14:paraId="5838727A" w14:textId="3DE43F2D"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17. </w:t>
      </w:r>
      <w:proofErr w:type="spellStart"/>
      <w:r w:rsidR="00285FFB" w:rsidRPr="005F0419">
        <w:rPr>
          <w:rFonts w:ascii="Times New Roman" w:eastAsia="Calibri" w:hAnsi="Times New Roman" w:cs="Times New Roman"/>
          <w:sz w:val="28"/>
          <w:szCs w:val="28"/>
          <w:lang w:val="uk-UA"/>
        </w:rPr>
        <w:t>Лихолобов</w:t>
      </w:r>
      <w:proofErr w:type="spellEnd"/>
      <w:r w:rsidR="00285FFB" w:rsidRPr="005F0419">
        <w:rPr>
          <w:rFonts w:ascii="Times New Roman" w:eastAsia="Calibri" w:hAnsi="Times New Roman" w:cs="Times New Roman"/>
          <w:sz w:val="28"/>
          <w:szCs w:val="28"/>
          <w:lang w:val="uk-UA"/>
        </w:rPr>
        <w:t xml:space="preserve"> Е. А. </w:t>
      </w:r>
      <w:r w:rsidRPr="005F0419">
        <w:rPr>
          <w:rFonts w:ascii="Times New Roman" w:eastAsia="Calibri" w:hAnsi="Times New Roman" w:cs="Times New Roman"/>
          <w:sz w:val="28"/>
          <w:szCs w:val="28"/>
          <w:lang w:val="uk-UA"/>
        </w:rPr>
        <w:t xml:space="preserve">Використання технологій управління персоналом у формуванні організаційної поведінки на промисловому підприємстві: </w:t>
      </w:r>
      <w:proofErr w:type="spellStart"/>
      <w:r w:rsidRPr="005F0419">
        <w:rPr>
          <w:rFonts w:ascii="Times New Roman" w:eastAsia="Calibri" w:hAnsi="Times New Roman" w:cs="Times New Roman"/>
          <w:sz w:val="28"/>
          <w:szCs w:val="28"/>
          <w:lang w:val="uk-UA"/>
        </w:rPr>
        <w:t>автореф</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дис</w:t>
      </w:r>
      <w:proofErr w:type="spellEnd"/>
      <w:r w:rsidRPr="005F0419">
        <w:rPr>
          <w:rFonts w:ascii="Times New Roman" w:eastAsia="Calibri" w:hAnsi="Times New Roman" w:cs="Times New Roman"/>
          <w:sz w:val="28"/>
          <w:szCs w:val="28"/>
          <w:lang w:val="uk-UA"/>
        </w:rPr>
        <w:t xml:space="preserve">. ... </w:t>
      </w:r>
      <w:proofErr w:type="spellStart"/>
      <w:r w:rsidRPr="005F0419">
        <w:rPr>
          <w:rFonts w:ascii="Times New Roman" w:eastAsia="Calibri" w:hAnsi="Times New Roman" w:cs="Times New Roman"/>
          <w:sz w:val="28"/>
          <w:szCs w:val="28"/>
          <w:lang w:val="uk-UA"/>
        </w:rPr>
        <w:t>канд</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екон</w:t>
      </w:r>
      <w:proofErr w:type="spellEnd"/>
      <w:r w:rsidRPr="005F0419">
        <w:rPr>
          <w:rFonts w:ascii="Times New Roman" w:eastAsia="Calibri" w:hAnsi="Times New Roman" w:cs="Times New Roman"/>
          <w:sz w:val="28"/>
          <w:szCs w:val="28"/>
          <w:lang w:val="uk-UA"/>
        </w:rPr>
        <w:t xml:space="preserve">. наук: 08.00.04; </w:t>
      </w:r>
      <w:proofErr w:type="spellStart"/>
      <w:r w:rsidRPr="005F0419">
        <w:rPr>
          <w:rFonts w:ascii="Times New Roman" w:eastAsia="Calibri" w:hAnsi="Times New Roman" w:cs="Times New Roman"/>
          <w:sz w:val="28"/>
          <w:szCs w:val="28"/>
          <w:lang w:val="uk-UA"/>
        </w:rPr>
        <w:t>Східноукр</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нац</w:t>
      </w:r>
      <w:proofErr w:type="spellEnd"/>
      <w:r w:rsidRPr="005F0419">
        <w:rPr>
          <w:rFonts w:ascii="Times New Roman" w:eastAsia="Calibri" w:hAnsi="Times New Roman" w:cs="Times New Roman"/>
          <w:sz w:val="28"/>
          <w:szCs w:val="28"/>
          <w:lang w:val="uk-UA"/>
        </w:rPr>
        <w:t>. ун-т ім. В. Даля. Луганськ, 2010. 21 с.</w:t>
      </w:r>
    </w:p>
    <w:p w14:paraId="088C86B1" w14:textId="4F6C97E8"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18. </w:t>
      </w:r>
      <w:proofErr w:type="spellStart"/>
      <w:r w:rsidRPr="005F0419">
        <w:rPr>
          <w:rFonts w:ascii="Times New Roman" w:eastAsia="Calibri" w:hAnsi="Times New Roman" w:cs="Times New Roman"/>
          <w:sz w:val="28"/>
          <w:szCs w:val="28"/>
          <w:lang w:val="uk-UA"/>
        </w:rPr>
        <w:t>Ведерніков</w:t>
      </w:r>
      <w:proofErr w:type="spellEnd"/>
      <w:r w:rsidRPr="005F0419">
        <w:rPr>
          <w:rFonts w:ascii="Times New Roman" w:eastAsia="Calibri" w:hAnsi="Times New Roman" w:cs="Times New Roman"/>
          <w:sz w:val="28"/>
          <w:szCs w:val="28"/>
          <w:lang w:val="uk-UA"/>
        </w:rPr>
        <w:t xml:space="preserve"> М., </w:t>
      </w:r>
      <w:proofErr w:type="spellStart"/>
      <w:r w:rsidRPr="005F0419">
        <w:rPr>
          <w:rFonts w:ascii="Times New Roman" w:eastAsia="Calibri" w:hAnsi="Times New Roman" w:cs="Times New Roman"/>
          <w:sz w:val="28"/>
          <w:szCs w:val="28"/>
          <w:lang w:val="uk-UA"/>
        </w:rPr>
        <w:t>Волянська</w:t>
      </w:r>
      <w:proofErr w:type="spellEnd"/>
      <w:r w:rsidRPr="005F0419">
        <w:rPr>
          <w:rFonts w:ascii="Times New Roman" w:eastAsia="Calibri" w:hAnsi="Times New Roman" w:cs="Times New Roman"/>
          <w:sz w:val="28"/>
          <w:szCs w:val="28"/>
          <w:lang w:val="uk-UA"/>
        </w:rPr>
        <w:t>-Савчук Л., Зелена М. Моніторинг мотивації працівників як засіб підвищення конкурентоспроможності персоналу підприємства</w:t>
      </w:r>
      <w:r w:rsidR="00285FFB"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w:t>
      </w:r>
      <w:r w:rsidR="00285FFB" w:rsidRPr="005F0419">
        <w:rPr>
          <w:rFonts w:ascii="Times New Roman" w:eastAsia="Calibri" w:hAnsi="Times New Roman" w:cs="Times New Roman"/>
          <w:sz w:val="28"/>
          <w:szCs w:val="28"/>
          <w:lang w:val="uk-UA"/>
        </w:rPr>
        <w:t>URL</w:t>
      </w:r>
      <w:r w:rsidRPr="005F0419">
        <w:rPr>
          <w:rFonts w:ascii="Times New Roman" w:eastAsia="Calibri" w:hAnsi="Times New Roman" w:cs="Times New Roman"/>
          <w:sz w:val="28"/>
          <w:szCs w:val="28"/>
          <w:lang w:val="uk-UA"/>
        </w:rPr>
        <w:t xml:space="preserve">: </w:t>
      </w:r>
      <w:hyperlink r:id="rId240" w:history="1">
        <w:r w:rsidRPr="005F0419">
          <w:rPr>
            <w:rFonts w:ascii="Times New Roman" w:eastAsia="Calibri" w:hAnsi="Times New Roman" w:cs="Times New Roman"/>
            <w:sz w:val="28"/>
            <w:szCs w:val="28"/>
            <w:u w:val="single"/>
            <w:lang w:val="uk-UA"/>
          </w:rPr>
          <w:t>https://elar.khmnu.edu.ua/server/api/core/bitstreams/2b725a63-79cb-4543-80b9-a7c63c0094ec/content</w:t>
        </w:r>
      </w:hyperlink>
    </w:p>
    <w:p w14:paraId="1217FC03" w14:textId="343CFFD1"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sz w:val="28"/>
          <w:szCs w:val="28"/>
          <w:lang w:val="uk-UA"/>
        </w:rPr>
        <w:t>19. Мартинюк Н.</w:t>
      </w:r>
      <w:r w:rsidR="00285FFB"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В. Чинники розвитку конкурентоспроможності персоналу сільськогосподарських підприємств</w:t>
      </w:r>
      <w:r w:rsidR="00285FFB" w:rsidRPr="005F0419">
        <w:rPr>
          <w:rFonts w:ascii="Times New Roman" w:eastAsia="Calibri" w:hAnsi="Times New Roman" w:cs="Times New Roman"/>
          <w:sz w:val="28"/>
          <w:szCs w:val="28"/>
          <w:lang w:val="uk-UA"/>
        </w:rPr>
        <w:t>. URL</w:t>
      </w:r>
      <w:r w:rsidRPr="005F0419">
        <w:rPr>
          <w:rFonts w:ascii="Times New Roman" w:eastAsia="Calibri" w:hAnsi="Times New Roman" w:cs="Times New Roman"/>
          <w:bCs/>
          <w:sz w:val="28"/>
          <w:szCs w:val="28"/>
          <w:lang w:val="uk-UA"/>
        </w:rPr>
        <w:t xml:space="preserve">: </w:t>
      </w:r>
      <w:hyperlink r:id="rId241" w:history="1">
        <w:r w:rsidR="00285FFB" w:rsidRPr="005F0419">
          <w:rPr>
            <w:rStyle w:val="a6"/>
            <w:rFonts w:ascii="Times New Roman" w:hAnsi="Times New Roman" w:cs="Times New Roman"/>
            <w:color w:val="auto"/>
            <w:sz w:val="28"/>
            <w:szCs w:val="28"/>
            <w:lang w:val="uk-UA"/>
          </w:rPr>
          <w:t>http://surl.li/rarul</w:t>
        </w:r>
      </w:hyperlink>
      <w:r w:rsidR="00285FFB" w:rsidRPr="005F0419">
        <w:rPr>
          <w:rFonts w:ascii="Times New Roman" w:hAnsi="Times New Roman" w:cs="Times New Roman"/>
          <w:sz w:val="28"/>
          <w:szCs w:val="28"/>
          <w:lang w:val="uk-UA"/>
        </w:rPr>
        <w:t xml:space="preserve"> </w:t>
      </w:r>
    </w:p>
    <w:p w14:paraId="3D2BAC0C" w14:textId="5C0890BF"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20. </w:t>
      </w:r>
      <w:proofErr w:type="spellStart"/>
      <w:r w:rsidRPr="005F0419">
        <w:rPr>
          <w:rFonts w:ascii="Times New Roman" w:eastAsia="Calibri" w:hAnsi="Times New Roman" w:cs="Times New Roman"/>
          <w:sz w:val="28"/>
          <w:szCs w:val="28"/>
          <w:lang w:val="uk-UA"/>
        </w:rPr>
        <w:t>Поспелова</w:t>
      </w:r>
      <w:proofErr w:type="spellEnd"/>
      <w:r w:rsidRPr="005F0419">
        <w:rPr>
          <w:rFonts w:ascii="Times New Roman" w:eastAsia="Calibri" w:hAnsi="Times New Roman" w:cs="Times New Roman"/>
          <w:sz w:val="28"/>
          <w:szCs w:val="28"/>
          <w:lang w:val="uk-UA"/>
        </w:rPr>
        <w:t xml:space="preserve"> Т.В. </w:t>
      </w:r>
      <w:proofErr w:type="spellStart"/>
      <w:r w:rsidRPr="005F0419">
        <w:rPr>
          <w:rFonts w:ascii="Times New Roman" w:eastAsia="Calibri" w:hAnsi="Times New Roman" w:cs="Times New Roman"/>
          <w:sz w:val="28"/>
          <w:szCs w:val="28"/>
          <w:lang w:val="uk-UA"/>
        </w:rPr>
        <w:t>Личностные</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факторы</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влияющие</w:t>
      </w:r>
      <w:proofErr w:type="spellEnd"/>
      <w:r w:rsidRPr="005F0419">
        <w:rPr>
          <w:rFonts w:ascii="Times New Roman" w:eastAsia="Calibri" w:hAnsi="Times New Roman" w:cs="Times New Roman"/>
          <w:sz w:val="28"/>
          <w:szCs w:val="28"/>
          <w:lang w:val="uk-UA"/>
        </w:rPr>
        <w:t xml:space="preserve"> на </w:t>
      </w:r>
      <w:proofErr w:type="spellStart"/>
      <w:r w:rsidRPr="005F0419">
        <w:rPr>
          <w:rFonts w:ascii="Times New Roman" w:eastAsia="Calibri" w:hAnsi="Times New Roman" w:cs="Times New Roman"/>
          <w:sz w:val="28"/>
          <w:szCs w:val="28"/>
          <w:lang w:val="uk-UA"/>
        </w:rPr>
        <w:t>развитие</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карьеры</w:t>
      </w:r>
      <w:proofErr w:type="spellEnd"/>
      <w:r w:rsidR="00285FFB" w:rsidRPr="005F0419">
        <w:rPr>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rPr>
        <w:t>Економіка промисловості. 2011. №3 (9). 190 с.</w:t>
      </w:r>
    </w:p>
    <w:p w14:paraId="4F742199" w14:textId="350CF4FA"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21. Левченко А. О. Методичні підходи до управління розвитком персоналу на підприємстві</w:t>
      </w:r>
      <w:r w:rsidR="00285FFB" w:rsidRPr="005F0419">
        <w:rPr>
          <w:rFonts w:ascii="Times New Roman" w:eastAsia="Calibri" w:hAnsi="Times New Roman" w:cs="Times New Roman"/>
          <w:sz w:val="28"/>
          <w:szCs w:val="28"/>
          <w:lang w:val="uk-UA"/>
        </w:rPr>
        <w:t xml:space="preserve">. URL: </w:t>
      </w:r>
      <w:hyperlink r:id="rId242" w:history="1">
        <w:r w:rsidR="00285FFB" w:rsidRPr="005F0419">
          <w:rPr>
            <w:rStyle w:val="a6"/>
            <w:rFonts w:ascii="Times New Roman" w:eastAsia="Calibri" w:hAnsi="Times New Roman" w:cs="Times New Roman"/>
            <w:color w:val="auto"/>
            <w:sz w:val="28"/>
            <w:szCs w:val="28"/>
            <w:lang w:val="uk-UA"/>
          </w:rPr>
          <w:t>https://dspace.kntu.kr.ua/items/e2423571-ad4e-415c-8df0-1161e363338f</w:t>
        </w:r>
      </w:hyperlink>
      <w:r w:rsidR="00285FFB" w:rsidRPr="005F0419">
        <w:rPr>
          <w:rFonts w:ascii="Times New Roman" w:eastAsia="Calibri" w:hAnsi="Times New Roman" w:cs="Times New Roman"/>
          <w:sz w:val="28"/>
          <w:szCs w:val="28"/>
          <w:lang w:val="uk-UA"/>
        </w:rPr>
        <w:t xml:space="preserve"> </w:t>
      </w:r>
    </w:p>
    <w:p w14:paraId="3539D13C" w14:textId="3BC79321"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22. Офіційний сайт </w:t>
      </w:r>
      <w:proofErr w:type="spellStart"/>
      <w:r w:rsidRPr="005F0419">
        <w:rPr>
          <w:rFonts w:ascii="Times New Roman" w:eastAsia="Calibri" w:hAnsi="Times New Roman" w:cs="Times New Roman"/>
          <w:sz w:val="28"/>
          <w:szCs w:val="28"/>
          <w:lang w:val="uk-UA"/>
        </w:rPr>
        <w:t>smart</w:t>
      </w:r>
      <w:proofErr w:type="spellEnd"/>
      <w:r w:rsidRPr="005F0419">
        <w:rPr>
          <w:rFonts w:ascii="Times New Roman" w:eastAsia="Calibri" w:hAnsi="Times New Roman" w:cs="Times New Roman"/>
          <w:sz w:val="28"/>
          <w:szCs w:val="28"/>
          <w:lang w:val="uk-UA"/>
        </w:rPr>
        <w:t xml:space="preserve"> </w:t>
      </w:r>
      <w:proofErr w:type="spellStart"/>
      <w:r w:rsidRPr="005F0419">
        <w:rPr>
          <w:rFonts w:ascii="Times New Roman" w:eastAsia="Calibri" w:hAnsi="Times New Roman" w:cs="Times New Roman"/>
          <w:sz w:val="28"/>
          <w:szCs w:val="28"/>
          <w:lang w:val="uk-UA"/>
        </w:rPr>
        <w:t>education</w:t>
      </w:r>
      <w:proofErr w:type="spellEnd"/>
      <w:r w:rsidRPr="005F0419">
        <w:rPr>
          <w:rFonts w:ascii="Times New Roman" w:eastAsia="Calibri" w:hAnsi="Times New Roman" w:cs="Times New Roman"/>
          <w:sz w:val="28"/>
          <w:szCs w:val="28"/>
          <w:lang w:val="uk-UA"/>
        </w:rPr>
        <w:t xml:space="preserve"> </w:t>
      </w:r>
      <w:r w:rsidR="00285FFB" w:rsidRPr="005F0419">
        <w:rPr>
          <w:rFonts w:ascii="Times New Roman" w:eastAsia="Calibri" w:hAnsi="Times New Roman" w:cs="Times New Roman"/>
          <w:sz w:val="28"/>
          <w:szCs w:val="28"/>
          <w:lang w:val="uk-UA"/>
        </w:rPr>
        <w:t>–</w:t>
      </w:r>
      <w:r w:rsidRPr="005F0419">
        <w:rPr>
          <w:rFonts w:ascii="Times New Roman" w:eastAsia="Calibri" w:hAnsi="Times New Roman" w:cs="Times New Roman"/>
          <w:sz w:val="28"/>
          <w:szCs w:val="28"/>
          <w:lang w:val="uk-UA"/>
        </w:rPr>
        <w:t xml:space="preserve"> Корпоративне навчання персоналу. Дистанційне навчання</w:t>
      </w:r>
      <w:r w:rsidR="00285FFB" w:rsidRPr="005F0419">
        <w:rPr>
          <w:rFonts w:ascii="Times New Roman" w:eastAsia="Calibri" w:hAnsi="Times New Roman" w:cs="Times New Roman"/>
          <w:sz w:val="28"/>
          <w:szCs w:val="28"/>
          <w:lang w:val="uk-UA"/>
        </w:rPr>
        <w:t>. URL</w:t>
      </w:r>
      <w:r w:rsidRPr="005F0419">
        <w:rPr>
          <w:rFonts w:ascii="Times New Roman" w:eastAsia="Calibri" w:hAnsi="Times New Roman" w:cs="Times New Roman"/>
          <w:sz w:val="28"/>
          <w:szCs w:val="28"/>
          <w:lang w:val="uk-UA"/>
        </w:rPr>
        <w:t xml:space="preserve">: </w:t>
      </w:r>
      <w:hyperlink r:id="rId243" w:history="1">
        <w:r w:rsidR="00285FFB" w:rsidRPr="005F0419">
          <w:rPr>
            <w:rStyle w:val="a6"/>
            <w:rFonts w:ascii="Times New Roman" w:eastAsia="Calibri" w:hAnsi="Times New Roman" w:cs="Times New Roman"/>
            <w:color w:val="auto"/>
            <w:sz w:val="28"/>
            <w:szCs w:val="28"/>
            <w:lang w:val="uk-UA"/>
          </w:rPr>
          <w:t>http://www.smart-edu.com</w:t>
        </w:r>
      </w:hyperlink>
      <w:r w:rsidR="00285FFB" w:rsidRPr="005F0419">
        <w:rPr>
          <w:rFonts w:ascii="Times New Roman" w:eastAsia="Calibri" w:hAnsi="Times New Roman" w:cs="Times New Roman"/>
          <w:sz w:val="28"/>
          <w:szCs w:val="28"/>
          <w:lang w:val="uk-UA"/>
        </w:rPr>
        <w:t xml:space="preserve">   </w:t>
      </w:r>
    </w:p>
    <w:p w14:paraId="061CBECC" w14:textId="512B9CA7"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rPr>
        <w:t xml:space="preserve">23. Швець Є. В., Бойко К. О. </w:t>
      </w:r>
      <w:proofErr w:type="spellStart"/>
      <w:r w:rsidRPr="005F0419">
        <w:rPr>
          <w:rFonts w:ascii="Times New Roman" w:eastAsia="Calibri" w:hAnsi="Times New Roman" w:cs="Times New Roman"/>
          <w:sz w:val="28"/>
          <w:szCs w:val="28"/>
          <w:lang w:val="uk-UA"/>
        </w:rPr>
        <w:t>Коучинг</w:t>
      </w:r>
      <w:proofErr w:type="spellEnd"/>
      <w:r w:rsidRPr="005F0419">
        <w:rPr>
          <w:rFonts w:ascii="Times New Roman" w:eastAsia="Calibri" w:hAnsi="Times New Roman" w:cs="Times New Roman"/>
          <w:sz w:val="28"/>
          <w:szCs w:val="28"/>
          <w:lang w:val="uk-UA"/>
        </w:rPr>
        <w:t xml:space="preserve"> та його роль в управлінні підприємством. Причорноморські економічні студії, 2017, № 17. </w:t>
      </w:r>
      <w:r w:rsidR="00285FFB" w:rsidRPr="005F0419">
        <w:rPr>
          <w:rFonts w:ascii="Times New Roman" w:eastAsia="Calibri" w:hAnsi="Times New Roman" w:cs="Times New Roman"/>
          <w:sz w:val="28"/>
          <w:szCs w:val="28"/>
          <w:lang w:val="uk-UA"/>
        </w:rPr>
        <w:t xml:space="preserve">C. </w:t>
      </w:r>
      <w:r w:rsidRPr="005F0419">
        <w:rPr>
          <w:rFonts w:ascii="Times New Roman" w:eastAsia="Calibri" w:hAnsi="Times New Roman" w:cs="Times New Roman"/>
          <w:sz w:val="28"/>
          <w:szCs w:val="28"/>
          <w:lang w:val="uk-UA"/>
        </w:rPr>
        <w:t>142-145.</w:t>
      </w:r>
    </w:p>
    <w:p w14:paraId="17D03CFA" w14:textId="4C71BA5E"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sz w:val="28"/>
          <w:szCs w:val="28"/>
          <w:lang w:val="uk-UA"/>
        </w:rPr>
        <w:t xml:space="preserve">24. </w:t>
      </w:r>
      <w:r w:rsidRPr="005F0419">
        <w:rPr>
          <w:rFonts w:ascii="Times New Roman" w:eastAsia="Calibri" w:hAnsi="Times New Roman" w:cs="Times New Roman"/>
          <w:bCs/>
          <w:sz w:val="28"/>
          <w:szCs w:val="28"/>
          <w:lang w:val="uk-UA"/>
        </w:rPr>
        <w:t>Навчання за методом «</w:t>
      </w:r>
      <w:proofErr w:type="spellStart"/>
      <w:r w:rsidRPr="005F0419">
        <w:rPr>
          <w:rFonts w:ascii="Times New Roman" w:eastAsia="Calibri" w:hAnsi="Times New Roman" w:cs="Times New Roman"/>
          <w:bCs/>
          <w:sz w:val="28"/>
          <w:szCs w:val="28"/>
          <w:lang w:val="uk-UA"/>
        </w:rPr>
        <w:t>buddying</w:t>
      </w:r>
      <w:proofErr w:type="spellEnd"/>
      <w:r w:rsidRPr="005F0419">
        <w:rPr>
          <w:rFonts w:ascii="Times New Roman" w:eastAsia="Calibri" w:hAnsi="Times New Roman" w:cs="Times New Roman"/>
          <w:bCs/>
          <w:sz w:val="28"/>
          <w:szCs w:val="28"/>
          <w:lang w:val="uk-UA"/>
        </w:rPr>
        <w:t>»</w:t>
      </w:r>
      <w:r w:rsidR="00285FFB" w:rsidRPr="005F0419">
        <w:rPr>
          <w:rFonts w:ascii="Times New Roman" w:eastAsia="Calibri" w:hAnsi="Times New Roman" w:cs="Times New Roman"/>
          <w:bCs/>
          <w:sz w:val="28"/>
          <w:szCs w:val="28"/>
          <w:lang w:val="uk-UA"/>
        </w:rPr>
        <w:t>. URL</w:t>
      </w:r>
      <w:r w:rsidRPr="005F0419">
        <w:rPr>
          <w:rFonts w:ascii="Times New Roman" w:eastAsia="Calibri" w:hAnsi="Times New Roman" w:cs="Times New Roman"/>
          <w:bCs/>
          <w:sz w:val="28"/>
          <w:szCs w:val="28"/>
          <w:lang w:val="uk-UA"/>
        </w:rPr>
        <w:t>:</w:t>
      </w:r>
      <w:r w:rsidRPr="005F0419">
        <w:rPr>
          <w:rFonts w:ascii="Times New Roman" w:eastAsia="Calibri" w:hAnsi="Times New Roman" w:cs="Times New Roman"/>
          <w:sz w:val="28"/>
          <w:szCs w:val="28"/>
          <w:lang w:val="uk-UA"/>
        </w:rPr>
        <w:t xml:space="preserve"> </w:t>
      </w:r>
      <w:hyperlink r:id="rId244" w:history="1">
        <w:r w:rsidRPr="005F0419">
          <w:rPr>
            <w:rFonts w:ascii="Times New Roman" w:eastAsia="Calibri" w:hAnsi="Times New Roman" w:cs="Times New Roman"/>
            <w:bCs/>
            <w:sz w:val="28"/>
            <w:szCs w:val="28"/>
            <w:u w:val="single"/>
            <w:lang w:val="uk-UA"/>
          </w:rPr>
          <w:t>http://ni.biz.ua/18/18_3/18_36884_obuchenie-po-metodu-Shadowing.html</w:t>
        </w:r>
      </w:hyperlink>
    </w:p>
    <w:p w14:paraId="2AC00462" w14:textId="77822150"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 xml:space="preserve">25. </w:t>
      </w:r>
      <w:proofErr w:type="spellStart"/>
      <w:r w:rsidRPr="005F0419">
        <w:rPr>
          <w:rFonts w:ascii="Times New Roman" w:eastAsia="Calibri" w:hAnsi="Times New Roman" w:cs="Times New Roman"/>
          <w:bCs/>
          <w:sz w:val="28"/>
          <w:szCs w:val="28"/>
          <w:lang w:val="uk-UA"/>
        </w:rPr>
        <w:t>Шедовінг</w:t>
      </w:r>
      <w:proofErr w:type="spellEnd"/>
      <w:r w:rsidRPr="005F0419">
        <w:rPr>
          <w:rFonts w:ascii="Times New Roman" w:eastAsia="Calibri" w:hAnsi="Times New Roman" w:cs="Times New Roman"/>
          <w:bCs/>
          <w:sz w:val="28"/>
          <w:szCs w:val="28"/>
          <w:lang w:val="uk-UA"/>
        </w:rPr>
        <w:t xml:space="preserve"> або робота з «</w:t>
      </w:r>
      <w:proofErr w:type="spellStart"/>
      <w:r w:rsidRPr="005F0419">
        <w:rPr>
          <w:rFonts w:ascii="Times New Roman" w:eastAsia="Calibri" w:hAnsi="Times New Roman" w:cs="Times New Roman"/>
          <w:bCs/>
          <w:sz w:val="28"/>
          <w:szCs w:val="28"/>
          <w:lang w:val="uk-UA"/>
        </w:rPr>
        <w:t>тінью</w:t>
      </w:r>
      <w:proofErr w:type="spellEnd"/>
      <w:r w:rsidRPr="005F0419">
        <w:rPr>
          <w:rFonts w:ascii="Times New Roman" w:eastAsia="Calibri" w:hAnsi="Times New Roman" w:cs="Times New Roman"/>
          <w:bCs/>
          <w:sz w:val="28"/>
          <w:szCs w:val="28"/>
          <w:lang w:val="uk-UA"/>
        </w:rPr>
        <w:t>»</w:t>
      </w:r>
      <w:r w:rsidR="00285FFB" w:rsidRPr="005F0419">
        <w:rPr>
          <w:rFonts w:ascii="Times New Roman" w:eastAsia="Calibri" w:hAnsi="Times New Roman" w:cs="Times New Roman"/>
          <w:bCs/>
          <w:sz w:val="28"/>
          <w:szCs w:val="28"/>
          <w:lang w:val="uk-UA"/>
        </w:rPr>
        <w:t>.</w:t>
      </w:r>
      <w:r w:rsidRPr="005F0419">
        <w:rPr>
          <w:rFonts w:ascii="Times New Roman" w:eastAsia="Calibri" w:hAnsi="Times New Roman" w:cs="Times New Roman"/>
          <w:bCs/>
          <w:sz w:val="28"/>
          <w:szCs w:val="28"/>
          <w:lang w:val="uk-UA"/>
        </w:rPr>
        <w:t xml:space="preserve"> </w:t>
      </w:r>
      <w:r w:rsidR="00285FFB" w:rsidRPr="005F0419">
        <w:rPr>
          <w:rFonts w:ascii="Times New Roman" w:eastAsia="Calibri" w:hAnsi="Times New Roman" w:cs="Times New Roman"/>
          <w:bCs/>
          <w:sz w:val="28"/>
          <w:szCs w:val="28"/>
          <w:lang w:val="uk-UA"/>
        </w:rPr>
        <w:t>URL</w:t>
      </w:r>
      <w:r w:rsidRPr="005F0419">
        <w:rPr>
          <w:rFonts w:ascii="Times New Roman" w:eastAsia="Calibri" w:hAnsi="Times New Roman" w:cs="Times New Roman"/>
          <w:bCs/>
          <w:sz w:val="28"/>
          <w:szCs w:val="28"/>
          <w:lang w:val="uk-UA"/>
        </w:rPr>
        <w:t xml:space="preserve">: </w:t>
      </w:r>
      <w:hyperlink r:id="rId245" w:history="1">
        <w:r w:rsidRPr="005F0419">
          <w:rPr>
            <w:rFonts w:ascii="Times New Roman" w:eastAsia="Calibri" w:hAnsi="Times New Roman" w:cs="Times New Roman"/>
            <w:bCs/>
            <w:sz w:val="28"/>
            <w:szCs w:val="28"/>
            <w:u w:val="single"/>
            <w:lang w:val="uk-UA"/>
          </w:rPr>
          <w:t>https://www.staff.ua/uk/blog/shedovinh-abo-robota-z-tiniu</w:t>
        </w:r>
      </w:hyperlink>
    </w:p>
    <w:p w14:paraId="2374FAF8" w14:textId="5F3A5F73"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26. Методи навчання на підприємстві: достоїнства і недоліки</w:t>
      </w:r>
      <w:r w:rsidR="00285FFB" w:rsidRPr="005F0419">
        <w:rPr>
          <w:rFonts w:ascii="Times New Roman" w:eastAsia="Calibri" w:hAnsi="Times New Roman" w:cs="Times New Roman"/>
          <w:bCs/>
          <w:sz w:val="28"/>
          <w:szCs w:val="28"/>
          <w:lang w:val="uk-UA"/>
        </w:rPr>
        <w:t>. URL</w:t>
      </w:r>
      <w:r w:rsidRPr="005F0419">
        <w:rPr>
          <w:rFonts w:ascii="Times New Roman" w:eastAsia="Calibri" w:hAnsi="Times New Roman" w:cs="Times New Roman"/>
          <w:bCs/>
          <w:sz w:val="28"/>
          <w:szCs w:val="28"/>
          <w:lang w:val="uk-UA"/>
        </w:rPr>
        <w:t xml:space="preserve">:  </w:t>
      </w:r>
      <w:hyperlink r:id="rId246" w:history="1">
        <w:r w:rsidRPr="005F0419">
          <w:rPr>
            <w:rFonts w:ascii="Times New Roman" w:eastAsia="Calibri" w:hAnsi="Times New Roman" w:cs="Times New Roman"/>
            <w:bCs/>
            <w:sz w:val="28"/>
            <w:szCs w:val="28"/>
            <w:u w:val="single"/>
            <w:lang w:val="uk-UA"/>
          </w:rPr>
          <w:t>http://4ua.co.ua/management/ra3bd69a5c53b89521206d27_0.html</w:t>
        </w:r>
      </w:hyperlink>
      <w:r w:rsidRPr="005F0419">
        <w:rPr>
          <w:rFonts w:ascii="Times New Roman" w:eastAsia="Calibri" w:hAnsi="Times New Roman" w:cs="Times New Roman"/>
          <w:bCs/>
          <w:sz w:val="28"/>
          <w:szCs w:val="28"/>
          <w:lang w:val="uk-UA"/>
        </w:rPr>
        <w:t>.</w:t>
      </w:r>
    </w:p>
    <w:p w14:paraId="59CCCDFD" w14:textId="27AAD1FD"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27. Навчання дією (</w:t>
      </w:r>
      <w:proofErr w:type="spellStart"/>
      <w:r w:rsidRPr="005F0419">
        <w:rPr>
          <w:rFonts w:ascii="Times New Roman" w:eastAsia="Calibri" w:hAnsi="Times New Roman" w:cs="Times New Roman"/>
          <w:bCs/>
          <w:sz w:val="28"/>
          <w:szCs w:val="28"/>
          <w:lang w:val="uk-UA"/>
        </w:rPr>
        <w:t>Action</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learning</w:t>
      </w:r>
      <w:proofErr w:type="spellEnd"/>
      <w:r w:rsidRPr="005F0419">
        <w:rPr>
          <w:rFonts w:ascii="Times New Roman" w:eastAsia="Calibri" w:hAnsi="Times New Roman" w:cs="Times New Roman"/>
          <w:bCs/>
          <w:sz w:val="28"/>
          <w:szCs w:val="28"/>
          <w:lang w:val="uk-UA"/>
        </w:rPr>
        <w:t>)</w:t>
      </w:r>
      <w:r w:rsidR="00285FFB" w:rsidRPr="005F0419">
        <w:rPr>
          <w:rFonts w:ascii="Times New Roman" w:eastAsia="Calibri" w:hAnsi="Times New Roman" w:cs="Times New Roman"/>
          <w:bCs/>
          <w:sz w:val="28"/>
          <w:szCs w:val="28"/>
          <w:lang w:val="uk-UA"/>
        </w:rPr>
        <w:t>. URL</w:t>
      </w:r>
      <w:r w:rsidRPr="005F0419">
        <w:rPr>
          <w:rFonts w:ascii="Times New Roman" w:eastAsia="Calibri" w:hAnsi="Times New Roman" w:cs="Times New Roman"/>
          <w:bCs/>
          <w:sz w:val="28"/>
          <w:szCs w:val="28"/>
          <w:lang w:val="uk-UA"/>
        </w:rPr>
        <w:t xml:space="preserve">: </w:t>
      </w:r>
      <w:hyperlink r:id="rId247" w:history="1">
        <w:r w:rsidRPr="005F0419">
          <w:rPr>
            <w:rFonts w:ascii="Times New Roman" w:eastAsia="Calibri" w:hAnsi="Times New Roman" w:cs="Times New Roman"/>
            <w:bCs/>
            <w:sz w:val="28"/>
            <w:szCs w:val="28"/>
            <w:u w:val="single"/>
            <w:lang w:val="uk-UA"/>
          </w:rPr>
          <w:t>https://stud.com.ua/136628/psihologiya/navchannya_diyeyu_action_learning</w:t>
        </w:r>
      </w:hyperlink>
    </w:p>
    <w:p w14:paraId="21075135" w14:textId="043CFB9C"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lastRenderedPageBreak/>
        <w:t>28. Гетьман О.О., Білодід А.О. Інноваційні методи розвитку персоналу</w:t>
      </w:r>
      <w:r w:rsidR="00285FFB" w:rsidRPr="005F0419">
        <w:rPr>
          <w:rFonts w:ascii="Times New Roman" w:eastAsia="Calibri" w:hAnsi="Times New Roman" w:cs="Times New Roman"/>
          <w:bCs/>
          <w:sz w:val="28"/>
          <w:szCs w:val="28"/>
          <w:lang w:val="uk-UA"/>
        </w:rPr>
        <w:t>.</w:t>
      </w:r>
      <w:r w:rsidRPr="005F0419">
        <w:rPr>
          <w:rFonts w:ascii="Times New Roman" w:eastAsia="Calibri" w:hAnsi="Times New Roman" w:cs="Times New Roman"/>
          <w:bCs/>
          <w:sz w:val="28"/>
          <w:szCs w:val="28"/>
          <w:lang w:val="uk-UA"/>
        </w:rPr>
        <w:t xml:space="preserve"> </w:t>
      </w:r>
      <w:r w:rsidR="00285FFB" w:rsidRPr="005F0419">
        <w:rPr>
          <w:rFonts w:ascii="Times New Roman" w:eastAsia="Calibri" w:hAnsi="Times New Roman" w:cs="Times New Roman"/>
          <w:bCs/>
          <w:sz w:val="28"/>
          <w:szCs w:val="28"/>
          <w:lang w:val="uk-UA"/>
        </w:rPr>
        <w:t>URL</w:t>
      </w:r>
      <w:r w:rsidRPr="005F0419">
        <w:rPr>
          <w:rFonts w:ascii="Times New Roman" w:eastAsia="Calibri" w:hAnsi="Times New Roman" w:cs="Times New Roman"/>
          <w:bCs/>
          <w:sz w:val="28"/>
          <w:szCs w:val="28"/>
          <w:lang w:val="uk-UA"/>
        </w:rPr>
        <w:t xml:space="preserve">: </w:t>
      </w:r>
      <w:hyperlink r:id="rId248" w:history="1">
        <w:r w:rsidRPr="005F0419">
          <w:rPr>
            <w:rFonts w:ascii="Times New Roman" w:eastAsia="Calibri" w:hAnsi="Times New Roman" w:cs="Times New Roman"/>
            <w:bCs/>
            <w:sz w:val="28"/>
            <w:szCs w:val="28"/>
            <w:u w:val="single"/>
            <w:lang w:val="uk-UA"/>
          </w:rPr>
          <w:t>http://global-national.in.ua/archive/17-2017/116.pdf</w:t>
        </w:r>
      </w:hyperlink>
    </w:p>
    <w:p w14:paraId="30C3201E" w14:textId="20D6435D"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29. Офіційна сторінка ресторану «Жаровня на Замку»</w:t>
      </w:r>
      <w:r w:rsidR="00285FFB" w:rsidRPr="005F0419">
        <w:rPr>
          <w:rFonts w:ascii="Times New Roman" w:eastAsia="Times New Roman" w:hAnsi="Times New Roman" w:cs="Times New Roman"/>
          <w:sz w:val="28"/>
          <w:szCs w:val="28"/>
          <w:lang w:val="uk-UA"/>
        </w:rPr>
        <w:t>. URL</w:t>
      </w:r>
      <w:r w:rsidRPr="005F0419">
        <w:rPr>
          <w:rFonts w:ascii="Times New Roman" w:eastAsia="Times New Roman" w:hAnsi="Times New Roman" w:cs="Times New Roman"/>
          <w:sz w:val="28"/>
          <w:szCs w:val="28"/>
          <w:lang w:val="uk-UA"/>
        </w:rPr>
        <w:t xml:space="preserve">:  </w:t>
      </w:r>
      <w:hyperlink r:id="rId249" w:history="1">
        <w:r w:rsidRPr="005F0419">
          <w:rPr>
            <w:rFonts w:ascii="Times New Roman" w:eastAsia="Times New Roman" w:hAnsi="Times New Roman" w:cs="Times New Roman"/>
            <w:sz w:val="28"/>
            <w:szCs w:val="28"/>
            <w:u w:val="single"/>
            <w:lang w:val="uk-UA"/>
          </w:rPr>
          <w:t>https://www.facebook.com/zharovnya.na.zamku/</w:t>
        </w:r>
      </w:hyperlink>
      <w:r w:rsidRPr="005F0419">
        <w:rPr>
          <w:rFonts w:ascii="Times New Roman" w:eastAsia="Times New Roman" w:hAnsi="Times New Roman" w:cs="Times New Roman"/>
          <w:sz w:val="28"/>
          <w:szCs w:val="28"/>
          <w:lang w:val="uk-UA"/>
        </w:rPr>
        <w:t>.</w:t>
      </w:r>
    </w:p>
    <w:p w14:paraId="48B3EBC6" w14:textId="39E89CB3"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30. Блог учасників дистанційного навчання</w:t>
      </w:r>
      <w:r w:rsidR="00285FFB" w:rsidRPr="005F0419">
        <w:rPr>
          <w:rFonts w:ascii="Times New Roman" w:eastAsia="Calibri" w:hAnsi="Times New Roman" w:cs="Times New Roman"/>
          <w:bCs/>
          <w:sz w:val="28"/>
          <w:szCs w:val="28"/>
          <w:lang w:val="uk-UA"/>
        </w:rPr>
        <w:t>.</w:t>
      </w:r>
      <w:r w:rsidRPr="005F0419">
        <w:rPr>
          <w:rFonts w:ascii="Times New Roman" w:eastAsia="Calibri" w:hAnsi="Times New Roman" w:cs="Times New Roman"/>
          <w:bCs/>
          <w:sz w:val="28"/>
          <w:szCs w:val="28"/>
          <w:lang w:val="uk-UA"/>
        </w:rPr>
        <w:t xml:space="preserve"> </w:t>
      </w:r>
      <w:r w:rsidR="00285FFB" w:rsidRPr="005F0419">
        <w:rPr>
          <w:rFonts w:ascii="Times New Roman" w:eastAsia="Calibri" w:hAnsi="Times New Roman" w:cs="Times New Roman"/>
          <w:bCs/>
          <w:sz w:val="28"/>
          <w:szCs w:val="28"/>
          <w:lang w:val="uk-UA"/>
        </w:rPr>
        <w:t>URL</w:t>
      </w:r>
      <w:r w:rsidRPr="005F0419">
        <w:rPr>
          <w:rFonts w:ascii="Times New Roman" w:eastAsia="Calibri" w:hAnsi="Times New Roman" w:cs="Times New Roman"/>
          <w:bCs/>
          <w:sz w:val="28"/>
          <w:szCs w:val="28"/>
          <w:lang w:val="uk-UA"/>
        </w:rPr>
        <w:t xml:space="preserve">: </w:t>
      </w:r>
      <w:hyperlink r:id="rId250" w:history="1">
        <w:r w:rsidRPr="005F0419">
          <w:rPr>
            <w:rFonts w:ascii="Times New Roman" w:eastAsia="Calibri" w:hAnsi="Times New Roman" w:cs="Times New Roman"/>
            <w:bCs/>
            <w:sz w:val="28"/>
            <w:szCs w:val="28"/>
            <w:u w:val="single"/>
            <w:lang w:val="uk-UA"/>
          </w:rPr>
          <w:t>http://bludn.blogspot.com/p/blog-page_8.html</w:t>
        </w:r>
      </w:hyperlink>
      <w:r w:rsidRPr="005F0419">
        <w:rPr>
          <w:rFonts w:ascii="Times New Roman" w:eastAsia="Calibri" w:hAnsi="Times New Roman" w:cs="Times New Roman"/>
          <w:bCs/>
          <w:sz w:val="28"/>
          <w:szCs w:val="28"/>
          <w:lang w:val="uk-UA"/>
        </w:rPr>
        <w:t>.</w:t>
      </w:r>
    </w:p>
    <w:p w14:paraId="17AA9546" w14:textId="77777777" w:rsidR="00285FFB"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31.  </w:t>
      </w:r>
      <w:proofErr w:type="spellStart"/>
      <w:r w:rsidRPr="005F0419">
        <w:rPr>
          <w:rFonts w:ascii="Times New Roman" w:eastAsia="Times New Roman" w:hAnsi="Times New Roman" w:cs="Times New Roman"/>
          <w:sz w:val="28"/>
          <w:szCs w:val="28"/>
          <w:lang w:val="uk-UA"/>
        </w:rPr>
        <w:t>Семеріков</w:t>
      </w:r>
      <w:proofErr w:type="spellEnd"/>
      <w:r w:rsidRPr="005F0419">
        <w:rPr>
          <w:rFonts w:ascii="Times New Roman" w:eastAsia="Times New Roman" w:hAnsi="Times New Roman" w:cs="Times New Roman"/>
          <w:sz w:val="28"/>
          <w:szCs w:val="28"/>
          <w:lang w:val="uk-UA"/>
        </w:rPr>
        <w:t xml:space="preserve"> С. О., </w:t>
      </w:r>
      <w:proofErr w:type="spellStart"/>
      <w:r w:rsidRPr="005F0419">
        <w:rPr>
          <w:rFonts w:ascii="Times New Roman" w:eastAsia="Times New Roman" w:hAnsi="Times New Roman" w:cs="Times New Roman"/>
          <w:sz w:val="28"/>
          <w:szCs w:val="28"/>
          <w:lang w:val="uk-UA"/>
        </w:rPr>
        <w:t>Стрюк</w:t>
      </w:r>
      <w:proofErr w:type="spellEnd"/>
      <w:r w:rsidRPr="005F0419">
        <w:rPr>
          <w:rFonts w:ascii="Times New Roman" w:eastAsia="Times New Roman" w:hAnsi="Times New Roman" w:cs="Times New Roman"/>
          <w:sz w:val="28"/>
          <w:szCs w:val="28"/>
          <w:lang w:val="uk-UA"/>
        </w:rPr>
        <w:t xml:space="preserve"> М. І., </w:t>
      </w:r>
      <w:proofErr w:type="spellStart"/>
      <w:r w:rsidRPr="005F0419">
        <w:rPr>
          <w:rFonts w:ascii="Times New Roman" w:eastAsia="Times New Roman" w:hAnsi="Times New Roman" w:cs="Times New Roman"/>
          <w:sz w:val="28"/>
          <w:szCs w:val="28"/>
          <w:lang w:val="uk-UA"/>
        </w:rPr>
        <w:t>Моісеєнко</w:t>
      </w:r>
      <w:proofErr w:type="spellEnd"/>
      <w:r w:rsidRPr="005F0419">
        <w:rPr>
          <w:rFonts w:ascii="Times New Roman" w:eastAsia="Times New Roman" w:hAnsi="Times New Roman" w:cs="Times New Roman"/>
          <w:sz w:val="28"/>
          <w:szCs w:val="28"/>
          <w:lang w:val="uk-UA"/>
        </w:rPr>
        <w:t xml:space="preserve"> Н. В. Мобільне навчання: історико-технологічний вимір</w:t>
      </w:r>
      <w:r w:rsidR="00285FFB" w:rsidRPr="005F0419">
        <w:rPr>
          <w:rFonts w:ascii="Times New Roman" w:eastAsia="Times New Roman" w:hAnsi="Times New Roman" w:cs="Times New Roman"/>
          <w:sz w:val="28"/>
          <w:szCs w:val="28"/>
          <w:lang w:val="uk-UA"/>
        </w:rPr>
        <w:t xml:space="preserve">. </w:t>
      </w:r>
    </w:p>
    <w:p w14:paraId="3968F2B5" w14:textId="4F19464B" w:rsidR="00A55004" w:rsidRPr="005F0419" w:rsidRDefault="00285FFB" w:rsidP="00285FFB">
      <w:pPr>
        <w:widowControl w:val="0"/>
        <w:tabs>
          <w:tab w:val="left" w:pos="0"/>
          <w:tab w:val="left" w:pos="993"/>
        </w:tabs>
        <w:autoSpaceDE w:val="0"/>
        <w:autoSpaceDN w:val="0"/>
        <w:adjustRightInd w:val="0"/>
        <w:spacing w:after="0" w:line="360" w:lineRule="auto"/>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URL</w:t>
      </w:r>
      <w:r w:rsidR="00A55004" w:rsidRPr="005F0419">
        <w:rPr>
          <w:rFonts w:ascii="Times New Roman" w:eastAsia="Times New Roman" w:hAnsi="Times New Roman" w:cs="Times New Roman"/>
          <w:sz w:val="28"/>
          <w:szCs w:val="28"/>
          <w:lang w:val="uk-UA"/>
        </w:rPr>
        <w:t xml:space="preserve">: </w:t>
      </w:r>
      <w:hyperlink r:id="rId251" w:history="1">
        <w:r w:rsidR="00A55004" w:rsidRPr="005F0419">
          <w:rPr>
            <w:rFonts w:ascii="Times New Roman" w:eastAsia="Times New Roman" w:hAnsi="Times New Roman" w:cs="Times New Roman"/>
            <w:sz w:val="28"/>
            <w:szCs w:val="28"/>
            <w:u w:val="single"/>
            <w:lang w:val="uk-UA"/>
          </w:rPr>
          <w:t>https://core.ac.uk/download/pdf/77240859.pdf</w:t>
        </w:r>
      </w:hyperlink>
      <w:r w:rsidR="00A55004" w:rsidRPr="005F0419">
        <w:rPr>
          <w:rFonts w:ascii="Times New Roman" w:eastAsia="Times New Roman" w:hAnsi="Times New Roman" w:cs="Times New Roman"/>
          <w:sz w:val="28"/>
          <w:szCs w:val="28"/>
          <w:lang w:val="uk-UA"/>
        </w:rPr>
        <w:t>.</w:t>
      </w:r>
    </w:p>
    <w:p w14:paraId="0A33D330" w14:textId="55297452"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32. Кошова Т. Професійний розвиток персоналу: поняття, складові</w:t>
      </w:r>
      <w:r w:rsidR="00285FFB" w:rsidRPr="005F0419">
        <w:rPr>
          <w:rFonts w:ascii="Times New Roman" w:eastAsia="Calibri" w:hAnsi="Times New Roman" w:cs="Times New Roman"/>
          <w:bCs/>
          <w:sz w:val="28"/>
          <w:szCs w:val="28"/>
          <w:lang w:val="uk-UA"/>
        </w:rPr>
        <w:t xml:space="preserve">. </w:t>
      </w:r>
      <w:r w:rsidRPr="005F0419">
        <w:rPr>
          <w:rFonts w:ascii="Times New Roman" w:eastAsia="Calibri" w:hAnsi="Times New Roman" w:cs="Times New Roman"/>
          <w:bCs/>
          <w:sz w:val="28"/>
          <w:szCs w:val="28"/>
          <w:lang w:val="uk-UA"/>
        </w:rPr>
        <w:t>Актуал</w:t>
      </w:r>
      <w:r w:rsidR="00285FFB" w:rsidRPr="005F0419">
        <w:rPr>
          <w:rFonts w:ascii="Times New Roman" w:eastAsia="Calibri" w:hAnsi="Times New Roman" w:cs="Times New Roman"/>
          <w:bCs/>
          <w:sz w:val="28"/>
          <w:szCs w:val="28"/>
          <w:lang w:val="uk-UA"/>
        </w:rPr>
        <w:t xml:space="preserve">ьні </w:t>
      </w:r>
      <w:r w:rsidRPr="005F0419">
        <w:rPr>
          <w:rFonts w:ascii="Times New Roman" w:eastAsia="Calibri" w:hAnsi="Times New Roman" w:cs="Times New Roman"/>
          <w:bCs/>
          <w:sz w:val="28"/>
          <w:szCs w:val="28"/>
          <w:lang w:val="uk-UA"/>
        </w:rPr>
        <w:t>пробл</w:t>
      </w:r>
      <w:r w:rsidR="00285FFB" w:rsidRPr="005F0419">
        <w:rPr>
          <w:rFonts w:ascii="Times New Roman" w:eastAsia="Calibri" w:hAnsi="Times New Roman" w:cs="Times New Roman"/>
          <w:bCs/>
          <w:sz w:val="28"/>
          <w:szCs w:val="28"/>
          <w:lang w:val="uk-UA"/>
        </w:rPr>
        <w:t>еми</w:t>
      </w:r>
      <w:r w:rsidRPr="005F0419">
        <w:rPr>
          <w:rFonts w:ascii="Times New Roman" w:eastAsia="Calibri" w:hAnsi="Times New Roman" w:cs="Times New Roman"/>
          <w:bCs/>
          <w:sz w:val="28"/>
          <w:szCs w:val="28"/>
          <w:lang w:val="uk-UA"/>
        </w:rPr>
        <w:t xml:space="preserve"> держ</w:t>
      </w:r>
      <w:r w:rsidR="00285FFB" w:rsidRPr="005F0419">
        <w:rPr>
          <w:rFonts w:ascii="Times New Roman" w:eastAsia="Calibri" w:hAnsi="Times New Roman" w:cs="Times New Roman"/>
          <w:bCs/>
          <w:sz w:val="28"/>
          <w:szCs w:val="28"/>
          <w:lang w:val="uk-UA"/>
        </w:rPr>
        <w:t>авного</w:t>
      </w:r>
      <w:r w:rsidRPr="005F0419">
        <w:rPr>
          <w:rFonts w:ascii="Times New Roman" w:eastAsia="Calibri" w:hAnsi="Times New Roman" w:cs="Times New Roman"/>
          <w:bCs/>
          <w:sz w:val="28"/>
          <w:szCs w:val="28"/>
          <w:lang w:val="uk-UA"/>
        </w:rPr>
        <w:t xml:space="preserve"> упр</w:t>
      </w:r>
      <w:r w:rsidR="00285FFB" w:rsidRPr="005F0419">
        <w:rPr>
          <w:rFonts w:ascii="Times New Roman" w:eastAsia="Calibri" w:hAnsi="Times New Roman" w:cs="Times New Roman"/>
          <w:bCs/>
          <w:sz w:val="28"/>
          <w:szCs w:val="28"/>
          <w:lang w:val="uk-UA"/>
        </w:rPr>
        <w:t>авління</w:t>
      </w:r>
      <w:r w:rsidRPr="005F0419">
        <w:rPr>
          <w:rFonts w:ascii="Times New Roman" w:eastAsia="Calibri" w:hAnsi="Times New Roman" w:cs="Times New Roman"/>
          <w:bCs/>
          <w:sz w:val="28"/>
          <w:szCs w:val="28"/>
          <w:lang w:val="uk-UA"/>
        </w:rPr>
        <w:t>. О.: ОРІДУ УАДУ, 2010. Вип.12. 118 с.</w:t>
      </w:r>
    </w:p>
    <w:p w14:paraId="01398C38" w14:textId="2D8087D7"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 xml:space="preserve">33. </w:t>
      </w:r>
      <w:proofErr w:type="spellStart"/>
      <w:r w:rsidR="00285FFB" w:rsidRPr="005F0419">
        <w:rPr>
          <w:rFonts w:ascii="Times New Roman" w:eastAsia="Calibri" w:hAnsi="Times New Roman" w:cs="Times New Roman"/>
          <w:bCs/>
          <w:sz w:val="28"/>
          <w:szCs w:val="28"/>
          <w:lang w:val="uk-UA"/>
        </w:rPr>
        <w:t>Лихолобов</w:t>
      </w:r>
      <w:proofErr w:type="spellEnd"/>
      <w:r w:rsidR="00285FFB" w:rsidRPr="005F0419">
        <w:rPr>
          <w:rFonts w:ascii="Times New Roman" w:eastAsia="Calibri" w:hAnsi="Times New Roman" w:cs="Times New Roman"/>
          <w:bCs/>
          <w:sz w:val="28"/>
          <w:szCs w:val="28"/>
          <w:lang w:val="uk-UA"/>
        </w:rPr>
        <w:t xml:space="preserve"> Е. А. </w:t>
      </w:r>
      <w:r w:rsidRPr="005F0419">
        <w:rPr>
          <w:rFonts w:ascii="Times New Roman" w:eastAsia="Calibri" w:hAnsi="Times New Roman" w:cs="Times New Roman"/>
          <w:bCs/>
          <w:sz w:val="28"/>
          <w:szCs w:val="28"/>
          <w:lang w:val="uk-UA"/>
        </w:rPr>
        <w:t xml:space="preserve">Використання технологій управління персоналом у формуванні організаційної поведінки на промисловому підприємстві: </w:t>
      </w:r>
      <w:proofErr w:type="spellStart"/>
      <w:r w:rsidRPr="005F0419">
        <w:rPr>
          <w:rFonts w:ascii="Times New Roman" w:eastAsia="Calibri" w:hAnsi="Times New Roman" w:cs="Times New Roman"/>
          <w:bCs/>
          <w:sz w:val="28"/>
          <w:szCs w:val="28"/>
          <w:lang w:val="uk-UA"/>
        </w:rPr>
        <w:t>автореф</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дис</w:t>
      </w:r>
      <w:proofErr w:type="spellEnd"/>
      <w:r w:rsidRPr="005F0419">
        <w:rPr>
          <w:rFonts w:ascii="Times New Roman" w:eastAsia="Calibri" w:hAnsi="Times New Roman" w:cs="Times New Roman"/>
          <w:bCs/>
          <w:sz w:val="28"/>
          <w:szCs w:val="28"/>
          <w:lang w:val="uk-UA"/>
        </w:rPr>
        <w:t xml:space="preserve">. ... </w:t>
      </w:r>
      <w:proofErr w:type="spellStart"/>
      <w:r w:rsidRPr="005F0419">
        <w:rPr>
          <w:rFonts w:ascii="Times New Roman" w:eastAsia="Calibri" w:hAnsi="Times New Roman" w:cs="Times New Roman"/>
          <w:bCs/>
          <w:sz w:val="28"/>
          <w:szCs w:val="28"/>
          <w:lang w:val="uk-UA"/>
        </w:rPr>
        <w:t>канд</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екон</w:t>
      </w:r>
      <w:proofErr w:type="spellEnd"/>
      <w:r w:rsidRPr="005F0419">
        <w:rPr>
          <w:rFonts w:ascii="Times New Roman" w:eastAsia="Calibri" w:hAnsi="Times New Roman" w:cs="Times New Roman"/>
          <w:bCs/>
          <w:sz w:val="28"/>
          <w:szCs w:val="28"/>
          <w:lang w:val="uk-UA"/>
        </w:rPr>
        <w:t xml:space="preserve">. наук: 08.00.04; </w:t>
      </w:r>
      <w:proofErr w:type="spellStart"/>
      <w:r w:rsidRPr="005F0419">
        <w:rPr>
          <w:rFonts w:ascii="Times New Roman" w:eastAsia="Calibri" w:hAnsi="Times New Roman" w:cs="Times New Roman"/>
          <w:bCs/>
          <w:sz w:val="28"/>
          <w:szCs w:val="28"/>
          <w:lang w:val="uk-UA"/>
        </w:rPr>
        <w:t>Східноукр</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нац</w:t>
      </w:r>
      <w:proofErr w:type="spellEnd"/>
      <w:r w:rsidRPr="005F0419">
        <w:rPr>
          <w:rFonts w:ascii="Times New Roman" w:eastAsia="Calibri" w:hAnsi="Times New Roman" w:cs="Times New Roman"/>
          <w:bCs/>
          <w:sz w:val="28"/>
          <w:szCs w:val="28"/>
          <w:lang w:val="uk-UA"/>
        </w:rPr>
        <w:t>. ун-т ім. В. Даля. Луганськ, 2010. 21 с.</w:t>
      </w:r>
    </w:p>
    <w:p w14:paraId="17C4E12A" w14:textId="0CF2DE97" w:rsidR="00A55004" w:rsidRPr="005F0419" w:rsidRDefault="00A55004"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34. Паска М. З.</w:t>
      </w:r>
      <w:r w:rsidR="00285FFB" w:rsidRPr="005F0419">
        <w:rPr>
          <w:rFonts w:ascii="Times New Roman" w:eastAsia="Calibri" w:hAnsi="Times New Roman" w:cs="Times New Roman"/>
          <w:bCs/>
          <w:sz w:val="28"/>
          <w:szCs w:val="28"/>
          <w:lang w:val="uk-UA"/>
        </w:rPr>
        <w:t xml:space="preserve">, Графська О. І., Кулик О. М. </w:t>
      </w:r>
      <w:r w:rsidRPr="005F0419">
        <w:rPr>
          <w:rFonts w:ascii="Times New Roman" w:eastAsia="Calibri" w:hAnsi="Times New Roman" w:cs="Times New Roman"/>
          <w:bCs/>
          <w:sz w:val="28"/>
          <w:szCs w:val="28"/>
          <w:lang w:val="uk-UA"/>
        </w:rPr>
        <w:t xml:space="preserve"> Сучасні аспекти формування </w:t>
      </w:r>
      <w:proofErr w:type="spellStart"/>
      <w:r w:rsidRPr="005F0419">
        <w:rPr>
          <w:rFonts w:ascii="Times New Roman" w:eastAsia="Calibri" w:hAnsi="Times New Roman" w:cs="Times New Roman"/>
          <w:bCs/>
          <w:sz w:val="28"/>
          <w:szCs w:val="28"/>
          <w:lang w:val="uk-UA"/>
        </w:rPr>
        <w:t>крафтових</w:t>
      </w:r>
      <w:proofErr w:type="spellEnd"/>
      <w:r w:rsidRPr="005F0419">
        <w:rPr>
          <w:rFonts w:ascii="Times New Roman" w:eastAsia="Calibri" w:hAnsi="Times New Roman" w:cs="Times New Roman"/>
          <w:bCs/>
          <w:sz w:val="28"/>
          <w:szCs w:val="28"/>
          <w:lang w:val="uk-UA"/>
        </w:rPr>
        <w:t xml:space="preserve"> продуктів у ресторанній справі</w:t>
      </w:r>
      <w:r w:rsidR="00285FFB"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International</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scientific</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and</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practical</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conference</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Prague</w:t>
      </w:r>
      <w:proofErr w:type="spellEnd"/>
      <w:r w:rsidRPr="005F0419">
        <w:rPr>
          <w:rFonts w:ascii="Times New Roman" w:eastAsia="Calibri" w:hAnsi="Times New Roman" w:cs="Times New Roman"/>
          <w:bCs/>
          <w:sz w:val="28"/>
          <w:szCs w:val="28"/>
          <w:lang w:val="uk-UA"/>
        </w:rPr>
        <w:t>, 2020. Р. 76–80.</w:t>
      </w:r>
    </w:p>
    <w:p w14:paraId="76FED129" w14:textId="2BCB7D67" w:rsidR="00A55004" w:rsidRPr="005F0419" w:rsidRDefault="00A55004"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35. Паска М. З.</w:t>
      </w:r>
      <w:r w:rsidR="00285FFB" w:rsidRPr="005F0419">
        <w:rPr>
          <w:rFonts w:ascii="Times New Roman" w:eastAsia="Calibri" w:hAnsi="Times New Roman" w:cs="Times New Roman"/>
          <w:bCs/>
          <w:sz w:val="28"/>
          <w:szCs w:val="28"/>
          <w:lang w:val="uk-UA"/>
        </w:rPr>
        <w:t xml:space="preserve">, </w:t>
      </w:r>
      <w:proofErr w:type="spellStart"/>
      <w:r w:rsidR="00285FFB" w:rsidRPr="005F0419">
        <w:rPr>
          <w:rFonts w:ascii="Times New Roman" w:eastAsia="Calibri" w:hAnsi="Times New Roman" w:cs="Times New Roman"/>
          <w:bCs/>
          <w:sz w:val="28"/>
          <w:szCs w:val="28"/>
          <w:lang w:val="uk-UA"/>
        </w:rPr>
        <w:t>Радзімовська</w:t>
      </w:r>
      <w:proofErr w:type="spellEnd"/>
      <w:r w:rsidR="00285FFB" w:rsidRPr="005F0419">
        <w:rPr>
          <w:rFonts w:ascii="Times New Roman" w:eastAsia="Calibri" w:hAnsi="Times New Roman" w:cs="Times New Roman"/>
          <w:bCs/>
          <w:sz w:val="28"/>
          <w:szCs w:val="28"/>
          <w:lang w:val="uk-UA"/>
        </w:rPr>
        <w:t xml:space="preserve"> О. В., Буряк М. І.</w:t>
      </w:r>
      <w:r w:rsidRPr="005F0419">
        <w:rPr>
          <w:rFonts w:ascii="Times New Roman" w:eastAsia="Calibri" w:hAnsi="Times New Roman" w:cs="Times New Roman"/>
          <w:bCs/>
          <w:sz w:val="28"/>
          <w:szCs w:val="28"/>
          <w:lang w:val="uk-UA"/>
        </w:rPr>
        <w:t xml:space="preserve"> Інноваційні аспекти розробки нових видів делікатесних продуктів спеціального призначення</w:t>
      </w:r>
      <w:r w:rsidR="00285FFB" w:rsidRPr="005F0419">
        <w:rPr>
          <w:rFonts w:ascii="Times New Roman" w:eastAsia="Calibri" w:hAnsi="Times New Roman" w:cs="Times New Roman"/>
          <w:bCs/>
          <w:sz w:val="28"/>
          <w:szCs w:val="28"/>
          <w:lang w:val="uk-UA"/>
        </w:rPr>
        <w:t xml:space="preserve">. </w:t>
      </w:r>
      <w:r w:rsidRPr="005F0419">
        <w:rPr>
          <w:rFonts w:ascii="Times New Roman" w:eastAsia="Calibri" w:hAnsi="Times New Roman" w:cs="Times New Roman"/>
          <w:bCs/>
          <w:sz w:val="28"/>
          <w:szCs w:val="28"/>
          <w:lang w:val="uk-UA"/>
        </w:rPr>
        <w:t xml:space="preserve"> Наукові проблеми харчових технологій та промислової біотехнології в контексті Євроінтеграції : тези ІХ </w:t>
      </w:r>
      <w:proofErr w:type="spellStart"/>
      <w:r w:rsidRPr="005F0419">
        <w:rPr>
          <w:rFonts w:ascii="Times New Roman" w:eastAsia="Calibri" w:hAnsi="Times New Roman" w:cs="Times New Roman"/>
          <w:bCs/>
          <w:sz w:val="28"/>
          <w:szCs w:val="28"/>
          <w:lang w:val="uk-UA"/>
        </w:rPr>
        <w:t>Міжнар</w:t>
      </w:r>
      <w:proofErr w:type="spellEnd"/>
      <w:r w:rsidRPr="005F0419">
        <w:rPr>
          <w:rFonts w:ascii="Times New Roman" w:eastAsia="Calibri" w:hAnsi="Times New Roman" w:cs="Times New Roman"/>
          <w:bCs/>
          <w:sz w:val="28"/>
          <w:szCs w:val="28"/>
          <w:lang w:val="uk-UA"/>
        </w:rPr>
        <w:t>. наук.-</w:t>
      </w:r>
      <w:proofErr w:type="spellStart"/>
      <w:r w:rsidRPr="005F0419">
        <w:rPr>
          <w:rFonts w:ascii="Times New Roman" w:eastAsia="Calibri" w:hAnsi="Times New Roman" w:cs="Times New Roman"/>
          <w:bCs/>
          <w:sz w:val="28"/>
          <w:szCs w:val="28"/>
          <w:lang w:val="uk-UA"/>
        </w:rPr>
        <w:t>техн</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конф</w:t>
      </w:r>
      <w:proofErr w:type="spellEnd"/>
      <w:r w:rsidRPr="005F0419">
        <w:rPr>
          <w:rFonts w:ascii="Times New Roman" w:eastAsia="Calibri" w:hAnsi="Times New Roman" w:cs="Times New Roman"/>
          <w:bCs/>
          <w:sz w:val="28"/>
          <w:szCs w:val="28"/>
          <w:lang w:val="uk-UA"/>
        </w:rPr>
        <w:t>. Київ : НУХТ, 2020. С. 119–221</w:t>
      </w:r>
      <w:r w:rsidR="00285FFB" w:rsidRPr="005F0419">
        <w:rPr>
          <w:rFonts w:ascii="Times New Roman" w:eastAsia="Calibri" w:hAnsi="Times New Roman" w:cs="Times New Roman"/>
          <w:bCs/>
          <w:sz w:val="28"/>
          <w:szCs w:val="28"/>
          <w:lang w:val="uk-UA"/>
        </w:rPr>
        <w:t>.</w:t>
      </w:r>
    </w:p>
    <w:p w14:paraId="28AB137C" w14:textId="77777777" w:rsidR="00A55004" w:rsidRPr="005F0419" w:rsidRDefault="00A55004"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 xml:space="preserve">36. Паска М.З. Інноваційний розвиток гастрономічного туризму Львівщини в контексті формування ресторанних брендів. Індустрія туризму і гостинності в Центральній та Східній Європі. 2022. № 5. С. 98–103. DOI: </w:t>
      </w:r>
      <w:hyperlink r:id="rId252" w:history="1">
        <w:r w:rsidRPr="005F0419">
          <w:rPr>
            <w:rStyle w:val="a6"/>
            <w:rFonts w:ascii="Times New Roman" w:eastAsia="Calibri" w:hAnsi="Times New Roman" w:cs="Times New Roman"/>
            <w:bCs/>
            <w:color w:val="auto"/>
            <w:sz w:val="28"/>
            <w:szCs w:val="28"/>
            <w:lang w:val="uk-UA"/>
          </w:rPr>
          <w:t>https://doi.org/10.36477/tourismhospcee-5-12</w:t>
        </w:r>
      </w:hyperlink>
    </w:p>
    <w:p w14:paraId="46174866" w14:textId="6C38DBFB" w:rsidR="00A55004" w:rsidRPr="005F0419" w:rsidRDefault="00A55004"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 xml:space="preserve">37. Паска, М., Графська, О., </w:t>
      </w:r>
      <w:proofErr w:type="spellStart"/>
      <w:r w:rsidRPr="005F0419">
        <w:rPr>
          <w:rFonts w:ascii="Times New Roman" w:eastAsia="Calibri" w:hAnsi="Times New Roman" w:cs="Times New Roman"/>
          <w:bCs/>
          <w:sz w:val="28"/>
          <w:szCs w:val="28"/>
          <w:lang w:val="uk-UA"/>
        </w:rPr>
        <w:t>Запісоцький</w:t>
      </w:r>
      <w:proofErr w:type="spellEnd"/>
      <w:r w:rsidRPr="005F0419">
        <w:rPr>
          <w:rFonts w:ascii="Times New Roman" w:eastAsia="Calibri" w:hAnsi="Times New Roman" w:cs="Times New Roman"/>
          <w:bCs/>
          <w:sz w:val="28"/>
          <w:szCs w:val="28"/>
          <w:lang w:val="uk-UA"/>
        </w:rPr>
        <w:t xml:space="preserve"> А. Соціально-культурні проблеми управління якістю на підприємствах індустрії гостинності. Економіка та </w:t>
      </w:r>
      <w:r w:rsidRPr="005F0419">
        <w:rPr>
          <w:rFonts w:ascii="Times New Roman" w:eastAsia="Calibri" w:hAnsi="Times New Roman" w:cs="Times New Roman"/>
          <w:bCs/>
          <w:sz w:val="28"/>
          <w:szCs w:val="28"/>
          <w:lang w:val="uk-UA"/>
        </w:rPr>
        <w:lastRenderedPageBreak/>
        <w:t>суспільство</w:t>
      </w:r>
      <w:r w:rsidR="00285FFB" w:rsidRPr="005F0419">
        <w:rPr>
          <w:rFonts w:ascii="Times New Roman" w:eastAsia="Calibri" w:hAnsi="Times New Roman" w:cs="Times New Roman"/>
          <w:bCs/>
          <w:sz w:val="28"/>
          <w:szCs w:val="28"/>
          <w:lang w:val="uk-UA"/>
        </w:rPr>
        <w:t xml:space="preserve">. 2023. </w:t>
      </w:r>
      <w:r w:rsidRPr="005F0419">
        <w:rPr>
          <w:rFonts w:ascii="Times New Roman" w:eastAsia="Calibri" w:hAnsi="Times New Roman" w:cs="Times New Roman"/>
          <w:bCs/>
          <w:sz w:val="28"/>
          <w:szCs w:val="28"/>
          <w:lang w:val="uk-UA"/>
        </w:rPr>
        <w:t xml:space="preserve">56. </w:t>
      </w:r>
      <w:r w:rsidR="002279C5" w:rsidRPr="005F0419">
        <w:rPr>
          <w:rFonts w:ascii="Times New Roman" w:eastAsia="Calibri" w:hAnsi="Times New Roman" w:cs="Times New Roman"/>
          <w:bCs/>
          <w:sz w:val="28"/>
          <w:szCs w:val="28"/>
          <w:lang w:val="uk-UA"/>
        </w:rPr>
        <w:t xml:space="preserve">DOI: </w:t>
      </w:r>
      <w:hyperlink r:id="rId253" w:history="1">
        <w:r w:rsidRPr="005F0419">
          <w:rPr>
            <w:rStyle w:val="a6"/>
            <w:rFonts w:ascii="Times New Roman" w:eastAsia="Calibri" w:hAnsi="Times New Roman" w:cs="Times New Roman"/>
            <w:bCs/>
            <w:color w:val="auto"/>
            <w:sz w:val="28"/>
            <w:szCs w:val="28"/>
            <w:lang w:val="uk-UA"/>
          </w:rPr>
          <w:t>https://doi.org/10.32782/2524-0072/2023-56-31</w:t>
        </w:r>
      </w:hyperlink>
    </w:p>
    <w:p w14:paraId="06414E6B" w14:textId="70411272" w:rsidR="00A55004" w:rsidRPr="005F0419" w:rsidRDefault="00A55004"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 xml:space="preserve">38. </w:t>
      </w:r>
      <w:proofErr w:type="spellStart"/>
      <w:r w:rsidRPr="005F0419">
        <w:rPr>
          <w:rFonts w:ascii="Times New Roman" w:eastAsia="Calibri" w:hAnsi="Times New Roman" w:cs="Times New Roman"/>
          <w:bCs/>
          <w:sz w:val="28"/>
          <w:szCs w:val="28"/>
          <w:lang w:val="uk-UA"/>
        </w:rPr>
        <w:t>Huzar</w:t>
      </w:r>
      <w:proofErr w:type="spellEnd"/>
      <w:r w:rsidRPr="005F0419">
        <w:rPr>
          <w:rFonts w:ascii="Times New Roman" w:eastAsia="Calibri" w:hAnsi="Times New Roman" w:cs="Times New Roman"/>
          <w:bCs/>
          <w:sz w:val="28"/>
          <w:szCs w:val="28"/>
          <w:lang w:val="uk-UA"/>
        </w:rPr>
        <w:t xml:space="preserve"> U., </w:t>
      </w:r>
      <w:proofErr w:type="spellStart"/>
      <w:r w:rsidRPr="005F0419">
        <w:rPr>
          <w:rFonts w:ascii="Times New Roman" w:eastAsia="Calibri" w:hAnsi="Times New Roman" w:cs="Times New Roman"/>
          <w:bCs/>
          <w:sz w:val="28"/>
          <w:szCs w:val="28"/>
          <w:lang w:val="uk-UA"/>
        </w:rPr>
        <w:t>Paska</w:t>
      </w:r>
      <w:proofErr w:type="spellEnd"/>
      <w:r w:rsidR="002279C5" w:rsidRPr="005F0419">
        <w:rPr>
          <w:rFonts w:ascii="Times New Roman" w:eastAsia="Calibri" w:hAnsi="Times New Roman" w:cs="Times New Roman"/>
          <w:bCs/>
          <w:sz w:val="28"/>
          <w:szCs w:val="28"/>
          <w:lang w:val="uk-UA"/>
        </w:rPr>
        <w:t xml:space="preserve"> </w:t>
      </w:r>
      <w:r w:rsidRPr="005F0419">
        <w:rPr>
          <w:rFonts w:ascii="Times New Roman" w:eastAsia="Calibri" w:hAnsi="Times New Roman" w:cs="Times New Roman"/>
          <w:bCs/>
          <w:sz w:val="28"/>
          <w:szCs w:val="28"/>
          <w:lang w:val="uk-UA"/>
        </w:rPr>
        <w:t xml:space="preserve">M., &amp; </w:t>
      </w:r>
      <w:proofErr w:type="spellStart"/>
      <w:r w:rsidRPr="005F0419">
        <w:rPr>
          <w:rFonts w:ascii="Times New Roman" w:eastAsia="Calibri" w:hAnsi="Times New Roman" w:cs="Times New Roman"/>
          <w:bCs/>
          <w:sz w:val="28"/>
          <w:szCs w:val="28"/>
          <w:lang w:val="uk-UA"/>
        </w:rPr>
        <w:t>Radzimovska</w:t>
      </w:r>
      <w:proofErr w:type="spellEnd"/>
      <w:r w:rsidRPr="005F0419">
        <w:rPr>
          <w:rFonts w:ascii="Times New Roman" w:eastAsia="Calibri" w:hAnsi="Times New Roman" w:cs="Times New Roman"/>
          <w:bCs/>
          <w:sz w:val="28"/>
          <w:szCs w:val="28"/>
          <w:lang w:val="uk-UA"/>
        </w:rPr>
        <w:t xml:space="preserve"> O. (2023). PRACTICAL ASPECT OF HOSPITALITY STAFF CREATIVITY. </w:t>
      </w:r>
      <w:proofErr w:type="spellStart"/>
      <w:r w:rsidRPr="005F0419">
        <w:rPr>
          <w:rFonts w:ascii="Times New Roman" w:eastAsia="Calibri" w:hAnsi="Times New Roman" w:cs="Times New Roman"/>
          <w:bCs/>
          <w:sz w:val="28"/>
          <w:szCs w:val="28"/>
          <w:lang w:val="uk-UA"/>
        </w:rPr>
        <w:t>Baltic</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Journal</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of</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Economic</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Studies</w:t>
      </w:r>
      <w:proofErr w:type="spellEnd"/>
      <w:r w:rsidRPr="005F0419">
        <w:rPr>
          <w:rFonts w:ascii="Times New Roman" w:eastAsia="Calibri" w:hAnsi="Times New Roman" w:cs="Times New Roman"/>
          <w:bCs/>
          <w:sz w:val="28"/>
          <w:szCs w:val="28"/>
          <w:lang w:val="uk-UA"/>
        </w:rPr>
        <w:t xml:space="preserve">, 9(2), 104-109. </w:t>
      </w:r>
      <w:r w:rsidR="002279C5" w:rsidRPr="005F0419">
        <w:rPr>
          <w:rFonts w:ascii="Times New Roman" w:eastAsia="Calibri" w:hAnsi="Times New Roman" w:cs="Times New Roman"/>
          <w:bCs/>
          <w:sz w:val="28"/>
          <w:szCs w:val="28"/>
          <w:lang w:val="uk-UA"/>
        </w:rPr>
        <w:t xml:space="preserve">DOI: </w:t>
      </w:r>
      <w:hyperlink r:id="rId254" w:history="1">
        <w:r w:rsidRPr="005F0419">
          <w:rPr>
            <w:rStyle w:val="a6"/>
            <w:rFonts w:ascii="Times New Roman" w:eastAsia="Calibri" w:hAnsi="Times New Roman" w:cs="Times New Roman"/>
            <w:bCs/>
            <w:color w:val="auto"/>
            <w:sz w:val="28"/>
            <w:szCs w:val="28"/>
            <w:lang w:val="uk-UA"/>
          </w:rPr>
          <w:t>https://doi.org/10.30525/2256-0742/2023-9-2-104-109</w:t>
        </w:r>
      </w:hyperlink>
    </w:p>
    <w:p w14:paraId="126A1ECA" w14:textId="5B18359C" w:rsidR="00A55004" w:rsidRPr="005F0419" w:rsidRDefault="00A55004"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39. Паска М. З.</w:t>
      </w:r>
      <w:r w:rsidR="002279C5" w:rsidRPr="005F0419">
        <w:rPr>
          <w:rFonts w:ascii="Times New Roman" w:eastAsia="Calibri" w:hAnsi="Times New Roman" w:cs="Times New Roman"/>
          <w:bCs/>
          <w:sz w:val="28"/>
          <w:szCs w:val="28"/>
          <w:lang w:val="uk-UA"/>
        </w:rPr>
        <w:t xml:space="preserve">, </w:t>
      </w:r>
      <w:proofErr w:type="spellStart"/>
      <w:r w:rsidR="002279C5" w:rsidRPr="005F0419">
        <w:rPr>
          <w:rFonts w:ascii="Times New Roman" w:eastAsia="Calibri" w:hAnsi="Times New Roman" w:cs="Times New Roman"/>
          <w:bCs/>
          <w:sz w:val="28"/>
          <w:szCs w:val="28"/>
          <w:lang w:val="uk-UA"/>
        </w:rPr>
        <w:t>Чемеринська</w:t>
      </w:r>
      <w:proofErr w:type="spellEnd"/>
      <w:r w:rsidR="002279C5" w:rsidRPr="005F0419">
        <w:rPr>
          <w:rFonts w:ascii="Times New Roman" w:eastAsia="Calibri" w:hAnsi="Times New Roman" w:cs="Times New Roman"/>
          <w:bCs/>
          <w:sz w:val="28"/>
          <w:szCs w:val="28"/>
          <w:lang w:val="uk-UA"/>
        </w:rPr>
        <w:t xml:space="preserve"> М. І.</w:t>
      </w:r>
      <w:r w:rsidRPr="005F0419">
        <w:rPr>
          <w:rFonts w:ascii="Times New Roman" w:eastAsia="Calibri" w:hAnsi="Times New Roman" w:cs="Times New Roman"/>
          <w:bCs/>
          <w:sz w:val="28"/>
          <w:szCs w:val="28"/>
          <w:lang w:val="uk-UA"/>
        </w:rPr>
        <w:t xml:space="preserve"> Управління персоналом у закладах ресторанного господарства</w:t>
      </w:r>
      <w:r w:rsidR="002279C5" w:rsidRPr="005F0419">
        <w:rPr>
          <w:rFonts w:ascii="Times New Roman" w:eastAsia="Calibri" w:hAnsi="Times New Roman" w:cs="Times New Roman"/>
          <w:bCs/>
          <w:sz w:val="28"/>
          <w:szCs w:val="28"/>
          <w:lang w:val="uk-UA"/>
        </w:rPr>
        <w:t xml:space="preserve">. </w:t>
      </w:r>
      <w:r w:rsidRPr="005F0419">
        <w:rPr>
          <w:rFonts w:ascii="Times New Roman" w:eastAsia="Calibri" w:hAnsi="Times New Roman" w:cs="Times New Roman"/>
          <w:bCs/>
          <w:sz w:val="28"/>
          <w:szCs w:val="28"/>
          <w:lang w:val="uk-UA"/>
        </w:rPr>
        <w:t xml:space="preserve">Соціальна відповідальність як основа інноваційного розвитку бізнесу : матеріали Х </w:t>
      </w:r>
      <w:proofErr w:type="spellStart"/>
      <w:r w:rsidRPr="005F0419">
        <w:rPr>
          <w:rFonts w:ascii="Times New Roman" w:eastAsia="Calibri" w:hAnsi="Times New Roman" w:cs="Times New Roman"/>
          <w:bCs/>
          <w:sz w:val="28"/>
          <w:szCs w:val="28"/>
          <w:lang w:val="uk-UA"/>
        </w:rPr>
        <w:t>Всеукр</w:t>
      </w:r>
      <w:proofErr w:type="spellEnd"/>
      <w:r w:rsidRPr="005F0419">
        <w:rPr>
          <w:rFonts w:ascii="Times New Roman" w:eastAsia="Calibri" w:hAnsi="Times New Roman" w:cs="Times New Roman"/>
          <w:bCs/>
          <w:sz w:val="28"/>
          <w:szCs w:val="28"/>
          <w:lang w:val="uk-UA"/>
        </w:rPr>
        <w:t>. наук.-</w:t>
      </w:r>
      <w:proofErr w:type="spellStart"/>
      <w:r w:rsidRPr="005F0419">
        <w:rPr>
          <w:rFonts w:ascii="Times New Roman" w:eastAsia="Calibri" w:hAnsi="Times New Roman" w:cs="Times New Roman"/>
          <w:bCs/>
          <w:sz w:val="28"/>
          <w:szCs w:val="28"/>
          <w:lang w:val="uk-UA"/>
        </w:rPr>
        <w:t>практ</w:t>
      </w:r>
      <w:proofErr w:type="spellEnd"/>
      <w:r w:rsidRPr="005F0419">
        <w:rPr>
          <w:rFonts w:ascii="Times New Roman" w:eastAsia="Calibri" w:hAnsi="Times New Roman" w:cs="Times New Roman"/>
          <w:bCs/>
          <w:sz w:val="28"/>
          <w:szCs w:val="28"/>
          <w:lang w:val="uk-UA"/>
        </w:rPr>
        <w:t xml:space="preserve">. </w:t>
      </w:r>
      <w:proofErr w:type="spellStart"/>
      <w:r w:rsidRPr="005F0419">
        <w:rPr>
          <w:rFonts w:ascii="Times New Roman" w:eastAsia="Calibri" w:hAnsi="Times New Roman" w:cs="Times New Roman"/>
          <w:bCs/>
          <w:sz w:val="28"/>
          <w:szCs w:val="28"/>
          <w:lang w:val="uk-UA"/>
        </w:rPr>
        <w:t>конф</w:t>
      </w:r>
      <w:proofErr w:type="spellEnd"/>
      <w:r w:rsidRPr="005F0419">
        <w:rPr>
          <w:rFonts w:ascii="Times New Roman" w:eastAsia="Calibri" w:hAnsi="Times New Roman" w:cs="Times New Roman"/>
          <w:bCs/>
          <w:sz w:val="28"/>
          <w:szCs w:val="28"/>
          <w:lang w:val="uk-UA"/>
        </w:rPr>
        <w:t>. (18 лист. 2022 р.). Тернопіль, 2022. С. 80–81.</w:t>
      </w:r>
    </w:p>
    <w:p w14:paraId="0C2BDC8A" w14:textId="3B28AC5A" w:rsidR="00A55004" w:rsidRPr="005F0419" w:rsidRDefault="00A55004"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r w:rsidRPr="005F0419">
        <w:rPr>
          <w:rFonts w:ascii="Times New Roman" w:eastAsia="Calibri" w:hAnsi="Times New Roman" w:cs="Times New Roman"/>
          <w:bCs/>
          <w:sz w:val="28"/>
          <w:szCs w:val="28"/>
          <w:lang w:val="uk-UA"/>
        </w:rPr>
        <w:t xml:space="preserve">40. </w:t>
      </w:r>
      <w:proofErr w:type="spellStart"/>
      <w:r w:rsidRPr="005F0419">
        <w:rPr>
          <w:rFonts w:ascii="Times New Roman" w:eastAsia="Calibri" w:hAnsi="Times New Roman" w:cs="Times New Roman"/>
          <w:bCs/>
          <w:spacing w:val="-4"/>
          <w:sz w:val="28"/>
          <w:szCs w:val="28"/>
          <w:lang w:val="uk-UA"/>
        </w:rPr>
        <w:t>Гузар</w:t>
      </w:r>
      <w:proofErr w:type="spellEnd"/>
      <w:r w:rsidRPr="005F0419">
        <w:rPr>
          <w:rFonts w:ascii="Times New Roman" w:eastAsia="Calibri" w:hAnsi="Times New Roman" w:cs="Times New Roman"/>
          <w:bCs/>
          <w:spacing w:val="-4"/>
          <w:sz w:val="28"/>
          <w:szCs w:val="28"/>
          <w:lang w:val="uk-UA"/>
        </w:rPr>
        <w:t xml:space="preserve"> У.</w:t>
      </w:r>
      <w:r w:rsidR="002279C5" w:rsidRPr="005F0419">
        <w:rPr>
          <w:rFonts w:ascii="Times New Roman" w:eastAsia="Calibri" w:hAnsi="Times New Roman" w:cs="Times New Roman"/>
          <w:bCs/>
          <w:spacing w:val="-4"/>
          <w:sz w:val="28"/>
          <w:szCs w:val="28"/>
          <w:lang w:val="uk-UA"/>
        </w:rPr>
        <w:t xml:space="preserve"> </w:t>
      </w:r>
      <w:r w:rsidRPr="005F0419">
        <w:rPr>
          <w:rFonts w:ascii="Times New Roman" w:eastAsia="Calibri" w:hAnsi="Times New Roman" w:cs="Times New Roman"/>
          <w:bCs/>
          <w:spacing w:val="-4"/>
          <w:sz w:val="28"/>
          <w:szCs w:val="28"/>
          <w:lang w:val="uk-UA"/>
        </w:rPr>
        <w:t>Є., Голод А.</w:t>
      </w:r>
      <w:r w:rsidR="002279C5" w:rsidRPr="005F0419">
        <w:rPr>
          <w:rFonts w:ascii="Times New Roman" w:eastAsia="Calibri" w:hAnsi="Times New Roman" w:cs="Times New Roman"/>
          <w:bCs/>
          <w:spacing w:val="-4"/>
          <w:sz w:val="28"/>
          <w:szCs w:val="28"/>
          <w:lang w:val="uk-UA"/>
        </w:rPr>
        <w:t xml:space="preserve"> </w:t>
      </w:r>
      <w:r w:rsidRPr="005F0419">
        <w:rPr>
          <w:rFonts w:ascii="Times New Roman" w:eastAsia="Calibri" w:hAnsi="Times New Roman" w:cs="Times New Roman"/>
          <w:bCs/>
          <w:spacing w:val="-4"/>
          <w:sz w:val="28"/>
          <w:szCs w:val="28"/>
          <w:lang w:val="uk-UA"/>
        </w:rPr>
        <w:t>П., Паска М.</w:t>
      </w:r>
      <w:r w:rsidR="002279C5" w:rsidRPr="005F0419">
        <w:rPr>
          <w:rFonts w:ascii="Times New Roman" w:eastAsia="Calibri" w:hAnsi="Times New Roman" w:cs="Times New Roman"/>
          <w:bCs/>
          <w:spacing w:val="-4"/>
          <w:sz w:val="28"/>
          <w:szCs w:val="28"/>
          <w:lang w:val="uk-UA"/>
        </w:rPr>
        <w:t xml:space="preserve"> </w:t>
      </w:r>
      <w:r w:rsidRPr="005F0419">
        <w:rPr>
          <w:rFonts w:ascii="Times New Roman" w:eastAsia="Calibri" w:hAnsi="Times New Roman" w:cs="Times New Roman"/>
          <w:bCs/>
          <w:spacing w:val="-4"/>
          <w:sz w:val="28"/>
          <w:szCs w:val="28"/>
          <w:lang w:val="uk-UA"/>
        </w:rPr>
        <w:t xml:space="preserve">З., </w:t>
      </w:r>
      <w:proofErr w:type="spellStart"/>
      <w:r w:rsidRPr="005F0419">
        <w:rPr>
          <w:rFonts w:ascii="Times New Roman" w:eastAsia="Calibri" w:hAnsi="Times New Roman" w:cs="Times New Roman"/>
          <w:bCs/>
          <w:spacing w:val="-4"/>
          <w:sz w:val="28"/>
          <w:szCs w:val="28"/>
          <w:lang w:val="uk-UA"/>
        </w:rPr>
        <w:t>Феленчак</w:t>
      </w:r>
      <w:proofErr w:type="spellEnd"/>
      <w:r w:rsidRPr="005F0419">
        <w:rPr>
          <w:rFonts w:ascii="Times New Roman" w:eastAsia="Calibri" w:hAnsi="Times New Roman" w:cs="Times New Roman"/>
          <w:bCs/>
          <w:spacing w:val="-4"/>
          <w:sz w:val="28"/>
          <w:szCs w:val="28"/>
          <w:lang w:val="uk-UA"/>
        </w:rPr>
        <w:t xml:space="preserve"> Ю.</w:t>
      </w:r>
      <w:r w:rsidR="002279C5" w:rsidRPr="005F0419">
        <w:rPr>
          <w:rFonts w:ascii="Times New Roman" w:eastAsia="Calibri" w:hAnsi="Times New Roman" w:cs="Times New Roman"/>
          <w:bCs/>
          <w:spacing w:val="-4"/>
          <w:sz w:val="28"/>
          <w:szCs w:val="28"/>
          <w:lang w:val="uk-UA"/>
        </w:rPr>
        <w:t xml:space="preserve"> </w:t>
      </w:r>
      <w:r w:rsidRPr="005F0419">
        <w:rPr>
          <w:rFonts w:ascii="Times New Roman" w:eastAsia="Calibri" w:hAnsi="Times New Roman" w:cs="Times New Roman"/>
          <w:bCs/>
          <w:spacing w:val="-4"/>
          <w:sz w:val="28"/>
          <w:szCs w:val="28"/>
          <w:lang w:val="uk-UA"/>
        </w:rPr>
        <w:t xml:space="preserve">Б., </w:t>
      </w:r>
      <w:proofErr w:type="spellStart"/>
      <w:r w:rsidRPr="005F0419">
        <w:rPr>
          <w:rFonts w:ascii="Times New Roman" w:eastAsia="Calibri" w:hAnsi="Times New Roman" w:cs="Times New Roman"/>
          <w:bCs/>
          <w:spacing w:val="-4"/>
          <w:sz w:val="28"/>
          <w:szCs w:val="28"/>
          <w:lang w:val="uk-UA"/>
        </w:rPr>
        <w:t>Федоришина</w:t>
      </w:r>
      <w:proofErr w:type="spellEnd"/>
      <w:r w:rsidR="002279C5" w:rsidRPr="005F0419">
        <w:rPr>
          <w:rFonts w:ascii="Times New Roman" w:eastAsia="Calibri" w:hAnsi="Times New Roman" w:cs="Times New Roman"/>
          <w:bCs/>
          <w:spacing w:val="-4"/>
          <w:sz w:val="28"/>
          <w:szCs w:val="28"/>
          <w:lang w:val="uk-UA"/>
        </w:rPr>
        <w:t xml:space="preserve"> </w:t>
      </w:r>
      <w:r w:rsidRPr="005F0419">
        <w:rPr>
          <w:rFonts w:ascii="Times New Roman" w:eastAsia="Calibri" w:hAnsi="Times New Roman" w:cs="Times New Roman"/>
          <w:bCs/>
          <w:spacing w:val="-4"/>
          <w:sz w:val="28"/>
          <w:szCs w:val="28"/>
          <w:lang w:val="uk-UA"/>
        </w:rPr>
        <w:t>Л.</w:t>
      </w:r>
      <w:r w:rsidR="002279C5" w:rsidRPr="005F0419">
        <w:rPr>
          <w:rFonts w:ascii="Times New Roman" w:eastAsia="Calibri" w:hAnsi="Times New Roman" w:cs="Times New Roman"/>
          <w:bCs/>
          <w:spacing w:val="-4"/>
          <w:sz w:val="28"/>
          <w:szCs w:val="28"/>
          <w:lang w:val="uk-UA"/>
        </w:rPr>
        <w:t xml:space="preserve"> </w:t>
      </w:r>
      <w:r w:rsidRPr="005F0419">
        <w:rPr>
          <w:rFonts w:ascii="Times New Roman" w:eastAsia="Calibri" w:hAnsi="Times New Roman" w:cs="Times New Roman"/>
          <w:bCs/>
          <w:spacing w:val="-4"/>
          <w:sz w:val="28"/>
          <w:szCs w:val="28"/>
          <w:lang w:val="uk-UA"/>
        </w:rPr>
        <w:t>М.</w:t>
      </w:r>
      <w:r w:rsidRPr="005F0419">
        <w:rPr>
          <w:rFonts w:ascii="Times New Roman" w:eastAsia="Calibri" w:hAnsi="Times New Roman" w:cs="Times New Roman"/>
          <w:bCs/>
          <w:sz w:val="28"/>
          <w:szCs w:val="28"/>
          <w:lang w:val="uk-UA"/>
        </w:rPr>
        <w:t xml:space="preserve"> Становлення індустрії гостинності як чинника підвищення конкурентоспроможності національної економіки. Фінансово-кредитна діяльність: проблеми теорії та практики. 2022. № 3 (44). С. 208–215. DOI: </w:t>
      </w:r>
      <w:hyperlink r:id="rId255" w:history="1">
        <w:r w:rsidRPr="005F0419">
          <w:rPr>
            <w:rStyle w:val="a6"/>
            <w:rFonts w:ascii="Times New Roman" w:eastAsia="Calibri" w:hAnsi="Times New Roman" w:cs="Times New Roman"/>
            <w:bCs/>
            <w:color w:val="auto"/>
            <w:sz w:val="28"/>
            <w:szCs w:val="28"/>
            <w:lang w:val="uk-UA"/>
          </w:rPr>
          <w:t>https://doi.org/10.55643/fcaptp.3.44.2022.3596</w:t>
        </w:r>
      </w:hyperlink>
    </w:p>
    <w:p w14:paraId="09B8539B" w14:textId="232166FD" w:rsidR="00A55004" w:rsidRPr="005F0419" w:rsidRDefault="00A55004" w:rsidP="00877ECC">
      <w:pPr>
        <w:widowControl w:val="0"/>
        <w:tabs>
          <w:tab w:val="left" w:pos="0"/>
        </w:tabs>
        <w:autoSpaceDE w:val="0"/>
        <w:autoSpaceDN w:val="0"/>
        <w:adjustRightInd w:val="0"/>
        <w:spacing w:after="0" w:line="360" w:lineRule="auto"/>
        <w:ind w:firstLine="720"/>
        <w:jc w:val="both"/>
        <w:rPr>
          <w:rStyle w:val="a6"/>
          <w:rFonts w:ascii="Times New Roman" w:eastAsia="Calibri" w:hAnsi="Times New Roman" w:cs="Times New Roman"/>
          <w:bCs/>
          <w:color w:val="auto"/>
          <w:sz w:val="28"/>
          <w:szCs w:val="28"/>
          <w:lang w:val="uk-UA"/>
        </w:rPr>
      </w:pPr>
      <w:r w:rsidRPr="005F0419">
        <w:rPr>
          <w:rFonts w:ascii="Times New Roman" w:eastAsia="Calibri" w:hAnsi="Times New Roman" w:cs="Times New Roman"/>
          <w:bCs/>
          <w:sz w:val="28"/>
          <w:szCs w:val="28"/>
          <w:lang w:val="uk-UA"/>
        </w:rPr>
        <w:t xml:space="preserve">41. </w:t>
      </w:r>
      <w:proofErr w:type="spellStart"/>
      <w:r w:rsidRPr="005F0419">
        <w:rPr>
          <w:rFonts w:ascii="Times New Roman" w:eastAsia="Calibri" w:hAnsi="Times New Roman" w:cs="Times New Roman"/>
          <w:bCs/>
          <w:sz w:val="28"/>
          <w:szCs w:val="28"/>
          <w:lang w:val="uk-UA"/>
        </w:rPr>
        <w:t>Гузар</w:t>
      </w:r>
      <w:proofErr w:type="spellEnd"/>
      <w:r w:rsidRPr="005F0419">
        <w:rPr>
          <w:rFonts w:ascii="Times New Roman" w:eastAsia="Calibri" w:hAnsi="Times New Roman" w:cs="Times New Roman"/>
          <w:bCs/>
          <w:sz w:val="28"/>
          <w:szCs w:val="28"/>
          <w:lang w:val="uk-UA"/>
        </w:rPr>
        <w:t xml:space="preserve">, У., Голод, А., Паска, М., </w:t>
      </w:r>
      <w:proofErr w:type="spellStart"/>
      <w:r w:rsidRPr="005F0419">
        <w:rPr>
          <w:rFonts w:ascii="Times New Roman" w:eastAsia="Calibri" w:hAnsi="Times New Roman" w:cs="Times New Roman"/>
          <w:bCs/>
          <w:sz w:val="28"/>
          <w:szCs w:val="28"/>
          <w:lang w:val="uk-UA"/>
        </w:rPr>
        <w:t>Феленчак</w:t>
      </w:r>
      <w:proofErr w:type="spellEnd"/>
      <w:r w:rsidRPr="005F0419">
        <w:rPr>
          <w:rFonts w:ascii="Times New Roman" w:eastAsia="Calibri" w:hAnsi="Times New Roman" w:cs="Times New Roman"/>
          <w:bCs/>
          <w:sz w:val="28"/>
          <w:szCs w:val="28"/>
          <w:lang w:val="uk-UA"/>
        </w:rPr>
        <w:t>, Ю., Стахів, І. Проблеми формування іміджу підприємств індустрії гостинності в умовах пандемії. Фінансово-кредитна діяльність: проблеми теорії та практики</w:t>
      </w:r>
      <w:r w:rsidR="002279C5" w:rsidRPr="005F0419">
        <w:rPr>
          <w:rFonts w:ascii="Times New Roman" w:eastAsia="Calibri" w:hAnsi="Times New Roman" w:cs="Times New Roman"/>
          <w:bCs/>
          <w:sz w:val="28"/>
          <w:szCs w:val="28"/>
          <w:lang w:val="uk-UA"/>
        </w:rPr>
        <w:t>. 2021.</w:t>
      </w:r>
      <w:r w:rsidRPr="005F0419">
        <w:rPr>
          <w:rFonts w:ascii="Times New Roman" w:eastAsia="Calibri" w:hAnsi="Times New Roman" w:cs="Times New Roman"/>
          <w:bCs/>
          <w:sz w:val="28"/>
          <w:szCs w:val="28"/>
          <w:lang w:val="uk-UA"/>
        </w:rPr>
        <w:t xml:space="preserve"> 3(38)</w:t>
      </w:r>
      <w:r w:rsidR="002279C5" w:rsidRPr="005F0419">
        <w:rPr>
          <w:rFonts w:ascii="Times New Roman" w:eastAsia="Calibri" w:hAnsi="Times New Roman" w:cs="Times New Roman"/>
          <w:bCs/>
          <w:sz w:val="28"/>
          <w:szCs w:val="28"/>
          <w:lang w:val="uk-UA"/>
        </w:rPr>
        <w:t>. С.</w:t>
      </w:r>
      <w:r w:rsidRPr="005F0419">
        <w:rPr>
          <w:rFonts w:ascii="Times New Roman" w:eastAsia="Calibri" w:hAnsi="Times New Roman" w:cs="Times New Roman"/>
          <w:bCs/>
          <w:sz w:val="28"/>
          <w:szCs w:val="28"/>
          <w:lang w:val="uk-UA"/>
        </w:rPr>
        <w:t xml:space="preserve"> 447–455.</w:t>
      </w:r>
      <w:r w:rsidR="002279C5" w:rsidRPr="005F0419">
        <w:rPr>
          <w:rFonts w:ascii="Times New Roman" w:eastAsia="Calibri" w:hAnsi="Times New Roman" w:cs="Times New Roman"/>
          <w:bCs/>
          <w:sz w:val="28"/>
          <w:szCs w:val="28"/>
          <w:lang w:val="uk-UA"/>
        </w:rPr>
        <w:t xml:space="preserve"> </w:t>
      </w:r>
      <w:r w:rsidRPr="005F0419">
        <w:rPr>
          <w:rFonts w:ascii="Times New Roman" w:eastAsia="Calibri" w:hAnsi="Times New Roman" w:cs="Times New Roman"/>
          <w:bCs/>
          <w:sz w:val="28"/>
          <w:szCs w:val="28"/>
          <w:lang w:val="uk-UA"/>
        </w:rPr>
        <w:t xml:space="preserve"> </w:t>
      </w:r>
      <w:r w:rsidR="002279C5" w:rsidRPr="005F0419">
        <w:rPr>
          <w:rFonts w:ascii="Times New Roman" w:eastAsia="Calibri" w:hAnsi="Times New Roman" w:cs="Times New Roman"/>
          <w:bCs/>
          <w:sz w:val="28"/>
          <w:szCs w:val="28"/>
          <w:lang w:val="uk-UA"/>
        </w:rPr>
        <w:t xml:space="preserve">DOI: </w:t>
      </w:r>
      <w:hyperlink r:id="rId256" w:history="1">
        <w:r w:rsidR="002279C5" w:rsidRPr="005F0419">
          <w:rPr>
            <w:rStyle w:val="a6"/>
            <w:rFonts w:ascii="Times New Roman" w:eastAsia="Calibri" w:hAnsi="Times New Roman" w:cs="Times New Roman"/>
            <w:bCs/>
            <w:color w:val="auto"/>
            <w:sz w:val="28"/>
            <w:szCs w:val="28"/>
            <w:lang w:val="uk-UA"/>
          </w:rPr>
          <w:t>https://doi.org/10.18371/fcaptp.v3i38.237477</w:t>
        </w:r>
      </w:hyperlink>
    </w:p>
    <w:p w14:paraId="79681E9D" w14:textId="2A6B69CB" w:rsidR="000F5283" w:rsidRPr="005F0419" w:rsidRDefault="000F5283" w:rsidP="00877ECC">
      <w:pPr>
        <w:widowControl w:val="0"/>
        <w:tabs>
          <w:tab w:val="left" w:pos="0"/>
        </w:tabs>
        <w:autoSpaceDE w:val="0"/>
        <w:autoSpaceDN w:val="0"/>
        <w:adjustRightInd w:val="0"/>
        <w:spacing w:after="0" w:line="360" w:lineRule="auto"/>
        <w:ind w:firstLine="720"/>
        <w:jc w:val="both"/>
        <w:rPr>
          <w:rStyle w:val="a6"/>
          <w:rFonts w:ascii="Times New Roman" w:eastAsia="Calibri" w:hAnsi="Times New Roman" w:cs="Times New Roman"/>
          <w:bCs/>
          <w:color w:val="auto"/>
          <w:sz w:val="28"/>
          <w:szCs w:val="28"/>
          <w:lang w:val="uk-UA"/>
        </w:rPr>
      </w:pPr>
    </w:p>
    <w:p w14:paraId="54B233AB" w14:textId="4B81A5BA" w:rsidR="000F5283" w:rsidRPr="005F0419" w:rsidRDefault="000F5283" w:rsidP="000F5283">
      <w:pPr>
        <w:widowControl w:val="0"/>
        <w:autoSpaceDE w:val="0"/>
        <w:autoSpaceDN w:val="0"/>
        <w:adjustRightInd w:val="0"/>
        <w:spacing w:after="0" w:line="360" w:lineRule="auto"/>
        <w:ind w:firstLine="720"/>
        <w:jc w:val="both"/>
        <w:rPr>
          <w:rFonts w:ascii="Times New Roman" w:hAnsi="Times New Roman" w:cs="Times New Roman"/>
          <w:i/>
          <w:iCs/>
          <w:sz w:val="28"/>
          <w:szCs w:val="28"/>
          <w:lang w:val="uk-UA"/>
        </w:rPr>
      </w:pPr>
      <w:r w:rsidRPr="005F0419">
        <w:rPr>
          <w:rFonts w:ascii="Times New Roman" w:hAnsi="Times New Roman" w:cs="Times New Roman"/>
          <w:b/>
          <w:bCs/>
          <w:i/>
          <w:iCs/>
          <w:sz w:val="28"/>
          <w:szCs w:val="28"/>
          <w:lang w:val="uk-UA"/>
        </w:rPr>
        <w:t xml:space="preserve">Ключові слова: </w:t>
      </w:r>
      <w:r w:rsidRPr="005F0419">
        <w:rPr>
          <w:rFonts w:ascii="Times New Roman" w:hAnsi="Times New Roman" w:cs="Times New Roman"/>
          <w:i/>
          <w:iCs/>
          <w:sz w:val="28"/>
          <w:szCs w:val="28"/>
          <w:lang w:val="uk-UA"/>
        </w:rPr>
        <w:t>індустрія гостинності, персонал, управління, персонал.</w:t>
      </w:r>
    </w:p>
    <w:p w14:paraId="75C654DA" w14:textId="77777777" w:rsidR="000F5283" w:rsidRPr="005F0419" w:rsidRDefault="000F5283"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p>
    <w:p w14:paraId="7F6C20FE" w14:textId="77777777" w:rsidR="00A55004" w:rsidRPr="005F0419" w:rsidRDefault="00A55004"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p>
    <w:p w14:paraId="723ABF9C" w14:textId="77777777" w:rsidR="00A55004" w:rsidRPr="005F0419" w:rsidRDefault="00A55004"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p>
    <w:p w14:paraId="52D5AFF1" w14:textId="77777777" w:rsidR="00A55004" w:rsidRPr="005F0419" w:rsidRDefault="00A55004"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p>
    <w:p w14:paraId="6ACB9C85" w14:textId="77777777" w:rsidR="00A55004" w:rsidRPr="005F0419" w:rsidRDefault="00A55004" w:rsidP="00877ECC">
      <w:pPr>
        <w:widowControl w:val="0"/>
        <w:tabs>
          <w:tab w:val="left" w:pos="0"/>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p>
    <w:p w14:paraId="204090B5" w14:textId="77777777"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p>
    <w:p w14:paraId="67FC22EE" w14:textId="77777777"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p>
    <w:p w14:paraId="4ED4E09F" w14:textId="77777777"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p>
    <w:p w14:paraId="57BA1DA2" w14:textId="77777777" w:rsidR="00A55004" w:rsidRPr="005F0419" w:rsidRDefault="00A55004" w:rsidP="00877ECC">
      <w:pPr>
        <w:widowControl w:val="0"/>
        <w:tabs>
          <w:tab w:val="left" w:pos="0"/>
          <w:tab w:val="left" w:pos="993"/>
        </w:tabs>
        <w:autoSpaceDE w:val="0"/>
        <w:autoSpaceDN w:val="0"/>
        <w:adjustRightInd w:val="0"/>
        <w:spacing w:after="0" w:line="360" w:lineRule="auto"/>
        <w:ind w:firstLine="720"/>
        <w:jc w:val="both"/>
        <w:rPr>
          <w:rFonts w:ascii="Times New Roman" w:eastAsia="Calibri" w:hAnsi="Times New Roman" w:cs="Times New Roman"/>
          <w:bCs/>
          <w:sz w:val="28"/>
          <w:szCs w:val="28"/>
          <w:lang w:val="uk-UA"/>
        </w:rPr>
      </w:pPr>
    </w:p>
    <w:p w14:paraId="4DD31281" w14:textId="77777777" w:rsidR="00A55004" w:rsidRPr="005F0419" w:rsidRDefault="00A55004" w:rsidP="000F5283">
      <w:pPr>
        <w:pageBreakBefore/>
        <w:widowControl w:val="0"/>
        <w:spacing w:after="0" w:line="360" w:lineRule="auto"/>
        <w:ind w:firstLine="720"/>
        <w:jc w:val="right"/>
        <w:rPr>
          <w:rFonts w:ascii="Times New Roman" w:hAnsi="Times New Roman" w:cs="Times New Roman"/>
          <w:i/>
          <w:sz w:val="28"/>
          <w:szCs w:val="28"/>
          <w:lang w:val="uk-UA"/>
        </w:rPr>
      </w:pPr>
      <w:r w:rsidRPr="005F0419">
        <w:rPr>
          <w:rFonts w:ascii="Times New Roman" w:hAnsi="Times New Roman" w:cs="Times New Roman"/>
          <w:i/>
          <w:sz w:val="28"/>
          <w:szCs w:val="28"/>
          <w:lang w:val="uk-UA"/>
        </w:rPr>
        <w:lastRenderedPageBreak/>
        <w:t>Додаток А</w:t>
      </w:r>
    </w:p>
    <w:p w14:paraId="3579B8DA" w14:textId="77777777" w:rsidR="00A55004" w:rsidRPr="005F0419" w:rsidRDefault="00A55004" w:rsidP="000F5283">
      <w:pPr>
        <w:spacing w:after="0" w:line="360" w:lineRule="auto"/>
        <w:ind w:firstLine="720"/>
        <w:jc w:val="center"/>
        <w:rPr>
          <w:rFonts w:ascii="Times New Roman" w:hAnsi="Times New Roman" w:cs="Times New Roman"/>
          <w:b/>
          <w:sz w:val="28"/>
          <w:szCs w:val="28"/>
          <w:lang w:val="uk-UA"/>
        </w:rPr>
      </w:pPr>
      <w:r w:rsidRPr="005F0419">
        <w:rPr>
          <w:rFonts w:ascii="Times New Roman" w:hAnsi="Times New Roman" w:cs="Times New Roman"/>
          <w:b/>
          <w:sz w:val="28"/>
          <w:szCs w:val="28"/>
          <w:lang w:val="uk-UA"/>
        </w:rPr>
        <w:t>Анкета дослідження</w:t>
      </w:r>
    </w:p>
    <w:p w14:paraId="19B562CE"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ВІТАЄМО! Науковці кафедри «</w:t>
      </w:r>
      <w:proofErr w:type="spellStart"/>
      <w:r w:rsidRPr="005F0419">
        <w:rPr>
          <w:rFonts w:ascii="Times New Roman" w:hAnsi="Times New Roman" w:cs="Times New Roman"/>
          <w:sz w:val="28"/>
          <w:szCs w:val="28"/>
          <w:lang w:val="uk-UA"/>
        </w:rPr>
        <w:t>Готельно</w:t>
      </w:r>
      <w:proofErr w:type="spellEnd"/>
      <w:r w:rsidRPr="005F0419">
        <w:rPr>
          <w:rFonts w:ascii="Times New Roman" w:hAnsi="Times New Roman" w:cs="Times New Roman"/>
          <w:sz w:val="28"/>
          <w:szCs w:val="28"/>
          <w:lang w:val="uk-UA"/>
        </w:rPr>
        <w:t xml:space="preserve">-ресторанного бізнесу» Львівського державного університету фізичної культури імені Івана </w:t>
      </w:r>
      <w:proofErr w:type="spellStart"/>
      <w:r w:rsidRPr="005F0419">
        <w:rPr>
          <w:rFonts w:ascii="Times New Roman" w:hAnsi="Times New Roman" w:cs="Times New Roman"/>
          <w:sz w:val="28"/>
          <w:szCs w:val="28"/>
          <w:lang w:val="uk-UA"/>
        </w:rPr>
        <w:t>Боберського</w:t>
      </w:r>
      <w:proofErr w:type="spellEnd"/>
      <w:r w:rsidRPr="005F0419">
        <w:rPr>
          <w:rFonts w:ascii="Times New Roman" w:hAnsi="Times New Roman" w:cs="Times New Roman"/>
          <w:sz w:val="28"/>
          <w:szCs w:val="28"/>
          <w:lang w:val="uk-UA"/>
        </w:rPr>
        <w:t xml:space="preserve"> запрошують Вас взяти участь в анонімному анкетуванні </w:t>
      </w:r>
      <w:r w:rsidRPr="005F0419">
        <w:rPr>
          <w:rFonts w:ascii="Times New Roman" w:hAnsi="Times New Roman" w:cs="Times New Roman"/>
          <w:i/>
          <w:sz w:val="28"/>
          <w:szCs w:val="28"/>
          <w:lang w:val="uk-UA"/>
        </w:rPr>
        <w:t>метою якого є проаналізувати процес управління розвитком персоналу у Вашому закладі.</w:t>
      </w:r>
      <w:r w:rsidRPr="005F0419">
        <w:rPr>
          <w:rFonts w:ascii="Times New Roman" w:hAnsi="Times New Roman" w:cs="Times New Roman"/>
          <w:sz w:val="28"/>
          <w:szCs w:val="28"/>
          <w:lang w:val="uk-UA"/>
        </w:rPr>
        <w:t xml:space="preserve"> Результати дослідження будуть використані для удосконалення стратегії управління розвитком персоналу у закладах індустрії гостинності. </w:t>
      </w:r>
    </w:p>
    <w:p w14:paraId="5E9C49FB"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Наперед вдячні за щирі відповіді!</w:t>
      </w:r>
    </w:p>
    <w:p w14:paraId="2CCF1786"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p>
    <w:p w14:paraId="1FC63464"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1. Який досвід роботи у закладі, в якому Ви працюєте:</w:t>
      </w:r>
    </w:p>
    <w:p w14:paraId="11D4A976"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менше 1 року;</w:t>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t>Б) 1 – 3 роки;</w:t>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t>В) більше 3 років;</w:t>
      </w:r>
    </w:p>
    <w:p w14:paraId="2675D222"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Г) Ваш варіант____________</w:t>
      </w:r>
    </w:p>
    <w:p w14:paraId="76BD9938"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 xml:space="preserve">2. Виберіть, будь ласка, джерела отримання інформації в процесі Вашої діяльності: </w:t>
      </w:r>
    </w:p>
    <w:p w14:paraId="62ABFD84"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звертаюся до старшого за посадою;</w:t>
      </w:r>
    </w:p>
    <w:p w14:paraId="7B299AAC"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 телефоную другу-менеджеру з іншого ресторану;</w:t>
      </w:r>
    </w:p>
    <w:p w14:paraId="061FC401"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читаю стандарти роботи закладу;</w:t>
      </w:r>
    </w:p>
    <w:p w14:paraId="0BAF163C"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Г) використовую інтернет;</w:t>
      </w:r>
    </w:p>
    <w:p w14:paraId="56F4B44B"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 читаю спеціалізовану літературу;</w:t>
      </w:r>
    </w:p>
    <w:p w14:paraId="04B57971"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Е) Ваш варіант _______________.</w:t>
      </w:r>
    </w:p>
    <w:p w14:paraId="4D8E558D"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3. Хто, на Вашу думку, повинен навчати персонал навичок роботи з гостями:</w:t>
      </w:r>
    </w:p>
    <w:p w14:paraId="6874EE91"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менеджер ресторану;</w:t>
      </w:r>
    </w:p>
    <w:p w14:paraId="68F1238A"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 наставник / старший офіціант;</w:t>
      </w:r>
    </w:p>
    <w:p w14:paraId="05ED506F"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менеджер з персоналу;</w:t>
      </w:r>
    </w:p>
    <w:p w14:paraId="7C3369FE"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Г) зовнішній тренер.</w:t>
      </w:r>
    </w:p>
    <w:p w14:paraId="5B7633E7"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4. За допомогою яких ресурсів Ви займаєтеся самоосвітою (можна обрати декілька варіантів):</w:t>
      </w:r>
    </w:p>
    <w:p w14:paraId="60B1FDDB"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читаю цікаву інформацію в інтернеті;</w:t>
      </w:r>
    </w:p>
    <w:p w14:paraId="2764ABB4"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Б) читаю книги;</w:t>
      </w:r>
    </w:p>
    <w:p w14:paraId="5C1BD681"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 беру участь у </w:t>
      </w:r>
      <w:proofErr w:type="spellStart"/>
      <w:r w:rsidRPr="005F0419">
        <w:rPr>
          <w:rFonts w:ascii="Times New Roman" w:hAnsi="Times New Roman" w:cs="Times New Roman"/>
          <w:sz w:val="28"/>
          <w:szCs w:val="28"/>
          <w:lang w:val="uk-UA"/>
        </w:rPr>
        <w:t>вебінарах</w:t>
      </w:r>
      <w:proofErr w:type="spellEnd"/>
      <w:r w:rsidRPr="005F0419">
        <w:rPr>
          <w:rFonts w:ascii="Times New Roman" w:hAnsi="Times New Roman" w:cs="Times New Roman"/>
          <w:sz w:val="28"/>
          <w:szCs w:val="28"/>
          <w:lang w:val="uk-UA"/>
        </w:rPr>
        <w:t>;</w:t>
      </w:r>
    </w:p>
    <w:p w14:paraId="330102F5"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Г) слухаю онлайн-лекції;</w:t>
      </w:r>
    </w:p>
    <w:p w14:paraId="48DB40A7"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 відвідую майстер-класи, тренінги</w:t>
      </w:r>
    </w:p>
    <w:p w14:paraId="1E4C23BB"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Е) не займаюся самоосвітою;</w:t>
      </w:r>
    </w:p>
    <w:p w14:paraId="6A038756"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Є) Ваш варіант______________</w:t>
      </w:r>
    </w:p>
    <w:p w14:paraId="246BD63F"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5. Які методи підвищення кваліфікації застосовують у Вашому закладі:</w:t>
      </w:r>
    </w:p>
    <w:p w14:paraId="5806E6DB"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внутрішні – на робочому місці;</w:t>
      </w:r>
    </w:p>
    <w:p w14:paraId="1BD353B3"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 зовнішні – в навчальних закладах, спеціалізованих центрах;</w:t>
      </w:r>
    </w:p>
    <w:p w14:paraId="153EC256"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внутрішні і зовнішні.</w:t>
      </w:r>
    </w:p>
    <w:p w14:paraId="23B21B96" w14:textId="77777777" w:rsidR="00A55004" w:rsidRPr="005F0419" w:rsidRDefault="00A55004" w:rsidP="00877ECC">
      <w:pPr>
        <w:spacing w:after="0" w:line="360" w:lineRule="auto"/>
        <w:ind w:firstLine="720"/>
        <w:jc w:val="both"/>
        <w:rPr>
          <w:rFonts w:ascii="Times New Roman" w:hAnsi="Times New Roman" w:cs="Times New Roman"/>
          <w:b/>
          <w:bCs/>
          <w:sz w:val="28"/>
          <w:szCs w:val="28"/>
          <w:lang w:val="uk-UA"/>
        </w:rPr>
      </w:pPr>
      <w:r w:rsidRPr="005F0419">
        <w:rPr>
          <w:rFonts w:ascii="Times New Roman" w:hAnsi="Times New Roman" w:cs="Times New Roman"/>
          <w:b/>
          <w:bCs/>
          <w:sz w:val="28"/>
          <w:szCs w:val="28"/>
          <w:lang w:val="uk-UA"/>
        </w:rPr>
        <w:t>6. Оцініть, будь ласка, ступінь важливості методів мотивації праці</w:t>
      </w:r>
      <w:r w:rsidRPr="005F0419">
        <w:rPr>
          <w:rFonts w:ascii="Times New Roman" w:eastAsia="Times New Roman" w:hAnsi="Times New Roman" w:cs="Times New Roman"/>
          <w:sz w:val="28"/>
          <w:szCs w:val="28"/>
          <w:lang w:val="uk-UA" w:eastAsia="uk-UA"/>
        </w:rPr>
        <w:t xml:space="preserve"> </w:t>
      </w:r>
      <w:r w:rsidRPr="005F0419">
        <w:rPr>
          <w:rFonts w:ascii="Times New Roman" w:hAnsi="Times New Roman" w:cs="Times New Roman"/>
          <w:b/>
          <w:bCs/>
          <w:sz w:val="28"/>
          <w:szCs w:val="28"/>
          <w:lang w:val="uk-UA"/>
        </w:rPr>
        <w:t>( 1 – найнижчий показник, 10 – найвищий).</w:t>
      </w:r>
    </w:p>
    <w:tbl>
      <w:tblPr>
        <w:tblStyle w:val="23"/>
        <w:tblW w:w="0" w:type="auto"/>
        <w:tblInd w:w="959" w:type="dxa"/>
        <w:tblLook w:val="04A0" w:firstRow="1" w:lastRow="0" w:firstColumn="1" w:lastColumn="0" w:noHBand="0" w:noVBand="1"/>
      </w:tblPr>
      <w:tblGrid>
        <w:gridCol w:w="4848"/>
        <w:gridCol w:w="3515"/>
      </w:tblGrid>
      <w:tr w:rsidR="00A55004" w:rsidRPr="005F0419" w14:paraId="6B98BC98" w14:textId="77777777" w:rsidTr="000F5283">
        <w:tc>
          <w:tcPr>
            <w:tcW w:w="4848" w:type="dxa"/>
          </w:tcPr>
          <w:p w14:paraId="02D901C4" w14:textId="77777777" w:rsidR="00A55004" w:rsidRPr="005F0419" w:rsidRDefault="00A55004" w:rsidP="000F5283">
            <w:pPr>
              <w:spacing w:after="0" w:line="360" w:lineRule="auto"/>
              <w:jc w:val="center"/>
              <w:rPr>
                <w:rFonts w:cs="Times New Roman"/>
                <w:b/>
                <w:bCs/>
                <w:i/>
                <w:szCs w:val="28"/>
                <w:lang w:val="uk-UA"/>
              </w:rPr>
            </w:pPr>
            <w:r w:rsidRPr="005F0419">
              <w:rPr>
                <w:rFonts w:cs="Times New Roman"/>
                <w:b/>
                <w:bCs/>
                <w:i/>
                <w:szCs w:val="28"/>
                <w:lang w:val="uk-UA"/>
              </w:rPr>
              <w:t>Метод</w:t>
            </w:r>
          </w:p>
        </w:tc>
        <w:tc>
          <w:tcPr>
            <w:tcW w:w="3515" w:type="dxa"/>
          </w:tcPr>
          <w:p w14:paraId="5A257F7D" w14:textId="77777777" w:rsidR="00A55004" w:rsidRPr="005F0419" w:rsidRDefault="00A55004" w:rsidP="000F5283">
            <w:pPr>
              <w:spacing w:after="0" w:line="360" w:lineRule="auto"/>
              <w:jc w:val="center"/>
              <w:rPr>
                <w:rFonts w:cs="Times New Roman"/>
                <w:b/>
                <w:bCs/>
                <w:i/>
                <w:szCs w:val="28"/>
                <w:lang w:val="uk-UA"/>
              </w:rPr>
            </w:pPr>
            <w:r w:rsidRPr="005F0419">
              <w:rPr>
                <w:rFonts w:cs="Times New Roman"/>
                <w:b/>
                <w:bCs/>
                <w:i/>
                <w:szCs w:val="28"/>
                <w:lang w:val="uk-UA"/>
              </w:rPr>
              <w:t>Ступінь важливості методу для Вас</w:t>
            </w:r>
          </w:p>
        </w:tc>
      </w:tr>
      <w:tr w:rsidR="00A55004" w:rsidRPr="005F0419" w14:paraId="1A98DCEB" w14:textId="77777777" w:rsidTr="000F5283">
        <w:tc>
          <w:tcPr>
            <w:tcW w:w="4848" w:type="dxa"/>
          </w:tcPr>
          <w:p w14:paraId="5D88106C" w14:textId="77777777" w:rsidR="00A55004" w:rsidRPr="005F0419" w:rsidRDefault="00A55004" w:rsidP="000F5283">
            <w:pPr>
              <w:spacing w:after="0" w:line="360" w:lineRule="auto"/>
              <w:jc w:val="both"/>
              <w:rPr>
                <w:rFonts w:cs="Times New Roman"/>
                <w:bCs/>
                <w:szCs w:val="28"/>
                <w:lang w:val="uk-UA"/>
              </w:rPr>
            </w:pPr>
            <w:r w:rsidRPr="005F0419">
              <w:rPr>
                <w:rFonts w:cs="Times New Roman"/>
                <w:bCs/>
                <w:szCs w:val="28"/>
                <w:lang w:val="uk-UA"/>
              </w:rPr>
              <w:t>Заробітна плата</w:t>
            </w:r>
          </w:p>
        </w:tc>
        <w:tc>
          <w:tcPr>
            <w:tcW w:w="3515" w:type="dxa"/>
          </w:tcPr>
          <w:p w14:paraId="47EAED27" w14:textId="77777777" w:rsidR="00A55004" w:rsidRPr="005F0419" w:rsidRDefault="00A55004" w:rsidP="000F5283">
            <w:pPr>
              <w:spacing w:after="0" w:line="360" w:lineRule="auto"/>
              <w:jc w:val="both"/>
              <w:rPr>
                <w:rFonts w:cs="Times New Roman"/>
                <w:bCs/>
                <w:szCs w:val="28"/>
                <w:lang w:val="uk-UA"/>
              </w:rPr>
            </w:pPr>
          </w:p>
        </w:tc>
      </w:tr>
      <w:tr w:rsidR="00A55004" w:rsidRPr="005F0419" w14:paraId="38A7A31A" w14:textId="77777777" w:rsidTr="000F5283">
        <w:tc>
          <w:tcPr>
            <w:tcW w:w="4848" w:type="dxa"/>
          </w:tcPr>
          <w:p w14:paraId="755FDE7D" w14:textId="77777777" w:rsidR="00A55004" w:rsidRPr="005F0419" w:rsidRDefault="00A55004" w:rsidP="000F5283">
            <w:pPr>
              <w:spacing w:after="0" w:line="360" w:lineRule="auto"/>
              <w:jc w:val="both"/>
              <w:rPr>
                <w:rFonts w:cs="Times New Roman"/>
                <w:bCs/>
                <w:szCs w:val="28"/>
                <w:lang w:val="uk-UA"/>
              </w:rPr>
            </w:pPr>
            <w:r w:rsidRPr="005F0419">
              <w:rPr>
                <w:rFonts w:cs="Times New Roman"/>
                <w:bCs/>
                <w:szCs w:val="28"/>
                <w:lang w:val="uk-UA"/>
              </w:rPr>
              <w:t>Премії</w:t>
            </w:r>
          </w:p>
        </w:tc>
        <w:tc>
          <w:tcPr>
            <w:tcW w:w="3515" w:type="dxa"/>
          </w:tcPr>
          <w:p w14:paraId="79E7474F" w14:textId="77777777" w:rsidR="00A55004" w:rsidRPr="005F0419" w:rsidRDefault="00A55004" w:rsidP="000F5283">
            <w:pPr>
              <w:spacing w:after="0" w:line="360" w:lineRule="auto"/>
              <w:jc w:val="both"/>
              <w:rPr>
                <w:rFonts w:cs="Times New Roman"/>
                <w:bCs/>
                <w:szCs w:val="28"/>
                <w:lang w:val="uk-UA"/>
              </w:rPr>
            </w:pPr>
          </w:p>
        </w:tc>
      </w:tr>
      <w:tr w:rsidR="00A55004" w:rsidRPr="005F0419" w14:paraId="50604A3F" w14:textId="77777777" w:rsidTr="000F5283">
        <w:tc>
          <w:tcPr>
            <w:tcW w:w="4848" w:type="dxa"/>
          </w:tcPr>
          <w:p w14:paraId="1228EA99" w14:textId="77777777" w:rsidR="00A55004" w:rsidRPr="005F0419" w:rsidRDefault="00A55004" w:rsidP="000F5283">
            <w:pPr>
              <w:spacing w:after="0" w:line="360" w:lineRule="auto"/>
              <w:jc w:val="both"/>
              <w:rPr>
                <w:rFonts w:cs="Times New Roman"/>
                <w:bCs/>
                <w:szCs w:val="28"/>
                <w:lang w:val="uk-UA"/>
              </w:rPr>
            </w:pPr>
            <w:r w:rsidRPr="005F0419">
              <w:rPr>
                <w:rFonts w:cs="Times New Roman"/>
                <w:bCs/>
                <w:szCs w:val="28"/>
                <w:lang w:val="uk-UA"/>
              </w:rPr>
              <w:t>Пільги</w:t>
            </w:r>
          </w:p>
        </w:tc>
        <w:tc>
          <w:tcPr>
            <w:tcW w:w="3515" w:type="dxa"/>
          </w:tcPr>
          <w:p w14:paraId="46BCB45E" w14:textId="77777777" w:rsidR="00A55004" w:rsidRPr="005F0419" w:rsidRDefault="00A55004" w:rsidP="000F5283">
            <w:pPr>
              <w:spacing w:after="0" w:line="360" w:lineRule="auto"/>
              <w:jc w:val="both"/>
              <w:rPr>
                <w:rFonts w:cs="Times New Roman"/>
                <w:bCs/>
                <w:szCs w:val="28"/>
                <w:lang w:val="uk-UA"/>
              </w:rPr>
            </w:pPr>
          </w:p>
        </w:tc>
      </w:tr>
      <w:tr w:rsidR="00A55004" w:rsidRPr="005F0419" w14:paraId="1272CD2F" w14:textId="77777777" w:rsidTr="000F5283">
        <w:tc>
          <w:tcPr>
            <w:tcW w:w="4848" w:type="dxa"/>
          </w:tcPr>
          <w:p w14:paraId="190D3366" w14:textId="77777777" w:rsidR="00A55004" w:rsidRPr="005F0419" w:rsidRDefault="00A55004" w:rsidP="000F5283">
            <w:pPr>
              <w:spacing w:after="0" w:line="360" w:lineRule="auto"/>
              <w:jc w:val="both"/>
              <w:rPr>
                <w:rFonts w:cs="Times New Roman"/>
                <w:bCs/>
                <w:szCs w:val="28"/>
                <w:lang w:val="uk-UA"/>
              </w:rPr>
            </w:pPr>
            <w:r w:rsidRPr="005F0419">
              <w:rPr>
                <w:rFonts w:cs="Times New Roman"/>
                <w:bCs/>
                <w:szCs w:val="28"/>
                <w:lang w:val="uk-UA"/>
              </w:rPr>
              <w:t>Похвала перед колективом</w:t>
            </w:r>
          </w:p>
        </w:tc>
        <w:tc>
          <w:tcPr>
            <w:tcW w:w="3515" w:type="dxa"/>
          </w:tcPr>
          <w:p w14:paraId="2A7981BC" w14:textId="77777777" w:rsidR="00A55004" w:rsidRPr="005F0419" w:rsidRDefault="00A55004" w:rsidP="000F5283">
            <w:pPr>
              <w:spacing w:after="0" w:line="360" w:lineRule="auto"/>
              <w:jc w:val="both"/>
              <w:rPr>
                <w:rFonts w:cs="Times New Roman"/>
                <w:bCs/>
                <w:szCs w:val="28"/>
                <w:lang w:val="uk-UA"/>
              </w:rPr>
            </w:pPr>
          </w:p>
        </w:tc>
      </w:tr>
      <w:tr w:rsidR="00A55004" w:rsidRPr="005F0419" w14:paraId="076037E0" w14:textId="77777777" w:rsidTr="000F5283">
        <w:tc>
          <w:tcPr>
            <w:tcW w:w="4848" w:type="dxa"/>
          </w:tcPr>
          <w:p w14:paraId="59364D47" w14:textId="77777777" w:rsidR="00A55004" w:rsidRPr="005F0419" w:rsidRDefault="00A55004" w:rsidP="000F5283">
            <w:pPr>
              <w:spacing w:after="0" w:line="360" w:lineRule="auto"/>
              <w:jc w:val="both"/>
              <w:rPr>
                <w:rFonts w:cs="Times New Roman"/>
                <w:bCs/>
                <w:szCs w:val="28"/>
                <w:lang w:val="uk-UA"/>
              </w:rPr>
            </w:pPr>
            <w:r w:rsidRPr="005F0419">
              <w:rPr>
                <w:rFonts w:cs="Times New Roman"/>
                <w:bCs/>
                <w:szCs w:val="28"/>
                <w:lang w:val="uk-UA"/>
              </w:rPr>
              <w:t>Можливість кар’єрного росту</w:t>
            </w:r>
          </w:p>
        </w:tc>
        <w:tc>
          <w:tcPr>
            <w:tcW w:w="3515" w:type="dxa"/>
          </w:tcPr>
          <w:p w14:paraId="133F8865" w14:textId="77777777" w:rsidR="00A55004" w:rsidRPr="005F0419" w:rsidRDefault="00A55004" w:rsidP="000F5283">
            <w:pPr>
              <w:spacing w:after="0" w:line="360" w:lineRule="auto"/>
              <w:jc w:val="both"/>
              <w:rPr>
                <w:rFonts w:cs="Times New Roman"/>
                <w:bCs/>
                <w:szCs w:val="28"/>
                <w:lang w:val="uk-UA"/>
              </w:rPr>
            </w:pPr>
          </w:p>
        </w:tc>
      </w:tr>
      <w:tr w:rsidR="00A55004" w:rsidRPr="005F0419" w14:paraId="5806B968" w14:textId="77777777" w:rsidTr="000F5283">
        <w:tc>
          <w:tcPr>
            <w:tcW w:w="4848" w:type="dxa"/>
          </w:tcPr>
          <w:p w14:paraId="114C5429" w14:textId="77777777" w:rsidR="00A55004" w:rsidRPr="005F0419" w:rsidRDefault="00A55004" w:rsidP="000F5283">
            <w:pPr>
              <w:spacing w:after="0" w:line="360" w:lineRule="auto"/>
              <w:jc w:val="both"/>
              <w:rPr>
                <w:rFonts w:cs="Times New Roman"/>
                <w:bCs/>
                <w:szCs w:val="28"/>
                <w:lang w:val="uk-UA"/>
              </w:rPr>
            </w:pPr>
            <w:r w:rsidRPr="005F0419">
              <w:rPr>
                <w:rFonts w:cs="Times New Roman"/>
                <w:bCs/>
                <w:szCs w:val="28"/>
                <w:lang w:val="uk-UA"/>
              </w:rPr>
              <w:t>Спільні корпоративні заходи</w:t>
            </w:r>
          </w:p>
        </w:tc>
        <w:tc>
          <w:tcPr>
            <w:tcW w:w="3515" w:type="dxa"/>
          </w:tcPr>
          <w:p w14:paraId="38455CD2" w14:textId="77777777" w:rsidR="00A55004" w:rsidRPr="005F0419" w:rsidRDefault="00A55004" w:rsidP="000F5283">
            <w:pPr>
              <w:spacing w:after="0" w:line="360" w:lineRule="auto"/>
              <w:jc w:val="both"/>
              <w:rPr>
                <w:rFonts w:cs="Times New Roman"/>
                <w:bCs/>
                <w:szCs w:val="28"/>
                <w:lang w:val="uk-UA"/>
              </w:rPr>
            </w:pPr>
          </w:p>
        </w:tc>
      </w:tr>
      <w:tr w:rsidR="00A55004" w:rsidRPr="005F0419" w14:paraId="4443FD78" w14:textId="77777777" w:rsidTr="000F5283">
        <w:tc>
          <w:tcPr>
            <w:tcW w:w="4848" w:type="dxa"/>
          </w:tcPr>
          <w:p w14:paraId="1503B1D0" w14:textId="77777777" w:rsidR="00A55004" w:rsidRPr="005F0419" w:rsidRDefault="00A55004" w:rsidP="000F5283">
            <w:pPr>
              <w:spacing w:after="0" w:line="360" w:lineRule="auto"/>
              <w:jc w:val="both"/>
              <w:rPr>
                <w:rFonts w:cs="Times New Roman"/>
                <w:bCs/>
                <w:szCs w:val="28"/>
                <w:lang w:val="uk-UA"/>
              </w:rPr>
            </w:pPr>
            <w:r w:rsidRPr="005F0419">
              <w:rPr>
                <w:rFonts w:cs="Times New Roman"/>
                <w:bCs/>
                <w:szCs w:val="28"/>
                <w:lang w:val="uk-UA"/>
              </w:rPr>
              <w:t>Нагородження грамотою, відзнакою</w:t>
            </w:r>
          </w:p>
        </w:tc>
        <w:tc>
          <w:tcPr>
            <w:tcW w:w="3515" w:type="dxa"/>
          </w:tcPr>
          <w:p w14:paraId="49C922AC" w14:textId="77777777" w:rsidR="00A55004" w:rsidRPr="005F0419" w:rsidRDefault="00A55004" w:rsidP="000F5283">
            <w:pPr>
              <w:spacing w:after="0" w:line="360" w:lineRule="auto"/>
              <w:jc w:val="both"/>
              <w:rPr>
                <w:rFonts w:cs="Times New Roman"/>
                <w:bCs/>
                <w:szCs w:val="28"/>
                <w:lang w:val="uk-UA"/>
              </w:rPr>
            </w:pPr>
          </w:p>
        </w:tc>
      </w:tr>
      <w:tr w:rsidR="00A55004" w:rsidRPr="005F0419" w14:paraId="08001FD1" w14:textId="77777777" w:rsidTr="000F5283">
        <w:tc>
          <w:tcPr>
            <w:tcW w:w="4848" w:type="dxa"/>
          </w:tcPr>
          <w:p w14:paraId="7F5FCE64" w14:textId="77777777" w:rsidR="00A55004" w:rsidRPr="005F0419" w:rsidRDefault="00A55004" w:rsidP="000F5283">
            <w:pPr>
              <w:spacing w:after="0" w:line="360" w:lineRule="auto"/>
              <w:jc w:val="both"/>
              <w:rPr>
                <w:rFonts w:cs="Times New Roman"/>
                <w:bCs/>
                <w:szCs w:val="28"/>
                <w:lang w:val="uk-UA"/>
              </w:rPr>
            </w:pPr>
            <w:r w:rsidRPr="005F0419">
              <w:rPr>
                <w:rFonts w:cs="Times New Roman"/>
                <w:bCs/>
                <w:szCs w:val="28"/>
                <w:lang w:val="uk-UA"/>
              </w:rPr>
              <w:t>Хороші умови праці</w:t>
            </w:r>
          </w:p>
        </w:tc>
        <w:tc>
          <w:tcPr>
            <w:tcW w:w="3515" w:type="dxa"/>
          </w:tcPr>
          <w:p w14:paraId="197DBE74" w14:textId="77777777" w:rsidR="00A55004" w:rsidRPr="005F0419" w:rsidRDefault="00A55004" w:rsidP="000F5283">
            <w:pPr>
              <w:spacing w:after="0" w:line="360" w:lineRule="auto"/>
              <w:jc w:val="both"/>
              <w:rPr>
                <w:rFonts w:cs="Times New Roman"/>
                <w:bCs/>
                <w:szCs w:val="28"/>
                <w:lang w:val="uk-UA"/>
              </w:rPr>
            </w:pPr>
          </w:p>
        </w:tc>
      </w:tr>
      <w:tr w:rsidR="00A55004" w:rsidRPr="005F0419" w14:paraId="77ACC10A" w14:textId="77777777" w:rsidTr="000F5283">
        <w:tc>
          <w:tcPr>
            <w:tcW w:w="4848" w:type="dxa"/>
          </w:tcPr>
          <w:p w14:paraId="07D146D5" w14:textId="77777777" w:rsidR="00A55004" w:rsidRPr="005F0419" w:rsidRDefault="00A55004" w:rsidP="000F5283">
            <w:pPr>
              <w:spacing w:after="0" w:line="360" w:lineRule="auto"/>
              <w:jc w:val="both"/>
              <w:rPr>
                <w:rFonts w:cs="Times New Roman"/>
                <w:bCs/>
                <w:szCs w:val="28"/>
                <w:lang w:val="uk-UA"/>
              </w:rPr>
            </w:pPr>
            <w:r w:rsidRPr="005F0419">
              <w:rPr>
                <w:rFonts w:cs="Times New Roman"/>
                <w:bCs/>
                <w:szCs w:val="28"/>
                <w:lang w:val="uk-UA"/>
              </w:rPr>
              <w:t>Безкоштовне харчування</w:t>
            </w:r>
          </w:p>
        </w:tc>
        <w:tc>
          <w:tcPr>
            <w:tcW w:w="3515" w:type="dxa"/>
          </w:tcPr>
          <w:p w14:paraId="02970BCF" w14:textId="77777777" w:rsidR="00A55004" w:rsidRPr="005F0419" w:rsidRDefault="00A55004" w:rsidP="000F5283">
            <w:pPr>
              <w:spacing w:after="0" w:line="360" w:lineRule="auto"/>
              <w:jc w:val="both"/>
              <w:rPr>
                <w:rFonts w:cs="Times New Roman"/>
                <w:bCs/>
                <w:szCs w:val="28"/>
                <w:lang w:val="uk-UA"/>
              </w:rPr>
            </w:pPr>
          </w:p>
        </w:tc>
      </w:tr>
      <w:tr w:rsidR="00A55004" w:rsidRPr="005F0419" w14:paraId="3B589B9F" w14:textId="77777777" w:rsidTr="000F5283">
        <w:tc>
          <w:tcPr>
            <w:tcW w:w="4848" w:type="dxa"/>
          </w:tcPr>
          <w:p w14:paraId="3976895B" w14:textId="77777777" w:rsidR="00A55004" w:rsidRPr="005F0419" w:rsidRDefault="00A55004" w:rsidP="000F5283">
            <w:pPr>
              <w:spacing w:after="0" w:line="360" w:lineRule="auto"/>
              <w:jc w:val="both"/>
              <w:rPr>
                <w:rFonts w:cs="Times New Roman"/>
                <w:bCs/>
                <w:szCs w:val="28"/>
                <w:lang w:val="uk-UA"/>
              </w:rPr>
            </w:pPr>
            <w:r w:rsidRPr="005F0419">
              <w:rPr>
                <w:rFonts w:cs="Times New Roman"/>
                <w:bCs/>
                <w:szCs w:val="28"/>
                <w:lang w:val="uk-UA"/>
              </w:rPr>
              <w:t>Подарунки</w:t>
            </w:r>
          </w:p>
        </w:tc>
        <w:tc>
          <w:tcPr>
            <w:tcW w:w="3515" w:type="dxa"/>
          </w:tcPr>
          <w:p w14:paraId="1380480B" w14:textId="77777777" w:rsidR="00A55004" w:rsidRPr="005F0419" w:rsidRDefault="00A55004" w:rsidP="000F5283">
            <w:pPr>
              <w:spacing w:after="0" w:line="360" w:lineRule="auto"/>
              <w:jc w:val="both"/>
              <w:rPr>
                <w:rFonts w:cs="Times New Roman"/>
                <w:bCs/>
                <w:szCs w:val="28"/>
                <w:lang w:val="uk-UA"/>
              </w:rPr>
            </w:pPr>
          </w:p>
        </w:tc>
      </w:tr>
    </w:tbl>
    <w:p w14:paraId="5157037E" w14:textId="20C08EE8"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bCs/>
          <w:sz w:val="28"/>
          <w:szCs w:val="28"/>
          <w:lang w:val="uk-UA"/>
        </w:rPr>
        <w:t>7. Чи надається Вам на підприємстві можливість просуватися</w:t>
      </w:r>
      <w:r w:rsidRPr="005F0419">
        <w:rPr>
          <w:rFonts w:ascii="Times New Roman" w:hAnsi="Times New Roman" w:cs="Times New Roman"/>
          <w:b/>
          <w:sz w:val="28"/>
          <w:szCs w:val="28"/>
          <w:lang w:val="uk-UA"/>
        </w:rPr>
        <w:t> по кар'єрних сходах і вдосконалюватися як фахівець?</w:t>
      </w:r>
    </w:p>
    <w:p w14:paraId="122DE5B9"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так, повністю надається;</w:t>
      </w:r>
      <w:r w:rsidRPr="005F0419">
        <w:rPr>
          <w:rFonts w:ascii="Times New Roman" w:hAnsi="Times New Roman" w:cs="Times New Roman"/>
          <w:sz w:val="28"/>
          <w:szCs w:val="28"/>
          <w:lang w:val="uk-UA"/>
        </w:rPr>
        <w:tab/>
        <w:t>Б) ні, не надається;</w:t>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t xml:space="preserve">В) частково надається. </w:t>
      </w:r>
    </w:p>
    <w:p w14:paraId="05D2A1BC"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8. Які із методів адаптації персоналу застосовують у Вашому закладі:</w:t>
      </w:r>
    </w:p>
    <w:p w14:paraId="7C934D42"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А) тренінги;</w:t>
      </w:r>
    </w:p>
    <w:p w14:paraId="3A07E45F"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 контакт керівника і новачка;</w:t>
      </w:r>
    </w:p>
    <w:p w14:paraId="5BD0F30B"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поступове ускладнення завдань;</w:t>
      </w:r>
    </w:p>
    <w:p w14:paraId="7A08C15D"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Г) </w:t>
      </w:r>
      <w:proofErr w:type="spellStart"/>
      <w:r w:rsidRPr="005F0419">
        <w:rPr>
          <w:rFonts w:ascii="Times New Roman" w:hAnsi="Times New Roman" w:cs="Times New Roman"/>
          <w:sz w:val="28"/>
          <w:szCs w:val="28"/>
          <w:lang w:val="uk-UA"/>
        </w:rPr>
        <w:t>тімбілдінг</w:t>
      </w:r>
      <w:proofErr w:type="spellEnd"/>
      <w:r w:rsidRPr="005F0419">
        <w:rPr>
          <w:rFonts w:ascii="Times New Roman" w:hAnsi="Times New Roman" w:cs="Times New Roman"/>
          <w:sz w:val="28"/>
          <w:szCs w:val="28"/>
          <w:lang w:val="uk-UA"/>
        </w:rPr>
        <w:t>;</w:t>
      </w:r>
    </w:p>
    <w:p w14:paraId="3CEEFADB"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 корпоративний PR (нематеріальна мотивація, побудова комунікацій всередині організації, корпоративний дух);</w:t>
      </w:r>
    </w:p>
    <w:p w14:paraId="371A76F4"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Е) Ваш варіант_______________________</w:t>
      </w:r>
    </w:p>
    <w:p w14:paraId="0D524EDA"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9. Чи працюєте Ви за своєю спеціальністю відповідно до рівня освіти:</w:t>
      </w:r>
    </w:p>
    <w:p w14:paraId="29A7BD5D"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так;</w:t>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t xml:space="preserve">Б) ні. </w:t>
      </w:r>
    </w:p>
    <w:p w14:paraId="23186D28"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 xml:space="preserve">10. Якщо «ні» </w:t>
      </w:r>
      <w:r w:rsidRPr="005F0419">
        <w:rPr>
          <w:rFonts w:ascii="Times New Roman" w:hAnsi="Times New Roman" w:cs="Times New Roman"/>
          <w:sz w:val="28"/>
          <w:szCs w:val="28"/>
          <w:lang w:val="uk-UA"/>
        </w:rPr>
        <w:t>(відповідно до запитання 9)</w:t>
      </w:r>
      <w:r w:rsidRPr="005F0419">
        <w:rPr>
          <w:rFonts w:ascii="Times New Roman" w:hAnsi="Times New Roman" w:cs="Times New Roman"/>
          <w:b/>
          <w:sz w:val="28"/>
          <w:szCs w:val="28"/>
          <w:lang w:val="uk-UA"/>
        </w:rPr>
        <w:t xml:space="preserve"> чи проходили Ви первинну професійну підготовку перед виконанням своїх обов’язків? </w:t>
      </w:r>
    </w:p>
    <w:p w14:paraId="7B205F3C"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так;</w:t>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t>Б) ні.</w:t>
      </w:r>
    </w:p>
    <w:p w14:paraId="23F27A7C"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 xml:space="preserve">11. Які методи оцінювання персоналу застосовують у Вашому закладі? </w:t>
      </w:r>
    </w:p>
    <w:p w14:paraId="285199ED"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психологічні тести;</w:t>
      </w:r>
    </w:p>
    <w:p w14:paraId="5D8AD962"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 перевірка професійних вмінь;</w:t>
      </w:r>
    </w:p>
    <w:p w14:paraId="32C27EF6"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атестація (визначення рівня, кваліфікації знань, практичних навиків, ділових якостей працівників і встановлення їх відповідності)</w:t>
      </w:r>
    </w:p>
    <w:p w14:paraId="6A8D6E98"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Г) Ваш варіант_____________________.</w:t>
      </w:r>
    </w:p>
    <w:p w14:paraId="4ED8A525"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12. Чи задоволені Ви взаємовідносинами в колективі і своїм керівником?</w:t>
      </w:r>
    </w:p>
    <w:p w14:paraId="684453CE"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так;</w:t>
      </w:r>
    </w:p>
    <w:p w14:paraId="204FFE19"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 ні;</w:t>
      </w:r>
    </w:p>
    <w:p w14:paraId="37D3CD04"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 частково. </w:t>
      </w:r>
    </w:p>
    <w:p w14:paraId="536CD450"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
          <w:sz w:val="28"/>
          <w:szCs w:val="28"/>
          <w:lang w:val="uk-UA"/>
        </w:rPr>
        <w:t xml:space="preserve">13. Що приваблює Вас працювати у даному закладі </w:t>
      </w:r>
      <w:r w:rsidRPr="005F0419">
        <w:rPr>
          <w:rFonts w:ascii="Times New Roman" w:hAnsi="Times New Roman" w:cs="Times New Roman"/>
          <w:sz w:val="28"/>
          <w:szCs w:val="28"/>
          <w:lang w:val="uk-UA"/>
        </w:rPr>
        <w:t>(оцініть за шкалою від 1 до 5):</w:t>
      </w:r>
    </w:p>
    <w:tbl>
      <w:tblPr>
        <w:tblStyle w:val="23"/>
        <w:tblW w:w="0" w:type="auto"/>
        <w:tblInd w:w="675" w:type="dxa"/>
        <w:tblLook w:val="04A0" w:firstRow="1" w:lastRow="0" w:firstColumn="1" w:lastColumn="0" w:noHBand="0" w:noVBand="1"/>
      </w:tblPr>
      <w:tblGrid>
        <w:gridCol w:w="3261"/>
        <w:gridCol w:w="708"/>
        <w:gridCol w:w="709"/>
        <w:gridCol w:w="709"/>
        <w:gridCol w:w="709"/>
        <w:gridCol w:w="708"/>
      </w:tblGrid>
      <w:tr w:rsidR="00A55004" w:rsidRPr="005F0419" w14:paraId="23B84CE9" w14:textId="77777777" w:rsidTr="00A55004">
        <w:tc>
          <w:tcPr>
            <w:tcW w:w="3261" w:type="dxa"/>
          </w:tcPr>
          <w:p w14:paraId="1119F44E" w14:textId="77777777" w:rsidR="00A55004" w:rsidRPr="005F0419" w:rsidRDefault="00A55004" w:rsidP="000F5283">
            <w:pPr>
              <w:spacing w:after="0" w:line="240" w:lineRule="auto"/>
              <w:jc w:val="both"/>
              <w:rPr>
                <w:rFonts w:cs="Times New Roman"/>
                <w:b/>
                <w:i/>
                <w:szCs w:val="28"/>
                <w:lang w:val="uk-UA"/>
              </w:rPr>
            </w:pPr>
            <w:r w:rsidRPr="005F0419">
              <w:rPr>
                <w:rFonts w:cs="Times New Roman"/>
                <w:b/>
                <w:i/>
                <w:szCs w:val="28"/>
                <w:lang w:val="uk-UA"/>
              </w:rPr>
              <w:t>Критерій</w:t>
            </w:r>
          </w:p>
        </w:tc>
        <w:tc>
          <w:tcPr>
            <w:tcW w:w="708" w:type="dxa"/>
          </w:tcPr>
          <w:p w14:paraId="2BBE15C0" w14:textId="77777777" w:rsidR="00A55004" w:rsidRPr="005F0419" w:rsidRDefault="00A55004" w:rsidP="000F5283">
            <w:pPr>
              <w:spacing w:after="0" w:line="240" w:lineRule="auto"/>
              <w:jc w:val="both"/>
              <w:rPr>
                <w:rFonts w:cs="Times New Roman"/>
                <w:b/>
                <w:i/>
                <w:szCs w:val="28"/>
                <w:lang w:val="uk-UA"/>
              </w:rPr>
            </w:pPr>
            <w:r w:rsidRPr="005F0419">
              <w:rPr>
                <w:rFonts w:cs="Times New Roman"/>
                <w:b/>
                <w:i/>
                <w:szCs w:val="28"/>
                <w:lang w:val="uk-UA"/>
              </w:rPr>
              <w:t>1</w:t>
            </w:r>
          </w:p>
        </w:tc>
        <w:tc>
          <w:tcPr>
            <w:tcW w:w="709" w:type="dxa"/>
          </w:tcPr>
          <w:p w14:paraId="3655302E" w14:textId="77777777" w:rsidR="00A55004" w:rsidRPr="005F0419" w:rsidRDefault="00A55004" w:rsidP="000F5283">
            <w:pPr>
              <w:spacing w:after="0" w:line="240" w:lineRule="auto"/>
              <w:jc w:val="both"/>
              <w:rPr>
                <w:rFonts w:cs="Times New Roman"/>
                <w:b/>
                <w:i/>
                <w:szCs w:val="28"/>
                <w:lang w:val="uk-UA"/>
              </w:rPr>
            </w:pPr>
            <w:r w:rsidRPr="005F0419">
              <w:rPr>
                <w:rFonts w:cs="Times New Roman"/>
                <w:b/>
                <w:i/>
                <w:szCs w:val="28"/>
                <w:lang w:val="uk-UA"/>
              </w:rPr>
              <w:t>2</w:t>
            </w:r>
          </w:p>
        </w:tc>
        <w:tc>
          <w:tcPr>
            <w:tcW w:w="709" w:type="dxa"/>
          </w:tcPr>
          <w:p w14:paraId="7D262ED9" w14:textId="77777777" w:rsidR="00A55004" w:rsidRPr="005F0419" w:rsidRDefault="00A55004" w:rsidP="000F5283">
            <w:pPr>
              <w:spacing w:after="0" w:line="240" w:lineRule="auto"/>
              <w:jc w:val="both"/>
              <w:rPr>
                <w:rFonts w:cs="Times New Roman"/>
                <w:b/>
                <w:i/>
                <w:szCs w:val="28"/>
                <w:lang w:val="uk-UA"/>
              </w:rPr>
            </w:pPr>
            <w:r w:rsidRPr="005F0419">
              <w:rPr>
                <w:rFonts w:cs="Times New Roman"/>
                <w:b/>
                <w:i/>
                <w:szCs w:val="28"/>
                <w:lang w:val="uk-UA"/>
              </w:rPr>
              <w:t>3</w:t>
            </w:r>
          </w:p>
        </w:tc>
        <w:tc>
          <w:tcPr>
            <w:tcW w:w="709" w:type="dxa"/>
          </w:tcPr>
          <w:p w14:paraId="3CE02861" w14:textId="77777777" w:rsidR="00A55004" w:rsidRPr="005F0419" w:rsidRDefault="00A55004" w:rsidP="000F5283">
            <w:pPr>
              <w:spacing w:after="0" w:line="240" w:lineRule="auto"/>
              <w:jc w:val="both"/>
              <w:rPr>
                <w:rFonts w:cs="Times New Roman"/>
                <w:b/>
                <w:i/>
                <w:szCs w:val="28"/>
                <w:lang w:val="uk-UA"/>
              </w:rPr>
            </w:pPr>
            <w:r w:rsidRPr="005F0419">
              <w:rPr>
                <w:rFonts w:cs="Times New Roman"/>
                <w:b/>
                <w:i/>
                <w:szCs w:val="28"/>
                <w:lang w:val="uk-UA"/>
              </w:rPr>
              <w:t>4</w:t>
            </w:r>
          </w:p>
        </w:tc>
        <w:tc>
          <w:tcPr>
            <w:tcW w:w="708" w:type="dxa"/>
          </w:tcPr>
          <w:p w14:paraId="7E79DA4A" w14:textId="77777777" w:rsidR="00A55004" w:rsidRPr="005F0419" w:rsidRDefault="00A55004" w:rsidP="000F5283">
            <w:pPr>
              <w:spacing w:after="0" w:line="240" w:lineRule="auto"/>
              <w:jc w:val="both"/>
              <w:rPr>
                <w:rFonts w:cs="Times New Roman"/>
                <w:b/>
                <w:i/>
                <w:szCs w:val="28"/>
                <w:lang w:val="uk-UA"/>
              </w:rPr>
            </w:pPr>
            <w:r w:rsidRPr="005F0419">
              <w:rPr>
                <w:rFonts w:cs="Times New Roman"/>
                <w:b/>
                <w:i/>
                <w:szCs w:val="28"/>
                <w:lang w:val="uk-UA"/>
              </w:rPr>
              <w:t>5</w:t>
            </w:r>
          </w:p>
        </w:tc>
      </w:tr>
      <w:tr w:rsidR="00A55004" w:rsidRPr="005F0419" w14:paraId="2F269856" w14:textId="77777777" w:rsidTr="00A55004">
        <w:tc>
          <w:tcPr>
            <w:tcW w:w="3261" w:type="dxa"/>
          </w:tcPr>
          <w:p w14:paraId="706B3C37" w14:textId="77777777" w:rsidR="00A55004" w:rsidRPr="005F0419" w:rsidRDefault="00A55004" w:rsidP="000F5283">
            <w:pPr>
              <w:spacing w:after="0" w:line="240" w:lineRule="auto"/>
              <w:jc w:val="both"/>
              <w:rPr>
                <w:rFonts w:cs="Times New Roman"/>
                <w:szCs w:val="28"/>
                <w:lang w:val="uk-UA"/>
              </w:rPr>
            </w:pPr>
            <w:r w:rsidRPr="005F0419">
              <w:rPr>
                <w:rFonts w:cs="Times New Roman"/>
                <w:szCs w:val="28"/>
                <w:lang w:val="uk-UA"/>
              </w:rPr>
              <w:t>заробітна плата</w:t>
            </w:r>
          </w:p>
        </w:tc>
        <w:tc>
          <w:tcPr>
            <w:tcW w:w="708" w:type="dxa"/>
          </w:tcPr>
          <w:p w14:paraId="5CF20550" w14:textId="77777777" w:rsidR="00A55004" w:rsidRPr="005F0419" w:rsidRDefault="00A55004" w:rsidP="000F5283">
            <w:pPr>
              <w:spacing w:after="0" w:line="240" w:lineRule="auto"/>
              <w:jc w:val="both"/>
              <w:rPr>
                <w:rFonts w:cs="Times New Roman"/>
                <w:szCs w:val="28"/>
                <w:lang w:val="uk-UA"/>
              </w:rPr>
            </w:pPr>
          </w:p>
        </w:tc>
        <w:tc>
          <w:tcPr>
            <w:tcW w:w="709" w:type="dxa"/>
          </w:tcPr>
          <w:p w14:paraId="4BC2A74D" w14:textId="77777777" w:rsidR="00A55004" w:rsidRPr="005F0419" w:rsidRDefault="00A55004" w:rsidP="000F5283">
            <w:pPr>
              <w:spacing w:after="0" w:line="240" w:lineRule="auto"/>
              <w:jc w:val="both"/>
              <w:rPr>
                <w:rFonts w:cs="Times New Roman"/>
                <w:szCs w:val="28"/>
                <w:lang w:val="uk-UA"/>
              </w:rPr>
            </w:pPr>
          </w:p>
        </w:tc>
        <w:tc>
          <w:tcPr>
            <w:tcW w:w="709" w:type="dxa"/>
          </w:tcPr>
          <w:p w14:paraId="05991BA1" w14:textId="77777777" w:rsidR="00A55004" w:rsidRPr="005F0419" w:rsidRDefault="00A55004" w:rsidP="000F5283">
            <w:pPr>
              <w:spacing w:after="0" w:line="240" w:lineRule="auto"/>
              <w:jc w:val="both"/>
              <w:rPr>
                <w:rFonts w:cs="Times New Roman"/>
                <w:szCs w:val="28"/>
                <w:lang w:val="uk-UA"/>
              </w:rPr>
            </w:pPr>
          </w:p>
        </w:tc>
        <w:tc>
          <w:tcPr>
            <w:tcW w:w="709" w:type="dxa"/>
          </w:tcPr>
          <w:p w14:paraId="5DC59D1E" w14:textId="77777777" w:rsidR="00A55004" w:rsidRPr="005F0419" w:rsidRDefault="00A55004" w:rsidP="000F5283">
            <w:pPr>
              <w:spacing w:after="0" w:line="240" w:lineRule="auto"/>
              <w:jc w:val="both"/>
              <w:rPr>
                <w:rFonts w:cs="Times New Roman"/>
                <w:szCs w:val="28"/>
                <w:lang w:val="uk-UA"/>
              </w:rPr>
            </w:pPr>
          </w:p>
        </w:tc>
        <w:tc>
          <w:tcPr>
            <w:tcW w:w="708" w:type="dxa"/>
          </w:tcPr>
          <w:p w14:paraId="0129797E" w14:textId="77777777" w:rsidR="00A55004" w:rsidRPr="005F0419" w:rsidRDefault="00A55004" w:rsidP="000F5283">
            <w:pPr>
              <w:spacing w:after="0" w:line="240" w:lineRule="auto"/>
              <w:jc w:val="both"/>
              <w:rPr>
                <w:rFonts w:cs="Times New Roman"/>
                <w:szCs w:val="28"/>
                <w:lang w:val="uk-UA"/>
              </w:rPr>
            </w:pPr>
          </w:p>
        </w:tc>
      </w:tr>
      <w:tr w:rsidR="00A55004" w:rsidRPr="005F0419" w14:paraId="0F88A365" w14:textId="77777777" w:rsidTr="00A55004">
        <w:tc>
          <w:tcPr>
            <w:tcW w:w="3261" w:type="dxa"/>
          </w:tcPr>
          <w:p w14:paraId="76AEF29B" w14:textId="77777777" w:rsidR="00A55004" w:rsidRPr="005F0419" w:rsidRDefault="00A55004" w:rsidP="000F5283">
            <w:pPr>
              <w:spacing w:after="0" w:line="240" w:lineRule="auto"/>
              <w:jc w:val="both"/>
              <w:rPr>
                <w:rFonts w:cs="Times New Roman"/>
                <w:szCs w:val="28"/>
                <w:lang w:val="uk-UA"/>
              </w:rPr>
            </w:pPr>
            <w:r w:rsidRPr="005F0419">
              <w:rPr>
                <w:rFonts w:cs="Times New Roman"/>
                <w:szCs w:val="28"/>
                <w:lang w:val="uk-UA"/>
              </w:rPr>
              <w:t>кар’єрний ріст</w:t>
            </w:r>
          </w:p>
        </w:tc>
        <w:tc>
          <w:tcPr>
            <w:tcW w:w="708" w:type="dxa"/>
          </w:tcPr>
          <w:p w14:paraId="309E2812" w14:textId="77777777" w:rsidR="00A55004" w:rsidRPr="005F0419" w:rsidRDefault="00A55004" w:rsidP="000F5283">
            <w:pPr>
              <w:spacing w:after="0" w:line="240" w:lineRule="auto"/>
              <w:jc w:val="both"/>
              <w:rPr>
                <w:rFonts w:cs="Times New Roman"/>
                <w:szCs w:val="28"/>
                <w:lang w:val="uk-UA"/>
              </w:rPr>
            </w:pPr>
          </w:p>
        </w:tc>
        <w:tc>
          <w:tcPr>
            <w:tcW w:w="709" w:type="dxa"/>
          </w:tcPr>
          <w:p w14:paraId="3E74113B" w14:textId="77777777" w:rsidR="00A55004" w:rsidRPr="005F0419" w:rsidRDefault="00A55004" w:rsidP="000F5283">
            <w:pPr>
              <w:spacing w:after="0" w:line="240" w:lineRule="auto"/>
              <w:jc w:val="both"/>
              <w:rPr>
                <w:rFonts w:cs="Times New Roman"/>
                <w:szCs w:val="28"/>
                <w:lang w:val="uk-UA"/>
              </w:rPr>
            </w:pPr>
          </w:p>
        </w:tc>
        <w:tc>
          <w:tcPr>
            <w:tcW w:w="709" w:type="dxa"/>
          </w:tcPr>
          <w:p w14:paraId="05C5E458" w14:textId="77777777" w:rsidR="00A55004" w:rsidRPr="005F0419" w:rsidRDefault="00A55004" w:rsidP="000F5283">
            <w:pPr>
              <w:spacing w:after="0" w:line="240" w:lineRule="auto"/>
              <w:jc w:val="both"/>
              <w:rPr>
                <w:rFonts w:cs="Times New Roman"/>
                <w:szCs w:val="28"/>
                <w:lang w:val="uk-UA"/>
              </w:rPr>
            </w:pPr>
          </w:p>
        </w:tc>
        <w:tc>
          <w:tcPr>
            <w:tcW w:w="709" w:type="dxa"/>
          </w:tcPr>
          <w:p w14:paraId="13D5CAA1" w14:textId="77777777" w:rsidR="00A55004" w:rsidRPr="005F0419" w:rsidRDefault="00A55004" w:rsidP="000F5283">
            <w:pPr>
              <w:spacing w:after="0" w:line="240" w:lineRule="auto"/>
              <w:jc w:val="both"/>
              <w:rPr>
                <w:rFonts w:cs="Times New Roman"/>
                <w:szCs w:val="28"/>
                <w:lang w:val="uk-UA"/>
              </w:rPr>
            </w:pPr>
          </w:p>
        </w:tc>
        <w:tc>
          <w:tcPr>
            <w:tcW w:w="708" w:type="dxa"/>
          </w:tcPr>
          <w:p w14:paraId="0BCB40FB" w14:textId="77777777" w:rsidR="00A55004" w:rsidRPr="005F0419" w:rsidRDefault="00A55004" w:rsidP="000F5283">
            <w:pPr>
              <w:spacing w:after="0" w:line="240" w:lineRule="auto"/>
              <w:jc w:val="both"/>
              <w:rPr>
                <w:rFonts w:cs="Times New Roman"/>
                <w:szCs w:val="28"/>
                <w:lang w:val="uk-UA"/>
              </w:rPr>
            </w:pPr>
          </w:p>
        </w:tc>
      </w:tr>
      <w:tr w:rsidR="00A55004" w:rsidRPr="005F0419" w14:paraId="7797111E" w14:textId="77777777" w:rsidTr="00A55004">
        <w:tc>
          <w:tcPr>
            <w:tcW w:w="3261" w:type="dxa"/>
          </w:tcPr>
          <w:p w14:paraId="07F114BD" w14:textId="77777777" w:rsidR="00A55004" w:rsidRPr="005F0419" w:rsidRDefault="00A55004" w:rsidP="000F5283">
            <w:pPr>
              <w:spacing w:after="0" w:line="240" w:lineRule="auto"/>
              <w:jc w:val="both"/>
              <w:rPr>
                <w:rFonts w:cs="Times New Roman"/>
                <w:szCs w:val="28"/>
                <w:lang w:val="uk-UA"/>
              </w:rPr>
            </w:pPr>
            <w:r w:rsidRPr="005F0419">
              <w:rPr>
                <w:rFonts w:cs="Times New Roman"/>
                <w:szCs w:val="28"/>
                <w:lang w:val="uk-UA"/>
              </w:rPr>
              <w:t>робота у колективі</w:t>
            </w:r>
          </w:p>
        </w:tc>
        <w:tc>
          <w:tcPr>
            <w:tcW w:w="708" w:type="dxa"/>
          </w:tcPr>
          <w:p w14:paraId="46B54F3B" w14:textId="77777777" w:rsidR="00A55004" w:rsidRPr="005F0419" w:rsidRDefault="00A55004" w:rsidP="000F5283">
            <w:pPr>
              <w:spacing w:after="0" w:line="240" w:lineRule="auto"/>
              <w:jc w:val="both"/>
              <w:rPr>
                <w:rFonts w:cs="Times New Roman"/>
                <w:szCs w:val="28"/>
                <w:lang w:val="uk-UA"/>
              </w:rPr>
            </w:pPr>
          </w:p>
        </w:tc>
        <w:tc>
          <w:tcPr>
            <w:tcW w:w="709" w:type="dxa"/>
          </w:tcPr>
          <w:p w14:paraId="34AD6998" w14:textId="77777777" w:rsidR="00A55004" w:rsidRPr="005F0419" w:rsidRDefault="00A55004" w:rsidP="000F5283">
            <w:pPr>
              <w:spacing w:after="0" w:line="240" w:lineRule="auto"/>
              <w:jc w:val="both"/>
              <w:rPr>
                <w:rFonts w:cs="Times New Roman"/>
                <w:szCs w:val="28"/>
                <w:lang w:val="uk-UA"/>
              </w:rPr>
            </w:pPr>
          </w:p>
        </w:tc>
        <w:tc>
          <w:tcPr>
            <w:tcW w:w="709" w:type="dxa"/>
          </w:tcPr>
          <w:p w14:paraId="7BB8B9EB" w14:textId="77777777" w:rsidR="00A55004" w:rsidRPr="005F0419" w:rsidRDefault="00A55004" w:rsidP="000F5283">
            <w:pPr>
              <w:spacing w:after="0" w:line="240" w:lineRule="auto"/>
              <w:jc w:val="both"/>
              <w:rPr>
                <w:rFonts w:cs="Times New Roman"/>
                <w:szCs w:val="28"/>
                <w:lang w:val="uk-UA"/>
              </w:rPr>
            </w:pPr>
          </w:p>
        </w:tc>
        <w:tc>
          <w:tcPr>
            <w:tcW w:w="709" w:type="dxa"/>
          </w:tcPr>
          <w:p w14:paraId="78C15412" w14:textId="77777777" w:rsidR="00A55004" w:rsidRPr="005F0419" w:rsidRDefault="00A55004" w:rsidP="000F5283">
            <w:pPr>
              <w:spacing w:after="0" w:line="240" w:lineRule="auto"/>
              <w:jc w:val="both"/>
              <w:rPr>
                <w:rFonts w:cs="Times New Roman"/>
                <w:szCs w:val="28"/>
                <w:lang w:val="uk-UA"/>
              </w:rPr>
            </w:pPr>
          </w:p>
        </w:tc>
        <w:tc>
          <w:tcPr>
            <w:tcW w:w="708" w:type="dxa"/>
          </w:tcPr>
          <w:p w14:paraId="2BC31F5E" w14:textId="77777777" w:rsidR="00A55004" w:rsidRPr="005F0419" w:rsidRDefault="00A55004" w:rsidP="000F5283">
            <w:pPr>
              <w:spacing w:after="0" w:line="240" w:lineRule="auto"/>
              <w:jc w:val="both"/>
              <w:rPr>
                <w:rFonts w:cs="Times New Roman"/>
                <w:szCs w:val="28"/>
                <w:lang w:val="uk-UA"/>
              </w:rPr>
            </w:pPr>
          </w:p>
        </w:tc>
      </w:tr>
      <w:tr w:rsidR="00A55004" w:rsidRPr="005F0419" w14:paraId="65537B19" w14:textId="77777777" w:rsidTr="00A55004">
        <w:tc>
          <w:tcPr>
            <w:tcW w:w="3261" w:type="dxa"/>
          </w:tcPr>
          <w:p w14:paraId="7978A009" w14:textId="77777777" w:rsidR="00A55004" w:rsidRPr="005F0419" w:rsidRDefault="00A55004" w:rsidP="000F5283">
            <w:pPr>
              <w:spacing w:after="0" w:line="240" w:lineRule="auto"/>
              <w:jc w:val="both"/>
              <w:rPr>
                <w:rFonts w:cs="Times New Roman"/>
                <w:szCs w:val="28"/>
                <w:lang w:val="uk-UA"/>
              </w:rPr>
            </w:pPr>
            <w:r w:rsidRPr="005F0419">
              <w:rPr>
                <w:rFonts w:cs="Times New Roman"/>
                <w:szCs w:val="28"/>
                <w:lang w:val="uk-UA"/>
              </w:rPr>
              <w:t>гнучкий графік роботи</w:t>
            </w:r>
          </w:p>
        </w:tc>
        <w:tc>
          <w:tcPr>
            <w:tcW w:w="708" w:type="dxa"/>
          </w:tcPr>
          <w:p w14:paraId="23A06817" w14:textId="77777777" w:rsidR="00A55004" w:rsidRPr="005F0419" w:rsidRDefault="00A55004" w:rsidP="000F5283">
            <w:pPr>
              <w:spacing w:after="0" w:line="240" w:lineRule="auto"/>
              <w:jc w:val="both"/>
              <w:rPr>
                <w:rFonts w:cs="Times New Roman"/>
                <w:szCs w:val="28"/>
                <w:lang w:val="uk-UA"/>
              </w:rPr>
            </w:pPr>
          </w:p>
        </w:tc>
        <w:tc>
          <w:tcPr>
            <w:tcW w:w="709" w:type="dxa"/>
          </w:tcPr>
          <w:p w14:paraId="5BC606B5" w14:textId="77777777" w:rsidR="00A55004" w:rsidRPr="005F0419" w:rsidRDefault="00A55004" w:rsidP="000F5283">
            <w:pPr>
              <w:spacing w:after="0" w:line="240" w:lineRule="auto"/>
              <w:jc w:val="both"/>
              <w:rPr>
                <w:rFonts w:cs="Times New Roman"/>
                <w:szCs w:val="28"/>
                <w:lang w:val="uk-UA"/>
              </w:rPr>
            </w:pPr>
          </w:p>
        </w:tc>
        <w:tc>
          <w:tcPr>
            <w:tcW w:w="709" w:type="dxa"/>
          </w:tcPr>
          <w:p w14:paraId="56FC2B1D" w14:textId="77777777" w:rsidR="00A55004" w:rsidRPr="005F0419" w:rsidRDefault="00A55004" w:rsidP="000F5283">
            <w:pPr>
              <w:spacing w:after="0" w:line="240" w:lineRule="auto"/>
              <w:jc w:val="both"/>
              <w:rPr>
                <w:rFonts w:cs="Times New Roman"/>
                <w:szCs w:val="28"/>
                <w:lang w:val="uk-UA"/>
              </w:rPr>
            </w:pPr>
          </w:p>
        </w:tc>
        <w:tc>
          <w:tcPr>
            <w:tcW w:w="709" w:type="dxa"/>
          </w:tcPr>
          <w:p w14:paraId="230EDDD0" w14:textId="77777777" w:rsidR="00A55004" w:rsidRPr="005F0419" w:rsidRDefault="00A55004" w:rsidP="000F5283">
            <w:pPr>
              <w:spacing w:after="0" w:line="240" w:lineRule="auto"/>
              <w:jc w:val="both"/>
              <w:rPr>
                <w:rFonts w:cs="Times New Roman"/>
                <w:szCs w:val="28"/>
                <w:lang w:val="uk-UA"/>
              </w:rPr>
            </w:pPr>
          </w:p>
        </w:tc>
        <w:tc>
          <w:tcPr>
            <w:tcW w:w="708" w:type="dxa"/>
          </w:tcPr>
          <w:p w14:paraId="0C604C15" w14:textId="77777777" w:rsidR="00A55004" w:rsidRPr="005F0419" w:rsidRDefault="00A55004" w:rsidP="000F5283">
            <w:pPr>
              <w:spacing w:after="0" w:line="240" w:lineRule="auto"/>
              <w:jc w:val="both"/>
              <w:rPr>
                <w:rFonts w:cs="Times New Roman"/>
                <w:szCs w:val="28"/>
                <w:lang w:val="uk-UA"/>
              </w:rPr>
            </w:pPr>
          </w:p>
        </w:tc>
      </w:tr>
      <w:tr w:rsidR="00A55004" w:rsidRPr="005F0419" w14:paraId="40522778" w14:textId="77777777" w:rsidTr="00A55004">
        <w:tc>
          <w:tcPr>
            <w:tcW w:w="3261" w:type="dxa"/>
          </w:tcPr>
          <w:p w14:paraId="4EA65422" w14:textId="77777777" w:rsidR="00A55004" w:rsidRPr="005F0419" w:rsidRDefault="00A55004" w:rsidP="000F5283">
            <w:pPr>
              <w:spacing w:after="0" w:line="240" w:lineRule="auto"/>
              <w:jc w:val="both"/>
              <w:rPr>
                <w:rFonts w:cs="Times New Roman"/>
                <w:szCs w:val="28"/>
                <w:lang w:val="uk-UA"/>
              </w:rPr>
            </w:pPr>
            <w:r w:rsidRPr="005F0419">
              <w:rPr>
                <w:rFonts w:cs="Times New Roman"/>
                <w:szCs w:val="28"/>
                <w:lang w:val="uk-UA"/>
              </w:rPr>
              <w:t>здоровий клімат у колективі</w:t>
            </w:r>
          </w:p>
        </w:tc>
        <w:tc>
          <w:tcPr>
            <w:tcW w:w="708" w:type="dxa"/>
          </w:tcPr>
          <w:p w14:paraId="5DF68553" w14:textId="77777777" w:rsidR="00A55004" w:rsidRPr="005F0419" w:rsidRDefault="00A55004" w:rsidP="000F5283">
            <w:pPr>
              <w:spacing w:after="0" w:line="240" w:lineRule="auto"/>
              <w:jc w:val="both"/>
              <w:rPr>
                <w:rFonts w:cs="Times New Roman"/>
                <w:szCs w:val="28"/>
                <w:lang w:val="uk-UA"/>
              </w:rPr>
            </w:pPr>
          </w:p>
        </w:tc>
        <w:tc>
          <w:tcPr>
            <w:tcW w:w="709" w:type="dxa"/>
          </w:tcPr>
          <w:p w14:paraId="5565AD59" w14:textId="77777777" w:rsidR="00A55004" w:rsidRPr="005F0419" w:rsidRDefault="00A55004" w:rsidP="000F5283">
            <w:pPr>
              <w:spacing w:after="0" w:line="240" w:lineRule="auto"/>
              <w:jc w:val="both"/>
              <w:rPr>
                <w:rFonts w:cs="Times New Roman"/>
                <w:szCs w:val="28"/>
                <w:lang w:val="uk-UA"/>
              </w:rPr>
            </w:pPr>
          </w:p>
        </w:tc>
        <w:tc>
          <w:tcPr>
            <w:tcW w:w="709" w:type="dxa"/>
          </w:tcPr>
          <w:p w14:paraId="38B81443" w14:textId="77777777" w:rsidR="00A55004" w:rsidRPr="005F0419" w:rsidRDefault="00A55004" w:rsidP="000F5283">
            <w:pPr>
              <w:spacing w:after="0" w:line="240" w:lineRule="auto"/>
              <w:jc w:val="both"/>
              <w:rPr>
                <w:rFonts w:cs="Times New Roman"/>
                <w:szCs w:val="28"/>
                <w:lang w:val="uk-UA"/>
              </w:rPr>
            </w:pPr>
          </w:p>
        </w:tc>
        <w:tc>
          <w:tcPr>
            <w:tcW w:w="709" w:type="dxa"/>
          </w:tcPr>
          <w:p w14:paraId="08EE1B85" w14:textId="77777777" w:rsidR="00A55004" w:rsidRPr="005F0419" w:rsidRDefault="00A55004" w:rsidP="000F5283">
            <w:pPr>
              <w:spacing w:after="0" w:line="240" w:lineRule="auto"/>
              <w:jc w:val="both"/>
              <w:rPr>
                <w:rFonts w:cs="Times New Roman"/>
                <w:szCs w:val="28"/>
                <w:lang w:val="uk-UA"/>
              </w:rPr>
            </w:pPr>
          </w:p>
        </w:tc>
        <w:tc>
          <w:tcPr>
            <w:tcW w:w="708" w:type="dxa"/>
          </w:tcPr>
          <w:p w14:paraId="31A2743D" w14:textId="77777777" w:rsidR="00A55004" w:rsidRPr="005F0419" w:rsidRDefault="00A55004" w:rsidP="000F5283">
            <w:pPr>
              <w:spacing w:after="0" w:line="240" w:lineRule="auto"/>
              <w:jc w:val="both"/>
              <w:rPr>
                <w:rFonts w:cs="Times New Roman"/>
                <w:szCs w:val="28"/>
                <w:lang w:val="uk-UA"/>
              </w:rPr>
            </w:pPr>
          </w:p>
        </w:tc>
      </w:tr>
    </w:tbl>
    <w:p w14:paraId="497F70E4"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lastRenderedPageBreak/>
        <w:t>14. Чи згідні Ви, що система мотивації, яка існує у Вашому закладі є ефективною?</w:t>
      </w:r>
    </w:p>
    <w:p w14:paraId="391AC467"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так;</w:t>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t>Б) не знаю;</w:t>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t>В) ні.</w:t>
      </w:r>
    </w:p>
    <w:p w14:paraId="52ED7AA2"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15. Вкажіть, будь ласка, рівень Вашої освіти:</w:t>
      </w:r>
    </w:p>
    <w:p w14:paraId="7B86832C"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повна загальна середня освіта;</w:t>
      </w:r>
    </w:p>
    <w:p w14:paraId="72632585"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 професійно-технічна освіта;</w:t>
      </w:r>
    </w:p>
    <w:p w14:paraId="60A346F1"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базова вища освіта (бакалавр);</w:t>
      </w:r>
    </w:p>
    <w:p w14:paraId="72E56D7B"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Г) вища освіта (спеціаліст, магістр);</w:t>
      </w:r>
    </w:p>
    <w:p w14:paraId="66A5F108" w14:textId="77777777"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 Ваш варіант ________________. </w:t>
      </w:r>
    </w:p>
    <w:p w14:paraId="071CA8BC" w14:textId="77777777" w:rsidR="00A55004" w:rsidRPr="005F0419" w:rsidRDefault="00A55004" w:rsidP="00877ECC">
      <w:pPr>
        <w:spacing w:after="0" w:line="360" w:lineRule="auto"/>
        <w:ind w:firstLine="720"/>
        <w:jc w:val="both"/>
        <w:rPr>
          <w:rFonts w:ascii="Times New Roman" w:hAnsi="Times New Roman" w:cs="Times New Roman"/>
          <w:b/>
          <w:sz w:val="28"/>
          <w:szCs w:val="28"/>
          <w:lang w:val="uk-UA"/>
        </w:rPr>
      </w:pPr>
      <w:r w:rsidRPr="005F0419">
        <w:rPr>
          <w:rFonts w:ascii="Times New Roman" w:hAnsi="Times New Roman" w:cs="Times New Roman"/>
          <w:b/>
          <w:sz w:val="28"/>
          <w:szCs w:val="28"/>
          <w:lang w:val="uk-UA"/>
        </w:rPr>
        <w:t>16. Вкажіть, будь ласка, Ваш вік.</w:t>
      </w:r>
    </w:p>
    <w:p w14:paraId="7181EC31" w14:textId="43AB671B"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 від 18 до 30 років;</w:t>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t>б) від 30 до 40 років;</w:t>
      </w:r>
    </w:p>
    <w:p w14:paraId="204F00F9" w14:textId="4FD89A7C" w:rsidR="00A55004" w:rsidRPr="005F0419" w:rsidRDefault="00A55004" w:rsidP="00877ECC">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 від 40 до 50 років;</w:t>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t>г) від 50 років і більше</w:t>
      </w:r>
    </w:p>
    <w:p w14:paraId="1D94CE4E" w14:textId="77777777" w:rsidR="00A55004" w:rsidRPr="005F0419" w:rsidRDefault="00A55004" w:rsidP="00877ECC">
      <w:pPr>
        <w:spacing w:after="0" w:line="360" w:lineRule="auto"/>
        <w:ind w:firstLine="720"/>
        <w:jc w:val="both"/>
        <w:rPr>
          <w:rFonts w:ascii="Times New Roman" w:hAnsi="Times New Roman" w:cs="Times New Roman"/>
          <w:i/>
          <w:sz w:val="28"/>
          <w:szCs w:val="28"/>
          <w:lang w:val="uk-UA"/>
        </w:rPr>
      </w:pPr>
    </w:p>
    <w:p w14:paraId="292F9B75" w14:textId="77777777" w:rsidR="000A0E4C" w:rsidRPr="005F0419" w:rsidRDefault="00A55004" w:rsidP="000A0E4C">
      <w:pPr>
        <w:spacing w:after="0" w:line="360" w:lineRule="auto"/>
        <w:ind w:firstLine="720"/>
        <w:jc w:val="both"/>
        <w:rPr>
          <w:rFonts w:ascii="Times New Roman" w:hAnsi="Times New Roman" w:cs="Times New Roman"/>
          <w:i/>
          <w:sz w:val="28"/>
          <w:szCs w:val="28"/>
          <w:lang w:val="uk-UA"/>
        </w:rPr>
      </w:pPr>
      <w:r w:rsidRPr="005F0419">
        <w:rPr>
          <w:rFonts w:ascii="Times New Roman" w:hAnsi="Times New Roman" w:cs="Times New Roman"/>
          <w:i/>
          <w:sz w:val="28"/>
          <w:szCs w:val="28"/>
          <w:lang w:val="uk-UA"/>
        </w:rPr>
        <w:t>Щиро дякуємо за те, що Ви є!</w:t>
      </w:r>
      <w:bookmarkStart w:id="21" w:name="_Hlk160025416"/>
    </w:p>
    <w:p w14:paraId="16CD422C" w14:textId="77777777" w:rsidR="000A0E4C" w:rsidRPr="005F0419" w:rsidRDefault="000A0E4C" w:rsidP="000A0E4C">
      <w:pPr>
        <w:spacing w:after="0" w:line="360" w:lineRule="auto"/>
        <w:ind w:firstLine="720"/>
        <w:jc w:val="both"/>
        <w:rPr>
          <w:rFonts w:ascii="Times New Roman" w:hAnsi="Times New Roman" w:cs="Times New Roman"/>
          <w:i/>
          <w:sz w:val="28"/>
          <w:szCs w:val="28"/>
          <w:lang w:val="uk-UA"/>
        </w:rPr>
      </w:pPr>
    </w:p>
    <w:p w14:paraId="42C697A9" w14:textId="5B704D7A" w:rsidR="000A0E4C" w:rsidRPr="005F0419" w:rsidRDefault="000A0E4C" w:rsidP="00DB21B7">
      <w:pPr>
        <w:pageBreakBefore/>
        <w:widowControl w:val="0"/>
        <w:spacing w:after="0" w:line="360" w:lineRule="auto"/>
        <w:ind w:firstLine="720"/>
        <w:jc w:val="center"/>
        <w:rPr>
          <w:rFonts w:ascii="Times New Roman" w:hAnsi="Times New Roman" w:cs="Times New Roman"/>
          <w:b/>
          <w:bCs/>
          <w:sz w:val="28"/>
          <w:szCs w:val="28"/>
          <w:lang w:val="uk-UA"/>
        </w:rPr>
      </w:pPr>
      <w:r w:rsidRPr="005F0419">
        <w:rPr>
          <w:rFonts w:ascii="Times New Roman" w:hAnsi="Times New Roman" w:cs="Times New Roman"/>
          <w:b/>
          <w:bCs/>
          <w:sz w:val="28"/>
          <w:szCs w:val="28"/>
          <w:lang w:val="uk-UA"/>
        </w:rPr>
        <w:lastRenderedPageBreak/>
        <w:t>ТЕНДЕНЦІЇ СУЧАСНОГО ІННОВАЦІЙНОГО РОЗВИТКУ ГОТЕЛЬНО-РЕСТОРАННОГО БІЗНЕСУ В УКРАЇНІ ТА СВІТІ</w:t>
      </w:r>
    </w:p>
    <w:p w14:paraId="7E5923B3" w14:textId="3CBB76D3" w:rsidR="000A0E4C" w:rsidRPr="005F0419" w:rsidRDefault="000A0E4C" w:rsidP="000A0E4C">
      <w:pPr>
        <w:spacing w:after="0" w:line="360" w:lineRule="auto"/>
        <w:ind w:firstLine="720"/>
        <w:jc w:val="center"/>
        <w:rPr>
          <w:rFonts w:ascii="Times New Roman" w:hAnsi="Times New Roman" w:cs="Times New Roman"/>
          <w:b/>
          <w:bCs/>
          <w:sz w:val="28"/>
          <w:szCs w:val="28"/>
          <w:lang w:val="uk-UA"/>
        </w:rPr>
      </w:pPr>
    </w:p>
    <w:p w14:paraId="7ECA4C99" w14:textId="087552C3" w:rsidR="000A0E4C" w:rsidRPr="005F0419" w:rsidRDefault="000A0E4C" w:rsidP="000A0E4C">
      <w:pPr>
        <w:spacing w:after="0" w:line="360" w:lineRule="auto"/>
        <w:ind w:firstLine="720"/>
        <w:jc w:val="center"/>
        <w:rPr>
          <w:rFonts w:ascii="Times New Roman" w:eastAsiaTheme="minorHAnsi" w:hAnsi="Times New Roman" w:cs="Times New Roman"/>
          <w:b/>
          <w:bCs/>
          <w:i/>
          <w:iCs/>
          <w:sz w:val="28"/>
          <w:szCs w:val="28"/>
          <w:lang w:val="uk-UA" w:eastAsia="en-US"/>
        </w:rPr>
      </w:pPr>
      <w:proofErr w:type="spellStart"/>
      <w:r w:rsidRPr="005F0419">
        <w:rPr>
          <w:rFonts w:ascii="Times New Roman" w:hAnsi="Times New Roman" w:cs="Times New Roman"/>
          <w:bCs/>
          <w:i/>
          <w:iCs/>
          <w:sz w:val="28"/>
          <w:szCs w:val="28"/>
          <w:lang w:val="uk-UA"/>
        </w:rPr>
        <w:t>Тітомир</w:t>
      </w:r>
      <w:proofErr w:type="spellEnd"/>
      <w:r w:rsidRPr="005F0419">
        <w:rPr>
          <w:rFonts w:ascii="Times New Roman" w:hAnsi="Times New Roman" w:cs="Times New Roman"/>
          <w:bCs/>
          <w:i/>
          <w:iCs/>
          <w:sz w:val="28"/>
          <w:szCs w:val="28"/>
          <w:lang w:val="uk-UA"/>
        </w:rPr>
        <w:t xml:space="preserve"> Людмила Анатоліївна</w:t>
      </w:r>
      <w:r w:rsidR="00C47476">
        <w:rPr>
          <w:rFonts w:ascii="Times New Roman" w:hAnsi="Times New Roman" w:cs="Times New Roman"/>
          <w:bCs/>
          <w:i/>
          <w:iCs/>
          <w:sz w:val="28"/>
          <w:szCs w:val="28"/>
          <w:lang w:val="uk-UA"/>
        </w:rPr>
        <w:t xml:space="preserve">, Осипова Лариса </w:t>
      </w:r>
      <w:r w:rsidR="00C47476" w:rsidRPr="005F0419">
        <w:rPr>
          <w:rFonts w:ascii="Times New Roman" w:hAnsi="Times New Roman" w:cs="Times New Roman"/>
          <w:bCs/>
          <w:i/>
          <w:iCs/>
          <w:sz w:val="28"/>
          <w:szCs w:val="28"/>
          <w:lang w:val="uk-UA"/>
        </w:rPr>
        <w:t>Анатоліївна</w:t>
      </w:r>
    </w:p>
    <w:p w14:paraId="2BD90AD2" w14:textId="70C01ED6" w:rsidR="00662012" w:rsidRPr="005F0419" w:rsidRDefault="00662012" w:rsidP="00662012">
      <w:pPr>
        <w:suppressAutoHyphens/>
        <w:spacing w:after="0" w:line="360" w:lineRule="auto"/>
        <w:ind w:firstLine="720"/>
        <w:jc w:val="center"/>
        <w:rPr>
          <w:rFonts w:ascii="Times New Roman" w:hAnsi="Times New Roman" w:cs="Times New Roman"/>
          <w:sz w:val="28"/>
          <w:szCs w:val="28"/>
          <w:lang w:val="uk-UA"/>
        </w:rPr>
      </w:pPr>
    </w:p>
    <w:p w14:paraId="156BEBF5" w14:textId="15F870C4" w:rsidR="000A0E4C" w:rsidRPr="005F0419" w:rsidRDefault="00DB21B7" w:rsidP="00DB21B7">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 сучасних умовах розвитку світової економіки і переходу України до ринкових відносин відбуваються суттєві зміни у діяльності підприємств та організацій. Кожне підприємство прагне удосконалювати процеси виробництва і підвищувати ефективність господарсько-економічної діяльності для забезпечення конкурентоспроможності продукції як на внутрішньому, так і міжнародному ринках. Проводиться аналіз сучасного стану виробництва, відбувається пошук нових шляхів і більш удосконалених методів діяльності, оцінюються вимоги ринку і можливості впровадження інноваційної моделі розвитку в умовах ринкових відносин. Інноваційна модель – це концепція, в якій визначені пріоритети та обґрунтовано якісні та кількісні критерії інноваційного розвитку. Елементами інноваційної моделі розвитку сфери гостинності є реалізація наукових досягнень, впровадження у виробництво науково обґрунтованих систем управління і новітніх технологій, та їх комерціалізація на ринку товарів і послуг. Слід відзначити, що конкурентні переваги мають тільки ті підприємства, які швидко реагують на зміни у зовнішньому середовищі і постійно оновлюють свій бізнес. Конкурентна боротьба і мінливі вимоги ринку підтримують високу інтенсивність впровадження інновацій у всіх сферах діяльності.</w:t>
      </w:r>
    </w:p>
    <w:p w14:paraId="2C833CF5" w14:textId="3333060A" w:rsidR="00DB21B7" w:rsidRPr="005F0419" w:rsidRDefault="00DB21B7" w:rsidP="00DB21B7">
      <w:pPr>
        <w:widowControl w:val="0"/>
        <w:tabs>
          <w:tab w:val="left" w:pos="2339"/>
          <w:tab w:val="left" w:pos="2738"/>
          <w:tab w:val="left" w:pos="3297"/>
          <w:tab w:val="left" w:pos="3732"/>
          <w:tab w:val="left" w:pos="4051"/>
          <w:tab w:val="left" w:pos="4487"/>
          <w:tab w:val="left" w:pos="5205"/>
          <w:tab w:val="left" w:pos="5597"/>
          <w:tab w:val="left" w:pos="5985"/>
          <w:tab w:val="left" w:pos="6478"/>
          <w:tab w:val="left" w:pos="6772"/>
          <w:tab w:val="left" w:pos="7095"/>
        </w:tabs>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 xml:space="preserve">В сучасних умовах глобалізації і ринкових відносин вплив інновацій на рівень конкурентоспроможності підприємств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набуває усе більшої актуальності. І</w:t>
      </w:r>
      <w:r w:rsidRPr="005F0419">
        <w:rPr>
          <w:rFonts w:ascii="Times New Roman" w:eastAsia="UGKQY+UQYY5303WU" w:hAnsi="Times New Roman" w:cs="Times New Roman"/>
          <w:sz w:val="28"/>
          <w:szCs w:val="28"/>
          <w:lang w:val="uk-UA"/>
        </w:rPr>
        <w:t xml:space="preserve">нвестори особливу увагу </w:t>
      </w:r>
      <w:r w:rsidR="000B6F24" w:rsidRPr="005F0419">
        <w:rPr>
          <w:rFonts w:ascii="Times New Roman" w:eastAsia="UGKQY+UQYY5303WU" w:hAnsi="Times New Roman" w:cs="Times New Roman"/>
          <w:sz w:val="28"/>
          <w:szCs w:val="28"/>
          <w:lang w:val="uk-UA"/>
        </w:rPr>
        <w:t>приділяють</w:t>
      </w:r>
      <w:r w:rsidRPr="005F0419">
        <w:rPr>
          <w:rFonts w:ascii="Times New Roman" w:eastAsia="UGKQY+UQYY5303WU" w:hAnsi="Times New Roman" w:cs="Times New Roman"/>
          <w:sz w:val="28"/>
          <w:szCs w:val="28"/>
          <w:lang w:val="uk-UA"/>
        </w:rPr>
        <w:t xml:space="preserve"> інноваціям,     тому     що</w:t>
      </w:r>
      <w:r w:rsidRPr="005F0419">
        <w:rPr>
          <w:rFonts w:ascii="Times New Roman" w:eastAsia="UGKQY+UQYY5303WU" w:hAnsi="Times New Roman" w:cs="Times New Roman"/>
          <w:sz w:val="28"/>
          <w:szCs w:val="28"/>
          <w:lang w:val="uk-UA"/>
        </w:rPr>
        <w:tab/>
        <w:t>в</w:t>
      </w:r>
      <w:r w:rsidRPr="005F0419">
        <w:rPr>
          <w:rFonts w:ascii="Times New Roman" w:eastAsia="UGKQY+UQYY5303WU" w:hAnsi="Times New Roman" w:cs="Times New Roman"/>
          <w:sz w:val="28"/>
          <w:szCs w:val="28"/>
          <w:lang w:val="uk-UA"/>
        </w:rPr>
        <w:tab/>
        <w:t xml:space="preserve">сучасних умовах господарювання саме інновації сприяють зростанню доходів компаній, слугують основою для забезпечення конкурентної переваги,     залучають     споживачів     новими     продуктами, послугами і технологіями. </w:t>
      </w:r>
      <w:r w:rsidRPr="005F0419">
        <w:rPr>
          <w:rFonts w:ascii="Times New Roman" w:eastAsia="SSWWL+U1BS19J3LU" w:hAnsi="Times New Roman" w:cs="Times New Roman"/>
          <w:sz w:val="28"/>
          <w:szCs w:val="28"/>
          <w:lang w:val="uk-UA"/>
        </w:rPr>
        <w:t xml:space="preserve">Отже, на сучасному етапі економічного розвитку </w:t>
      </w:r>
      <w:r w:rsidRPr="005F0419">
        <w:rPr>
          <w:rFonts w:ascii="Times New Roman" w:eastAsia="SSWWL+U1BS19J3LU" w:hAnsi="Times New Roman" w:cs="Times New Roman"/>
          <w:sz w:val="28"/>
          <w:szCs w:val="28"/>
          <w:lang w:val="uk-UA"/>
        </w:rPr>
        <w:lastRenderedPageBreak/>
        <w:t>нашої держави, для досягнення конкурентоспроможності продукції на внутрішньому і світовому ринках, головним напрямком слід вважати впровадження інновацій, які забезпечать безперервний розвиток виробничої системи,     оновлення</w:t>
      </w:r>
      <w:r w:rsidRPr="005F0419">
        <w:rPr>
          <w:rFonts w:ascii="Times New Roman" w:eastAsia="SSWWL+U1BS19J3LU" w:hAnsi="Times New Roman" w:cs="Times New Roman"/>
          <w:sz w:val="28"/>
          <w:szCs w:val="28"/>
          <w:lang w:val="uk-UA"/>
        </w:rPr>
        <w:tab/>
        <w:t>або     зміну</w:t>
      </w:r>
      <w:r w:rsidRPr="005F0419">
        <w:rPr>
          <w:rFonts w:ascii="Times New Roman" w:eastAsia="SSWWL+U1BS19J3LU" w:hAnsi="Times New Roman" w:cs="Times New Roman"/>
          <w:sz w:val="28"/>
          <w:szCs w:val="28"/>
          <w:lang w:val="uk-UA"/>
        </w:rPr>
        <w:tab/>
        <w:t>діяльності</w:t>
      </w:r>
      <w:r w:rsidRPr="005F0419">
        <w:rPr>
          <w:rFonts w:ascii="Times New Roman" w:eastAsia="SSWWL+U1BS19J3LU" w:hAnsi="Times New Roman" w:cs="Times New Roman"/>
          <w:sz w:val="28"/>
          <w:szCs w:val="28"/>
          <w:lang w:val="uk-UA"/>
        </w:rPr>
        <w:tab/>
        <w:t>на</w:t>
      </w:r>
      <w:r w:rsidRPr="005F0419">
        <w:rPr>
          <w:rFonts w:ascii="Times New Roman" w:eastAsia="SSWWL+U1BS19J3LU" w:hAnsi="Times New Roman" w:cs="Times New Roman"/>
          <w:sz w:val="28"/>
          <w:szCs w:val="28"/>
          <w:lang w:val="uk-UA"/>
        </w:rPr>
        <w:tab/>
        <w:t>основі</w:t>
      </w:r>
      <w:r w:rsidRPr="005F0419">
        <w:rPr>
          <w:rFonts w:ascii="Times New Roman" w:eastAsia="SSWWL+U1BS19J3LU" w:hAnsi="Times New Roman" w:cs="Times New Roman"/>
          <w:sz w:val="28"/>
          <w:szCs w:val="28"/>
          <w:lang w:val="uk-UA"/>
        </w:rPr>
        <w:tab/>
        <w:t>використання нововведень. Важливим елементом інноваційного процесу, як вирішального фактору забезпечення конкурентоспроможності, є інноваційний потенціал, який визначається як сукупність умов,</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матеріально-технічного оснащення,</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професійних та інформаційних  можливостей,  цінностей, що можуть стати основою  для модернізації і успішної діяльності підприємства в умовах ринкових відносин.</w:t>
      </w:r>
    </w:p>
    <w:p w14:paraId="20BDAB5C" w14:textId="77777777" w:rsidR="000B6F24" w:rsidRPr="005F0419" w:rsidRDefault="00DB21B7" w:rsidP="000B6F24">
      <w:pPr>
        <w:widowControl w:val="0"/>
        <w:tabs>
          <w:tab w:val="left" w:pos="2205"/>
          <w:tab w:val="left" w:pos="3493"/>
          <w:tab w:val="left" w:pos="5705"/>
          <w:tab w:val="left" w:pos="7058"/>
          <w:tab w:val="left" w:pos="7363"/>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Необхідність впровадження інновацій у діяльність підприємств галузі гостинності пов’язана з вимогами ринку, жорсткою конкурентною боротьбою у сфері послуг, яка з кожним роком посилюється, і мінливими вимогами споживачів. Досвід розвинених країн світу свідчить, що перспективним, стратегічно важливим напрямком розвитку сфери гостинності в Україні є впровадження інновацій, як визначальний ресурс підвищення конкурентоспроможності вітчизняної продукції, що забезпечить сталий розвиток</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підприємств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господарства в умовах ринкових відносин [1].</w:t>
      </w:r>
    </w:p>
    <w:p w14:paraId="6DAE50A9" w14:textId="6637A065" w:rsidR="00DB21B7" w:rsidRPr="005F0419" w:rsidRDefault="00DB21B7" w:rsidP="001C39E1">
      <w:pPr>
        <w:widowControl w:val="0"/>
        <w:tabs>
          <w:tab w:val="left" w:pos="2205"/>
          <w:tab w:val="left" w:pos="3493"/>
          <w:tab w:val="left" w:pos="5705"/>
          <w:tab w:val="left" w:pos="7058"/>
          <w:tab w:val="left" w:pos="7363"/>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Сучасний інноваційний розвиток індустрії гостинності в Україні спрямований на створення і впровадження новітніх технологій, які сприятимуть</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збільшенню кількості</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гостей</w:t>
      </w:r>
      <w:r w:rsidRPr="005F0419">
        <w:rPr>
          <w:rFonts w:ascii="Times New Roman" w:eastAsia="SSWWL+U1BS19J3LU" w:hAnsi="Times New Roman" w:cs="Times New Roman"/>
          <w:sz w:val="28"/>
          <w:szCs w:val="28"/>
          <w:lang w:val="uk-UA"/>
        </w:rPr>
        <w:tab/>
        <w:t>підприємств</w:t>
      </w:r>
      <w:r w:rsidR="000B6F24"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готельно</w:t>
      </w:r>
      <w:proofErr w:type="spellEnd"/>
      <w:r w:rsidR="000B6F2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ресторанного господарства, зростанню продажів, формуванню позитивного іміджу закладів розміщення і завоюванню довіри споживачів. Управління і контроль за  інноваційним розвитком являється  одним із ресурсів  ефективного функціонування підприємств сфери послуг у сучасному конкурентному бізнес-середовищі. Основний</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напрямок</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інноваційного розвитку</w:t>
      </w:r>
      <w:r w:rsidR="000B6F24"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підприємства полягає в освоєнні нової техніки і технологій, організації та контролі інноваційних процесів на підприємстві,</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соціальному</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розвитку підприємства, спрямованому на забезпечення вимог споживачів, підвищення </w:t>
      </w:r>
      <w:r w:rsidRPr="005F0419">
        <w:rPr>
          <w:rFonts w:ascii="Times New Roman" w:eastAsia="SSWWL+U1BS19J3LU" w:hAnsi="Times New Roman" w:cs="Times New Roman"/>
          <w:sz w:val="28"/>
          <w:szCs w:val="28"/>
          <w:lang w:val="uk-UA"/>
        </w:rPr>
        <w:lastRenderedPageBreak/>
        <w:t>конкурентоспроможності продукції</w:t>
      </w:r>
      <w:r w:rsidR="000B6F24" w:rsidRPr="005F0419">
        <w:rPr>
          <w:rFonts w:ascii="Times New Roman" w:eastAsia="SSWWL+U1BS19J3LU" w:hAnsi="Times New Roman" w:cs="Times New Roman"/>
          <w:sz w:val="28"/>
          <w:szCs w:val="28"/>
          <w:lang w:val="uk-UA"/>
        </w:rPr>
        <w:t xml:space="preserve"> т</w:t>
      </w:r>
      <w:r w:rsidRPr="005F0419">
        <w:rPr>
          <w:rFonts w:ascii="Times New Roman" w:eastAsia="SSWWL+U1BS19J3LU" w:hAnsi="Times New Roman" w:cs="Times New Roman"/>
          <w:sz w:val="28"/>
          <w:szCs w:val="28"/>
          <w:lang w:val="uk-UA"/>
        </w:rPr>
        <w:t>а</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економічну</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ефективність підприємства.</w:t>
      </w:r>
      <w:r w:rsidR="000B6F24" w:rsidRPr="005F0419">
        <w:rPr>
          <w:rFonts w:ascii="Times New Roman" w:eastAsia="SSWWL+U1BS19J3LU" w:hAnsi="Times New Roman" w:cs="Times New Roman"/>
          <w:sz w:val="28"/>
          <w:szCs w:val="28"/>
          <w:lang w:val="uk-UA"/>
        </w:rPr>
        <w:t xml:space="preserve"> </w:t>
      </w:r>
      <w:r w:rsidR="001C39E1" w:rsidRPr="005F0419">
        <w:rPr>
          <w:rFonts w:ascii="Times New Roman" w:eastAsia="SSWWL+U1BS19J3LU" w:hAnsi="Times New Roman" w:cs="Times New Roman"/>
          <w:sz w:val="28"/>
          <w:szCs w:val="28"/>
          <w:lang w:val="uk-UA"/>
        </w:rPr>
        <w:t xml:space="preserve"> </w:t>
      </w:r>
      <w:r w:rsidR="000B6F24" w:rsidRPr="005F0419">
        <w:rPr>
          <w:rFonts w:ascii="Times New Roman" w:eastAsia="SSWWL+U1BS19J3LU" w:hAnsi="Times New Roman" w:cs="Times New Roman"/>
          <w:sz w:val="28"/>
          <w:szCs w:val="28"/>
          <w:lang w:val="uk-UA"/>
        </w:rPr>
        <w:t>Для</w:t>
      </w:r>
      <w:r w:rsidRPr="005F0419">
        <w:rPr>
          <w:rFonts w:ascii="Times New Roman" w:eastAsia="SSWWL+U1BS19J3LU" w:hAnsi="Times New Roman" w:cs="Times New Roman"/>
          <w:sz w:val="28"/>
          <w:szCs w:val="28"/>
          <w:lang w:val="uk-UA"/>
        </w:rPr>
        <w:t xml:space="preserve"> науково обґрунтованого вибору</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прийнятної</w:t>
      </w:r>
      <w:r w:rsidR="000B6F2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для підприємства</w:t>
      </w:r>
      <w:r w:rsidR="001C39E1"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інновації,</w:t>
      </w:r>
      <w:r w:rsidR="000B6F24" w:rsidRPr="005F0419">
        <w:rPr>
          <w:rFonts w:ascii="Times New Roman" w:eastAsia="SSWWL+U1BS19J3LU" w:hAnsi="Times New Roman" w:cs="Times New Roman"/>
          <w:sz w:val="28"/>
          <w:szCs w:val="28"/>
          <w:lang w:val="uk-UA"/>
        </w:rPr>
        <w:t xml:space="preserve"> н</w:t>
      </w:r>
      <w:r w:rsidRPr="005F0419">
        <w:rPr>
          <w:rFonts w:ascii="Times New Roman" w:eastAsia="SSWWL+U1BS19J3LU" w:hAnsi="Times New Roman" w:cs="Times New Roman"/>
          <w:sz w:val="28"/>
          <w:szCs w:val="28"/>
          <w:lang w:val="uk-UA"/>
        </w:rPr>
        <w:t>еобхідно     оцінювати     внутрішні     можливості реалізації обраних інновацій, очікувану користь від їх впровадження, а також ризик від можливих втрат [2]</w:t>
      </w:r>
      <w:r w:rsidR="000B6F24" w:rsidRPr="005F0419">
        <w:rPr>
          <w:rFonts w:ascii="Times New Roman" w:eastAsia="SSWWL+U1BS19J3LU" w:hAnsi="Times New Roman" w:cs="Times New Roman"/>
          <w:sz w:val="28"/>
          <w:szCs w:val="28"/>
          <w:lang w:val="uk-UA"/>
        </w:rPr>
        <w:t>.</w:t>
      </w:r>
    </w:p>
    <w:p w14:paraId="53595C2E" w14:textId="64D15F0A" w:rsidR="00DB21B7" w:rsidRPr="005F0419" w:rsidRDefault="00DB21B7" w:rsidP="00DB21B7">
      <w:pPr>
        <w:widowControl w:val="0"/>
        <w:tabs>
          <w:tab w:val="left" w:pos="2401"/>
          <w:tab w:val="left" w:pos="3155"/>
          <w:tab w:val="left" w:pos="3438"/>
          <w:tab w:val="left" w:pos="4882"/>
          <w:tab w:val="left" w:pos="5241"/>
          <w:tab w:val="left" w:pos="5611"/>
          <w:tab w:val="left" w:pos="6217"/>
          <w:tab w:val="left" w:pos="6503"/>
          <w:tab w:val="left" w:pos="6877"/>
          <w:tab w:val="left" w:pos="7889"/>
        </w:tabs>
        <w:spacing w:after="0" w:line="360" w:lineRule="auto"/>
        <w:ind w:firstLine="720"/>
        <w:jc w:val="both"/>
        <w:rPr>
          <w:rFonts w:ascii="Times New Roman" w:hAnsi="Times New Roman" w:cs="Times New Roman"/>
          <w:spacing w:val="-4"/>
          <w:sz w:val="28"/>
          <w:szCs w:val="28"/>
          <w:lang w:val="uk-UA"/>
        </w:rPr>
      </w:pPr>
      <w:r w:rsidRPr="005F0419">
        <w:rPr>
          <w:rFonts w:ascii="Times New Roman" w:eastAsia="SSWWL+U1BS19J3LU" w:hAnsi="Times New Roman" w:cs="Times New Roman"/>
          <w:spacing w:val="-4"/>
          <w:sz w:val="28"/>
          <w:szCs w:val="28"/>
          <w:lang w:val="uk-UA"/>
        </w:rPr>
        <w:t>Євроінтеграція України у світову економічну систему значно посилила роль сфери послуг у сучасному суспільстві</w:t>
      </w:r>
      <w:r w:rsidR="001C39E1" w:rsidRPr="005F0419">
        <w:rPr>
          <w:rFonts w:ascii="Times New Roman" w:eastAsia="SSWWL+U1BS19J3LU" w:hAnsi="Times New Roman" w:cs="Times New Roman"/>
          <w:spacing w:val="-4"/>
          <w:sz w:val="28"/>
          <w:szCs w:val="28"/>
          <w:lang w:val="uk-UA"/>
        </w:rPr>
        <w:t xml:space="preserve"> </w:t>
      </w:r>
      <w:r w:rsidRPr="005F0419">
        <w:rPr>
          <w:rFonts w:ascii="Times New Roman" w:eastAsia="SSWWL+U1BS19J3LU" w:hAnsi="Times New Roman" w:cs="Times New Roman"/>
          <w:spacing w:val="-4"/>
          <w:sz w:val="28"/>
          <w:szCs w:val="28"/>
          <w:lang w:val="uk-UA"/>
        </w:rPr>
        <w:t>і</w:t>
      </w:r>
      <w:r w:rsidR="001C39E1" w:rsidRPr="005F0419">
        <w:rPr>
          <w:rFonts w:ascii="Times New Roman" w:eastAsia="SSWWL+U1BS19J3LU" w:hAnsi="Times New Roman" w:cs="Times New Roman"/>
          <w:spacing w:val="-4"/>
          <w:sz w:val="28"/>
          <w:szCs w:val="28"/>
          <w:lang w:val="uk-UA"/>
        </w:rPr>
        <w:t xml:space="preserve"> </w:t>
      </w:r>
      <w:r w:rsidRPr="005F0419">
        <w:rPr>
          <w:rFonts w:ascii="Times New Roman" w:eastAsia="SSWWL+U1BS19J3LU" w:hAnsi="Times New Roman" w:cs="Times New Roman"/>
          <w:spacing w:val="-4"/>
          <w:sz w:val="28"/>
          <w:szCs w:val="28"/>
          <w:lang w:val="uk-UA"/>
        </w:rPr>
        <w:t>її</w:t>
      </w:r>
      <w:r w:rsidR="001C39E1" w:rsidRPr="005F0419">
        <w:rPr>
          <w:rFonts w:ascii="Times New Roman" w:eastAsia="SSWWL+U1BS19J3LU" w:hAnsi="Times New Roman" w:cs="Times New Roman"/>
          <w:spacing w:val="-4"/>
          <w:sz w:val="28"/>
          <w:szCs w:val="28"/>
          <w:lang w:val="uk-UA"/>
        </w:rPr>
        <w:t xml:space="preserve"> </w:t>
      </w:r>
      <w:r w:rsidRPr="005F0419">
        <w:rPr>
          <w:rFonts w:ascii="Times New Roman" w:eastAsia="SSWWL+U1BS19J3LU" w:hAnsi="Times New Roman" w:cs="Times New Roman"/>
          <w:spacing w:val="-4"/>
          <w:sz w:val="28"/>
          <w:szCs w:val="28"/>
          <w:lang w:val="uk-UA"/>
        </w:rPr>
        <w:t>значення у розвитку</w:t>
      </w:r>
      <w:r w:rsidR="001C39E1" w:rsidRPr="005F0419">
        <w:rPr>
          <w:rFonts w:ascii="Times New Roman" w:eastAsia="SSWWL+U1BS19J3LU" w:hAnsi="Times New Roman" w:cs="Times New Roman"/>
          <w:spacing w:val="-4"/>
          <w:sz w:val="28"/>
          <w:szCs w:val="28"/>
          <w:lang w:val="uk-UA"/>
        </w:rPr>
        <w:t xml:space="preserve"> </w:t>
      </w:r>
      <w:r w:rsidRPr="005F0419">
        <w:rPr>
          <w:rFonts w:ascii="Times New Roman" w:eastAsia="SSWWL+U1BS19J3LU" w:hAnsi="Times New Roman" w:cs="Times New Roman"/>
          <w:spacing w:val="-4"/>
          <w:sz w:val="28"/>
          <w:szCs w:val="28"/>
          <w:lang w:val="uk-UA"/>
        </w:rPr>
        <w:t>національних та міжнаціональних зав’язків. Сфера послуг стала домінуючим елементом розвитку національних</w:t>
      </w:r>
      <w:r w:rsidR="001C39E1" w:rsidRPr="005F0419">
        <w:rPr>
          <w:rFonts w:ascii="Times New Roman" w:eastAsia="SSWWL+U1BS19J3LU" w:hAnsi="Times New Roman" w:cs="Times New Roman"/>
          <w:spacing w:val="-4"/>
          <w:sz w:val="28"/>
          <w:szCs w:val="28"/>
          <w:lang w:val="uk-UA"/>
        </w:rPr>
        <w:t xml:space="preserve"> </w:t>
      </w:r>
      <w:r w:rsidRPr="005F0419">
        <w:rPr>
          <w:rFonts w:ascii="Times New Roman" w:eastAsia="SSWWL+U1BS19J3LU" w:hAnsi="Times New Roman" w:cs="Times New Roman"/>
          <w:spacing w:val="-4"/>
          <w:sz w:val="28"/>
          <w:szCs w:val="28"/>
          <w:lang w:val="uk-UA"/>
        </w:rPr>
        <w:t xml:space="preserve">бізнес-процесів господарювання. Особливе місце у сегменті ринку послуг посідає сфера гостинності, яка активно розвивається і займає лідируючі позиції у всьому світі. Розвиток міжнародного туризму тісно пов'язаний з діяльністю </w:t>
      </w:r>
      <w:proofErr w:type="spellStart"/>
      <w:r w:rsidRPr="005F0419">
        <w:rPr>
          <w:rFonts w:ascii="Times New Roman" w:eastAsia="SSWWL+U1BS19J3LU" w:hAnsi="Times New Roman" w:cs="Times New Roman"/>
          <w:spacing w:val="-4"/>
          <w:sz w:val="28"/>
          <w:szCs w:val="28"/>
          <w:lang w:val="uk-UA"/>
        </w:rPr>
        <w:t>готельно</w:t>
      </w:r>
      <w:proofErr w:type="spellEnd"/>
      <w:r w:rsidRPr="005F0419">
        <w:rPr>
          <w:rFonts w:ascii="Times New Roman" w:eastAsia="SSWWL+U1BS19J3LU" w:hAnsi="Times New Roman" w:cs="Times New Roman"/>
          <w:spacing w:val="-4"/>
          <w:sz w:val="28"/>
          <w:szCs w:val="28"/>
          <w:lang w:val="uk-UA"/>
        </w:rPr>
        <w:t xml:space="preserve">-ресторанного бізнесу і суттєво впливає на економічний стан кожної держави. Шляхи розвитку сучасної </w:t>
      </w:r>
      <w:proofErr w:type="spellStart"/>
      <w:r w:rsidRPr="005F0419">
        <w:rPr>
          <w:rFonts w:ascii="Times New Roman" w:eastAsia="SSWWL+U1BS19J3LU" w:hAnsi="Times New Roman" w:cs="Times New Roman"/>
          <w:spacing w:val="-4"/>
          <w:sz w:val="28"/>
          <w:szCs w:val="28"/>
          <w:lang w:val="uk-UA"/>
        </w:rPr>
        <w:t>готельно</w:t>
      </w:r>
      <w:proofErr w:type="spellEnd"/>
      <w:r w:rsidRPr="005F0419">
        <w:rPr>
          <w:rFonts w:ascii="Times New Roman" w:eastAsia="SSWWL+U1BS19J3LU" w:hAnsi="Times New Roman" w:cs="Times New Roman"/>
          <w:spacing w:val="-4"/>
          <w:sz w:val="28"/>
          <w:szCs w:val="28"/>
          <w:lang w:val="uk-UA"/>
        </w:rPr>
        <w:t>-ресторанної індустрії тісно пов’язані</w:t>
      </w:r>
      <w:r w:rsidR="001C39E1" w:rsidRPr="005F0419">
        <w:rPr>
          <w:rFonts w:ascii="Times New Roman" w:eastAsia="SSWWL+U1BS19J3LU" w:hAnsi="Times New Roman" w:cs="Times New Roman"/>
          <w:spacing w:val="-4"/>
          <w:sz w:val="28"/>
          <w:szCs w:val="28"/>
          <w:lang w:val="uk-UA"/>
        </w:rPr>
        <w:t xml:space="preserve"> </w:t>
      </w:r>
      <w:r w:rsidRPr="005F0419">
        <w:rPr>
          <w:rFonts w:ascii="Times New Roman" w:eastAsia="SSWWL+U1BS19J3LU" w:hAnsi="Times New Roman" w:cs="Times New Roman"/>
          <w:spacing w:val="-4"/>
          <w:sz w:val="28"/>
          <w:szCs w:val="28"/>
          <w:lang w:val="uk-UA"/>
        </w:rPr>
        <w:t xml:space="preserve">з загальними змінами у функціонуванні національної і світової економіки. Слід відзначити, що в сучасних умовах ринкової економіки </w:t>
      </w:r>
      <w:proofErr w:type="spellStart"/>
      <w:r w:rsidRPr="005F0419">
        <w:rPr>
          <w:rFonts w:ascii="Times New Roman" w:eastAsia="SSWWL+U1BS19J3LU" w:hAnsi="Times New Roman" w:cs="Times New Roman"/>
          <w:spacing w:val="-4"/>
          <w:sz w:val="28"/>
          <w:szCs w:val="28"/>
          <w:lang w:val="uk-UA"/>
        </w:rPr>
        <w:t>готельно</w:t>
      </w:r>
      <w:proofErr w:type="spellEnd"/>
      <w:r w:rsidRPr="005F0419">
        <w:rPr>
          <w:rFonts w:ascii="Times New Roman" w:eastAsia="SSWWL+U1BS19J3LU" w:hAnsi="Times New Roman" w:cs="Times New Roman"/>
          <w:spacing w:val="-4"/>
          <w:sz w:val="28"/>
          <w:szCs w:val="28"/>
          <w:lang w:val="uk-UA"/>
        </w:rPr>
        <w:t xml:space="preserve">-ресторанний бізнес вважається невід'ємною частиною індустрії туризму, який сприяє розвитку міжнародних відносин, економічних і культурних зав’язків. В сучасних умовах ринкових відносин розвиток </w:t>
      </w:r>
      <w:proofErr w:type="spellStart"/>
      <w:r w:rsidRPr="005F0419">
        <w:rPr>
          <w:rFonts w:ascii="Times New Roman" w:eastAsia="SSWWL+U1BS19J3LU" w:hAnsi="Times New Roman" w:cs="Times New Roman"/>
          <w:spacing w:val="-4"/>
          <w:sz w:val="28"/>
          <w:szCs w:val="28"/>
          <w:lang w:val="uk-UA"/>
        </w:rPr>
        <w:t>готельно</w:t>
      </w:r>
      <w:proofErr w:type="spellEnd"/>
      <w:r w:rsidRPr="005F0419">
        <w:rPr>
          <w:rFonts w:ascii="Times New Roman" w:eastAsia="SSWWL+U1BS19J3LU" w:hAnsi="Times New Roman" w:cs="Times New Roman"/>
          <w:spacing w:val="-4"/>
          <w:sz w:val="28"/>
          <w:szCs w:val="28"/>
          <w:lang w:val="uk-UA"/>
        </w:rPr>
        <w:t>-ресторанного господарства необхідно розглядати як складову частину туристичного іміджу нашої країни,</w:t>
      </w:r>
      <w:r w:rsidR="001C39E1" w:rsidRPr="005F0419">
        <w:rPr>
          <w:rFonts w:ascii="Times New Roman" w:eastAsia="SSWWL+U1BS19J3LU" w:hAnsi="Times New Roman" w:cs="Times New Roman"/>
          <w:spacing w:val="-4"/>
          <w:sz w:val="28"/>
          <w:szCs w:val="28"/>
          <w:lang w:val="uk-UA"/>
        </w:rPr>
        <w:t xml:space="preserve"> </w:t>
      </w:r>
      <w:r w:rsidRPr="005F0419">
        <w:rPr>
          <w:rFonts w:ascii="Times New Roman" w:eastAsia="SSWWL+U1BS19J3LU" w:hAnsi="Times New Roman" w:cs="Times New Roman"/>
          <w:spacing w:val="-4"/>
          <w:sz w:val="28"/>
          <w:szCs w:val="28"/>
          <w:lang w:val="uk-UA"/>
        </w:rPr>
        <w:t xml:space="preserve">ефективним інструментом для подальшого спектру </w:t>
      </w:r>
      <w:r w:rsidR="001C39E1" w:rsidRPr="005F0419">
        <w:rPr>
          <w:rFonts w:ascii="Times New Roman" w:eastAsia="SSWWL+U1BS19J3LU" w:hAnsi="Times New Roman" w:cs="Times New Roman"/>
          <w:spacing w:val="-4"/>
          <w:sz w:val="28"/>
          <w:szCs w:val="28"/>
          <w:lang w:val="uk-UA"/>
        </w:rPr>
        <w:t xml:space="preserve"> </w:t>
      </w:r>
      <w:r w:rsidRPr="005F0419">
        <w:rPr>
          <w:rFonts w:ascii="Times New Roman" w:eastAsia="SSWWL+U1BS19J3LU" w:hAnsi="Times New Roman" w:cs="Times New Roman"/>
          <w:spacing w:val="-4"/>
          <w:sz w:val="28"/>
          <w:szCs w:val="28"/>
          <w:lang w:val="uk-UA"/>
        </w:rPr>
        <w:t>розширення внутрішнього  та міжнародного  туристичного бізнесу [3]</w:t>
      </w:r>
      <w:r w:rsidR="001C39E1" w:rsidRPr="005F0419">
        <w:rPr>
          <w:rFonts w:ascii="Times New Roman" w:eastAsia="SSWWL+U1BS19J3LU" w:hAnsi="Times New Roman" w:cs="Times New Roman"/>
          <w:spacing w:val="-4"/>
          <w:sz w:val="28"/>
          <w:szCs w:val="28"/>
          <w:lang w:val="uk-UA"/>
        </w:rPr>
        <w:t>.</w:t>
      </w:r>
    </w:p>
    <w:p w14:paraId="1B471C89" w14:textId="77777777" w:rsidR="001C39E1" w:rsidRPr="005F0419" w:rsidRDefault="00DB21B7" w:rsidP="00DB21B7">
      <w:pPr>
        <w:widowControl w:val="0"/>
        <w:tabs>
          <w:tab w:val="left" w:pos="2187"/>
          <w:tab w:val="left" w:pos="2691"/>
          <w:tab w:val="left" w:pos="3997"/>
          <w:tab w:val="left" w:pos="4323"/>
          <w:tab w:val="left" w:pos="5582"/>
          <w:tab w:val="left" w:pos="6710"/>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Розвитку національного готельного господарства у багатьох країнах світу приділяють особливу увагу, тому що готельний бізнес є найважливішим джерелом валютних надходжень до державного бюджету, сприяє доступу країни до міжнародного інвестиційного капіталу та більш глибокій інтеграції у світову економіку. Національні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-ресторанні комплекси мають 10% світового валового у якості частки національного продукту, що становить приблизно 11% від світових споживчих витрат. Ринок міжнародного туризму являється найбільшим сегментом економіки, який стрімко зростає, і вважається важливим джерелом валютних надходжень до державного бюджету багатьох країн світу. За даними Всесвітньої туристської організації (UNWTO), щорічний приріст </w:t>
      </w:r>
      <w:r w:rsidRPr="005F0419">
        <w:rPr>
          <w:rFonts w:ascii="Times New Roman" w:eastAsia="SSWWL+U1BS19J3LU" w:hAnsi="Times New Roman" w:cs="Times New Roman"/>
          <w:sz w:val="28"/>
          <w:szCs w:val="28"/>
          <w:lang w:val="uk-UA"/>
        </w:rPr>
        <w:lastRenderedPageBreak/>
        <w:t>ринку туристичних послуг зростає більше, ніж на 3 %. Кількість туристів, що відвідують розвинені країни світу, постійно зростає і, за оцінкою експертів, до 2030 року досягне 1 млрд. Туризм входить до трійки галузей, які можливо розвивати спільно з іншими країнами світу, що особливо важливо для України,</w:t>
      </w:r>
      <w:r w:rsidR="001C39E1"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яка інтегрується у міжнародну економіку.</w:t>
      </w:r>
    </w:p>
    <w:p w14:paraId="5A460435" w14:textId="77777777" w:rsidR="001C39E1" w:rsidRPr="005F0419" w:rsidRDefault="00DB21B7" w:rsidP="001C39E1">
      <w:pPr>
        <w:widowControl w:val="0"/>
        <w:tabs>
          <w:tab w:val="left" w:pos="2187"/>
          <w:tab w:val="left" w:pos="2691"/>
          <w:tab w:val="left" w:pos="3997"/>
          <w:tab w:val="left" w:pos="4323"/>
          <w:tab w:val="left" w:pos="5582"/>
          <w:tab w:val="left" w:pos="6710"/>
        </w:tabs>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Зацікавленість європейських бізнесових структур до нашої держави невпинно зростає, це пов’язано з швидким розвитком українського бізнесу, що активізує приїзд до нашої країни бізнесменів з різних куточків світу, а також з багатими природними рекреаційно-оздоровчими ресурсами і культурною спадщиною нашої держави. Розвиток міжнародного туристського та готельного бізнесу в України має велике значення у вирішенні проблем, пов’язаних з інтеграцією вітчизняної економіки у світовий економічний простір та отримання інвестицій для структурної перебудови готельного сектору економіки у відповідності до міжнародних стандартів. Слід відзначити, що поряд з фінансовими вливаннями, іноземні інвестори привносять в розвиток готельного бізнесу зацікавлених міжнародних фірм, сучасні організаційні технології, нові стандарти якості, новітні методи управління, а також сприяють налагодженню міжнародних відносин. Розвинена готельна галузь приносить високі доходи, позитивно впливає на імідж країни у світі, а також сприяє розвитку інфраструктури та підвищенню рівня життя населення. Україна, як європейська держава, має потужний потенціал для розвитку готельного бізнесу та туризму завдяки зручному розташуванню, багатим природно-рекреаційним ресурсам, сприятливому клімату, різноманітним природним зонам відпочинку, історико-культурним пам’яткам тощо. На території України міжнародні та внутрішні туристи можуть покращити своє здоров’я, використовуючи лікувальні грязі та морські курорти, лікувальні мінеральні води, гірськолижні курорти, унікальні соляні шахти, а також ознайомитись з історичними пам’ятками української культури. З розвитком туристичного бізнесу актуальним стає питання приведення готельного господарства країни до європейських стандартів [4].</w:t>
      </w:r>
    </w:p>
    <w:p w14:paraId="4953B184" w14:textId="6DC611B1" w:rsidR="00DB21B7" w:rsidRPr="005F0419" w:rsidRDefault="00DB21B7" w:rsidP="001C39E1">
      <w:pPr>
        <w:pageBreakBefore/>
        <w:widowControl w:val="0"/>
        <w:tabs>
          <w:tab w:val="left" w:pos="2187"/>
          <w:tab w:val="left" w:pos="2691"/>
          <w:tab w:val="left" w:pos="3997"/>
          <w:tab w:val="left" w:pos="4323"/>
          <w:tab w:val="left" w:pos="5582"/>
          <w:tab w:val="left" w:pos="6710"/>
        </w:tabs>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lastRenderedPageBreak/>
        <w:t>Готельні підприємства в структурі індустрії гостинності виконують ключові функції, тому що пропонують споживачам комплексний продукт, у формуванні якого беруть участь всі сектори економіки, які пов’язані з діяльністю туризму й гостинності. Як свідчить міжнародний досвід, стан і розвиток готельного господарства слід розглядати як один з основних факторів, які суттєво впливають на формування потужної туристичної індустрії в Україні і інтеграцію нашої держави у світовий економічний простір. Загальні вимоги до засобів розміщення, призначених для проживання відвідувачів, зазначені  в  ДСТУ 4268:2003 [5]</w:t>
      </w:r>
      <w:r w:rsidR="001C39E1" w:rsidRPr="005F0419">
        <w:rPr>
          <w:rFonts w:ascii="Times New Roman" w:eastAsia="SSWWL+U1BS19J3LU" w:hAnsi="Times New Roman" w:cs="Times New Roman"/>
          <w:sz w:val="28"/>
          <w:szCs w:val="28"/>
          <w:lang w:val="uk-UA"/>
        </w:rPr>
        <w:t>.</w:t>
      </w:r>
    </w:p>
    <w:p w14:paraId="23ACFE7C" w14:textId="77777777" w:rsidR="001C39E1" w:rsidRPr="005F0419" w:rsidRDefault="00DB21B7" w:rsidP="00DB21B7">
      <w:pPr>
        <w:widowControl w:val="0"/>
        <w:tabs>
          <w:tab w:val="left" w:pos="2350"/>
          <w:tab w:val="left" w:pos="3438"/>
          <w:tab w:val="left" w:pos="4236"/>
          <w:tab w:val="left" w:pos="5673"/>
          <w:tab w:val="left" w:pos="6852"/>
          <w:tab w:val="left" w:pos="7679"/>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Стрімкий розвиток міжнародного, внутрішнього та ділового туризму в усьому світі висуває підвищені вимоги до діяльності підприємств сфери гостинності і якості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сервісу. Незважаючи на те, що Україна має багаті ресурси та необмежені туристичні можливості, вона все ще має недостатній рівень  конкурентоспроможності по відношенню до  розвинених  європейських країн. Рівень сервісного обслуговування відвідувачів  на підприємствах готельного бізнесу не відповідає міжнародному рівню.</w:t>
      </w:r>
      <w:r w:rsidR="001C39E1" w:rsidRPr="005F0419">
        <w:rPr>
          <w:rFonts w:ascii="Times New Roman" w:eastAsia="SSWWL+U1BS19J3LU" w:hAnsi="Times New Roman" w:cs="Times New Roman"/>
          <w:sz w:val="28"/>
          <w:szCs w:val="28"/>
          <w:lang w:val="uk-UA"/>
        </w:rPr>
        <w:t xml:space="preserve"> </w:t>
      </w:r>
    </w:p>
    <w:p w14:paraId="3E3244DF" w14:textId="77777777" w:rsidR="001C39E1" w:rsidRPr="005F0419" w:rsidRDefault="00DB21B7" w:rsidP="001C39E1">
      <w:pPr>
        <w:widowControl w:val="0"/>
        <w:tabs>
          <w:tab w:val="left" w:pos="2350"/>
          <w:tab w:val="left" w:pos="3438"/>
          <w:tab w:val="left" w:pos="4236"/>
          <w:tab w:val="left" w:pos="5673"/>
          <w:tab w:val="left" w:pos="6852"/>
          <w:tab w:val="left" w:pos="7679"/>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Підприємства готельного бізнесу потребують значної реконструкції матеріально-технічної бази, об’єму і якості послуг, що надаються в закладах розміщення. Тому для розвитку і ефективної діяльності індустрії гостинності в Україні вирішальне значення має впровадження інновацій, які дозволять підвищити якість послуг до рівня міжнародних стандартів і забезпечити конкурентоспроможність готельного продукту на світовому ринку. У 2017 році Кабінет Міністрів України розглянув стан та можливості розвитку індустрії гостинності в Україні і затвердив стратегічний план розвитку туризму та курортів до 2026 року [6].</w:t>
      </w:r>
    </w:p>
    <w:p w14:paraId="692E5988" w14:textId="77777777" w:rsidR="006F30A5" w:rsidRPr="005F0419" w:rsidRDefault="00DB21B7" w:rsidP="001C39E1">
      <w:pPr>
        <w:widowControl w:val="0"/>
        <w:tabs>
          <w:tab w:val="left" w:pos="2350"/>
          <w:tab w:val="left" w:pos="3438"/>
          <w:tab w:val="left" w:pos="4236"/>
          <w:tab w:val="left" w:pos="5673"/>
          <w:tab w:val="left" w:pos="6852"/>
          <w:tab w:val="left" w:pos="7679"/>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Проведений аналіз успіху готельного бізнесу західних країн світу дозволив виділити основні</w:t>
      </w:r>
      <w:r w:rsidRPr="005F0419">
        <w:rPr>
          <w:rFonts w:ascii="Times New Roman" w:eastAsia="SSWWL+U1BS19J3LU" w:hAnsi="Times New Roman" w:cs="Times New Roman"/>
          <w:sz w:val="28"/>
          <w:szCs w:val="28"/>
          <w:lang w:val="uk-UA"/>
        </w:rPr>
        <w:tab/>
        <w:t>напрямки, як</w:t>
      </w:r>
      <w:r w:rsidRPr="005F0419">
        <w:rPr>
          <w:rFonts w:ascii="Times New Roman" w:eastAsia="SSWWL+U1BS19J3LU" w:hAnsi="Times New Roman" w:cs="Times New Roman"/>
          <w:sz w:val="28"/>
          <w:szCs w:val="28"/>
          <w:lang w:val="uk-UA"/>
        </w:rPr>
        <w:tab/>
        <w:t>забезпечили</w:t>
      </w:r>
      <w:r w:rsidR="001C39E1"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йому</w:t>
      </w:r>
      <w:r w:rsidR="001C39E1"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конкурентоспроможність і лідируючи позиції на світовому ринку готельних послуг. До них відноситься: потужне нарощування матеріально-технічної бази і орієнтація на різні прошарки населення, підвищення доступності готельних послуг для масового споживача, </w:t>
      </w:r>
      <w:r w:rsidRPr="005F0419">
        <w:rPr>
          <w:rFonts w:ascii="Times New Roman" w:eastAsia="SSWWL+U1BS19J3LU" w:hAnsi="Times New Roman" w:cs="Times New Roman"/>
          <w:sz w:val="28"/>
          <w:szCs w:val="28"/>
          <w:lang w:val="uk-UA"/>
        </w:rPr>
        <w:lastRenderedPageBreak/>
        <w:t>персоніфікація обслуговування і задоволення потреб гостей закладів розміщення, широке впровадження інформаційних</w:t>
      </w:r>
      <w:r w:rsidR="001C39E1"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систем управління та технологічного забезпечення, використання новітніх технологій у діловій стратегії готельного бізнесу, використання Інтернету для поширення інформації відносно діяльності готельних закладів та додаткових послугах, впровадження сучасних комп’ютерних систем бронювання та резервування тощо. У теперішній час основну увагу приділяють збереженню часу, грошей та енергії. Потенційний споживач бажає отримати із Інтернет мережі всю інформацію відносно розташування готелю, цінової політики, пільг і додаткових послуг, асортименту страв у ресторані, оцінити свої бажання і можливості, не витрачаючи зайвого часу на пошуки, і забронювати номер, який його влаштовує [7]. Слід відзначити, що в теперішній час більшість готельних закладів орієнтується на бізнес-туристів і створює всі умови для проведення різноманітних ділових зустрічей, конференцій, з’їздів, що дозволяє їм не втрачати доходи в період міжсезоння, коли кількість споживачів готельних послуг суттєво зменшується. Ще одним напрямком розвитку готельного бізнесу є забезпечення умов для задоволення бажання людей дотримуватись здорового способу життя. Значна кількість готелів, для залучення нових туристів, відкриває фітнес-центри, </w:t>
      </w:r>
      <w:proofErr w:type="spellStart"/>
      <w:r w:rsidRPr="005F0419">
        <w:rPr>
          <w:rFonts w:ascii="Times New Roman" w:eastAsia="SSWWL+U1BS19J3LU" w:hAnsi="Times New Roman" w:cs="Times New Roman"/>
          <w:sz w:val="28"/>
          <w:szCs w:val="28"/>
          <w:lang w:val="uk-UA"/>
        </w:rPr>
        <w:t>spa</w:t>
      </w:r>
      <w:proofErr w:type="spellEnd"/>
      <w:r w:rsidRPr="005F0419">
        <w:rPr>
          <w:rFonts w:ascii="Times New Roman" w:eastAsia="SSWWL+U1BS19J3LU" w:hAnsi="Times New Roman" w:cs="Times New Roman"/>
          <w:sz w:val="28"/>
          <w:szCs w:val="28"/>
          <w:lang w:val="uk-UA"/>
        </w:rPr>
        <w:t>-салони, басейни, масажні кабінети тощо, а також ресторани, які здатні задовольнити потреби і бажання кожного споживача готелю в залежності від національності і уподобань:</w:t>
      </w:r>
      <w:r w:rsidRPr="005F0419">
        <w:rPr>
          <w:rFonts w:ascii="Times New Roman"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розробляються різноманітні меню оздоровчого, національного та дієтичного </w:t>
      </w:r>
      <w:r w:rsidRPr="005F0419">
        <w:rPr>
          <w:rFonts w:ascii="Times New Roman" w:eastAsia="NKUSB+DejaVuSans" w:hAnsi="Times New Roman" w:cs="Times New Roman"/>
          <w:sz w:val="28"/>
          <w:szCs w:val="28"/>
          <w:lang w:val="uk-UA"/>
        </w:rPr>
        <w:t>спрямування</w:t>
      </w:r>
      <w:r w:rsidR="001C39E1" w:rsidRPr="005F0419">
        <w:rPr>
          <w:rFonts w:ascii="Times New Roman" w:eastAsia="NKUSB+DejaVuSans" w:hAnsi="Times New Roman" w:cs="Times New Roman"/>
          <w:sz w:val="28"/>
          <w:szCs w:val="28"/>
          <w:lang w:val="uk-UA"/>
        </w:rPr>
        <w:t xml:space="preserve"> </w:t>
      </w:r>
      <w:r w:rsidRPr="005F0419">
        <w:rPr>
          <w:rFonts w:ascii="Times New Roman" w:eastAsia="SSWWL+U1BS19J3LU" w:hAnsi="Times New Roman" w:cs="Times New Roman"/>
          <w:sz w:val="28"/>
          <w:szCs w:val="28"/>
          <w:lang w:val="uk-UA"/>
        </w:rPr>
        <w:t>[8]</w:t>
      </w:r>
      <w:r w:rsidR="001C39E1" w:rsidRPr="005F0419">
        <w:rPr>
          <w:rFonts w:ascii="Times New Roman" w:eastAsia="SSWWL+U1BS19J3LU" w:hAnsi="Times New Roman" w:cs="Times New Roman"/>
          <w:sz w:val="28"/>
          <w:szCs w:val="28"/>
          <w:lang w:val="uk-UA"/>
        </w:rPr>
        <w:t>.</w:t>
      </w:r>
    </w:p>
    <w:p w14:paraId="2423897B" w14:textId="77777777" w:rsidR="006F30A5" w:rsidRPr="005F0419" w:rsidRDefault="00DB21B7" w:rsidP="006F30A5">
      <w:pPr>
        <w:widowControl w:val="0"/>
        <w:tabs>
          <w:tab w:val="left" w:pos="2350"/>
          <w:tab w:val="left" w:pos="3438"/>
          <w:tab w:val="left" w:pos="4236"/>
          <w:tab w:val="left" w:pos="5673"/>
          <w:tab w:val="left" w:pos="6852"/>
          <w:tab w:val="left" w:pos="7679"/>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Сучасний розвиток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-ресторанної  індустрії  спрямований на  впровадження інноваційних технологій, які спрямовані на завоювання довіри споживача, максимальну кількість продажів готельного продукту, залучення більшої</w:t>
      </w:r>
      <w:r w:rsidRPr="005F0419">
        <w:rPr>
          <w:rFonts w:ascii="Times New Roman"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кількості гостей. Особливих успіхів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-ресторанні підприємства досягли за рахунок встановлення  сучасних систем управління з використанням інформаційних технологій. Враховуючи, що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-ресторанний бізнес є галуззю, оперативна діяльність якої пов’язана з використанням великої кількості різноманітної інформації,</w:t>
      </w:r>
      <w:r w:rsidRPr="005F0419">
        <w:rPr>
          <w:rFonts w:ascii="Times New Roman" w:eastAsia="SSWWL+U1BS19J3LU" w:hAnsi="Times New Roman" w:cs="Times New Roman"/>
          <w:sz w:val="28"/>
          <w:szCs w:val="28"/>
          <w:lang w:val="uk-UA"/>
        </w:rPr>
        <w:tab/>
        <w:t xml:space="preserve">успіх функціонування галузі значною мірою </w:t>
      </w:r>
      <w:r w:rsidRPr="005F0419">
        <w:rPr>
          <w:rFonts w:ascii="Times New Roman" w:eastAsia="SSWWL+U1BS19J3LU" w:hAnsi="Times New Roman" w:cs="Times New Roman"/>
          <w:sz w:val="28"/>
          <w:szCs w:val="28"/>
          <w:lang w:val="uk-UA"/>
        </w:rPr>
        <w:lastRenderedPageBreak/>
        <w:t xml:space="preserve">визначає актуальність, швидкість передачі, своєчасне отримання і обмін необхідною інформацією. У зв’язку з цим, розвиток сфери гостинності пов'язаний з широким впровадженням новітніх інформаційних технологій в діяльність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що підвищить</w:t>
      </w:r>
      <w:r w:rsidRPr="005F0419">
        <w:rPr>
          <w:rFonts w:ascii="Times New Roman" w:eastAsia="SSWWL+U1BS19J3LU" w:hAnsi="Times New Roman" w:cs="Times New Roman"/>
          <w:sz w:val="28"/>
          <w:szCs w:val="28"/>
          <w:lang w:val="uk-UA"/>
        </w:rPr>
        <w:tab/>
        <w:t>якість</w:t>
      </w:r>
      <w:r w:rsidRPr="005F0419">
        <w:rPr>
          <w:rFonts w:ascii="Times New Roman" w:eastAsia="SSWWL+U1BS19J3LU" w:hAnsi="Times New Roman" w:cs="Times New Roman"/>
          <w:sz w:val="28"/>
          <w:szCs w:val="28"/>
          <w:lang w:val="uk-UA"/>
        </w:rPr>
        <w:tab/>
        <w:t>продукції</w:t>
      </w:r>
      <w:r w:rsidR="006F30A5"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і</w:t>
      </w:r>
      <w:r w:rsidR="006F30A5"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забезпечить конкурентоспроможність на ринку послуг. Готельна індустрія отримала можливість використовувати різноманітні комп’ютерні технології, починаючи від спеціалізованих програмних систем</w:t>
      </w:r>
      <w:r w:rsidR="006F30A5"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управління готельним підприємством, до застосування глобальних комп’ютерних мереж. До їх складу відносяться такі     новітні інформаційні технологій, як: світові  комп’ютерні системи бронювання,  комунікаційні  інтегровані мережі, системи мультимедіа, інформаційні системи управління та безпеки. У готельному бізнесі широко використовується пряма розсилка готельної інформації електронною поштою – </w:t>
      </w:r>
      <w:proofErr w:type="spellStart"/>
      <w:r w:rsidRPr="005F0419">
        <w:rPr>
          <w:rFonts w:ascii="Times New Roman" w:eastAsia="SSWWL+U1BS19J3LU" w:hAnsi="Times New Roman" w:cs="Times New Roman"/>
          <w:sz w:val="28"/>
          <w:szCs w:val="28"/>
          <w:lang w:val="uk-UA"/>
        </w:rPr>
        <w:t>direct</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mail</w:t>
      </w:r>
      <w:proofErr w:type="spellEnd"/>
      <w:r w:rsidRPr="005F0419">
        <w:rPr>
          <w:rFonts w:ascii="Times New Roman" w:eastAsia="SSWWL+U1BS19J3LU" w:hAnsi="Times New Roman" w:cs="Times New Roman"/>
          <w:sz w:val="28"/>
          <w:szCs w:val="28"/>
          <w:lang w:val="uk-UA"/>
        </w:rPr>
        <w:t>, що дозволяє швидко зв’язатись з різними компаніями. Останнім часом готельні підприємства створили свої власні сайти в Інтернеті, що забезпечує просування готельного продукту на ринку послуг.</w:t>
      </w:r>
    </w:p>
    <w:p w14:paraId="25589C39" w14:textId="056040BC" w:rsidR="008922C4" w:rsidRPr="005F0419" w:rsidRDefault="00DB21B7" w:rsidP="008922C4">
      <w:pPr>
        <w:widowControl w:val="0"/>
        <w:tabs>
          <w:tab w:val="left" w:pos="2350"/>
          <w:tab w:val="left" w:pos="3438"/>
          <w:tab w:val="left" w:pos="4236"/>
          <w:tab w:val="left" w:pos="5673"/>
          <w:tab w:val="left" w:pos="6852"/>
          <w:tab w:val="left" w:pos="7679"/>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Особливою популярністю користуються інформаційні системи CRM (</w:t>
      </w:r>
      <w:proofErr w:type="spellStart"/>
      <w:r w:rsidRPr="005F0419">
        <w:rPr>
          <w:rFonts w:ascii="Times New Roman" w:eastAsia="SSWWL+U1BS19J3LU" w:hAnsi="Times New Roman" w:cs="Times New Roman"/>
          <w:sz w:val="28"/>
          <w:szCs w:val="28"/>
          <w:lang w:val="uk-UA"/>
        </w:rPr>
        <w:t>Customer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Relationship</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Management</w:t>
      </w:r>
      <w:proofErr w:type="spellEnd"/>
      <w:r w:rsidRPr="005F0419">
        <w:rPr>
          <w:rFonts w:ascii="Times New Roman" w:eastAsia="SSWWL+U1BS19J3LU" w:hAnsi="Times New Roman" w:cs="Times New Roman"/>
          <w:sz w:val="28"/>
          <w:szCs w:val="28"/>
          <w:lang w:val="uk-UA"/>
        </w:rPr>
        <w:t xml:space="preserve">) </w:t>
      </w:r>
      <w:r w:rsidR="006F30A5"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та</w:t>
      </w:r>
      <w:r w:rsidR="006F30A5"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ERP (</w:t>
      </w:r>
      <w:proofErr w:type="spellStart"/>
      <w:r w:rsidRPr="005F0419">
        <w:rPr>
          <w:rFonts w:ascii="Times New Roman" w:eastAsia="SSWWL+U1BS19J3LU" w:hAnsi="Times New Roman" w:cs="Times New Roman"/>
          <w:sz w:val="28"/>
          <w:szCs w:val="28"/>
          <w:lang w:val="uk-UA"/>
        </w:rPr>
        <w:t>Enterprise</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Resource</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Planning</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System</w:t>
      </w:r>
      <w:proofErr w:type="spellEnd"/>
      <w:r w:rsidRPr="005F0419">
        <w:rPr>
          <w:rFonts w:ascii="Times New Roman" w:eastAsia="SSWWL+U1BS19J3LU" w:hAnsi="Times New Roman" w:cs="Times New Roman"/>
          <w:sz w:val="28"/>
          <w:szCs w:val="28"/>
          <w:lang w:val="uk-UA"/>
        </w:rPr>
        <w:t xml:space="preserve">   [9]. CRM-системи     представляють     собою     прикладне     програмне забезпечення, яке призначено для автоматизованої реалізації стратегій взаємодії з споживачами, підвищення рівня продаж, оптимізації маркетингу і поліпшення обслуговування шляхом збереження інформації взаємодії з споживачами. Високою надійністю і зручністю характеризуються комп’ютерні системи резервування номерів CRS (</w:t>
      </w:r>
      <w:proofErr w:type="spellStart"/>
      <w:r w:rsidRPr="005F0419">
        <w:rPr>
          <w:rFonts w:ascii="Times New Roman" w:eastAsia="SSWWL+U1BS19J3LU" w:hAnsi="Times New Roman" w:cs="Times New Roman"/>
          <w:sz w:val="28"/>
          <w:szCs w:val="28"/>
          <w:lang w:val="uk-UA"/>
        </w:rPr>
        <w:t>Computer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Reservation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System</w:t>
      </w:r>
      <w:proofErr w:type="spellEnd"/>
      <w:r w:rsidRPr="005F0419">
        <w:rPr>
          <w:rFonts w:ascii="Times New Roman" w:eastAsia="SSWWL+U1BS19J3LU" w:hAnsi="Times New Roman" w:cs="Times New Roman"/>
          <w:sz w:val="28"/>
          <w:szCs w:val="28"/>
          <w:lang w:val="uk-UA"/>
        </w:rPr>
        <w:t xml:space="preserve">), що дозволило прискорити процес поселення, здійснюючи його в режимі реального часу, та підвищити якість послуг за рахунок скорочення тривалості     обслуговування гостей закладів розміщення.  На сьогодні інформаційні технології виконують особливу роль в роботі з обслуговування туристів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-ресторанного комплексу . Вони значно раціоналізують  роботу персоналу готелів і ресторанів, дозволяють швидко вирішувати проблеми, пов’язаними з бажаннями споживачів, забезпечувати комфортні умови проживання і відпочинку, що </w:t>
      </w:r>
      <w:r w:rsidRPr="005F0419">
        <w:rPr>
          <w:rFonts w:ascii="Times New Roman" w:eastAsia="SSWWL+U1BS19J3LU" w:hAnsi="Times New Roman" w:cs="Times New Roman"/>
          <w:sz w:val="28"/>
          <w:szCs w:val="28"/>
          <w:lang w:val="uk-UA"/>
        </w:rPr>
        <w:lastRenderedPageBreak/>
        <w:t>підвищує рівень якості та задоволення сервісним обслуговуванням</w:t>
      </w:r>
      <w:r w:rsidR="006F30A5"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[9]. Впровадження інформаційних технологій  в готельному </w:t>
      </w:r>
      <w:r w:rsidR="006F30A5" w:rsidRPr="005F0419">
        <w:rPr>
          <w:rFonts w:ascii="Times New Roman" w:eastAsia="SSWWL+U1BS19J3LU" w:hAnsi="Times New Roman" w:cs="Times New Roman"/>
          <w:sz w:val="28"/>
          <w:szCs w:val="28"/>
          <w:lang w:val="uk-UA"/>
        </w:rPr>
        <w:t>господарстві</w:t>
      </w:r>
      <w:r w:rsidRPr="005F0419">
        <w:rPr>
          <w:rFonts w:ascii="Times New Roman" w:eastAsia="SSWWL+U1BS19J3LU" w:hAnsi="Times New Roman" w:cs="Times New Roman"/>
          <w:sz w:val="28"/>
          <w:szCs w:val="28"/>
          <w:lang w:val="uk-UA"/>
        </w:rPr>
        <w:t xml:space="preserve">  дозволяє одночасно проводити облік економічних, екологічних і функціональних аспектів діяльності закладів розміщення і ресторанів, капіталовкладень і витрат виробництва, що значно покращує якість обслуговування, комфорт і задоволення потреб споживачів. Для покращення управління готельним комплексом і вирішення проблем розміщення та відпочинку, все </w:t>
      </w:r>
      <w:r w:rsidR="006F30A5" w:rsidRPr="005F0419">
        <w:rPr>
          <w:rFonts w:ascii="Times New Roman" w:eastAsia="SSWWL+U1BS19J3LU" w:hAnsi="Times New Roman" w:cs="Times New Roman"/>
          <w:sz w:val="28"/>
          <w:szCs w:val="28"/>
          <w:lang w:val="uk-UA"/>
        </w:rPr>
        <w:t>ч</w:t>
      </w:r>
      <w:r w:rsidRPr="005F0419">
        <w:rPr>
          <w:rFonts w:ascii="Times New Roman" w:eastAsia="SSWWL+U1BS19J3LU" w:hAnsi="Times New Roman" w:cs="Times New Roman"/>
          <w:sz w:val="28"/>
          <w:szCs w:val="28"/>
          <w:lang w:val="uk-UA"/>
        </w:rPr>
        <w:t>астіше використовуютьс</w:t>
      </w:r>
      <w:r w:rsidR="006F30A5" w:rsidRPr="005F0419">
        <w:rPr>
          <w:rFonts w:ascii="Times New Roman" w:eastAsia="SSWWL+U1BS19J3LU" w:hAnsi="Times New Roman" w:cs="Times New Roman"/>
          <w:sz w:val="28"/>
          <w:szCs w:val="28"/>
          <w:lang w:val="uk-UA"/>
        </w:rPr>
        <w:t xml:space="preserve">я </w:t>
      </w:r>
      <w:r w:rsidRPr="005F0419">
        <w:rPr>
          <w:rFonts w:ascii="Times New Roman" w:eastAsia="SSWWL+U1BS19J3LU" w:hAnsi="Times New Roman" w:cs="Times New Roman"/>
          <w:sz w:val="28"/>
          <w:szCs w:val="28"/>
          <w:lang w:val="uk-UA"/>
        </w:rPr>
        <w:t>інформаційні технології попереднього замовлення.</w:t>
      </w:r>
      <w:r w:rsidR="008922C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Використання готельним підприємствам сучасних електронних програм своєчасно </w:t>
      </w:r>
      <w:r w:rsidR="008922C4" w:rsidRPr="005F0419">
        <w:rPr>
          <w:rFonts w:ascii="Times New Roman" w:eastAsia="SSWWL+U1BS19J3LU" w:hAnsi="Times New Roman" w:cs="Times New Roman"/>
          <w:sz w:val="28"/>
          <w:szCs w:val="28"/>
          <w:lang w:val="uk-UA"/>
        </w:rPr>
        <w:t>допомагає</w:t>
      </w:r>
      <w:r w:rsidRPr="005F0419">
        <w:rPr>
          <w:rFonts w:ascii="Times New Roman" w:eastAsia="SSWWL+U1BS19J3LU" w:hAnsi="Times New Roman" w:cs="Times New Roman"/>
          <w:sz w:val="28"/>
          <w:szCs w:val="28"/>
          <w:lang w:val="uk-UA"/>
        </w:rPr>
        <w:t xml:space="preserve"> контролювати якість і безпеку наданих послуг. Системи управління OPERA </w:t>
      </w:r>
      <w:proofErr w:type="spellStart"/>
      <w:r w:rsidRPr="005F0419">
        <w:rPr>
          <w:rFonts w:ascii="Times New Roman" w:eastAsia="SSWWL+U1BS19J3LU" w:hAnsi="Times New Roman" w:cs="Times New Roman"/>
          <w:sz w:val="28"/>
          <w:szCs w:val="28"/>
          <w:lang w:val="uk-UA"/>
        </w:rPr>
        <w:t>Enterprise</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Solution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Micros-Fidelio</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KeiHotel</w:t>
      </w:r>
      <w:proofErr w:type="spellEnd"/>
      <w:r w:rsidRPr="005F0419">
        <w:rPr>
          <w:rFonts w:ascii="Times New Roman" w:eastAsia="SSWWL+U1BS19J3LU" w:hAnsi="Times New Roman" w:cs="Times New Roman"/>
          <w:sz w:val="28"/>
          <w:szCs w:val="28"/>
          <w:lang w:val="uk-UA"/>
        </w:rPr>
        <w:t xml:space="preserve"> вважаються найкращими у вирішенні проблем, пов’язаних з функціональним управлінням готельними підприємствами, які забезпечують: аналіз фінансів і собівартості, управління фінансами, матеріальними потоками, якістю і реалізацією продукції і послуг</w:t>
      </w:r>
      <w:r w:rsidR="008922C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[10]</w:t>
      </w:r>
      <w:r w:rsidR="008922C4" w:rsidRPr="005F0419">
        <w:rPr>
          <w:rFonts w:ascii="Times New Roman" w:eastAsia="SSWWL+U1BS19J3LU" w:hAnsi="Times New Roman" w:cs="Times New Roman"/>
          <w:sz w:val="28"/>
          <w:szCs w:val="28"/>
          <w:lang w:val="uk-UA"/>
        </w:rPr>
        <w:t>.</w:t>
      </w:r>
    </w:p>
    <w:p w14:paraId="0730792F" w14:textId="5C93B8B5" w:rsidR="00DB21B7" w:rsidRPr="005F0419" w:rsidRDefault="00DB21B7" w:rsidP="008922C4">
      <w:pPr>
        <w:widowControl w:val="0"/>
        <w:tabs>
          <w:tab w:val="left" w:pos="2350"/>
          <w:tab w:val="left" w:pos="3438"/>
          <w:tab w:val="left" w:pos="4236"/>
          <w:tab w:val="left" w:pos="5673"/>
          <w:tab w:val="left" w:pos="6852"/>
          <w:tab w:val="left" w:pos="7679"/>
        </w:tabs>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Корпоративні системи ERP</w:t>
      </w:r>
      <w:r w:rsidR="008922C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Enterprise</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Resource</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Planning</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System</w:t>
      </w:r>
      <w:proofErr w:type="spellEnd"/>
      <w:r w:rsidRPr="005F0419">
        <w:rPr>
          <w:rFonts w:ascii="Times New Roman" w:eastAsia="SSWWL+U1BS19J3LU" w:hAnsi="Times New Roman" w:cs="Times New Roman"/>
          <w:sz w:val="28"/>
          <w:szCs w:val="28"/>
          <w:lang w:val="uk-UA"/>
        </w:rPr>
        <w:t>)  призначені для аналізу, контролю ресурсів та  автоматизації обліку й управління  підприємства.  Ці системи охоплюють усі головні  процеси діяльності підприємства і розробляються за модульною схемою [11].  Вибір ефективного програмного забезпечення  значно впливає на оперативність обробки інформації, імідж підприємства та результати господарської діяльності. Слід відзначити, що ERP-системи забезпечуються різноманітними модулями, призначеними для управління виробництвом і фінансами, розподілу запасів, сервісного обслуговування,</w:t>
      </w:r>
      <w:r w:rsidRPr="005F0419">
        <w:rPr>
          <w:rFonts w:ascii="Times New Roman" w:eastAsia="SSWWL+U1BS19J3LU" w:hAnsi="Times New Roman" w:cs="Times New Roman"/>
          <w:sz w:val="28"/>
          <w:szCs w:val="28"/>
          <w:lang w:val="uk-UA"/>
        </w:rPr>
        <w:tab/>
        <w:t>забезпечення якості</w:t>
      </w:r>
      <w:r w:rsidR="008922C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тощо. Невеликим</w:t>
      </w:r>
      <w:r w:rsidR="008922C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туристичним</w:t>
      </w:r>
      <w:r w:rsidR="008922C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підприємствам, яким не потрібні великі бази даних, для інформатизації бізнесу використовують переважно веб-браузер, пакет MS Office, а туристичні готелі з великою базою відвідувачів для роботи використовують CRM-системи. В готелях, для автоматизації бізнес-процесів, використовують RMS (</w:t>
      </w:r>
      <w:proofErr w:type="spellStart"/>
      <w:r w:rsidRPr="005F0419">
        <w:rPr>
          <w:rFonts w:ascii="Times New Roman" w:eastAsia="SSWWL+U1BS19J3LU" w:hAnsi="Times New Roman" w:cs="Times New Roman"/>
          <w:sz w:val="28"/>
          <w:szCs w:val="28"/>
          <w:lang w:val="uk-UA"/>
        </w:rPr>
        <w:t>Revenue</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Management</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System</w:t>
      </w:r>
      <w:proofErr w:type="spellEnd"/>
      <w:r w:rsidRPr="005F0419">
        <w:rPr>
          <w:rFonts w:ascii="Times New Roman" w:eastAsia="SSWWL+U1BS19J3LU" w:hAnsi="Times New Roman" w:cs="Times New Roman"/>
          <w:sz w:val="28"/>
          <w:szCs w:val="28"/>
          <w:lang w:val="uk-UA"/>
        </w:rPr>
        <w:t xml:space="preserve">) </w:t>
      </w:r>
      <w:r w:rsidR="008922C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системи</w:t>
      </w:r>
      <w:r w:rsidR="008922C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управління доходами, в основу якої закладено статистичні, математичні та інші алгоритми, які дають змогу менеджерам готелю </w:t>
      </w:r>
      <w:r w:rsidRPr="005F0419">
        <w:rPr>
          <w:rFonts w:ascii="Times New Roman" w:eastAsia="SSWWL+U1BS19J3LU" w:hAnsi="Times New Roman" w:cs="Times New Roman"/>
          <w:sz w:val="28"/>
          <w:szCs w:val="28"/>
          <w:lang w:val="uk-UA"/>
        </w:rPr>
        <w:lastRenderedPageBreak/>
        <w:t>відслідковувати та прогнозувати зміни на ринку послуг, а також отримати пропозиції відносно цінової політики з продажу номерного фонду, тому що для оцінки роботи готелю автоматизовані системи використовують такі показники, як дохід на гостя (</w:t>
      </w:r>
      <w:proofErr w:type="spellStart"/>
      <w:r w:rsidRPr="005F0419">
        <w:rPr>
          <w:rFonts w:ascii="Times New Roman" w:eastAsia="SSWWL+U1BS19J3LU" w:hAnsi="Times New Roman" w:cs="Times New Roman"/>
          <w:sz w:val="28"/>
          <w:szCs w:val="28"/>
          <w:lang w:val="uk-UA"/>
        </w:rPr>
        <w:t>RevPAC</w:t>
      </w:r>
      <w:proofErr w:type="spellEnd"/>
      <w:r w:rsidRPr="005F0419">
        <w:rPr>
          <w:rFonts w:ascii="Times New Roman" w:eastAsia="SSWWL+U1BS19J3LU" w:hAnsi="Times New Roman" w:cs="Times New Roman"/>
          <w:sz w:val="28"/>
          <w:szCs w:val="28"/>
          <w:lang w:val="uk-UA"/>
        </w:rPr>
        <w:t>, ADR)</w:t>
      </w:r>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середній дохід на номер (</w:t>
      </w:r>
      <w:proofErr w:type="spellStart"/>
      <w:r w:rsidRPr="005F0419">
        <w:rPr>
          <w:rFonts w:ascii="Times New Roman" w:eastAsia="SSWWL+U1BS19J3LU" w:hAnsi="Times New Roman" w:cs="Times New Roman"/>
          <w:sz w:val="28"/>
          <w:szCs w:val="28"/>
          <w:lang w:val="uk-UA"/>
        </w:rPr>
        <w:t>RevPAR</w:t>
      </w:r>
      <w:proofErr w:type="spellEnd"/>
      <w:r w:rsidRPr="005F0419">
        <w:rPr>
          <w:rFonts w:ascii="Times New Roman" w:eastAsia="SSWWL+U1BS19J3LU" w:hAnsi="Times New Roman" w:cs="Times New Roman"/>
          <w:sz w:val="28"/>
          <w:szCs w:val="28"/>
          <w:lang w:val="uk-UA"/>
        </w:rPr>
        <w:t>).</w:t>
      </w:r>
      <w:r w:rsidR="00A82180" w:rsidRPr="005F0419">
        <w:rPr>
          <w:rFonts w:ascii="Times New Roman" w:eastAsia="SSWWL+U1BS19J3LU" w:hAnsi="Times New Roman" w:cs="Times New Roman"/>
          <w:sz w:val="28"/>
          <w:szCs w:val="28"/>
          <w:lang w:val="uk-UA"/>
        </w:rPr>
        <w:t xml:space="preserve"> Забезпечення</w:t>
      </w:r>
      <w:r w:rsidRPr="005F0419">
        <w:rPr>
          <w:rFonts w:ascii="Times New Roman" w:eastAsia="SSWWL+U1BS19J3LU" w:hAnsi="Times New Roman" w:cs="Times New Roman"/>
          <w:sz w:val="28"/>
          <w:szCs w:val="28"/>
          <w:lang w:val="uk-UA"/>
        </w:rPr>
        <w:t xml:space="preserve">  готелю прикладними програмами дозволяє розглядати ці показники діяльності підприємства  з гнучкими можливостями деталізації інформації з позицій поточної ситуації. Слід відзначити, що на українському ринку глобальних світових  систем управління</w:t>
      </w:r>
      <w:r w:rsidRPr="005F0419">
        <w:rPr>
          <w:rFonts w:ascii="Times New Roman" w:eastAsia="SSWWL+U1BS19J3LU" w:hAnsi="Times New Roman" w:cs="Times New Roman"/>
          <w:sz w:val="28"/>
          <w:szCs w:val="28"/>
          <w:lang w:val="uk-UA"/>
        </w:rPr>
        <w:tab/>
        <w:t>представлена значна кількість   ефективних різноманітних автоматизованих  систем. Вітчизняні готелі можуть одночасно</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використовувати кілька видів програмного забезпечення. До найпопулярніших в теперішній час розробок відноситься електронне управління готелем.</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Під замовлення, для готелю впроваджуються спеціалізовані  </w:t>
      </w:r>
      <w:proofErr w:type="spellStart"/>
      <w:r w:rsidRPr="005F0419">
        <w:rPr>
          <w:rFonts w:ascii="Times New Roman" w:eastAsia="SSWWL+U1BS19J3LU" w:hAnsi="Times New Roman" w:cs="Times New Roman"/>
          <w:sz w:val="28"/>
          <w:szCs w:val="28"/>
          <w:lang w:val="uk-UA"/>
        </w:rPr>
        <w:t>програми,до</w:t>
      </w:r>
      <w:proofErr w:type="spellEnd"/>
      <w:r w:rsidRPr="005F0419">
        <w:rPr>
          <w:rFonts w:ascii="Times New Roman" w:eastAsia="SSWWL+U1BS19J3LU" w:hAnsi="Times New Roman" w:cs="Times New Roman"/>
          <w:sz w:val="28"/>
          <w:szCs w:val="28"/>
          <w:lang w:val="uk-UA"/>
        </w:rPr>
        <w:t xml:space="preserve">  якої підключаються  працівники. За допомогою веб-ресурсу вони своєчасно  отримують  всю необхідну інформацію про роботу служб  в будь-який момент, отримувати  усі зміни на підприємстві у режимі </w:t>
      </w:r>
      <w:proofErr w:type="spellStart"/>
      <w:r w:rsidRPr="005F0419">
        <w:rPr>
          <w:rFonts w:ascii="Times New Roman" w:eastAsia="SSWWL+U1BS19J3LU" w:hAnsi="Times New Roman" w:cs="Times New Roman"/>
          <w:sz w:val="28"/>
          <w:szCs w:val="28"/>
          <w:lang w:val="uk-UA"/>
        </w:rPr>
        <w:t>on-line</w:t>
      </w:r>
      <w:proofErr w:type="spellEnd"/>
      <w:r w:rsidRPr="005F0419">
        <w:rPr>
          <w:rFonts w:ascii="Times New Roman" w:eastAsia="SSWWL+U1BS19J3LU" w:hAnsi="Times New Roman" w:cs="Times New Roman"/>
          <w:sz w:val="28"/>
          <w:szCs w:val="28"/>
          <w:lang w:val="uk-UA"/>
        </w:rPr>
        <w:t>, бронювати номери для гостей, тощо [11]. Для того, щоб надати гостям закладу ексклюзивний сервіс, готелі часто замовляють для роботи  персоналу  розробку спеціалізованих програм, які суттєво розширюють послуги та  функції готелю. До таких систем відносяться: система автоматизації праці робітників відділу продаж, яка дозволяє планувати зустрічі з адміністрацією та гостями, складати  календар і розклад працівників різних служб, а також спрощує виконання різних професіональних завдань; система роботи з туристами, яка проводять повний аналіз розміщення гостей в готелі і видає повну аналітику по кожному з гостей; визначити кращі туристичні агентства, що забезпечують завантаження готелю, а також провести статистичний розподіл туристів за віком, статтю, соціальним станом;  управління програмами лояльності для туристів  дозволяє персоналу розробляти особливі види заохочення для постійних відвідувачів, такі як клубні та дисконтні картки, преміальні сертифікати, тощо; за допомогою систем управління доходами. Готель може</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планувати додаткове</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завантаження  приміщень готелю, таких як конференц-залів, ресторанів, банкетних залів тощо. </w:t>
      </w:r>
      <w:r w:rsidRPr="005F0419">
        <w:rPr>
          <w:rFonts w:ascii="Times New Roman" w:eastAsia="SSWWL+U1BS19J3LU" w:hAnsi="Times New Roman" w:cs="Times New Roman"/>
          <w:sz w:val="28"/>
          <w:szCs w:val="28"/>
          <w:lang w:val="uk-UA"/>
        </w:rPr>
        <w:lastRenderedPageBreak/>
        <w:t>Такі інновації в готельному бізнесі дозволяють розробляти оптимальні графіки проведення заходів і забезпечувати повне завантаження готелю. Слід відзначити, що українські інформаційні розробки займають 36% ринкової ніші. Це свідчить про спроможність вітчизняних</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розробників автоматизованого програмного забезпечення конкурувати з іноземними виробниками. Для реалізації цього необхідна державна підтримка, яка може бути у вигляді преференцій вітчизняним розробникам, наданні їм грантів, впровадженні програм інформатизації бізнесу, організації виставково-ярмаркових заходів, підтримці рекламних кампаній тощо</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[12]</w:t>
      </w:r>
      <w:r w:rsidR="00A82180" w:rsidRPr="005F0419">
        <w:rPr>
          <w:rFonts w:ascii="Times New Roman" w:eastAsia="SSWWL+U1BS19J3LU" w:hAnsi="Times New Roman" w:cs="Times New Roman"/>
          <w:sz w:val="28"/>
          <w:szCs w:val="28"/>
          <w:lang w:val="uk-UA"/>
        </w:rPr>
        <w:t>.</w:t>
      </w:r>
    </w:p>
    <w:p w14:paraId="69A5BDF6" w14:textId="1AE5860C" w:rsidR="00DB21B7" w:rsidRPr="005F0419" w:rsidRDefault="00DB21B7" w:rsidP="00DB21B7">
      <w:pPr>
        <w:widowControl w:val="0"/>
        <w:tabs>
          <w:tab w:val="left" w:pos="2546"/>
          <w:tab w:val="left" w:pos="3761"/>
          <w:tab w:val="left" w:pos="5455"/>
          <w:tab w:val="left" w:pos="6083"/>
          <w:tab w:val="left" w:pos="7472"/>
        </w:tabs>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 xml:space="preserve">Заклади ресторанного господарства, як складова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змінюються у відповідності з вимогами споживачів і умовами ринкових відносин. У зв’язку з цим, ресторани прагнуть впроваджувати інноваційні технології обслуговування для покращення</w:t>
      </w:r>
      <w:r w:rsidRPr="005F0419">
        <w:rPr>
          <w:rFonts w:ascii="Times New Roman" w:eastAsia="SSWWL+U1BS19J3LU" w:hAnsi="Times New Roman" w:cs="Times New Roman"/>
          <w:sz w:val="28"/>
          <w:szCs w:val="28"/>
          <w:lang w:val="uk-UA"/>
        </w:rPr>
        <w:tab/>
        <w:t xml:space="preserve">якості обслуговування, скорочення тривалості надання послуг та підвищення привабливості ресторанних закладів. Аналіз сучасних технологій сервісного обслуговування в  закладах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-ресторанного господарства  визначено перспективні напрями розвитку сфери обслуговування, які пов’язані із впровадженням інноваційних технологій та спрямованих на підвищення безпеки та якості продукції і послуг, залучення більшої кількості споживачів, підвищення рівню продажів якісної продукції, підвищенням довіри та лояльності споживачів, а також формування позитивного іміджу закладів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w:t>
      </w:r>
    </w:p>
    <w:p w14:paraId="167587EC" w14:textId="40C7EA9F" w:rsidR="00DB21B7" w:rsidRPr="005F0419" w:rsidRDefault="00DB21B7" w:rsidP="00A82180">
      <w:pPr>
        <w:widowControl w:val="0"/>
        <w:tabs>
          <w:tab w:val="left" w:pos="1926"/>
          <w:tab w:val="left" w:pos="2524"/>
          <w:tab w:val="left" w:pos="3257"/>
          <w:tab w:val="left" w:pos="3935"/>
          <w:tab w:val="left" w:pos="4940"/>
          <w:tab w:val="left" w:pos="5644"/>
          <w:tab w:val="left" w:pos="6210"/>
          <w:tab w:val="left" w:pos="6714"/>
          <w:tab w:val="left" w:pos="7312"/>
          <w:tab w:val="left" w:pos="7621"/>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Крім електронного управління, сучасні готелі в ресторанній сфері використовують такі нововведення, як: інтерактивне меню – відвідувачі користуються вбудованим в стіл електронним екраном, вибираючи з його допомогою страви і не викликаючи офіціантів; екрани-планшети на столах, які дозволяють відвідувачам, почитати свіжі новини, дізнатися про склад страв в меню ресторану, що особливо важливо для людей з алергією на певні харчові інгредієнти, замовити страви дієтичного спрямування; сенсорні дисплеї, встановлені в холі готелю є дуже зручними  для великих готелів з декількома ресторанами і кухнями Електронне меню на електронному пристрої  містить </w:t>
      </w:r>
      <w:r w:rsidRPr="005F0419">
        <w:rPr>
          <w:rFonts w:ascii="Times New Roman" w:eastAsia="SSWWL+U1BS19J3LU" w:hAnsi="Times New Roman" w:cs="Times New Roman"/>
          <w:sz w:val="28"/>
          <w:szCs w:val="28"/>
          <w:lang w:val="uk-UA"/>
        </w:rPr>
        <w:lastRenderedPageBreak/>
        <w:t xml:space="preserve">повноцінну інформацію про меню закладу. Відвідувачі закладу харчування  можуть самостійно ознайомитись з асортиментом страв, їх складом, зробити замовлення, не чекаючи офіціанта. Електронне меню, на відміну від звичного паперового, має ряд переваг, як з екологічної точки зору (економія витрат паперу на передрукування меню), так і з точки зору підвищення якості обслуговування, тому що значно прискорюється процес обслуговування, споживач знайомиться з рецептурою запропонованого меню і має можливість оцінити рецептурний склад страв, замовити дієтичні страви або страви що не містять алергенів, крім того,  дозволяє оптимізувати роботу кухарів, знижуючи  навантаження на персонал, який виконує від гостей замовлення в порядку їх надходження, а також можливість оплатити замовлення карткою. При наявності </w:t>
      </w:r>
      <w:proofErr w:type="spellStart"/>
      <w:r w:rsidRPr="005F0419">
        <w:rPr>
          <w:rFonts w:ascii="Times New Roman" w:eastAsia="SSWWL+U1BS19J3LU" w:hAnsi="Times New Roman" w:cs="Times New Roman"/>
          <w:sz w:val="28"/>
          <w:szCs w:val="28"/>
          <w:lang w:val="uk-UA"/>
        </w:rPr>
        <w:t>Wi-Fi</w:t>
      </w:r>
      <w:proofErr w:type="spellEnd"/>
      <w:r w:rsidRPr="005F0419">
        <w:rPr>
          <w:rFonts w:ascii="Times New Roman" w:eastAsia="SSWWL+U1BS19J3LU" w:hAnsi="Times New Roman" w:cs="Times New Roman"/>
          <w:sz w:val="28"/>
          <w:szCs w:val="28"/>
          <w:lang w:val="uk-UA"/>
        </w:rPr>
        <w:t xml:space="preserve">, встановлення електронного меню в ресторані може бути реалізовано на планшетах та мобільних пристроях, де автоматично відкривається сайт з меню. Ресторани готелів також широко використовують практику «відкритої кухні», коли страви готуються прямо на очах у гостей та стають відмінним засобом реклами для готелю, який йде в ногу з часом [13]. Винахід QR-коду відкрив нові інноваційні можливості для </w:t>
      </w:r>
      <w:proofErr w:type="spellStart"/>
      <w:r w:rsidRPr="005F0419">
        <w:rPr>
          <w:rFonts w:ascii="Times New Roman" w:eastAsia="SSWWL+U1BS19J3LU" w:hAnsi="Times New Roman" w:cs="Times New Roman"/>
          <w:sz w:val="28"/>
          <w:szCs w:val="28"/>
          <w:lang w:val="uk-UA"/>
        </w:rPr>
        <w:t>on-line</w:t>
      </w:r>
      <w:proofErr w:type="spellEnd"/>
      <w:r w:rsidRPr="005F0419">
        <w:rPr>
          <w:rFonts w:ascii="Times New Roman" w:eastAsia="SSWWL+U1BS19J3LU" w:hAnsi="Times New Roman" w:cs="Times New Roman"/>
          <w:sz w:val="28"/>
          <w:szCs w:val="28"/>
          <w:lang w:val="uk-UA"/>
        </w:rPr>
        <w:t xml:space="preserve"> взаємодії персоналу з споживачем. Скануючи QR-код мобільним телефоном, можна ознайомитись з меню закладу і інформацією по кожній страві – склад інгредієнтів, способах обробки, поживності і калорійності. За допомогою QR-коду ресторан може поширювати оголошення, запрошувати своїх майбутніх гостей на акції, лотереї, розіграші, проводити інтерактивні опитування і швидко отримувати відгуки. Значної популярності у великих містах набуває тенденція снідати у ресторанах, у зв’язку з чим деякі заклади починають працювати з 6-7 години ранку. Відвідувачам пропонуються як окремі страви, так і комплексні сніданки різних </w:t>
      </w:r>
      <w:proofErr w:type="spellStart"/>
      <w:r w:rsidRPr="005F0419">
        <w:rPr>
          <w:rFonts w:ascii="Times New Roman" w:eastAsia="SSWWL+U1BS19J3LU" w:hAnsi="Times New Roman" w:cs="Times New Roman"/>
          <w:sz w:val="28"/>
          <w:szCs w:val="28"/>
          <w:lang w:val="uk-UA"/>
        </w:rPr>
        <w:t>кухонь</w:t>
      </w:r>
      <w:proofErr w:type="spellEnd"/>
      <w:r w:rsidRPr="005F0419">
        <w:rPr>
          <w:rFonts w:ascii="Times New Roman" w:eastAsia="SSWWL+U1BS19J3LU" w:hAnsi="Times New Roman" w:cs="Times New Roman"/>
          <w:sz w:val="28"/>
          <w:szCs w:val="28"/>
          <w:lang w:val="uk-UA"/>
        </w:rPr>
        <w:t xml:space="preserve"> світу – в українському, французькому, англійському, німецькому, італійському та американському варіантах. Швидкий розвиток ресторанного господарства в Україні має свій позитивний ефект: збільшує зайнятість населення; надає споживачам гарячу їжу протягом робочого дня, що підтримує здоров’я нації; дозволяє організувати</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збалансоване, дієтичне, національне або</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вегетаріанське харчування, в залежності від потреб і бажань </w:t>
      </w:r>
      <w:r w:rsidRPr="005F0419">
        <w:rPr>
          <w:rFonts w:ascii="Times New Roman" w:eastAsia="SSWWL+U1BS19J3LU" w:hAnsi="Times New Roman" w:cs="Times New Roman"/>
          <w:sz w:val="28"/>
          <w:szCs w:val="28"/>
          <w:lang w:val="uk-UA"/>
        </w:rPr>
        <w:lastRenderedPageBreak/>
        <w:t>гостей закладів харчування тощо</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Враховуючи,</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що відвідувачі мають широкий вибір закладу ресторанного харчування, кожне підприємство для успішної діяльності повинно прагнути до поліпшення якості продукції і послуг, а саме: відповідати певним вимогам споживача і його потребам; гарантувати відповідність чинним стандартам, технічним умовам і вимогам суспільства; надавати споживачу послуги  за ринковими  цінами; забезпечувати отримання прибутку для конкурентоспроможності закладу</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[14]</w:t>
      </w:r>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Таким чином, впровадження інновацій стає об’єктивною необхідністю на всіх етапах діяльності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Сучасний розвиток готельної  індустрії  спрямований на впровадження  інноваційних технології, які сприяють залученню більшої кількості туристів, максимальній кількості продажу номерів і послуг, завоювання довіри гостя і формуванню позитивного іміджу, що особливо важливо в умовах ринкових відносин.</w:t>
      </w:r>
    </w:p>
    <w:p w14:paraId="154E901B" w14:textId="1228AF69" w:rsidR="00DB21B7" w:rsidRPr="005F0419" w:rsidRDefault="00DB21B7" w:rsidP="00A82180">
      <w:pPr>
        <w:widowControl w:val="0"/>
        <w:tabs>
          <w:tab w:val="left" w:pos="2441"/>
          <w:tab w:val="left" w:pos="3533"/>
          <w:tab w:val="left" w:pos="4436"/>
          <w:tab w:val="left" w:pos="4853"/>
          <w:tab w:val="left" w:pos="5785"/>
        </w:tabs>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У розвинутих країнах світу швидко поширюється електронна комерція, що дозволяє власнику кредитної картки придбати тур, забронювати місця в готелі, придбати квитки на літак або культурно-оздоровчі заходи, замовити напрокат автомобіль в будь-якому місті</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тощо. Для готелів електронна комерція дає можливість економити на виплаті агентських комісійних,</w:t>
      </w:r>
      <w:r w:rsidRPr="005F0419">
        <w:rPr>
          <w:rFonts w:ascii="Times New Roman" w:eastAsia="SSWWL+U1BS19J3LU" w:hAnsi="Times New Roman" w:cs="Times New Roman"/>
          <w:sz w:val="28"/>
          <w:szCs w:val="28"/>
          <w:lang w:val="uk-UA"/>
        </w:rPr>
        <w:tab/>
        <w:t>зменшити витрати на видання</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рекламно-інформаційних матеріалів, створити нетрадиційні канали збуту своєї продукції на замовлення тощо. За оцінками експертів Всесвітньої туристської організації, в</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найближчому майбутньому кількість продажів туристичних послуг через електронну комерцію буде невпинно зростати. Сучасні інновації коштують дорого, але власники готелів все одно витрачаються на них, тому що тільки так можна забезпечити значну конкурентоспроможність  в умовах ринкових відносин [15]</w:t>
      </w:r>
      <w:r w:rsidR="00A82180" w:rsidRPr="005F0419">
        <w:rPr>
          <w:rFonts w:ascii="Times New Roman" w:eastAsia="SSWWL+U1BS19J3LU" w:hAnsi="Times New Roman" w:cs="Times New Roman"/>
          <w:sz w:val="28"/>
          <w:szCs w:val="28"/>
          <w:lang w:val="uk-UA"/>
        </w:rPr>
        <w:t>.</w:t>
      </w:r>
    </w:p>
    <w:p w14:paraId="01FB0E8A" w14:textId="4C4FD028" w:rsidR="00DB21B7" w:rsidRPr="005F0419" w:rsidRDefault="00DB21B7" w:rsidP="00DB21B7">
      <w:pPr>
        <w:widowControl w:val="0"/>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 xml:space="preserve">Інтенсивний розвиток світової готельної індустрії, вдосконалення і модернізація основних процесів діяльності закладів розміщення, постійний процес освоєння нових концепцій готельного бізнесу, пов’язаного з орієнтацією на запити споживача, створили умови для інноваційного процесу глобалізації та інтеграції готелів у мережі та асоціації. Міжнародна готельна асоціація (МГА) </w:t>
      </w:r>
      <w:r w:rsidRPr="005F0419">
        <w:rPr>
          <w:rFonts w:ascii="Times New Roman" w:eastAsia="SSWWL+U1BS19J3LU" w:hAnsi="Times New Roman" w:cs="Times New Roman"/>
          <w:sz w:val="28"/>
          <w:szCs w:val="28"/>
          <w:lang w:val="uk-UA"/>
        </w:rPr>
        <w:lastRenderedPageBreak/>
        <w:t xml:space="preserve">поділяє готельні мережі на: корпоративні мережі, до яких відноситься велика кількість підприємств; мережі незалежних підприємств, створених для використання спільної системи бронювання, реклами та просування на ринку послуг; готельні комплекси, що надають різноманітні  послуги. Створення готельної індустрії відіграє  важливу роль в організації, управлінні та просуванні на світовий ринок високих стандартів обслуговування. На сьогодні, готельні мережі, за даними МГА, охоплюють 30 % готельного ринку світу, до яких входить понад 200 корпорацій. Усі готелі інтегрованої мережі мають спільну назву і товарний знак. За даними МГА, найбільш інтегровані мережі діють у США – </w:t>
      </w:r>
      <w:r w:rsidR="00A82180" w:rsidRPr="005F0419">
        <w:rPr>
          <w:rFonts w:ascii="Times New Roman" w:eastAsia="SSWWL+U1BS19J3LU" w:hAnsi="Times New Roman" w:cs="Times New Roman"/>
          <w:sz w:val="28"/>
          <w:szCs w:val="28"/>
          <w:lang w:val="uk-UA"/>
        </w:rPr>
        <w:t>«</w:t>
      </w:r>
      <w:proofErr w:type="spellStart"/>
      <w:r w:rsidRPr="005F0419">
        <w:rPr>
          <w:rFonts w:ascii="Times New Roman" w:eastAsia="SSWWL+U1BS19J3LU" w:hAnsi="Times New Roman" w:cs="Times New Roman"/>
          <w:sz w:val="28"/>
          <w:szCs w:val="28"/>
          <w:lang w:val="uk-UA"/>
        </w:rPr>
        <w:t>Holiday</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Inn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Worldwide</w:t>
      </w:r>
      <w:proofErr w:type="spellEnd"/>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значне місце у світі також займають французька група </w:t>
      </w:r>
      <w:r w:rsidR="00A82180" w:rsidRPr="005F0419">
        <w:rPr>
          <w:rFonts w:ascii="Times New Roman" w:eastAsia="SSWWL+U1BS19J3LU" w:hAnsi="Times New Roman" w:cs="Times New Roman"/>
          <w:sz w:val="28"/>
          <w:szCs w:val="28"/>
          <w:lang w:val="uk-UA"/>
        </w:rPr>
        <w:t>«</w:t>
      </w:r>
      <w:proofErr w:type="spellStart"/>
      <w:r w:rsidRPr="005F0419">
        <w:rPr>
          <w:rFonts w:ascii="Times New Roman" w:eastAsia="SSWWL+U1BS19J3LU" w:hAnsi="Times New Roman" w:cs="Times New Roman"/>
          <w:sz w:val="28"/>
          <w:szCs w:val="28"/>
          <w:lang w:val="uk-UA"/>
        </w:rPr>
        <w:t>Accor</w:t>
      </w:r>
      <w:proofErr w:type="spellEnd"/>
      <w:r w:rsidRPr="005F0419">
        <w:rPr>
          <w:rFonts w:ascii="Times New Roman" w:eastAsia="SSWWL+U1BS19J3LU" w:hAnsi="Times New Roman" w:cs="Times New Roman"/>
          <w:sz w:val="28"/>
          <w:szCs w:val="28"/>
          <w:lang w:val="uk-UA"/>
        </w:rPr>
        <w:t xml:space="preserve">» і британська </w:t>
      </w:r>
      <w:r w:rsidR="00A82180" w:rsidRPr="005F0419">
        <w:rPr>
          <w:rFonts w:ascii="Times New Roman" w:eastAsia="SSWWL+U1BS19J3LU" w:hAnsi="Times New Roman" w:cs="Times New Roman"/>
          <w:sz w:val="28"/>
          <w:szCs w:val="28"/>
          <w:lang w:val="uk-UA"/>
        </w:rPr>
        <w:t>«</w:t>
      </w:r>
      <w:proofErr w:type="spellStart"/>
      <w:r w:rsidRPr="005F0419">
        <w:rPr>
          <w:rFonts w:ascii="Times New Roman" w:eastAsia="SSWWL+U1BS19J3LU" w:hAnsi="Times New Roman" w:cs="Times New Roman"/>
          <w:sz w:val="28"/>
          <w:szCs w:val="28"/>
          <w:lang w:val="uk-UA"/>
        </w:rPr>
        <w:t>Forte</w:t>
      </w:r>
      <w:proofErr w:type="spellEnd"/>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Незалежні готелі, для протистояння конкуренції з боку інтегрованих готельних мереж, об’єднуються у готельні консорціуми, кількість яких постійно зростає. Об’єднання у консорціуми дозволяє незалежним готелям збільшити масштаби діяльності і значно скоротити витрати на маркетинг, придбання інформаційних технологій, новітнього обладнання, створення комп’ютерних мереж бронювання тощо. Найбільшим готельним консорціумом у світі вважається американський </w:t>
      </w:r>
      <w:r w:rsidR="00A82180" w:rsidRPr="005F0419">
        <w:rPr>
          <w:rFonts w:ascii="Times New Roman" w:eastAsia="SSWWL+U1BS19J3LU" w:hAnsi="Times New Roman" w:cs="Times New Roman"/>
          <w:sz w:val="28"/>
          <w:szCs w:val="28"/>
          <w:lang w:val="uk-UA"/>
        </w:rPr>
        <w:t>«</w:t>
      </w:r>
      <w:proofErr w:type="spellStart"/>
      <w:r w:rsidRPr="005F0419">
        <w:rPr>
          <w:rFonts w:ascii="Times New Roman" w:eastAsia="SSWWL+U1BS19J3LU" w:hAnsi="Times New Roman" w:cs="Times New Roman"/>
          <w:sz w:val="28"/>
          <w:szCs w:val="28"/>
          <w:lang w:val="uk-UA"/>
        </w:rPr>
        <w:t>Best</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Western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International</w:t>
      </w:r>
      <w:proofErr w:type="spellEnd"/>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який об’єднує понад 3350 готелів [16]. Ці готелі обслуговують туристів з різними доходами. Найвідомішими готельними </w:t>
      </w:r>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родинами</w:t>
      </w:r>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є</w:t>
      </w:r>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w:t>
      </w:r>
      <w:r w:rsidR="00A82180" w:rsidRPr="005F0419">
        <w:rPr>
          <w:rFonts w:ascii="Times New Roman" w:eastAsia="SSWWL+U1BS19J3LU" w:hAnsi="Times New Roman" w:cs="Times New Roman"/>
          <w:sz w:val="28"/>
          <w:szCs w:val="28"/>
          <w:lang w:val="uk-UA"/>
        </w:rPr>
        <w:t>«</w:t>
      </w:r>
      <w:proofErr w:type="spellStart"/>
      <w:r w:rsidRPr="005F0419">
        <w:rPr>
          <w:rFonts w:ascii="Times New Roman" w:eastAsia="SSWWL+U1BS19J3LU" w:hAnsi="Times New Roman" w:cs="Times New Roman"/>
          <w:sz w:val="28"/>
          <w:szCs w:val="28"/>
          <w:lang w:val="uk-UA"/>
        </w:rPr>
        <w:t>Relais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and</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Chateaus</w:t>
      </w:r>
      <w:proofErr w:type="spellEnd"/>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w:t>
      </w:r>
      <w:r w:rsidR="00A82180" w:rsidRPr="005F0419">
        <w:rPr>
          <w:rFonts w:ascii="Times New Roman" w:eastAsia="SSWWL+U1BS19J3LU" w:hAnsi="Times New Roman" w:cs="Times New Roman"/>
          <w:sz w:val="28"/>
          <w:szCs w:val="28"/>
          <w:lang w:val="uk-UA"/>
        </w:rPr>
        <w:t>«</w:t>
      </w:r>
      <w:proofErr w:type="spellStart"/>
      <w:r w:rsidRPr="005F0419">
        <w:rPr>
          <w:rFonts w:ascii="Times New Roman" w:eastAsia="SSWWL+U1BS19J3LU" w:hAnsi="Times New Roman" w:cs="Times New Roman"/>
          <w:sz w:val="28"/>
          <w:szCs w:val="28"/>
          <w:lang w:val="uk-UA"/>
        </w:rPr>
        <w:t>Preferred</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and</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Resorts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Worldwide</w:t>
      </w:r>
      <w:proofErr w:type="spellEnd"/>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w:t>
      </w:r>
      <w:r w:rsidR="00A82180" w:rsidRPr="005F0419">
        <w:rPr>
          <w:rFonts w:ascii="Times New Roman" w:eastAsia="SSWWL+U1BS19J3LU" w:hAnsi="Times New Roman" w:cs="Times New Roman"/>
          <w:sz w:val="28"/>
          <w:szCs w:val="28"/>
          <w:lang w:val="uk-UA"/>
        </w:rPr>
        <w:t>«</w:t>
      </w:r>
      <w:proofErr w:type="spellStart"/>
      <w:r w:rsidRPr="005F0419">
        <w:rPr>
          <w:rFonts w:ascii="Times New Roman" w:eastAsia="SSWWL+U1BS19J3LU" w:hAnsi="Times New Roman" w:cs="Times New Roman"/>
          <w:sz w:val="28"/>
          <w:szCs w:val="28"/>
          <w:lang w:val="uk-UA"/>
        </w:rPr>
        <w:t>Leading</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of</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the</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World</w:t>
      </w:r>
      <w:proofErr w:type="spellEnd"/>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w:t>
      </w:r>
      <w:r w:rsidR="00A82180" w:rsidRPr="005F0419">
        <w:rPr>
          <w:rFonts w:ascii="Times New Roman" w:eastAsia="SSWWL+U1BS19J3LU" w:hAnsi="Times New Roman" w:cs="Times New Roman"/>
          <w:sz w:val="28"/>
          <w:szCs w:val="28"/>
          <w:lang w:val="uk-UA"/>
        </w:rPr>
        <w:t>«</w:t>
      </w:r>
      <w:proofErr w:type="spellStart"/>
      <w:r w:rsidRPr="005F0419">
        <w:rPr>
          <w:rFonts w:ascii="Times New Roman" w:eastAsia="SSWWL+U1BS19J3LU" w:hAnsi="Times New Roman" w:cs="Times New Roman"/>
          <w:sz w:val="28"/>
          <w:szCs w:val="28"/>
          <w:lang w:val="uk-UA"/>
        </w:rPr>
        <w:t>Small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Luxury</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of</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the</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World</w:t>
      </w:r>
      <w:proofErr w:type="spellEnd"/>
      <w:r w:rsidR="00A8218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[17]</w:t>
      </w:r>
      <w:r w:rsidR="00A82180" w:rsidRPr="005F0419">
        <w:rPr>
          <w:rFonts w:ascii="Times New Roman" w:eastAsia="SSWWL+U1BS19J3LU" w:hAnsi="Times New Roman" w:cs="Times New Roman"/>
          <w:sz w:val="28"/>
          <w:szCs w:val="28"/>
          <w:lang w:val="uk-UA"/>
        </w:rPr>
        <w:t>.</w:t>
      </w:r>
    </w:p>
    <w:p w14:paraId="03CFC5B9" w14:textId="77777777" w:rsidR="00A82180" w:rsidRPr="005F0419" w:rsidRDefault="00DB21B7" w:rsidP="00DB21B7">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Світова готельна індустрія віддає перевагу створенню великих готельних мереж, які об’єднають тисячі готелів у всьому світі. На сьогодні готельні мережі вважаються основним інноваційним напрямком розвитку, ефективної діяльності та прибутковості економіки більшості країн світу. В США 90 % всіх готелів об’єднані в мережі, в Європі цей показник становить майже 40 % У світі створено більше 300 різних готельних мереж, які вийшли за межі національних кордонів. До їх складу входять такі всесвітньо відомі корпорації-гіганти як </w:t>
      </w:r>
      <w:proofErr w:type="spellStart"/>
      <w:r w:rsidRPr="005F0419">
        <w:rPr>
          <w:rFonts w:ascii="Times New Roman" w:eastAsia="SSWWL+U1BS19J3LU" w:hAnsi="Times New Roman" w:cs="Times New Roman"/>
          <w:sz w:val="28"/>
          <w:szCs w:val="28"/>
          <w:lang w:val="uk-UA"/>
        </w:rPr>
        <w:t>Radisson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Best</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Western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Hyatt</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Marriott</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Hilton</w:t>
      </w:r>
      <w:proofErr w:type="spellEnd"/>
      <w:r w:rsidRPr="005F0419">
        <w:rPr>
          <w:rFonts w:ascii="Times New Roman" w:eastAsia="SSWWL+U1BS19J3LU" w:hAnsi="Times New Roman" w:cs="Times New Roman"/>
          <w:sz w:val="28"/>
          <w:szCs w:val="28"/>
          <w:lang w:val="uk-UA"/>
        </w:rPr>
        <w:t xml:space="preserve">. Готельні мережі – це складний багаторівневий бізнес, який об’єднує підприємства в ланцюги на різних економічних та </w:t>
      </w:r>
      <w:r w:rsidRPr="005F0419">
        <w:rPr>
          <w:rFonts w:ascii="Times New Roman" w:eastAsia="SSWWL+U1BS19J3LU" w:hAnsi="Times New Roman" w:cs="Times New Roman"/>
          <w:sz w:val="28"/>
          <w:szCs w:val="28"/>
          <w:lang w:val="uk-UA"/>
        </w:rPr>
        <w:lastRenderedPageBreak/>
        <w:t>правових умовах. Базовим принципом готельних ланцюгів є довгострокове взаємовигідне співробітництво під єдиним брендом і керівництвом, яке затверджує управлінські рішення і організаційні стандарти обслуговування, з використанням єдиної системи матеріально-технічного забезпечення, сумісної стратегії високої якості обслуговування, єдиною концепцію просування готельного продукту у визначеному сегменті ринку, для сталого розвитку, забезпечення економічної ефективності та конкурентоспроможності об’єднаних закладів  на внутрішньому і на міжнародному ринку.</w:t>
      </w:r>
    </w:p>
    <w:p w14:paraId="09A650D8" w14:textId="77777777" w:rsidR="00A82180" w:rsidRPr="005F0419" w:rsidRDefault="00DB21B7" w:rsidP="00A82180">
      <w:pPr>
        <w:widowControl w:val="0"/>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Сьогодні готельні мережі є основою світового готельного бізнесу, які просувають на світовий ринок високі стандарти готельних послуг, а також сприяють забезпеченню готельного обслуговування туристів на високому міжнародному рівні. До переваг міжнародних готельних мереж, порівняно з немережевими самостійними готелями, можна віднести: пізнаваність і статус об’єктів, що входять до складу мережі, використання глобальної системи бронювання і єдиної маркетингової політики на ринку послуг, різноманітні програми лояльності, високий рівень сервісу і безпеки, стійкість у кризових ситуаціях, таких як епідемія короно-вірусу, воєнні дії тощо [17]</w:t>
      </w:r>
      <w:r w:rsidR="00A82180" w:rsidRPr="005F0419">
        <w:rPr>
          <w:rFonts w:ascii="Times New Roman" w:eastAsia="SSWWL+U1BS19J3LU" w:hAnsi="Times New Roman" w:cs="Times New Roman"/>
          <w:sz w:val="28"/>
          <w:szCs w:val="28"/>
          <w:lang w:val="uk-UA"/>
        </w:rPr>
        <w:t>.</w:t>
      </w:r>
    </w:p>
    <w:p w14:paraId="0E5C7B77" w14:textId="77777777" w:rsidR="00A82180" w:rsidRPr="005F0419" w:rsidRDefault="00DB21B7" w:rsidP="00A82180">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Слід відзначити, що розвитку індустрії гостинності, яка відноситься до лідируючих складових частин сфери послуг, в Україні приділяється особлива увага, тому що її функціонування пов'язано з розвитком різних ключових галузей державного господарства, таких як транспорт, зв'язок, будівництво, сільське господарство, легка промисловість, і суттєво впливає на стан економіки всієї держави. Стрімкий розвиток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-ресторанної індустрії і активне впровадження інноваційних світових добутків науково-технічного прогресу у сфері послуг сприяє покращенню соціально-економічного стану нашої держави за рахунок зростання зайнятості населення і розвитку суміжних галузей народного господарства</w:t>
      </w:r>
      <w:r w:rsidR="00A82180" w:rsidRPr="005F0419">
        <w:rPr>
          <w:rFonts w:ascii="Times New Roman" w:eastAsia="SSWWL+U1BS19J3LU" w:hAnsi="Times New Roman" w:cs="Times New Roman"/>
          <w:sz w:val="28"/>
          <w:szCs w:val="28"/>
          <w:lang w:val="uk-UA"/>
        </w:rPr>
        <w:t xml:space="preserve">. </w:t>
      </w:r>
    </w:p>
    <w:p w14:paraId="3917AFDF" w14:textId="77777777" w:rsidR="00A82180" w:rsidRPr="005F0419" w:rsidRDefault="00A82180" w:rsidP="00A82180">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С</w:t>
      </w:r>
      <w:r w:rsidR="00DB21B7" w:rsidRPr="005F0419">
        <w:rPr>
          <w:rFonts w:ascii="Times New Roman" w:eastAsia="SSWWL+U1BS19J3LU" w:hAnsi="Times New Roman" w:cs="Times New Roman"/>
          <w:sz w:val="28"/>
          <w:szCs w:val="28"/>
          <w:lang w:val="uk-UA"/>
        </w:rPr>
        <w:t xml:space="preserve">учасний світовий ринок </w:t>
      </w:r>
      <w:proofErr w:type="spellStart"/>
      <w:r w:rsidR="00DB21B7" w:rsidRPr="005F0419">
        <w:rPr>
          <w:rFonts w:ascii="Times New Roman" w:eastAsia="SSWWL+U1BS19J3LU" w:hAnsi="Times New Roman" w:cs="Times New Roman"/>
          <w:sz w:val="28"/>
          <w:szCs w:val="28"/>
          <w:lang w:val="uk-UA"/>
        </w:rPr>
        <w:t>готельно</w:t>
      </w:r>
      <w:proofErr w:type="spellEnd"/>
      <w:r w:rsidR="00DB21B7" w:rsidRPr="005F0419">
        <w:rPr>
          <w:rFonts w:ascii="Times New Roman" w:eastAsia="SSWWL+U1BS19J3LU" w:hAnsi="Times New Roman" w:cs="Times New Roman"/>
          <w:sz w:val="28"/>
          <w:szCs w:val="28"/>
          <w:lang w:val="uk-UA"/>
        </w:rPr>
        <w:t xml:space="preserve">-ресторанної індустрії дуже великий і продовжує постійно зростати. Готелі в Україні і світі представлені різними категоріями, з широким асортиментом послуг і різною ціновою політикою. Таке </w:t>
      </w:r>
      <w:r w:rsidR="00DB21B7" w:rsidRPr="005F0419">
        <w:rPr>
          <w:rFonts w:ascii="Times New Roman" w:eastAsia="SSWWL+U1BS19J3LU" w:hAnsi="Times New Roman" w:cs="Times New Roman"/>
          <w:sz w:val="28"/>
          <w:szCs w:val="28"/>
          <w:lang w:val="uk-UA"/>
        </w:rPr>
        <w:lastRenderedPageBreak/>
        <w:t xml:space="preserve">різноманіття засобів розміщення у сфері готельного бізнесу створює високу конкуренцію в сегменті ринкової економіки. </w:t>
      </w:r>
      <w:r w:rsidR="00DB21B7" w:rsidRPr="005F0419">
        <w:rPr>
          <w:rFonts w:ascii="Times New Roman" w:eastAsia="SSWWL+U1BS19J3LU" w:hAnsi="Times New Roman" w:cs="Times New Roman"/>
          <w:spacing w:val="-6"/>
          <w:sz w:val="28"/>
          <w:szCs w:val="28"/>
          <w:lang w:val="uk-UA"/>
        </w:rPr>
        <w:t xml:space="preserve">Тому, на сучасному етапі розвитку готельного бізнесу в Україні дуже важливим є аналіз діяльності вітчизняних регіональних </w:t>
      </w:r>
      <w:proofErr w:type="spellStart"/>
      <w:r w:rsidR="00DB21B7" w:rsidRPr="005F0419">
        <w:rPr>
          <w:rFonts w:ascii="Times New Roman" w:eastAsia="SSWWL+U1BS19J3LU" w:hAnsi="Times New Roman" w:cs="Times New Roman"/>
          <w:spacing w:val="-6"/>
          <w:sz w:val="28"/>
          <w:szCs w:val="28"/>
          <w:lang w:val="uk-UA"/>
        </w:rPr>
        <w:t>реакреаційно</w:t>
      </w:r>
      <w:proofErr w:type="spellEnd"/>
      <w:r w:rsidR="00DB21B7" w:rsidRPr="005F0419">
        <w:rPr>
          <w:rFonts w:ascii="Times New Roman" w:eastAsia="SSWWL+U1BS19J3LU" w:hAnsi="Times New Roman" w:cs="Times New Roman"/>
          <w:spacing w:val="-6"/>
          <w:sz w:val="28"/>
          <w:szCs w:val="28"/>
          <w:lang w:val="uk-UA"/>
        </w:rPr>
        <w:t>-туристичних підприємств</w:t>
      </w:r>
      <w:r w:rsidRPr="005F0419">
        <w:rPr>
          <w:rFonts w:ascii="Times New Roman" w:eastAsia="SSWWL+U1BS19J3LU" w:hAnsi="Times New Roman" w:cs="Times New Roman"/>
          <w:spacing w:val="-6"/>
          <w:sz w:val="28"/>
          <w:szCs w:val="28"/>
          <w:lang w:val="uk-UA"/>
        </w:rPr>
        <w:t xml:space="preserve"> д</w:t>
      </w:r>
      <w:r w:rsidR="00DB21B7" w:rsidRPr="005F0419">
        <w:rPr>
          <w:rFonts w:ascii="Times New Roman" w:eastAsia="SSWWL+U1BS19J3LU" w:hAnsi="Times New Roman" w:cs="Times New Roman"/>
          <w:spacing w:val="-6"/>
          <w:sz w:val="28"/>
          <w:szCs w:val="28"/>
          <w:lang w:val="uk-UA"/>
        </w:rPr>
        <w:t>ля</w:t>
      </w:r>
      <w:r w:rsidRPr="005F0419">
        <w:rPr>
          <w:rFonts w:ascii="Times New Roman" w:eastAsia="SSWWL+U1BS19J3LU" w:hAnsi="Times New Roman" w:cs="Times New Roman"/>
          <w:spacing w:val="-6"/>
          <w:sz w:val="28"/>
          <w:szCs w:val="28"/>
          <w:lang w:val="uk-UA"/>
        </w:rPr>
        <w:t xml:space="preserve"> </w:t>
      </w:r>
      <w:r w:rsidR="00DB21B7" w:rsidRPr="005F0419">
        <w:rPr>
          <w:rFonts w:ascii="Times New Roman" w:eastAsia="SSWWL+U1BS19J3LU" w:hAnsi="Times New Roman" w:cs="Times New Roman"/>
          <w:spacing w:val="-6"/>
          <w:sz w:val="28"/>
          <w:szCs w:val="28"/>
          <w:lang w:val="uk-UA"/>
        </w:rPr>
        <w:t>визначення</w:t>
      </w:r>
      <w:r w:rsidRPr="005F0419">
        <w:rPr>
          <w:rFonts w:ascii="Times New Roman" w:eastAsia="SSWWL+U1BS19J3LU" w:hAnsi="Times New Roman" w:cs="Times New Roman"/>
          <w:spacing w:val="-6"/>
          <w:sz w:val="28"/>
          <w:szCs w:val="28"/>
          <w:lang w:val="uk-UA"/>
        </w:rPr>
        <w:t xml:space="preserve"> </w:t>
      </w:r>
      <w:r w:rsidR="00DB21B7" w:rsidRPr="005F0419">
        <w:rPr>
          <w:rFonts w:ascii="Times New Roman" w:eastAsia="SSWWL+U1BS19J3LU" w:hAnsi="Times New Roman" w:cs="Times New Roman"/>
          <w:spacing w:val="-6"/>
          <w:sz w:val="28"/>
          <w:szCs w:val="28"/>
          <w:lang w:val="uk-UA"/>
        </w:rPr>
        <w:t>внутрішнього потенціалу розвитку, можливостей і шляхів застосування</w:t>
      </w:r>
      <w:r w:rsidRPr="005F0419">
        <w:rPr>
          <w:rFonts w:ascii="Times New Roman" w:eastAsia="SSWWL+U1BS19J3LU" w:hAnsi="Times New Roman" w:cs="Times New Roman"/>
          <w:spacing w:val="-6"/>
          <w:sz w:val="28"/>
          <w:szCs w:val="28"/>
          <w:lang w:val="uk-UA"/>
        </w:rPr>
        <w:t xml:space="preserve"> </w:t>
      </w:r>
      <w:r w:rsidR="00DB21B7" w:rsidRPr="005F0419">
        <w:rPr>
          <w:rFonts w:ascii="Times New Roman" w:eastAsia="SSWWL+U1BS19J3LU" w:hAnsi="Times New Roman" w:cs="Times New Roman"/>
          <w:spacing w:val="-6"/>
          <w:sz w:val="28"/>
          <w:szCs w:val="28"/>
          <w:lang w:val="uk-UA"/>
        </w:rPr>
        <w:t>інновацій, впровадження новітніх технологій, підвищення</w:t>
      </w:r>
      <w:r w:rsidRPr="005F0419">
        <w:rPr>
          <w:rFonts w:ascii="Times New Roman" w:eastAsia="SSWWL+U1BS19J3LU" w:hAnsi="Times New Roman" w:cs="Times New Roman"/>
          <w:spacing w:val="-6"/>
          <w:sz w:val="28"/>
          <w:szCs w:val="28"/>
          <w:lang w:val="uk-UA"/>
        </w:rPr>
        <w:t xml:space="preserve"> </w:t>
      </w:r>
      <w:r w:rsidR="00DB21B7" w:rsidRPr="005F0419">
        <w:rPr>
          <w:rFonts w:ascii="Times New Roman" w:eastAsia="SSWWL+U1BS19J3LU" w:hAnsi="Times New Roman" w:cs="Times New Roman"/>
          <w:spacing w:val="-6"/>
          <w:sz w:val="28"/>
          <w:szCs w:val="28"/>
          <w:lang w:val="uk-UA"/>
        </w:rPr>
        <w:t>конкурентоспроможності</w:t>
      </w:r>
      <w:r w:rsidR="00DB21B7" w:rsidRPr="005F0419">
        <w:rPr>
          <w:rFonts w:ascii="Times New Roman" w:eastAsia="SSWWL+U1BS19J3LU" w:hAnsi="Times New Roman" w:cs="Times New Roman"/>
          <w:sz w:val="28"/>
          <w:szCs w:val="28"/>
          <w:lang w:val="uk-UA"/>
        </w:rPr>
        <w:t xml:space="preserve"> [18].</w:t>
      </w:r>
    </w:p>
    <w:p w14:paraId="691316F4" w14:textId="277E733D" w:rsidR="00DB21B7" w:rsidRPr="005F0419" w:rsidRDefault="00DB21B7" w:rsidP="00A82180">
      <w:pPr>
        <w:widowControl w:val="0"/>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Одним із інноваційних  напрямків формування стратегічних конкурентних переваг в готельному бізнесі є впровадження послуг більш високої якості, порівняно з конкуруючими фірмами. На сьогодні, якість послуг готельних закладів розглядається як найважливіша умова ефективної діяльності в сфері гостинності, від якої залежить обсяг реалізації продукції, рентабельність та конкурентоспроможність на ринку послуг. Отже, конкурентоспроможність готелю необхідно розглядати як здатність засобів розміщення здійснювати діяльність з надання основних і додаткових послуг в умовах високої конкуренції, мати певні переваги по відношенню до конкурентів у певному сегменті ринку і отримувати додатковий прибуток. Незважаючи на те, що сфера послуг швидко розвивається у всьому світі, функціонування готельного господарства в нашій країні пов’язано з низкою проблем, до яких відносяться: недостатня кількість готелів і складність виходу їх на міжнародний економічний ринок, невідповідність цін рівню якості готельних послуг, недостатній рівень підготовки кадрів для готельного господарства, низький рівень використання інформаційних технологій у процесі прийому і обслуговування гостей готельних закладів, а також проблема з утримуванням закладів розміщення.</w:t>
      </w:r>
    </w:p>
    <w:p w14:paraId="5FCA4100" w14:textId="77777777" w:rsidR="00A82180" w:rsidRPr="005F0419" w:rsidRDefault="00DB21B7" w:rsidP="00A82180">
      <w:pPr>
        <w:widowControl w:val="0"/>
        <w:tabs>
          <w:tab w:val="left" w:pos="2600"/>
          <w:tab w:val="left" w:pos="3449"/>
          <w:tab w:val="left" w:pos="3739"/>
          <w:tab w:val="left" w:pos="4160"/>
          <w:tab w:val="left" w:pos="4661"/>
          <w:tab w:val="left" w:pos="5676"/>
          <w:tab w:val="left" w:pos="6376"/>
          <w:tab w:val="left" w:pos="6681"/>
          <w:tab w:val="left" w:pos="7236"/>
          <w:tab w:val="left" w:pos="7487"/>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На формування конкурентоспроможності закладів готельного господарства впливає також ряд факторів, до яких слід віднести організаційну структуру, наявність сучасної матеріально-технічної бази, маркетингову</w:t>
      </w:r>
      <w:r w:rsidR="00A8218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діяльність, фінансові ресурси тощо. Необхідно також враховувати залежність конкурентоспроможності закладів розміщення від запитів споживачів, сезонності, природних, загальнополітичних та інших зовнішніх факторів, які є мінливими і непередбачуваними. Особливої уваги потребує кон'юнктура ринку </w:t>
      </w:r>
      <w:proofErr w:type="spellStart"/>
      <w:r w:rsidRPr="005F0419">
        <w:rPr>
          <w:rFonts w:ascii="Times New Roman" w:eastAsia="SSWWL+U1BS19J3LU" w:hAnsi="Times New Roman" w:cs="Times New Roman"/>
          <w:sz w:val="28"/>
          <w:szCs w:val="28"/>
          <w:lang w:val="uk-UA"/>
        </w:rPr>
        <w:lastRenderedPageBreak/>
        <w:t>готельно</w:t>
      </w:r>
      <w:proofErr w:type="spellEnd"/>
      <w:r w:rsidRPr="005F0419">
        <w:rPr>
          <w:rFonts w:ascii="Times New Roman" w:eastAsia="SSWWL+U1BS19J3LU" w:hAnsi="Times New Roman" w:cs="Times New Roman"/>
          <w:sz w:val="28"/>
          <w:szCs w:val="28"/>
          <w:lang w:val="uk-UA"/>
        </w:rPr>
        <w:t>-ресторанних послуг, яка постійно змінюється і ускладняється, межі ринку розширюються, в тому числі за рахунок залучення зарубіжних готельних компаній, що мають великий досвід роботи в умовах жорсткої конкуренції. В умовах глобалізації ринків основним інструментом розвитку підприємств сфери послуг вважається інноваційне управління, що забезпечує координацію дій учасників ринкових відносин через попит, пропозицію, ціни, витрати, ресурси.</w:t>
      </w:r>
    </w:p>
    <w:p w14:paraId="655C69B9" w14:textId="77777777" w:rsidR="00A82180" w:rsidRPr="005F0419" w:rsidRDefault="00DB21B7" w:rsidP="00A82180">
      <w:pPr>
        <w:widowControl w:val="0"/>
        <w:tabs>
          <w:tab w:val="left" w:pos="2600"/>
          <w:tab w:val="left" w:pos="3449"/>
          <w:tab w:val="left" w:pos="3739"/>
          <w:tab w:val="left" w:pos="4160"/>
          <w:tab w:val="left" w:pos="4661"/>
          <w:tab w:val="left" w:pos="5676"/>
          <w:tab w:val="left" w:pos="6376"/>
          <w:tab w:val="left" w:pos="6681"/>
          <w:tab w:val="left" w:pos="7236"/>
          <w:tab w:val="left" w:pos="7487"/>
        </w:tabs>
        <w:spacing w:after="0" w:line="360" w:lineRule="auto"/>
        <w:ind w:firstLine="720"/>
        <w:jc w:val="both"/>
        <w:rPr>
          <w:rFonts w:ascii="Times New Roman" w:eastAsia="UGKQY+UQYY5303WU" w:hAnsi="Times New Roman" w:cs="Times New Roman"/>
          <w:sz w:val="28"/>
          <w:szCs w:val="28"/>
          <w:lang w:val="uk-UA"/>
        </w:rPr>
      </w:pPr>
      <w:r w:rsidRPr="005F0419">
        <w:rPr>
          <w:rFonts w:ascii="Times New Roman" w:eastAsia="UGKQY+UQYY5303WU" w:hAnsi="Times New Roman" w:cs="Times New Roman"/>
          <w:sz w:val="28"/>
          <w:szCs w:val="28"/>
          <w:lang w:val="uk-UA"/>
        </w:rPr>
        <w:t xml:space="preserve">В умовах ринкової конкуренції, підприємства </w:t>
      </w:r>
      <w:proofErr w:type="spellStart"/>
      <w:r w:rsidRPr="005F0419">
        <w:rPr>
          <w:rFonts w:ascii="Times New Roman" w:eastAsia="UGKQY+UQYY5303WU" w:hAnsi="Times New Roman" w:cs="Times New Roman"/>
          <w:sz w:val="28"/>
          <w:szCs w:val="28"/>
          <w:lang w:val="uk-UA"/>
        </w:rPr>
        <w:t>готельно</w:t>
      </w:r>
      <w:proofErr w:type="spellEnd"/>
      <w:r w:rsidRPr="005F0419">
        <w:rPr>
          <w:rFonts w:ascii="Times New Roman" w:eastAsia="UGKQY+UQYY5303WU" w:hAnsi="Times New Roman" w:cs="Times New Roman"/>
          <w:sz w:val="28"/>
          <w:szCs w:val="28"/>
          <w:lang w:val="uk-UA"/>
        </w:rPr>
        <w:t>-ресторанного бізнесу  повинні впроваджувати  та виводити на ринок сервісну продукцію, що користується попитом, скорочуючи  при</w:t>
      </w:r>
      <w:r w:rsidR="00A82180" w:rsidRPr="005F0419">
        <w:rPr>
          <w:rFonts w:ascii="Times New Roman" w:eastAsia="UGKQY+UQYY5303WU" w:hAnsi="Times New Roman" w:cs="Times New Roman"/>
          <w:sz w:val="28"/>
          <w:szCs w:val="28"/>
          <w:lang w:val="uk-UA"/>
        </w:rPr>
        <w:t xml:space="preserve"> </w:t>
      </w:r>
      <w:r w:rsidRPr="005F0419">
        <w:rPr>
          <w:rFonts w:ascii="Times New Roman" w:eastAsia="UGKQY+UQYY5303WU" w:hAnsi="Times New Roman" w:cs="Times New Roman"/>
          <w:sz w:val="28"/>
          <w:szCs w:val="28"/>
          <w:lang w:val="uk-UA"/>
        </w:rPr>
        <w:t>цьому витрати на</w:t>
      </w:r>
      <w:r w:rsidR="00A82180" w:rsidRPr="005F0419">
        <w:rPr>
          <w:rFonts w:ascii="Times New Roman" w:eastAsia="UGKQY+UQYY5303WU" w:hAnsi="Times New Roman" w:cs="Times New Roman"/>
          <w:sz w:val="28"/>
          <w:szCs w:val="28"/>
          <w:lang w:val="uk-UA"/>
        </w:rPr>
        <w:t xml:space="preserve"> </w:t>
      </w:r>
      <w:r w:rsidRPr="005F0419">
        <w:rPr>
          <w:rFonts w:ascii="Times New Roman" w:eastAsia="UGKQY+UQYY5303WU" w:hAnsi="Times New Roman" w:cs="Times New Roman"/>
          <w:sz w:val="28"/>
          <w:szCs w:val="28"/>
          <w:lang w:val="uk-UA"/>
        </w:rPr>
        <w:t>її виробництво, за рахунок досягнень науково-технічного прогресу і впровадження інформаційних систем.</w:t>
      </w:r>
    </w:p>
    <w:p w14:paraId="08373BA3" w14:textId="713DC1E2" w:rsidR="00DB21B7" w:rsidRPr="005F0419" w:rsidRDefault="00DB21B7" w:rsidP="00DD7390">
      <w:pPr>
        <w:widowControl w:val="0"/>
        <w:tabs>
          <w:tab w:val="left" w:pos="2600"/>
          <w:tab w:val="left" w:pos="3449"/>
          <w:tab w:val="left" w:pos="3739"/>
          <w:tab w:val="left" w:pos="4160"/>
          <w:tab w:val="left" w:pos="4661"/>
          <w:tab w:val="left" w:pos="5676"/>
          <w:tab w:val="left" w:pos="6376"/>
          <w:tab w:val="left" w:pos="6681"/>
          <w:tab w:val="left" w:pos="7236"/>
          <w:tab w:val="left" w:pos="7487"/>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UGKQY+UQYY5303WU" w:hAnsi="Times New Roman" w:cs="Times New Roman"/>
          <w:sz w:val="28"/>
          <w:szCs w:val="28"/>
          <w:lang w:val="uk-UA"/>
        </w:rPr>
        <w:t>При в</w:t>
      </w:r>
      <w:r w:rsidRPr="005F0419">
        <w:rPr>
          <w:rFonts w:ascii="Times New Roman" w:eastAsia="SSWWL+U1BS19J3LU" w:hAnsi="Times New Roman" w:cs="Times New Roman"/>
          <w:sz w:val="28"/>
          <w:szCs w:val="28"/>
          <w:lang w:val="uk-UA"/>
        </w:rPr>
        <w:t xml:space="preserve">иборі стратегії діяльності підприємств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господарства на ринку послуг, необхідно обов’язково враховувати, як загальний рівень конкурентоспроможності галузі в цілому, так і у відповідних сегментах ринку послуг. У зв’язку з цим, розрізняють стратегічні і тактичні фактори конкурентних переваг.</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Стратегічні</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чинники</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спрямовані</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на</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забезпечення конкурентоспроможності</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готельного</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підприємства</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на майбутній період часу, в той час як</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до</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тактичних</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належить</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фактори, які здатні забезпечити</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конкурентоспроможність закладу у поточний період, тобто в межах одного року. Значно зросла роль управління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-ресторанними підприємствами, яке      повинно забезпечувати</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високу ефективність функціонування,</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конкурентоспроможність і стійке становище на ринку сфери послуг, що потребує реалізації науково обґрунтованих рішень. Сучасні умови господарювання вимагають від керівництва вітчизняних підприємств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постійного впровадження ефективних заходів для підвищення рівня якості та безпеки, виходу на нові ринки, здійснення технологічних інновацій, що потребує інноваційних підходів у системі управління підприємствами [19].</w:t>
      </w:r>
    </w:p>
    <w:p w14:paraId="3B0748B3" w14:textId="77777777" w:rsidR="00DD7390" w:rsidRPr="005F0419" w:rsidRDefault="00DB21B7" w:rsidP="00DD7390">
      <w:pPr>
        <w:widowControl w:val="0"/>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 xml:space="preserve">Для забезпечення конкурентоспроможності вітчизняних закладів розміщення на світовому ринку послуг необхідно проводити постійний аналіз діяльності конкурентів у певному сегменті ринку з метою виявлення переваг і </w:t>
      </w:r>
      <w:r w:rsidRPr="005F0419">
        <w:rPr>
          <w:rFonts w:ascii="Times New Roman" w:eastAsia="SSWWL+U1BS19J3LU" w:hAnsi="Times New Roman" w:cs="Times New Roman"/>
          <w:sz w:val="28"/>
          <w:szCs w:val="28"/>
          <w:lang w:val="uk-UA"/>
        </w:rPr>
        <w:lastRenderedPageBreak/>
        <w:t>недоліків власного підприємства, постійний пошук та впровадження інновацій в діяльності готельного бізнесу, використання тільки високоякісної сировини, матеріалів і сучасного обладнання, підвищення матеріальної зацікавленості працівників та поліпшення умов їх праці, зниження собівартості готельного продукту, використання найбільш ефективних рекламних заходів, постійну підготовку і перепідготовку професійних кадрів тощо. Високу якість обслуговування гостей закладів розміщення забезпечує колектив працівників усіх служб готелю. Для забезпечення необхідного рівня якості обслуговування в закладах розміщення відбувається постійне вдосконалення форм і методів обслуговування, розширюється обсяг послуг і підвищується їх якість, впроваджується нова техніка і сучасні технології.</w:t>
      </w:r>
    </w:p>
    <w:p w14:paraId="7DCE5F6B" w14:textId="77777777" w:rsidR="00DD7390" w:rsidRPr="005F0419" w:rsidRDefault="00DB21B7" w:rsidP="00DD7390">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З кожним роком вимоги споживачів до якості готельних послуг і сервісу підвищуються. Вони формуються на основі власного суб’єктивного досвіду і спостережень, а також інформації, отриманої із соціальних мереж і спілкування з друзями та знайомими. Гості закладів розміщення вимагають швидкого, якісного, але ненав’язливого обслуговування, і, що особливо важливо, вартість наданих послуг повинна відповідати їх якості. Споживачі, які мають можливість порівняти собівартість готельних послуг вітчизняних закладів розміщення з закордонними аналогами, вважають, що цінова політика обслуговування в Україні значно завищена і не відповідає якості наданих послуг. При однаковому обсягу наданих послуг, однаковій оснащеності</w:t>
      </w:r>
      <w:r w:rsidRPr="005F0419">
        <w:rPr>
          <w:rFonts w:ascii="Times New Roman" w:eastAsia="SSWWL+U1BS19J3LU" w:hAnsi="Times New Roman" w:cs="Times New Roman"/>
          <w:sz w:val="28"/>
          <w:szCs w:val="28"/>
          <w:lang w:val="uk-UA"/>
        </w:rPr>
        <w:tab/>
        <w:t xml:space="preserve">та високі репутації, готелі можуть бути конкурентоспроможними тільки за умови, якщо вартість наданих послуг не буде перевищувати вартості послуг конкурентів. Діяльність закладів розміщення у напрямку зниження витрат на реалізацію готельних послуг з помірною вартістю та високим рівнем обслуговування можлива тільки за рахунок впровадження сучасних інноваційних технологій, скорочення витрат і підвищення якості готельних послуг. Це свідчить, що на сучасному етапі розвитку індустрії гостинності, суттєву роль у конкурентній боротьбі готельних підприємств відіграє не тільки рівень матеріально-технічного забезпечення, соціально-економічні та організаційні чинники діяльності, а також цінова </w:t>
      </w:r>
      <w:r w:rsidRPr="005F0419">
        <w:rPr>
          <w:rFonts w:ascii="Times New Roman" w:eastAsia="SSWWL+U1BS19J3LU" w:hAnsi="Times New Roman" w:cs="Times New Roman"/>
          <w:sz w:val="28"/>
          <w:szCs w:val="28"/>
          <w:lang w:val="uk-UA"/>
        </w:rPr>
        <w:lastRenderedPageBreak/>
        <w:t>політика, якість наданих послуг і швидкість обслуговування. Таким чином, пріоритетними напрямками розвитку підприємств готельного бізнесу  є удосконалення системи безпеки та якості надання послуг, формування професійного     сервісу,      реконструкція      матеріально-технічної      бази, впровадження     міжнародних     стандартів</w:t>
      </w:r>
      <w:r w:rsidRPr="005F0419">
        <w:rPr>
          <w:rFonts w:ascii="Times New Roman" w:eastAsia="SSWWL+U1BS19J3LU" w:hAnsi="Times New Roman" w:cs="Times New Roman"/>
          <w:sz w:val="28"/>
          <w:szCs w:val="28"/>
          <w:lang w:val="uk-UA"/>
        </w:rPr>
        <w:tab/>
        <w:t>обслуговування, використання інноваційних форм управління  готельними комплексами в регіонах України</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[20]</w:t>
      </w:r>
      <w:r w:rsidR="00DD7390"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Досвід розвинених країн свідчить, що підприємства, які мають інноваційно-орієнтований характер розвитку, успішно впроваджують та ефективно використовують різноманітні інновації. Концепція розвитку готельного бізнесу у світі спрямована на створення унікальної готельної продукції, яка базується на використанні привабливих для споживача видів діяльності готельного підприємства. Прикладом концептуалізації готельних послуг є нова тенденція розвитку сектору розміщення, яка пов’язана з розміщенням готелів світу у самих незвичайних місцях, для</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отримання гостями закладів гострого відчуття задоволення. Прикладом можуть бути готелі, які мають оригінальну забудову або розміщення. Готелі розміщують у стародавніх замках, монастирях, соборах, підземних бункерах, колишніх в’язницях, на деревах або під водою, з чудовою панорамою мешканців морських глибин. В Україні також з’являються незвичайні концептуальні готелі, до яких можна віднести унікальний готель «Немо» з дельфінами (м. Одеса), до складу якого входить дельфінарій, центр </w:t>
      </w:r>
      <w:proofErr w:type="spellStart"/>
      <w:r w:rsidRPr="005F0419">
        <w:rPr>
          <w:rFonts w:ascii="Times New Roman" w:eastAsia="SSWWL+U1BS19J3LU" w:hAnsi="Times New Roman" w:cs="Times New Roman"/>
          <w:sz w:val="28"/>
          <w:szCs w:val="28"/>
          <w:lang w:val="uk-UA"/>
        </w:rPr>
        <w:t>дельфінотерапії</w:t>
      </w:r>
      <w:proofErr w:type="spellEnd"/>
      <w:r w:rsidRPr="005F0419">
        <w:rPr>
          <w:rFonts w:ascii="Times New Roman" w:eastAsia="SSWWL+U1BS19J3LU" w:hAnsi="Times New Roman" w:cs="Times New Roman"/>
          <w:sz w:val="28"/>
          <w:szCs w:val="28"/>
          <w:lang w:val="uk-UA"/>
        </w:rPr>
        <w:t>; арт-готель «</w:t>
      </w:r>
      <w:proofErr w:type="spellStart"/>
      <w:r w:rsidRPr="005F0419">
        <w:rPr>
          <w:rFonts w:ascii="Times New Roman" w:eastAsia="SSWWL+U1BS19J3LU" w:hAnsi="Times New Roman" w:cs="Times New Roman"/>
          <w:sz w:val="28"/>
          <w:szCs w:val="28"/>
          <w:lang w:val="uk-UA"/>
        </w:rPr>
        <w:t>Баккара</w:t>
      </w:r>
      <w:proofErr w:type="spellEnd"/>
      <w:r w:rsidRPr="005F0419">
        <w:rPr>
          <w:rFonts w:ascii="Times New Roman" w:eastAsia="SSWWL+U1BS19J3LU" w:hAnsi="Times New Roman" w:cs="Times New Roman"/>
          <w:sz w:val="28"/>
          <w:szCs w:val="28"/>
          <w:lang w:val="uk-UA"/>
        </w:rPr>
        <w:t>» м. (Київ), який має вигляд велетенського лайнера з прекрасними краєвидами на величавий Дніпро; міні-готель «Грибова хата» (с. Поляниця Івано-Франківської області), до складу якого входить шість номерів з авторськими дерев’яними меблями і рестораном у формі гриба, у меню якого переважають грибні страви; готель «Історія» (с. Поляниця Івано-Франківської області), концепція дизайну якого присвячена певному українського періоду. Такі незвичайні заклади розміщення</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підсилюють</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туристичну</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привабливість</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регіонів</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України,</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дозволяють надавати ексклюзивні послуги та ефективно конкурувати на ринку готельної індустрії [21].</w:t>
      </w:r>
      <w:r w:rsidR="00DD7390"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Слід відзначити, що використання мультимедійних технологій також необхідно </w:t>
      </w:r>
      <w:r w:rsidRPr="005F0419">
        <w:rPr>
          <w:rFonts w:ascii="Times New Roman" w:eastAsia="SSWWL+U1BS19J3LU" w:hAnsi="Times New Roman" w:cs="Times New Roman"/>
          <w:sz w:val="28"/>
          <w:szCs w:val="28"/>
          <w:lang w:val="uk-UA"/>
        </w:rPr>
        <w:lastRenderedPageBreak/>
        <w:t xml:space="preserve">розглядати як важливий інноваційний напрямок розвитку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Розміщення готелями в мережі Інтернет електронних довідників і каталогів дає змогу майбутнім гостям отримати повну інформацію про готельне підприємство, віртуально ознайомитись з номерним фондом готелів різних категорій, кухнею ресторанів, конгрес-центрами, спектром послуг, системою пільг і знижок. інноваційних  мультимедійних технологій дає можливість потенційному відвідувачу  отримати повну інформацію про готель, зважити переваги та недоліки, і безпомилково вибрати готельне підприємство, яке відповідає його вимогам і можливостям.</w:t>
      </w:r>
    </w:p>
    <w:p w14:paraId="69C977C1" w14:textId="77777777" w:rsidR="006F6DB6" w:rsidRPr="005F0419" w:rsidRDefault="00DB21B7" w:rsidP="006F6DB6">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pacing w:val="-6"/>
          <w:sz w:val="28"/>
          <w:szCs w:val="28"/>
          <w:lang w:val="uk-UA"/>
        </w:rPr>
        <w:t>На сьогодні, керівництво більшості готельних підприємств прийшло до висновку,</w:t>
      </w:r>
      <w:r w:rsidR="00DD7390" w:rsidRPr="005F0419">
        <w:rPr>
          <w:rFonts w:ascii="Times New Roman" w:eastAsia="SSWWL+U1BS19J3LU" w:hAnsi="Times New Roman" w:cs="Times New Roman"/>
          <w:spacing w:val="-6"/>
          <w:sz w:val="28"/>
          <w:szCs w:val="28"/>
          <w:lang w:val="uk-UA"/>
        </w:rPr>
        <w:t xml:space="preserve"> </w:t>
      </w:r>
      <w:r w:rsidRPr="005F0419">
        <w:rPr>
          <w:rFonts w:ascii="Times New Roman" w:eastAsia="SSWWL+U1BS19J3LU" w:hAnsi="Times New Roman" w:cs="Times New Roman"/>
          <w:spacing w:val="-6"/>
          <w:sz w:val="28"/>
          <w:szCs w:val="28"/>
          <w:lang w:val="uk-UA"/>
        </w:rPr>
        <w:t>що</w:t>
      </w:r>
      <w:r w:rsidR="00DD7390" w:rsidRPr="005F0419">
        <w:rPr>
          <w:rFonts w:ascii="Times New Roman" w:eastAsia="SSWWL+U1BS19J3LU" w:hAnsi="Times New Roman" w:cs="Times New Roman"/>
          <w:spacing w:val="-6"/>
          <w:sz w:val="28"/>
          <w:szCs w:val="28"/>
          <w:lang w:val="uk-UA"/>
        </w:rPr>
        <w:t xml:space="preserve"> </w:t>
      </w:r>
      <w:r w:rsidRPr="005F0419">
        <w:rPr>
          <w:rFonts w:ascii="Times New Roman" w:eastAsia="SSWWL+U1BS19J3LU" w:hAnsi="Times New Roman" w:cs="Times New Roman"/>
          <w:spacing w:val="-6"/>
          <w:sz w:val="28"/>
          <w:szCs w:val="28"/>
          <w:lang w:val="uk-UA"/>
        </w:rPr>
        <w:t>першочерговим завданням для підвищення конкурентоспроможності</w:t>
      </w:r>
      <w:r w:rsidRPr="005F0419">
        <w:rPr>
          <w:rFonts w:ascii="Times New Roman" w:eastAsia="SSWWL+U1BS19J3LU" w:hAnsi="Times New Roman" w:cs="Times New Roman"/>
          <w:sz w:val="28"/>
          <w:szCs w:val="28"/>
          <w:lang w:val="uk-UA"/>
        </w:rPr>
        <w:t xml:space="preserve"> закладів розміщення, є орієнтація на бажання споживача готельних послуг та забезпечення якості обслуговування. Тому, з метою одержання лояльності гостей, закладами розміщення широко використовуються     додаткові послуги, оздоровчі акції та пропозиції, розробляються нові програми обслуговування тощо. Фахівці готельного бізнесу удосконалюють форми та способи обслуговування, вивчають і використовують</w:t>
      </w:r>
      <w:r w:rsidR="004D6D7A"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світовий</w:t>
      </w:r>
      <w:r w:rsidR="004D6D7A"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досвід,</w:t>
      </w:r>
      <w:r w:rsidR="004D6D7A"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впроваджують новітню техніку та технології, проводять постійний і ефективний контроль діяльності закладу. Асортимент додаткових готельних послуг постійно розширюються. Крім традиційних послуг, кожне готельне підприємство, враховуючи специфіку своєї</w:t>
      </w:r>
      <w:r w:rsidRPr="005F0419">
        <w:rPr>
          <w:rFonts w:ascii="Times New Roman" w:eastAsia="SSWWL+U1BS19J3LU" w:hAnsi="Times New Roman" w:cs="Times New Roman"/>
          <w:sz w:val="28"/>
          <w:szCs w:val="28"/>
          <w:lang w:val="uk-UA"/>
        </w:rPr>
        <w:tab/>
        <w:t>діяльності та контингент гостей</w:t>
      </w:r>
      <w:r w:rsidRPr="005F0419">
        <w:rPr>
          <w:rFonts w:ascii="Times New Roman" w:eastAsia="SSWWL+U1BS19J3LU" w:hAnsi="Times New Roman" w:cs="Times New Roman"/>
          <w:sz w:val="28"/>
          <w:szCs w:val="28"/>
          <w:lang w:val="uk-UA"/>
        </w:rPr>
        <w:tab/>
        <w:t xml:space="preserve">готелю може постійно урізноманітнювати сферу послуг. Наприклад, в готелях для бізнес-туристів у вихідні дні, для відпочинку і розваг, пропонують такі додаткові послуги, як полювання, водні прогулянки, риболовля, екскурсії тощо. Для того, щоб розширити й зміцнити ділові контакти, особливо в міжсезонний період, керівництво готелів працює з туристичними агентствами, організовує зустрічі за інтересами, різноманітні конкурси, фестивалі, виставки тощо. Пропозиції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-ресторанних послуг стрімко зростають через надання якісних основних і додаткових послуг, а також різноманітного сервісу – ділового, розважального, оздоровчого, транспортного, екскурсійного тощо. Впровадження додаткових </w:t>
      </w:r>
      <w:r w:rsidRPr="005F0419">
        <w:rPr>
          <w:rFonts w:ascii="Times New Roman" w:eastAsia="SSWWL+U1BS19J3LU" w:hAnsi="Times New Roman" w:cs="Times New Roman"/>
          <w:sz w:val="28"/>
          <w:szCs w:val="28"/>
          <w:lang w:val="uk-UA"/>
        </w:rPr>
        <w:lastRenderedPageBreak/>
        <w:t xml:space="preserve">послуг дозволяє готелю виділитися серед конкурентів і робить готель конкурентоспроможним учасником ринку. Розвиток даного напрямку діяльності засобів розміщення залежить від наявних матеріальних ресурсів готелю і раціонального підходу керівництва готелю до використання наявних ресурсів закладів розміщення до інноваційних технологій, які не завжди пов’язані з фінансовими витратами. Наприклад, у  </w:t>
      </w:r>
      <w:r w:rsidR="006F6DB6" w:rsidRPr="005F0419">
        <w:rPr>
          <w:rFonts w:ascii="Times New Roman" w:eastAsia="SSWWL+U1BS19J3LU" w:hAnsi="Times New Roman" w:cs="Times New Roman"/>
          <w:sz w:val="28"/>
          <w:szCs w:val="28"/>
          <w:lang w:val="uk-UA"/>
        </w:rPr>
        <w:t>SPA</w:t>
      </w:r>
      <w:r w:rsidR="004D6D7A"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готелях для  релаксації відвідувачів   використовують </w:t>
      </w:r>
      <w:proofErr w:type="spellStart"/>
      <w:r w:rsidRPr="005F0419">
        <w:rPr>
          <w:rFonts w:ascii="Times New Roman" w:eastAsia="SSWWL+U1BS19J3LU" w:hAnsi="Times New Roman" w:cs="Times New Roman"/>
          <w:sz w:val="28"/>
          <w:szCs w:val="28"/>
          <w:lang w:val="uk-UA"/>
        </w:rPr>
        <w:t>арома-терапіїю</w:t>
      </w:r>
      <w:proofErr w:type="spellEnd"/>
      <w:r w:rsidRPr="005F0419">
        <w:rPr>
          <w:rFonts w:ascii="Times New Roman" w:eastAsia="SSWWL+U1BS19J3LU" w:hAnsi="Times New Roman" w:cs="Times New Roman"/>
          <w:sz w:val="28"/>
          <w:szCs w:val="28"/>
          <w:lang w:val="uk-UA"/>
        </w:rPr>
        <w:t>,</w:t>
      </w:r>
      <w:r w:rsidR="006F6DB6"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яка  дозволяє не тільки </w:t>
      </w:r>
      <w:r w:rsidR="006F6DB6" w:rsidRPr="005F0419">
        <w:rPr>
          <w:rFonts w:ascii="Times New Roman" w:eastAsia="SSWWL+U1BS19J3LU" w:hAnsi="Times New Roman" w:cs="Times New Roman"/>
          <w:sz w:val="28"/>
          <w:szCs w:val="28"/>
          <w:lang w:val="uk-UA"/>
        </w:rPr>
        <w:t>диверсифікувати</w:t>
      </w:r>
      <w:r w:rsidRPr="005F0419">
        <w:rPr>
          <w:rFonts w:ascii="Times New Roman" w:eastAsia="SSWWL+U1BS19J3LU" w:hAnsi="Times New Roman" w:cs="Times New Roman"/>
          <w:sz w:val="28"/>
          <w:szCs w:val="28"/>
          <w:lang w:val="uk-UA"/>
        </w:rPr>
        <w:t xml:space="preserve"> готельні послуги, але й використати її в якості </w:t>
      </w:r>
      <w:proofErr w:type="spellStart"/>
      <w:r w:rsidRPr="005F0419">
        <w:rPr>
          <w:rFonts w:ascii="Times New Roman" w:eastAsia="SSWWL+U1BS19J3LU" w:hAnsi="Times New Roman" w:cs="Times New Roman"/>
          <w:sz w:val="28"/>
          <w:szCs w:val="28"/>
          <w:lang w:val="uk-UA"/>
        </w:rPr>
        <w:t>арома</w:t>
      </w:r>
      <w:proofErr w:type="spellEnd"/>
      <w:r w:rsidRPr="005F0419">
        <w:rPr>
          <w:rFonts w:ascii="Times New Roman" w:eastAsia="SSWWL+U1BS19J3LU" w:hAnsi="Times New Roman" w:cs="Times New Roman"/>
          <w:sz w:val="28"/>
          <w:szCs w:val="28"/>
          <w:lang w:val="uk-UA"/>
        </w:rPr>
        <w:t xml:space="preserve">-маркетингу та оригінального </w:t>
      </w:r>
      <w:proofErr w:type="spellStart"/>
      <w:r w:rsidRPr="005F0419">
        <w:rPr>
          <w:rFonts w:ascii="Times New Roman" w:eastAsia="SSWWL+U1BS19J3LU" w:hAnsi="Times New Roman" w:cs="Times New Roman"/>
          <w:sz w:val="28"/>
          <w:szCs w:val="28"/>
          <w:lang w:val="uk-UA"/>
        </w:rPr>
        <w:t>арома</w:t>
      </w:r>
      <w:proofErr w:type="spellEnd"/>
      <w:r w:rsidRPr="005F0419">
        <w:rPr>
          <w:rFonts w:ascii="Times New Roman" w:eastAsia="SSWWL+U1BS19J3LU" w:hAnsi="Times New Roman" w:cs="Times New Roman"/>
          <w:sz w:val="28"/>
          <w:szCs w:val="28"/>
          <w:lang w:val="uk-UA"/>
        </w:rPr>
        <w:t xml:space="preserve">-брендингу для закладу розміщення. Додаткові послуги в закладах розміщення різних країнах світу досить різноманітні і надаються за додаткову плату. Таким чином, на сучасному етапі розвитку готельної індустрії ефективними  напрямками підвищення конкурентоспроможності підприємств є впровадження  оригінальних заходів, а також інноваційних тенденцій розвитку послуг. Пошук і впровадження нових шляхів розвитку та оновлення власних ресурсів за рахунок впровадження інновацій, які спрямовані на задоволення вимог сучасного споживача, дозволяє підприємствам готельного бізнесу розширити обсяг і підвищити якість готельних послуг. Тому для готельного бізнесу актуальним є формування інноваційної стратегії розвитку та створення конкурентних переваг з урахуванням бажань споживачів, специфіки і вимог ринку готельних послуг, яка базується на розробці та впровадженні нових видів продукції і послуг, використанні нових технологій або удосконаленні існуючих, освоєнні нового ринку для збуту продукції, застосуванні нових видів сировини і способів постачання, впровадженні нової організації виробництва і процесів управління, що дозволить отримати певний економічний ефект і переваги на ринку послуг [22]. Динамічний процес реформування економічних відносин в Україні та світі вимагає вирішення проблеми вибору оптимальних шляхів розвитку національного готельного господарства. На тепер, безліч чинників ускладнюють діяльність підприємств готельного бізнесу, основними з яких вважаються: нестабільність економіки і, недостатній  рівень інвестицій, розширення конкуренції у готельному бізнесі. Однією з вагомих проблем </w:t>
      </w:r>
      <w:r w:rsidRPr="005F0419">
        <w:rPr>
          <w:rFonts w:ascii="Times New Roman" w:eastAsia="SSWWL+U1BS19J3LU" w:hAnsi="Times New Roman" w:cs="Times New Roman"/>
          <w:sz w:val="28"/>
          <w:szCs w:val="28"/>
          <w:lang w:val="uk-UA"/>
        </w:rPr>
        <w:lastRenderedPageBreak/>
        <w:t>готельного господарства  в Україні є відсутність оптимального співвідношення між попитом і пропозицією на ринку готельних послуг та використання дієвих методів для забезпечення інноваційного розвитку готельних підприємств.</w:t>
      </w:r>
    </w:p>
    <w:p w14:paraId="5F72A4C0" w14:textId="77777777" w:rsidR="006F6DB6" w:rsidRPr="005F0419" w:rsidRDefault="00DB21B7" w:rsidP="006F6DB6">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Проведений аналіз діяльності підприємств у сфері послуг засвідчив, що для виходу на міжнародні ринки і забезпечення конкурентоспроможності готельного бізнесу, необхідно використовувати досвід розвинених країн світу у готельному бізнесі. До популярних інновацій, які широко впроваджується у світі, належить формування в готельному бізнесі мережевих структур. Сучасні тренди розвитку туристичної галузі створюють передумови для</w:t>
      </w:r>
      <w:r w:rsidR="006F6DB6"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розвитку мережевих форм</w:t>
      </w:r>
      <w:r w:rsidRPr="005F0419">
        <w:rPr>
          <w:rFonts w:ascii="Times New Roman" w:eastAsia="SSWWL+U1BS19J3LU" w:hAnsi="Times New Roman" w:cs="Times New Roman"/>
          <w:sz w:val="28"/>
          <w:szCs w:val="28"/>
          <w:lang w:val="uk-UA"/>
        </w:rPr>
        <w:tab/>
        <w:t>організації</w:t>
      </w:r>
      <w:r w:rsidRPr="005F0419">
        <w:rPr>
          <w:rFonts w:ascii="Times New Roman" w:eastAsia="SSWWL+U1BS19J3LU" w:hAnsi="Times New Roman" w:cs="Times New Roman"/>
          <w:sz w:val="28"/>
          <w:szCs w:val="28"/>
          <w:lang w:val="uk-UA"/>
        </w:rPr>
        <w:tab/>
        <w:t xml:space="preserve">готельного господарства. </w:t>
      </w:r>
    </w:p>
    <w:p w14:paraId="12B97523" w14:textId="77777777" w:rsidR="006F6DB6" w:rsidRPr="005F0419" w:rsidRDefault="00DB21B7" w:rsidP="00DB21B7">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Готельні мережі </w:t>
      </w:r>
      <w:r w:rsidR="006F6DB6"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це об’єднання різних    готельних підприємств у колективний бізнес  під єдиним керівництвом, із  впровадженням  єдиного бренду та спільною концепцією просування на ринок збуту продукції та послуг [23].  Існують два основних види готельних мереж: інтегровані мережі, які створені з однорідних одиниць, та готельні консорціуми, які об’єднують незалежні готелі. Інтегровані готельні мережі керуються безпосередньо або опосередковано через франчайзингову систему або за контрактом на управління. Завдяки функціонуванню готельних  мереж  індустрія гостинності стала однією з галузей сфери послуг, яка ефективно розвивається і стає дедалі популярнішою. У сучасному світі склалося більше 300 готельних ланцюгів, що об’єднують понад 50% світового номерного фонду [23].</w:t>
      </w:r>
    </w:p>
    <w:p w14:paraId="26E982AC" w14:textId="77777777" w:rsidR="006F6DB6" w:rsidRPr="005F0419" w:rsidRDefault="00DB21B7" w:rsidP="00DB21B7">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Готельні мережі та готельні комплекси в останні десятиліття стали популярним  трендом міжнародного розвитку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Входження України до міжнародних готельних мереж є актуальним, тому що це дозволяє підняти готельний бізнес нашої держави до світового рівня, наблизити</w:t>
      </w:r>
      <w:r w:rsidR="006F6DB6"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процес обслуговування до міжнародних стандартів, залучити</w:t>
      </w:r>
      <w:r w:rsidR="006F6DB6"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інвестиції</w:t>
      </w:r>
      <w:r w:rsidR="006F6DB6" w:rsidRPr="005F0419">
        <w:rPr>
          <w:rFonts w:ascii="Times New Roman" w:eastAsia="SSWWL+U1BS19J3LU" w:hAnsi="Times New Roman" w:cs="Times New Roman"/>
          <w:sz w:val="28"/>
          <w:szCs w:val="28"/>
          <w:lang w:val="uk-UA"/>
        </w:rPr>
        <w:t xml:space="preserve"> до </w:t>
      </w:r>
      <w:r w:rsidRPr="005F0419">
        <w:rPr>
          <w:rFonts w:ascii="Times New Roman" w:eastAsia="SSWWL+U1BS19J3LU" w:hAnsi="Times New Roman" w:cs="Times New Roman"/>
          <w:sz w:val="28"/>
          <w:szCs w:val="28"/>
          <w:lang w:val="uk-UA"/>
        </w:rPr>
        <w:t>розвитк</w:t>
      </w:r>
      <w:r w:rsidR="006F6DB6" w:rsidRPr="005F0419">
        <w:rPr>
          <w:rFonts w:ascii="Times New Roman" w:eastAsia="SSWWL+U1BS19J3LU" w:hAnsi="Times New Roman" w:cs="Times New Roman"/>
          <w:sz w:val="28"/>
          <w:szCs w:val="28"/>
          <w:lang w:val="uk-UA"/>
        </w:rPr>
        <w:t xml:space="preserve">у </w:t>
      </w:r>
      <w:r w:rsidRPr="005F0419">
        <w:rPr>
          <w:rFonts w:ascii="Times New Roman" w:eastAsia="SSWWL+U1BS19J3LU" w:hAnsi="Times New Roman" w:cs="Times New Roman"/>
          <w:sz w:val="28"/>
          <w:szCs w:val="28"/>
          <w:lang w:val="uk-UA"/>
        </w:rPr>
        <w:t xml:space="preserve">готельної галузі, підвищити конкурентоспроможність національної індустрії гостинності на світовому ринку послуг і забезпечити сталий розвиток як міжнародного, так і внутрішнього туризму. Готельні ланцюги є однією з найбільш прогресивних форм організації засобів розміщення, тому що під </w:t>
      </w:r>
      <w:r w:rsidRPr="005F0419">
        <w:rPr>
          <w:rFonts w:ascii="Times New Roman" w:eastAsia="SSWWL+U1BS19J3LU" w:hAnsi="Times New Roman" w:cs="Times New Roman"/>
          <w:sz w:val="28"/>
          <w:szCs w:val="28"/>
          <w:lang w:val="uk-UA"/>
        </w:rPr>
        <w:lastRenderedPageBreak/>
        <w:t>єдиним брендом об'єднуються готелі з єдиною стратегією розвитку, єдиною системою обслуговування, загальними стандартами якості і безпеки, системою бронювання місць та розміщення. Популярність і прихильність до відомих готельних  брендів створюють єдині принципи функціонування, які  забезпечують високий рівень завантаження номерного фонду, знижує витрати управління i підвищує конкурентоспроможність  готельних комплексів. Такий підхід до організації готельного бізнеса відкриває можливість удосконалювати якість готельного продукту, диверсифікувати послуги певного сегменту ринку, забезпечувати індивідуальний підхід до кожного гостя закладів розміщення. Слід відзначити, що власники готельних мереж теж отримують певні переваги у вигляді економії ресурсів, внаслідок розширення масштабу діяльності та підвищення рівня рентабельності, збільшення потоку міжнародних та внутрішніх туристів, як результат забезпечення якості послуг на рівні</w:t>
      </w:r>
      <w:r w:rsidRPr="005F0419">
        <w:rPr>
          <w:rFonts w:ascii="Times New Roman"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міжнародних стандартів, а також у зростанні можливості отримати більше </w:t>
      </w:r>
      <w:r w:rsidRPr="005F0419">
        <w:rPr>
          <w:rFonts w:ascii="Times New Roman" w:eastAsia="NKUSB+DejaVuSans" w:hAnsi="Times New Roman" w:cs="Times New Roman"/>
          <w:sz w:val="28"/>
          <w:szCs w:val="28"/>
          <w:lang w:val="uk-UA"/>
        </w:rPr>
        <w:t>інвестицій.</w:t>
      </w:r>
      <w:r w:rsidRPr="005F0419">
        <w:rPr>
          <w:rFonts w:ascii="Times New Roman" w:eastAsia="SSWWL+U1BS19J3LU" w:hAnsi="Times New Roman" w:cs="Times New Roman"/>
          <w:sz w:val="28"/>
          <w:szCs w:val="28"/>
          <w:lang w:val="uk-UA"/>
        </w:rPr>
        <w:t xml:space="preserve">       </w:t>
      </w:r>
    </w:p>
    <w:p w14:paraId="1F83FBE5" w14:textId="200523F0" w:rsidR="00DB21B7" w:rsidRPr="005F0419" w:rsidRDefault="00DB21B7" w:rsidP="00DB21B7">
      <w:pPr>
        <w:widowControl w:val="0"/>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Проведений аналіз стану і розвитку готельного бізнесу в Україні засвідчив, що одним з перспективних напрямків інноваційного розвитку ринку готельних послуг в Україні є формування національних та</w:t>
      </w:r>
      <w:r w:rsidRPr="005F0419">
        <w:rPr>
          <w:rFonts w:ascii="Times New Roman"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регіональних готельних мереж, які об’єднують готельні бренди зі стабільно високим рівнем обслуговування [24]</w:t>
      </w:r>
      <w:r w:rsidR="006F6DB6" w:rsidRPr="005F0419">
        <w:rPr>
          <w:rFonts w:ascii="Times New Roman" w:eastAsia="SSWWL+U1BS19J3LU" w:hAnsi="Times New Roman" w:cs="Times New Roman"/>
          <w:sz w:val="28"/>
          <w:szCs w:val="28"/>
          <w:lang w:val="uk-UA"/>
        </w:rPr>
        <w:t>.</w:t>
      </w:r>
    </w:p>
    <w:p w14:paraId="3329E7EA" w14:textId="77777777" w:rsidR="006F6DB6" w:rsidRPr="005F0419" w:rsidRDefault="00DB21B7" w:rsidP="006F6DB6">
      <w:pPr>
        <w:widowControl w:val="0"/>
        <w:tabs>
          <w:tab w:val="left" w:pos="2404"/>
          <w:tab w:val="left" w:pos="3181"/>
          <w:tab w:val="left" w:pos="3990"/>
          <w:tab w:val="left" w:pos="4283"/>
          <w:tab w:val="left" w:pos="5375"/>
          <w:tab w:val="left" w:pos="5647"/>
          <w:tab w:val="left" w:pos="6855"/>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Першою іноземною готельною мережею, яка відкрила свої готелі на території України, був готельний ланцюг </w:t>
      </w:r>
      <w:proofErr w:type="spellStart"/>
      <w:r w:rsidRPr="005F0419">
        <w:rPr>
          <w:rFonts w:ascii="Times New Roman" w:eastAsia="SSWWL+U1BS19J3LU" w:hAnsi="Times New Roman" w:cs="Times New Roman"/>
          <w:sz w:val="28"/>
          <w:szCs w:val="28"/>
          <w:lang w:val="uk-UA"/>
        </w:rPr>
        <w:t>Radisson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характерною ознакою якого є розкішні готелі та великі курортні комплекси з високоякісним сервісом. Наступним в Україні був відкритий чотиризірковий готель для бізнес-туристів </w:t>
      </w:r>
      <w:proofErr w:type="spellStart"/>
      <w:r w:rsidRPr="005F0419">
        <w:rPr>
          <w:rFonts w:ascii="Times New Roman" w:eastAsia="SSWWL+U1BS19J3LU" w:hAnsi="Times New Roman" w:cs="Times New Roman"/>
          <w:sz w:val="28"/>
          <w:szCs w:val="28"/>
          <w:lang w:val="uk-UA"/>
        </w:rPr>
        <w:t>Radisson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Blu</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Kуiv</w:t>
      </w:r>
      <w:proofErr w:type="spellEnd"/>
      <w:r w:rsidRPr="005F0419">
        <w:rPr>
          <w:rFonts w:ascii="Times New Roman" w:eastAsia="SSWWL+U1BS19J3LU" w:hAnsi="Times New Roman" w:cs="Times New Roman"/>
          <w:sz w:val="28"/>
          <w:szCs w:val="28"/>
          <w:lang w:val="uk-UA"/>
        </w:rPr>
        <w:t xml:space="preserve">, який розташований в центрі Києва і надає високоякісні ділові послуги для бізнес-туристів: конференц-зали, організацію зустрічей, умови для відпочинку та розваг. На курорті Буковель найпопулярнішим курортним готелем вважається </w:t>
      </w:r>
      <w:proofErr w:type="spellStart"/>
      <w:r w:rsidRPr="005F0419">
        <w:rPr>
          <w:rFonts w:ascii="Times New Roman" w:eastAsia="SSWWL+U1BS19J3LU" w:hAnsi="Times New Roman" w:cs="Times New Roman"/>
          <w:sz w:val="28"/>
          <w:szCs w:val="28"/>
          <w:lang w:val="uk-UA"/>
        </w:rPr>
        <w:t>Radisson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Blu</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Resort</w:t>
      </w:r>
      <w:proofErr w:type="spellEnd"/>
      <w:r w:rsidRPr="005F0419">
        <w:rPr>
          <w:rFonts w:ascii="Times New Roman" w:eastAsia="SSWWL+U1BS19J3LU" w:hAnsi="Times New Roman" w:cs="Times New Roman"/>
          <w:sz w:val="28"/>
          <w:szCs w:val="28"/>
          <w:lang w:val="uk-UA"/>
        </w:rPr>
        <w:t>, який надає оздоровчі  послуги для туристів, починаючи</w:t>
      </w:r>
      <w:r w:rsidRPr="005F0419">
        <w:rPr>
          <w:rFonts w:ascii="Times New Roman" w:eastAsia="SSWWL+U1BS19J3LU" w:hAnsi="Times New Roman" w:cs="Times New Roman"/>
          <w:sz w:val="28"/>
          <w:szCs w:val="28"/>
          <w:lang w:val="uk-UA"/>
        </w:rPr>
        <w:tab/>
        <w:t>від трансферу</w:t>
      </w:r>
      <w:r w:rsidR="006F6DB6"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з вокзалу, аеропорту і закінчуючи організацією гірськолижних розваг. Також готель надає пакет ділових послуг, що робить його спеціалізованим як у курортному, так і у </w:t>
      </w:r>
      <w:r w:rsidRPr="005F0419">
        <w:rPr>
          <w:rFonts w:ascii="Times New Roman" w:eastAsia="SSWWL+U1BS19J3LU" w:hAnsi="Times New Roman" w:cs="Times New Roman"/>
          <w:sz w:val="28"/>
          <w:szCs w:val="28"/>
          <w:lang w:val="uk-UA"/>
        </w:rPr>
        <w:lastRenderedPageBreak/>
        <w:t>діловому напрямках [25]</w:t>
      </w:r>
      <w:r w:rsidR="006F6DB6" w:rsidRPr="005F0419">
        <w:rPr>
          <w:rFonts w:ascii="Times New Roman" w:eastAsia="SSWWL+U1BS19J3LU" w:hAnsi="Times New Roman" w:cs="Times New Roman"/>
          <w:sz w:val="28"/>
          <w:szCs w:val="28"/>
          <w:lang w:val="uk-UA"/>
        </w:rPr>
        <w:t>.</w:t>
      </w:r>
    </w:p>
    <w:p w14:paraId="57304E99" w14:textId="77777777" w:rsidR="006F6DB6" w:rsidRPr="005F0419" w:rsidRDefault="00DB21B7" w:rsidP="006F6DB6">
      <w:pPr>
        <w:widowControl w:val="0"/>
        <w:tabs>
          <w:tab w:val="left" w:pos="2404"/>
          <w:tab w:val="left" w:pos="3181"/>
          <w:tab w:val="left" w:pos="3990"/>
          <w:tab w:val="left" w:pos="4283"/>
          <w:tab w:val="left" w:pos="5375"/>
          <w:tab w:val="left" w:pos="5647"/>
          <w:tab w:val="left" w:pos="6855"/>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На готельному ринку України присутній також міжнародний готельний ланцюг </w:t>
      </w:r>
      <w:proofErr w:type="spellStart"/>
      <w:r w:rsidRPr="005F0419">
        <w:rPr>
          <w:rFonts w:ascii="Times New Roman" w:eastAsia="SSWWL+U1BS19J3LU" w:hAnsi="Times New Roman" w:cs="Times New Roman"/>
          <w:sz w:val="28"/>
          <w:szCs w:val="28"/>
          <w:lang w:val="uk-UA"/>
        </w:rPr>
        <w:t>Holiday</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Inn</w:t>
      </w:r>
      <w:proofErr w:type="spellEnd"/>
      <w:r w:rsidRPr="005F0419">
        <w:rPr>
          <w:rFonts w:ascii="Times New Roman" w:eastAsia="SSWWL+U1BS19J3LU" w:hAnsi="Times New Roman" w:cs="Times New Roman"/>
          <w:sz w:val="28"/>
          <w:szCs w:val="28"/>
          <w:lang w:val="uk-UA"/>
        </w:rPr>
        <w:t xml:space="preserve">, особливістю якого є надання послуг високої якості за помірними цінами. </w:t>
      </w:r>
      <w:proofErr w:type="spellStart"/>
      <w:r w:rsidRPr="005F0419">
        <w:rPr>
          <w:rFonts w:ascii="Times New Roman" w:eastAsia="SSWWL+U1BS19J3LU" w:hAnsi="Times New Roman" w:cs="Times New Roman"/>
          <w:sz w:val="28"/>
          <w:szCs w:val="28"/>
          <w:lang w:val="uk-UA"/>
        </w:rPr>
        <w:t>Holiday</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Inn</w:t>
      </w:r>
      <w:proofErr w:type="spellEnd"/>
      <w:r w:rsidRPr="005F0419">
        <w:rPr>
          <w:rFonts w:ascii="Times New Roman" w:eastAsia="SSWWL+U1BS19J3LU" w:hAnsi="Times New Roman" w:cs="Times New Roman"/>
          <w:sz w:val="28"/>
          <w:szCs w:val="28"/>
          <w:lang w:val="uk-UA"/>
        </w:rPr>
        <w:t xml:space="preserve"> став першим готельним ланцюгом, який реалізував франшизу та застосував комп'ютерну систему бронювання. Готель </w:t>
      </w:r>
      <w:proofErr w:type="spellStart"/>
      <w:r w:rsidRPr="005F0419">
        <w:rPr>
          <w:rFonts w:ascii="Times New Roman" w:eastAsia="SSWWL+U1BS19J3LU" w:hAnsi="Times New Roman" w:cs="Times New Roman"/>
          <w:sz w:val="28"/>
          <w:szCs w:val="28"/>
          <w:lang w:val="uk-UA"/>
        </w:rPr>
        <w:t>Holiday</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Inn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Kyiv</w:t>
      </w:r>
      <w:proofErr w:type="spellEnd"/>
      <w:r w:rsidRPr="005F0419">
        <w:rPr>
          <w:rFonts w:ascii="Times New Roman" w:eastAsia="SSWWL+U1BS19J3LU" w:hAnsi="Times New Roman" w:cs="Times New Roman"/>
          <w:sz w:val="28"/>
          <w:szCs w:val="28"/>
          <w:lang w:val="uk-UA"/>
        </w:rPr>
        <w:t xml:space="preserve"> знаходиться в центрі Києва, недалеко від адміністративних та ділових закладів [26]</w:t>
      </w:r>
      <w:r w:rsidR="006F6DB6"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В готелі присутній бізнес-центр та діловий перекладач, що забезпечує можливість проведення конференцій і зустрічей на міжнародному рівні, безкоштовний фітнес-центр, оздоровчі та розважальні послуги за додаткову плату. Готельний ланцюг </w:t>
      </w:r>
      <w:proofErr w:type="spellStart"/>
      <w:r w:rsidRPr="005F0419">
        <w:rPr>
          <w:rFonts w:ascii="Times New Roman" w:eastAsia="SSWWL+U1BS19J3LU" w:hAnsi="Times New Roman" w:cs="Times New Roman"/>
          <w:sz w:val="28"/>
          <w:szCs w:val="28"/>
          <w:lang w:val="uk-UA"/>
        </w:rPr>
        <w:t>Intercontinental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Kyiv</w:t>
      </w:r>
      <w:proofErr w:type="spellEnd"/>
      <w:r w:rsidRPr="005F0419">
        <w:rPr>
          <w:rFonts w:ascii="Times New Roman" w:eastAsia="SSWWL+U1BS19J3LU" w:hAnsi="Times New Roman" w:cs="Times New Roman"/>
          <w:sz w:val="28"/>
          <w:szCs w:val="28"/>
          <w:lang w:val="uk-UA"/>
        </w:rPr>
        <w:t xml:space="preserve"> призначений як для ділових туристів, так і для транзитних  відвідувачів, які приїхали до Києва з бажанням ознайомитись з історією, пам’ятками архітектури та національною кухнею. На готельний ринок України також зайшли і успішно функціонують разом з об’єднаними українськими готелями такі всесвітньо відомі готельні мережі, як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and</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Resorts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Ribas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Формування вітчизняних готельних мереж розпочалося з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and</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Resorts</w:t>
      </w:r>
      <w:proofErr w:type="spellEnd"/>
      <w:r w:rsidRPr="005F0419">
        <w:rPr>
          <w:rFonts w:ascii="Times New Roman" w:eastAsia="SSWWL+U1BS19J3LU" w:hAnsi="Times New Roman" w:cs="Times New Roman"/>
          <w:sz w:val="28"/>
          <w:szCs w:val="28"/>
          <w:lang w:val="uk-UA"/>
        </w:rPr>
        <w:t xml:space="preserve"> [27]. Ця мережа розвиває три бренди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Palace</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Compass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та налічує 17 готелів категорії від трьох до п’яти зірок. Бренди мережі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and</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Resorts</w:t>
      </w:r>
      <w:proofErr w:type="spellEnd"/>
      <w:r w:rsidRPr="005F0419">
        <w:rPr>
          <w:rFonts w:ascii="Times New Roman" w:eastAsia="SSWWL+U1BS19J3LU" w:hAnsi="Times New Roman" w:cs="Times New Roman"/>
          <w:sz w:val="28"/>
          <w:szCs w:val="28"/>
          <w:lang w:val="uk-UA"/>
        </w:rPr>
        <w:t xml:space="preserve"> пропонують споживачам послуги різної спрямованості: бренд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Compass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 економне розміщення, бренд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 бізнес-клас серед готелів, бренд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Palace</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 спрямований на задоволення вимог вибагливого споживача [27]</w:t>
      </w:r>
      <w:r w:rsidR="006F6DB6"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w:t>
      </w:r>
    </w:p>
    <w:p w14:paraId="6ACD63C4" w14:textId="780C64ED" w:rsidR="00DB21B7" w:rsidRPr="005F0419" w:rsidRDefault="00DB21B7" w:rsidP="006F6DB6">
      <w:pPr>
        <w:widowControl w:val="0"/>
        <w:tabs>
          <w:tab w:val="left" w:pos="2404"/>
          <w:tab w:val="left" w:pos="3181"/>
          <w:tab w:val="left" w:pos="3990"/>
          <w:tab w:val="left" w:pos="4283"/>
          <w:tab w:val="left" w:pos="5375"/>
          <w:tab w:val="left" w:pos="5647"/>
          <w:tab w:val="left" w:pos="6855"/>
        </w:tabs>
        <w:spacing w:after="0" w:line="360" w:lineRule="auto"/>
        <w:ind w:firstLine="720"/>
        <w:jc w:val="both"/>
        <w:rPr>
          <w:rFonts w:ascii="Times New Roman" w:hAnsi="Times New Roman" w:cs="Times New Roman"/>
          <w:sz w:val="28"/>
          <w:szCs w:val="28"/>
          <w:lang w:val="uk-UA"/>
        </w:rPr>
      </w:pP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and</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Resorts</w:t>
      </w:r>
      <w:proofErr w:type="spellEnd"/>
      <w:r w:rsidRPr="005F0419">
        <w:rPr>
          <w:rFonts w:ascii="Times New Roman" w:eastAsia="SSWWL+U1BS19J3LU" w:hAnsi="Times New Roman" w:cs="Times New Roman"/>
          <w:sz w:val="28"/>
          <w:szCs w:val="28"/>
          <w:lang w:val="uk-UA"/>
        </w:rPr>
        <w:t xml:space="preserve"> – це перша українська мережа, що дотримується єдиних міжнародних</w:t>
      </w:r>
      <w:r w:rsidR="006F6DB6"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стандартів</w:t>
      </w:r>
      <w:r w:rsidRPr="005F0419">
        <w:rPr>
          <w:rFonts w:ascii="Times New Roman" w:eastAsia="SSWWL+U1BS19J3LU" w:hAnsi="Times New Roman" w:cs="Times New Roman"/>
          <w:sz w:val="28"/>
          <w:szCs w:val="28"/>
          <w:lang w:val="uk-UA"/>
        </w:rPr>
        <w:tab/>
        <w:t>якості</w:t>
      </w:r>
      <w:r w:rsidR="006F6DB6"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та рівня обслуговування. До неї входять 13 готелі</w:t>
      </w:r>
      <w:r w:rsidR="006F6DB6" w:rsidRPr="005F0419">
        <w:rPr>
          <w:rFonts w:ascii="Times New Roman" w:eastAsia="SSWWL+U1BS19J3LU" w:hAnsi="Times New Roman" w:cs="Times New Roman"/>
          <w:sz w:val="28"/>
          <w:szCs w:val="28"/>
          <w:lang w:val="uk-UA"/>
        </w:rPr>
        <w:t>в</w:t>
      </w:r>
      <w:r w:rsidRPr="005F0419">
        <w:rPr>
          <w:rFonts w:ascii="Times New Roman" w:eastAsia="SSWWL+U1BS19J3LU" w:hAnsi="Times New Roman" w:cs="Times New Roman"/>
          <w:sz w:val="28"/>
          <w:szCs w:val="28"/>
          <w:lang w:val="uk-UA"/>
        </w:rPr>
        <w:t xml:space="preserve"> різної спеціалізації, що надає додаткову конкурентну перевагу у сфері гостинності. Основними особливостями готельного ланцюга є зручні номери, високоякісне обслуговування, різноманітна кухня, велика кількість послуг. Готелі розташовані в різних регіонах України відрізняються спектром наданих послуг. Наприклад, п’ятизірковий готель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Palace</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у Києві має ділове спрямування і пропонує гостям послуги ділового характеру, такі як організація </w:t>
      </w:r>
      <w:r w:rsidRPr="005F0419">
        <w:rPr>
          <w:rFonts w:ascii="Times New Roman" w:eastAsia="SSWWL+U1BS19J3LU" w:hAnsi="Times New Roman" w:cs="Times New Roman"/>
          <w:sz w:val="28"/>
          <w:szCs w:val="28"/>
          <w:lang w:val="uk-UA"/>
        </w:rPr>
        <w:lastRenderedPageBreak/>
        <w:t xml:space="preserve">конференцій та ділових заходів, оренда приміщень, оздоровчі </w:t>
      </w:r>
      <w:r w:rsidR="006F6DB6" w:rsidRPr="005F0419">
        <w:rPr>
          <w:rFonts w:ascii="Times New Roman" w:eastAsia="SSWWL+U1BS19J3LU" w:hAnsi="Times New Roman" w:cs="Times New Roman"/>
          <w:sz w:val="28"/>
          <w:szCs w:val="28"/>
          <w:lang w:val="uk-UA"/>
        </w:rPr>
        <w:t>SPA</w:t>
      </w:r>
      <w:r w:rsidRPr="005F0419">
        <w:rPr>
          <w:rFonts w:ascii="Times New Roman" w:eastAsia="SSWWL+U1BS19J3LU" w:hAnsi="Times New Roman" w:cs="Times New Roman"/>
          <w:sz w:val="28"/>
          <w:szCs w:val="28"/>
          <w:lang w:val="uk-UA"/>
        </w:rPr>
        <w:t>-послуги,</w:t>
      </w:r>
      <w:r w:rsidR="006F6DB6"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приміщення для проведення анімацій, фітнес зал з можливістю замовити послуги тренера, </w:t>
      </w:r>
      <w:proofErr w:type="spellStart"/>
      <w:r w:rsidRPr="005F0419">
        <w:rPr>
          <w:rFonts w:ascii="Times New Roman" w:eastAsia="SSWWL+U1BS19J3LU" w:hAnsi="Times New Roman" w:cs="Times New Roman"/>
          <w:sz w:val="28"/>
          <w:szCs w:val="28"/>
          <w:lang w:val="uk-UA"/>
        </w:rPr>
        <w:t>кейтеринг</w:t>
      </w:r>
      <w:proofErr w:type="spellEnd"/>
      <w:r w:rsidRPr="005F0419">
        <w:rPr>
          <w:rFonts w:ascii="Times New Roman" w:eastAsia="SSWWL+U1BS19J3LU" w:hAnsi="Times New Roman" w:cs="Times New Roman"/>
          <w:sz w:val="28"/>
          <w:szCs w:val="28"/>
          <w:lang w:val="uk-UA"/>
        </w:rPr>
        <w:t xml:space="preserve"> тощо. Готель має облаштоване укриття (бомбосховище), яким гості можуть скористатися під час повітряної тривоги в умовах повномасштабної війни. Мережевий готель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Resort</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є </w:t>
      </w:r>
      <w:proofErr w:type="spellStart"/>
      <w:r w:rsidRPr="005F0419">
        <w:rPr>
          <w:rFonts w:ascii="Times New Roman" w:eastAsia="SSWWL+U1BS19J3LU" w:hAnsi="Times New Roman" w:cs="Times New Roman"/>
          <w:sz w:val="28"/>
          <w:szCs w:val="28"/>
          <w:lang w:val="uk-UA"/>
        </w:rPr>
        <w:t>апарт</w:t>
      </w:r>
      <w:proofErr w:type="spellEnd"/>
      <w:r w:rsidRPr="005F0419">
        <w:rPr>
          <w:rFonts w:ascii="Times New Roman" w:eastAsia="SSWWL+U1BS19J3LU" w:hAnsi="Times New Roman" w:cs="Times New Roman"/>
          <w:sz w:val="28"/>
          <w:szCs w:val="28"/>
          <w:lang w:val="uk-UA"/>
        </w:rPr>
        <w:t xml:space="preserve">-готелем, який розташований у Буковелі. Він пропонує рекреаційні послуги відпочинку. До регіональних готельних мереж належать </w:t>
      </w:r>
      <w:proofErr w:type="spellStart"/>
      <w:r w:rsidRPr="005F0419">
        <w:rPr>
          <w:rFonts w:ascii="Times New Roman" w:eastAsia="SSWWL+U1BS19J3LU" w:hAnsi="Times New Roman" w:cs="Times New Roman"/>
          <w:sz w:val="28"/>
          <w:szCs w:val="28"/>
          <w:lang w:val="uk-UA"/>
        </w:rPr>
        <w:t>Black</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Sea</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та </w:t>
      </w:r>
      <w:proofErr w:type="spellStart"/>
      <w:r w:rsidRPr="005F0419">
        <w:rPr>
          <w:rFonts w:ascii="Times New Roman" w:eastAsia="SSWWL+U1BS19J3LU" w:hAnsi="Times New Roman" w:cs="Times New Roman"/>
          <w:sz w:val="28"/>
          <w:szCs w:val="28"/>
          <w:lang w:val="uk-UA"/>
        </w:rPr>
        <w:t>Royal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and</w:t>
      </w:r>
      <w:proofErr w:type="spellEnd"/>
      <w:r w:rsidRPr="005F0419">
        <w:rPr>
          <w:rFonts w:ascii="Times New Roman" w:eastAsia="SSWWL+U1BS19J3LU" w:hAnsi="Times New Roman" w:cs="Times New Roman"/>
          <w:sz w:val="28"/>
          <w:szCs w:val="28"/>
          <w:lang w:val="uk-UA"/>
        </w:rPr>
        <w:t xml:space="preserve"> SPA </w:t>
      </w:r>
      <w:proofErr w:type="spellStart"/>
      <w:r w:rsidRPr="005F0419">
        <w:rPr>
          <w:rFonts w:ascii="Times New Roman" w:eastAsia="SSWWL+U1BS19J3LU" w:hAnsi="Times New Roman" w:cs="Times New Roman"/>
          <w:sz w:val="28"/>
          <w:szCs w:val="28"/>
          <w:lang w:val="uk-UA"/>
        </w:rPr>
        <w:t>Resorts</w:t>
      </w:r>
      <w:proofErr w:type="spellEnd"/>
      <w:r w:rsidRPr="005F0419">
        <w:rPr>
          <w:rFonts w:ascii="Times New Roman" w:eastAsia="SSWWL+U1BS19J3LU" w:hAnsi="Times New Roman" w:cs="Times New Roman"/>
          <w:sz w:val="28"/>
          <w:szCs w:val="28"/>
          <w:lang w:val="uk-UA"/>
        </w:rPr>
        <w:t xml:space="preserve">. Готельна мережа </w:t>
      </w:r>
      <w:proofErr w:type="spellStart"/>
      <w:r w:rsidRPr="005F0419">
        <w:rPr>
          <w:rFonts w:ascii="Times New Roman" w:eastAsia="SSWWL+U1BS19J3LU" w:hAnsi="Times New Roman" w:cs="Times New Roman"/>
          <w:sz w:val="28"/>
          <w:szCs w:val="28"/>
          <w:lang w:val="uk-UA"/>
        </w:rPr>
        <w:t>Black</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Sea</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[28] об’єднує п’ять міських готелів та чотири – за містом. Готельна мережа </w:t>
      </w:r>
      <w:proofErr w:type="spellStart"/>
      <w:r w:rsidRPr="005F0419">
        <w:rPr>
          <w:rFonts w:ascii="Times New Roman" w:eastAsia="SSWWL+U1BS19J3LU" w:hAnsi="Times New Roman" w:cs="Times New Roman"/>
          <w:sz w:val="28"/>
          <w:szCs w:val="28"/>
          <w:lang w:val="uk-UA"/>
        </w:rPr>
        <w:t>Royal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and</w:t>
      </w:r>
      <w:proofErr w:type="spellEnd"/>
      <w:r w:rsidRPr="005F0419">
        <w:rPr>
          <w:rFonts w:ascii="Times New Roman" w:eastAsia="SSWWL+U1BS19J3LU" w:hAnsi="Times New Roman" w:cs="Times New Roman"/>
          <w:sz w:val="28"/>
          <w:szCs w:val="28"/>
          <w:lang w:val="uk-UA"/>
        </w:rPr>
        <w:t xml:space="preserve"> SPA </w:t>
      </w:r>
      <w:proofErr w:type="spellStart"/>
      <w:r w:rsidRPr="005F0419">
        <w:rPr>
          <w:rFonts w:ascii="Times New Roman" w:eastAsia="SSWWL+U1BS19J3LU" w:hAnsi="Times New Roman" w:cs="Times New Roman"/>
          <w:sz w:val="28"/>
          <w:szCs w:val="28"/>
          <w:lang w:val="uk-UA"/>
        </w:rPr>
        <w:t>Resorts</w:t>
      </w:r>
      <w:proofErr w:type="spellEnd"/>
      <w:r w:rsidRPr="005F0419">
        <w:rPr>
          <w:rFonts w:ascii="Times New Roman" w:eastAsia="SSWWL+U1BS19J3LU" w:hAnsi="Times New Roman" w:cs="Times New Roman"/>
          <w:sz w:val="28"/>
          <w:szCs w:val="28"/>
          <w:lang w:val="uk-UA"/>
        </w:rPr>
        <w:t xml:space="preserve"> [29] має чотири туристичних  готелів в м. Трускавці, які спеціалізуються на профілактичному  лікуванні, п’ять міських готелів у м. Києві, два готелю на </w:t>
      </w:r>
      <w:r w:rsidR="006F6DB6" w:rsidRPr="005F0419">
        <w:rPr>
          <w:rFonts w:ascii="Times New Roman" w:eastAsia="SSWWL+U1BS19J3LU" w:hAnsi="Times New Roman" w:cs="Times New Roman"/>
          <w:sz w:val="28"/>
          <w:szCs w:val="28"/>
          <w:lang w:val="uk-UA"/>
        </w:rPr>
        <w:t>SPA</w:t>
      </w:r>
      <w:r w:rsidRPr="005F0419">
        <w:rPr>
          <w:rFonts w:ascii="Times New Roman" w:eastAsia="SSWWL+U1BS19J3LU" w:hAnsi="Times New Roman" w:cs="Times New Roman"/>
          <w:sz w:val="28"/>
          <w:szCs w:val="28"/>
          <w:lang w:val="uk-UA"/>
        </w:rPr>
        <w:t xml:space="preserve"> та  гірськолижному курортах у  Буковелі. Національна готельна мережа </w:t>
      </w:r>
      <w:proofErr w:type="spellStart"/>
      <w:r w:rsidRPr="005F0419">
        <w:rPr>
          <w:rFonts w:ascii="Times New Roman" w:eastAsia="SSWWL+U1BS19J3LU" w:hAnsi="Times New Roman" w:cs="Times New Roman"/>
          <w:sz w:val="28"/>
          <w:szCs w:val="28"/>
          <w:lang w:val="uk-UA"/>
        </w:rPr>
        <w:t>Reikarts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Holes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в своїх брендах включає  різні категорії готелів. Бренд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Collection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задовольняє потреби туристів  на високому  сервісному  рівні  В бренд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входять  готелі різної </w:t>
      </w:r>
      <w:proofErr w:type="spellStart"/>
      <w:r w:rsidRPr="005F0419">
        <w:rPr>
          <w:rFonts w:ascii="Times New Roman" w:eastAsia="SSWWL+U1BS19J3LU" w:hAnsi="Times New Roman" w:cs="Times New Roman"/>
          <w:sz w:val="28"/>
          <w:szCs w:val="28"/>
          <w:lang w:val="uk-UA"/>
        </w:rPr>
        <w:t>категорії,які</w:t>
      </w:r>
      <w:proofErr w:type="spellEnd"/>
      <w:r w:rsidRPr="005F0419">
        <w:rPr>
          <w:rFonts w:ascii="Times New Roman" w:eastAsia="SSWWL+U1BS19J3LU" w:hAnsi="Times New Roman" w:cs="Times New Roman"/>
          <w:sz w:val="28"/>
          <w:szCs w:val="28"/>
          <w:lang w:val="uk-UA"/>
        </w:rPr>
        <w:t xml:space="preserve">  розташовані як  у великих містах так і на відомих   курортах, а </w:t>
      </w:r>
      <w:proofErr w:type="spellStart"/>
      <w:r w:rsidRPr="005F0419">
        <w:rPr>
          <w:rFonts w:ascii="Times New Roman" w:eastAsia="SSWWL+U1BS19J3LU" w:hAnsi="Times New Roman" w:cs="Times New Roman"/>
          <w:sz w:val="28"/>
          <w:szCs w:val="28"/>
          <w:lang w:val="uk-UA"/>
        </w:rPr>
        <w:t>саме:бренд</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Optima</w:t>
      </w:r>
      <w:proofErr w:type="spellEnd"/>
      <w:r w:rsidRPr="005F0419">
        <w:rPr>
          <w:rFonts w:ascii="Times New Roman" w:eastAsia="SSWWL+U1BS19J3LU" w:hAnsi="Times New Roman" w:cs="Times New Roman"/>
          <w:sz w:val="28"/>
          <w:szCs w:val="28"/>
          <w:lang w:val="uk-UA"/>
        </w:rPr>
        <w:t xml:space="preserve"> – пропонує відпочинок для туристів  з різним фінансовим статком, бренд </w:t>
      </w:r>
      <w:proofErr w:type="spellStart"/>
      <w:r w:rsidRPr="005F0419">
        <w:rPr>
          <w:rFonts w:ascii="Times New Roman" w:eastAsia="SSWWL+U1BS19J3LU" w:hAnsi="Times New Roman" w:cs="Times New Roman"/>
          <w:sz w:val="28"/>
          <w:szCs w:val="28"/>
          <w:lang w:val="uk-UA"/>
        </w:rPr>
        <w:t>Vita</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park</w:t>
      </w:r>
      <w:proofErr w:type="spellEnd"/>
      <w:r w:rsidRPr="005F0419">
        <w:rPr>
          <w:rFonts w:ascii="Times New Roman" w:eastAsia="SSWWL+U1BS19J3LU" w:hAnsi="Times New Roman" w:cs="Times New Roman"/>
          <w:sz w:val="28"/>
          <w:szCs w:val="28"/>
          <w:lang w:val="uk-UA"/>
        </w:rPr>
        <w:t xml:space="preserve"> – спеціалізується на </w:t>
      </w:r>
      <w:proofErr w:type="spellStart"/>
      <w:r w:rsidRPr="005F0419">
        <w:rPr>
          <w:rFonts w:ascii="Times New Roman" w:eastAsia="SSWWL+U1BS19J3LU" w:hAnsi="Times New Roman" w:cs="Times New Roman"/>
          <w:sz w:val="28"/>
          <w:szCs w:val="28"/>
          <w:lang w:val="uk-UA"/>
        </w:rPr>
        <w:t>велнес</w:t>
      </w:r>
      <w:proofErr w:type="spellEnd"/>
      <w:r w:rsidRPr="005F0419">
        <w:rPr>
          <w:rFonts w:ascii="Times New Roman" w:eastAsia="SSWWL+U1BS19J3LU" w:hAnsi="Times New Roman" w:cs="Times New Roman"/>
          <w:sz w:val="28"/>
          <w:szCs w:val="28"/>
          <w:lang w:val="uk-UA"/>
        </w:rPr>
        <w:t xml:space="preserve">-курортах, бренд </w:t>
      </w:r>
      <w:proofErr w:type="spellStart"/>
      <w:r w:rsidRPr="005F0419">
        <w:rPr>
          <w:rFonts w:ascii="Times New Roman" w:eastAsia="SSWWL+U1BS19J3LU" w:hAnsi="Times New Roman" w:cs="Times New Roman"/>
          <w:sz w:val="28"/>
          <w:szCs w:val="28"/>
          <w:lang w:val="uk-UA"/>
        </w:rPr>
        <w:t>Raziotel</w:t>
      </w:r>
      <w:proofErr w:type="spellEnd"/>
      <w:r w:rsidRPr="005F0419">
        <w:rPr>
          <w:rFonts w:ascii="Times New Roman" w:eastAsia="SSWWL+U1BS19J3LU" w:hAnsi="Times New Roman" w:cs="Times New Roman"/>
          <w:sz w:val="28"/>
          <w:szCs w:val="28"/>
          <w:lang w:val="uk-UA"/>
        </w:rPr>
        <w:t xml:space="preserve"> – мережа економ-готелів  для бізнес туристів. [30]. Готелі  мережі </w:t>
      </w:r>
      <w:proofErr w:type="spellStart"/>
      <w:r w:rsidRPr="005F0419">
        <w:rPr>
          <w:rFonts w:ascii="Times New Roman" w:eastAsia="SSWWL+U1BS19J3LU" w:hAnsi="Times New Roman" w:cs="Times New Roman"/>
          <w:sz w:val="28"/>
          <w:szCs w:val="28"/>
          <w:lang w:val="uk-UA"/>
        </w:rPr>
        <w:t>Reikarts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Holes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представлені в усіх регіонах України і активно розвивають чотири бренда: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Collection</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Optima</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Vita</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park</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Raziotel</w:t>
      </w:r>
      <w:proofErr w:type="spellEnd"/>
      <w:r w:rsidRPr="005F0419">
        <w:rPr>
          <w:rFonts w:ascii="Times New Roman" w:eastAsia="SSWWL+U1BS19J3LU" w:hAnsi="Times New Roman" w:cs="Times New Roman"/>
          <w:sz w:val="28"/>
          <w:szCs w:val="28"/>
          <w:lang w:val="uk-UA"/>
        </w:rPr>
        <w:t>.</w:t>
      </w:r>
    </w:p>
    <w:p w14:paraId="64794D43" w14:textId="2BE9F9CC" w:rsidR="00DB21B7" w:rsidRPr="005F0419" w:rsidRDefault="00DB21B7" w:rsidP="00DB21B7">
      <w:pPr>
        <w:widowControl w:val="0"/>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 xml:space="preserve">Національна мережа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підпорядковує 25 готелів рівня три та чотири зірки, які носять фірмову назву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а також 35 готелі з індивідуальною назвою, але вони входять до складу готельного ланцюга. Серед національних готельних ланцюгів,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налічує найбільшу кількість готелів, які розташовані по всій території України в ділових та курортних центрах. Готелі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Карпати та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Поляна є всесвітньо відомими бальнеологічними курортними мережевими готелями Закарпаття. Готелі пропонують </w:t>
      </w:r>
      <w:r w:rsidR="006F6DB6" w:rsidRPr="005F0419">
        <w:rPr>
          <w:rFonts w:ascii="Times New Roman" w:eastAsia="SSWWL+U1BS19J3LU" w:hAnsi="Times New Roman" w:cs="Times New Roman"/>
          <w:sz w:val="28"/>
          <w:szCs w:val="28"/>
          <w:lang w:val="uk-UA"/>
        </w:rPr>
        <w:t>SPA</w:t>
      </w:r>
      <w:r w:rsidRPr="005F0419">
        <w:rPr>
          <w:rFonts w:ascii="Times New Roman" w:eastAsia="SSWWL+U1BS19J3LU" w:hAnsi="Times New Roman" w:cs="Times New Roman"/>
          <w:sz w:val="28"/>
          <w:szCs w:val="28"/>
          <w:lang w:val="uk-UA"/>
        </w:rPr>
        <w:t xml:space="preserve">-послуги і спеціалізуються на грязелікуванні та бальнеології. В готелі надаються послуги солярію, лікувальні масажі, апаратна </w:t>
      </w:r>
      <w:r w:rsidRPr="005F0419">
        <w:rPr>
          <w:rFonts w:ascii="Times New Roman" w:eastAsia="SSWWL+U1BS19J3LU" w:hAnsi="Times New Roman" w:cs="Times New Roman"/>
          <w:sz w:val="28"/>
          <w:szCs w:val="28"/>
          <w:lang w:val="uk-UA"/>
        </w:rPr>
        <w:lastRenderedPageBreak/>
        <w:t xml:space="preserve">фізіотерапія, сучасні методи омолодження, такі як </w:t>
      </w:r>
      <w:proofErr w:type="spellStart"/>
      <w:r w:rsidRPr="005F0419">
        <w:rPr>
          <w:rFonts w:ascii="Times New Roman" w:eastAsia="SSWWL+U1BS19J3LU" w:hAnsi="Times New Roman" w:cs="Times New Roman"/>
          <w:sz w:val="28"/>
          <w:szCs w:val="28"/>
          <w:lang w:val="uk-UA"/>
        </w:rPr>
        <w:t>біоревіталізація</w:t>
      </w:r>
      <w:proofErr w:type="spellEnd"/>
      <w:r w:rsidRPr="005F0419">
        <w:rPr>
          <w:rFonts w:ascii="Times New Roman" w:eastAsia="SSWWL+U1BS19J3LU" w:hAnsi="Times New Roman" w:cs="Times New Roman"/>
          <w:sz w:val="28"/>
          <w:szCs w:val="28"/>
          <w:lang w:val="uk-UA"/>
        </w:rPr>
        <w:t xml:space="preserve"> і </w:t>
      </w:r>
      <w:proofErr w:type="spellStart"/>
      <w:r w:rsidRPr="005F0419">
        <w:rPr>
          <w:rFonts w:ascii="Times New Roman" w:eastAsia="SSWWL+U1BS19J3LU" w:hAnsi="Times New Roman" w:cs="Times New Roman"/>
          <w:sz w:val="28"/>
          <w:szCs w:val="28"/>
          <w:lang w:val="uk-UA"/>
        </w:rPr>
        <w:t>мезотерапія</w:t>
      </w:r>
      <w:proofErr w:type="spellEnd"/>
      <w:r w:rsidRPr="005F0419">
        <w:rPr>
          <w:rFonts w:ascii="Times New Roman" w:eastAsia="SSWWL+U1BS19J3LU" w:hAnsi="Times New Roman" w:cs="Times New Roman"/>
          <w:sz w:val="28"/>
          <w:szCs w:val="28"/>
          <w:lang w:val="uk-UA"/>
        </w:rPr>
        <w:t xml:space="preserve">. Крім того, готелі пропанують сервіс активного відпочинку: гірськолижні траси, екскурсійні маршрути, походи у гори з провідником. Українські мережі </w:t>
      </w:r>
      <w:proofErr w:type="spellStart"/>
      <w:r w:rsidRPr="005F0419">
        <w:rPr>
          <w:rFonts w:ascii="Times New Roman" w:eastAsia="SSWWL+U1BS19J3LU" w:hAnsi="Times New Roman" w:cs="Times New Roman"/>
          <w:sz w:val="28"/>
          <w:szCs w:val="28"/>
          <w:lang w:val="uk-UA"/>
        </w:rPr>
        <w:t>Premier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and</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Resorts</w:t>
      </w:r>
      <w:proofErr w:type="spellEnd"/>
      <w:r w:rsidRPr="005F0419">
        <w:rPr>
          <w:rFonts w:ascii="Times New Roman" w:eastAsia="SSWWL+U1BS19J3LU" w:hAnsi="Times New Roman" w:cs="Times New Roman"/>
          <w:sz w:val="28"/>
          <w:szCs w:val="28"/>
          <w:lang w:val="uk-UA"/>
        </w:rPr>
        <w:t xml:space="preserve"> та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мають широкий спектр додаткових  послуг, як ділового, так і оздоровчого </w:t>
      </w:r>
      <w:r w:rsidR="00181094" w:rsidRPr="005F0419">
        <w:rPr>
          <w:rFonts w:ascii="Times New Roman" w:eastAsia="SSWWL+U1BS19J3LU" w:hAnsi="Times New Roman" w:cs="Times New Roman"/>
          <w:sz w:val="28"/>
          <w:szCs w:val="28"/>
          <w:lang w:val="uk-UA"/>
        </w:rPr>
        <w:t>значення</w:t>
      </w:r>
      <w:r w:rsidRPr="005F0419">
        <w:rPr>
          <w:rFonts w:ascii="Times New Roman" w:eastAsia="SSWWL+U1BS19J3LU" w:hAnsi="Times New Roman" w:cs="Times New Roman"/>
          <w:sz w:val="28"/>
          <w:szCs w:val="28"/>
          <w:lang w:val="uk-UA"/>
        </w:rPr>
        <w:t xml:space="preserve">, але </w:t>
      </w:r>
      <w:proofErr w:type="spellStart"/>
      <w:r w:rsidRPr="005F0419">
        <w:rPr>
          <w:rFonts w:ascii="Times New Roman" w:eastAsia="SSWWL+U1BS19J3LU" w:hAnsi="Times New Roman" w:cs="Times New Roman"/>
          <w:sz w:val="28"/>
          <w:szCs w:val="28"/>
          <w:lang w:val="uk-UA"/>
        </w:rPr>
        <w:t>Reikartz</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об’єднує більше готелів, розташованих по всій території Україні [30]</w:t>
      </w:r>
      <w:r w:rsidR="00181094" w:rsidRPr="005F0419">
        <w:rPr>
          <w:rFonts w:ascii="Times New Roman" w:eastAsia="SSWWL+U1BS19J3LU" w:hAnsi="Times New Roman" w:cs="Times New Roman"/>
          <w:sz w:val="28"/>
          <w:szCs w:val="28"/>
          <w:lang w:val="uk-UA"/>
        </w:rPr>
        <w:t>.</w:t>
      </w:r>
    </w:p>
    <w:p w14:paraId="1C95F54F" w14:textId="4A20E43F" w:rsidR="00DB21B7" w:rsidRPr="005F0419" w:rsidRDefault="00DB21B7" w:rsidP="00DB21B7">
      <w:pPr>
        <w:widowControl w:val="0"/>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 xml:space="preserve">Мережа готелів </w:t>
      </w:r>
      <w:proofErr w:type="spellStart"/>
      <w:r w:rsidRPr="005F0419">
        <w:rPr>
          <w:rFonts w:ascii="Times New Roman" w:eastAsia="SSWWL+U1BS19J3LU" w:hAnsi="Times New Roman" w:cs="Times New Roman"/>
          <w:sz w:val="28"/>
          <w:szCs w:val="28"/>
          <w:lang w:val="uk-UA"/>
        </w:rPr>
        <w:t>Ribas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охоплює готелі в Одесі, Одеській області та Буковелі. Гостям пропонується на вибір 10 міських, курортних, міні - </w:t>
      </w:r>
      <w:proofErr w:type="spellStart"/>
      <w:r w:rsidRPr="005F0419">
        <w:rPr>
          <w:rFonts w:ascii="Times New Roman" w:eastAsia="SSWWL+U1BS19J3LU" w:hAnsi="Times New Roman" w:cs="Times New Roman"/>
          <w:sz w:val="28"/>
          <w:szCs w:val="28"/>
          <w:lang w:val="uk-UA"/>
        </w:rPr>
        <w:t>апарт</w:t>
      </w:r>
      <w:proofErr w:type="spellEnd"/>
      <w:r w:rsidRPr="005F0419">
        <w:rPr>
          <w:rFonts w:ascii="Times New Roman" w:eastAsia="SSWWL+U1BS19J3LU" w:hAnsi="Times New Roman" w:cs="Times New Roman"/>
          <w:sz w:val="28"/>
          <w:szCs w:val="28"/>
          <w:lang w:val="uk-UA"/>
        </w:rPr>
        <w:t xml:space="preserve">, бізнес-готелів і заміських клубів з номерним фондом 260 номерів, забезпечення комфорту і якісне обслуговування [31]. </w:t>
      </w:r>
      <w:proofErr w:type="spellStart"/>
      <w:r w:rsidRPr="005F0419">
        <w:rPr>
          <w:rFonts w:ascii="Times New Roman" w:eastAsia="SSWWL+U1BS19J3LU" w:hAnsi="Times New Roman" w:cs="Times New Roman"/>
          <w:sz w:val="28"/>
          <w:szCs w:val="28"/>
          <w:lang w:val="uk-UA"/>
        </w:rPr>
        <w:t>Ribas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розвиває готелі категорії три та чотири зірки, курортні пляжні, гірськолижні, а також міські, </w:t>
      </w:r>
      <w:proofErr w:type="spellStart"/>
      <w:r w:rsidRPr="005F0419">
        <w:rPr>
          <w:rFonts w:ascii="Times New Roman" w:eastAsia="SSWWL+U1BS19J3LU" w:hAnsi="Times New Roman" w:cs="Times New Roman"/>
          <w:sz w:val="28"/>
          <w:szCs w:val="28"/>
          <w:lang w:val="uk-UA"/>
        </w:rPr>
        <w:t>бутік</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апарт</w:t>
      </w:r>
      <w:proofErr w:type="spellEnd"/>
      <w:r w:rsidRPr="005F0419">
        <w:rPr>
          <w:rFonts w:ascii="Times New Roman" w:eastAsia="SSWWL+U1BS19J3LU" w:hAnsi="Times New Roman" w:cs="Times New Roman"/>
          <w:sz w:val="28"/>
          <w:szCs w:val="28"/>
          <w:lang w:val="uk-UA"/>
        </w:rPr>
        <w:t xml:space="preserve">- та казино-готелі. За останні 7 років в управління компанії перейшло 26 об'єктів. </w:t>
      </w:r>
      <w:proofErr w:type="spellStart"/>
      <w:r w:rsidRPr="005F0419">
        <w:rPr>
          <w:rFonts w:ascii="Times New Roman" w:eastAsia="SSWWL+U1BS19J3LU" w:hAnsi="Times New Roman" w:cs="Times New Roman"/>
          <w:sz w:val="28"/>
          <w:szCs w:val="28"/>
          <w:lang w:val="uk-UA"/>
        </w:rPr>
        <w:t>Ribas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вивела на ринок готельних послуг   6 готельних об’єктів, серед яких: гірськолижний готель </w:t>
      </w:r>
      <w:proofErr w:type="spellStart"/>
      <w:r w:rsidRPr="005F0419">
        <w:rPr>
          <w:rFonts w:ascii="Times New Roman" w:eastAsia="SSWWL+U1BS19J3LU" w:hAnsi="Times New Roman" w:cs="Times New Roman"/>
          <w:sz w:val="28"/>
          <w:szCs w:val="28"/>
          <w:lang w:val="uk-UA"/>
        </w:rPr>
        <w:t>Ribas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Karpaty</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апарт</w:t>
      </w:r>
      <w:proofErr w:type="spellEnd"/>
      <w:r w:rsidRPr="005F0419">
        <w:rPr>
          <w:rFonts w:ascii="Times New Roman" w:eastAsia="SSWWL+U1BS19J3LU" w:hAnsi="Times New Roman" w:cs="Times New Roman"/>
          <w:sz w:val="28"/>
          <w:szCs w:val="28"/>
          <w:lang w:val="uk-UA"/>
        </w:rPr>
        <w:t xml:space="preserve">-готель WOL.121, бізнес-готелі </w:t>
      </w:r>
      <w:proofErr w:type="spellStart"/>
      <w:r w:rsidRPr="005F0419">
        <w:rPr>
          <w:rFonts w:ascii="Times New Roman" w:eastAsia="SSWWL+U1BS19J3LU" w:hAnsi="Times New Roman" w:cs="Times New Roman"/>
          <w:sz w:val="28"/>
          <w:szCs w:val="28"/>
          <w:lang w:val="uk-UA"/>
        </w:rPr>
        <w:t>Wall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Street</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by</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Ribas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Bossfor</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by</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Ribas</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City</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Hotel</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Bortoli</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by</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Ribas</w:t>
      </w:r>
      <w:proofErr w:type="spellEnd"/>
      <w:r w:rsidRPr="005F0419">
        <w:rPr>
          <w:rFonts w:ascii="Times New Roman" w:eastAsia="SSWWL+U1BS19J3LU" w:hAnsi="Times New Roman" w:cs="Times New Roman"/>
          <w:sz w:val="28"/>
          <w:szCs w:val="28"/>
          <w:lang w:val="uk-UA"/>
        </w:rPr>
        <w:t xml:space="preserve"> тощо . Завдяки ефективному  функціонуванню мережевих підприємств  готельний бізнес  став  одним  з галузевих сфер послуг, який швидко розвивається</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[31]. Існує також друга модель формування готельних мереж, яка спрямована на об’єднання у консорціуми    Мета такого об’єднання – збільшення прибутковості за рахунок зниження загальних витрат, проведення навчання та спільних професійних заходів щодо підбору персоналу та його тренінгів тощо. Основним недоліком цієї моделі є недостатній контроль над коливанням  цін на послуги підприємств, що дуже важливо в умовах конкурентних відносин.</w:t>
      </w:r>
    </w:p>
    <w:p w14:paraId="77D37FA8" w14:textId="77777777" w:rsidR="00181094" w:rsidRPr="005F0419" w:rsidRDefault="00DB21B7" w:rsidP="00DB21B7">
      <w:pPr>
        <w:widowControl w:val="0"/>
        <w:tabs>
          <w:tab w:val="left" w:pos="2074"/>
          <w:tab w:val="left" w:pos="3337"/>
          <w:tab w:val="left" w:pos="3790"/>
          <w:tab w:val="left" w:pos="4418"/>
          <w:tab w:val="left" w:pos="4697"/>
          <w:tab w:val="left" w:pos="5212"/>
          <w:tab w:val="left" w:pos="5589"/>
          <w:tab w:val="left" w:pos="5894"/>
          <w:tab w:val="left" w:pos="6503"/>
          <w:tab w:val="left" w:pos="6986"/>
          <w:tab w:val="left" w:pos="7711"/>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Отже, в Україні створені ланцюги, які сприяють підтримці високого рівня обслуговування у всіх готелях мережі, що дуже важливо для подальшого формування  національних  готельних мереж  з послугами міжнародного рівня, а також залучення їх до складу міжнародних мереж. Функціонування готельних ланцюгів вдосконалює спеціалізацію готельної сфери України, впроваджує високі міжнародні стандарти обслуговування, створюючи привабливий ринок </w:t>
      </w:r>
      <w:r w:rsidRPr="005F0419">
        <w:rPr>
          <w:rFonts w:ascii="Times New Roman" w:eastAsia="SSWWL+U1BS19J3LU" w:hAnsi="Times New Roman" w:cs="Times New Roman"/>
          <w:sz w:val="28"/>
          <w:szCs w:val="28"/>
          <w:lang w:val="uk-UA"/>
        </w:rPr>
        <w:lastRenderedPageBreak/>
        <w:t xml:space="preserve">послуг гостинності нашої країни для туристів та інвесторів, підвищує імідж нашої країни на міжнародному ринку послуг. Дохід та успіх діяльності готелю, суттєво залежить від його іміджу, який розглядається як дієвий інструмент конкурентної боротьби та вагомим фактором зміцнення конкурентних позицій підприємства на ринку сфери гостинності. Тому, останнім часом особливу увагу приділяють корпоративному іміджу, який безпосередньо впливає на конкурентоспроможність, а також прискорює впровадження інноваційних послуг. До головних переваг готельних мереж, у порівнянні з поодинокими готелями, відноситься: ефективне просування у сфері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-ресторанних  послуг, використання єдиної  системи бронювання, а також можливість легше обґрунтувати доцільність одержання інвестицій. </w:t>
      </w:r>
    </w:p>
    <w:p w14:paraId="1F7D28E5" w14:textId="77777777" w:rsidR="00181094" w:rsidRPr="005F0419" w:rsidRDefault="00DB21B7" w:rsidP="00181094">
      <w:pPr>
        <w:widowControl w:val="0"/>
        <w:tabs>
          <w:tab w:val="left" w:pos="2074"/>
          <w:tab w:val="left" w:pos="3337"/>
          <w:tab w:val="left" w:pos="3790"/>
          <w:tab w:val="left" w:pos="4418"/>
          <w:tab w:val="left" w:pos="4697"/>
          <w:tab w:val="left" w:pos="5212"/>
          <w:tab w:val="left" w:pos="5589"/>
          <w:tab w:val="left" w:pos="5894"/>
          <w:tab w:val="left" w:pos="6503"/>
          <w:tab w:val="left" w:pos="6986"/>
          <w:tab w:val="left" w:pos="7711"/>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На сьогодні, </w:t>
      </w:r>
      <w:r w:rsidR="00181094" w:rsidRPr="005F0419">
        <w:rPr>
          <w:rFonts w:ascii="Times New Roman" w:eastAsia="SSWWL+U1BS19J3LU" w:hAnsi="Times New Roman" w:cs="Times New Roman"/>
          <w:sz w:val="28"/>
          <w:szCs w:val="28"/>
          <w:lang w:val="uk-UA"/>
        </w:rPr>
        <w:t>у</w:t>
      </w:r>
      <w:r w:rsidRPr="005F0419">
        <w:rPr>
          <w:rFonts w:ascii="Times New Roman" w:eastAsia="SSWWL+U1BS19J3LU" w:hAnsi="Times New Roman" w:cs="Times New Roman"/>
          <w:sz w:val="28"/>
          <w:szCs w:val="28"/>
          <w:lang w:val="uk-UA"/>
        </w:rPr>
        <w:t xml:space="preserve"> готельному ринку України</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спостерігається низьк</w:t>
      </w:r>
      <w:r w:rsidR="00181094" w:rsidRPr="005F0419">
        <w:rPr>
          <w:rFonts w:ascii="Times New Roman" w:eastAsia="SSWWL+U1BS19J3LU" w:hAnsi="Times New Roman" w:cs="Times New Roman"/>
          <w:sz w:val="28"/>
          <w:szCs w:val="28"/>
          <w:lang w:val="uk-UA"/>
        </w:rPr>
        <w:t>а</w:t>
      </w:r>
      <w:r w:rsidRPr="005F0419">
        <w:rPr>
          <w:rFonts w:ascii="Times New Roman" w:eastAsia="SSWWL+U1BS19J3LU" w:hAnsi="Times New Roman" w:cs="Times New Roman"/>
          <w:sz w:val="28"/>
          <w:szCs w:val="28"/>
          <w:lang w:val="uk-UA"/>
        </w:rPr>
        <w:t xml:space="preserve"> ступінь присутності міжнародних</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операторів. Слід відзначити,</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що</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міжнародні</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оператори орієнтуються на верхній, найбільш прибутковий сегмент ринку, що сприяє збереженню цін за послуги на високому рівні. Майже половина українських готелів, які працюють під міжнародним управлінням, зосереджені в Києві або на міжнародно відомих українських курортах. Створення міжнародних готельних мереж сприяє підвищенню конкурентоспроможності вітчизняних підприємств, впровадженню інформаційних технологій, вдосконаленню підготовки персоналу тощо. Готельні ланцюги вирізняються ефективністю господарювання і високими вимогами до якості послуг, для чого відбувається їх регулярна сертифікація. Економічна ефективність роботи готелю базується не тільки в раціональних витратах, впровадженні інноваційних технологій і надійних партнерських зв'язках, а й в ефективному  використанні номерного фонду, стабільному його завантаженні, гнучкості тарифного плану. Для збільшення завантаженості закладів розміщення застосовується система заходів із  утримання й залученням  постійних туристів, орієнтованих на дану пропозицію послуг, за допомогою системи знижок. Включення всіх готелів ланцюжка в глобальну систему бронювання  місць в он-лайн режимі також сприяє збільшенню завантаження готелів, особливо у міжсезонний період. Просування всесвітньо відомих </w:t>
      </w:r>
      <w:r w:rsidRPr="005F0419">
        <w:rPr>
          <w:rFonts w:ascii="Times New Roman" w:eastAsia="SSWWL+U1BS19J3LU" w:hAnsi="Times New Roman" w:cs="Times New Roman"/>
          <w:sz w:val="28"/>
          <w:szCs w:val="28"/>
          <w:lang w:val="uk-UA"/>
        </w:rPr>
        <w:lastRenderedPageBreak/>
        <w:t>готельних брендів базується на освоєні обґрунтовано перспективних сегментах ринку послуг. Входження до готельного ланцюга обов’язково передбачає формування високоякісних послуг та підтримку сервісного обслуговування  на рівні стандартів, як міжнародних, так і внутрішньо-мережевих [32]</w:t>
      </w:r>
      <w:r w:rsidR="00181094" w:rsidRPr="005F0419">
        <w:rPr>
          <w:rFonts w:ascii="Times New Roman" w:eastAsia="SSWWL+U1BS19J3LU" w:hAnsi="Times New Roman" w:cs="Times New Roman"/>
          <w:sz w:val="28"/>
          <w:szCs w:val="28"/>
          <w:lang w:val="uk-UA"/>
        </w:rPr>
        <w:t>.</w:t>
      </w:r>
    </w:p>
    <w:p w14:paraId="41061936" w14:textId="77777777" w:rsidR="00181094" w:rsidRPr="005F0419" w:rsidRDefault="00DB21B7" w:rsidP="00181094">
      <w:pPr>
        <w:widowControl w:val="0"/>
        <w:tabs>
          <w:tab w:val="left" w:pos="2074"/>
          <w:tab w:val="left" w:pos="3337"/>
          <w:tab w:val="left" w:pos="3790"/>
          <w:tab w:val="left" w:pos="4418"/>
          <w:tab w:val="left" w:pos="4697"/>
          <w:tab w:val="left" w:pos="5212"/>
          <w:tab w:val="left" w:pos="5589"/>
          <w:tab w:val="left" w:pos="5894"/>
          <w:tab w:val="left" w:pos="6503"/>
          <w:tab w:val="left" w:pos="6986"/>
          <w:tab w:val="left" w:pos="7711"/>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Як свідчить аналіз світового досвіду і розвитку національного ринку готельних послуг, найбільшим попитом у населення, вітчизняних та іноземних туристів, що подорожують з культурно-пізнавальною, лікувально-оздоровчою метою, а також відпочинку та розваг, користуються готелі економ-класу (дві і три зірки), а також присутній попит на фешенебельні готелі класу чотири і п’ять зірок для ділової аудиторії, яка потребує розширених пропозицій бізнес-послуг, відпочинку і розваг. </w:t>
      </w:r>
    </w:p>
    <w:p w14:paraId="15763281" w14:textId="77777777" w:rsidR="00181094" w:rsidRPr="005F0419" w:rsidRDefault="00DB21B7" w:rsidP="00181094">
      <w:pPr>
        <w:widowControl w:val="0"/>
        <w:tabs>
          <w:tab w:val="left" w:pos="2074"/>
          <w:tab w:val="left" w:pos="3337"/>
          <w:tab w:val="left" w:pos="3790"/>
          <w:tab w:val="left" w:pos="4418"/>
          <w:tab w:val="left" w:pos="4697"/>
          <w:tab w:val="left" w:pos="5212"/>
          <w:tab w:val="left" w:pos="5589"/>
          <w:tab w:val="left" w:pos="5894"/>
          <w:tab w:val="left" w:pos="6503"/>
          <w:tab w:val="left" w:pos="6986"/>
          <w:tab w:val="left" w:pos="7711"/>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На сьогодні, сегмент ринку готельного бізнесу в нашій країні, який представлений малими підприємствами, здатними надавати послуги високої якості, вважається незаповненим. Малі готелі суттєво конкурують з великим готельним бізнесом в ціновому сегменті. Згідно з аналізом експертів у сфері гостинності, нині в Україні спостерігається тенденція ефективного розвитку малих форм готельного бізнесу, насамперед у  різних регіональних центрах, туристичних місцях, біля значних автомагістралей [33,</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34]. Особливістю малого готельного бізнесу є можливість створити атмосферу домашнього затишку,</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здатність швидко виконати вимоги гостя надати  гнучка система розрахунків тощо. Все це дозволяє малим формам готельного бізнесу бути конкурентоспроможними на ринку послуг різних країн світу. Перспективним розвитком малих форм готельного бізнесу в Україні слід вважати їх функціонування у сегменті економ  і середнього класу. Розвиток малих форм розміщення можливий за рахунок  їх вступу до професійних готельних мереж. Це різні  </w:t>
      </w:r>
      <w:r w:rsidR="00181094" w:rsidRPr="005F0419">
        <w:rPr>
          <w:rFonts w:ascii="Times New Roman" w:eastAsia="SSWWL+U1BS19J3LU" w:hAnsi="Times New Roman" w:cs="Times New Roman"/>
          <w:sz w:val="28"/>
          <w:szCs w:val="28"/>
          <w:lang w:val="uk-UA"/>
        </w:rPr>
        <w:t>представники</w:t>
      </w:r>
      <w:r w:rsidRPr="005F0419">
        <w:rPr>
          <w:rFonts w:ascii="Times New Roman" w:eastAsia="SSWWL+U1BS19J3LU" w:hAnsi="Times New Roman" w:cs="Times New Roman"/>
          <w:sz w:val="28"/>
          <w:szCs w:val="28"/>
          <w:lang w:val="uk-UA"/>
        </w:rPr>
        <w:t xml:space="preserve"> малого готельного  бізнесу,</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а саме: міні-готелі,</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готелі сімейного типу, </w:t>
      </w:r>
      <w:proofErr w:type="spellStart"/>
      <w:r w:rsidRPr="005F0419">
        <w:rPr>
          <w:rFonts w:ascii="Times New Roman" w:eastAsia="SSWWL+U1BS19J3LU" w:hAnsi="Times New Roman" w:cs="Times New Roman"/>
          <w:sz w:val="28"/>
          <w:szCs w:val="28"/>
          <w:lang w:val="uk-UA"/>
        </w:rPr>
        <w:t>хостели</w:t>
      </w:r>
      <w:proofErr w:type="spellEnd"/>
      <w:r w:rsidRPr="005F0419">
        <w:rPr>
          <w:rFonts w:ascii="Times New Roman" w:eastAsia="SSWWL+U1BS19J3LU" w:hAnsi="Times New Roman" w:cs="Times New Roman"/>
          <w:sz w:val="28"/>
          <w:szCs w:val="28"/>
          <w:lang w:val="uk-UA"/>
        </w:rPr>
        <w:t xml:space="preserve"> [34]. Особливістю учасників цих об’єднань є зниження витрат на рекламу, поставки, підбір і професійну підготовка персоналу, доступ до оперативної ринкової і законодавчої інформації, участь у національних, регіональних та міжнародних виставках тощо. Цей тип готельних підприємств </w:t>
      </w:r>
      <w:r w:rsidRPr="005F0419">
        <w:rPr>
          <w:rFonts w:ascii="Times New Roman" w:eastAsia="SSWWL+U1BS19J3LU" w:hAnsi="Times New Roman" w:cs="Times New Roman"/>
          <w:sz w:val="28"/>
          <w:szCs w:val="28"/>
          <w:lang w:val="uk-UA"/>
        </w:rPr>
        <w:lastRenderedPageBreak/>
        <w:t xml:space="preserve">користується попитом у громадян України. Тому приєднання готелів різних категорій  і спеціалізації до готельних ланцюгів ефективно  сприятиме підвищенню якості та безпеки  їх послуг, а також посиленню їх конкурентних переваг у сфері  готельної та ресторанної індустрії України. Впровадження готельних мереж має велике значення для розвитку індустрії гостинності в Україні, тому що вони охоплюють великий сегмент ринку та впроваджують єдині міжнародні стандарти обслуговування споживачів готельних послуг. Основним фактором, який приваблює світові готельні мережі в Україну, є високий попит на готельні послуги та широкий рівень пропозицій. Недостатній рівень розвитку вітчизняного готельного бізнесу негативно впливає на імідж України, як туристичної держави, і сповільнює її розвиток в даному напрямку. </w:t>
      </w:r>
    </w:p>
    <w:p w14:paraId="0BAD5CCA" w14:textId="4E56A042" w:rsidR="00DB21B7" w:rsidRPr="005F0419" w:rsidRDefault="00DB21B7" w:rsidP="00181094">
      <w:pPr>
        <w:widowControl w:val="0"/>
        <w:tabs>
          <w:tab w:val="left" w:pos="2074"/>
          <w:tab w:val="left" w:pos="3337"/>
          <w:tab w:val="left" w:pos="3790"/>
          <w:tab w:val="left" w:pos="4418"/>
          <w:tab w:val="left" w:pos="4697"/>
          <w:tab w:val="left" w:pos="5212"/>
          <w:tab w:val="left" w:pos="5589"/>
          <w:tab w:val="left" w:pos="5894"/>
          <w:tab w:val="left" w:pos="6503"/>
          <w:tab w:val="left" w:pos="6986"/>
          <w:tab w:val="left" w:pos="7711"/>
        </w:tabs>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Створення міжнародних і вітчизняних готельних мереж дозволяє організувати готельний сервіс на рівні міжнародних стандартів, забезпечити</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потік туристів,</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підвищити конкурентоспроможність і гарантувати вихід на міжнародні ринки світу. Характерною ознакою сучасної світової економіки є формування готельних мереж з організацією мережевих </w:t>
      </w:r>
      <w:proofErr w:type="spellStart"/>
      <w:r w:rsidRPr="005F0419">
        <w:rPr>
          <w:rFonts w:ascii="Times New Roman" w:eastAsia="SSWWL+U1BS19J3LU" w:hAnsi="Times New Roman" w:cs="Times New Roman"/>
          <w:sz w:val="28"/>
          <w:szCs w:val="28"/>
          <w:lang w:val="uk-UA"/>
        </w:rPr>
        <w:t>зв’язків</w:t>
      </w:r>
      <w:proofErr w:type="spellEnd"/>
      <w:r w:rsidRPr="005F0419">
        <w:rPr>
          <w:rFonts w:ascii="Times New Roman" w:eastAsia="SSWWL+U1BS19J3LU" w:hAnsi="Times New Roman" w:cs="Times New Roman"/>
          <w:sz w:val="28"/>
          <w:szCs w:val="28"/>
          <w:lang w:val="uk-UA"/>
        </w:rPr>
        <w:t xml:space="preserve"> між окремими суб’єктами готельного бізнесу.</w:t>
      </w:r>
    </w:p>
    <w:p w14:paraId="25BA4812" w14:textId="14F649E1" w:rsidR="00DB21B7" w:rsidRPr="005F0419" w:rsidRDefault="00DB21B7" w:rsidP="00DB21B7">
      <w:pPr>
        <w:widowControl w:val="0"/>
        <w:tabs>
          <w:tab w:val="left" w:pos="7755"/>
        </w:tabs>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Найпоширенішою формою організації готельних ланцюгів є франчайзингова система, при якій провідний суб’єкт господарської діяльності надає передові технології та можливість функціонувати під його маркою іншим організаціям [35]</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Перспективи розвитку та аналіз світової економіки свідчать, що франчайзинг, який широко використовується у всьому світі, є ефективною формою організації бізнесу, яка дозволяє зменшити ризики підприємницької діяльності малого і середнього бізнесу, розширити ринок реалізації продукції, підвищити конкурентоспроможність товарів і послуг в умовах ринкових відносин тощо. Міжнародна асоціація франчайзингу виділяє 70 галузей, в яких використовують методи франчайзингу, до яких входить туризм, готелі, ресторани, розваги тощо. Як свідчить світовий досвід, впровадження і розвиток різних готельних ланцюгів і корпорацій забезпечує високий рівень якості обслуговування і постійно зростаючий прибуток. Мережеві готелі мають </w:t>
      </w:r>
      <w:r w:rsidRPr="005F0419">
        <w:rPr>
          <w:rFonts w:ascii="Times New Roman" w:eastAsia="SSWWL+U1BS19J3LU" w:hAnsi="Times New Roman" w:cs="Times New Roman"/>
          <w:sz w:val="28"/>
          <w:szCs w:val="28"/>
          <w:lang w:val="uk-UA"/>
        </w:rPr>
        <w:lastRenderedPageBreak/>
        <w:t xml:space="preserve">безумовні переваги над окремими засобами розміщення. До таких переваг можна віднести: збільшення цінової та нецінової конкурентоздатності підприємства за рахунок зниження витрат та впровадження стандартів і забезпечення якості послуг, забезпеченості ресурсами для впровадження інновацій та використання нових технологій, забезпеченості ресурсами для присутності в глобальних системах бронювання, використання відомого бренда та його маркетингових переваг, можливості впровадження комплексних програм навчання персоналу, ефективне вирішення проблем плинності трудових ресурсів, збільшення можливостей задовольняти попит у розміщенні гостей закладу в періоди його зростання. Американські </w:t>
      </w:r>
      <w:proofErr w:type="spellStart"/>
      <w:r w:rsidRPr="005F0419">
        <w:rPr>
          <w:rFonts w:ascii="Times New Roman" w:eastAsia="SSWWL+U1BS19J3LU" w:hAnsi="Times New Roman" w:cs="Times New Roman"/>
          <w:sz w:val="28"/>
          <w:szCs w:val="28"/>
          <w:lang w:val="uk-UA"/>
        </w:rPr>
        <w:t>франчайзери</w:t>
      </w:r>
      <w:proofErr w:type="spellEnd"/>
      <w:r w:rsidRPr="005F0419">
        <w:rPr>
          <w:rFonts w:ascii="Times New Roman" w:eastAsia="SSWWL+U1BS19J3LU" w:hAnsi="Times New Roman" w:cs="Times New Roman"/>
          <w:sz w:val="28"/>
          <w:szCs w:val="28"/>
          <w:lang w:val="uk-UA"/>
        </w:rPr>
        <w:t xml:space="preserve"> стверджують, що ефективний шлях виходу на зарубіжний ринок є розвиток франчайзингових мереж, що дозволяє значно скоротити витрати на створення і реалізацію продукції, залучаючи приватний капітал. Франчайзинг – це вид ділового співробітництва, коли один суб'єкт підприємницької діяльності (</w:t>
      </w:r>
      <w:proofErr w:type="spellStart"/>
      <w:r w:rsidRPr="005F0419">
        <w:rPr>
          <w:rFonts w:ascii="Times New Roman" w:eastAsia="SSWWL+U1BS19J3LU" w:hAnsi="Times New Roman" w:cs="Times New Roman"/>
          <w:sz w:val="28"/>
          <w:szCs w:val="28"/>
          <w:lang w:val="uk-UA"/>
        </w:rPr>
        <w:t>франчайзер</w:t>
      </w:r>
      <w:proofErr w:type="spellEnd"/>
      <w:r w:rsidRPr="005F0419">
        <w:rPr>
          <w:rFonts w:ascii="Times New Roman" w:eastAsia="SSWWL+U1BS19J3LU" w:hAnsi="Times New Roman" w:cs="Times New Roman"/>
          <w:sz w:val="28"/>
          <w:szCs w:val="28"/>
          <w:lang w:val="uk-UA"/>
        </w:rPr>
        <w:t xml:space="preserve">) дає права на певну діяльність іншому суб'єкту підприємницької діяльності (франчайзинг) на використання його торговельної марки, технологій та інших об'єктів інтелектуальної власності, протягом певного часу на обмеженій території і на визначених умовах.  Відносини між  </w:t>
      </w:r>
      <w:proofErr w:type="spellStart"/>
      <w:r w:rsidRPr="005F0419">
        <w:rPr>
          <w:rFonts w:ascii="Times New Roman" w:eastAsia="SSWWL+U1BS19J3LU" w:hAnsi="Times New Roman" w:cs="Times New Roman"/>
          <w:sz w:val="28"/>
          <w:szCs w:val="28"/>
          <w:lang w:val="uk-UA"/>
        </w:rPr>
        <w:t>франчайзером</w:t>
      </w:r>
      <w:proofErr w:type="spellEnd"/>
      <w:r w:rsidRPr="005F0419">
        <w:rPr>
          <w:rFonts w:ascii="Times New Roman" w:eastAsia="SSWWL+U1BS19J3LU" w:hAnsi="Times New Roman" w:cs="Times New Roman"/>
          <w:sz w:val="28"/>
          <w:szCs w:val="28"/>
          <w:lang w:val="uk-UA"/>
        </w:rPr>
        <w:t xml:space="preserve"> і франчайзі на сучасному етапі розвитку  можливі </w:t>
      </w:r>
      <w:proofErr w:type="spellStart"/>
      <w:r w:rsidRPr="005F0419">
        <w:rPr>
          <w:rFonts w:ascii="Times New Roman" w:eastAsia="SSWWL+U1BS19J3LU" w:hAnsi="Times New Roman" w:cs="Times New Roman"/>
          <w:sz w:val="28"/>
          <w:szCs w:val="28"/>
          <w:lang w:val="uk-UA"/>
        </w:rPr>
        <w:t>двух</w:t>
      </w:r>
      <w:proofErr w:type="spellEnd"/>
      <w:r w:rsidRPr="005F0419">
        <w:rPr>
          <w:rFonts w:ascii="Times New Roman" w:eastAsia="SSWWL+U1BS19J3LU"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основнвних</w:t>
      </w:r>
      <w:proofErr w:type="spellEnd"/>
      <w:r w:rsidRPr="005F0419">
        <w:rPr>
          <w:rFonts w:ascii="Times New Roman" w:eastAsia="SSWWL+U1BS19J3LU" w:hAnsi="Times New Roman" w:cs="Times New Roman"/>
          <w:sz w:val="28"/>
          <w:szCs w:val="28"/>
          <w:lang w:val="uk-UA"/>
        </w:rPr>
        <w:t xml:space="preserve"> типів, а саме: прямий </w:t>
      </w:r>
      <w:proofErr w:type="spellStart"/>
      <w:r w:rsidRPr="005F0419">
        <w:rPr>
          <w:rFonts w:ascii="Times New Roman" w:eastAsia="SSWWL+U1BS19J3LU" w:hAnsi="Times New Roman" w:cs="Times New Roman"/>
          <w:sz w:val="28"/>
          <w:szCs w:val="28"/>
          <w:lang w:val="uk-UA"/>
        </w:rPr>
        <w:t>франчайзінг</w:t>
      </w:r>
      <w:proofErr w:type="spellEnd"/>
      <w:r w:rsidRPr="005F0419">
        <w:rPr>
          <w:rFonts w:ascii="Times New Roman" w:eastAsia="SSWWL+U1BS19J3LU" w:hAnsi="Times New Roman" w:cs="Times New Roman"/>
          <w:sz w:val="28"/>
          <w:szCs w:val="28"/>
          <w:lang w:val="uk-UA"/>
        </w:rPr>
        <w:t xml:space="preserve">, коли </w:t>
      </w:r>
      <w:proofErr w:type="spellStart"/>
      <w:r w:rsidRPr="005F0419">
        <w:rPr>
          <w:rFonts w:ascii="Times New Roman" w:eastAsia="SSWWL+U1BS19J3LU" w:hAnsi="Times New Roman" w:cs="Times New Roman"/>
          <w:sz w:val="28"/>
          <w:szCs w:val="28"/>
          <w:lang w:val="uk-UA"/>
        </w:rPr>
        <w:t>франчайзер</w:t>
      </w:r>
      <w:proofErr w:type="spellEnd"/>
      <w:r w:rsidRPr="005F0419">
        <w:rPr>
          <w:rFonts w:ascii="Times New Roman" w:eastAsia="SSWWL+U1BS19J3LU" w:hAnsi="Times New Roman" w:cs="Times New Roman"/>
          <w:sz w:val="28"/>
          <w:szCs w:val="28"/>
          <w:lang w:val="uk-UA"/>
        </w:rPr>
        <w:t xml:space="preserve"> продає франшизу прямо місцевому підприємцю (</w:t>
      </w:r>
      <w:proofErr w:type="spellStart"/>
      <w:r w:rsidRPr="005F0419">
        <w:rPr>
          <w:rFonts w:ascii="Times New Roman" w:eastAsia="SSWWL+U1BS19J3LU" w:hAnsi="Times New Roman" w:cs="Times New Roman"/>
          <w:sz w:val="28"/>
          <w:szCs w:val="28"/>
          <w:lang w:val="uk-UA"/>
        </w:rPr>
        <w:t>франчайзінг</w:t>
      </w:r>
      <w:proofErr w:type="spellEnd"/>
      <w:r w:rsidRPr="005F0419">
        <w:rPr>
          <w:rFonts w:ascii="Times New Roman" w:eastAsia="SSWWL+U1BS19J3LU" w:hAnsi="Times New Roman" w:cs="Times New Roman"/>
          <w:sz w:val="28"/>
          <w:szCs w:val="28"/>
          <w:lang w:val="uk-UA"/>
        </w:rPr>
        <w:t>) і  непрямий  франчайзинг  (</w:t>
      </w:r>
      <w:proofErr w:type="spellStart"/>
      <w:r w:rsidRPr="005F0419">
        <w:rPr>
          <w:rFonts w:ascii="Times New Roman" w:eastAsia="SSWWL+U1BS19J3LU" w:hAnsi="Times New Roman" w:cs="Times New Roman"/>
          <w:sz w:val="28"/>
          <w:szCs w:val="28"/>
          <w:lang w:val="uk-UA"/>
        </w:rPr>
        <w:t>субфранчайзінг</w:t>
      </w:r>
      <w:proofErr w:type="spellEnd"/>
      <w:r w:rsidRPr="005F0419">
        <w:rPr>
          <w:rFonts w:ascii="Times New Roman" w:eastAsia="SSWWL+U1BS19J3LU" w:hAnsi="Times New Roman" w:cs="Times New Roman"/>
          <w:sz w:val="28"/>
          <w:szCs w:val="28"/>
          <w:lang w:val="uk-UA"/>
        </w:rPr>
        <w:t xml:space="preserve">), коли міжнародний </w:t>
      </w:r>
      <w:proofErr w:type="spellStart"/>
      <w:r w:rsidRPr="005F0419">
        <w:rPr>
          <w:rFonts w:ascii="Times New Roman" w:eastAsia="SSWWL+U1BS19J3LU" w:hAnsi="Times New Roman" w:cs="Times New Roman"/>
          <w:sz w:val="28"/>
          <w:szCs w:val="28"/>
          <w:lang w:val="uk-UA"/>
        </w:rPr>
        <w:t>франчайзер</w:t>
      </w:r>
      <w:proofErr w:type="spellEnd"/>
      <w:r w:rsidRPr="005F0419">
        <w:rPr>
          <w:rFonts w:ascii="Times New Roman" w:eastAsia="SSWWL+U1BS19J3LU" w:hAnsi="Times New Roman" w:cs="Times New Roman"/>
          <w:sz w:val="28"/>
          <w:szCs w:val="28"/>
          <w:lang w:val="uk-UA"/>
        </w:rPr>
        <w:t xml:space="preserve"> продає виключні права на розвиток усієї системи ді </w:t>
      </w:r>
      <w:proofErr w:type="spellStart"/>
      <w:r w:rsidRPr="005F0419">
        <w:rPr>
          <w:rFonts w:ascii="Times New Roman" w:eastAsia="SSWWL+U1BS19J3LU" w:hAnsi="Times New Roman" w:cs="Times New Roman"/>
          <w:sz w:val="28"/>
          <w:szCs w:val="28"/>
          <w:lang w:val="uk-UA"/>
        </w:rPr>
        <w:t>яльності</w:t>
      </w:r>
      <w:proofErr w:type="spellEnd"/>
      <w:r w:rsidRPr="005F0419">
        <w:rPr>
          <w:rFonts w:ascii="Times New Roman" w:eastAsia="SSWWL+U1BS19J3LU" w:hAnsi="Times New Roman" w:cs="Times New Roman"/>
          <w:sz w:val="28"/>
          <w:szCs w:val="28"/>
          <w:lang w:val="uk-UA"/>
        </w:rPr>
        <w:t xml:space="preserve"> у певному напрямку на території іншої країни одному франчайзі, який у подальшому може укладати </w:t>
      </w:r>
      <w:proofErr w:type="spellStart"/>
      <w:r w:rsidRPr="005F0419">
        <w:rPr>
          <w:rFonts w:ascii="Times New Roman" w:eastAsia="SSWWL+U1BS19J3LU" w:hAnsi="Times New Roman" w:cs="Times New Roman"/>
          <w:sz w:val="28"/>
          <w:szCs w:val="28"/>
          <w:lang w:val="uk-UA"/>
        </w:rPr>
        <w:t>субфранчайзінгові</w:t>
      </w:r>
      <w:proofErr w:type="spellEnd"/>
      <w:r w:rsidRPr="005F0419">
        <w:rPr>
          <w:rFonts w:ascii="Times New Roman" w:eastAsia="SSWWL+U1BS19J3LU" w:hAnsi="Times New Roman" w:cs="Times New Roman"/>
          <w:sz w:val="28"/>
          <w:szCs w:val="28"/>
          <w:lang w:val="uk-UA"/>
        </w:rPr>
        <w:t xml:space="preserve"> договори з іншими франчайзі. Таким чином, франчайзі стає </w:t>
      </w:r>
      <w:proofErr w:type="spellStart"/>
      <w:r w:rsidRPr="005F0419">
        <w:rPr>
          <w:rFonts w:ascii="Times New Roman" w:eastAsia="SSWWL+U1BS19J3LU" w:hAnsi="Times New Roman" w:cs="Times New Roman"/>
          <w:sz w:val="28"/>
          <w:szCs w:val="28"/>
          <w:lang w:val="uk-UA"/>
        </w:rPr>
        <w:t>франчайзером</w:t>
      </w:r>
      <w:proofErr w:type="spellEnd"/>
      <w:r w:rsidRPr="005F0419">
        <w:rPr>
          <w:rFonts w:ascii="Times New Roman" w:eastAsia="SSWWL+U1BS19J3LU" w:hAnsi="Times New Roman" w:cs="Times New Roman"/>
          <w:sz w:val="28"/>
          <w:szCs w:val="28"/>
          <w:lang w:val="uk-UA"/>
        </w:rPr>
        <w:t xml:space="preserve"> в даній країні, продаючи і пропонуючи франшизи іншим підприємцям і збираючи з них сервісну плату (роялті) [35]. </w:t>
      </w:r>
      <w:proofErr w:type="spellStart"/>
      <w:r w:rsidRPr="005F0419">
        <w:rPr>
          <w:rFonts w:ascii="Times New Roman" w:eastAsia="SSWWL+U1BS19J3LU" w:hAnsi="Times New Roman" w:cs="Times New Roman"/>
          <w:sz w:val="28"/>
          <w:szCs w:val="28"/>
          <w:lang w:val="uk-UA"/>
        </w:rPr>
        <w:t>Франчайзеру</w:t>
      </w:r>
      <w:proofErr w:type="spellEnd"/>
      <w:r w:rsidRPr="005F0419">
        <w:rPr>
          <w:rFonts w:ascii="Times New Roman" w:eastAsia="SSWWL+U1BS19J3LU" w:hAnsi="Times New Roman" w:cs="Times New Roman"/>
          <w:sz w:val="28"/>
          <w:szCs w:val="28"/>
          <w:lang w:val="uk-UA"/>
        </w:rPr>
        <w:t xml:space="preserve"> необхідно  володіти відомою на ринку торговельною маркою, певними технологіями виробництва продукції або надання послуг, способами ведення підприємницької діяльності та іншими об'єктами інтелектуальної власності і надає право використовувати їх франчайзі, який отримує від </w:t>
      </w:r>
      <w:proofErr w:type="spellStart"/>
      <w:r w:rsidRPr="005F0419">
        <w:rPr>
          <w:rFonts w:ascii="Times New Roman" w:eastAsia="SSWWL+U1BS19J3LU" w:hAnsi="Times New Roman" w:cs="Times New Roman"/>
          <w:sz w:val="28"/>
          <w:szCs w:val="28"/>
          <w:lang w:val="uk-UA"/>
        </w:rPr>
        <w:t>франчайзера</w:t>
      </w:r>
      <w:proofErr w:type="spellEnd"/>
      <w:r w:rsidRPr="005F0419">
        <w:rPr>
          <w:rFonts w:ascii="Times New Roman" w:eastAsia="SSWWL+U1BS19J3LU" w:hAnsi="Times New Roman" w:cs="Times New Roman"/>
          <w:sz w:val="28"/>
          <w:szCs w:val="28"/>
          <w:lang w:val="uk-UA"/>
        </w:rPr>
        <w:t xml:space="preserve"> право ведення визначеної у договорі діяльності на </w:t>
      </w:r>
      <w:r w:rsidRPr="005F0419">
        <w:rPr>
          <w:rFonts w:ascii="Times New Roman" w:eastAsia="SSWWL+U1BS19J3LU" w:hAnsi="Times New Roman" w:cs="Times New Roman"/>
          <w:sz w:val="28"/>
          <w:szCs w:val="28"/>
          <w:lang w:val="uk-UA"/>
        </w:rPr>
        <w:lastRenderedPageBreak/>
        <w:t xml:space="preserve">певних умовах. Після узгодження всіх зауважень між </w:t>
      </w:r>
      <w:proofErr w:type="spellStart"/>
      <w:r w:rsidRPr="005F0419">
        <w:rPr>
          <w:rFonts w:ascii="Times New Roman" w:eastAsia="SSWWL+U1BS19J3LU" w:hAnsi="Times New Roman" w:cs="Times New Roman"/>
          <w:sz w:val="28"/>
          <w:szCs w:val="28"/>
          <w:lang w:val="uk-UA"/>
        </w:rPr>
        <w:t>франчайзером</w:t>
      </w:r>
      <w:proofErr w:type="spellEnd"/>
      <w:r w:rsidRPr="005F0419">
        <w:rPr>
          <w:rFonts w:ascii="Times New Roman" w:eastAsia="SSWWL+U1BS19J3LU" w:hAnsi="Times New Roman" w:cs="Times New Roman"/>
          <w:sz w:val="28"/>
          <w:szCs w:val="28"/>
          <w:lang w:val="uk-UA"/>
        </w:rPr>
        <w:t xml:space="preserve"> і франчайзі укладається документ, який повинен регламентувати особливості роботи даного  підприємства у конкретних географічних або ринкових умовах, кількість охоплених франчайзингом господарств,  тощо.  Договір франчайзингу у готельному бізнесі  регламентує вимоги до  інфраструктурі  підприємства, а саме: архітектуру  будівлі, кількість номерів,  інтер'єр різних категорій  номерів та додаткових  приміщень для  загального користування, сферу    послуг, якість  обслуговування, технічне забезпечення тощо. </w:t>
      </w:r>
      <w:proofErr w:type="spellStart"/>
      <w:r w:rsidRPr="005F0419">
        <w:rPr>
          <w:rFonts w:ascii="Times New Roman" w:eastAsia="SSWWL+U1BS19J3LU" w:hAnsi="Times New Roman" w:cs="Times New Roman"/>
          <w:sz w:val="28"/>
          <w:szCs w:val="28"/>
          <w:lang w:val="uk-UA"/>
        </w:rPr>
        <w:t>Франчайзер</w:t>
      </w:r>
      <w:proofErr w:type="spellEnd"/>
      <w:r w:rsidRPr="005F0419">
        <w:rPr>
          <w:rFonts w:ascii="Times New Roman" w:eastAsia="SSWWL+U1BS19J3LU" w:hAnsi="Times New Roman" w:cs="Times New Roman"/>
          <w:sz w:val="28"/>
          <w:szCs w:val="28"/>
          <w:lang w:val="uk-UA"/>
        </w:rPr>
        <w:t xml:space="preserve"> здійснює періодичний моніторинг підприємств франчайзі, перевірку виробництва і може надавати рекомендації щодо підвищення його продуктивності. Для коригування взаємовідносин у створеній системі група провідних менеджерів і  президент готельної компанії, при </w:t>
      </w:r>
      <w:proofErr w:type="spellStart"/>
      <w:r w:rsidRPr="005F0419">
        <w:rPr>
          <w:rFonts w:ascii="Times New Roman" w:eastAsia="SSWWL+U1BS19J3LU" w:hAnsi="Times New Roman" w:cs="Times New Roman"/>
          <w:sz w:val="28"/>
          <w:szCs w:val="28"/>
          <w:lang w:val="uk-UA"/>
        </w:rPr>
        <w:t>франчайзері</w:t>
      </w:r>
      <w:proofErr w:type="spellEnd"/>
      <w:r w:rsidRPr="005F0419">
        <w:rPr>
          <w:rFonts w:ascii="Times New Roman" w:eastAsia="SSWWL+U1BS19J3LU" w:hAnsi="Times New Roman" w:cs="Times New Roman"/>
          <w:sz w:val="28"/>
          <w:szCs w:val="28"/>
          <w:lang w:val="uk-UA"/>
        </w:rPr>
        <w:t>,</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створює  наглядову раду. Вона  виконує функції контролю та коригування, і згідно з аналізом  її моніторингу приймаються рішення про прийом у мережу </w:t>
      </w:r>
      <w:proofErr w:type="spellStart"/>
      <w:r w:rsidRPr="005F0419">
        <w:rPr>
          <w:rFonts w:ascii="Times New Roman" w:eastAsia="SSWWL+U1BS19J3LU" w:hAnsi="Times New Roman" w:cs="Times New Roman"/>
          <w:sz w:val="28"/>
          <w:szCs w:val="28"/>
          <w:lang w:val="uk-UA"/>
        </w:rPr>
        <w:t>франчайзера</w:t>
      </w:r>
      <w:proofErr w:type="spellEnd"/>
      <w:r w:rsidRPr="005F0419">
        <w:rPr>
          <w:rFonts w:ascii="Times New Roman" w:eastAsia="SSWWL+U1BS19J3LU" w:hAnsi="Times New Roman" w:cs="Times New Roman"/>
          <w:sz w:val="28"/>
          <w:szCs w:val="28"/>
          <w:lang w:val="uk-UA"/>
        </w:rPr>
        <w:t xml:space="preserve"> нових членів, або розірвання договору при невиконанні його умов. Рекомендації можуть стосуватись використання  нових видів сервісного обслуговування, впровадження інноваційних  інформаційних технологій, зміни кольорів приміщень з метою створення нового іміджу підприємства. Результатом взаємовідносин між </w:t>
      </w:r>
      <w:proofErr w:type="spellStart"/>
      <w:r w:rsidRPr="005F0419">
        <w:rPr>
          <w:rFonts w:ascii="Times New Roman" w:eastAsia="SSWWL+U1BS19J3LU" w:hAnsi="Times New Roman" w:cs="Times New Roman"/>
          <w:sz w:val="28"/>
          <w:szCs w:val="28"/>
          <w:lang w:val="uk-UA"/>
        </w:rPr>
        <w:t>франчайзером</w:t>
      </w:r>
      <w:proofErr w:type="spellEnd"/>
      <w:r w:rsidRPr="005F0419">
        <w:rPr>
          <w:rFonts w:ascii="Times New Roman" w:eastAsia="SSWWL+U1BS19J3LU" w:hAnsi="Times New Roman" w:cs="Times New Roman"/>
          <w:sz w:val="28"/>
          <w:szCs w:val="28"/>
          <w:lang w:val="uk-UA"/>
        </w:rPr>
        <w:t xml:space="preserve"> і чисельними франчайзі є поява на ринку мережі однотипних підприємств, які подібні між собою як за зовнішнім оформленням, так і за способами ведення підприємницької діяльності</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[35]. Такі подібні підприємства формують організаційне утворення, в якому функціонування кожного з учасників позитивно впливає на створення і подальший розвиток ділової репутації визначеної торговельної марки, тобто ділової репутації </w:t>
      </w:r>
      <w:proofErr w:type="spellStart"/>
      <w:r w:rsidRPr="005F0419">
        <w:rPr>
          <w:rFonts w:ascii="Times New Roman" w:eastAsia="SSWWL+U1BS19J3LU" w:hAnsi="Times New Roman" w:cs="Times New Roman"/>
          <w:sz w:val="28"/>
          <w:szCs w:val="28"/>
          <w:lang w:val="uk-UA"/>
        </w:rPr>
        <w:t>франчайзера</w:t>
      </w:r>
      <w:proofErr w:type="spellEnd"/>
      <w:r w:rsidRPr="005F0419">
        <w:rPr>
          <w:rFonts w:ascii="Times New Roman" w:eastAsia="SSWWL+U1BS19J3LU" w:hAnsi="Times New Roman" w:cs="Times New Roman"/>
          <w:sz w:val="28"/>
          <w:szCs w:val="28"/>
          <w:lang w:val="uk-UA"/>
        </w:rPr>
        <w:t xml:space="preserve">. Ця модель організації бізнесу вважається системою взаємовигідних партнерських відносин великого і малого бізнесу. Вона дозволяє малому, середньому і великому бізнесу інтегруватися на світовий ринок товарів і послуг за певними вимогами, до яких відноситься: швидка реакція на зміни внутрішніх і зовнішніх факторів, здатність до постійного удосконалення, забезпечення ефективної політики підприємницької діяльності </w:t>
      </w:r>
      <w:r w:rsidRPr="005F0419">
        <w:rPr>
          <w:rFonts w:ascii="Times New Roman" w:eastAsia="SSWWL+U1BS19J3LU" w:hAnsi="Times New Roman" w:cs="Times New Roman"/>
          <w:sz w:val="28"/>
          <w:szCs w:val="28"/>
          <w:lang w:val="uk-UA"/>
        </w:rPr>
        <w:lastRenderedPageBreak/>
        <w:t>тощо. Мережевий принцип організації франчайзингової системи дозволяє їй швидко змінюватись відповідно до вимог ринку і споживачів продукції. Система франчайзингу у  кризових періодах в економіці  є менш вразливою  В цей період інтенсивніше формуються нові більш тісні взаємовідносини, що сприяє виживанню всієї системи під час кризи. Результатом налагодження зав’язків і взаємовідносин між учасниками ринку на основі ліцензійної угоди та умовах франчайзингу залежить від виду господарської діяльності, що поділяється на товарну, збутову, виробничу, ділову або бізнес-формат.</w:t>
      </w:r>
    </w:p>
    <w:p w14:paraId="1B2AB37A" w14:textId="070C1771" w:rsidR="00DB21B7" w:rsidRPr="005F0419" w:rsidRDefault="00DB21B7" w:rsidP="00DB21B7">
      <w:pPr>
        <w:widowControl w:val="0"/>
        <w:tabs>
          <w:tab w:val="left" w:pos="4777"/>
        </w:tabs>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 xml:space="preserve">Для України, франчайзинг вважається відносно новим бізнесом, який передбачає застосування нових методів підприємницької діяльності і широке впровадження інноваційних технологій товарів і послуг. Ефективним інноваційним інструментом формування готельних інтегрованих мереж вважається франчайзинг, який дозволяє готельним підприємствам бути конкурентоспроможними, ефективно розширюватись, уникаючи значних витрат на створення і підтримку адміністративного апарату. В Україні з 2001 року  функціонує Асоціація франчайзингу. Для потенційних </w:t>
      </w:r>
      <w:proofErr w:type="spellStart"/>
      <w:r w:rsidRPr="005F0419">
        <w:rPr>
          <w:rFonts w:ascii="Times New Roman" w:eastAsia="SSWWL+U1BS19J3LU" w:hAnsi="Times New Roman" w:cs="Times New Roman"/>
          <w:sz w:val="28"/>
          <w:szCs w:val="28"/>
          <w:lang w:val="uk-UA"/>
        </w:rPr>
        <w:t>франчайзірів</w:t>
      </w:r>
      <w:proofErr w:type="spellEnd"/>
      <w:r w:rsidRPr="005F0419">
        <w:rPr>
          <w:rFonts w:ascii="Times New Roman" w:eastAsia="SSWWL+U1BS19J3LU" w:hAnsi="Times New Roman" w:cs="Times New Roman"/>
          <w:sz w:val="28"/>
          <w:szCs w:val="28"/>
          <w:lang w:val="uk-UA"/>
        </w:rPr>
        <w:t xml:space="preserve"> Асоціація надає послуги різноманітного  пошуку національних  франчайзингових мереж та міжнародних,  згідно заданими критеріями та попиту [36]</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Асоціація  є організацією, яка допомагає розвивати франчайзинговий  бізнес в Україні,</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повідомляє про нові проекти,</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а також про фінансові показники компаній і стратегії їх розвитку. Франчайзинг є однією з провідних інноваційних форм управління у сфері індустрії гостинності. На основі договору франчайзингу діє більшість західних туристичних компаній, закладів готельного-ресторанного господарства, виробництва і реалізації товарів харчової промисловості, громадського харчування, промислових товарів, тощо. </w:t>
      </w:r>
    </w:p>
    <w:p w14:paraId="5034057E" w14:textId="44F159A8" w:rsidR="00DB21B7" w:rsidRPr="005F0419" w:rsidRDefault="00DB21B7" w:rsidP="00DB21B7">
      <w:pPr>
        <w:widowControl w:val="0"/>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 xml:space="preserve">Бізнес-система франчайзингових відносин є особливо важливою для прогресивного розвиту туристичної галузі в Україні та інтеграції її у світову економіку. На тепер, на основі міжнародних франчайзингових відносин в Україні діють різні туристичні підприємства. Франчайзинг, який представляє собою певну форму організації туристичного бізнесу в Україні, надає  </w:t>
      </w:r>
      <w:r w:rsidRPr="005F0419">
        <w:rPr>
          <w:rFonts w:ascii="Times New Roman" w:eastAsia="SSWWL+U1BS19J3LU" w:hAnsi="Times New Roman" w:cs="Times New Roman"/>
          <w:sz w:val="28"/>
          <w:szCs w:val="28"/>
          <w:lang w:val="uk-UA"/>
        </w:rPr>
        <w:lastRenderedPageBreak/>
        <w:t xml:space="preserve">можливість об’єднання  мережі самостійних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-туристичних агентств, що мають єдину торгову марку і дотримуються однакових  умов праці, методів і форм продажу туристичних послуг, найважливішими з яких є єдині вимоги до якості і ціни. </w:t>
      </w:r>
      <w:proofErr w:type="spellStart"/>
      <w:r w:rsidRPr="005F0419">
        <w:rPr>
          <w:rFonts w:ascii="Times New Roman" w:eastAsia="SSWWL+U1BS19J3LU" w:hAnsi="Times New Roman" w:cs="Times New Roman"/>
          <w:sz w:val="28"/>
          <w:szCs w:val="28"/>
          <w:lang w:val="uk-UA"/>
        </w:rPr>
        <w:t>Travel</w:t>
      </w:r>
      <w:proofErr w:type="spellEnd"/>
      <w:r w:rsidRPr="005F0419">
        <w:rPr>
          <w:rFonts w:ascii="Times New Roman" w:eastAsia="SSWWL+U1BS19J3LU" w:hAnsi="Times New Roman" w:cs="Times New Roman"/>
          <w:sz w:val="28"/>
          <w:szCs w:val="28"/>
          <w:lang w:val="uk-UA"/>
        </w:rPr>
        <w:t xml:space="preserve"> Professional </w:t>
      </w:r>
      <w:proofErr w:type="spellStart"/>
      <w:r w:rsidRPr="005F0419">
        <w:rPr>
          <w:rFonts w:ascii="Times New Roman" w:eastAsia="SSWWL+U1BS19J3LU" w:hAnsi="Times New Roman" w:cs="Times New Roman"/>
          <w:sz w:val="28"/>
          <w:szCs w:val="28"/>
          <w:lang w:val="uk-UA"/>
        </w:rPr>
        <w:t>Group</w:t>
      </w:r>
      <w:proofErr w:type="spellEnd"/>
      <w:r w:rsidRPr="005F0419">
        <w:rPr>
          <w:rFonts w:ascii="Times New Roman" w:eastAsia="SSWWL+U1BS19J3LU" w:hAnsi="Times New Roman" w:cs="Times New Roman"/>
          <w:sz w:val="28"/>
          <w:szCs w:val="28"/>
          <w:lang w:val="uk-UA"/>
        </w:rPr>
        <w:t xml:space="preserve"> (TPG) – найбільший туристичний оператор України з національним капіталом. Компанія успішно розвиває власну франчайзингову мережу туристичних агентств з 2011</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року [37]</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Головною складовою концепції TPG-агентства є задовольняти запити своїх туристів. Останнім часом ,діючі агентства складають велику частку нових франчайзі, що свідчить про збільшення   інтересу  до мережі TPG. Тому кампанія  надає їм  необхідну юридичну, фінансову і маркетингову підтримку Особливу увага компанія приділяє навчанню менеджерів. Одна з головних умов  вступу в цю мережу – бездоганна бізнес-репутація [37].</w:t>
      </w:r>
    </w:p>
    <w:p w14:paraId="7CD7BADB" w14:textId="77777777" w:rsidR="00181094" w:rsidRPr="005F0419" w:rsidRDefault="00DB21B7" w:rsidP="00DB21B7">
      <w:pPr>
        <w:widowControl w:val="0"/>
        <w:tabs>
          <w:tab w:val="left" w:pos="1860"/>
          <w:tab w:val="left" w:pos="2778"/>
          <w:tab w:val="left" w:pos="3308"/>
          <w:tab w:val="left" w:pos="3718"/>
          <w:tab w:val="left" w:pos="4167"/>
          <w:tab w:val="left" w:pos="4439"/>
          <w:tab w:val="left" w:pos="4998"/>
          <w:tab w:val="left" w:pos="5901"/>
          <w:tab w:val="left" w:pos="6231"/>
          <w:tab w:val="left" w:pos="6765"/>
          <w:tab w:val="left" w:pos="7283"/>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Готельне господарство відноситься до основних факторів формування потужної туристичної індустрії в Україні. Шляхи розвитку сучасної готельної індустрії визначають загальні зміни у функціонуванні національної і світової економіки. Як свідчить</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міжнародний досвід,</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розвиток готельного господарства формує туристичний імідж нашої країни і є визначальним фактором збільшення внутрішніх та міжнародних туристичних потоків. В сфері діяльності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-ресторанного бізнесу використовується діловий франчайзинг або франчайзинг бізнес-формату, який базується на тому, що франчайзі самостійно здійснює повний цикл виробництва продукції, але його діяльність є аналогічною діяльності </w:t>
      </w:r>
      <w:proofErr w:type="spellStart"/>
      <w:r w:rsidRPr="005F0419">
        <w:rPr>
          <w:rFonts w:ascii="Times New Roman" w:eastAsia="SSWWL+U1BS19J3LU" w:hAnsi="Times New Roman" w:cs="Times New Roman"/>
          <w:sz w:val="28"/>
          <w:szCs w:val="28"/>
          <w:lang w:val="uk-UA"/>
        </w:rPr>
        <w:t>франчайзера</w:t>
      </w:r>
      <w:proofErr w:type="spellEnd"/>
      <w:r w:rsidRPr="005F0419">
        <w:rPr>
          <w:rFonts w:ascii="Times New Roman" w:eastAsia="SSWWL+U1BS19J3LU" w:hAnsi="Times New Roman" w:cs="Times New Roman"/>
          <w:sz w:val="28"/>
          <w:szCs w:val="28"/>
          <w:lang w:val="uk-UA"/>
        </w:rPr>
        <w:t xml:space="preserve">. Найбільшого поширення діловий франчайзинг набув у сфері готельного бізнесу, громадського та ресторанного харчування, роздрібної торгівлі промисловими товарами та побутового обслуговування. Більшість укладених франчайзингових договорів представлена діловим франчайзингом, а саме: міжнародна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-ресторанна  мережа надає в розпорядження власнику підприємства бренду та стандартів мережі. Елемент договору франчайзингу прописує  узгодження форм оплати, яку вносять готелі-франчайзі [38]</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У світовому досвіді використовуються такі форми оплати, як вступний внесок, відрахування або різні фіксовані виплати (роялті), плата за маркетингові </w:t>
      </w:r>
      <w:r w:rsidRPr="005F0419">
        <w:rPr>
          <w:rFonts w:ascii="Times New Roman" w:eastAsia="SSWWL+U1BS19J3LU" w:hAnsi="Times New Roman" w:cs="Times New Roman"/>
          <w:sz w:val="28"/>
          <w:szCs w:val="28"/>
          <w:lang w:val="uk-UA"/>
        </w:rPr>
        <w:lastRenderedPageBreak/>
        <w:t xml:space="preserve">послуги, плата за використання централізованої системи бронювання номерів.  </w:t>
      </w:r>
    </w:p>
    <w:p w14:paraId="76C3991F" w14:textId="0C91E79A" w:rsidR="00DB21B7" w:rsidRPr="005F0419" w:rsidRDefault="00DB21B7" w:rsidP="00DB21B7">
      <w:pPr>
        <w:widowControl w:val="0"/>
        <w:tabs>
          <w:tab w:val="left" w:pos="1860"/>
          <w:tab w:val="left" w:pos="2778"/>
          <w:tab w:val="left" w:pos="3308"/>
          <w:tab w:val="left" w:pos="3718"/>
          <w:tab w:val="left" w:pos="4167"/>
          <w:tab w:val="left" w:pos="4439"/>
          <w:tab w:val="left" w:pos="4998"/>
          <w:tab w:val="left" w:pos="5901"/>
          <w:tab w:val="left" w:pos="6231"/>
          <w:tab w:val="left" w:pos="6765"/>
          <w:tab w:val="left" w:pos="7283"/>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На відміну від договору управління, власник самостійно управляє готелем,</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але оператор здійснює контроль за виконанням за тим, як власник дотримується усіх стандартів, прийнятих готельною мережею. Для виключення  негативного впливу на репутацію і загальний імідж  франчайзингової мережі, </w:t>
      </w:r>
      <w:proofErr w:type="spellStart"/>
      <w:r w:rsidRPr="005F0419">
        <w:rPr>
          <w:rFonts w:ascii="Times New Roman" w:eastAsia="SSWWL+U1BS19J3LU" w:hAnsi="Times New Roman" w:cs="Times New Roman"/>
          <w:sz w:val="28"/>
          <w:szCs w:val="28"/>
          <w:lang w:val="uk-UA"/>
        </w:rPr>
        <w:t>франчайзер</w:t>
      </w:r>
      <w:proofErr w:type="spellEnd"/>
      <w:r w:rsidRPr="005F0419">
        <w:rPr>
          <w:rFonts w:ascii="Times New Roman" w:eastAsia="SSWWL+U1BS19J3LU" w:hAnsi="Times New Roman" w:cs="Times New Roman"/>
          <w:sz w:val="28"/>
          <w:szCs w:val="28"/>
          <w:lang w:val="uk-UA"/>
        </w:rPr>
        <w:t xml:space="preserve"> регулює необхідні аспекти для успішного ведення бізнесу, не порушуючи самостійність франчайзі в економічній та юридичній сфері</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[38]</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Міжнародний досвід свідчить, що об'єднане ведення справ у готельному бізнесі є значно економічно ефективнішим, ніж управління незалежними готелями. Слід враховувати, що впровадження договору франчайзингу має певні переваги і недоліки управління як для </w:t>
      </w:r>
      <w:proofErr w:type="spellStart"/>
      <w:r w:rsidRPr="005F0419">
        <w:rPr>
          <w:rFonts w:ascii="Times New Roman" w:eastAsia="SSWWL+U1BS19J3LU" w:hAnsi="Times New Roman" w:cs="Times New Roman"/>
          <w:sz w:val="28"/>
          <w:szCs w:val="28"/>
          <w:lang w:val="uk-UA"/>
        </w:rPr>
        <w:t>франчайзера</w:t>
      </w:r>
      <w:proofErr w:type="spellEnd"/>
      <w:r w:rsidRPr="005F0419">
        <w:rPr>
          <w:rFonts w:ascii="Times New Roman" w:eastAsia="SSWWL+U1BS19J3LU" w:hAnsi="Times New Roman" w:cs="Times New Roman"/>
          <w:sz w:val="28"/>
          <w:szCs w:val="28"/>
          <w:lang w:val="uk-UA"/>
        </w:rPr>
        <w:t xml:space="preserve">, так і для франчайзі. Для </w:t>
      </w:r>
      <w:proofErr w:type="spellStart"/>
      <w:r w:rsidRPr="005F0419">
        <w:rPr>
          <w:rFonts w:ascii="Times New Roman" w:eastAsia="SSWWL+U1BS19J3LU" w:hAnsi="Times New Roman" w:cs="Times New Roman"/>
          <w:sz w:val="28"/>
          <w:szCs w:val="28"/>
          <w:lang w:val="uk-UA"/>
        </w:rPr>
        <w:t>франчайзера</w:t>
      </w:r>
      <w:proofErr w:type="spellEnd"/>
      <w:r w:rsidRPr="005F0419">
        <w:rPr>
          <w:rFonts w:ascii="Times New Roman" w:eastAsia="SSWWL+U1BS19J3LU" w:hAnsi="Times New Roman" w:cs="Times New Roman"/>
          <w:sz w:val="28"/>
          <w:szCs w:val="28"/>
          <w:lang w:val="uk-UA"/>
        </w:rPr>
        <w:t xml:space="preserve"> перевагами слід вважати: широке проникнення на ринок і розширення його монополізації за рахунок вступу нових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-ресторанних комплексів, отримання додаткових доходів від виплат </w:t>
      </w:r>
      <w:proofErr w:type="spellStart"/>
      <w:r w:rsidRPr="005F0419">
        <w:rPr>
          <w:rFonts w:ascii="Times New Roman" w:eastAsia="SSWWL+U1BS19J3LU" w:hAnsi="Times New Roman" w:cs="Times New Roman"/>
          <w:sz w:val="28"/>
          <w:szCs w:val="28"/>
          <w:lang w:val="uk-UA"/>
        </w:rPr>
        <w:t>франчайз</w:t>
      </w:r>
      <w:proofErr w:type="spellEnd"/>
      <w:r w:rsidRPr="005F0419">
        <w:rPr>
          <w:rFonts w:ascii="Times New Roman" w:eastAsia="SSWWL+U1BS19J3LU" w:hAnsi="Times New Roman" w:cs="Times New Roman"/>
          <w:sz w:val="28"/>
          <w:szCs w:val="28"/>
          <w:lang w:val="uk-UA"/>
        </w:rPr>
        <w:t>. В  той же  час недоліки пов’язані з можливістю  зниження  позитивного  іміджу на ринку послуг у випадку недотримання  франчайзі встановлених стандартів якості, обмеженість доходів фіксованими виплатами, у зв'язку із значною кількістю працівників виникають  проблеми  процесу управління [38]</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w:t>
      </w:r>
    </w:p>
    <w:p w14:paraId="48D63F1C" w14:textId="5CCD280F" w:rsidR="00DB21B7" w:rsidRPr="005F0419" w:rsidRDefault="00DB21B7" w:rsidP="00181094">
      <w:pPr>
        <w:widowControl w:val="0"/>
        <w:tabs>
          <w:tab w:val="left" w:pos="2571"/>
          <w:tab w:val="left" w:pos="3017"/>
          <w:tab w:val="left" w:pos="4044"/>
          <w:tab w:val="left" w:pos="5031"/>
          <w:tab w:val="left" w:pos="5491"/>
          <w:tab w:val="left" w:pos="7098"/>
        </w:tabs>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Франчайзі отримує значно більше переваг для розвитку свого бізнесу,</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а саме: допомогу в оформленні пакету документів та рекомендації відносно розвитку діяльності у період становлення, використання відомої готельної марки у рекламі в межах зазначеного договором регіону, використання  централізованої системи бронювання, отримання знижок для матеріально-технічного оснащення, пов’язаного з обслуговуванням гостей. До недоліків </w:t>
      </w:r>
      <w:r w:rsidR="00181094" w:rsidRPr="005F0419">
        <w:rPr>
          <w:rFonts w:ascii="Times New Roman" w:eastAsia="SSWWL+U1BS19J3LU" w:hAnsi="Times New Roman" w:cs="Times New Roman"/>
          <w:sz w:val="28"/>
          <w:szCs w:val="28"/>
          <w:lang w:val="uk-UA"/>
        </w:rPr>
        <w:t>франчайзингового</w:t>
      </w:r>
      <w:r w:rsidRPr="005F0419">
        <w:rPr>
          <w:rFonts w:ascii="Times New Roman" w:eastAsia="SSWWL+U1BS19J3LU" w:hAnsi="Times New Roman" w:cs="Times New Roman"/>
          <w:sz w:val="28"/>
          <w:szCs w:val="28"/>
          <w:lang w:val="uk-UA"/>
        </w:rPr>
        <w:t xml:space="preserve"> договору для франчайзі відноситься: характер стосунків з підприємствами,</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не регламентований  у договорі франчайзингу; необхідність виплат і  дотримання  стандартів  визначених </w:t>
      </w:r>
      <w:proofErr w:type="spellStart"/>
      <w:r w:rsidRPr="005F0419">
        <w:rPr>
          <w:rFonts w:ascii="Times New Roman" w:eastAsia="SSWWL+U1BS19J3LU" w:hAnsi="Times New Roman" w:cs="Times New Roman"/>
          <w:sz w:val="28"/>
          <w:szCs w:val="28"/>
          <w:lang w:val="uk-UA"/>
        </w:rPr>
        <w:t>франчайзером</w:t>
      </w:r>
      <w:proofErr w:type="spellEnd"/>
      <w:r w:rsidRPr="005F0419">
        <w:rPr>
          <w:rFonts w:ascii="Times New Roman" w:eastAsia="SSWWL+U1BS19J3LU" w:hAnsi="Times New Roman" w:cs="Times New Roman"/>
          <w:sz w:val="28"/>
          <w:szCs w:val="28"/>
          <w:lang w:val="uk-UA"/>
        </w:rPr>
        <w:t>;  можливість  отримати негативний</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імідж у випадку нераціонального функціонування </w:t>
      </w:r>
      <w:proofErr w:type="spellStart"/>
      <w:r w:rsidRPr="005F0419">
        <w:rPr>
          <w:rFonts w:ascii="Times New Roman" w:eastAsia="SSWWL+U1BS19J3LU" w:hAnsi="Times New Roman" w:cs="Times New Roman"/>
          <w:sz w:val="28"/>
          <w:szCs w:val="28"/>
          <w:lang w:val="uk-UA"/>
        </w:rPr>
        <w:t>франчайзера</w:t>
      </w:r>
      <w:proofErr w:type="spellEnd"/>
      <w:r w:rsidRPr="005F0419">
        <w:rPr>
          <w:rFonts w:ascii="Times New Roman" w:eastAsia="SSWWL+U1BS19J3LU" w:hAnsi="Times New Roman" w:cs="Times New Roman"/>
          <w:sz w:val="28"/>
          <w:szCs w:val="28"/>
          <w:lang w:val="uk-UA"/>
        </w:rPr>
        <w:t xml:space="preserve">. Форма управління підприємствами готельного бізнесу  через договір франчайзингу, незважаючи на вказані недоліки, є однією з найбільш перспективних в Україні і світі. Слід </w:t>
      </w:r>
      <w:r w:rsidRPr="005F0419">
        <w:rPr>
          <w:rFonts w:ascii="Times New Roman" w:eastAsia="SSWWL+U1BS19J3LU" w:hAnsi="Times New Roman" w:cs="Times New Roman"/>
          <w:sz w:val="28"/>
          <w:szCs w:val="28"/>
          <w:lang w:val="uk-UA"/>
        </w:rPr>
        <w:lastRenderedPageBreak/>
        <w:t xml:space="preserve">відзначити, що створення готельних мереж та діяльність франчайзингу в Україні має свої особливості. Тому в Україні, як і у всьому світі, спостерігається тенденція розширення готельної мережі за рахунок вступу до її складу готелів різних типів і спеціалізації, що дозволяє задовольнити попит широкого  кола відвідувачів   До вагомих факторів, що привертають увагу іноземних інвесторів і сприяють вкладанню коштів в розвиток готельного бізнесу в Україні, відноситься: нерозвиненість ринку готельного господарства і високий потенціал засвоєння ринку готельних послуг, зростання зацікавленості іноземних туристів до багатих природно-рекреаційних ресурсів та історико-культурними пам’яток України, відсутність конкуренції у найближчій перспективі, гарантована тривала діяльності на українському ринку готельних послуг на основі договорів оренди та франчайзингу, висока прибутковість і можливість придбання об’єктів готельного та рекреаційного бізнесу зі значними знижками. Готель може увійти до складу ланцюга в якості власника материнської компанії (будівництво або купівля підприємств готельною компанією), а також шляхом укладення </w:t>
      </w:r>
      <w:proofErr w:type="spellStart"/>
      <w:r w:rsidRPr="005F0419">
        <w:rPr>
          <w:rFonts w:ascii="Times New Roman" w:eastAsia="SSWWL+U1BS19J3LU" w:hAnsi="Times New Roman" w:cs="Times New Roman"/>
          <w:sz w:val="28"/>
          <w:szCs w:val="28"/>
          <w:lang w:val="uk-UA"/>
        </w:rPr>
        <w:t>франшизового</w:t>
      </w:r>
      <w:proofErr w:type="spellEnd"/>
      <w:r w:rsidRPr="005F0419">
        <w:rPr>
          <w:rFonts w:ascii="Times New Roman" w:eastAsia="SSWWL+U1BS19J3LU" w:hAnsi="Times New Roman" w:cs="Times New Roman"/>
          <w:sz w:val="28"/>
          <w:szCs w:val="28"/>
          <w:lang w:val="uk-UA"/>
        </w:rPr>
        <w:t xml:space="preserve"> договору або укладення контракту на тип управління  . В період складної  економічної ситуації ,франчайзинг може допомогти у вирішенні  питання розширення галузі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в Україні, коли національні компанії не мають змоги відкривати нові заклади самостійно [39]</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В цій ситуації  </w:t>
      </w:r>
      <w:proofErr w:type="spellStart"/>
      <w:r w:rsidRPr="005F0419">
        <w:rPr>
          <w:rFonts w:ascii="Times New Roman" w:eastAsia="SSWWL+U1BS19J3LU" w:hAnsi="Times New Roman" w:cs="Times New Roman"/>
          <w:sz w:val="28"/>
          <w:szCs w:val="28"/>
          <w:lang w:val="uk-UA"/>
        </w:rPr>
        <w:t>франчайзінг</w:t>
      </w:r>
      <w:proofErr w:type="spellEnd"/>
      <w:r w:rsidRPr="005F0419">
        <w:rPr>
          <w:rFonts w:ascii="Times New Roman" w:eastAsia="SSWWL+U1BS19J3LU" w:hAnsi="Times New Roman" w:cs="Times New Roman"/>
          <w:sz w:val="28"/>
          <w:szCs w:val="28"/>
          <w:lang w:val="uk-UA"/>
        </w:rPr>
        <w:t xml:space="preserve"> вважається одним з найефективніших методів, тому що франчайзі отримують  гарантовану підтримку та допомогу в різних сферах діяльності з боку </w:t>
      </w:r>
      <w:proofErr w:type="spellStart"/>
      <w:r w:rsidRPr="005F0419">
        <w:rPr>
          <w:rFonts w:ascii="Times New Roman" w:eastAsia="SSWWL+U1BS19J3LU" w:hAnsi="Times New Roman" w:cs="Times New Roman"/>
          <w:sz w:val="28"/>
          <w:szCs w:val="28"/>
          <w:lang w:val="uk-UA"/>
        </w:rPr>
        <w:t>франчайзера</w:t>
      </w:r>
      <w:proofErr w:type="spellEnd"/>
      <w:r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ab/>
      </w:r>
    </w:p>
    <w:p w14:paraId="5E3FF0F5" w14:textId="3BC7E6D9" w:rsidR="00DB21B7" w:rsidRPr="005F0419" w:rsidRDefault="00DB21B7" w:rsidP="00DB21B7">
      <w:pPr>
        <w:widowControl w:val="0"/>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Аналіз ведення ресторанного бізнесу в Україні на умовах франшизи засвідчив, що у структурі франчайзингу на зарубіжні франчайзингові компанії припадає 56,3 % закладів, які працюють у сегменті ресторанів швидкого харчування, і тільки 13,1 % – на ресторани повного циклу. Серед всіх франшиз, які представлені на українському ринку, близько 40 % припадає на компактні  заклади харчування, такі як кав’ярні,</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арт-кафе, кафе-кондитерські, фаст-</w:t>
      </w:r>
      <w:proofErr w:type="spellStart"/>
      <w:r w:rsidRPr="005F0419">
        <w:rPr>
          <w:rFonts w:ascii="Times New Roman" w:eastAsia="SSWWL+U1BS19J3LU" w:hAnsi="Times New Roman" w:cs="Times New Roman"/>
          <w:sz w:val="28"/>
          <w:szCs w:val="28"/>
          <w:lang w:val="uk-UA"/>
        </w:rPr>
        <w:t>фуди</w:t>
      </w:r>
      <w:proofErr w:type="spellEnd"/>
      <w:r w:rsidRPr="005F0419">
        <w:rPr>
          <w:rFonts w:ascii="Times New Roman" w:eastAsia="SSWWL+U1BS19J3LU" w:hAnsi="Times New Roman" w:cs="Times New Roman"/>
          <w:sz w:val="28"/>
          <w:szCs w:val="28"/>
          <w:lang w:val="uk-UA"/>
        </w:rPr>
        <w:t xml:space="preserve">, пекарні,  що працюють у нижньому або середньому  ціновому сегменті. Встановлено, що основними причинами закриття ресторанних закладів, які </w:t>
      </w:r>
      <w:r w:rsidRPr="005F0419">
        <w:rPr>
          <w:rFonts w:ascii="Times New Roman" w:eastAsia="SSWWL+U1BS19J3LU" w:hAnsi="Times New Roman" w:cs="Times New Roman"/>
          <w:sz w:val="28"/>
          <w:szCs w:val="28"/>
          <w:lang w:val="uk-UA"/>
        </w:rPr>
        <w:lastRenderedPageBreak/>
        <w:t>працюють за системою франшизи, є незначна кількість споживачів у зв’язку з невдало обраним місцезнаходження закладу, відсутність належного контролю за персоналом і фінансами, недостатній досвід власника закладу у вирішенні поточних проблем ресторанного бізнесу. В сучасних умовах очікується можливість злиття і поглинань, пов’язаних з появою на ринок франшиз великих міжнародних корпорацій, які свою основну увагу приділяють найпривабливішим місцям розташування. Крім того ,домінуючого значення отримують такі тренди</w:t>
      </w:r>
      <w:r w:rsidRPr="005F0419">
        <w:rPr>
          <w:rFonts w:ascii="Times New Roman" w:eastAsia="SSWWL+U1BS19J3LU" w:hAnsi="Times New Roman" w:cs="Times New Roman"/>
          <w:sz w:val="28"/>
          <w:szCs w:val="28"/>
          <w:lang w:val="uk-UA"/>
        </w:rPr>
        <w:tab/>
        <w:t xml:space="preserve">ресторанного бізнесу та заклади харчування, які спеціалізуються на </w:t>
      </w:r>
      <w:proofErr w:type="spellStart"/>
      <w:r w:rsidRPr="005F0419">
        <w:rPr>
          <w:rFonts w:ascii="Times New Roman" w:eastAsia="SSWWL+U1BS19J3LU" w:hAnsi="Times New Roman" w:cs="Times New Roman"/>
          <w:sz w:val="28"/>
          <w:szCs w:val="28"/>
          <w:lang w:val="uk-UA"/>
        </w:rPr>
        <w:t>монопродуктах</w:t>
      </w:r>
      <w:proofErr w:type="spellEnd"/>
      <w:r w:rsidRPr="005F0419">
        <w:rPr>
          <w:rFonts w:ascii="Times New Roman" w:eastAsia="SSWWL+U1BS19J3LU" w:hAnsi="Times New Roman" w:cs="Times New Roman"/>
          <w:sz w:val="28"/>
          <w:szCs w:val="28"/>
          <w:lang w:val="uk-UA"/>
        </w:rPr>
        <w:t xml:space="preserve">, різновидах  вегетаріанській кухні, виробів для дітей, тощо. У ресторанному бізнесі  серед франшиз існує конкуренція високого рівня, яка сприяє створенню і розвитку інноваційних проектів, пов’язаних з просуванням міжнародних  брендів, залученням і утриманням споживачів. На ринку будуть розвиватися нові формати франчайзингових підприємств, більша відкритість для споживачів </w:t>
      </w:r>
      <w:proofErr w:type="spellStart"/>
      <w:r w:rsidRPr="005F0419">
        <w:rPr>
          <w:rFonts w:ascii="Times New Roman" w:eastAsia="SSWWL+U1BS19J3LU" w:hAnsi="Times New Roman" w:cs="Times New Roman"/>
          <w:sz w:val="28"/>
          <w:szCs w:val="28"/>
          <w:lang w:val="uk-UA"/>
        </w:rPr>
        <w:t>франчайзерів</w:t>
      </w:r>
      <w:proofErr w:type="spellEnd"/>
      <w:r w:rsidRPr="005F0419">
        <w:rPr>
          <w:rFonts w:ascii="Times New Roman" w:eastAsia="SSWWL+U1BS19J3LU" w:hAnsi="Times New Roman" w:cs="Times New Roman"/>
          <w:sz w:val="28"/>
          <w:szCs w:val="28"/>
          <w:lang w:val="uk-UA"/>
        </w:rPr>
        <w:t xml:space="preserve"> і франчайзі, активний розвиток сегментів </w:t>
      </w:r>
      <w:proofErr w:type="spellStart"/>
      <w:r w:rsidRPr="005F0419">
        <w:rPr>
          <w:rFonts w:ascii="Times New Roman" w:eastAsia="SSWWL+U1BS19J3LU" w:hAnsi="Times New Roman" w:cs="Times New Roman"/>
          <w:sz w:val="28"/>
          <w:szCs w:val="28"/>
          <w:lang w:val="uk-UA"/>
        </w:rPr>
        <w:t>fast-casual</w:t>
      </w:r>
      <w:proofErr w:type="spellEnd"/>
      <w:r w:rsidRPr="005F0419">
        <w:rPr>
          <w:rFonts w:ascii="Times New Roman" w:eastAsia="SSWWL+U1BS19J3LU" w:hAnsi="Times New Roman" w:cs="Times New Roman"/>
          <w:sz w:val="28"/>
          <w:szCs w:val="28"/>
          <w:lang w:val="uk-UA"/>
        </w:rPr>
        <w:t xml:space="preserve"> і розширення меню в фаст-фуд-ресторанах. В одній з найбільш значущих сфер ринку франчайзингу подальше  поглиблення визначених тенденцій   призведе до ефективних інноваційних змін. [40]</w:t>
      </w:r>
      <w:r w:rsidR="00181094" w:rsidRPr="005F0419">
        <w:rPr>
          <w:rFonts w:ascii="Times New Roman" w:eastAsia="SSWWL+U1BS19J3LU" w:hAnsi="Times New Roman" w:cs="Times New Roman"/>
          <w:sz w:val="28"/>
          <w:szCs w:val="28"/>
          <w:lang w:val="uk-UA"/>
        </w:rPr>
        <w:t>.</w:t>
      </w:r>
    </w:p>
    <w:p w14:paraId="560BD466" w14:textId="0DC715B1" w:rsidR="00DB21B7" w:rsidRPr="005F0419" w:rsidRDefault="00DB21B7" w:rsidP="00DB21B7">
      <w:pPr>
        <w:widowControl w:val="0"/>
        <w:tabs>
          <w:tab w:val="left" w:pos="2415"/>
          <w:tab w:val="left" w:pos="2742"/>
          <w:tab w:val="left" w:pos="3075"/>
          <w:tab w:val="left" w:pos="3863"/>
          <w:tab w:val="left" w:pos="5140"/>
          <w:tab w:val="left" w:pos="5448"/>
          <w:tab w:val="left" w:pos="6130"/>
          <w:tab w:val="left" w:pos="7098"/>
          <w:tab w:val="left" w:pos="7374"/>
        </w:tabs>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 xml:space="preserve">Аналіз світового досвіду розвитку індустрії гостинності свідчить, що завдяки глобалізації господарської діяльності та використанню інноваційних технологій, впровадження аутсорсингу в сфері гостинності </w:t>
      </w:r>
      <w:r w:rsidRPr="005F0419">
        <w:rPr>
          <w:rFonts w:ascii="Times New Roman" w:eastAsia="SSWWL+U1BS19J3LU" w:hAnsi="Times New Roman" w:cs="Times New Roman"/>
          <w:sz w:val="28"/>
          <w:szCs w:val="28"/>
          <w:lang w:val="uk-UA"/>
        </w:rPr>
        <w:tab/>
        <w:t xml:space="preserve">набуло особливого значення в розвитку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завдяки співпраці з компаніями різної спеціалізації, що сприяє підвищенню конкуренто</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спроможності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-ресторанних підприємств, незважаючи на місце їх розташування. Це обумовлено покращенням якості маркетингових, технологічних</w:t>
      </w:r>
      <w:r w:rsidRPr="005F0419">
        <w:rPr>
          <w:rFonts w:ascii="Times New Roman" w:eastAsia="SSWWL+U1BS19J3LU" w:hAnsi="Times New Roman" w:cs="Times New Roman"/>
          <w:sz w:val="28"/>
          <w:szCs w:val="28"/>
          <w:lang w:val="uk-UA"/>
        </w:rPr>
        <w:tab/>
        <w:t>і соціально-культурних  послуг, шляхом залучення спеціалізованих компаній. Наприклад, ресторан, який розташований в Україні, користується послугами компанії зі США, готельні комплекси високого рівня залучають висококваліфікованих спеціалістів із-за кордону, а</w:t>
      </w:r>
      <w:r w:rsidRPr="005F0419">
        <w:rPr>
          <w:rFonts w:ascii="Times New Roman"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заклад гостинності в Європі користується IT-підтримкою української </w:t>
      </w:r>
      <w:r w:rsidRPr="005F0419">
        <w:rPr>
          <w:rFonts w:ascii="Times New Roman" w:eastAsia="NKUSB+DejaVuSans" w:hAnsi="Times New Roman" w:cs="Times New Roman"/>
          <w:sz w:val="28"/>
          <w:szCs w:val="28"/>
          <w:lang w:val="uk-UA"/>
        </w:rPr>
        <w:t>компанії</w:t>
      </w:r>
      <w:r w:rsidR="00181094" w:rsidRPr="005F0419">
        <w:rPr>
          <w:rFonts w:ascii="Times New Roman" w:eastAsia="NKUSB+DejaVuSans" w:hAnsi="Times New Roman" w:cs="Times New Roman"/>
          <w:sz w:val="28"/>
          <w:szCs w:val="28"/>
          <w:lang w:val="uk-UA"/>
        </w:rPr>
        <w:t xml:space="preserve"> </w:t>
      </w:r>
      <w:r w:rsidRPr="005F0419">
        <w:rPr>
          <w:rFonts w:ascii="Times New Roman" w:eastAsia="SSWWL+U1BS19J3LU" w:hAnsi="Times New Roman" w:cs="Times New Roman"/>
          <w:sz w:val="28"/>
          <w:szCs w:val="28"/>
          <w:lang w:val="uk-UA"/>
        </w:rPr>
        <w:t>[41]</w:t>
      </w:r>
      <w:r w:rsidR="00181094" w:rsidRPr="005F0419">
        <w:rPr>
          <w:rFonts w:ascii="Times New Roman" w:eastAsia="SSWWL+U1BS19J3LU" w:hAnsi="Times New Roman" w:cs="Times New Roman"/>
          <w:sz w:val="28"/>
          <w:szCs w:val="28"/>
          <w:lang w:val="uk-UA"/>
        </w:rPr>
        <w:t>.</w:t>
      </w:r>
    </w:p>
    <w:p w14:paraId="46D3B67D" w14:textId="77777777" w:rsidR="00181094" w:rsidRPr="005F0419" w:rsidRDefault="00DB21B7" w:rsidP="00181094">
      <w:pPr>
        <w:widowControl w:val="0"/>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lastRenderedPageBreak/>
        <w:t>До найважливіших чинників ефективності використання аутсорсингу в</w:t>
      </w:r>
      <w:r w:rsidRPr="005F0419">
        <w:rPr>
          <w:rFonts w:ascii="Times New Roman" w:hAnsi="Times New Roman" w:cs="Times New Roman"/>
          <w:sz w:val="28"/>
          <w:szCs w:val="28"/>
          <w:lang w:val="uk-UA"/>
        </w:rPr>
        <w:t xml:space="preserve">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-ресторанному бізнесі відноситься мінімізація виробничих витрат підприємства, оптимізація часу, а також зниження собівартості споживачам послуг, які пропонуються споживачам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господарства. На діяльність підприємств галузі гостинності впливають різноманітні фактори, пов’язаних з рівнем інтеграції у світову економіку, якість продукції, розвиток технологій, ефективна організація компанії та система менеджменту.  При раціональному та ефективному  використанню аутсорсингу, з’являється можливість впливати на фактори, які позитивно збільшують рівень конкурентоспроможності підприємства на ринку послуг.</w:t>
      </w:r>
    </w:p>
    <w:p w14:paraId="5C8D2920" w14:textId="77777777" w:rsidR="00181094" w:rsidRPr="005F0419" w:rsidRDefault="00DB21B7" w:rsidP="00181094">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Підприємства, які віддають перевагу аутсорсингу, отримують більше можливостей та довіри споживачів, при цьому мінімізують ризики, що робить їх послугу значно ефективнішими. До переваг використання аутсорсингу в роботі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відноситься: підвищення попиту, що сприяє залучення додаткових трудових ресурсів; зниження витрат, пов’язаних з відсутністю додаткового пільгового пакету, який роботодавець надає своїм штатним співробітникам, а також можливість заміни існуючих працівників; гнучкість при розподілі витрат, пов’язаних з</w:t>
      </w:r>
      <w:r w:rsidRPr="005F0419">
        <w:rPr>
          <w:rFonts w:ascii="Times New Roman" w:eastAsia="SSWWL+U1BS19J3LU" w:hAnsi="Times New Roman" w:cs="Times New Roman"/>
          <w:sz w:val="28"/>
          <w:szCs w:val="28"/>
          <w:lang w:val="uk-UA"/>
        </w:rPr>
        <w:tab/>
        <w:t>скороченням постійного штату співробітників і залученням тимчасової робочої сили; можливість задіяти найкращі трудові ресурсів із професійними навичками шляхом заміщення існуючих непрофесійних співробітників; доступ до локального резерву робочої сили та методів, які доступні третім незалежним компаніям [42]</w:t>
      </w:r>
      <w:r w:rsidR="00181094" w:rsidRPr="005F0419">
        <w:rPr>
          <w:rFonts w:ascii="Times New Roman" w:eastAsia="SSWWL+U1BS19J3LU" w:hAnsi="Times New Roman" w:cs="Times New Roman"/>
          <w:sz w:val="28"/>
          <w:szCs w:val="28"/>
          <w:lang w:val="uk-UA"/>
        </w:rPr>
        <w:t>.</w:t>
      </w:r>
    </w:p>
    <w:p w14:paraId="7F064DF0" w14:textId="77777777" w:rsidR="00181094" w:rsidRPr="005F0419" w:rsidRDefault="00DB21B7" w:rsidP="00181094">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На сьогодні, в умовах ринкової економіки, реалізація продукції і конкурентоспроможність</w:t>
      </w:r>
      <w:r w:rsidRPr="005F0419">
        <w:rPr>
          <w:rFonts w:ascii="Times New Roman" w:eastAsia="SSWWL+U1BS19J3LU" w:hAnsi="Times New Roman" w:cs="Times New Roman"/>
          <w:sz w:val="28"/>
          <w:szCs w:val="28"/>
          <w:lang w:val="uk-UA"/>
        </w:rPr>
        <w:tab/>
        <w:t>підприємств</w:t>
      </w:r>
      <w:r w:rsidRPr="005F0419">
        <w:rPr>
          <w:rFonts w:ascii="Times New Roman" w:eastAsia="SSWWL+U1BS19J3LU" w:hAnsi="Times New Roman" w:cs="Times New Roman"/>
          <w:sz w:val="28"/>
          <w:szCs w:val="28"/>
          <w:lang w:val="uk-UA"/>
        </w:rPr>
        <w:tab/>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залежить, у першу чергу, від якості продукції або послуг, що здатні задовольнити потреби ринку і бажання споживача. Якість продукції і послуг залежить від інноваційного розвитку підприємств, науково-технічного і соціального потенціалу</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країни. Проблема</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підвищення</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якості</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та</w:t>
      </w:r>
      <w:r w:rsidRPr="005F0419">
        <w:rPr>
          <w:rFonts w:ascii="Times New Roman"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конкурентоспроможності продукції відноситься до ключових проблем </w:t>
      </w:r>
      <w:r w:rsidRPr="005F0419">
        <w:rPr>
          <w:rFonts w:ascii="Times New Roman" w:eastAsia="NKUSB+DejaVuSans" w:hAnsi="Times New Roman" w:cs="Times New Roman"/>
          <w:sz w:val="28"/>
          <w:szCs w:val="28"/>
          <w:lang w:val="uk-UA"/>
        </w:rPr>
        <w:t>науково</w:t>
      </w:r>
      <w:r w:rsidRPr="005F0419">
        <w:rPr>
          <w:rFonts w:ascii="Times New Roman" w:eastAsia="SSWWL+U1BS19J3LU" w:hAnsi="Times New Roman" w:cs="Times New Roman"/>
          <w:sz w:val="28"/>
          <w:szCs w:val="28"/>
          <w:lang w:val="uk-UA"/>
        </w:rPr>
        <w:t xml:space="preserve">-технічного й економічного розвитку нашої держави. Нами проведено аналіз інноваційних напрямків </w:t>
      </w:r>
      <w:r w:rsidRPr="005F0419">
        <w:rPr>
          <w:rFonts w:ascii="Times New Roman" w:eastAsia="SSWWL+U1BS19J3LU" w:hAnsi="Times New Roman" w:cs="Times New Roman"/>
          <w:sz w:val="28"/>
          <w:szCs w:val="28"/>
          <w:lang w:val="uk-UA"/>
        </w:rPr>
        <w:lastRenderedPageBreak/>
        <w:t xml:space="preserve">розвитку підприємств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і визначено основні напрямки впровадження інноваційних нововведень для підвищення ефективності роботи підприємств,</w:t>
      </w:r>
      <w:r w:rsidRPr="005F0419">
        <w:rPr>
          <w:rFonts w:ascii="Times New Roman"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а також досліджено вплив інноваційних технологій на покращення якості</w:t>
      </w:r>
      <w:r w:rsidRPr="005F0419">
        <w:rPr>
          <w:rFonts w:ascii="Times New Roman"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організації обслуговування в умовах, характерних для поточного стану економіки України. </w:t>
      </w:r>
    </w:p>
    <w:p w14:paraId="46FCBE6F" w14:textId="77777777" w:rsidR="00181094" w:rsidRPr="005F0419" w:rsidRDefault="00DB21B7" w:rsidP="00181094">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 xml:space="preserve">Інноваційний напрямок розвитку </w:t>
      </w:r>
      <w:r w:rsidR="00181094" w:rsidRPr="005F0419">
        <w:rPr>
          <w:rFonts w:ascii="Times New Roman" w:eastAsia="SSWWL+U1BS19J3LU" w:hAnsi="Times New Roman" w:cs="Times New Roman"/>
          <w:sz w:val="28"/>
          <w:szCs w:val="28"/>
          <w:lang w:val="uk-UA"/>
        </w:rPr>
        <w:t>сьогодні –</w:t>
      </w:r>
      <w:r w:rsidRPr="005F0419">
        <w:rPr>
          <w:rFonts w:ascii="Times New Roman" w:eastAsia="SSWWL+U1BS19J3LU" w:hAnsi="Times New Roman" w:cs="Times New Roman"/>
          <w:sz w:val="28"/>
          <w:szCs w:val="28"/>
          <w:lang w:val="uk-UA"/>
        </w:rPr>
        <w:t xml:space="preserve"> це впровадження  наукової, інноваційної та організаційної діяльності, які спрямовані на удосконалення або створення нової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-ресторанної продукції, нових або удосконалених технологічних процесів, використання яких дозволить задовольнити потреби споживача і забезпечити</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певний</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рівень</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конкурентоспроможності підприємства в     умовах ринкової економіки. Впровадження новітніх</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технологій сервісної  готельної  продукції та  якісного ресторанного обслуговування, які відповідають попиту, вимогам і бажанню споживача, спрямовані на забезпечення конкурентної переваги підприємств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-ресторанного господарства у певному сегменті ринку, що дозволяє збільшити доходи від реалізованої продукції або послуг. Інтенсивний розвиток ринку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-ресторанних послуг в сучасних умовах ринкової конкуренції  вимагає  розширення додаткових  послуг, поліпшення безпеки і якості сервісного  обслуговування ,що дозволить  підвищити рівень  конкурентоспроможності підприємств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господарства. Ефективність</w:t>
      </w:r>
      <w:r w:rsidRPr="005F0419">
        <w:rPr>
          <w:rFonts w:ascii="Times New Roman" w:eastAsia="SSWWL+U1BS19J3LU" w:hAnsi="Times New Roman" w:cs="Times New Roman"/>
          <w:sz w:val="28"/>
          <w:szCs w:val="28"/>
          <w:lang w:val="uk-UA"/>
        </w:rPr>
        <w:tab/>
        <w:t xml:space="preserve">впровадження інновацій є актуальною проблемою в умовах зростання науково-технічного прогресу, вимог ринку та постійною зміною бажань споживача. Пріоритетним напрямом розвитку сфери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-ресторанних послуг є доведення їх якості до міжнародних стандартів, вдосконалення технологій, впровадження нових видів і форм обслуговування, що дозволить краще задовольняти потреби споживача</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[43]</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Проблема пошуку нових підходів до підвищення рівня якості продукції і послуг вимагає використання інноваційних сучасних методів управління та інструментів  сервісного  обслуговування, які вимогам міжнародних стандартів відповідають. Інноваційний підхід до управління якістю в сфері гостинності має соціальну та екологічну спрямованість, базується на використанні передових технологій, </w:t>
      </w:r>
      <w:r w:rsidRPr="005F0419">
        <w:rPr>
          <w:rFonts w:ascii="Times New Roman" w:eastAsia="SSWWL+U1BS19J3LU" w:hAnsi="Times New Roman" w:cs="Times New Roman"/>
          <w:sz w:val="28"/>
          <w:szCs w:val="28"/>
          <w:lang w:val="uk-UA"/>
        </w:rPr>
        <w:lastRenderedPageBreak/>
        <w:t>енергоефективності,  багатофункціональності  і  гнучкості, відповідно до попиту споживачів.</w:t>
      </w:r>
    </w:p>
    <w:p w14:paraId="6EA184CA" w14:textId="77777777" w:rsidR="00181094" w:rsidRPr="005F0419" w:rsidRDefault="00DB21B7" w:rsidP="00181094">
      <w:pPr>
        <w:widowControl w:val="0"/>
        <w:spacing w:after="0" w:line="360" w:lineRule="auto"/>
        <w:ind w:firstLine="720"/>
        <w:jc w:val="both"/>
        <w:rPr>
          <w:rFonts w:ascii="Times New Roman" w:eastAsia="NKUSB+DejaVuSans" w:hAnsi="Times New Roman" w:cs="Times New Roman"/>
          <w:sz w:val="28"/>
          <w:szCs w:val="28"/>
          <w:lang w:val="uk-UA"/>
        </w:rPr>
      </w:pPr>
      <w:r w:rsidRPr="005F0419">
        <w:rPr>
          <w:rFonts w:ascii="Times New Roman" w:eastAsia="SSWWL+U1BS19J3LU" w:hAnsi="Times New Roman" w:cs="Times New Roman"/>
          <w:sz w:val="28"/>
          <w:szCs w:val="28"/>
          <w:lang w:val="uk-UA"/>
        </w:rPr>
        <w:t xml:space="preserve">Основні функції інноваційної діяльності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спрямовані на: підвищення ефективності виробництва і скорочення витрат, підвищення якості продукції та послуг, задоволення потреб споживачів процесом якісного обслуговування, розширення виробництва</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якісної продукції, яка відповідає міжнародним стандартам. Впровадження економічної стратегії інноваційного</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розвитку підприємств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-ресторанного господарства спрямована на використання сучасних науково обґрунтованих технологій, що відповідає вимогам національним і міжнародним стандартам. В умовах переходу до ринкових відносин і економічних змін , інновації стають головним фактором, що сприяє динамічному розвитку і підвищенню позитивного  результату функціонування підприємств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w:t>
      </w:r>
      <w:r w:rsidR="00181094" w:rsidRPr="005F0419">
        <w:rPr>
          <w:rFonts w:ascii="Times New Roman" w:eastAsia="NKUSB+DejaVuSans" w:hAnsi="Times New Roman" w:cs="Times New Roman"/>
          <w:sz w:val="28"/>
          <w:szCs w:val="28"/>
          <w:lang w:val="uk-UA"/>
        </w:rPr>
        <w:t xml:space="preserve"> </w:t>
      </w:r>
      <w:r w:rsidRPr="005F0419">
        <w:rPr>
          <w:rFonts w:ascii="Times New Roman" w:eastAsia="SSWWL+U1BS19J3LU" w:hAnsi="Times New Roman" w:cs="Times New Roman"/>
          <w:sz w:val="28"/>
          <w:szCs w:val="28"/>
          <w:lang w:val="uk-UA"/>
        </w:rPr>
        <w:t>[44]</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Впровадження інформаційних технологій і розвиток мережі Інтернет надають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-ресторанному бізнесу певні преференції у вигляді розширення інформації про діяльність підприємства, зростання ефективності виробничих процесів, обсяг сервісних і додаткових послуг, впроваджені пільги, що значно полегшує доступ споживачів до благ цивілізації. Головною метою впровадження інформаційних технологій є забезпечення конкурентних переваг на ринку товарів і послуг, ефективне управління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-ресторанним бізнесом і швидка реакція на зміни у потребах ринку і бажанні </w:t>
      </w:r>
      <w:r w:rsidRPr="005F0419">
        <w:rPr>
          <w:rFonts w:ascii="Times New Roman" w:eastAsia="NKUSB+DejaVuSans" w:hAnsi="Times New Roman" w:cs="Times New Roman"/>
          <w:sz w:val="28"/>
          <w:szCs w:val="28"/>
          <w:lang w:val="uk-UA"/>
        </w:rPr>
        <w:t>споживачів.</w:t>
      </w:r>
    </w:p>
    <w:p w14:paraId="75F1F34A" w14:textId="77777777" w:rsidR="00181094" w:rsidRPr="005F0419" w:rsidRDefault="00DB21B7" w:rsidP="00181094">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На сьогодні, екологізація являється одним з найбільш перспективних напрямів розвитку готельного господарства. Споживчі потреби населення розвинених країн світу та України спрямовані на гармонійне існування з навколишнім середовищем. Тому екологічні та «зелені» готелі в сучасному світі користуються все зростаючим попитом у споживачів і є досить прибутковим та перспективним</w:t>
      </w:r>
      <w:r w:rsidRPr="005F0419">
        <w:rPr>
          <w:rFonts w:ascii="Times New Roman" w:eastAsia="SSWWL+U1BS19J3LU" w:hAnsi="Times New Roman" w:cs="Times New Roman"/>
          <w:sz w:val="28"/>
          <w:szCs w:val="28"/>
          <w:lang w:val="uk-UA"/>
        </w:rPr>
        <w:tab/>
        <w:t>видом підприємницької діяльності. Невід'ємною частиною сучасної індустрії гостинності є турбота про безпеку людей та охорона навколишнього середовища. З кожним роком збільшується чисельність туристів, які обирають відпочинок  у екологічному,</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а  для оздоровлення і безпечному </w:t>
      </w:r>
      <w:r w:rsidRPr="005F0419">
        <w:rPr>
          <w:rFonts w:ascii="Times New Roman" w:eastAsia="SSWWL+U1BS19J3LU" w:hAnsi="Times New Roman" w:cs="Times New Roman"/>
          <w:sz w:val="28"/>
          <w:szCs w:val="28"/>
          <w:lang w:val="uk-UA"/>
        </w:rPr>
        <w:lastRenderedPageBreak/>
        <w:t xml:space="preserve">природному середовищі. Значна кількість підприємств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-ресторанного бізнесу  впроваджують     екологічну інноваційну     діяльності,</w:t>
      </w:r>
      <w:r w:rsidRPr="005F0419">
        <w:rPr>
          <w:rFonts w:ascii="Times New Roman"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створюючи дієві екологічні проекти по збереженню і  використанню функціональних  ресурсів та зменшенню шкоди</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навколишньому</w:t>
      </w:r>
      <w:r w:rsidRPr="005F0419">
        <w:rPr>
          <w:rFonts w:ascii="Times New Roman" w:eastAsia="SSWWL+U1BS19J3LU" w:hAnsi="Times New Roman" w:cs="Times New Roman"/>
          <w:sz w:val="28"/>
          <w:szCs w:val="28"/>
          <w:lang w:val="uk-UA"/>
        </w:rPr>
        <w:tab/>
        <w:t>середовищу [45]</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w:t>
      </w:r>
    </w:p>
    <w:p w14:paraId="72834DC3" w14:textId="77777777" w:rsidR="00181094" w:rsidRPr="005F0419" w:rsidRDefault="00DB21B7" w:rsidP="00181094">
      <w:pPr>
        <w:widowControl w:val="0"/>
        <w:spacing w:after="0" w:line="360" w:lineRule="auto"/>
        <w:ind w:firstLine="720"/>
        <w:jc w:val="both"/>
        <w:rPr>
          <w:rFonts w:ascii="Times New Roman" w:eastAsia="SSWWL+U1BS19J3LU" w:hAnsi="Times New Roman" w:cs="Times New Roman"/>
          <w:sz w:val="28"/>
          <w:szCs w:val="28"/>
          <w:lang w:val="uk-UA"/>
        </w:rPr>
      </w:pPr>
      <w:r w:rsidRPr="005F0419">
        <w:rPr>
          <w:rFonts w:ascii="Times New Roman" w:eastAsia="SSWWL+U1BS19J3LU" w:hAnsi="Times New Roman" w:cs="Times New Roman"/>
          <w:sz w:val="28"/>
          <w:szCs w:val="28"/>
          <w:lang w:val="uk-UA"/>
        </w:rPr>
        <w:t>Слід відзначити,</w:t>
      </w:r>
      <w:r w:rsidRPr="005F0419">
        <w:rPr>
          <w:rFonts w:ascii="Times New Roman" w:eastAsia="SSWWL+U1BS19J3LU" w:hAnsi="Times New Roman" w:cs="Times New Roman"/>
          <w:sz w:val="28"/>
          <w:szCs w:val="28"/>
          <w:lang w:val="uk-UA"/>
        </w:rPr>
        <w:tab/>
        <w:t>що</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w:t>
      </w:r>
      <w:r w:rsidRPr="005F0419">
        <w:rPr>
          <w:rFonts w:ascii="Times New Roman" w:eastAsia="NKUSB+DejaVuSans" w:hAnsi="Times New Roman" w:cs="Times New Roman"/>
          <w:sz w:val="28"/>
          <w:szCs w:val="28"/>
          <w:lang w:val="uk-UA"/>
        </w:rPr>
        <w:t>роцес</w:t>
      </w:r>
      <w:r w:rsidRPr="005F0419">
        <w:rPr>
          <w:rFonts w:ascii="Times New Roman"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індустріалізації призводить до додаткових витрат енергії, що значно впливає на діяльність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-ресторанного бізнесу. Використання альтернативної, екологічно чистої поновлювальної </w:t>
      </w:r>
      <w:proofErr w:type="spellStart"/>
      <w:r w:rsidRPr="005F0419">
        <w:rPr>
          <w:rFonts w:ascii="Times New Roman" w:eastAsia="SSWWL+U1BS19J3LU" w:hAnsi="Times New Roman" w:cs="Times New Roman"/>
          <w:sz w:val="28"/>
          <w:szCs w:val="28"/>
          <w:lang w:val="uk-UA"/>
        </w:rPr>
        <w:t>вітро</w:t>
      </w:r>
      <w:proofErr w:type="spellEnd"/>
      <w:r w:rsidRPr="005F0419">
        <w:rPr>
          <w:rFonts w:ascii="Times New Roman" w:eastAsia="SSWWL+U1BS19J3LU" w:hAnsi="Times New Roman" w:cs="Times New Roman"/>
          <w:sz w:val="28"/>
          <w:szCs w:val="28"/>
          <w:lang w:val="uk-UA"/>
        </w:rPr>
        <w:t xml:space="preserve">- та сонячної енергії, отримання якої не завдає шкоди навколишньому середовищу, підвищує якість діяльності і обслуговування 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-ресторанному господарстві. Україна має значну перспективу у розвитку альтернативної енергетики за рахунок освоєння вітрового</w:t>
      </w:r>
      <w:r w:rsidRPr="005F0419">
        <w:rPr>
          <w:rFonts w:ascii="Times New Roman" w:eastAsia="SSWWL+U1BS19J3LU" w:hAnsi="Times New Roman" w:cs="Times New Roman"/>
          <w:sz w:val="28"/>
          <w:szCs w:val="28"/>
          <w:lang w:val="uk-UA"/>
        </w:rPr>
        <w:tab/>
        <w:t>та</w:t>
      </w:r>
      <w:r w:rsidRPr="005F0419">
        <w:rPr>
          <w:rFonts w:ascii="Times New Roman" w:eastAsia="SSWWL+U1BS19J3LU" w:hAnsi="Times New Roman" w:cs="Times New Roman"/>
          <w:sz w:val="28"/>
          <w:szCs w:val="28"/>
          <w:lang w:val="uk-UA"/>
        </w:rPr>
        <w:tab/>
        <w:t>сонячного     потенціалу     гірських та степових районів</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[46]</w:t>
      </w:r>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 xml:space="preserve"> Використовуючи поновлювані джерела енергії, відбувається позитивний</w:t>
      </w:r>
      <w:r w:rsidRPr="005F0419">
        <w:rPr>
          <w:rFonts w:ascii="Times New Roman"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вплив на екологічність готельних підприємств, а саме: незалежність від традиційних видів енергії, функціональна  автономність засобів розміщення,  економія коштів, мінімізація  шкоди навколишньому середовищу, збільшення туристичного попиту. Всі ці фактори позитивно впливають  на фінансову, екологічну і функціональну стабільність готельного бізнесу та регіону</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[45,</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46]</w:t>
      </w:r>
      <w:r w:rsidR="00181094" w:rsidRPr="005F0419">
        <w:rPr>
          <w:rFonts w:ascii="Times New Roman" w:eastAsia="SSWWL+U1BS19J3LU" w:hAnsi="Times New Roman" w:cs="Times New Roman"/>
          <w:sz w:val="28"/>
          <w:szCs w:val="28"/>
          <w:lang w:val="uk-UA"/>
        </w:rPr>
        <w:t xml:space="preserve">. </w:t>
      </w:r>
    </w:p>
    <w:p w14:paraId="6C0845A6" w14:textId="43612E2A" w:rsidR="00DB21B7" w:rsidRPr="005F0419" w:rsidRDefault="00DB21B7" w:rsidP="00181094">
      <w:pPr>
        <w:widowControl w:val="0"/>
        <w:spacing w:after="0" w:line="360" w:lineRule="auto"/>
        <w:ind w:firstLine="720"/>
        <w:jc w:val="both"/>
        <w:rPr>
          <w:rFonts w:ascii="Times New Roman" w:hAnsi="Times New Roman" w:cs="Times New Roman"/>
          <w:sz w:val="28"/>
          <w:szCs w:val="28"/>
          <w:lang w:val="uk-UA"/>
        </w:rPr>
      </w:pPr>
      <w:r w:rsidRPr="005F0419">
        <w:rPr>
          <w:rFonts w:ascii="Times New Roman" w:eastAsia="SSWWL+U1BS19J3LU" w:hAnsi="Times New Roman" w:cs="Times New Roman"/>
          <w:sz w:val="28"/>
          <w:szCs w:val="28"/>
          <w:lang w:val="uk-UA"/>
        </w:rPr>
        <w:t xml:space="preserve">Таким чином, актуальним завданням для підприємств </w:t>
      </w:r>
      <w:proofErr w:type="spellStart"/>
      <w:r w:rsidRPr="005F0419">
        <w:rPr>
          <w:rFonts w:ascii="Times New Roman" w:eastAsia="SSWWL+U1BS19J3LU" w:hAnsi="Times New Roman" w:cs="Times New Roman"/>
          <w:sz w:val="28"/>
          <w:szCs w:val="28"/>
          <w:lang w:val="uk-UA"/>
        </w:rPr>
        <w:t>готельно</w:t>
      </w:r>
      <w:proofErr w:type="spellEnd"/>
      <w:r w:rsidR="00181094" w:rsidRPr="005F0419">
        <w:rPr>
          <w:rFonts w:ascii="Times New Roman" w:eastAsia="SSWWL+U1BS19J3LU" w:hAnsi="Times New Roman" w:cs="Times New Roman"/>
          <w:sz w:val="28"/>
          <w:szCs w:val="28"/>
          <w:lang w:val="uk-UA"/>
        </w:rPr>
        <w:t>-</w:t>
      </w:r>
      <w:r w:rsidRPr="005F0419">
        <w:rPr>
          <w:rFonts w:ascii="Times New Roman" w:eastAsia="SSWWL+U1BS19J3LU" w:hAnsi="Times New Roman" w:cs="Times New Roman"/>
          <w:sz w:val="28"/>
          <w:szCs w:val="28"/>
          <w:lang w:val="uk-UA"/>
        </w:rPr>
        <w:t>ресторанного господарства</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є надання якісних</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послуг з</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високими</w:t>
      </w:r>
      <w:r w:rsidR="00181094"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конкурентними перевагами, що забезпечить рентабельність та економічну ефективність в умовах ринкових відносин. Ринок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-ресторанних послуг – це вагомий сегмент в діяльності індустрії гостинності, який може запропонувати міжнародним і внутрішнім туристам різноманітні послуги, які на сьогодні вимагає ринок сфери обслуговування і бажає отримати споживач з різними матеріальними статками. Значний вплив на подальший  розвиток міжнародного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-ресторанного  бізнесу має  глобалізація, яка пов’язана з культурною інтеграцією населення всіх країн світу і впливає на їх вибір споживчих послуг. Перспективними напрямками розвитку готельної індустрії в умовах глобалізації вважається: інтеграція готельних підприємств (формування готельних мереж, консорціумів, асоціацій </w:t>
      </w:r>
      <w:r w:rsidRPr="005F0419">
        <w:rPr>
          <w:rFonts w:ascii="Times New Roman" w:eastAsia="SSWWL+U1BS19J3LU" w:hAnsi="Times New Roman" w:cs="Times New Roman"/>
          <w:sz w:val="28"/>
          <w:szCs w:val="28"/>
          <w:lang w:val="uk-UA"/>
        </w:rPr>
        <w:lastRenderedPageBreak/>
        <w:t xml:space="preserve">або сімейств за принципом </w:t>
      </w:r>
      <w:proofErr w:type="spellStart"/>
      <w:r w:rsidRPr="005F0419">
        <w:rPr>
          <w:rFonts w:ascii="Times New Roman" w:eastAsia="SSWWL+U1BS19J3LU" w:hAnsi="Times New Roman" w:cs="Times New Roman"/>
          <w:sz w:val="28"/>
          <w:szCs w:val="28"/>
          <w:lang w:val="uk-UA"/>
        </w:rPr>
        <w:t>фрачайзінгу</w:t>
      </w:r>
      <w:proofErr w:type="spellEnd"/>
      <w:r w:rsidRPr="005F0419">
        <w:rPr>
          <w:rFonts w:ascii="Times New Roman" w:eastAsia="SSWWL+U1BS19J3LU" w:hAnsi="Times New Roman" w:cs="Times New Roman"/>
          <w:sz w:val="28"/>
          <w:szCs w:val="28"/>
          <w:lang w:val="uk-UA"/>
        </w:rPr>
        <w:t>), спеціалізація (орієнтація послуг гостинності на певний сегмент туристичного ринку і розширення асортименту послуг),</w:t>
      </w:r>
      <w:r w:rsidR="00B251AA"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диверсифікація (розширення послуг залежно</w:t>
      </w:r>
      <w:r w:rsidR="00B251AA"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від</w:t>
      </w:r>
      <w:r w:rsidR="00B251AA"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типізації</w:t>
      </w:r>
      <w:r w:rsidR="00B251AA"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та</w:t>
      </w:r>
      <w:r w:rsidR="00B251AA"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призначення</w:t>
      </w:r>
      <w:r w:rsidR="00B251AA"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засобів розміщення), екологізація (гармонізацією</w:t>
      </w:r>
      <w:r w:rsidRPr="005F0419">
        <w:rPr>
          <w:rFonts w:ascii="Times New Roman" w:eastAsia="SSWWL+U1BS19J3LU" w:hAnsi="Times New Roman" w:cs="Times New Roman"/>
          <w:sz w:val="28"/>
          <w:szCs w:val="28"/>
          <w:lang w:val="uk-UA"/>
        </w:rPr>
        <w:tab/>
        <w:t xml:space="preserve">суспільства з природним навколишнім середовищем), технологізація (оновлення матеріально-технічної бази з урахуванням розвитку науково-технічного прогресу). Сучасний ринок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 xml:space="preserve">-ресторанної сфери включає  підприємства різних категорій і функціонального призначення, з можливістю використання      широкого спектру  додаткових послуг в будь-якій ціновій категорії і асортименту спрямування. В умовах ринкової конкуренції, для збереження та розширення контингенту туристів,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-ресторанні підприємства постійно вдосконалюються, впроваджують різноманітні інновації, новітнє обладнання і сучасні технології виробництва, енергозберігаючі технології, оптимізуючи технологічний цикл готельних і ресторанних послуг, з урахування вимог ринку і потреб сучасного суспільства. До важливих маркетингових інструментів, що покращують  якість  обслуговування відвідувачів ресторанів і збільшують рівень реалізації ресторанної продукції, є роботизація, впровадження електронного меню,</w:t>
      </w:r>
      <w:r w:rsidR="00B251AA" w:rsidRPr="005F0419">
        <w:rPr>
          <w:rFonts w:ascii="Times New Roman" w:eastAsia="SSWWL+U1BS19J3LU" w:hAnsi="Times New Roman" w:cs="Times New Roman"/>
          <w:sz w:val="28"/>
          <w:szCs w:val="28"/>
          <w:lang w:val="uk-UA"/>
        </w:rPr>
        <w:t xml:space="preserve"> </w:t>
      </w:r>
      <w:r w:rsidRPr="005F0419">
        <w:rPr>
          <w:rFonts w:ascii="Times New Roman" w:eastAsia="SSWWL+U1BS19J3LU" w:hAnsi="Times New Roman" w:cs="Times New Roman"/>
          <w:sz w:val="28"/>
          <w:szCs w:val="28"/>
          <w:lang w:val="uk-UA"/>
        </w:rPr>
        <w:t xml:space="preserve">QR-коду та дистанційне керування послугами. Впровадження передових інформаційних технологій дає можливість закладам розміщення ефективно управляти діяльністю підприємства, контролювати якість готельних послуг, управляти фінансами, матеріальними потоками, якістю і реалізацією продукції та послуг. Використання альтернативної, екологічної енергії, отримання якої не завдає шкоди навколишньому середовищу, забезпечує екологічність підприємства, підвищує безпеку та  якість обслуговування в </w:t>
      </w:r>
      <w:proofErr w:type="spellStart"/>
      <w:r w:rsidRPr="005F0419">
        <w:rPr>
          <w:rFonts w:ascii="Times New Roman" w:eastAsia="SSWWL+U1BS19J3LU" w:hAnsi="Times New Roman" w:cs="Times New Roman"/>
          <w:sz w:val="28"/>
          <w:szCs w:val="28"/>
          <w:lang w:val="uk-UA"/>
        </w:rPr>
        <w:t>готельно</w:t>
      </w:r>
      <w:proofErr w:type="spellEnd"/>
      <w:r w:rsidRPr="005F0419">
        <w:rPr>
          <w:rFonts w:ascii="Times New Roman" w:eastAsia="SSWWL+U1BS19J3LU" w:hAnsi="Times New Roman" w:cs="Times New Roman"/>
          <w:sz w:val="28"/>
          <w:szCs w:val="28"/>
          <w:lang w:val="uk-UA"/>
        </w:rPr>
        <w:t>-ресторанних комплексах.</w:t>
      </w:r>
    </w:p>
    <w:p w14:paraId="3EAE8390" w14:textId="77777777" w:rsidR="006F58D0" w:rsidRPr="005F0419" w:rsidRDefault="006F58D0" w:rsidP="006F58D0">
      <w:pPr>
        <w:widowControl w:val="0"/>
        <w:autoSpaceDE w:val="0"/>
        <w:autoSpaceDN w:val="0"/>
        <w:adjustRightInd w:val="0"/>
        <w:spacing w:after="0" w:line="360" w:lineRule="auto"/>
        <w:ind w:firstLine="720"/>
        <w:jc w:val="center"/>
        <w:rPr>
          <w:rFonts w:ascii="Times New Roman" w:hAnsi="Times New Roman" w:cs="Times New Roman"/>
          <w:b/>
          <w:bCs/>
          <w:sz w:val="28"/>
          <w:szCs w:val="28"/>
          <w:lang w:val="uk-UA"/>
        </w:rPr>
      </w:pPr>
    </w:p>
    <w:p w14:paraId="3E8879D5" w14:textId="14B6AA43" w:rsidR="006F58D0" w:rsidRPr="005F0419" w:rsidRDefault="006F58D0" w:rsidP="006F58D0">
      <w:pPr>
        <w:widowControl w:val="0"/>
        <w:autoSpaceDE w:val="0"/>
        <w:autoSpaceDN w:val="0"/>
        <w:adjustRightInd w:val="0"/>
        <w:spacing w:after="0" w:line="360" w:lineRule="auto"/>
        <w:ind w:firstLine="720"/>
        <w:jc w:val="center"/>
        <w:rPr>
          <w:rFonts w:ascii="Times New Roman" w:hAnsi="Times New Roman" w:cs="Times New Roman"/>
          <w:b/>
          <w:bCs/>
          <w:sz w:val="28"/>
          <w:szCs w:val="28"/>
          <w:lang w:val="uk-UA"/>
        </w:rPr>
      </w:pPr>
      <w:r w:rsidRPr="005F0419">
        <w:rPr>
          <w:rFonts w:ascii="Times New Roman" w:hAnsi="Times New Roman" w:cs="Times New Roman"/>
          <w:b/>
          <w:bCs/>
          <w:sz w:val="28"/>
          <w:szCs w:val="28"/>
          <w:lang w:val="uk-UA"/>
        </w:rPr>
        <w:t>Список використаних джерел</w:t>
      </w:r>
    </w:p>
    <w:p w14:paraId="7FF39593" w14:textId="2550EC69"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Про інноваційну діяльність</w:t>
      </w:r>
      <w:r w:rsidR="006F58D0" w:rsidRPr="005F0419">
        <w:rPr>
          <w:rFonts w:ascii="Times New Roman" w:hAnsi="Times New Roman" w:cs="Times New Roman"/>
          <w:sz w:val="28"/>
          <w:szCs w:val="28"/>
          <w:lang w:val="uk-UA"/>
        </w:rPr>
        <w:t>: закон України</w:t>
      </w:r>
      <w:r w:rsidRPr="005F0419">
        <w:rPr>
          <w:rFonts w:ascii="Times New Roman" w:hAnsi="Times New Roman" w:cs="Times New Roman"/>
          <w:sz w:val="28"/>
          <w:szCs w:val="28"/>
          <w:lang w:val="uk-UA"/>
        </w:rPr>
        <w:t xml:space="preserve"> від 05.12.2012 р. № 40 IV (зі змінами і доповненнями). Офіційний сайт Верховної Ради. URL: </w:t>
      </w:r>
      <w:hyperlink r:id="rId257" w:history="1">
        <w:r w:rsidR="006F58D0" w:rsidRPr="005F0419">
          <w:rPr>
            <w:rStyle w:val="a6"/>
            <w:rFonts w:ascii="Times New Roman" w:hAnsi="Times New Roman" w:cs="Times New Roman"/>
            <w:color w:val="auto"/>
            <w:sz w:val="28"/>
            <w:szCs w:val="28"/>
            <w:lang w:val="uk-UA"/>
          </w:rPr>
          <w:t>https://zakon.rada.gov.ua/laws/main/40-15</w:t>
        </w:r>
      </w:hyperlink>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17.11.2019).</w:t>
      </w:r>
    </w:p>
    <w:p w14:paraId="3EBE1619" w14:textId="2C8A507D"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2. </w:t>
      </w:r>
      <w:proofErr w:type="spellStart"/>
      <w:r w:rsidRPr="005F0419">
        <w:rPr>
          <w:rFonts w:ascii="Times New Roman" w:hAnsi="Times New Roman" w:cs="Times New Roman"/>
          <w:sz w:val="28"/>
          <w:szCs w:val="28"/>
          <w:lang w:val="uk-UA"/>
        </w:rPr>
        <w:t>Скибінський</w:t>
      </w:r>
      <w:proofErr w:type="spellEnd"/>
      <w:r w:rsidRPr="005F0419">
        <w:rPr>
          <w:rFonts w:ascii="Times New Roman" w:hAnsi="Times New Roman" w:cs="Times New Roman"/>
          <w:sz w:val="28"/>
          <w:szCs w:val="28"/>
          <w:lang w:val="uk-UA"/>
        </w:rPr>
        <w:t xml:space="preserve"> С. В., Іванова Л.О., Моргун О.Ф. Маркетинг готельних послуг. Львів: Вид-во Львівської комерційної академії, 2000.</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246 с.</w:t>
      </w:r>
    </w:p>
    <w:p w14:paraId="1D6293ED" w14:textId="7D2CCE0D" w:rsidR="00DB21B7" w:rsidRPr="005F0419" w:rsidRDefault="00DB21B7" w:rsidP="00DB21B7">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 </w:t>
      </w:r>
      <w:proofErr w:type="spellStart"/>
      <w:r w:rsidRPr="005F0419">
        <w:rPr>
          <w:rFonts w:ascii="Times New Roman" w:eastAsia="Times New Roman" w:hAnsi="Times New Roman" w:cs="Times New Roman"/>
          <w:sz w:val="28"/>
          <w:szCs w:val="28"/>
          <w:lang w:val="uk-UA"/>
        </w:rPr>
        <w:t>Бунтова</w:t>
      </w:r>
      <w:proofErr w:type="spellEnd"/>
      <w:r w:rsidRPr="005F0419">
        <w:rPr>
          <w:rFonts w:ascii="Times New Roman" w:eastAsia="Times New Roman" w:hAnsi="Times New Roman" w:cs="Times New Roman"/>
          <w:sz w:val="28"/>
          <w:szCs w:val="28"/>
          <w:lang w:val="uk-UA"/>
        </w:rPr>
        <w:t xml:space="preserve"> Н.В. Перспективи інтеграції України в міжнародний ринок готельних послуг. </w:t>
      </w:r>
      <w:r w:rsidRPr="005F0419">
        <w:rPr>
          <w:rFonts w:ascii="Times New Roman" w:hAnsi="Times New Roman" w:cs="Times New Roman"/>
          <w:iCs/>
          <w:sz w:val="28"/>
          <w:szCs w:val="28"/>
          <w:lang w:val="uk-UA"/>
        </w:rPr>
        <w:t>Вісник ОНУ ім. І.І. Мечникова, 2016. Т.</w:t>
      </w:r>
      <w:r w:rsidR="006F58D0" w:rsidRPr="005F0419">
        <w:rPr>
          <w:rFonts w:ascii="Times New Roman" w:hAnsi="Times New Roman" w:cs="Times New Roman"/>
          <w:iCs/>
          <w:sz w:val="28"/>
          <w:szCs w:val="28"/>
          <w:lang w:val="uk-UA"/>
        </w:rPr>
        <w:t xml:space="preserve"> </w:t>
      </w:r>
      <w:r w:rsidRPr="005F0419">
        <w:rPr>
          <w:rFonts w:ascii="Times New Roman" w:hAnsi="Times New Roman" w:cs="Times New Roman"/>
          <w:iCs/>
          <w:sz w:val="28"/>
          <w:szCs w:val="28"/>
          <w:lang w:val="uk-UA"/>
        </w:rPr>
        <w:t xml:space="preserve">21. </w:t>
      </w:r>
      <w:proofErr w:type="spellStart"/>
      <w:r w:rsidRPr="005F0419">
        <w:rPr>
          <w:rFonts w:ascii="Times New Roman" w:hAnsi="Times New Roman" w:cs="Times New Roman"/>
          <w:iCs/>
          <w:sz w:val="28"/>
          <w:szCs w:val="28"/>
          <w:lang w:val="uk-UA"/>
        </w:rPr>
        <w:t>Вип</w:t>
      </w:r>
      <w:proofErr w:type="spellEnd"/>
      <w:r w:rsidRPr="005F0419">
        <w:rPr>
          <w:rFonts w:ascii="Times New Roman" w:hAnsi="Times New Roman" w:cs="Times New Roman"/>
          <w:iCs/>
          <w:sz w:val="28"/>
          <w:szCs w:val="28"/>
          <w:lang w:val="uk-UA"/>
        </w:rPr>
        <w:t>. 4(26).  С. 16-19.</w:t>
      </w:r>
    </w:p>
    <w:p w14:paraId="69D1B294" w14:textId="62B2CBC7" w:rsidR="00DB21B7" w:rsidRPr="005F0419" w:rsidRDefault="00DB21B7" w:rsidP="00DB21B7">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4. Практика і перспективи розвитку індустрії гостинності в Україні: монографія</w:t>
      </w:r>
      <w:r w:rsidR="006F58D0" w:rsidRPr="005F0419">
        <w:rPr>
          <w:rFonts w:ascii="Times New Roman" w:hAnsi="Times New Roman" w:cs="Times New Roman"/>
          <w:sz w:val="28"/>
          <w:szCs w:val="28"/>
          <w:lang w:val="uk-UA"/>
        </w:rPr>
        <w:t>. З</w:t>
      </w:r>
      <w:r w:rsidRPr="005F0419">
        <w:rPr>
          <w:rFonts w:ascii="Times New Roman" w:hAnsi="Times New Roman" w:cs="Times New Roman"/>
          <w:sz w:val="28"/>
          <w:szCs w:val="28"/>
          <w:lang w:val="uk-UA"/>
        </w:rPr>
        <w:t xml:space="preserve">а </w:t>
      </w:r>
      <w:proofErr w:type="spellStart"/>
      <w:r w:rsidRPr="005F0419">
        <w:rPr>
          <w:rFonts w:ascii="Times New Roman" w:hAnsi="Times New Roman" w:cs="Times New Roman"/>
          <w:sz w:val="28"/>
          <w:szCs w:val="28"/>
          <w:lang w:val="uk-UA"/>
        </w:rPr>
        <w:t>заг</w:t>
      </w:r>
      <w:proofErr w:type="spellEnd"/>
      <w:r w:rsidRPr="005F0419">
        <w:rPr>
          <w:rFonts w:ascii="Times New Roman" w:hAnsi="Times New Roman" w:cs="Times New Roman"/>
          <w:sz w:val="28"/>
          <w:szCs w:val="28"/>
          <w:lang w:val="uk-UA"/>
        </w:rPr>
        <w:t>. ред. Б.</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М. </w:t>
      </w:r>
      <w:proofErr w:type="spellStart"/>
      <w:r w:rsidRPr="005F0419">
        <w:rPr>
          <w:rFonts w:ascii="Times New Roman" w:hAnsi="Times New Roman" w:cs="Times New Roman"/>
          <w:sz w:val="28"/>
          <w:szCs w:val="28"/>
          <w:lang w:val="uk-UA"/>
        </w:rPr>
        <w:t>Мізюка</w:t>
      </w:r>
      <w:proofErr w:type="spellEnd"/>
      <w:r w:rsidRPr="005F0419">
        <w:rPr>
          <w:rFonts w:ascii="Times New Roman" w:hAnsi="Times New Roman" w:cs="Times New Roman"/>
          <w:sz w:val="28"/>
          <w:szCs w:val="28"/>
          <w:lang w:val="uk-UA"/>
        </w:rPr>
        <w:t>. Львів: ЛТЕУ, 2019.</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199 с.</w:t>
      </w:r>
    </w:p>
    <w:p w14:paraId="2CBCBC8C" w14:textId="77777777" w:rsidR="00DB21B7" w:rsidRPr="005F0419" w:rsidRDefault="00DB21B7" w:rsidP="00DB21B7">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5. ДСТУ 4268:2003 «Послуги туристичні. Засоби розміщування», веб-сайт. URL: https://dnaop.com/</w:t>
      </w:r>
    </w:p>
    <w:p w14:paraId="5F9A0619" w14:textId="43889B72"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eastAsia="Times New Roman" w:hAnsi="Times New Roman" w:cs="Times New Roman"/>
          <w:iCs/>
          <w:sz w:val="28"/>
          <w:szCs w:val="28"/>
          <w:lang w:val="uk-UA"/>
        </w:rPr>
        <w:t xml:space="preserve">6. Закон України. Про схвалення Стратегії розвитку туризму та курортів на період до 2026 року. URL: </w:t>
      </w:r>
      <w:hyperlink r:id="rId258" w:history="1">
        <w:r w:rsidRPr="005F0419">
          <w:rPr>
            <w:rStyle w:val="a6"/>
            <w:rFonts w:ascii="Times New Roman" w:eastAsia="Times New Roman" w:hAnsi="Times New Roman" w:cs="Times New Roman"/>
            <w:iCs/>
            <w:color w:val="auto"/>
            <w:sz w:val="28"/>
            <w:szCs w:val="28"/>
            <w:u w:val="none"/>
            <w:lang w:val="uk-UA"/>
          </w:rPr>
          <w:t>https://zakon.rada.gov.ua/laws/show/168-2017-%D1%80</w:t>
        </w:r>
      </w:hyperlink>
      <w:r w:rsidRPr="005F0419">
        <w:rPr>
          <w:rFonts w:ascii="Times New Roman" w:eastAsia="Times New Roman" w:hAnsi="Times New Roman" w:cs="Times New Roman"/>
          <w:iCs/>
          <w:sz w:val="28"/>
          <w:szCs w:val="28"/>
          <w:lang w:val="uk-UA"/>
        </w:rPr>
        <w:t>.</w:t>
      </w:r>
      <w:r w:rsidRPr="005F0419">
        <w:rPr>
          <w:rFonts w:ascii="Times New Roman" w:hAnsi="Times New Roman" w:cs="Times New Roman"/>
          <w:sz w:val="28"/>
          <w:szCs w:val="28"/>
          <w:lang w:val="uk-UA"/>
        </w:rPr>
        <w:t xml:space="preserve"> </w:t>
      </w:r>
    </w:p>
    <w:p w14:paraId="32E8D29C" w14:textId="1F66B05F"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eastAsia="Times New Roman" w:hAnsi="Times New Roman" w:cs="Times New Roman"/>
          <w:sz w:val="28"/>
          <w:szCs w:val="28"/>
          <w:lang w:val="uk-UA"/>
        </w:rPr>
        <w:t>7. Охота В. І. Шляхи підвищення конкурентоспроможності підприємств готельної індустрії.</w:t>
      </w:r>
      <w:r w:rsidR="006F58D0"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Інвестиції: практика та досвід, 2017. № 5. С. 46-49.</w:t>
      </w:r>
    </w:p>
    <w:p w14:paraId="28E4893C" w14:textId="3C11F490"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eastAsia="Times New Roman" w:hAnsi="Times New Roman" w:cs="Times New Roman"/>
          <w:sz w:val="28"/>
          <w:szCs w:val="28"/>
          <w:lang w:val="uk-UA"/>
        </w:rPr>
        <w:t>8.  Інновації в ресторанному бізнесі</w:t>
      </w:r>
      <w:r w:rsidR="006F58D0" w:rsidRPr="005F0419">
        <w:rPr>
          <w:rFonts w:ascii="Times New Roman" w:eastAsia="Times New Roman" w:hAnsi="Times New Roman" w:cs="Times New Roman"/>
          <w:sz w:val="28"/>
          <w:szCs w:val="28"/>
          <w:lang w:val="uk-UA"/>
        </w:rPr>
        <w:t>. Інновації в управлінні асортиментом, якістю та безпекою товарів і послуг</w:t>
      </w:r>
      <w:r w:rsidRPr="005F0419">
        <w:rPr>
          <w:rFonts w:ascii="Times New Roman" w:eastAsia="Times New Roman" w:hAnsi="Times New Roman" w:cs="Times New Roman"/>
          <w:sz w:val="28"/>
          <w:szCs w:val="28"/>
          <w:lang w:val="uk-UA"/>
        </w:rPr>
        <w:t>:</w:t>
      </w:r>
      <w:r w:rsidR="006F58D0"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матеріали ІV </w:t>
      </w:r>
      <w:proofErr w:type="spellStart"/>
      <w:r w:rsidRPr="005F0419">
        <w:rPr>
          <w:rFonts w:ascii="Times New Roman" w:eastAsia="Times New Roman" w:hAnsi="Times New Roman" w:cs="Times New Roman"/>
          <w:sz w:val="28"/>
          <w:szCs w:val="28"/>
          <w:lang w:val="uk-UA"/>
        </w:rPr>
        <w:t>Міжнар</w:t>
      </w:r>
      <w:proofErr w:type="spellEnd"/>
      <w:r w:rsidRPr="005F0419">
        <w:rPr>
          <w:rFonts w:ascii="Times New Roman" w:eastAsia="Times New Roman" w:hAnsi="Times New Roman" w:cs="Times New Roman"/>
          <w:sz w:val="28"/>
          <w:szCs w:val="28"/>
          <w:lang w:val="uk-UA"/>
        </w:rPr>
        <w:t>. наук.-</w:t>
      </w:r>
      <w:proofErr w:type="spellStart"/>
      <w:r w:rsidRPr="005F0419">
        <w:rPr>
          <w:rFonts w:ascii="Times New Roman" w:eastAsia="Times New Roman" w:hAnsi="Times New Roman" w:cs="Times New Roman"/>
          <w:sz w:val="28"/>
          <w:szCs w:val="28"/>
          <w:lang w:val="uk-UA"/>
        </w:rPr>
        <w:t>практ</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конф</w:t>
      </w:r>
      <w:proofErr w:type="spellEnd"/>
      <w:r w:rsidRPr="005F0419">
        <w:rPr>
          <w:rFonts w:ascii="Times New Roman" w:eastAsia="Times New Roman" w:hAnsi="Times New Roman" w:cs="Times New Roman"/>
          <w:sz w:val="28"/>
          <w:szCs w:val="28"/>
          <w:lang w:val="uk-UA"/>
        </w:rPr>
        <w:t>.</w:t>
      </w:r>
      <w:r w:rsidR="006F58D0"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м. Львів, 24 листопада 2016 р.</w:t>
      </w:r>
      <w:r w:rsidR="006F58D0"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Львів, 2016.</w:t>
      </w:r>
      <w:r w:rsidR="006F58D0" w:rsidRPr="005F0419">
        <w:rPr>
          <w:rFonts w:ascii="Times New Roman" w:eastAsia="Times New Roman" w:hAnsi="Times New Roman" w:cs="Times New Roman"/>
          <w:sz w:val="28"/>
          <w:szCs w:val="28"/>
          <w:lang w:val="uk-UA"/>
        </w:rPr>
        <w:t xml:space="preserve"> С. </w:t>
      </w:r>
      <w:r w:rsidRPr="005F0419">
        <w:rPr>
          <w:rFonts w:ascii="Times New Roman" w:eastAsia="Times New Roman" w:hAnsi="Times New Roman" w:cs="Times New Roman"/>
          <w:sz w:val="28"/>
          <w:szCs w:val="28"/>
          <w:lang w:val="uk-UA"/>
        </w:rPr>
        <w:t>303-306</w:t>
      </w:r>
      <w:r w:rsidR="006F58D0" w:rsidRPr="005F0419">
        <w:rPr>
          <w:rFonts w:ascii="Times New Roman" w:eastAsia="Times New Roman" w:hAnsi="Times New Roman" w:cs="Times New Roman"/>
          <w:sz w:val="28"/>
          <w:szCs w:val="28"/>
          <w:lang w:val="uk-UA"/>
        </w:rPr>
        <w:t>.</w:t>
      </w:r>
    </w:p>
    <w:p w14:paraId="62717F1D" w14:textId="08846699"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9. Юрченко О. Інновації в готельному бізнесі на сучасному етапі. Вісник Львівського університету. Серія «Міжнародні відносини», 2014.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34. С. 292</w:t>
      </w:r>
      <w:r w:rsidR="006F58D0"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301.</w:t>
      </w:r>
    </w:p>
    <w:p w14:paraId="37265DD8" w14:textId="7F553575"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10. </w:t>
      </w:r>
      <w:proofErr w:type="spellStart"/>
      <w:r w:rsidRPr="005F0419">
        <w:rPr>
          <w:rFonts w:ascii="Times New Roman" w:hAnsi="Times New Roman" w:cs="Times New Roman"/>
          <w:sz w:val="28"/>
          <w:szCs w:val="28"/>
          <w:lang w:val="uk-UA"/>
        </w:rPr>
        <w:t>Тітомир</w:t>
      </w:r>
      <w:proofErr w:type="spellEnd"/>
      <w:r w:rsidRPr="005F0419">
        <w:rPr>
          <w:rFonts w:ascii="Times New Roman" w:hAnsi="Times New Roman" w:cs="Times New Roman"/>
          <w:sz w:val="28"/>
          <w:szCs w:val="28"/>
          <w:lang w:val="uk-UA"/>
        </w:rPr>
        <w:t xml:space="preserve"> Л.</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А., </w:t>
      </w:r>
      <w:proofErr w:type="spellStart"/>
      <w:r w:rsidRPr="005F0419">
        <w:rPr>
          <w:rFonts w:ascii="Times New Roman" w:hAnsi="Times New Roman" w:cs="Times New Roman"/>
          <w:sz w:val="28"/>
          <w:szCs w:val="28"/>
          <w:lang w:val="uk-UA"/>
        </w:rPr>
        <w:t>Д’яконова</w:t>
      </w:r>
      <w:proofErr w:type="spellEnd"/>
      <w:r w:rsidR="006F58D0" w:rsidRPr="005F0419">
        <w:rPr>
          <w:rFonts w:ascii="Times New Roman" w:hAnsi="Times New Roman" w:cs="Times New Roman"/>
          <w:sz w:val="28"/>
          <w:szCs w:val="28"/>
          <w:lang w:val="uk-UA"/>
        </w:rPr>
        <w:t xml:space="preserve"> А. К.</w:t>
      </w:r>
      <w:r w:rsidRPr="005F0419">
        <w:rPr>
          <w:rFonts w:ascii="Times New Roman" w:hAnsi="Times New Roman" w:cs="Times New Roman"/>
          <w:sz w:val="28"/>
          <w:szCs w:val="28"/>
          <w:lang w:val="uk-UA"/>
        </w:rPr>
        <w:t>, Жовтяк К.</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О.</w:t>
      </w:r>
      <w:r w:rsidR="006F58D0" w:rsidRPr="005F0419">
        <w:rPr>
          <w:rFonts w:ascii="Times New Roman" w:hAnsi="Times New Roman" w:cs="Times New Roman"/>
          <w:sz w:val="28"/>
          <w:szCs w:val="28"/>
          <w:lang w:val="uk-UA"/>
        </w:rPr>
        <w:t xml:space="preserve"> Інноваційні технології як фактор формування стратегії управління якістю послуг в </w:t>
      </w:r>
      <w:proofErr w:type="spellStart"/>
      <w:r w:rsidR="006F58D0" w:rsidRPr="005F0419">
        <w:rPr>
          <w:rFonts w:ascii="Times New Roman" w:hAnsi="Times New Roman" w:cs="Times New Roman"/>
          <w:sz w:val="28"/>
          <w:szCs w:val="28"/>
          <w:lang w:val="uk-UA"/>
        </w:rPr>
        <w:t>готельно</w:t>
      </w:r>
      <w:proofErr w:type="spellEnd"/>
      <w:r w:rsidR="006F58D0" w:rsidRPr="005F0419">
        <w:rPr>
          <w:rFonts w:ascii="Times New Roman" w:hAnsi="Times New Roman" w:cs="Times New Roman"/>
          <w:sz w:val="28"/>
          <w:szCs w:val="28"/>
          <w:lang w:val="uk-UA"/>
        </w:rPr>
        <w:t>-ресторанному бізнесі</w:t>
      </w:r>
      <w:r w:rsidRPr="005F0419">
        <w:rPr>
          <w:rFonts w:ascii="Times New Roman" w:hAnsi="Times New Roman" w:cs="Times New Roman"/>
          <w:sz w:val="28"/>
          <w:szCs w:val="28"/>
          <w:lang w:val="uk-UA"/>
        </w:rPr>
        <w:t>.</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Економіка та суспільство</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2023.</w:t>
      </w:r>
      <w:r w:rsidR="006F58D0" w:rsidRPr="005F0419">
        <w:rPr>
          <w:rFonts w:ascii="Times New Roman" w:hAnsi="Times New Roman" w:cs="Times New Roman"/>
          <w:sz w:val="28"/>
          <w:szCs w:val="28"/>
          <w:lang w:val="uk-UA"/>
        </w:rPr>
        <w:t xml:space="preserve"> </w:t>
      </w:r>
      <w:proofErr w:type="spellStart"/>
      <w:r w:rsidR="006F58D0" w:rsidRPr="005F0419">
        <w:rPr>
          <w:rFonts w:ascii="Times New Roman" w:hAnsi="Times New Roman" w:cs="Times New Roman"/>
          <w:sz w:val="28"/>
          <w:szCs w:val="28"/>
          <w:lang w:val="uk-UA"/>
        </w:rPr>
        <w:t>В</w:t>
      </w:r>
      <w:r w:rsidRPr="005F0419">
        <w:rPr>
          <w:rFonts w:ascii="Times New Roman" w:hAnsi="Times New Roman" w:cs="Times New Roman"/>
          <w:sz w:val="28"/>
          <w:szCs w:val="28"/>
          <w:lang w:val="uk-UA"/>
        </w:rPr>
        <w:t>ип</w:t>
      </w:r>
      <w:proofErr w:type="spellEnd"/>
      <w:r w:rsidR="006F58D0"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№54</w:t>
      </w:r>
      <w:r w:rsidR="006F58D0"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DOL:10.32782/2524-0072/2023-54-22</w:t>
      </w:r>
      <w:r w:rsidR="006F58D0" w:rsidRPr="005F0419">
        <w:rPr>
          <w:rFonts w:ascii="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w:t>
      </w:r>
    </w:p>
    <w:p w14:paraId="55EAE6EF" w14:textId="117F6487" w:rsidR="00DB21B7" w:rsidRPr="005F0419" w:rsidRDefault="00DB21B7" w:rsidP="00DB21B7">
      <w:pPr>
        <w:shd w:val="clear" w:color="auto" w:fill="FFFFFF"/>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11. </w:t>
      </w:r>
      <w:proofErr w:type="spellStart"/>
      <w:r w:rsidRPr="005F0419">
        <w:rPr>
          <w:rFonts w:ascii="Times New Roman" w:hAnsi="Times New Roman" w:cs="Times New Roman"/>
          <w:sz w:val="28"/>
          <w:szCs w:val="28"/>
          <w:lang w:val="uk-UA"/>
        </w:rPr>
        <w:t>Мальська</w:t>
      </w:r>
      <w:proofErr w:type="spellEnd"/>
      <w:r w:rsidRPr="005F0419">
        <w:rPr>
          <w:rFonts w:ascii="Times New Roman" w:hAnsi="Times New Roman" w:cs="Times New Roman"/>
          <w:sz w:val="28"/>
          <w:szCs w:val="28"/>
          <w:lang w:val="uk-UA"/>
        </w:rPr>
        <w:t xml:space="preserve"> М. П., </w:t>
      </w:r>
      <w:proofErr w:type="spellStart"/>
      <w:r w:rsidRPr="005F0419">
        <w:rPr>
          <w:rFonts w:ascii="Times New Roman" w:hAnsi="Times New Roman" w:cs="Times New Roman"/>
          <w:sz w:val="28"/>
          <w:szCs w:val="28"/>
          <w:lang w:val="uk-UA"/>
        </w:rPr>
        <w:t>Пандяк</w:t>
      </w:r>
      <w:proofErr w:type="spellEnd"/>
      <w:r w:rsidRPr="005F0419">
        <w:rPr>
          <w:rFonts w:ascii="Times New Roman" w:hAnsi="Times New Roman" w:cs="Times New Roman"/>
          <w:sz w:val="28"/>
          <w:szCs w:val="28"/>
          <w:lang w:val="uk-UA"/>
        </w:rPr>
        <w:t xml:space="preserve"> І. Г. Готельний бізнес: теорія та практика. Підручник. 2-е вид. перероб. та </w:t>
      </w:r>
      <w:proofErr w:type="spellStart"/>
      <w:r w:rsidRPr="005F0419">
        <w:rPr>
          <w:rFonts w:ascii="Times New Roman" w:hAnsi="Times New Roman" w:cs="Times New Roman"/>
          <w:sz w:val="28"/>
          <w:szCs w:val="28"/>
          <w:lang w:val="uk-UA"/>
        </w:rPr>
        <w:t>доп</w:t>
      </w:r>
      <w:proofErr w:type="spellEnd"/>
      <w:r w:rsidRPr="005F0419">
        <w:rPr>
          <w:rFonts w:ascii="Times New Roman" w:hAnsi="Times New Roman" w:cs="Times New Roman"/>
          <w:sz w:val="28"/>
          <w:szCs w:val="28"/>
          <w:lang w:val="uk-UA"/>
        </w:rPr>
        <w:t>.  Київ: Ц</w:t>
      </w:r>
      <w:r w:rsidR="006F58D0" w:rsidRPr="005F0419">
        <w:rPr>
          <w:rFonts w:ascii="Times New Roman" w:hAnsi="Times New Roman" w:cs="Times New Roman"/>
          <w:sz w:val="28"/>
          <w:szCs w:val="28"/>
          <w:lang w:val="uk-UA"/>
        </w:rPr>
        <w:t xml:space="preserve">УЛ. </w:t>
      </w:r>
      <w:r w:rsidRPr="005F0419">
        <w:rPr>
          <w:rFonts w:ascii="Times New Roman" w:hAnsi="Times New Roman" w:cs="Times New Roman"/>
          <w:sz w:val="28"/>
          <w:szCs w:val="28"/>
          <w:lang w:val="uk-UA"/>
        </w:rPr>
        <w:t>2012. 472</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с.</w:t>
      </w:r>
    </w:p>
    <w:p w14:paraId="2FAA32E5" w14:textId="0798385E" w:rsidR="00DB21B7" w:rsidRPr="005F0419" w:rsidRDefault="00DB21B7" w:rsidP="00DB21B7">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 xml:space="preserve">12. </w:t>
      </w:r>
      <w:proofErr w:type="spellStart"/>
      <w:r w:rsidRPr="005F0419">
        <w:rPr>
          <w:rFonts w:ascii="Times New Roman" w:hAnsi="Times New Roman" w:cs="Times New Roman"/>
          <w:sz w:val="28"/>
          <w:szCs w:val="28"/>
          <w:lang w:val="uk-UA"/>
        </w:rPr>
        <w:t>Балацька</w:t>
      </w:r>
      <w:proofErr w:type="spellEnd"/>
      <w:r w:rsidRPr="005F0419">
        <w:rPr>
          <w:rFonts w:ascii="Times New Roman" w:hAnsi="Times New Roman" w:cs="Times New Roman"/>
          <w:sz w:val="28"/>
          <w:szCs w:val="28"/>
          <w:lang w:val="uk-UA"/>
        </w:rPr>
        <w:t xml:space="preserve"> Н.</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Ю., </w:t>
      </w:r>
      <w:proofErr w:type="spellStart"/>
      <w:r w:rsidRPr="005F0419">
        <w:rPr>
          <w:rFonts w:ascii="Times New Roman" w:hAnsi="Times New Roman" w:cs="Times New Roman"/>
          <w:sz w:val="28"/>
          <w:szCs w:val="28"/>
          <w:lang w:val="uk-UA"/>
        </w:rPr>
        <w:t>Репринцева</w:t>
      </w:r>
      <w:proofErr w:type="spellEnd"/>
      <w:r w:rsidRPr="005F0419">
        <w:rPr>
          <w:rFonts w:ascii="Times New Roman" w:hAnsi="Times New Roman" w:cs="Times New Roman"/>
          <w:sz w:val="28"/>
          <w:szCs w:val="28"/>
          <w:lang w:val="uk-UA"/>
        </w:rPr>
        <w:t xml:space="preserve"> В.</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М. Особливості та перспективи розвитку готельного бізнесу в Україні. Молодий вчений.</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2016. №1(28).  Ч.1.  С. 12-15.</w:t>
      </w:r>
      <w:r w:rsidRPr="005F0419">
        <w:rPr>
          <w:rFonts w:ascii="Times New Roman" w:eastAsia="Times New Roman" w:hAnsi="Times New Roman" w:cs="Times New Roman"/>
          <w:sz w:val="28"/>
          <w:szCs w:val="28"/>
          <w:lang w:val="uk-UA"/>
        </w:rPr>
        <w:t xml:space="preserve"> </w:t>
      </w:r>
    </w:p>
    <w:p w14:paraId="2F6F4D64" w14:textId="1588A118" w:rsidR="00DB21B7" w:rsidRPr="005F0419" w:rsidRDefault="00DB21B7" w:rsidP="006F58D0">
      <w:pPr>
        <w:spacing w:after="0" w:line="360" w:lineRule="auto"/>
        <w:ind w:firstLine="720"/>
        <w:jc w:val="both"/>
        <w:rPr>
          <w:rFonts w:ascii="Times New Roman" w:hAnsi="Times New Roman" w:cs="Times New Roman"/>
          <w:sz w:val="28"/>
          <w:szCs w:val="28"/>
          <w:shd w:val="clear" w:color="auto" w:fill="FFFFFF"/>
          <w:lang w:val="uk-UA"/>
        </w:rPr>
      </w:pPr>
      <w:r w:rsidRPr="005F0419">
        <w:rPr>
          <w:rFonts w:ascii="Times New Roman" w:hAnsi="Times New Roman" w:cs="Times New Roman"/>
          <w:sz w:val="28"/>
          <w:szCs w:val="28"/>
          <w:shd w:val="clear" w:color="auto" w:fill="FFFFFF"/>
          <w:lang w:val="uk-UA"/>
        </w:rPr>
        <w:lastRenderedPageBreak/>
        <w:t xml:space="preserve">13. </w:t>
      </w:r>
      <w:proofErr w:type="spellStart"/>
      <w:r w:rsidRPr="005F0419">
        <w:rPr>
          <w:rFonts w:ascii="Times New Roman" w:hAnsi="Times New Roman" w:cs="Times New Roman"/>
          <w:sz w:val="28"/>
          <w:szCs w:val="28"/>
          <w:shd w:val="clear" w:color="auto" w:fill="FFFFFF"/>
          <w:lang w:val="uk-UA"/>
        </w:rPr>
        <w:t>Супрученко</w:t>
      </w:r>
      <w:proofErr w:type="spellEnd"/>
      <w:r w:rsidRPr="005F0419">
        <w:rPr>
          <w:rFonts w:ascii="Times New Roman" w:hAnsi="Times New Roman" w:cs="Times New Roman"/>
          <w:sz w:val="28"/>
          <w:szCs w:val="28"/>
          <w:shd w:val="clear" w:color="auto" w:fill="FFFFFF"/>
          <w:lang w:val="uk-UA"/>
        </w:rPr>
        <w:t xml:space="preserve"> О.Л. Електронне меню як засіб удосконалення системи замовлень на підприємствах ресторанного господарства. </w:t>
      </w:r>
      <w:r w:rsidR="006F58D0" w:rsidRPr="005F0419">
        <w:rPr>
          <w:rFonts w:ascii="Times New Roman" w:hAnsi="Times New Roman" w:cs="Times New Roman"/>
          <w:sz w:val="28"/>
          <w:szCs w:val="28"/>
          <w:shd w:val="clear" w:color="auto" w:fill="FFFFFF"/>
          <w:lang w:val="uk-UA"/>
        </w:rPr>
        <w:t>URL</w:t>
      </w:r>
      <w:r w:rsidRPr="005F0419">
        <w:rPr>
          <w:rFonts w:ascii="Times New Roman" w:hAnsi="Times New Roman" w:cs="Times New Roman"/>
          <w:sz w:val="28"/>
          <w:szCs w:val="28"/>
          <w:shd w:val="clear" w:color="auto" w:fill="FFFFFF"/>
          <w:lang w:val="uk-UA"/>
        </w:rPr>
        <w:t xml:space="preserve">: </w:t>
      </w:r>
      <w:hyperlink r:id="rId259" w:history="1">
        <w:r w:rsidRPr="005F0419">
          <w:rPr>
            <w:rStyle w:val="a6"/>
            <w:rFonts w:ascii="Times New Roman" w:hAnsi="Times New Roman" w:cs="Times New Roman"/>
            <w:color w:val="auto"/>
            <w:sz w:val="28"/>
            <w:szCs w:val="28"/>
            <w:u w:val="none"/>
            <w:shd w:val="clear" w:color="auto" w:fill="FFFFFF"/>
            <w:lang w:val="uk-UA"/>
          </w:rPr>
          <w:t>http://dspace.oneu.edu.ua</w:t>
        </w:r>
      </w:hyperlink>
      <w:r w:rsidRPr="005F0419">
        <w:rPr>
          <w:rFonts w:ascii="Times New Roman" w:hAnsi="Times New Roman" w:cs="Times New Roman"/>
          <w:sz w:val="28"/>
          <w:szCs w:val="28"/>
          <w:shd w:val="clear" w:color="auto" w:fill="FFFFFF"/>
          <w:lang w:val="uk-UA"/>
        </w:rPr>
        <w:t>.</w:t>
      </w:r>
    </w:p>
    <w:p w14:paraId="5BF8B2C5" w14:textId="57E73B0E" w:rsidR="00DB21B7" w:rsidRPr="005F0419" w:rsidRDefault="00DB21B7" w:rsidP="00DB21B7">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14. Використання QR-кодів в ресторанному бізнесі</w:t>
      </w:r>
      <w:r w:rsidR="006F58D0" w:rsidRPr="005F0419">
        <w:rPr>
          <w:rFonts w:ascii="Times New Roman" w:eastAsia="Times New Roman" w:hAnsi="Times New Roman" w:cs="Times New Roman"/>
          <w:sz w:val="28"/>
          <w:szCs w:val="28"/>
          <w:lang w:val="uk-UA"/>
        </w:rPr>
        <w:t>. Інновації, тренди та виклики в індустрії гостинності</w:t>
      </w:r>
      <w:r w:rsidRPr="005F0419">
        <w:rPr>
          <w:rFonts w:ascii="Times New Roman" w:eastAsia="Times New Roman" w:hAnsi="Times New Roman" w:cs="Times New Roman"/>
          <w:sz w:val="28"/>
          <w:szCs w:val="28"/>
          <w:lang w:val="uk-UA"/>
        </w:rPr>
        <w:t>:</w:t>
      </w:r>
      <w:r w:rsidR="006F58D0"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матеріали II </w:t>
      </w:r>
      <w:proofErr w:type="spellStart"/>
      <w:r w:rsidR="006F58D0" w:rsidRPr="005F0419">
        <w:rPr>
          <w:rFonts w:ascii="Times New Roman" w:eastAsia="Times New Roman" w:hAnsi="Times New Roman" w:cs="Times New Roman"/>
          <w:sz w:val="28"/>
          <w:szCs w:val="28"/>
          <w:lang w:val="uk-UA"/>
        </w:rPr>
        <w:t>м</w:t>
      </w:r>
      <w:r w:rsidRPr="005F0419">
        <w:rPr>
          <w:rFonts w:ascii="Times New Roman" w:eastAsia="Times New Roman" w:hAnsi="Times New Roman" w:cs="Times New Roman"/>
          <w:sz w:val="28"/>
          <w:szCs w:val="28"/>
          <w:lang w:val="uk-UA"/>
        </w:rPr>
        <w:t>іжнар</w:t>
      </w:r>
      <w:proofErr w:type="spellEnd"/>
      <w:r w:rsidRPr="005F0419">
        <w:rPr>
          <w:rFonts w:ascii="Times New Roman" w:eastAsia="Times New Roman" w:hAnsi="Times New Roman" w:cs="Times New Roman"/>
          <w:sz w:val="28"/>
          <w:szCs w:val="28"/>
          <w:lang w:val="uk-UA"/>
        </w:rPr>
        <w:t>. наук.-</w:t>
      </w:r>
      <w:proofErr w:type="spellStart"/>
      <w:r w:rsidRPr="005F0419">
        <w:rPr>
          <w:rFonts w:ascii="Times New Roman" w:eastAsia="Times New Roman" w:hAnsi="Times New Roman" w:cs="Times New Roman"/>
          <w:sz w:val="28"/>
          <w:szCs w:val="28"/>
          <w:lang w:val="uk-UA"/>
        </w:rPr>
        <w:t>практ</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конф</w:t>
      </w:r>
      <w:proofErr w:type="spellEnd"/>
      <w:r w:rsidRPr="005F0419">
        <w:rPr>
          <w:rFonts w:ascii="Times New Roman" w:eastAsia="Times New Roman" w:hAnsi="Times New Roman" w:cs="Times New Roman"/>
          <w:sz w:val="28"/>
          <w:szCs w:val="28"/>
          <w:lang w:val="uk-UA"/>
        </w:rPr>
        <w:t xml:space="preserve">. </w:t>
      </w:r>
      <w:r w:rsidR="006F58D0"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ЛТЕУ, м. Львів, 4-5 травня 2023 р.</w:t>
      </w:r>
      <w:r w:rsidR="006F58D0"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Львів</w:t>
      </w:r>
      <w:r w:rsidR="006F58D0"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2023. С.168-170.</w:t>
      </w:r>
    </w:p>
    <w:p w14:paraId="6EEF074E" w14:textId="7909981B"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15.  Шляхи підвищення конкурентоспроможності закладів готельного господарства: монографія</w:t>
      </w:r>
      <w:r w:rsidR="006F58D0"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w:t>
      </w:r>
      <w:r w:rsidR="006F58D0" w:rsidRPr="005F0419">
        <w:rPr>
          <w:rFonts w:ascii="Times New Roman" w:hAnsi="Times New Roman" w:cs="Times New Roman"/>
          <w:sz w:val="28"/>
          <w:szCs w:val="28"/>
          <w:lang w:val="uk-UA"/>
        </w:rPr>
        <w:t>З</w:t>
      </w:r>
      <w:r w:rsidRPr="005F0419">
        <w:rPr>
          <w:rFonts w:ascii="Times New Roman" w:hAnsi="Times New Roman" w:cs="Times New Roman"/>
          <w:sz w:val="28"/>
          <w:szCs w:val="28"/>
          <w:lang w:val="uk-UA"/>
        </w:rPr>
        <w:t xml:space="preserve">а </w:t>
      </w:r>
      <w:proofErr w:type="spellStart"/>
      <w:r w:rsidRPr="005F0419">
        <w:rPr>
          <w:rFonts w:ascii="Times New Roman" w:hAnsi="Times New Roman" w:cs="Times New Roman"/>
          <w:sz w:val="28"/>
          <w:szCs w:val="28"/>
          <w:lang w:val="uk-UA"/>
        </w:rPr>
        <w:t>заг</w:t>
      </w:r>
      <w:proofErr w:type="spellEnd"/>
      <w:r w:rsidRPr="005F0419">
        <w:rPr>
          <w:rFonts w:ascii="Times New Roman" w:hAnsi="Times New Roman" w:cs="Times New Roman"/>
          <w:sz w:val="28"/>
          <w:szCs w:val="28"/>
          <w:lang w:val="uk-UA"/>
        </w:rPr>
        <w:t>. ред. Б.</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М. </w:t>
      </w:r>
      <w:proofErr w:type="spellStart"/>
      <w:r w:rsidRPr="005F0419">
        <w:rPr>
          <w:rFonts w:ascii="Times New Roman" w:hAnsi="Times New Roman" w:cs="Times New Roman"/>
          <w:sz w:val="28"/>
          <w:szCs w:val="28"/>
          <w:lang w:val="uk-UA"/>
        </w:rPr>
        <w:t>Мізюка</w:t>
      </w:r>
      <w:proofErr w:type="spellEnd"/>
      <w:r w:rsidRPr="005F0419">
        <w:rPr>
          <w:rFonts w:ascii="Times New Roman" w:hAnsi="Times New Roman" w:cs="Times New Roman"/>
          <w:sz w:val="28"/>
          <w:szCs w:val="28"/>
          <w:lang w:val="uk-UA"/>
        </w:rPr>
        <w:t>. Львів: ЛТЕУ, 2019.</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С. 137-144. </w:t>
      </w:r>
    </w:p>
    <w:p w14:paraId="62F83013" w14:textId="2C63204D" w:rsidR="00DB21B7" w:rsidRPr="005F0419" w:rsidRDefault="00DB21B7" w:rsidP="00DB21B7">
      <w:pPr>
        <w:shd w:val="clear" w:color="auto" w:fill="FFFFFF"/>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16. </w:t>
      </w:r>
      <w:proofErr w:type="spellStart"/>
      <w:r w:rsidRPr="005F0419">
        <w:rPr>
          <w:rFonts w:ascii="Times New Roman" w:hAnsi="Times New Roman" w:cs="Times New Roman"/>
          <w:sz w:val="28"/>
          <w:szCs w:val="28"/>
          <w:lang w:val="uk-UA"/>
        </w:rPr>
        <w:t>Андренко</w:t>
      </w:r>
      <w:proofErr w:type="spellEnd"/>
      <w:r w:rsidRPr="005F0419">
        <w:rPr>
          <w:rFonts w:ascii="Times New Roman" w:hAnsi="Times New Roman" w:cs="Times New Roman"/>
          <w:sz w:val="28"/>
          <w:szCs w:val="28"/>
          <w:lang w:val="uk-UA"/>
        </w:rPr>
        <w:t xml:space="preserve"> І.</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Б., Шестірко А.</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А. Аналіз світового досвіду функціонування готельних ланцюгів Економіка та суспільство, 2022.  </w:t>
      </w:r>
      <w:proofErr w:type="spellStart"/>
      <w:r w:rsidR="006F58D0" w:rsidRPr="005F0419">
        <w:rPr>
          <w:rFonts w:ascii="Times New Roman" w:hAnsi="Times New Roman" w:cs="Times New Roman"/>
          <w:sz w:val="28"/>
          <w:szCs w:val="28"/>
          <w:lang w:val="uk-UA"/>
        </w:rPr>
        <w:t>В</w:t>
      </w:r>
      <w:r w:rsidRPr="005F0419">
        <w:rPr>
          <w:rFonts w:ascii="Times New Roman" w:hAnsi="Times New Roman" w:cs="Times New Roman"/>
          <w:sz w:val="28"/>
          <w:szCs w:val="28"/>
          <w:lang w:val="uk-UA"/>
        </w:rPr>
        <w:t>ип</w:t>
      </w:r>
      <w:proofErr w:type="spellEnd"/>
      <w:r w:rsidRPr="005F0419">
        <w:rPr>
          <w:rFonts w:ascii="Times New Roman" w:hAnsi="Times New Roman" w:cs="Times New Roman"/>
          <w:sz w:val="28"/>
          <w:szCs w:val="28"/>
          <w:lang w:val="uk-UA"/>
        </w:rPr>
        <w:t>. 40.  С. 26-34</w:t>
      </w:r>
      <w:r w:rsidR="006F58D0" w:rsidRPr="005F0419">
        <w:rPr>
          <w:rFonts w:ascii="Times New Roman" w:hAnsi="Times New Roman" w:cs="Times New Roman"/>
          <w:sz w:val="28"/>
          <w:szCs w:val="28"/>
          <w:lang w:val="uk-UA"/>
        </w:rPr>
        <w:t>.</w:t>
      </w:r>
    </w:p>
    <w:p w14:paraId="665922BD" w14:textId="2BF0DCF4"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17. Басюк О.</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В. Аналіз світового досвіду функціонування готельних ланцюгів. Глобальні та нац</w:t>
      </w:r>
      <w:r w:rsidR="006F58D0" w:rsidRPr="005F0419">
        <w:rPr>
          <w:rFonts w:ascii="Times New Roman" w:hAnsi="Times New Roman" w:cs="Times New Roman"/>
          <w:sz w:val="28"/>
          <w:szCs w:val="28"/>
          <w:lang w:val="uk-UA"/>
        </w:rPr>
        <w:t>іональні</w:t>
      </w:r>
      <w:r w:rsidRPr="005F0419">
        <w:rPr>
          <w:rFonts w:ascii="Times New Roman" w:hAnsi="Times New Roman" w:cs="Times New Roman"/>
          <w:sz w:val="28"/>
          <w:szCs w:val="28"/>
          <w:lang w:val="uk-UA"/>
        </w:rPr>
        <w:t xml:space="preserve"> проблеми економіки</w:t>
      </w:r>
      <w:r w:rsidR="006F58D0"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2015</w:t>
      </w:r>
      <w:r w:rsidR="006F58D0" w:rsidRPr="005F0419">
        <w:rPr>
          <w:rFonts w:ascii="Times New Roman" w:hAnsi="Times New Roman" w:cs="Times New Roman"/>
          <w:sz w:val="28"/>
          <w:szCs w:val="28"/>
          <w:lang w:val="uk-UA"/>
        </w:rPr>
        <w:t xml:space="preserve">. </w:t>
      </w:r>
      <w:proofErr w:type="spellStart"/>
      <w:r w:rsidR="006F58D0" w:rsidRPr="005F0419">
        <w:rPr>
          <w:rFonts w:ascii="Times New Roman" w:hAnsi="Times New Roman" w:cs="Times New Roman"/>
          <w:sz w:val="28"/>
          <w:szCs w:val="28"/>
          <w:lang w:val="uk-UA"/>
        </w:rPr>
        <w:t>В</w:t>
      </w:r>
      <w:r w:rsidRPr="005F0419">
        <w:rPr>
          <w:rFonts w:ascii="Times New Roman" w:hAnsi="Times New Roman" w:cs="Times New Roman"/>
          <w:sz w:val="28"/>
          <w:szCs w:val="28"/>
          <w:lang w:val="uk-UA"/>
        </w:rPr>
        <w:t>ип</w:t>
      </w:r>
      <w:proofErr w:type="spellEnd"/>
      <w:r w:rsidRPr="005F0419">
        <w:rPr>
          <w:rFonts w:ascii="Times New Roman" w:hAnsi="Times New Roman" w:cs="Times New Roman"/>
          <w:sz w:val="28"/>
          <w:szCs w:val="28"/>
          <w:lang w:val="uk-UA"/>
        </w:rPr>
        <w:t>. 5. С. 23-26.</w:t>
      </w:r>
    </w:p>
    <w:p w14:paraId="0496A4B3" w14:textId="5AC63D7E"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18. Регіональний вимір рекреаційно-туристичної діяльності: монографія</w:t>
      </w:r>
      <w:r w:rsidR="006F58D0"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w:t>
      </w:r>
      <w:r w:rsidR="006F58D0" w:rsidRPr="005F0419">
        <w:rPr>
          <w:rFonts w:ascii="Times New Roman" w:hAnsi="Times New Roman" w:cs="Times New Roman"/>
          <w:sz w:val="28"/>
          <w:szCs w:val="28"/>
          <w:lang w:val="uk-UA"/>
        </w:rPr>
        <w:t>З</w:t>
      </w:r>
      <w:r w:rsidRPr="005F0419">
        <w:rPr>
          <w:rFonts w:ascii="Times New Roman" w:hAnsi="Times New Roman" w:cs="Times New Roman"/>
          <w:sz w:val="28"/>
          <w:szCs w:val="28"/>
          <w:lang w:val="uk-UA"/>
        </w:rPr>
        <w:t xml:space="preserve">а ред. В.Ф. Семенова. Одеса: </w:t>
      </w:r>
      <w:proofErr w:type="spellStart"/>
      <w:r w:rsidRPr="005F0419">
        <w:rPr>
          <w:rFonts w:ascii="Times New Roman" w:hAnsi="Times New Roman" w:cs="Times New Roman"/>
          <w:sz w:val="28"/>
          <w:szCs w:val="28"/>
          <w:lang w:val="uk-UA"/>
        </w:rPr>
        <w:t>Optimum</w:t>
      </w:r>
      <w:proofErr w:type="spellEnd"/>
      <w:r w:rsidRPr="005F0419">
        <w:rPr>
          <w:rFonts w:ascii="Times New Roman" w:hAnsi="Times New Roman" w:cs="Times New Roman"/>
          <w:sz w:val="28"/>
          <w:szCs w:val="28"/>
          <w:lang w:val="uk-UA"/>
        </w:rPr>
        <w:t>, 2012. 201 с</w:t>
      </w:r>
      <w:r w:rsidR="006F58D0" w:rsidRPr="005F0419">
        <w:rPr>
          <w:rFonts w:ascii="Times New Roman" w:hAnsi="Times New Roman" w:cs="Times New Roman"/>
          <w:sz w:val="28"/>
          <w:szCs w:val="28"/>
          <w:lang w:val="uk-UA"/>
        </w:rPr>
        <w:t>.</w:t>
      </w:r>
    </w:p>
    <w:p w14:paraId="22391A0E" w14:textId="7698C073"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19. </w:t>
      </w:r>
      <w:proofErr w:type="spellStart"/>
      <w:r w:rsidRPr="005F0419">
        <w:rPr>
          <w:rFonts w:ascii="Times New Roman" w:hAnsi="Times New Roman" w:cs="Times New Roman"/>
          <w:sz w:val="28"/>
          <w:szCs w:val="28"/>
          <w:lang w:val="uk-UA"/>
        </w:rPr>
        <w:t>Давидюк</w:t>
      </w:r>
      <w:proofErr w:type="spellEnd"/>
      <w:r w:rsidRPr="005F0419">
        <w:rPr>
          <w:rFonts w:ascii="Times New Roman" w:hAnsi="Times New Roman" w:cs="Times New Roman"/>
          <w:sz w:val="28"/>
          <w:szCs w:val="28"/>
          <w:lang w:val="uk-UA"/>
        </w:rPr>
        <w:t xml:space="preserve"> Ю. В., </w:t>
      </w:r>
      <w:proofErr w:type="spellStart"/>
      <w:r w:rsidRPr="005F0419">
        <w:rPr>
          <w:rFonts w:ascii="Times New Roman" w:hAnsi="Times New Roman" w:cs="Times New Roman"/>
          <w:sz w:val="28"/>
          <w:szCs w:val="28"/>
          <w:lang w:val="uk-UA"/>
        </w:rPr>
        <w:t>Шокот</w:t>
      </w:r>
      <w:proofErr w:type="spellEnd"/>
      <w:r w:rsidRPr="005F0419">
        <w:rPr>
          <w:rFonts w:ascii="Times New Roman" w:hAnsi="Times New Roman" w:cs="Times New Roman"/>
          <w:sz w:val="28"/>
          <w:szCs w:val="28"/>
          <w:lang w:val="uk-UA"/>
        </w:rPr>
        <w:t xml:space="preserve"> Ю.</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В. Стратегічні підходи до підвищення конкурентоспроможності підприємств готельного бізнесу. Економіка та суспільство,  2016.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xml:space="preserve">. 7. C. 266-272. </w:t>
      </w:r>
    </w:p>
    <w:p w14:paraId="22C653C9" w14:textId="77777777" w:rsidR="00250686"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20.</w:t>
      </w:r>
      <w:r w:rsidR="006F58D0"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Тітомир</w:t>
      </w:r>
      <w:proofErr w:type="spellEnd"/>
      <w:r w:rsidRPr="005F0419">
        <w:rPr>
          <w:rFonts w:ascii="Times New Roman" w:hAnsi="Times New Roman" w:cs="Times New Roman"/>
          <w:sz w:val="28"/>
          <w:szCs w:val="28"/>
          <w:lang w:val="uk-UA"/>
        </w:rPr>
        <w:t xml:space="preserve"> Л.</w:t>
      </w:r>
      <w:r w:rsidR="006F58D0"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А., </w:t>
      </w:r>
      <w:proofErr w:type="spellStart"/>
      <w:r w:rsidRPr="005F0419">
        <w:rPr>
          <w:rFonts w:ascii="Times New Roman" w:hAnsi="Times New Roman" w:cs="Times New Roman"/>
          <w:bCs/>
          <w:sz w:val="28"/>
          <w:szCs w:val="28"/>
          <w:shd w:val="clear" w:color="auto" w:fill="FFFFFF"/>
          <w:lang w:val="uk-UA"/>
        </w:rPr>
        <w:t>Д’яконова</w:t>
      </w:r>
      <w:proofErr w:type="spellEnd"/>
      <w:r w:rsidRPr="005F0419">
        <w:rPr>
          <w:rFonts w:ascii="Times New Roman" w:hAnsi="Times New Roman" w:cs="Times New Roman"/>
          <w:bCs/>
          <w:sz w:val="28"/>
          <w:szCs w:val="28"/>
          <w:shd w:val="clear" w:color="auto" w:fill="FFFFFF"/>
          <w:lang w:val="uk-UA"/>
        </w:rPr>
        <w:t xml:space="preserve"> А.</w:t>
      </w:r>
      <w:r w:rsidR="00250686" w:rsidRPr="005F0419">
        <w:rPr>
          <w:rFonts w:ascii="Times New Roman" w:hAnsi="Times New Roman" w:cs="Times New Roman"/>
          <w:bCs/>
          <w:sz w:val="28"/>
          <w:szCs w:val="28"/>
          <w:shd w:val="clear" w:color="auto" w:fill="FFFFFF"/>
          <w:lang w:val="uk-UA"/>
        </w:rPr>
        <w:t xml:space="preserve"> </w:t>
      </w:r>
      <w:r w:rsidRPr="005F0419">
        <w:rPr>
          <w:rFonts w:ascii="Times New Roman" w:hAnsi="Times New Roman" w:cs="Times New Roman"/>
          <w:bCs/>
          <w:sz w:val="28"/>
          <w:szCs w:val="28"/>
          <w:shd w:val="clear" w:color="auto" w:fill="FFFFFF"/>
          <w:lang w:val="uk-UA"/>
        </w:rPr>
        <w:t>К.</w:t>
      </w:r>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Халілова-Чуваєва</w:t>
      </w:r>
      <w:proofErr w:type="spellEnd"/>
      <w:r w:rsidRPr="005F0419">
        <w:rPr>
          <w:rFonts w:ascii="Times New Roman" w:hAnsi="Times New Roman" w:cs="Times New Roman"/>
          <w:sz w:val="28"/>
          <w:szCs w:val="28"/>
          <w:lang w:val="uk-UA"/>
        </w:rPr>
        <w:t xml:space="preserve"> Ю.</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О., Коротич О.</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М. Стандартизація і обґрунтування управління якістю продукції та послуг у </w:t>
      </w:r>
      <w:proofErr w:type="spellStart"/>
      <w:r w:rsidRPr="005F0419">
        <w:rPr>
          <w:rFonts w:ascii="Times New Roman" w:hAnsi="Times New Roman" w:cs="Times New Roman"/>
          <w:sz w:val="28"/>
          <w:szCs w:val="28"/>
          <w:lang w:val="uk-UA"/>
        </w:rPr>
        <w:t>готельно</w:t>
      </w:r>
      <w:proofErr w:type="spellEnd"/>
      <w:r w:rsidRPr="005F0419">
        <w:rPr>
          <w:rFonts w:ascii="Times New Roman" w:hAnsi="Times New Roman" w:cs="Times New Roman"/>
          <w:sz w:val="28"/>
          <w:szCs w:val="28"/>
          <w:lang w:val="uk-UA"/>
        </w:rPr>
        <w:t>-ресторанному господарстві.</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Економік</w:t>
      </w:r>
      <w:r w:rsidR="00250686" w:rsidRPr="005F0419">
        <w:rPr>
          <w:rFonts w:ascii="Times New Roman" w:hAnsi="Times New Roman" w:cs="Times New Roman"/>
          <w:sz w:val="28"/>
          <w:szCs w:val="28"/>
          <w:lang w:val="uk-UA"/>
        </w:rPr>
        <w:t>а</w:t>
      </w:r>
      <w:r w:rsidRPr="005F0419">
        <w:rPr>
          <w:rFonts w:ascii="Times New Roman" w:hAnsi="Times New Roman" w:cs="Times New Roman"/>
          <w:sz w:val="28"/>
          <w:szCs w:val="28"/>
          <w:lang w:val="uk-UA"/>
        </w:rPr>
        <w:t>, фінанси, менеджмент:</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актуальні питання науки і практики</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2021.</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№4(58).</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С. 50-66.</w:t>
      </w:r>
    </w:p>
    <w:p w14:paraId="12D41DD1" w14:textId="143727AF" w:rsidR="00DB21B7" w:rsidRPr="005F0419" w:rsidRDefault="00DB21B7" w:rsidP="00DB21B7">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21.</w:t>
      </w:r>
      <w:r w:rsidR="00250686"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Тітомир</w:t>
      </w:r>
      <w:proofErr w:type="spellEnd"/>
      <w:r w:rsidRPr="005F0419">
        <w:rPr>
          <w:rFonts w:ascii="Times New Roman" w:hAnsi="Times New Roman" w:cs="Times New Roman"/>
          <w:sz w:val="28"/>
          <w:szCs w:val="28"/>
          <w:lang w:val="uk-UA"/>
        </w:rPr>
        <w:t xml:space="preserve"> Л.</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А., Данилова О.</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І. Концептуальні засади стратегій розвитку </w:t>
      </w:r>
      <w:proofErr w:type="spellStart"/>
      <w:r w:rsidRPr="005F0419">
        <w:rPr>
          <w:rFonts w:ascii="Times New Roman" w:hAnsi="Times New Roman" w:cs="Times New Roman"/>
          <w:sz w:val="28"/>
          <w:szCs w:val="28"/>
          <w:lang w:val="uk-UA"/>
        </w:rPr>
        <w:t>готельно</w:t>
      </w:r>
      <w:proofErr w:type="spellEnd"/>
      <w:r w:rsidRPr="005F0419">
        <w:rPr>
          <w:rFonts w:ascii="Times New Roman" w:hAnsi="Times New Roman" w:cs="Times New Roman"/>
          <w:sz w:val="28"/>
          <w:szCs w:val="28"/>
          <w:lang w:val="uk-UA"/>
        </w:rPr>
        <w:t>-ресторанних підприємств на півдні України. Наук</w:t>
      </w:r>
      <w:r w:rsidR="00250686" w:rsidRPr="005F0419">
        <w:rPr>
          <w:rFonts w:ascii="Times New Roman" w:hAnsi="Times New Roman" w:cs="Times New Roman"/>
          <w:sz w:val="28"/>
          <w:szCs w:val="28"/>
          <w:lang w:val="uk-UA"/>
        </w:rPr>
        <w:t>овий</w:t>
      </w:r>
      <w:r w:rsidRPr="005F0419">
        <w:rPr>
          <w:rFonts w:ascii="Times New Roman" w:hAnsi="Times New Roman" w:cs="Times New Roman"/>
          <w:sz w:val="28"/>
          <w:szCs w:val="28"/>
          <w:lang w:val="uk-UA"/>
        </w:rPr>
        <w:t xml:space="preserve"> вісник Херсонського держ</w:t>
      </w:r>
      <w:r w:rsidR="00250686" w:rsidRPr="005F0419">
        <w:rPr>
          <w:rFonts w:ascii="Times New Roman" w:hAnsi="Times New Roman" w:cs="Times New Roman"/>
          <w:sz w:val="28"/>
          <w:szCs w:val="28"/>
          <w:lang w:val="uk-UA"/>
        </w:rPr>
        <w:t>авного</w:t>
      </w:r>
      <w:r w:rsidRPr="005F0419">
        <w:rPr>
          <w:rFonts w:ascii="Times New Roman" w:hAnsi="Times New Roman" w:cs="Times New Roman"/>
          <w:sz w:val="28"/>
          <w:szCs w:val="28"/>
          <w:lang w:val="uk-UA"/>
        </w:rPr>
        <w:t xml:space="preserve"> </w:t>
      </w:r>
      <w:r w:rsidR="00250686" w:rsidRPr="005F0419">
        <w:rPr>
          <w:rFonts w:ascii="Times New Roman" w:hAnsi="Times New Roman" w:cs="Times New Roman"/>
          <w:sz w:val="28"/>
          <w:szCs w:val="28"/>
          <w:lang w:val="uk-UA"/>
        </w:rPr>
        <w:t>у</w:t>
      </w:r>
      <w:r w:rsidRPr="005F0419">
        <w:rPr>
          <w:rFonts w:ascii="Times New Roman" w:hAnsi="Times New Roman" w:cs="Times New Roman"/>
          <w:sz w:val="28"/>
          <w:szCs w:val="28"/>
          <w:lang w:val="uk-UA"/>
        </w:rPr>
        <w:t xml:space="preserve">ніверситету. Серія: Економічні науки, 2019.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33.  С</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138-142.</w:t>
      </w:r>
    </w:p>
    <w:p w14:paraId="6E88A6E7" w14:textId="3FB2C81D"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22. Шаповалова О.М. Інноваційна діяльність, як основа підвищення конкурентоспроможності готельного господарства. Вісник Східноукраїнського </w:t>
      </w:r>
      <w:proofErr w:type="spellStart"/>
      <w:r w:rsidRPr="005F0419">
        <w:rPr>
          <w:rFonts w:ascii="Times New Roman" w:hAnsi="Times New Roman" w:cs="Times New Roman"/>
          <w:sz w:val="28"/>
          <w:szCs w:val="28"/>
          <w:lang w:val="uk-UA"/>
        </w:rPr>
        <w:t>нац</w:t>
      </w:r>
      <w:proofErr w:type="spellEnd"/>
      <w:r w:rsidRPr="005F0419">
        <w:rPr>
          <w:rFonts w:ascii="Times New Roman" w:hAnsi="Times New Roman" w:cs="Times New Roman"/>
          <w:sz w:val="28"/>
          <w:szCs w:val="28"/>
          <w:lang w:val="uk-UA"/>
        </w:rPr>
        <w:t>. ун-ту ім. Володимира Даля</w:t>
      </w:r>
      <w:r w:rsidR="00250686"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2013. № 16 (205). С. 224</w:t>
      </w:r>
      <w:r w:rsidR="00250686"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228.</w:t>
      </w:r>
    </w:p>
    <w:p w14:paraId="0B77CCCE" w14:textId="2CB1F643"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23. Безуглий І.</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В. Інноваційна основа формування національних готельних мереж України.</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Економіка та управління національним господарством. 2018.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22. С. 136-141.</w:t>
      </w:r>
    </w:p>
    <w:p w14:paraId="0DF8A912" w14:textId="0F60D997" w:rsidR="00DB21B7" w:rsidRPr="005F0419" w:rsidRDefault="00DB21B7" w:rsidP="00DB21B7">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hAnsi="Times New Roman" w:cs="Times New Roman"/>
          <w:sz w:val="28"/>
          <w:szCs w:val="28"/>
          <w:lang w:val="uk-UA"/>
        </w:rPr>
        <w:t>24.</w:t>
      </w:r>
      <w:r w:rsidR="00250686"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Тітомир</w:t>
      </w:r>
      <w:proofErr w:type="spellEnd"/>
      <w:r w:rsidRPr="005F0419">
        <w:rPr>
          <w:rFonts w:ascii="Times New Roman" w:hAnsi="Times New Roman" w:cs="Times New Roman"/>
          <w:sz w:val="28"/>
          <w:szCs w:val="28"/>
          <w:lang w:val="uk-UA"/>
        </w:rPr>
        <w:t xml:space="preserve"> Л.</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А., Жовтяк К.</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О., Савенко А.</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А. Розвиток готельних мереж в Україні та шляхи їх розширення в місті Одеса та Одеський області.</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Економіка</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та</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суспільство</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2021.</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№32</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URL: </w:t>
      </w:r>
      <w:hyperlink r:id="rId260" w:history="1">
        <w:r w:rsidRPr="005F0419">
          <w:rPr>
            <w:rStyle w:val="a6"/>
            <w:rFonts w:ascii="Times New Roman" w:hAnsi="Times New Roman" w:cs="Times New Roman"/>
            <w:color w:val="auto"/>
            <w:sz w:val="28"/>
            <w:szCs w:val="28"/>
            <w:u w:val="none"/>
            <w:lang w:val="uk-UA"/>
          </w:rPr>
          <w:t>https://economy</w:t>
        </w:r>
      </w:hyperlink>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society</w:t>
      </w:r>
      <w:proofErr w:type="spellEnd"/>
      <w:r w:rsidRPr="005F0419">
        <w:rPr>
          <w:rFonts w:ascii="Times New Roman" w:hAnsi="Times New Roman" w:cs="Times New Roman"/>
          <w:sz w:val="28"/>
          <w:szCs w:val="28"/>
          <w:lang w:val="uk-UA"/>
        </w:rPr>
        <w:t xml:space="preserve"> in.ua/</w:t>
      </w:r>
      <w:proofErr w:type="spellStart"/>
      <w:r w:rsidRPr="005F0419">
        <w:rPr>
          <w:rFonts w:ascii="Times New Roman" w:hAnsi="Times New Roman" w:cs="Times New Roman"/>
          <w:sz w:val="28"/>
          <w:szCs w:val="28"/>
          <w:lang w:val="uk-UA"/>
        </w:rPr>
        <w:t>index.php</w:t>
      </w:r>
      <w:proofErr w:type="spellEnd"/>
      <w:r w:rsidRPr="005F0419">
        <w:rPr>
          <w:rFonts w:ascii="Times New Roman" w:hAnsi="Times New Roman" w:cs="Times New Roman"/>
          <w:sz w:val="28"/>
          <w:szCs w:val="28"/>
          <w:lang w:val="uk-UA"/>
        </w:rPr>
        <w:t>/</w:t>
      </w:r>
      <w:proofErr w:type="spellStart"/>
      <w:r w:rsidRPr="005F0419">
        <w:rPr>
          <w:rFonts w:ascii="Times New Roman" w:hAnsi="Times New Roman" w:cs="Times New Roman"/>
          <w:sz w:val="28"/>
          <w:szCs w:val="28"/>
          <w:lang w:val="uk-UA"/>
        </w:rPr>
        <w:t>journa</w:t>
      </w:r>
      <w:r w:rsidR="00250686" w:rsidRPr="005F0419">
        <w:rPr>
          <w:rFonts w:ascii="Times New Roman" w:hAnsi="Times New Roman" w:cs="Times New Roman"/>
          <w:sz w:val="28"/>
          <w:szCs w:val="28"/>
          <w:lang w:val="uk-UA"/>
        </w:rPr>
        <w:t>l</w:t>
      </w:r>
      <w:proofErr w:type="spellEnd"/>
      <w:r w:rsidR="00250686" w:rsidRPr="005F0419">
        <w:rPr>
          <w:rFonts w:ascii="Times New Roman" w:hAnsi="Times New Roman" w:cs="Times New Roman"/>
          <w:sz w:val="28"/>
          <w:szCs w:val="28"/>
          <w:lang w:val="uk-UA"/>
        </w:rPr>
        <w:t xml:space="preserve">  </w:t>
      </w:r>
    </w:p>
    <w:p w14:paraId="177ACDCA" w14:textId="77777777"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25 </w:t>
      </w:r>
      <w:proofErr w:type="spellStart"/>
      <w:r w:rsidRPr="005F0419">
        <w:rPr>
          <w:rFonts w:ascii="Times New Roman" w:hAnsi="Times New Roman" w:cs="Times New Roman"/>
          <w:sz w:val="28"/>
          <w:szCs w:val="28"/>
          <w:lang w:val="uk-UA"/>
        </w:rPr>
        <w:t>Radisson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Hotels</w:t>
      </w:r>
      <w:proofErr w:type="spellEnd"/>
      <w:r w:rsidRPr="005F0419">
        <w:rPr>
          <w:rFonts w:ascii="Times New Roman" w:hAnsi="Times New Roman" w:cs="Times New Roman"/>
          <w:sz w:val="28"/>
          <w:szCs w:val="28"/>
          <w:lang w:val="uk-UA"/>
        </w:rPr>
        <w:t xml:space="preserve">. URL: https://www.radissonhotels.com/ru-ru/ (дата звернення: 28.11.2023). </w:t>
      </w:r>
    </w:p>
    <w:p w14:paraId="6C3C635B" w14:textId="77777777" w:rsidR="00250686"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26. </w:t>
      </w:r>
      <w:proofErr w:type="spellStart"/>
      <w:r w:rsidRPr="005F0419">
        <w:rPr>
          <w:rFonts w:ascii="Times New Roman" w:hAnsi="Times New Roman" w:cs="Times New Roman"/>
          <w:sz w:val="28"/>
          <w:szCs w:val="28"/>
          <w:lang w:val="uk-UA"/>
        </w:rPr>
        <w:t>Holiday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Inn</w:t>
      </w:r>
      <w:proofErr w:type="spellEnd"/>
      <w:r w:rsidRPr="005F0419">
        <w:rPr>
          <w:rFonts w:ascii="Times New Roman" w:hAnsi="Times New Roman" w:cs="Times New Roman"/>
          <w:sz w:val="28"/>
          <w:szCs w:val="28"/>
          <w:lang w:val="uk-UA"/>
        </w:rPr>
        <w:t>.</w:t>
      </w:r>
      <w:r w:rsidR="00250686" w:rsidRPr="005F0419">
        <w:rPr>
          <w:rFonts w:ascii="Times New Roman" w:hAnsi="Times New Roman" w:cs="Times New Roman"/>
          <w:sz w:val="28"/>
          <w:szCs w:val="28"/>
          <w:lang w:val="uk-UA"/>
        </w:rPr>
        <w:t xml:space="preserve"> </w:t>
      </w:r>
    </w:p>
    <w:p w14:paraId="5D358557" w14:textId="5EB9A32C" w:rsidR="00DB21B7" w:rsidRPr="005F0419" w:rsidRDefault="00DB21B7" w:rsidP="00250686">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URL:</w:t>
      </w:r>
      <w:hyperlink r:id="rId261" w:history="1">
        <w:r w:rsidR="00250686" w:rsidRPr="005F0419">
          <w:rPr>
            <w:rStyle w:val="a6"/>
            <w:rFonts w:ascii="Times New Roman" w:hAnsi="Times New Roman" w:cs="Times New Roman"/>
            <w:color w:val="auto"/>
            <w:sz w:val="28"/>
            <w:szCs w:val="28"/>
            <w:lang w:val="uk-UA"/>
          </w:rPr>
          <w:t>https://www.ihg.com/holidayinn/hotels/ru/ru/kiev/kbpuk/hoteldetail</w:t>
        </w:r>
      </w:hyperlink>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28.</w:t>
      </w:r>
      <w:r w:rsidR="00250686" w:rsidRPr="005F0419">
        <w:rPr>
          <w:rFonts w:ascii="Times New Roman" w:hAnsi="Times New Roman" w:cs="Times New Roman"/>
          <w:sz w:val="28"/>
          <w:szCs w:val="28"/>
          <w:lang w:val="uk-UA"/>
        </w:rPr>
        <w:t>0</w:t>
      </w:r>
      <w:r w:rsidRPr="005F0419">
        <w:rPr>
          <w:rFonts w:ascii="Times New Roman" w:hAnsi="Times New Roman" w:cs="Times New Roman"/>
          <w:sz w:val="28"/>
          <w:szCs w:val="28"/>
          <w:lang w:val="uk-UA"/>
        </w:rPr>
        <w:t>1.2023)</w:t>
      </w:r>
      <w:r w:rsidR="00250686"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w:t>
      </w:r>
    </w:p>
    <w:p w14:paraId="694934F7" w14:textId="384075B1"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27. </w:t>
      </w:r>
      <w:proofErr w:type="spellStart"/>
      <w:r w:rsidRPr="005F0419">
        <w:rPr>
          <w:rFonts w:ascii="Times New Roman" w:hAnsi="Times New Roman" w:cs="Times New Roman"/>
          <w:sz w:val="28"/>
          <w:szCs w:val="28"/>
          <w:lang w:val="uk-UA"/>
        </w:rPr>
        <w:t>Premier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Hotels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Resorts</w:t>
      </w:r>
      <w:proofErr w:type="spellEnd"/>
      <w:r w:rsidRPr="005F0419">
        <w:rPr>
          <w:rFonts w:ascii="Times New Roman" w:hAnsi="Times New Roman" w:cs="Times New Roman"/>
          <w:sz w:val="28"/>
          <w:szCs w:val="28"/>
          <w:lang w:val="uk-UA"/>
        </w:rPr>
        <w:t xml:space="preserve">. URL: </w:t>
      </w:r>
      <w:hyperlink r:id="rId262" w:history="1">
        <w:r w:rsidR="00250686" w:rsidRPr="005F0419">
          <w:rPr>
            <w:rStyle w:val="a6"/>
            <w:rFonts w:ascii="Times New Roman" w:hAnsi="Times New Roman" w:cs="Times New Roman"/>
            <w:color w:val="auto"/>
            <w:sz w:val="28"/>
            <w:szCs w:val="28"/>
            <w:lang w:val="uk-UA"/>
          </w:rPr>
          <w:t>https://premier-palace.phnr.com/ua</w:t>
        </w:r>
      </w:hyperlink>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28.11.2023)</w:t>
      </w:r>
      <w:r w:rsidR="00250686" w:rsidRPr="005F0419">
        <w:rPr>
          <w:rFonts w:ascii="Times New Roman" w:hAnsi="Times New Roman" w:cs="Times New Roman"/>
          <w:sz w:val="28"/>
          <w:szCs w:val="28"/>
          <w:lang w:val="uk-UA"/>
        </w:rPr>
        <w:t>.</w:t>
      </w:r>
    </w:p>
    <w:p w14:paraId="3881EA2E" w14:textId="39CB1602"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28. Мережа </w:t>
      </w:r>
      <w:proofErr w:type="spellStart"/>
      <w:r w:rsidRPr="005F0419">
        <w:rPr>
          <w:rFonts w:ascii="Times New Roman" w:hAnsi="Times New Roman" w:cs="Times New Roman"/>
          <w:sz w:val="28"/>
          <w:szCs w:val="28"/>
          <w:lang w:val="uk-UA"/>
        </w:rPr>
        <w:t>Black</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Sea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Hotels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Group</w:t>
      </w:r>
      <w:proofErr w:type="spellEnd"/>
      <w:r w:rsidRPr="005F0419">
        <w:rPr>
          <w:rFonts w:ascii="Times New Roman" w:hAnsi="Times New Roman" w:cs="Times New Roman"/>
          <w:sz w:val="28"/>
          <w:szCs w:val="28"/>
          <w:lang w:val="uk-UA"/>
        </w:rPr>
        <w:t xml:space="preserve">. </w:t>
      </w:r>
      <w:r w:rsidR="00250686" w:rsidRPr="005F0419">
        <w:rPr>
          <w:rFonts w:ascii="Times New Roman" w:hAnsi="Times New Roman" w:cs="Times New Roman"/>
          <w:sz w:val="28"/>
          <w:szCs w:val="28"/>
          <w:lang w:val="uk-UA"/>
        </w:rPr>
        <w:t>URL</w:t>
      </w:r>
      <w:r w:rsidRPr="005F0419">
        <w:rPr>
          <w:rFonts w:ascii="Times New Roman" w:hAnsi="Times New Roman" w:cs="Times New Roman"/>
          <w:sz w:val="28"/>
          <w:szCs w:val="28"/>
          <w:lang w:val="uk-UA"/>
        </w:rPr>
        <w:t xml:space="preserve">: </w:t>
      </w:r>
      <w:hyperlink r:id="rId263" w:history="1">
        <w:r w:rsidRPr="005F0419">
          <w:rPr>
            <w:rStyle w:val="a6"/>
            <w:rFonts w:ascii="Times New Roman" w:hAnsi="Times New Roman" w:cs="Times New Roman"/>
            <w:color w:val="auto"/>
            <w:sz w:val="28"/>
            <w:szCs w:val="28"/>
            <w:u w:val="none"/>
            <w:lang w:val="uk-UA"/>
          </w:rPr>
          <w:t>https://blacksea-hotels/com</w:t>
        </w:r>
      </w:hyperlink>
      <w:r w:rsidR="00250686" w:rsidRPr="005F0419">
        <w:rPr>
          <w:rStyle w:val="a6"/>
          <w:rFonts w:ascii="Times New Roman" w:hAnsi="Times New Roman" w:cs="Times New Roman"/>
          <w:color w:val="auto"/>
          <w:sz w:val="28"/>
          <w:szCs w:val="28"/>
          <w:u w:val="none"/>
          <w:lang w:val="uk-UA"/>
        </w:rPr>
        <w:t xml:space="preserve"> </w:t>
      </w:r>
      <w:r w:rsidRPr="005F0419">
        <w:rPr>
          <w:rFonts w:ascii="Times New Roman" w:hAnsi="Times New Roman" w:cs="Times New Roman"/>
          <w:sz w:val="28"/>
          <w:szCs w:val="28"/>
          <w:lang w:val="uk-UA"/>
        </w:rPr>
        <w:t>(дата звернення: 28.11.2023)</w:t>
      </w:r>
      <w:r w:rsidR="00250686" w:rsidRPr="005F0419">
        <w:rPr>
          <w:rFonts w:ascii="Times New Roman" w:hAnsi="Times New Roman" w:cs="Times New Roman"/>
          <w:sz w:val="28"/>
          <w:szCs w:val="28"/>
          <w:lang w:val="uk-UA"/>
        </w:rPr>
        <w:t>.</w:t>
      </w:r>
    </w:p>
    <w:p w14:paraId="6B01C99D" w14:textId="7FADA011"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29. Мережа </w:t>
      </w:r>
      <w:proofErr w:type="spellStart"/>
      <w:r w:rsidRPr="005F0419">
        <w:rPr>
          <w:rFonts w:ascii="Times New Roman" w:hAnsi="Times New Roman" w:cs="Times New Roman"/>
          <w:sz w:val="28"/>
          <w:szCs w:val="28"/>
          <w:lang w:val="uk-UA"/>
        </w:rPr>
        <w:t>royal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Hotel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SPA </w:t>
      </w:r>
      <w:proofErr w:type="spellStart"/>
      <w:r w:rsidRPr="005F0419">
        <w:rPr>
          <w:rFonts w:ascii="Times New Roman" w:hAnsi="Times New Roman" w:cs="Times New Roman"/>
          <w:sz w:val="28"/>
          <w:szCs w:val="28"/>
          <w:lang w:val="uk-UA"/>
        </w:rPr>
        <w:t>Resolrts</w:t>
      </w:r>
      <w:proofErr w:type="spellEnd"/>
      <w:r w:rsidRPr="005F0419">
        <w:rPr>
          <w:rFonts w:ascii="Times New Roman" w:hAnsi="Times New Roman" w:cs="Times New Roman"/>
          <w:sz w:val="28"/>
          <w:szCs w:val="28"/>
          <w:lang w:val="uk-UA"/>
        </w:rPr>
        <w:t xml:space="preserve">. </w:t>
      </w:r>
      <w:r w:rsidR="00250686" w:rsidRPr="005F0419">
        <w:rPr>
          <w:rFonts w:ascii="Times New Roman" w:hAnsi="Times New Roman" w:cs="Times New Roman"/>
          <w:sz w:val="28"/>
          <w:szCs w:val="28"/>
          <w:lang w:val="uk-UA"/>
        </w:rPr>
        <w:t>URL</w:t>
      </w:r>
      <w:r w:rsidRPr="005F0419">
        <w:rPr>
          <w:rFonts w:ascii="Times New Roman" w:hAnsi="Times New Roman" w:cs="Times New Roman"/>
          <w:sz w:val="28"/>
          <w:szCs w:val="28"/>
          <w:lang w:val="uk-UA"/>
        </w:rPr>
        <w:t xml:space="preserve">: </w:t>
      </w:r>
      <w:hyperlink r:id="rId264" w:history="1">
        <w:r w:rsidRPr="005F0419">
          <w:rPr>
            <w:rStyle w:val="a6"/>
            <w:rFonts w:ascii="Times New Roman" w:hAnsi="Times New Roman" w:cs="Times New Roman"/>
            <w:color w:val="auto"/>
            <w:sz w:val="28"/>
            <w:szCs w:val="28"/>
            <w:u w:val="none"/>
            <w:lang w:val="uk-UA"/>
          </w:rPr>
          <w:t>https://www.bestodessahotels/com</w:t>
        </w:r>
      </w:hyperlink>
      <w:r w:rsidR="00250686" w:rsidRPr="005F0419">
        <w:rPr>
          <w:rStyle w:val="a6"/>
          <w:rFonts w:ascii="Times New Roman" w:hAnsi="Times New Roman" w:cs="Times New Roman"/>
          <w:color w:val="auto"/>
          <w:sz w:val="28"/>
          <w:szCs w:val="28"/>
          <w:u w:val="none"/>
          <w:lang w:val="uk-UA"/>
        </w:rPr>
        <w:t xml:space="preserve"> </w:t>
      </w:r>
      <w:r w:rsidRPr="005F0419">
        <w:rPr>
          <w:rFonts w:ascii="Times New Roman" w:hAnsi="Times New Roman" w:cs="Times New Roman"/>
          <w:sz w:val="28"/>
          <w:szCs w:val="28"/>
          <w:lang w:val="uk-UA"/>
        </w:rPr>
        <w:t>(дата звернення: 28.11.2023)</w:t>
      </w:r>
    </w:p>
    <w:p w14:paraId="3EA0833F" w14:textId="2B3836B9"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30. </w:t>
      </w:r>
      <w:proofErr w:type="spellStart"/>
      <w:r w:rsidRPr="005F0419">
        <w:rPr>
          <w:rFonts w:ascii="Times New Roman" w:hAnsi="Times New Roman" w:cs="Times New Roman"/>
          <w:sz w:val="28"/>
          <w:szCs w:val="28"/>
          <w:lang w:val="uk-UA"/>
        </w:rPr>
        <w:t>Reikartz</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Hotel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Group</w:t>
      </w:r>
      <w:proofErr w:type="spellEnd"/>
      <w:r w:rsidRPr="005F0419">
        <w:rPr>
          <w:rFonts w:ascii="Times New Roman" w:hAnsi="Times New Roman" w:cs="Times New Roman"/>
          <w:sz w:val="28"/>
          <w:szCs w:val="28"/>
          <w:lang w:val="uk-UA"/>
        </w:rPr>
        <w:t xml:space="preserve">. URL: </w:t>
      </w:r>
      <w:hyperlink r:id="rId265" w:history="1">
        <w:r w:rsidR="00250686" w:rsidRPr="005F0419">
          <w:rPr>
            <w:rStyle w:val="a6"/>
            <w:rFonts w:ascii="Times New Roman" w:hAnsi="Times New Roman" w:cs="Times New Roman"/>
            <w:color w:val="auto"/>
            <w:sz w:val="28"/>
            <w:szCs w:val="28"/>
            <w:lang w:val="uk-UA"/>
          </w:rPr>
          <w:t>https://reikartz.com/uk/</w:t>
        </w:r>
      </w:hyperlink>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28.11.2023).</w:t>
      </w:r>
    </w:p>
    <w:p w14:paraId="2ED7E16D" w14:textId="7DB409B9"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31. </w:t>
      </w:r>
      <w:proofErr w:type="spellStart"/>
      <w:r w:rsidRPr="005F0419">
        <w:rPr>
          <w:rFonts w:ascii="Times New Roman" w:hAnsi="Times New Roman" w:cs="Times New Roman"/>
          <w:sz w:val="28"/>
          <w:szCs w:val="28"/>
          <w:lang w:val="uk-UA"/>
        </w:rPr>
        <w:t>Ribas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Hotels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Group</w:t>
      </w:r>
      <w:proofErr w:type="spellEnd"/>
      <w:r w:rsidRPr="005F0419">
        <w:rPr>
          <w:rFonts w:ascii="Times New Roman" w:hAnsi="Times New Roman" w:cs="Times New Roman"/>
          <w:sz w:val="28"/>
          <w:szCs w:val="28"/>
          <w:lang w:val="uk-UA"/>
        </w:rPr>
        <w:t xml:space="preserve">. URL: </w:t>
      </w:r>
      <w:hyperlink r:id="rId266" w:history="1">
        <w:r w:rsidR="00250686" w:rsidRPr="005F0419">
          <w:rPr>
            <w:rStyle w:val="a6"/>
            <w:rFonts w:ascii="Times New Roman" w:hAnsi="Times New Roman" w:cs="Times New Roman"/>
            <w:color w:val="auto"/>
            <w:sz w:val="28"/>
            <w:szCs w:val="28"/>
            <w:lang w:val="uk-UA"/>
          </w:rPr>
          <w:t>https://ribas.ua/about</w:t>
        </w:r>
      </w:hyperlink>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28.11.2023)</w:t>
      </w:r>
      <w:r w:rsidR="00250686" w:rsidRPr="005F0419">
        <w:rPr>
          <w:rFonts w:ascii="Times New Roman" w:hAnsi="Times New Roman" w:cs="Times New Roman"/>
          <w:sz w:val="28"/>
          <w:szCs w:val="28"/>
          <w:lang w:val="uk-UA"/>
        </w:rPr>
        <w:t>.</w:t>
      </w:r>
    </w:p>
    <w:p w14:paraId="2AEFEEC3" w14:textId="5213EA5D" w:rsidR="00DB21B7" w:rsidRPr="005F0419" w:rsidRDefault="00DB21B7" w:rsidP="00DB21B7">
      <w:pPr>
        <w:spacing w:after="0" w:line="360" w:lineRule="auto"/>
        <w:ind w:firstLine="720"/>
        <w:jc w:val="both"/>
        <w:rPr>
          <w:rStyle w:val="HTML2"/>
          <w:rFonts w:ascii="Times New Roman" w:eastAsiaTheme="minorHAnsi" w:hAnsi="Times New Roman" w:cs="Times New Roman"/>
          <w:sz w:val="28"/>
          <w:szCs w:val="28"/>
          <w:shd w:val="clear" w:color="auto" w:fill="F9F2F4"/>
          <w:lang w:val="uk-UA"/>
        </w:rPr>
      </w:pPr>
      <w:r w:rsidRPr="005F0419">
        <w:rPr>
          <w:rFonts w:ascii="Times New Roman" w:hAnsi="Times New Roman" w:cs="Times New Roman"/>
          <w:sz w:val="28"/>
          <w:szCs w:val="28"/>
          <w:lang w:val="uk-UA"/>
        </w:rPr>
        <w:t>32. Мельниченко С.</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В., Кудлай Т.</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В. Готельні оператори: конкурентоспроможність на національному ринку. Науковий вісник Ужгородського університету. Серія: Економіка, 2016.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1 (47), Т. 2.  С. 171–175.</w:t>
      </w:r>
      <w:r w:rsidRPr="005F0419">
        <w:rPr>
          <w:rFonts w:ascii="Times New Roman" w:hAnsi="Times New Roman" w:cs="Times New Roman"/>
          <w:sz w:val="28"/>
          <w:szCs w:val="28"/>
          <w:shd w:val="clear" w:color="auto" w:fill="F5F5F5"/>
          <w:lang w:val="uk-UA"/>
        </w:rPr>
        <w:t xml:space="preserve"> </w:t>
      </w:r>
      <w:r w:rsidRPr="005F0419">
        <w:rPr>
          <w:rFonts w:ascii="Times New Roman" w:eastAsia="Times New Roman" w:hAnsi="Times New Roman" w:cs="Times New Roman"/>
          <w:iCs/>
          <w:sz w:val="28"/>
          <w:szCs w:val="28"/>
          <w:lang w:val="uk-UA"/>
        </w:rPr>
        <w:t>URL:</w:t>
      </w:r>
      <w:r w:rsidR="00250686" w:rsidRPr="005F0419">
        <w:rPr>
          <w:lang w:val="uk-UA"/>
        </w:rPr>
        <w:t xml:space="preserve"> </w:t>
      </w:r>
      <w:hyperlink r:id="rId267" w:history="1">
        <w:r w:rsidR="00250686" w:rsidRPr="005F0419">
          <w:rPr>
            <w:rStyle w:val="a6"/>
            <w:rFonts w:ascii="Times New Roman" w:eastAsia="Times New Roman" w:hAnsi="Times New Roman" w:cs="Times New Roman"/>
            <w:iCs/>
            <w:color w:val="auto"/>
            <w:sz w:val="28"/>
            <w:szCs w:val="28"/>
            <w:lang w:val="uk-UA"/>
          </w:rPr>
          <w:t>https://dspace.uzhnu.edu.ua/jspui/handle/lib/10747</w:t>
        </w:r>
      </w:hyperlink>
      <w:r w:rsidR="00250686" w:rsidRPr="005F0419">
        <w:rPr>
          <w:rFonts w:ascii="Times New Roman" w:eastAsia="Times New Roman" w:hAnsi="Times New Roman" w:cs="Times New Roman"/>
          <w:iCs/>
          <w:sz w:val="28"/>
          <w:szCs w:val="28"/>
          <w:lang w:val="uk-UA"/>
        </w:rPr>
        <w:t xml:space="preserve"> </w:t>
      </w:r>
    </w:p>
    <w:p w14:paraId="51A77259" w14:textId="0B71009A"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33. Державна служба статистики України</w:t>
      </w:r>
      <w:r w:rsidR="00250686" w:rsidRPr="005F0419">
        <w:rPr>
          <w:rFonts w:ascii="Times New Roman" w:hAnsi="Times New Roman" w:cs="Times New Roman"/>
          <w:sz w:val="28"/>
          <w:szCs w:val="28"/>
          <w:lang w:val="uk-UA"/>
        </w:rPr>
        <w:t xml:space="preserve">. </w:t>
      </w:r>
      <w:r w:rsidR="00250686" w:rsidRPr="005F0419">
        <w:rPr>
          <w:rFonts w:ascii="Times New Roman" w:eastAsia="Times New Roman" w:hAnsi="Times New Roman" w:cs="Times New Roman"/>
          <w:iCs/>
          <w:sz w:val="28"/>
          <w:szCs w:val="28"/>
          <w:lang w:val="uk-UA"/>
        </w:rPr>
        <w:t>URL</w:t>
      </w:r>
      <w:r w:rsidRPr="005F0419">
        <w:rPr>
          <w:rFonts w:ascii="Times New Roman" w:hAnsi="Times New Roman" w:cs="Times New Roman"/>
          <w:sz w:val="28"/>
          <w:szCs w:val="28"/>
          <w:lang w:val="uk-UA"/>
        </w:rPr>
        <w:t xml:space="preserve">: </w:t>
      </w:r>
      <w:hyperlink r:id="rId268" w:history="1">
        <w:r w:rsidRPr="005F0419">
          <w:rPr>
            <w:rStyle w:val="a6"/>
            <w:rFonts w:ascii="Times New Roman" w:hAnsi="Times New Roman" w:cs="Times New Roman"/>
            <w:color w:val="auto"/>
            <w:sz w:val="28"/>
            <w:szCs w:val="28"/>
            <w:u w:val="none"/>
            <w:lang w:val="uk-UA"/>
          </w:rPr>
          <w:t>http://ukrstat.gov.ua</w:t>
        </w:r>
      </w:hyperlink>
      <w:r w:rsidRPr="005F0419">
        <w:rPr>
          <w:rFonts w:ascii="Times New Roman" w:hAnsi="Times New Roman" w:cs="Times New Roman"/>
          <w:sz w:val="28"/>
          <w:szCs w:val="28"/>
          <w:lang w:val="uk-UA"/>
        </w:rPr>
        <w:t>.</w:t>
      </w:r>
    </w:p>
    <w:p w14:paraId="1FDAB36D" w14:textId="792D2A50" w:rsidR="00DB21B7" w:rsidRPr="005F0419" w:rsidRDefault="00DB21B7" w:rsidP="00250686">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34. </w:t>
      </w:r>
      <w:proofErr w:type="spellStart"/>
      <w:r w:rsidRPr="005F0419">
        <w:rPr>
          <w:rFonts w:ascii="Times New Roman" w:hAnsi="Times New Roman" w:cs="Times New Roman"/>
          <w:sz w:val="28"/>
          <w:szCs w:val="28"/>
          <w:lang w:val="uk-UA"/>
        </w:rPr>
        <w:t>Тітомир</w:t>
      </w:r>
      <w:proofErr w:type="spellEnd"/>
      <w:r w:rsidRPr="005F0419">
        <w:rPr>
          <w:rFonts w:ascii="Times New Roman" w:hAnsi="Times New Roman" w:cs="Times New Roman"/>
          <w:sz w:val="28"/>
          <w:szCs w:val="28"/>
          <w:lang w:val="uk-UA"/>
        </w:rPr>
        <w:t xml:space="preserve"> Л.</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А.,</w:t>
      </w:r>
      <w:r w:rsidRPr="005F0419">
        <w:rPr>
          <w:rFonts w:ascii="Times New Roman" w:hAnsi="Times New Roman" w:cs="Times New Roman"/>
          <w:bCs/>
          <w:sz w:val="28"/>
          <w:szCs w:val="28"/>
          <w:shd w:val="clear" w:color="auto" w:fill="FFFFFF"/>
          <w:lang w:val="uk-UA"/>
        </w:rPr>
        <w:t xml:space="preserve"> </w:t>
      </w:r>
      <w:proofErr w:type="spellStart"/>
      <w:r w:rsidRPr="005F0419">
        <w:rPr>
          <w:rFonts w:ascii="Times New Roman" w:hAnsi="Times New Roman" w:cs="Times New Roman"/>
          <w:bCs/>
          <w:sz w:val="28"/>
          <w:szCs w:val="28"/>
          <w:shd w:val="clear" w:color="auto" w:fill="FFFFFF"/>
          <w:lang w:val="uk-UA"/>
        </w:rPr>
        <w:t>Д’яконова</w:t>
      </w:r>
      <w:proofErr w:type="spellEnd"/>
      <w:r w:rsidRPr="005F0419">
        <w:rPr>
          <w:rFonts w:ascii="Times New Roman" w:hAnsi="Times New Roman" w:cs="Times New Roman"/>
          <w:sz w:val="28"/>
          <w:szCs w:val="28"/>
          <w:lang w:val="uk-UA"/>
        </w:rPr>
        <w:t xml:space="preserve"> А.</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К., Жовтяк К.</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О</w:t>
      </w:r>
      <w:r w:rsidR="00250686" w:rsidRPr="005F0419">
        <w:rPr>
          <w:rFonts w:ascii="Times New Roman" w:hAnsi="Times New Roman" w:cs="Times New Roman"/>
          <w:sz w:val="28"/>
          <w:szCs w:val="28"/>
          <w:lang w:val="uk-UA"/>
        </w:rPr>
        <w:t xml:space="preserve">. Тенденції розвитку і якість обслуговування малих готельних форм в Україні. </w:t>
      </w:r>
      <w:r w:rsidRPr="005F0419">
        <w:rPr>
          <w:rFonts w:ascii="Times New Roman" w:hAnsi="Times New Roman" w:cs="Times New Roman"/>
          <w:sz w:val="28"/>
          <w:szCs w:val="28"/>
          <w:lang w:val="uk-UA"/>
        </w:rPr>
        <w:t xml:space="preserve">Економіка та </w:t>
      </w:r>
      <w:r w:rsidRPr="005F0419">
        <w:rPr>
          <w:rFonts w:ascii="Times New Roman" w:hAnsi="Times New Roman" w:cs="Times New Roman"/>
          <w:sz w:val="28"/>
          <w:szCs w:val="28"/>
          <w:lang w:val="uk-UA"/>
        </w:rPr>
        <w:lastRenderedPageBreak/>
        <w:t>суспільство</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2022.</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№44</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URL: </w:t>
      </w:r>
      <w:hyperlink r:id="rId269" w:history="1">
        <w:r w:rsidR="00250686" w:rsidRPr="005F0419">
          <w:rPr>
            <w:rStyle w:val="a6"/>
            <w:rFonts w:ascii="Times New Roman" w:hAnsi="Times New Roman" w:cs="Times New Roman"/>
            <w:color w:val="auto"/>
            <w:sz w:val="28"/>
            <w:szCs w:val="28"/>
            <w:lang w:val="uk-UA"/>
          </w:rPr>
          <w:t>https://economy</w:t>
        </w:r>
      </w:hyperlink>
      <w:r w:rsidRPr="005F0419">
        <w:rPr>
          <w:rFonts w:ascii="Times New Roman" w:hAnsi="Times New Roman" w:cs="Times New Roman"/>
          <w:sz w:val="28"/>
          <w:szCs w:val="28"/>
          <w:lang w:val="uk-UA"/>
        </w:rPr>
        <w:t>ndsociety in.ua/</w:t>
      </w:r>
      <w:proofErr w:type="spellStart"/>
      <w:r w:rsidRPr="005F0419">
        <w:rPr>
          <w:rFonts w:ascii="Times New Roman" w:hAnsi="Times New Roman" w:cs="Times New Roman"/>
          <w:sz w:val="28"/>
          <w:szCs w:val="28"/>
          <w:lang w:val="uk-UA"/>
        </w:rPr>
        <w:t>index.php</w:t>
      </w:r>
      <w:proofErr w:type="spellEnd"/>
      <w:r w:rsidRPr="005F0419">
        <w:rPr>
          <w:rFonts w:ascii="Times New Roman" w:hAnsi="Times New Roman" w:cs="Times New Roman"/>
          <w:sz w:val="28"/>
          <w:szCs w:val="28"/>
          <w:lang w:val="uk-UA"/>
        </w:rPr>
        <w:t>/</w:t>
      </w:r>
      <w:proofErr w:type="spellStart"/>
      <w:r w:rsidRPr="005F0419">
        <w:rPr>
          <w:rFonts w:ascii="Times New Roman" w:hAnsi="Times New Roman" w:cs="Times New Roman"/>
          <w:sz w:val="28"/>
          <w:szCs w:val="28"/>
          <w:lang w:val="uk-UA"/>
        </w:rPr>
        <w:t>journal</w:t>
      </w:r>
      <w:proofErr w:type="spellEnd"/>
      <w:r w:rsidRPr="005F0419">
        <w:rPr>
          <w:rFonts w:ascii="Times New Roman" w:hAnsi="Times New Roman" w:cs="Times New Roman"/>
          <w:sz w:val="28"/>
          <w:szCs w:val="28"/>
          <w:lang w:val="uk-UA"/>
        </w:rPr>
        <w:t>/</w:t>
      </w:r>
      <w:proofErr w:type="spellStart"/>
      <w:r w:rsidRPr="005F0419">
        <w:rPr>
          <w:rFonts w:ascii="Times New Roman" w:hAnsi="Times New Roman" w:cs="Times New Roman"/>
          <w:sz w:val="28"/>
          <w:szCs w:val="28"/>
          <w:lang w:val="uk-UA"/>
        </w:rPr>
        <w:t>article</w:t>
      </w:r>
      <w:proofErr w:type="spellEnd"/>
      <w:r w:rsidRPr="005F0419">
        <w:rPr>
          <w:rFonts w:ascii="Times New Roman" w:hAnsi="Times New Roman" w:cs="Times New Roman"/>
          <w:sz w:val="28"/>
          <w:szCs w:val="28"/>
          <w:lang w:val="uk-UA"/>
        </w:rPr>
        <w:t>/</w:t>
      </w:r>
      <w:proofErr w:type="spellStart"/>
      <w:r w:rsidRPr="005F0419">
        <w:rPr>
          <w:rFonts w:ascii="Times New Roman" w:hAnsi="Times New Roman" w:cs="Times New Roman"/>
          <w:sz w:val="28"/>
          <w:szCs w:val="28"/>
          <w:lang w:val="uk-UA"/>
        </w:rPr>
        <w:t>view</w:t>
      </w:r>
      <w:proofErr w:type="spellEnd"/>
      <w:r w:rsidRPr="005F0419">
        <w:rPr>
          <w:rFonts w:ascii="Times New Roman" w:hAnsi="Times New Roman" w:cs="Times New Roman"/>
          <w:sz w:val="28"/>
          <w:szCs w:val="28"/>
          <w:lang w:val="uk-UA"/>
        </w:rPr>
        <w:t>/1889</w:t>
      </w:r>
      <w:r w:rsidR="00250686" w:rsidRPr="005F0419">
        <w:rPr>
          <w:rFonts w:ascii="Times New Roman" w:hAnsi="Times New Roman" w:cs="Times New Roman"/>
          <w:sz w:val="28"/>
          <w:szCs w:val="28"/>
          <w:lang w:val="uk-UA"/>
        </w:rPr>
        <w:t xml:space="preserve">  </w:t>
      </w:r>
    </w:p>
    <w:p w14:paraId="24221013" w14:textId="0DA2DF2E" w:rsidR="00DB21B7" w:rsidRPr="005F0419" w:rsidRDefault="00DB21B7" w:rsidP="00DB21B7">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35. Кузьмін Є.</w:t>
      </w:r>
      <w:r w:rsidR="00250686"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О., </w:t>
      </w:r>
      <w:proofErr w:type="spellStart"/>
      <w:r w:rsidRPr="005F0419">
        <w:rPr>
          <w:rFonts w:ascii="Times New Roman" w:eastAsia="Times New Roman" w:hAnsi="Times New Roman" w:cs="Times New Roman"/>
          <w:sz w:val="28"/>
          <w:szCs w:val="28"/>
          <w:lang w:val="uk-UA"/>
        </w:rPr>
        <w:t>Мирончук</w:t>
      </w:r>
      <w:proofErr w:type="spellEnd"/>
      <w:r w:rsidRPr="005F0419">
        <w:rPr>
          <w:rFonts w:ascii="Times New Roman" w:eastAsia="Times New Roman" w:hAnsi="Times New Roman" w:cs="Times New Roman"/>
          <w:sz w:val="28"/>
          <w:szCs w:val="28"/>
          <w:lang w:val="uk-UA"/>
        </w:rPr>
        <w:t xml:space="preserve"> Т.</w:t>
      </w:r>
      <w:r w:rsidR="00250686"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В</w:t>
      </w:r>
      <w:r w:rsidR="00250686" w:rsidRPr="005F0419">
        <w:rPr>
          <w:rFonts w:ascii="Times New Roman" w:eastAsia="Times New Roman" w:hAnsi="Times New Roman" w:cs="Times New Roman"/>
          <w:sz w:val="28"/>
          <w:szCs w:val="28"/>
          <w:lang w:val="uk-UA"/>
        </w:rPr>
        <w:t>.</w:t>
      </w:r>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Салата</w:t>
      </w:r>
      <w:proofErr w:type="spellEnd"/>
      <w:r w:rsidRPr="005F0419">
        <w:rPr>
          <w:rFonts w:ascii="Times New Roman" w:eastAsia="Times New Roman" w:hAnsi="Times New Roman" w:cs="Times New Roman"/>
          <w:sz w:val="28"/>
          <w:szCs w:val="28"/>
          <w:lang w:val="uk-UA"/>
        </w:rPr>
        <w:t xml:space="preserve"> Л.</w:t>
      </w:r>
      <w:r w:rsidR="00250686"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 xml:space="preserve">В. Франчайзинг: </w:t>
      </w:r>
      <w:proofErr w:type="spellStart"/>
      <w:r w:rsidRPr="005F0419">
        <w:rPr>
          <w:rFonts w:ascii="Times New Roman" w:eastAsia="Times New Roman" w:hAnsi="Times New Roman" w:cs="Times New Roman"/>
          <w:sz w:val="28"/>
          <w:szCs w:val="28"/>
          <w:lang w:val="uk-UA"/>
        </w:rPr>
        <w:t>навч</w:t>
      </w:r>
      <w:proofErr w:type="spellEnd"/>
      <w:r w:rsidRPr="005F0419">
        <w:rPr>
          <w:rFonts w:ascii="Times New Roman" w:eastAsia="Times New Roman" w:hAnsi="Times New Roman" w:cs="Times New Roman"/>
          <w:sz w:val="28"/>
          <w:szCs w:val="28"/>
          <w:lang w:val="uk-UA"/>
        </w:rPr>
        <w:t xml:space="preserve">. </w:t>
      </w:r>
      <w:proofErr w:type="spellStart"/>
      <w:r w:rsidRPr="005F0419">
        <w:rPr>
          <w:rFonts w:ascii="Times New Roman" w:eastAsia="Times New Roman" w:hAnsi="Times New Roman" w:cs="Times New Roman"/>
          <w:sz w:val="28"/>
          <w:szCs w:val="28"/>
          <w:lang w:val="uk-UA"/>
        </w:rPr>
        <w:t>посіб</w:t>
      </w:r>
      <w:proofErr w:type="spellEnd"/>
      <w:r w:rsidRPr="005F0419">
        <w:rPr>
          <w:rFonts w:ascii="Times New Roman" w:eastAsia="Times New Roman" w:hAnsi="Times New Roman" w:cs="Times New Roman"/>
          <w:sz w:val="28"/>
          <w:szCs w:val="28"/>
          <w:lang w:val="uk-UA"/>
        </w:rPr>
        <w:t xml:space="preserve">.  К.: Знання, 2011. 267 с. </w:t>
      </w:r>
    </w:p>
    <w:p w14:paraId="49CF7A93" w14:textId="7B91BF62" w:rsidR="00DB21B7" w:rsidRPr="005F0419" w:rsidRDefault="00DB21B7" w:rsidP="00DB21B7">
      <w:pPr>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sz w:val="28"/>
          <w:szCs w:val="28"/>
          <w:lang w:val="uk-UA"/>
        </w:rPr>
        <w:t xml:space="preserve">36. Франчайзинг в Україні: Сайт Асоціації франчайзингу (Україна). </w:t>
      </w:r>
      <w:r w:rsidR="00250686" w:rsidRPr="005F0419">
        <w:rPr>
          <w:rFonts w:ascii="Times New Roman" w:eastAsia="Times New Roman" w:hAnsi="Times New Roman" w:cs="Times New Roman"/>
          <w:sz w:val="28"/>
          <w:szCs w:val="28"/>
          <w:lang w:val="uk-UA"/>
        </w:rPr>
        <w:t>URL</w:t>
      </w:r>
      <w:r w:rsidRPr="005F0419">
        <w:rPr>
          <w:rFonts w:ascii="Times New Roman" w:eastAsia="Times New Roman" w:hAnsi="Times New Roman" w:cs="Times New Roman"/>
          <w:sz w:val="28"/>
          <w:szCs w:val="28"/>
          <w:lang w:val="uk-UA"/>
        </w:rPr>
        <w:t xml:space="preserve">: </w:t>
      </w:r>
      <w:hyperlink r:id="rId270" w:history="1">
        <w:r w:rsidRPr="005F0419">
          <w:rPr>
            <w:rStyle w:val="a6"/>
            <w:rFonts w:ascii="Times New Roman" w:eastAsia="Times New Roman" w:hAnsi="Times New Roman" w:cs="Times New Roman"/>
            <w:color w:val="auto"/>
            <w:sz w:val="28"/>
            <w:szCs w:val="28"/>
            <w:u w:val="none"/>
            <w:lang w:val="uk-UA"/>
          </w:rPr>
          <w:t>http://franchising.org.ua</w:t>
        </w:r>
      </w:hyperlink>
      <w:r w:rsidRPr="005F0419">
        <w:rPr>
          <w:rFonts w:ascii="Times New Roman" w:eastAsia="Times New Roman" w:hAnsi="Times New Roman" w:cs="Times New Roman"/>
          <w:sz w:val="28"/>
          <w:szCs w:val="28"/>
          <w:lang w:val="uk-UA"/>
        </w:rPr>
        <w:t>.</w:t>
      </w:r>
    </w:p>
    <w:p w14:paraId="379E32CB" w14:textId="6909297F" w:rsidR="00DB21B7" w:rsidRPr="005F0419" w:rsidRDefault="00DB21B7" w:rsidP="00DB21B7">
      <w:pPr>
        <w:shd w:val="clear" w:color="auto" w:fill="FFFFFF"/>
        <w:spacing w:after="0" w:line="360" w:lineRule="auto"/>
        <w:ind w:firstLine="720"/>
        <w:jc w:val="both"/>
        <w:rPr>
          <w:rFonts w:ascii="Times New Roman" w:eastAsia="Times New Roman" w:hAnsi="Times New Roman" w:cs="Times New Roman"/>
          <w:sz w:val="28"/>
          <w:szCs w:val="28"/>
          <w:lang w:val="uk-UA"/>
        </w:rPr>
      </w:pPr>
      <w:r w:rsidRPr="005F0419">
        <w:rPr>
          <w:rFonts w:ascii="Times New Roman" w:eastAsia="Times New Roman" w:hAnsi="Times New Roman" w:cs="Times New Roman"/>
          <w:iCs/>
          <w:sz w:val="28"/>
          <w:szCs w:val="28"/>
          <w:lang w:val="uk-UA"/>
        </w:rPr>
        <w:t xml:space="preserve">37. </w:t>
      </w:r>
      <w:proofErr w:type="spellStart"/>
      <w:r w:rsidRPr="005F0419">
        <w:rPr>
          <w:rFonts w:ascii="Times New Roman" w:eastAsia="Times New Roman" w:hAnsi="Times New Roman" w:cs="Times New Roman"/>
          <w:iCs/>
          <w:sz w:val="28"/>
          <w:szCs w:val="28"/>
          <w:lang w:val="uk-UA"/>
        </w:rPr>
        <w:t>Крупенна</w:t>
      </w:r>
      <w:proofErr w:type="spellEnd"/>
      <w:r w:rsidRPr="005F0419">
        <w:rPr>
          <w:rFonts w:ascii="Times New Roman" w:eastAsia="Times New Roman" w:hAnsi="Times New Roman" w:cs="Times New Roman"/>
          <w:iCs/>
          <w:sz w:val="28"/>
          <w:szCs w:val="28"/>
          <w:lang w:val="uk-UA"/>
        </w:rPr>
        <w:t xml:space="preserve"> І.А., </w:t>
      </w:r>
      <w:proofErr w:type="spellStart"/>
      <w:r w:rsidRPr="005F0419">
        <w:rPr>
          <w:rFonts w:ascii="Times New Roman" w:eastAsia="Times New Roman" w:hAnsi="Times New Roman" w:cs="Times New Roman"/>
          <w:iCs/>
          <w:sz w:val="28"/>
          <w:szCs w:val="28"/>
          <w:lang w:val="uk-UA"/>
        </w:rPr>
        <w:t>Венгер</w:t>
      </w:r>
      <w:proofErr w:type="spellEnd"/>
      <w:r w:rsidRPr="005F0419">
        <w:rPr>
          <w:rFonts w:ascii="Times New Roman" w:eastAsia="Times New Roman" w:hAnsi="Times New Roman" w:cs="Times New Roman"/>
          <w:iCs/>
          <w:sz w:val="28"/>
          <w:szCs w:val="28"/>
          <w:lang w:val="uk-UA"/>
        </w:rPr>
        <w:t xml:space="preserve"> Є.І. Аналіз пропозицій туристичних франшиз на вітчизняному ринку.  Економічний форум. </w:t>
      </w:r>
      <w:r w:rsidR="00250686" w:rsidRPr="005F0419">
        <w:rPr>
          <w:rFonts w:ascii="Times New Roman" w:eastAsia="Times New Roman" w:hAnsi="Times New Roman" w:cs="Times New Roman"/>
          <w:iCs/>
          <w:sz w:val="28"/>
          <w:szCs w:val="28"/>
          <w:lang w:val="uk-UA"/>
        </w:rPr>
        <w:t>2016. №</w:t>
      </w:r>
      <w:r w:rsidRPr="005F0419">
        <w:rPr>
          <w:rFonts w:ascii="Times New Roman" w:eastAsia="Times New Roman" w:hAnsi="Times New Roman" w:cs="Times New Roman"/>
          <w:iCs/>
          <w:sz w:val="28"/>
          <w:szCs w:val="28"/>
          <w:lang w:val="uk-UA"/>
        </w:rPr>
        <w:t>1.  С.11-12.</w:t>
      </w:r>
    </w:p>
    <w:p w14:paraId="4B0F63F9" w14:textId="0D3F670E" w:rsidR="00DB21B7" w:rsidRPr="005F0419" w:rsidRDefault="00DB21B7" w:rsidP="00DB21B7">
      <w:pPr>
        <w:shd w:val="clear" w:color="auto" w:fill="FFFFFF"/>
        <w:spacing w:after="0" w:line="360" w:lineRule="auto"/>
        <w:ind w:firstLine="720"/>
        <w:jc w:val="both"/>
        <w:rPr>
          <w:rFonts w:ascii="Times New Roman" w:hAnsi="Times New Roman" w:cs="Times New Roman"/>
          <w:sz w:val="28"/>
          <w:szCs w:val="28"/>
          <w:shd w:val="clear" w:color="auto" w:fill="FFFFFF"/>
          <w:lang w:val="uk-UA"/>
        </w:rPr>
      </w:pPr>
      <w:r w:rsidRPr="005F0419">
        <w:rPr>
          <w:rFonts w:ascii="Times New Roman" w:hAnsi="Times New Roman" w:cs="Times New Roman"/>
          <w:sz w:val="28"/>
          <w:szCs w:val="28"/>
          <w:lang w:val="uk-UA"/>
        </w:rPr>
        <w:t xml:space="preserve">38. </w:t>
      </w:r>
      <w:r w:rsidRPr="005F0419">
        <w:rPr>
          <w:rFonts w:ascii="Times New Roman" w:eastAsia="Times New Roman" w:hAnsi="Times New Roman" w:cs="Times New Roman"/>
          <w:sz w:val="28"/>
          <w:szCs w:val="28"/>
          <w:lang w:val="uk-UA"/>
        </w:rPr>
        <w:t>Семенов В.</w:t>
      </w:r>
      <w:r w:rsidR="00250686"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Ф. Бортник Л.</w:t>
      </w:r>
      <w:r w:rsidR="00250686" w:rsidRPr="005F0419">
        <w:rPr>
          <w:rFonts w:ascii="Times New Roman" w:eastAsia="Times New Roman" w:hAnsi="Times New Roman" w:cs="Times New Roman"/>
          <w:sz w:val="28"/>
          <w:szCs w:val="28"/>
          <w:lang w:val="uk-UA"/>
        </w:rPr>
        <w:t xml:space="preserve"> </w:t>
      </w:r>
      <w:r w:rsidRPr="005F0419">
        <w:rPr>
          <w:rFonts w:ascii="Times New Roman" w:eastAsia="Times New Roman" w:hAnsi="Times New Roman" w:cs="Times New Roman"/>
          <w:sz w:val="28"/>
          <w:szCs w:val="28"/>
          <w:lang w:val="uk-UA"/>
        </w:rPr>
        <w:t>В. Франчайзинг як метод організації і розвитку готельного бізнесу.</w:t>
      </w:r>
      <w:r w:rsidRPr="005F0419">
        <w:rPr>
          <w:rFonts w:ascii="Times New Roman" w:hAnsi="Times New Roman" w:cs="Times New Roman"/>
          <w:sz w:val="28"/>
          <w:szCs w:val="28"/>
          <w:shd w:val="clear" w:color="auto" w:fill="FFFFFF"/>
          <w:lang w:val="uk-UA"/>
        </w:rPr>
        <w:t xml:space="preserve"> Вісник соціально-економічних досліджень, 2013.  Вип.2(49). Ч.1. C.68-75</w:t>
      </w:r>
    </w:p>
    <w:p w14:paraId="287B1336" w14:textId="32964D43" w:rsidR="00DB21B7" w:rsidRPr="005F0419" w:rsidRDefault="00DB21B7" w:rsidP="00DB21B7">
      <w:pPr>
        <w:shd w:val="clear" w:color="auto" w:fill="FFFFFF"/>
        <w:spacing w:after="0" w:line="360" w:lineRule="auto"/>
        <w:ind w:firstLine="720"/>
        <w:jc w:val="both"/>
        <w:rPr>
          <w:rFonts w:ascii="Times New Roman" w:eastAsia="Times New Roman" w:hAnsi="Times New Roman" w:cs="Times New Roman"/>
          <w:iCs/>
          <w:sz w:val="28"/>
          <w:szCs w:val="28"/>
          <w:lang w:val="uk-UA"/>
        </w:rPr>
      </w:pPr>
      <w:r w:rsidRPr="005F0419">
        <w:rPr>
          <w:rFonts w:ascii="Times New Roman" w:eastAsia="Times New Roman" w:hAnsi="Times New Roman" w:cs="Times New Roman"/>
          <w:iCs/>
          <w:sz w:val="28"/>
          <w:szCs w:val="28"/>
          <w:lang w:val="uk-UA"/>
        </w:rPr>
        <w:t>39. Бедринець М. Франчайзинг: світовий досвід і перспективи розвитку в Україні . Фінанси України, 2001. № 2. С. 96</w:t>
      </w:r>
      <w:r w:rsidR="00250686" w:rsidRPr="005F0419">
        <w:rPr>
          <w:rFonts w:ascii="Times New Roman" w:eastAsia="Times New Roman" w:hAnsi="Times New Roman" w:cs="Times New Roman"/>
          <w:iCs/>
          <w:sz w:val="28"/>
          <w:szCs w:val="28"/>
          <w:lang w:val="uk-UA"/>
        </w:rPr>
        <w:t>-</w:t>
      </w:r>
      <w:r w:rsidRPr="005F0419">
        <w:rPr>
          <w:rFonts w:ascii="Times New Roman" w:eastAsia="Times New Roman" w:hAnsi="Times New Roman" w:cs="Times New Roman"/>
          <w:iCs/>
          <w:sz w:val="28"/>
          <w:szCs w:val="28"/>
          <w:lang w:val="uk-UA"/>
        </w:rPr>
        <w:t>104.</w:t>
      </w:r>
    </w:p>
    <w:p w14:paraId="149CCA99" w14:textId="56D8BDCC"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40. Вовчанська О.</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М., Іванова Л.</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О.</w:t>
      </w:r>
      <w:r w:rsidR="00250686" w:rsidRPr="005F0419">
        <w:rPr>
          <w:rFonts w:ascii="Times New Roman" w:hAnsi="Times New Roman" w:cs="Times New Roman"/>
          <w:sz w:val="28"/>
          <w:szCs w:val="28"/>
          <w:lang w:val="uk-UA"/>
        </w:rPr>
        <w:t xml:space="preserve"> </w:t>
      </w:r>
      <w:r w:rsidRPr="005F0419">
        <w:rPr>
          <w:rStyle w:val="fontstyle01"/>
          <w:rFonts w:ascii="Times New Roman" w:hAnsi="Times New Roman" w:cs="Times New Roman"/>
          <w:color w:val="auto"/>
          <w:sz w:val="28"/>
          <w:szCs w:val="28"/>
          <w:lang w:val="uk-UA"/>
        </w:rPr>
        <w:t>Франчайзинг як маркетингова технологія забезпечення розвитку та стійкості ресторанного бізнесу.</w:t>
      </w:r>
      <w:r w:rsidRPr="005F0419">
        <w:rPr>
          <w:rFonts w:ascii="Times New Roman" w:hAnsi="Times New Roman" w:cs="Times New Roman"/>
          <w:sz w:val="28"/>
          <w:szCs w:val="28"/>
          <w:lang w:val="uk-UA"/>
        </w:rPr>
        <w:t xml:space="preserve"> Підприємництво і торгівля</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2018. </w:t>
      </w:r>
      <w:r w:rsidR="00250686" w:rsidRPr="005F0419">
        <w:rPr>
          <w:rFonts w:ascii="Times New Roman" w:hAnsi="Times New Roman" w:cs="Times New Roman"/>
          <w:sz w:val="28"/>
          <w:szCs w:val="28"/>
          <w:lang w:val="uk-UA"/>
        </w:rPr>
        <w:t>В</w:t>
      </w:r>
      <w:r w:rsidRPr="005F0419">
        <w:rPr>
          <w:rFonts w:ascii="Times New Roman" w:hAnsi="Times New Roman" w:cs="Times New Roman"/>
          <w:sz w:val="28"/>
          <w:szCs w:val="28"/>
          <w:lang w:val="uk-UA"/>
        </w:rPr>
        <w:t>ип.23.  С. 130-136</w:t>
      </w:r>
      <w:r w:rsidR="00250686" w:rsidRPr="005F0419">
        <w:rPr>
          <w:rFonts w:ascii="Times New Roman" w:hAnsi="Times New Roman" w:cs="Times New Roman"/>
          <w:sz w:val="28"/>
          <w:szCs w:val="28"/>
          <w:lang w:val="uk-UA"/>
        </w:rPr>
        <w:t>.</w:t>
      </w:r>
    </w:p>
    <w:p w14:paraId="5E150A19" w14:textId="02141745"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41.</w:t>
      </w:r>
      <w:r w:rsidR="00250686"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Vasylenko</w:t>
      </w:r>
      <w:proofErr w:type="spellEnd"/>
      <w:r w:rsidRPr="005F0419">
        <w:rPr>
          <w:rFonts w:ascii="Times New Roman" w:hAnsi="Times New Roman" w:cs="Times New Roman"/>
          <w:sz w:val="28"/>
          <w:szCs w:val="28"/>
          <w:lang w:val="uk-UA"/>
        </w:rPr>
        <w:t xml:space="preserve"> O., </w:t>
      </w:r>
      <w:proofErr w:type="spellStart"/>
      <w:r w:rsidRPr="005F0419">
        <w:rPr>
          <w:rFonts w:ascii="Times New Roman" w:hAnsi="Times New Roman" w:cs="Times New Roman"/>
          <w:sz w:val="28"/>
          <w:szCs w:val="28"/>
          <w:lang w:val="uk-UA"/>
        </w:rPr>
        <w:t>Lytvynets</w:t>
      </w:r>
      <w:proofErr w:type="spellEnd"/>
      <w:r w:rsidRPr="005F0419">
        <w:rPr>
          <w:rFonts w:ascii="Times New Roman" w:hAnsi="Times New Roman" w:cs="Times New Roman"/>
          <w:sz w:val="28"/>
          <w:szCs w:val="28"/>
          <w:lang w:val="uk-UA"/>
        </w:rPr>
        <w:t xml:space="preserve"> S. Особливості застосування аутсорсингу в </w:t>
      </w:r>
      <w:proofErr w:type="spellStart"/>
      <w:r w:rsidRPr="005F0419">
        <w:rPr>
          <w:rFonts w:ascii="Times New Roman" w:hAnsi="Times New Roman" w:cs="Times New Roman"/>
          <w:sz w:val="28"/>
          <w:szCs w:val="28"/>
          <w:lang w:val="uk-UA"/>
        </w:rPr>
        <w:t>готельно</w:t>
      </w:r>
      <w:proofErr w:type="spellEnd"/>
      <w:r w:rsidRPr="005F0419">
        <w:rPr>
          <w:rFonts w:ascii="Times New Roman" w:hAnsi="Times New Roman" w:cs="Times New Roman"/>
          <w:sz w:val="28"/>
          <w:szCs w:val="28"/>
          <w:lang w:val="uk-UA"/>
        </w:rPr>
        <w:t>-ресторанному бізнесі. Ресторанний і готельний консалтинг. Інновації</w:t>
      </w:r>
      <w:r w:rsidR="00250686" w:rsidRPr="005F0419">
        <w:rPr>
          <w:rFonts w:ascii="Times New Roman" w:hAnsi="Times New Roman" w:cs="Times New Roman"/>
          <w:sz w:val="28"/>
          <w:szCs w:val="28"/>
          <w:lang w:val="uk-UA"/>
        </w:rPr>
        <w:t xml:space="preserve">. 2019. </w:t>
      </w:r>
      <w:r w:rsidRPr="005F0419">
        <w:rPr>
          <w:rFonts w:ascii="Times New Roman" w:hAnsi="Times New Roman" w:cs="Times New Roman"/>
          <w:sz w:val="28"/>
          <w:szCs w:val="28"/>
          <w:lang w:val="uk-UA"/>
        </w:rPr>
        <w:t>2(2)</w:t>
      </w:r>
      <w:r w:rsidR="00250686" w:rsidRPr="005F0419">
        <w:rPr>
          <w:rFonts w:ascii="Times New Roman" w:hAnsi="Times New Roman" w:cs="Times New Roman"/>
          <w:sz w:val="28"/>
          <w:szCs w:val="28"/>
          <w:lang w:val="uk-UA"/>
        </w:rPr>
        <w:t xml:space="preserve">. С. </w:t>
      </w:r>
      <w:r w:rsidRPr="005F0419">
        <w:rPr>
          <w:rFonts w:ascii="Times New Roman" w:hAnsi="Times New Roman" w:cs="Times New Roman"/>
          <w:sz w:val="28"/>
          <w:szCs w:val="28"/>
          <w:lang w:val="uk-UA"/>
        </w:rPr>
        <w:t>272-283</w:t>
      </w:r>
      <w:r w:rsidR="00250686" w:rsidRPr="005F0419">
        <w:rPr>
          <w:rFonts w:ascii="Times New Roman" w:hAnsi="Times New Roman" w:cs="Times New Roman"/>
          <w:sz w:val="28"/>
          <w:szCs w:val="28"/>
          <w:lang w:val="uk-UA"/>
        </w:rPr>
        <w:t>.</w:t>
      </w:r>
    </w:p>
    <w:p w14:paraId="68315BF6" w14:textId="2D815DF8"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42. Лисюк Т.</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В.,</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Терещук О.С. Аутсорсинг як чинник підвищення інноваційної діяльності  у сфері туризму та </w:t>
      </w:r>
      <w:proofErr w:type="spellStart"/>
      <w:r w:rsidRPr="005F0419">
        <w:rPr>
          <w:rFonts w:ascii="Times New Roman" w:hAnsi="Times New Roman" w:cs="Times New Roman"/>
          <w:sz w:val="28"/>
          <w:szCs w:val="28"/>
          <w:lang w:val="uk-UA"/>
        </w:rPr>
        <w:t>готельно</w:t>
      </w:r>
      <w:proofErr w:type="spellEnd"/>
      <w:r w:rsidRPr="005F0419">
        <w:rPr>
          <w:rFonts w:ascii="Times New Roman" w:hAnsi="Times New Roman" w:cs="Times New Roman"/>
          <w:sz w:val="28"/>
          <w:szCs w:val="28"/>
          <w:lang w:val="uk-UA"/>
        </w:rPr>
        <w:t>-ресторанного господарства. Науковий огляд</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2016</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№6(27)</w:t>
      </w:r>
      <w:r w:rsidR="00250686" w:rsidRPr="005F0419">
        <w:rPr>
          <w:rFonts w:ascii="Times New Roman" w:hAnsi="Times New Roman" w:cs="Times New Roman"/>
          <w:sz w:val="28"/>
          <w:szCs w:val="28"/>
          <w:lang w:val="uk-UA"/>
        </w:rPr>
        <w:t xml:space="preserve">. С. </w:t>
      </w:r>
      <w:r w:rsidRPr="005F0419">
        <w:rPr>
          <w:rFonts w:ascii="Times New Roman" w:hAnsi="Times New Roman" w:cs="Times New Roman"/>
          <w:sz w:val="28"/>
          <w:szCs w:val="28"/>
          <w:lang w:val="uk-UA"/>
        </w:rPr>
        <w:t>10-20</w:t>
      </w:r>
      <w:r w:rsidR="00250686" w:rsidRPr="005F0419">
        <w:rPr>
          <w:rFonts w:ascii="Times New Roman" w:hAnsi="Times New Roman" w:cs="Times New Roman"/>
          <w:sz w:val="28"/>
          <w:szCs w:val="28"/>
          <w:lang w:val="uk-UA"/>
        </w:rPr>
        <w:t>.</w:t>
      </w:r>
    </w:p>
    <w:p w14:paraId="48A1E860" w14:textId="5FA242AC"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43. </w:t>
      </w:r>
      <w:proofErr w:type="spellStart"/>
      <w:r w:rsidRPr="005F0419">
        <w:rPr>
          <w:rFonts w:ascii="Times New Roman" w:hAnsi="Times New Roman" w:cs="Times New Roman"/>
          <w:sz w:val="28"/>
          <w:szCs w:val="28"/>
          <w:lang w:val="uk-UA"/>
        </w:rPr>
        <w:t>Тітомир</w:t>
      </w:r>
      <w:proofErr w:type="spellEnd"/>
      <w:r w:rsidRPr="005F0419">
        <w:rPr>
          <w:rFonts w:ascii="Times New Roman" w:hAnsi="Times New Roman" w:cs="Times New Roman"/>
          <w:sz w:val="28"/>
          <w:szCs w:val="28"/>
          <w:lang w:val="uk-UA"/>
        </w:rPr>
        <w:t xml:space="preserve"> Л.А., </w:t>
      </w:r>
      <w:proofErr w:type="spellStart"/>
      <w:r w:rsidRPr="005F0419">
        <w:rPr>
          <w:rFonts w:ascii="Times New Roman" w:hAnsi="Times New Roman" w:cs="Times New Roman"/>
          <w:bCs/>
          <w:sz w:val="28"/>
          <w:szCs w:val="28"/>
          <w:shd w:val="clear" w:color="auto" w:fill="FFFFFF"/>
          <w:lang w:val="uk-UA"/>
        </w:rPr>
        <w:t>Д’яконова</w:t>
      </w:r>
      <w:proofErr w:type="spellEnd"/>
      <w:r w:rsidRPr="005F0419">
        <w:rPr>
          <w:rFonts w:ascii="Times New Roman" w:hAnsi="Times New Roman" w:cs="Times New Roman"/>
          <w:sz w:val="28"/>
          <w:szCs w:val="28"/>
          <w:lang w:val="uk-UA"/>
        </w:rPr>
        <w:t xml:space="preserve"> А.</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К.,</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Жовтяк К.</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О.</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Організація структури управління та контролю якості послуг  в закладах розміщення  Півдня України</w:t>
      </w:r>
      <w:r w:rsidR="00250686"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Економіка та суспільство</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2021. №32</w:t>
      </w:r>
      <w:r w:rsidR="00250686"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DOL:10.32782/2524-0072/2021-32-79</w:t>
      </w:r>
    </w:p>
    <w:p w14:paraId="065C75F5" w14:textId="057566A8"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44.</w:t>
      </w:r>
      <w:r w:rsidR="00250686"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Тітомир</w:t>
      </w:r>
      <w:proofErr w:type="spellEnd"/>
      <w:r w:rsidRPr="005F0419">
        <w:rPr>
          <w:rFonts w:ascii="Times New Roman" w:hAnsi="Times New Roman" w:cs="Times New Roman"/>
          <w:sz w:val="28"/>
          <w:szCs w:val="28"/>
          <w:lang w:val="uk-UA"/>
        </w:rPr>
        <w:t xml:space="preserve"> Л.</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А.</w:t>
      </w:r>
      <w:r w:rsidRPr="005F0419">
        <w:rPr>
          <w:rFonts w:ascii="Times New Roman" w:hAnsi="Times New Roman" w:cs="Times New Roman"/>
          <w:bCs/>
          <w:sz w:val="28"/>
          <w:szCs w:val="28"/>
          <w:shd w:val="clear" w:color="auto" w:fill="FFFFFF"/>
          <w:lang w:val="uk-UA"/>
        </w:rPr>
        <w:t xml:space="preserve">, </w:t>
      </w:r>
      <w:proofErr w:type="spellStart"/>
      <w:r w:rsidRPr="005F0419">
        <w:rPr>
          <w:rFonts w:ascii="Times New Roman" w:hAnsi="Times New Roman" w:cs="Times New Roman"/>
          <w:bCs/>
          <w:sz w:val="28"/>
          <w:szCs w:val="28"/>
          <w:shd w:val="clear" w:color="auto" w:fill="FFFFFF"/>
          <w:lang w:val="uk-UA"/>
        </w:rPr>
        <w:t>Д’яконова</w:t>
      </w:r>
      <w:proofErr w:type="spellEnd"/>
      <w:r w:rsidRPr="005F0419">
        <w:rPr>
          <w:rFonts w:ascii="Times New Roman" w:hAnsi="Times New Roman" w:cs="Times New Roman"/>
          <w:bCs/>
          <w:sz w:val="28"/>
          <w:szCs w:val="28"/>
          <w:shd w:val="clear" w:color="auto" w:fill="FFFFFF"/>
          <w:lang w:val="uk-UA"/>
        </w:rPr>
        <w:t xml:space="preserve"> А.</w:t>
      </w:r>
      <w:r w:rsidR="00250686" w:rsidRPr="005F0419">
        <w:rPr>
          <w:rFonts w:ascii="Times New Roman" w:hAnsi="Times New Roman" w:cs="Times New Roman"/>
          <w:bCs/>
          <w:sz w:val="28"/>
          <w:szCs w:val="28"/>
          <w:shd w:val="clear" w:color="auto" w:fill="FFFFFF"/>
          <w:lang w:val="uk-UA"/>
        </w:rPr>
        <w:t xml:space="preserve"> </w:t>
      </w:r>
      <w:r w:rsidRPr="005F0419">
        <w:rPr>
          <w:rFonts w:ascii="Times New Roman" w:hAnsi="Times New Roman" w:cs="Times New Roman"/>
          <w:bCs/>
          <w:sz w:val="28"/>
          <w:szCs w:val="28"/>
          <w:shd w:val="clear" w:color="auto" w:fill="FFFFFF"/>
          <w:lang w:val="uk-UA"/>
        </w:rPr>
        <w:t>К.</w:t>
      </w:r>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Трішин</w:t>
      </w:r>
      <w:proofErr w:type="spellEnd"/>
      <w:r w:rsidRPr="005F0419">
        <w:rPr>
          <w:rFonts w:ascii="Times New Roman" w:hAnsi="Times New Roman" w:cs="Times New Roman"/>
          <w:sz w:val="28"/>
          <w:szCs w:val="28"/>
          <w:lang w:val="uk-UA"/>
        </w:rPr>
        <w:t xml:space="preserve"> Ф.</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А</w:t>
      </w:r>
      <w:r w:rsidR="00250686"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Коротич О.</w:t>
      </w:r>
      <w:r w:rsidR="00250686"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М.  Інноваційні напрямки розвитку закладів готельного господарства. Економіка харчової промисловості. 2021. Т.13.  № 1. С. 62-66</w:t>
      </w:r>
      <w:r w:rsidR="00551F48" w:rsidRPr="005F0419">
        <w:rPr>
          <w:rFonts w:ascii="Times New Roman" w:hAnsi="Times New Roman" w:cs="Times New Roman"/>
          <w:sz w:val="28"/>
          <w:szCs w:val="28"/>
          <w:lang w:val="uk-UA"/>
        </w:rPr>
        <w:t>.</w:t>
      </w:r>
    </w:p>
    <w:p w14:paraId="2425EBA2" w14:textId="7EB4F125"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45.</w:t>
      </w:r>
      <w:r w:rsidR="00431371"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Тітомир</w:t>
      </w:r>
      <w:proofErr w:type="spellEnd"/>
      <w:r w:rsidRPr="005F0419">
        <w:rPr>
          <w:rFonts w:ascii="Times New Roman" w:hAnsi="Times New Roman" w:cs="Times New Roman"/>
          <w:sz w:val="28"/>
          <w:szCs w:val="28"/>
          <w:lang w:val="uk-UA"/>
        </w:rPr>
        <w:t xml:space="preserve"> Л.</w:t>
      </w:r>
      <w:r w:rsidR="0043137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А., Коротич О.</w:t>
      </w:r>
      <w:r w:rsidR="0043137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М., </w:t>
      </w:r>
      <w:proofErr w:type="spellStart"/>
      <w:r w:rsidRPr="005F0419">
        <w:rPr>
          <w:rFonts w:ascii="Times New Roman" w:hAnsi="Times New Roman" w:cs="Times New Roman"/>
          <w:sz w:val="28"/>
          <w:szCs w:val="28"/>
          <w:lang w:val="uk-UA"/>
        </w:rPr>
        <w:t>Халілова-Чуваєва</w:t>
      </w:r>
      <w:proofErr w:type="spellEnd"/>
      <w:r w:rsidRPr="005F0419">
        <w:rPr>
          <w:rFonts w:ascii="Times New Roman" w:hAnsi="Times New Roman" w:cs="Times New Roman"/>
          <w:sz w:val="28"/>
          <w:szCs w:val="28"/>
          <w:lang w:val="uk-UA"/>
        </w:rPr>
        <w:t xml:space="preserve"> Ю.</w:t>
      </w:r>
      <w:r w:rsidR="0043137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О</w:t>
      </w:r>
      <w:r w:rsidR="00431371"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Екологізація готелів як напрям розвитку </w:t>
      </w:r>
      <w:proofErr w:type="spellStart"/>
      <w:r w:rsidRPr="005F0419">
        <w:rPr>
          <w:rFonts w:ascii="Times New Roman" w:hAnsi="Times New Roman" w:cs="Times New Roman"/>
          <w:sz w:val="28"/>
          <w:szCs w:val="28"/>
          <w:lang w:val="uk-UA"/>
        </w:rPr>
        <w:t>готельно</w:t>
      </w:r>
      <w:proofErr w:type="spellEnd"/>
      <w:r w:rsidRPr="005F0419">
        <w:rPr>
          <w:rFonts w:ascii="Times New Roman" w:hAnsi="Times New Roman" w:cs="Times New Roman"/>
          <w:sz w:val="28"/>
          <w:szCs w:val="28"/>
          <w:lang w:val="uk-UA"/>
        </w:rPr>
        <w:t>-ресторанного бізнесу. Економіка харчової промисловості</w:t>
      </w:r>
      <w:r w:rsidR="0043137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2021.</w:t>
      </w:r>
      <w:r w:rsidR="0043137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Т</w:t>
      </w:r>
      <w:r w:rsidR="00431371"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13.</w:t>
      </w:r>
      <w:r w:rsidR="0043137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№.3.</w:t>
      </w:r>
      <w:r w:rsidR="0043137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С</w:t>
      </w:r>
      <w:r w:rsidR="0043137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88-93</w:t>
      </w:r>
      <w:r w:rsidR="00431371" w:rsidRPr="005F0419">
        <w:rPr>
          <w:rFonts w:ascii="Times New Roman" w:hAnsi="Times New Roman" w:cs="Times New Roman"/>
          <w:sz w:val="28"/>
          <w:szCs w:val="28"/>
          <w:lang w:val="uk-UA"/>
        </w:rPr>
        <w:t>.</w:t>
      </w:r>
    </w:p>
    <w:p w14:paraId="5DCD5F18" w14:textId="6D6FDBDE" w:rsidR="00DB21B7" w:rsidRPr="005F0419" w:rsidRDefault="00DB21B7" w:rsidP="00DB21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46. </w:t>
      </w:r>
      <w:proofErr w:type="spellStart"/>
      <w:r w:rsidRPr="005F0419">
        <w:rPr>
          <w:rFonts w:ascii="Times New Roman" w:hAnsi="Times New Roman" w:cs="Times New Roman"/>
          <w:sz w:val="28"/>
          <w:szCs w:val="28"/>
          <w:lang w:val="uk-UA"/>
        </w:rPr>
        <w:t>Борщук</w:t>
      </w:r>
      <w:proofErr w:type="spellEnd"/>
      <w:r w:rsidRPr="005F0419">
        <w:rPr>
          <w:rFonts w:ascii="Times New Roman" w:hAnsi="Times New Roman" w:cs="Times New Roman"/>
          <w:sz w:val="28"/>
          <w:szCs w:val="28"/>
          <w:lang w:val="uk-UA"/>
        </w:rPr>
        <w:t xml:space="preserve"> Є. М. Глобальна енергетична проблема і концепція стійкого розвитку. Актуальні проблеми економіки</w:t>
      </w:r>
      <w:r w:rsidR="00431371"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20</w:t>
      </w:r>
      <w:r w:rsidR="00431371" w:rsidRPr="005F0419">
        <w:rPr>
          <w:rFonts w:ascii="Times New Roman" w:hAnsi="Times New Roman" w:cs="Times New Roman"/>
          <w:sz w:val="28"/>
          <w:szCs w:val="28"/>
          <w:lang w:val="uk-UA"/>
        </w:rPr>
        <w:t>06</w:t>
      </w:r>
      <w:r w:rsidRPr="005F0419">
        <w:rPr>
          <w:rFonts w:ascii="Times New Roman" w:hAnsi="Times New Roman" w:cs="Times New Roman"/>
          <w:sz w:val="28"/>
          <w:szCs w:val="28"/>
          <w:lang w:val="uk-UA"/>
        </w:rPr>
        <w:t>.</w:t>
      </w:r>
      <w:r w:rsidR="00431371" w:rsidRPr="005F0419">
        <w:rPr>
          <w:rFonts w:ascii="Times New Roman" w:hAnsi="Times New Roman" w:cs="Times New Roman"/>
          <w:sz w:val="28"/>
          <w:szCs w:val="28"/>
          <w:lang w:val="uk-UA"/>
        </w:rPr>
        <w:t xml:space="preserve"> №11.</w:t>
      </w:r>
      <w:r w:rsidRPr="005F0419">
        <w:rPr>
          <w:rFonts w:ascii="Times New Roman" w:hAnsi="Times New Roman" w:cs="Times New Roman"/>
          <w:sz w:val="28"/>
          <w:szCs w:val="28"/>
          <w:lang w:val="uk-UA"/>
        </w:rPr>
        <w:t xml:space="preserve"> С.218–225.</w:t>
      </w:r>
    </w:p>
    <w:p w14:paraId="1882A57A" w14:textId="77777777" w:rsidR="00431371" w:rsidRPr="005F0419" w:rsidRDefault="00431371" w:rsidP="00DB21B7">
      <w:pPr>
        <w:spacing w:after="0" w:line="360" w:lineRule="auto"/>
        <w:ind w:firstLine="720"/>
        <w:jc w:val="both"/>
        <w:rPr>
          <w:rFonts w:ascii="Times New Roman" w:hAnsi="Times New Roman" w:cs="Times New Roman"/>
          <w:b/>
          <w:bCs/>
          <w:i/>
          <w:iCs/>
          <w:sz w:val="28"/>
          <w:szCs w:val="28"/>
          <w:lang w:val="uk-UA"/>
        </w:rPr>
      </w:pPr>
    </w:p>
    <w:p w14:paraId="2AC6133B" w14:textId="76F7B90A" w:rsidR="00DB21B7" w:rsidRPr="005F0419" w:rsidRDefault="00DB21B7" w:rsidP="00DB21B7">
      <w:pPr>
        <w:spacing w:after="0" w:line="360" w:lineRule="auto"/>
        <w:ind w:firstLine="720"/>
        <w:jc w:val="both"/>
        <w:rPr>
          <w:rFonts w:ascii="Times New Roman" w:hAnsi="Times New Roman" w:cs="Times New Roman"/>
          <w:i/>
          <w:iCs/>
          <w:sz w:val="28"/>
          <w:szCs w:val="28"/>
          <w:lang w:val="uk-UA"/>
        </w:rPr>
      </w:pPr>
      <w:r w:rsidRPr="005F0419">
        <w:rPr>
          <w:rFonts w:ascii="Times New Roman" w:hAnsi="Times New Roman" w:cs="Times New Roman"/>
          <w:b/>
          <w:bCs/>
          <w:i/>
          <w:iCs/>
          <w:sz w:val="28"/>
          <w:szCs w:val="28"/>
          <w:lang w:val="uk-UA"/>
        </w:rPr>
        <w:t>Ключові слова:</w:t>
      </w:r>
      <w:r w:rsidRPr="005F0419">
        <w:rPr>
          <w:rFonts w:ascii="Times New Roman" w:hAnsi="Times New Roman" w:cs="Times New Roman"/>
          <w:i/>
          <w:iCs/>
          <w:sz w:val="28"/>
          <w:szCs w:val="28"/>
          <w:lang w:val="uk-UA"/>
        </w:rPr>
        <w:t xml:space="preserve"> інновації, глобалізація, </w:t>
      </w:r>
      <w:proofErr w:type="spellStart"/>
      <w:r w:rsidRPr="005F0419">
        <w:rPr>
          <w:rFonts w:ascii="Times New Roman" w:hAnsi="Times New Roman" w:cs="Times New Roman"/>
          <w:i/>
          <w:iCs/>
          <w:sz w:val="28"/>
          <w:szCs w:val="28"/>
          <w:lang w:val="uk-UA"/>
        </w:rPr>
        <w:t>фрачайзінг</w:t>
      </w:r>
      <w:proofErr w:type="spellEnd"/>
      <w:r w:rsidRPr="005F0419">
        <w:rPr>
          <w:rFonts w:ascii="Times New Roman" w:hAnsi="Times New Roman" w:cs="Times New Roman"/>
          <w:i/>
          <w:iCs/>
          <w:sz w:val="28"/>
          <w:szCs w:val="28"/>
          <w:lang w:val="uk-UA"/>
        </w:rPr>
        <w:t>, екологізація, технологізація, спеціалізація, диверсифікація.</w:t>
      </w:r>
    </w:p>
    <w:p w14:paraId="0BDC8D69" w14:textId="77777777" w:rsidR="00DB21B7" w:rsidRPr="005F0419" w:rsidRDefault="00DB21B7" w:rsidP="00DB21B7">
      <w:pPr>
        <w:spacing w:after="0" w:line="360" w:lineRule="auto"/>
        <w:ind w:firstLine="720"/>
        <w:jc w:val="both"/>
        <w:rPr>
          <w:rFonts w:ascii="Times New Roman" w:hAnsi="Times New Roman" w:cs="Times New Roman"/>
          <w:sz w:val="28"/>
          <w:szCs w:val="28"/>
          <w:lang w:val="uk-UA"/>
        </w:rPr>
      </w:pPr>
    </w:p>
    <w:p w14:paraId="2729B9DB" w14:textId="77777777" w:rsidR="00DB21B7" w:rsidRPr="005F0419" w:rsidRDefault="00DB21B7" w:rsidP="00DB21B7">
      <w:pPr>
        <w:shd w:val="clear" w:color="auto" w:fill="FFFFFF"/>
        <w:spacing w:after="0" w:line="360" w:lineRule="auto"/>
        <w:ind w:firstLine="720"/>
        <w:jc w:val="both"/>
        <w:rPr>
          <w:rFonts w:ascii="Times New Roman" w:eastAsia="Times New Roman" w:hAnsi="Times New Roman" w:cs="Times New Roman"/>
          <w:iCs/>
          <w:sz w:val="28"/>
          <w:szCs w:val="28"/>
          <w:lang w:val="uk-UA"/>
        </w:rPr>
      </w:pPr>
    </w:p>
    <w:p w14:paraId="06CBCFB1" w14:textId="77777777" w:rsidR="00DB21B7" w:rsidRPr="005F0419" w:rsidRDefault="00DB21B7" w:rsidP="00DB21B7">
      <w:pPr>
        <w:spacing w:after="0" w:line="360" w:lineRule="auto"/>
        <w:ind w:firstLine="720"/>
        <w:jc w:val="both"/>
        <w:rPr>
          <w:rFonts w:ascii="Times New Roman" w:hAnsi="Times New Roman" w:cs="Times New Roman"/>
          <w:sz w:val="28"/>
          <w:szCs w:val="28"/>
          <w:lang w:val="uk-UA"/>
        </w:rPr>
      </w:pPr>
    </w:p>
    <w:p w14:paraId="4080DDA6" w14:textId="77777777" w:rsidR="00662012" w:rsidRPr="005F0419" w:rsidRDefault="00662012" w:rsidP="00D42F9E">
      <w:pPr>
        <w:suppressAutoHyphens/>
        <w:autoSpaceDE w:val="0"/>
        <w:autoSpaceDN w:val="0"/>
        <w:adjustRightInd w:val="0"/>
        <w:spacing w:after="0" w:line="360" w:lineRule="auto"/>
        <w:ind w:firstLine="720"/>
        <w:jc w:val="center"/>
        <w:rPr>
          <w:rFonts w:ascii="Times New Roman" w:hAnsi="Times New Roman" w:cs="Times New Roman"/>
          <w:b/>
          <w:bCs/>
          <w:spacing w:val="-2"/>
          <w:sz w:val="28"/>
          <w:szCs w:val="28"/>
          <w:lang w:val="uk-UA"/>
        </w:rPr>
      </w:pPr>
      <w:r w:rsidRPr="005F0419">
        <w:rPr>
          <w:rFonts w:ascii="Times New Roman" w:hAnsi="Times New Roman" w:cs="Times New Roman"/>
          <w:b/>
          <w:bCs/>
          <w:sz w:val="28"/>
          <w:szCs w:val="28"/>
          <w:shd w:val="clear" w:color="auto" w:fill="FFFFFF"/>
          <w:lang w:val="uk-UA"/>
        </w:rPr>
        <w:t>СТРАТЕГІЯ ВІДНОВЛЕННЯ ПОТЕНЦІАЛУ МІЖНАРОДНОГО СПІВРОБІТНИЦТВА УКРАЇНСЬКОЇ ІНДУСТРІЇ ТУРИЗМУ В КРИЗОВИХ УМОВАХ ГЕОЕКОНОМІЧНОГО ПРОСТОРУ</w:t>
      </w:r>
    </w:p>
    <w:bookmarkEnd w:id="21"/>
    <w:p w14:paraId="2AC40E76" w14:textId="77777777" w:rsidR="00662012" w:rsidRPr="005F0419" w:rsidRDefault="00662012" w:rsidP="00662012">
      <w:pPr>
        <w:pStyle w:val="aff"/>
        <w:suppressAutoHyphens/>
        <w:spacing w:before="0" w:beforeAutospacing="0" w:after="0" w:afterAutospacing="0" w:line="360" w:lineRule="auto"/>
        <w:ind w:firstLine="720"/>
        <w:jc w:val="both"/>
        <w:rPr>
          <w:spacing w:val="-2"/>
          <w:sz w:val="28"/>
          <w:szCs w:val="28"/>
          <w:lang w:val="uk-UA"/>
        </w:rPr>
      </w:pPr>
    </w:p>
    <w:p w14:paraId="16E1DC60" w14:textId="71D01A06" w:rsidR="00A85FA7" w:rsidRPr="005F0419" w:rsidRDefault="00A85FA7" w:rsidP="00A85FA7">
      <w:pPr>
        <w:pStyle w:val="aff"/>
        <w:suppressAutoHyphens/>
        <w:spacing w:before="0" w:beforeAutospacing="0" w:after="0" w:afterAutospacing="0" w:line="360" w:lineRule="auto"/>
        <w:ind w:firstLine="720"/>
        <w:jc w:val="center"/>
        <w:rPr>
          <w:spacing w:val="-2"/>
          <w:sz w:val="28"/>
          <w:szCs w:val="28"/>
          <w:lang w:val="uk-UA"/>
        </w:rPr>
      </w:pPr>
      <w:r w:rsidRPr="005F0419">
        <w:rPr>
          <w:b/>
          <w:bCs/>
          <w:i/>
          <w:iCs/>
          <w:sz w:val="28"/>
          <w:szCs w:val="28"/>
          <w:lang w:val="uk-UA"/>
        </w:rPr>
        <w:t>Цвілий Сергій</w:t>
      </w:r>
      <w:r w:rsidRPr="005F0419">
        <w:rPr>
          <w:sz w:val="28"/>
          <w:szCs w:val="28"/>
          <w:lang w:val="uk-UA"/>
        </w:rPr>
        <w:t xml:space="preserve"> </w:t>
      </w:r>
      <w:r w:rsidRPr="005F0419">
        <w:rPr>
          <w:b/>
          <w:bCs/>
          <w:i/>
          <w:iCs/>
          <w:sz w:val="28"/>
          <w:szCs w:val="28"/>
          <w:lang w:val="uk-UA"/>
        </w:rPr>
        <w:t>Миколайович</w:t>
      </w:r>
    </w:p>
    <w:p w14:paraId="65F38D23" w14:textId="77777777" w:rsidR="00A85FA7" w:rsidRPr="005F0419" w:rsidRDefault="00A85FA7" w:rsidP="00662012">
      <w:pPr>
        <w:pStyle w:val="aff"/>
        <w:suppressAutoHyphens/>
        <w:spacing w:before="0" w:beforeAutospacing="0" w:after="0" w:afterAutospacing="0" w:line="360" w:lineRule="auto"/>
        <w:ind w:firstLine="720"/>
        <w:jc w:val="both"/>
        <w:rPr>
          <w:spacing w:val="-2"/>
          <w:sz w:val="28"/>
          <w:szCs w:val="28"/>
          <w:lang w:val="uk-UA"/>
        </w:rPr>
      </w:pPr>
    </w:p>
    <w:p w14:paraId="3E6B8096" w14:textId="57835F80" w:rsidR="00662012" w:rsidRPr="005F0419" w:rsidRDefault="00662012" w:rsidP="00662012">
      <w:pPr>
        <w:pStyle w:val="aff"/>
        <w:suppressAutoHyphens/>
        <w:spacing w:before="0" w:beforeAutospacing="0" w:after="0" w:afterAutospacing="0" w:line="360" w:lineRule="auto"/>
        <w:ind w:firstLine="720"/>
        <w:jc w:val="both"/>
        <w:rPr>
          <w:spacing w:val="-2"/>
          <w:sz w:val="28"/>
          <w:szCs w:val="28"/>
          <w:lang w:val="uk-UA"/>
        </w:rPr>
      </w:pPr>
      <w:r w:rsidRPr="005F0419">
        <w:rPr>
          <w:spacing w:val="-2"/>
          <w:sz w:val="28"/>
          <w:szCs w:val="28"/>
          <w:lang w:val="uk-UA"/>
        </w:rPr>
        <w:t xml:space="preserve">Глобальна індустрія туризму отримала безпрецедентний кризовий удар під час пандемії COVID-19, а обмеження, які пов’язані з продовженням військової агресії </w:t>
      </w:r>
      <w:proofErr w:type="spellStart"/>
      <w:r w:rsidRPr="005F0419">
        <w:rPr>
          <w:spacing w:val="-2"/>
          <w:sz w:val="28"/>
          <w:szCs w:val="28"/>
          <w:lang w:val="uk-UA"/>
        </w:rPr>
        <w:t>рф</w:t>
      </w:r>
      <w:proofErr w:type="spellEnd"/>
      <w:r w:rsidRPr="005F0419">
        <w:rPr>
          <w:spacing w:val="-2"/>
          <w:sz w:val="28"/>
          <w:szCs w:val="28"/>
          <w:lang w:val="uk-UA"/>
        </w:rPr>
        <w:t xml:space="preserve"> проти України, створюють додаткові проблеми в економічній безпеці для світового туристичного бізнесу </w:t>
      </w:r>
      <w:r w:rsidRPr="005F0419">
        <w:rPr>
          <w:sz w:val="28"/>
          <w:szCs w:val="28"/>
          <w:lang w:val="uk-UA"/>
        </w:rPr>
        <w:t>[1]</w:t>
      </w:r>
      <w:r w:rsidRPr="005F0419">
        <w:rPr>
          <w:spacing w:val="-2"/>
          <w:sz w:val="28"/>
          <w:szCs w:val="28"/>
          <w:lang w:val="uk-UA"/>
        </w:rPr>
        <w:t xml:space="preserve">. У світі і в Україні, зокрема, міжнародний туризм «страждає» з трьох основних причин: по-перше, криза надала руйнівний вплив на ті місцеві економіки, які залежать від </w:t>
      </w:r>
      <w:proofErr w:type="spellStart"/>
      <w:r w:rsidRPr="005F0419">
        <w:rPr>
          <w:spacing w:val="-2"/>
          <w:sz w:val="28"/>
          <w:szCs w:val="28"/>
          <w:lang w:val="uk-UA"/>
        </w:rPr>
        <w:t>прибуттів</w:t>
      </w:r>
      <w:proofErr w:type="spellEnd"/>
      <w:r w:rsidRPr="005F0419">
        <w:rPr>
          <w:spacing w:val="-2"/>
          <w:sz w:val="28"/>
          <w:szCs w:val="28"/>
          <w:lang w:val="uk-UA"/>
        </w:rPr>
        <w:t xml:space="preserve"> туристів, як джерела прибутку та зростання; по-друге, хоча невелика частина підприємств індустрії туризму змогла перейти на внутрішнє споживання туристичних послуг, тисячі фахівців були змушені звільнитися у період, коли їх роботодавцям довелося або скоротити штат співробітників, або припинити діяльність; по-третє, обмеження на міжнародні поїздки вплинули на свободу культурно-соціального обміну, що має вирішальне значення для зміцнення співробітництва між різними країнами.</w:t>
      </w:r>
    </w:p>
    <w:p w14:paraId="3D30CB6A" w14:textId="77777777" w:rsidR="00662012" w:rsidRPr="005F0419" w:rsidRDefault="00662012" w:rsidP="00662012">
      <w:pPr>
        <w:pStyle w:val="aff"/>
        <w:suppressAutoHyphens/>
        <w:spacing w:before="0" w:beforeAutospacing="0" w:after="0" w:afterAutospacing="0" w:line="360" w:lineRule="auto"/>
        <w:ind w:firstLine="720"/>
        <w:jc w:val="both"/>
        <w:rPr>
          <w:spacing w:val="-2"/>
          <w:sz w:val="28"/>
          <w:szCs w:val="28"/>
          <w:lang w:val="uk-UA"/>
        </w:rPr>
      </w:pPr>
      <w:r w:rsidRPr="005F0419">
        <w:rPr>
          <w:spacing w:val="-2"/>
          <w:sz w:val="28"/>
          <w:szCs w:val="28"/>
          <w:lang w:val="uk-UA"/>
        </w:rPr>
        <w:lastRenderedPageBreak/>
        <w:t xml:space="preserve">Актуальним та недостатньо опанованим напрямом залишається потенціал міжнародного співробітництва нашої країни та його адекватна оцінка. Головною проблемою оцінки такого потенціалу є такі фактори негативного впливу, а саме: воєнні дії, міжнародний тероризм та його поширення за сприяння урядів певних країн, значне зростання кількості воєнних мігрантів через необхідність покинути територію військового конфлікту, посилення ризику появи та розповсюдження нових штамів </w:t>
      </w:r>
      <w:proofErr w:type="spellStart"/>
      <w:r w:rsidRPr="005F0419">
        <w:rPr>
          <w:spacing w:val="-2"/>
          <w:sz w:val="28"/>
          <w:szCs w:val="28"/>
          <w:lang w:val="uk-UA"/>
        </w:rPr>
        <w:t>коронавірусу</w:t>
      </w:r>
      <w:proofErr w:type="spellEnd"/>
      <w:r w:rsidRPr="005F0419">
        <w:rPr>
          <w:spacing w:val="-2"/>
          <w:sz w:val="28"/>
          <w:szCs w:val="28"/>
          <w:lang w:val="uk-UA"/>
        </w:rPr>
        <w:t xml:space="preserve"> та інших небезпечних </w:t>
      </w:r>
      <w:proofErr w:type="spellStart"/>
      <w:r w:rsidRPr="005F0419">
        <w:rPr>
          <w:spacing w:val="-2"/>
          <w:sz w:val="28"/>
          <w:szCs w:val="28"/>
          <w:lang w:val="uk-UA"/>
        </w:rPr>
        <w:t>хвороб</w:t>
      </w:r>
      <w:proofErr w:type="spellEnd"/>
      <w:r w:rsidRPr="005F0419">
        <w:rPr>
          <w:spacing w:val="-2"/>
          <w:sz w:val="28"/>
          <w:szCs w:val="28"/>
          <w:lang w:val="uk-UA"/>
        </w:rPr>
        <w:t xml:space="preserve">, глобальне погіршення екології. Суттєве збільшення кількості негативних факторів та чинників впливу на інтенсифікацію розвитку індустрії туризму України поглиблюється додатково масштабними збитками глобальної економіки туризму внаслідок впровадження наступних заходів: обмеження в перетинанні і закриття кордонів, невизначеність щодо міжнародних </w:t>
      </w:r>
      <w:proofErr w:type="spellStart"/>
      <w:r w:rsidRPr="005F0419">
        <w:rPr>
          <w:spacing w:val="-2"/>
          <w:sz w:val="28"/>
          <w:szCs w:val="28"/>
          <w:lang w:val="uk-UA"/>
        </w:rPr>
        <w:t>локдаунів</w:t>
      </w:r>
      <w:proofErr w:type="spellEnd"/>
      <w:r w:rsidRPr="005F0419">
        <w:rPr>
          <w:spacing w:val="-2"/>
          <w:sz w:val="28"/>
          <w:szCs w:val="28"/>
          <w:lang w:val="uk-UA"/>
        </w:rPr>
        <w:t xml:space="preserve"> навіть у короткостроковій перспективі, обмеження на в’їзд туристів до певних </w:t>
      </w:r>
      <w:proofErr w:type="spellStart"/>
      <w:r w:rsidRPr="005F0419">
        <w:rPr>
          <w:spacing w:val="-2"/>
          <w:sz w:val="28"/>
          <w:szCs w:val="28"/>
          <w:lang w:val="uk-UA"/>
        </w:rPr>
        <w:t>дестинацій</w:t>
      </w:r>
      <w:proofErr w:type="spellEnd"/>
      <w:r w:rsidRPr="005F0419">
        <w:rPr>
          <w:spacing w:val="-2"/>
          <w:sz w:val="28"/>
          <w:szCs w:val="28"/>
          <w:lang w:val="uk-UA"/>
        </w:rPr>
        <w:t xml:space="preserve">, превентивні заходи безпеки відносно запобігання новітнім хворобам, подолання наслідків </w:t>
      </w:r>
      <w:proofErr w:type="spellStart"/>
      <w:r w:rsidRPr="005F0419">
        <w:rPr>
          <w:spacing w:val="-2"/>
          <w:sz w:val="28"/>
          <w:szCs w:val="28"/>
          <w:lang w:val="uk-UA"/>
        </w:rPr>
        <w:t>коронавірусу</w:t>
      </w:r>
      <w:proofErr w:type="spellEnd"/>
      <w:r w:rsidRPr="005F0419">
        <w:rPr>
          <w:spacing w:val="-2"/>
          <w:sz w:val="28"/>
          <w:szCs w:val="28"/>
          <w:lang w:val="uk-UA"/>
        </w:rPr>
        <w:t xml:space="preserve">, уповільнення світових </w:t>
      </w:r>
      <w:proofErr w:type="spellStart"/>
      <w:r w:rsidRPr="005F0419">
        <w:rPr>
          <w:spacing w:val="-2"/>
          <w:sz w:val="28"/>
          <w:szCs w:val="28"/>
          <w:lang w:val="uk-UA"/>
        </w:rPr>
        <w:t>авіасполучень</w:t>
      </w:r>
      <w:proofErr w:type="spellEnd"/>
      <w:r w:rsidRPr="005F0419">
        <w:rPr>
          <w:spacing w:val="-2"/>
          <w:sz w:val="28"/>
          <w:szCs w:val="28"/>
          <w:lang w:val="uk-UA"/>
        </w:rPr>
        <w:t xml:space="preserve">, скорочення витрат мандрівників в сегменті </w:t>
      </w:r>
      <w:proofErr w:type="spellStart"/>
      <w:r w:rsidRPr="005F0419">
        <w:rPr>
          <w:spacing w:val="-2"/>
          <w:sz w:val="28"/>
          <w:szCs w:val="28"/>
          <w:lang w:val="uk-UA"/>
        </w:rPr>
        <w:t>геотуризму</w:t>
      </w:r>
      <w:proofErr w:type="spellEnd"/>
      <w:r w:rsidRPr="005F0419">
        <w:rPr>
          <w:spacing w:val="-2"/>
          <w:sz w:val="28"/>
          <w:szCs w:val="28"/>
          <w:lang w:val="uk-UA"/>
        </w:rPr>
        <w:t>.</w:t>
      </w:r>
    </w:p>
    <w:p w14:paraId="13F881F2" w14:textId="77777777" w:rsidR="00662012" w:rsidRPr="005F0419" w:rsidRDefault="00662012" w:rsidP="00662012">
      <w:pPr>
        <w:pStyle w:val="aff"/>
        <w:suppressAutoHyphens/>
        <w:spacing w:before="0" w:beforeAutospacing="0" w:after="0" w:afterAutospacing="0" w:line="360" w:lineRule="auto"/>
        <w:ind w:firstLine="720"/>
        <w:jc w:val="both"/>
        <w:rPr>
          <w:sz w:val="28"/>
          <w:szCs w:val="28"/>
          <w:lang w:val="uk-UA"/>
        </w:rPr>
      </w:pPr>
      <w:r w:rsidRPr="005F0419">
        <w:rPr>
          <w:sz w:val="28"/>
          <w:szCs w:val="28"/>
          <w:lang w:val="uk-UA"/>
        </w:rPr>
        <w:t xml:space="preserve">З настанням геоекономічної ери на початку століття значно зріс інтерес до конкретних регіонів і </w:t>
      </w:r>
      <w:proofErr w:type="spellStart"/>
      <w:r w:rsidRPr="005F0419">
        <w:rPr>
          <w:sz w:val="28"/>
          <w:szCs w:val="28"/>
          <w:lang w:val="uk-UA"/>
        </w:rPr>
        <w:t>дестинацій</w:t>
      </w:r>
      <w:proofErr w:type="spellEnd"/>
      <w:r w:rsidRPr="005F0419">
        <w:rPr>
          <w:sz w:val="28"/>
          <w:szCs w:val="28"/>
          <w:lang w:val="uk-UA"/>
        </w:rPr>
        <w:t xml:space="preserve">. Враховуючи, що геоекономічне становище включає значення політичних і економічних ресурсів доцільно підкреслити, що: </w:t>
      </w:r>
      <w:proofErr w:type="spellStart"/>
      <w:r w:rsidRPr="005F0419">
        <w:rPr>
          <w:sz w:val="28"/>
          <w:szCs w:val="28"/>
          <w:lang w:val="uk-UA"/>
        </w:rPr>
        <w:t>геоекономіка</w:t>
      </w:r>
      <w:proofErr w:type="spellEnd"/>
      <w:r w:rsidRPr="005F0419">
        <w:rPr>
          <w:sz w:val="28"/>
          <w:szCs w:val="28"/>
          <w:lang w:val="uk-UA"/>
        </w:rPr>
        <w:t xml:space="preserve"> надає оцінку відносин між економікою та географією на основі просторових, тимчасових та політичних аспектів, а також пояснює економічний потенціал націй саме через зазначені відносини [2]. </w:t>
      </w:r>
      <w:proofErr w:type="spellStart"/>
      <w:r w:rsidRPr="005F0419">
        <w:rPr>
          <w:sz w:val="28"/>
          <w:szCs w:val="28"/>
          <w:lang w:val="uk-UA"/>
        </w:rPr>
        <w:t>Геоекономіка</w:t>
      </w:r>
      <w:proofErr w:type="spellEnd"/>
      <w:r w:rsidRPr="005F0419">
        <w:rPr>
          <w:sz w:val="28"/>
          <w:szCs w:val="28"/>
          <w:lang w:val="uk-UA"/>
        </w:rPr>
        <w:t xml:space="preserve"> виходить на перший план у випадку, коли економічні потенціали країн повністю (частково) пов’язані з географічними особливостями. </w:t>
      </w:r>
      <w:proofErr w:type="spellStart"/>
      <w:r w:rsidRPr="005F0419">
        <w:rPr>
          <w:sz w:val="28"/>
          <w:szCs w:val="28"/>
          <w:lang w:val="uk-UA"/>
        </w:rPr>
        <w:t>Геоекономіка</w:t>
      </w:r>
      <w:proofErr w:type="spellEnd"/>
      <w:r w:rsidRPr="005F0419">
        <w:rPr>
          <w:sz w:val="28"/>
          <w:szCs w:val="28"/>
          <w:lang w:val="uk-UA"/>
        </w:rPr>
        <w:t xml:space="preserve"> є новим середовищем міжурядових комунікацій, у якому реалізуються національні інтереси держав. У </w:t>
      </w:r>
      <w:proofErr w:type="spellStart"/>
      <w:r w:rsidRPr="005F0419">
        <w:rPr>
          <w:sz w:val="28"/>
          <w:szCs w:val="28"/>
          <w:lang w:val="uk-UA"/>
        </w:rPr>
        <w:t>геоекономіці</w:t>
      </w:r>
      <w:proofErr w:type="spellEnd"/>
      <w:r w:rsidRPr="005F0419">
        <w:rPr>
          <w:sz w:val="28"/>
          <w:szCs w:val="28"/>
          <w:lang w:val="uk-UA"/>
        </w:rPr>
        <w:t xml:space="preserve"> новітньої епохи роль міжнародного партнерства та ефективність держав залежить від ресурсів й економічного потенціалу, які визначають масові адаптаційні стратегії на географічних територіях. За умов наявності потенціалів регіональні гравці можуть брати участь у глобальній економіці як виробники або як дистриб’ютори [3]. Сектором економіки, у якому географія грає ключову роль, є індустрія туризму. Завдяки підвищенню добробуту населення багатьох </w:t>
      </w:r>
      <w:r w:rsidRPr="005F0419">
        <w:rPr>
          <w:sz w:val="28"/>
          <w:szCs w:val="28"/>
          <w:lang w:val="uk-UA"/>
        </w:rPr>
        <w:lastRenderedPageBreak/>
        <w:t>країн і швидкого технологічного розвитку сьогодні туризм є однією з найбільш важливіших і швидко зростаючих світових галузей. При оцінці різних стратегій реалізації потенціалу міжнародного співробітництва слід враховувати той факт, що глобальний туризм існує в кризових умовах геоекономічного простору.</w:t>
      </w:r>
    </w:p>
    <w:p w14:paraId="3F9DCBA0" w14:textId="77777777" w:rsidR="00662012" w:rsidRPr="005F0419" w:rsidRDefault="00662012" w:rsidP="00662012">
      <w:pPr>
        <w:pStyle w:val="aff"/>
        <w:suppressAutoHyphens/>
        <w:spacing w:before="0" w:beforeAutospacing="0" w:after="0" w:afterAutospacing="0" w:line="360" w:lineRule="auto"/>
        <w:ind w:firstLine="720"/>
        <w:jc w:val="both"/>
        <w:rPr>
          <w:rStyle w:val="rynqvb"/>
          <w:rFonts w:eastAsia="Calibri"/>
          <w:sz w:val="28"/>
          <w:szCs w:val="28"/>
          <w:lang w:val="uk-UA"/>
        </w:rPr>
      </w:pPr>
      <w:r w:rsidRPr="005F0419">
        <w:rPr>
          <w:sz w:val="28"/>
          <w:szCs w:val="28"/>
          <w:lang w:val="uk-UA"/>
        </w:rPr>
        <w:t xml:space="preserve">Кожен глобальний конфлікт, потрясіння, зіткнення лідерства та світових проблем можуть бути пов’язані зі спільним напрямком, що перебуває в центрі геополітичної кризи: подорожами, які впливають на свободу пересування. Крім того, виникнення воєнного конфлікту в новітній історії людства свідчить про неможливість повного та швидкого відновлення </w:t>
      </w:r>
      <w:proofErr w:type="spellStart"/>
      <w:r w:rsidRPr="005F0419">
        <w:rPr>
          <w:sz w:val="28"/>
          <w:szCs w:val="28"/>
          <w:lang w:val="uk-UA"/>
        </w:rPr>
        <w:t>геотуризму</w:t>
      </w:r>
      <w:proofErr w:type="spellEnd"/>
      <w:r w:rsidRPr="005F0419">
        <w:rPr>
          <w:sz w:val="28"/>
          <w:szCs w:val="28"/>
          <w:lang w:val="uk-UA"/>
        </w:rPr>
        <w:t xml:space="preserve"> на окупованих територіях країни, незважаючи на суттєвий прогрес у вирішенні дуже гострих територіальних проблем, які нерозривно пов’язані із заходами інформаційного, економічного, соціального, політичного впливів. Проте, ситуацію, що склалася в державі, слід розглядати не лише як проблему, але і як можливість розвитку потужного потенціалу міжнародного співробітництва країни з функціонуючими сьогодні локально-регіональними системами та їх інтеграції в геоекономічний простір країн зі стабільним соціальним та економічним середовищем залучення інвестицій, відновлення та розбудова інноваційної туристичної інфраструктури на засадах цифрових технологій нового покоління, формування принципово нових транскордонних комунікацій, створення нових професій і робочих місць</w:t>
      </w:r>
      <w:r w:rsidRPr="005F0419">
        <w:rPr>
          <w:rStyle w:val="rynqvb"/>
          <w:rFonts w:eastAsia="Calibri"/>
          <w:sz w:val="28"/>
          <w:szCs w:val="28"/>
          <w:lang w:val="uk-UA"/>
        </w:rPr>
        <w:t>.</w:t>
      </w:r>
    </w:p>
    <w:p w14:paraId="23998122" w14:textId="77777777" w:rsidR="00662012" w:rsidRPr="005F0419" w:rsidRDefault="00662012" w:rsidP="00662012">
      <w:pPr>
        <w:pStyle w:val="aff"/>
        <w:suppressAutoHyphens/>
        <w:spacing w:before="0" w:beforeAutospacing="0" w:after="0" w:afterAutospacing="0" w:line="360" w:lineRule="auto"/>
        <w:ind w:firstLine="720"/>
        <w:jc w:val="both"/>
        <w:rPr>
          <w:sz w:val="28"/>
          <w:szCs w:val="28"/>
          <w:lang w:val="uk-UA"/>
        </w:rPr>
      </w:pPr>
      <w:r w:rsidRPr="005F0419">
        <w:rPr>
          <w:sz w:val="28"/>
          <w:szCs w:val="28"/>
          <w:lang w:val="uk-UA"/>
        </w:rPr>
        <w:t xml:space="preserve">В основу сучасного розвитку індустрії туризму покладено такі елементи: соціально-економічна сталість, інтегрованість, масовість. Своєчасним є розгляд у контексті його суттєвого впливу на динаміку ринку туристичного потоку, як соціально-економічне явище глобального й </w:t>
      </w:r>
      <w:proofErr w:type="spellStart"/>
      <w:r w:rsidRPr="005F0419">
        <w:rPr>
          <w:sz w:val="28"/>
          <w:szCs w:val="28"/>
          <w:lang w:val="uk-UA"/>
        </w:rPr>
        <w:t>макро</w:t>
      </w:r>
      <w:proofErr w:type="spellEnd"/>
      <w:r w:rsidRPr="005F0419">
        <w:rPr>
          <w:sz w:val="28"/>
          <w:szCs w:val="28"/>
          <w:lang w:val="uk-UA"/>
        </w:rPr>
        <w:t xml:space="preserve">-регіонального значення. Так, одним із головних напрямів структурної трансформації економіки України має бути відновлення індустрії туризму, яка у післявоєнному періоді повинна дуже швидко і успішно інтегруватись до міжнародних туристичних </w:t>
      </w:r>
      <w:proofErr w:type="spellStart"/>
      <w:r w:rsidRPr="005F0419">
        <w:rPr>
          <w:sz w:val="28"/>
          <w:szCs w:val="28"/>
          <w:lang w:val="uk-UA"/>
        </w:rPr>
        <w:t>дестинацій</w:t>
      </w:r>
      <w:proofErr w:type="spellEnd"/>
      <w:r w:rsidRPr="005F0419">
        <w:rPr>
          <w:sz w:val="28"/>
          <w:szCs w:val="28"/>
          <w:lang w:val="uk-UA"/>
        </w:rPr>
        <w:t xml:space="preserve">. Саме на засадах формування стійкого національного ринку конкурентоспроможних туристичних послуг буде створено нові механізми міжнародної інтеграції із пріоритетом у виході на </w:t>
      </w:r>
      <w:proofErr w:type="spellStart"/>
      <w:r w:rsidRPr="005F0419">
        <w:rPr>
          <w:sz w:val="28"/>
          <w:szCs w:val="28"/>
          <w:lang w:val="uk-UA"/>
        </w:rPr>
        <w:t>макро</w:t>
      </w:r>
      <w:proofErr w:type="spellEnd"/>
      <w:r w:rsidRPr="005F0419">
        <w:rPr>
          <w:sz w:val="28"/>
          <w:szCs w:val="28"/>
          <w:lang w:val="uk-UA"/>
        </w:rPr>
        <w:t xml:space="preserve">-регіональний рівень завдяки світогосподарським зв’язкам за умов єдності загальної системи міжнародного співробітництва. </w:t>
      </w:r>
    </w:p>
    <w:p w14:paraId="52FBBE2E" w14:textId="77777777" w:rsidR="00662012" w:rsidRPr="005F0419" w:rsidRDefault="00662012" w:rsidP="00662012">
      <w:pPr>
        <w:pStyle w:val="aff"/>
        <w:suppressAutoHyphens/>
        <w:spacing w:before="0" w:beforeAutospacing="0" w:after="0" w:afterAutospacing="0" w:line="360" w:lineRule="auto"/>
        <w:ind w:firstLine="720"/>
        <w:jc w:val="both"/>
        <w:rPr>
          <w:sz w:val="28"/>
          <w:szCs w:val="28"/>
          <w:lang w:val="uk-UA"/>
        </w:rPr>
      </w:pPr>
      <w:r w:rsidRPr="005F0419">
        <w:rPr>
          <w:sz w:val="28"/>
          <w:szCs w:val="28"/>
          <w:lang w:val="uk-UA"/>
        </w:rPr>
        <w:lastRenderedPageBreak/>
        <w:t xml:space="preserve">Під впливом наддержавних регіонально-економічних структур, які мають в глобальній стратегічній ієрархії стійку позицію й розширюють геополітичний простір формування зовнішньоекономічної доктрини успішного міжнародного співробітництва в індустрії туризму, поступово збільшується роль та значення державних </w:t>
      </w:r>
      <w:proofErr w:type="spellStart"/>
      <w:r w:rsidRPr="005F0419">
        <w:rPr>
          <w:sz w:val="28"/>
          <w:szCs w:val="28"/>
          <w:lang w:val="uk-UA"/>
        </w:rPr>
        <w:t>суверенітетів</w:t>
      </w:r>
      <w:proofErr w:type="spellEnd"/>
      <w:r w:rsidRPr="005F0419">
        <w:rPr>
          <w:sz w:val="28"/>
          <w:szCs w:val="28"/>
          <w:lang w:val="uk-UA"/>
        </w:rPr>
        <w:t xml:space="preserve"> й національних управлінських структур. При цьому, геоекономічний простір індустрії туризму через систему економічних атрибутів та важелів поширюється за межі національних кордонів (розмиває або ліквідує  межі між зовнішньою і внутрішньою сферами суб’єктів туристичної діяльності, а також між зовнішньою і внутрішньою політиками держави), стимулюючи при цьому до міжнародного співробітництва в процесі соціалізації й економізації життя суспільства на засадах зважених фінансово-економічних інструментів. В свою чергу, економізація потенціалу міжнародного співробітництва в індустрії туризму є джерелом трансформації зовнішньоекономічних </w:t>
      </w:r>
      <w:proofErr w:type="spellStart"/>
      <w:r w:rsidRPr="005F0419">
        <w:rPr>
          <w:sz w:val="28"/>
          <w:szCs w:val="28"/>
          <w:lang w:val="uk-UA"/>
        </w:rPr>
        <w:t>зв’язків</w:t>
      </w:r>
      <w:proofErr w:type="spellEnd"/>
      <w:r w:rsidRPr="005F0419">
        <w:rPr>
          <w:sz w:val="28"/>
          <w:szCs w:val="28"/>
          <w:lang w:val="uk-UA"/>
        </w:rPr>
        <w:t xml:space="preserve"> України й її згуртування зі світом, яке залежать від наднаціональних економічних структур індустрії туризму, їх співпраці й інтеграції в Європейський Союз, Північно-Американський Союз й Тихоокеанський регіон (АПЕК), як зони сприятливого і сталого розвитку. Регіональну інтеграцію має сенс розглядати у якості важливої проміжної умови створення оптимального геоекономічного простору індустрії туризму. Комплексність світової системи передбачає формування міжнародної туристичної структури на основі теорії </w:t>
      </w:r>
      <w:proofErr w:type="spellStart"/>
      <w:r w:rsidRPr="005F0419">
        <w:rPr>
          <w:iCs/>
          <w:sz w:val="28"/>
          <w:szCs w:val="28"/>
          <w:lang w:val="uk-UA"/>
        </w:rPr>
        <w:t>мондіалізму</w:t>
      </w:r>
      <w:proofErr w:type="spellEnd"/>
      <w:r w:rsidRPr="005F0419">
        <w:rPr>
          <w:sz w:val="28"/>
          <w:szCs w:val="28"/>
          <w:lang w:val="uk-UA"/>
        </w:rPr>
        <w:t xml:space="preserve">, який визначає глобальний розвиток за принципом неминучості повної інтеграції при переході від великої кількості держав, національних економік, туристичних </w:t>
      </w:r>
      <w:proofErr w:type="spellStart"/>
      <w:r w:rsidRPr="005F0419">
        <w:rPr>
          <w:sz w:val="28"/>
          <w:szCs w:val="28"/>
          <w:lang w:val="uk-UA"/>
        </w:rPr>
        <w:t>дестинацій</w:t>
      </w:r>
      <w:proofErr w:type="spellEnd"/>
      <w:r w:rsidRPr="005F0419">
        <w:rPr>
          <w:sz w:val="28"/>
          <w:szCs w:val="28"/>
          <w:lang w:val="uk-UA"/>
        </w:rPr>
        <w:t xml:space="preserve">, культур, локацій, міст, етносів, мов до уніфікованого туристичного простору із єдиними традиційно-етнічними та культурними кордонами. Саме тому, цілком </w:t>
      </w:r>
      <w:proofErr w:type="spellStart"/>
      <w:r w:rsidRPr="005F0419">
        <w:rPr>
          <w:sz w:val="28"/>
          <w:szCs w:val="28"/>
          <w:lang w:val="uk-UA"/>
        </w:rPr>
        <w:t>логічно</w:t>
      </w:r>
      <w:proofErr w:type="spellEnd"/>
      <w:r w:rsidRPr="005F0419">
        <w:rPr>
          <w:sz w:val="28"/>
          <w:szCs w:val="28"/>
          <w:lang w:val="uk-UA"/>
        </w:rPr>
        <w:t xml:space="preserve">, що потенціал міжнародного співробітництва нашої країни в геоекономічному просторі індустрії туризму – відсутність транскордонний бар’єрів на шляху та в процесі розвитку міжнародних економічних відносин, регіоналізації економіки, інтенсифікації </w:t>
      </w:r>
      <w:r w:rsidRPr="005F0419">
        <w:rPr>
          <w:rFonts w:eastAsia="Calibri"/>
          <w:sz w:val="28"/>
          <w:szCs w:val="28"/>
          <w:lang w:val="uk-UA" w:eastAsia="en-US"/>
        </w:rPr>
        <w:t>співпраці, а не</w:t>
      </w:r>
      <w:r w:rsidRPr="005F0419">
        <w:rPr>
          <w:sz w:val="28"/>
          <w:szCs w:val="28"/>
          <w:lang w:val="uk-UA"/>
        </w:rPr>
        <w:t xml:space="preserve"> просто зростаюча взаємозалежність у світі.</w:t>
      </w:r>
    </w:p>
    <w:p w14:paraId="1EBBD9D5" w14:textId="77777777" w:rsidR="00662012" w:rsidRPr="005F0419" w:rsidRDefault="00662012" w:rsidP="00662012">
      <w:pPr>
        <w:pStyle w:val="Default"/>
        <w:suppressAutoHyphens/>
        <w:spacing w:line="360" w:lineRule="auto"/>
        <w:ind w:firstLine="720"/>
        <w:jc w:val="both"/>
        <w:rPr>
          <w:color w:val="auto"/>
          <w:sz w:val="28"/>
          <w:szCs w:val="28"/>
          <w:lang w:val="uk-UA" w:eastAsia="en-US"/>
        </w:rPr>
      </w:pPr>
      <w:r w:rsidRPr="005F0419">
        <w:rPr>
          <w:color w:val="auto"/>
          <w:sz w:val="28"/>
          <w:szCs w:val="28"/>
          <w:lang w:val="uk-UA" w:eastAsia="en-US"/>
        </w:rPr>
        <w:t xml:space="preserve">Значне посилення впливу національної дипломатії в культурній площині при формуванні привабливого іміджу індустрії туризму за межами України, як </w:t>
      </w:r>
      <w:r w:rsidRPr="005F0419">
        <w:rPr>
          <w:color w:val="auto"/>
          <w:sz w:val="28"/>
          <w:szCs w:val="28"/>
          <w:lang w:val="uk-UA" w:eastAsia="en-US"/>
        </w:rPr>
        <w:lastRenderedPageBreak/>
        <w:t xml:space="preserve">визначальний фактор модифікації міжнародних відносин, забезпечує взаємодію у всіх сферах туристичного бізнесу і сприяє просуванню національних інтересів у міжнародному середовищі, активізує процеси розвитку економіки держави та адаптує її інтеграцію у геоекономічний простір. Вивченню теорії та методології глобалізації, розвитку співробітництва та партнерства на міжнародному ринку туристичних послуг присвячено наукові праці таких вчених: І. </w:t>
      </w:r>
      <w:proofErr w:type="spellStart"/>
      <w:r w:rsidRPr="005F0419">
        <w:rPr>
          <w:color w:val="auto"/>
          <w:sz w:val="28"/>
          <w:szCs w:val="28"/>
          <w:lang w:val="uk-UA"/>
        </w:rPr>
        <w:t>Фарсарі</w:t>
      </w:r>
      <w:proofErr w:type="spellEnd"/>
      <w:r w:rsidRPr="005F0419">
        <w:rPr>
          <w:color w:val="auto"/>
          <w:sz w:val="28"/>
          <w:szCs w:val="28"/>
          <w:lang w:val="uk-UA"/>
        </w:rPr>
        <w:t xml:space="preserve"> [4], Ч. </w:t>
      </w:r>
      <w:proofErr w:type="spellStart"/>
      <w:r w:rsidRPr="005F0419">
        <w:rPr>
          <w:color w:val="auto"/>
          <w:sz w:val="28"/>
          <w:szCs w:val="28"/>
          <w:lang w:val="uk-UA"/>
        </w:rPr>
        <w:t>Джі</w:t>
      </w:r>
      <w:proofErr w:type="spellEnd"/>
      <w:r w:rsidRPr="005F0419">
        <w:rPr>
          <w:color w:val="auto"/>
          <w:sz w:val="28"/>
          <w:szCs w:val="28"/>
          <w:lang w:val="uk-UA"/>
        </w:rPr>
        <w:t xml:space="preserve">, Е. </w:t>
      </w:r>
      <w:proofErr w:type="spellStart"/>
      <w:r w:rsidRPr="005F0419">
        <w:rPr>
          <w:color w:val="auto"/>
          <w:sz w:val="28"/>
          <w:szCs w:val="28"/>
          <w:lang w:val="uk-UA"/>
        </w:rPr>
        <w:t>Файос-Сола</w:t>
      </w:r>
      <w:proofErr w:type="spellEnd"/>
      <w:r w:rsidRPr="005F0419">
        <w:rPr>
          <w:color w:val="auto"/>
          <w:sz w:val="28"/>
          <w:szCs w:val="28"/>
          <w:lang w:val="uk-UA"/>
        </w:rPr>
        <w:t xml:space="preserve"> [5], </w:t>
      </w:r>
      <w:proofErr w:type="spellStart"/>
      <w:r w:rsidRPr="005F0419">
        <w:rPr>
          <w:color w:val="auto"/>
          <w:sz w:val="28"/>
          <w:szCs w:val="28"/>
          <w:lang w:val="uk-UA"/>
        </w:rPr>
        <w:t>Дж</w:t>
      </w:r>
      <w:proofErr w:type="spellEnd"/>
      <w:r w:rsidRPr="005F0419">
        <w:rPr>
          <w:color w:val="auto"/>
          <w:sz w:val="28"/>
          <w:szCs w:val="28"/>
          <w:lang w:val="uk-UA"/>
        </w:rPr>
        <w:t xml:space="preserve">. </w:t>
      </w:r>
      <w:proofErr w:type="spellStart"/>
      <w:r w:rsidRPr="005F0419">
        <w:rPr>
          <w:color w:val="auto"/>
          <w:sz w:val="28"/>
          <w:szCs w:val="28"/>
          <w:lang w:val="uk-UA"/>
        </w:rPr>
        <w:t>Коккранікал</w:t>
      </w:r>
      <w:proofErr w:type="spellEnd"/>
      <w:r w:rsidRPr="005F0419">
        <w:rPr>
          <w:color w:val="auto"/>
          <w:sz w:val="28"/>
          <w:szCs w:val="28"/>
          <w:lang w:val="uk-UA"/>
        </w:rPr>
        <w:t xml:space="preserve">, П. </w:t>
      </w:r>
      <w:proofErr w:type="spellStart"/>
      <w:r w:rsidRPr="005F0419">
        <w:rPr>
          <w:color w:val="auto"/>
          <w:sz w:val="28"/>
          <w:szCs w:val="28"/>
          <w:lang w:val="uk-UA"/>
        </w:rPr>
        <w:t>Кроньє</w:t>
      </w:r>
      <w:proofErr w:type="spellEnd"/>
      <w:r w:rsidRPr="005F0419">
        <w:rPr>
          <w:color w:val="auto"/>
          <w:sz w:val="28"/>
          <w:szCs w:val="28"/>
          <w:lang w:val="uk-UA"/>
        </w:rPr>
        <w:t xml:space="preserve">, Р. </w:t>
      </w:r>
      <w:proofErr w:type="spellStart"/>
      <w:r w:rsidRPr="005F0419">
        <w:rPr>
          <w:color w:val="auto"/>
          <w:sz w:val="28"/>
          <w:szCs w:val="28"/>
          <w:lang w:val="uk-UA"/>
        </w:rPr>
        <w:t>Батлер</w:t>
      </w:r>
      <w:proofErr w:type="spellEnd"/>
      <w:r w:rsidRPr="005F0419">
        <w:rPr>
          <w:color w:val="auto"/>
          <w:sz w:val="28"/>
          <w:szCs w:val="28"/>
          <w:lang w:val="uk-UA"/>
        </w:rPr>
        <w:t xml:space="preserve"> [6], С. </w:t>
      </w:r>
      <w:proofErr w:type="spellStart"/>
      <w:r w:rsidRPr="005F0419">
        <w:rPr>
          <w:color w:val="auto"/>
          <w:sz w:val="28"/>
          <w:szCs w:val="28"/>
          <w:lang w:val="uk-UA"/>
        </w:rPr>
        <w:t>Маккейб</w:t>
      </w:r>
      <w:proofErr w:type="spellEnd"/>
      <w:r w:rsidRPr="005F0419">
        <w:rPr>
          <w:color w:val="auto"/>
          <w:sz w:val="28"/>
          <w:szCs w:val="28"/>
          <w:lang w:val="uk-UA"/>
        </w:rPr>
        <w:t xml:space="preserve">, Л. </w:t>
      </w:r>
      <w:proofErr w:type="spellStart"/>
      <w:r w:rsidRPr="005F0419">
        <w:rPr>
          <w:color w:val="auto"/>
          <w:sz w:val="28"/>
          <w:szCs w:val="28"/>
          <w:lang w:val="uk-UA"/>
        </w:rPr>
        <w:t>Міннаерт</w:t>
      </w:r>
      <w:proofErr w:type="spellEnd"/>
      <w:r w:rsidRPr="005F0419">
        <w:rPr>
          <w:color w:val="auto"/>
          <w:sz w:val="28"/>
          <w:szCs w:val="28"/>
          <w:lang w:val="uk-UA"/>
        </w:rPr>
        <w:t xml:space="preserve">, А. </w:t>
      </w:r>
      <w:proofErr w:type="spellStart"/>
      <w:r w:rsidRPr="005F0419">
        <w:rPr>
          <w:color w:val="auto"/>
          <w:sz w:val="28"/>
          <w:szCs w:val="28"/>
          <w:lang w:val="uk-UA"/>
        </w:rPr>
        <w:t>Дікманн</w:t>
      </w:r>
      <w:proofErr w:type="spellEnd"/>
      <w:r w:rsidRPr="005F0419">
        <w:rPr>
          <w:color w:val="auto"/>
          <w:sz w:val="28"/>
          <w:szCs w:val="28"/>
          <w:lang w:val="uk-UA"/>
        </w:rPr>
        <w:t xml:space="preserve"> [7], О. </w:t>
      </w:r>
      <w:proofErr w:type="spellStart"/>
      <w:r w:rsidRPr="005F0419">
        <w:rPr>
          <w:color w:val="auto"/>
          <w:sz w:val="28"/>
          <w:szCs w:val="28"/>
          <w:lang w:val="uk-UA"/>
        </w:rPr>
        <w:t>Любіцева</w:t>
      </w:r>
      <w:proofErr w:type="spellEnd"/>
      <w:r w:rsidRPr="005F0419">
        <w:rPr>
          <w:color w:val="auto"/>
          <w:sz w:val="28"/>
          <w:szCs w:val="28"/>
          <w:lang w:val="uk-UA"/>
        </w:rPr>
        <w:t xml:space="preserve"> [8], В. </w:t>
      </w:r>
      <w:proofErr w:type="spellStart"/>
      <w:r w:rsidRPr="005F0419">
        <w:rPr>
          <w:color w:val="auto"/>
          <w:sz w:val="28"/>
          <w:szCs w:val="28"/>
          <w:lang w:val="uk-UA"/>
        </w:rPr>
        <w:t>Помпл</w:t>
      </w:r>
      <w:proofErr w:type="spellEnd"/>
      <w:r w:rsidRPr="005F0419">
        <w:rPr>
          <w:color w:val="auto"/>
          <w:sz w:val="28"/>
          <w:szCs w:val="28"/>
          <w:lang w:val="uk-UA"/>
        </w:rPr>
        <w:t xml:space="preserve">, П. </w:t>
      </w:r>
      <w:proofErr w:type="spellStart"/>
      <w:r w:rsidRPr="005F0419">
        <w:rPr>
          <w:color w:val="auto"/>
          <w:sz w:val="28"/>
          <w:szCs w:val="28"/>
          <w:lang w:val="uk-UA"/>
        </w:rPr>
        <w:t>Лавері</w:t>
      </w:r>
      <w:proofErr w:type="spellEnd"/>
      <w:r w:rsidRPr="005F0419">
        <w:rPr>
          <w:color w:val="auto"/>
          <w:sz w:val="28"/>
          <w:szCs w:val="28"/>
          <w:lang w:val="uk-UA"/>
        </w:rPr>
        <w:t xml:space="preserve"> [9], Н. Прем [10], Н. Трусова, Т. Чернявська, С. </w:t>
      </w:r>
      <w:proofErr w:type="spellStart"/>
      <w:r w:rsidRPr="005F0419">
        <w:rPr>
          <w:color w:val="auto"/>
          <w:sz w:val="28"/>
          <w:szCs w:val="28"/>
          <w:lang w:val="uk-UA"/>
        </w:rPr>
        <w:t>Пасєка</w:t>
      </w:r>
      <w:proofErr w:type="spellEnd"/>
      <w:r w:rsidRPr="005F0419">
        <w:rPr>
          <w:color w:val="auto"/>
          <w:sz w:val="28"/>
          <w:szCs w:val="28"/>
          <w:lang w:val="uk-UA"/>
        </w:rPr>
        <w:t xml:space="preserve">, В. Грановська, О. </w:t>
      </w:r>
      <w:proofErr w:type="spellStart"/>
      <w:r w:rsidRPr="005F0419">
        <w:rPr>
          <w:color w:val="auto"/>
          <w:sz w:val="28"/>
          <w:szCs w:val="28"/>
          <w:lang w:val="uk-UA"/>
        </w:rPr>
        <w:t>Пристемський</w:t>
      </w:r>
      <w:proofErr w:type="spellEnd"/>
      <w:r w:rsidRPr="005F0419">
        <w:rPr>
          <w:color w:val="auto"/>
          <w:sz w:val="28"/>
          <w:szCs w:val="28"/>
          <w:lang w:val="uk-UA"/>
        </w:rPr>
        <w:t>, В. Демко [11]</w:t>
      </w:r>
      <w:r w:rsidRPr="005F0419">
        <w:rPr>
          <w:color w:val="auto"/>
          <w:sz w:val="28"/>
          <w:szCs w:val="28"/>
          <w:lang w:val="uk-UA" w:eastAsia="en-US"/>
        </w:rPr>
        <w:t xml:space="preserve">, які значно посилили теоретико-методичні положення в контексті розуміння глобальної конкуренції на комплексні туристичні продукти галузі та детально визначили сталі міжнародні економічні процеси, що трансформували структуру надання якісних послуг в індустрії туризму з додатковою вартістю на засадах стійкого зростання національної економіки та її туристичного сектора. </w:t>
      </w:r>
    </w:p>
    <w:p w14:paraId="27A0822B" w14:textId="77777777" w:rsidR="00662012" w:rsidRPr="005F0419" w:rsidRDefault="00662012" w:rsidP="00662012">
      <w:pPr>
        <w:pStyle w:val="Default"/>
        <w:suppressAutoHyphens/>
        <w:spacing w:line="360" w:lineRule="auto"/>
        <w:ind w:firstLine="720"/>
        <w:jc w:val="both"/>
        <w:rPr>
          <w:color w:val="auto"/>
          <w:sz w:val="28"/>
          <w:szCs w:val="28"/>
          <w:lang w:val="uk-UA" w:eastAsia="en-US"/>
        </w:rPr>
      </w:pPr>
      <w:r w:rsidRPr="005F0419">
        <w:rPr>
          <w:color w:val="auto"/>
          <w:sz w:val="28"/>
          <w:szCs w:val="28"/>
          <w:lang w:val="uk-UA" w:eastAsia="en-US"/>
        </w:rPr>
        <w:t xml:space="preserve">Дослідженням аспектів впливу науки геополітики на розвиток індустрії туризму, як складової безпеки міжнародного співробітництва країн, </w:t>
      </w:r>
      <w:r w:rsidRPr="005F0419">
        <w:rPr>
          <w:color w:val="auto"/>
          <w:sz w:val="28"/>
          <w:szCs w:val="28"/>
          <w:lang w:val="uk-UA"/>
        </w:rPr>
        <w:t xml:space="preserve">займались такі науковці, як: Д. Бондаренко [12], М. </w:t>
      </w:r>
      <w:proofErr w:type="spellStart"/>
      <w:r w:rsidRPr="005F0419">
        <w:rPr>
          <w:color w:val="auto"/>
          <w:sz w:val="28"/>
          <w:szCs w:val="28"/>
          <w:lang w:val="uk-UA"/>
        </w:rPr>
        <w:t>Мірела</w:t>
      </w:r>
      <w:proofErr w:type="spellEnd"/>
      <w:r w:rsidRPr="005F0419">
        <w:rPr>
          <w:color w:val="auto"/>
          <w:sz w:val="28"/>
          <w:szCs w:val="28"/>
          <w:lang w:val="uk-UA"/>
        </w:rPr>
        <w:t xml:space="preserve"> [13], Л. Ткачук [14], І. </w:t>
      </w:r>
      <w:proofErr w:type="spellStart"/>
      <w:r w:rsidRPr="005F0419">
        <w:rPr>
          <w:color w:val="auto"/>
          <w:sz w:val="28"/>
          <w:szCs w:val="28"/>
          <w:lang w:val="uk-UA"/>
        </w:rPr>
        <w:t>Смаль</w:t>
      </w:r>
      <w:proofErr w:type="spellEnd"/>
      <w:r w:rsidRPr="005F0419">
        <w:rPr>
          <w:color w:val="auto"/>
          <w:sz w:val="28"/>
          <w:szCs w:val="28"/>
          <w:lang w:val="uk-UA"/>
        </w:rPr>
        <w:t xml:space="preserve"> [15], М. </w:t>
      </w:r>
      <w:proofErr w:type="spellStart"/>
      <w:r w:rsidRPr="005F0419">
        <w:rPr>
          <w:color w:val="auto"/>
          <w:sz w:val="28"/>
          <w:szCs w:val="28"/>
          <w:lang w:val="uk-UA"/>
        </w:rPr>
        <w:t>Вегеш</w:t>
      </w:r>
      <w:proofErr w:type="spellEnd"/>
      <w:r w:rsidRPr="005F0419">
        <w:rPr>
          <w:color w:val="auto"/>
          <w:sz w:val="28"/>
          <w:szCs w:val="28"/>
          <w:lang w:val="uk-UA"/>
        </w:rPr>
        <w:t xml:space="preserve">, М. </w:t>
      </w:r>
      <w:proofErr w:type="spellStart"/>
      <w:r w:rsidRPr="005F0419">
        <w:rPr>
          <w:color w:val="auto"/>
          <w:sz w:val="28"/>
          <w:szCs w:val="28"/>
          <w:lang w:val="uk-UA"/>
        </w:rPr>
        <w:t>Палінчак</w:t>
      </w:r>
      <w:proofErr w:type="spellEnd"/>
      <w:r w:rsidRPr="005F0419">
        <w:rPr>
          <w:color w:val="auto"/>
          <w:sz w:val="28"/>
          <w:szCs w:val="28"/>
          <w:lang w:val="uk-UA"/>
        </w:rPr>
        <w:t xml:space="preserve">, Я. </w:t>
      </w:r>
      <w:proofErr w:type="spellStart"/>
      <w:r w:rsidRPr="005F0419">
        <w:rPr>
          <w:color w:val="auto"/>
          <w:sz w:val="28"/>
          <w:szCs w:val="28"/>
          <w:lang w:val="uk-UA"/>
        </w:rPr>
        <w:t>Холонік</w:t>
      </w:r>
      <w:proofErr w:type="spellEnd"/>
      <w:r w:rsidRPr="005F0419">
        <w:rPr>
          <w:color w:val="auto"/>
          <w:sz w:val="28"/>
          <w:szCs w:val="28"/>
          <w:lang w:val="uk-UA"/>
        </w:rPr>
        <w:t xml:space="preserve"> [16]</w:t>
      </w:r>
      <w:r w:rsidRPr="005F0419">
        <w:rPr>
          <w:rFonts w:eastAsia="ArialMT"/>
          <w:color w:val="auto"/>
          <w:sz w:val="28"/>
          <w:szCs w:val="28"/>
          <w:lang w:val="uk-UA" w:eastAsia="en-US"/>
        </w:rPr>
        <w:t xml:space="preserve">, </w:t>
      </w:r>
      <w:r w:rsidRPr="005F0419">
        <w:rPr>
          <w:color w:val="auto"/>
          <w:sz w:val="28"/>
          <w:szCs w:val="28"/>
          <w:lang w:val="uk-UA"/>
        </w:rPr>
        <w:t xml:space="preserve">які зробили авторський внесок у розробку </w:t>
      </w:r>
      <w:r w:rsidRPr="005F0419">
        <w:rPr>
          <w:color w:val="auto"/>
          <w:sz w:val="28"/>
          <w:szCs w:val="28"/>
          <w:lang w:val="uk-UA" w:eastAsia="en-US"/>
        </w:rPr>
        <w:t xml:space="preserve">концептуальних положень взаємозв’язку та єдності світу, визначили верховенство суспільних загальнолюдських цінностей над вузькоегоїстичними національними цінностями, обґрунтували положення на свободу переміщення людей між країнами, визначили базу соціально-економічного вибору територій в контексті комунікаційної взаємодії </w:t>
      </w:r>
      <w:proofErr w:type="spellStart"/>
      <w:r w:rsidRPr="005F0419">
        <w:rPr>
          <w:color w:val="auto"/>
          <w:sz w:val="28"/>
          <w:szCs w:val="28"/>
          <w:lang w:val="uk-UA" w:eastAsia="en-US"/>
        </w:rPr>
        <w:t>макро</w:t>
      </w:r>
      <w:proofErr w:type="spellEnd"/>
      <w:r w:rsidRPr="005F0419">
        <w:rPr>
          <w:color w:val="auto"/>
          <w:sz w:val="28"/>
          <w:szCs w:val="28"/>
          <w:lang w:val="uk-UA" w:eastAsia="en-US"/>
        </w:rPr>
        <w:t>-регіональних туристичних систем.</w:t>
      </w:r>
    </w:p>
    <w:p w14:paraId="53AE7187"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Проблематиці індустрії туризму присвятили праці вчені, а саме: Н. </w:t>
      </w:r>
      <w:proofErr w:type="spellStart"/>
      <w:r w:rsidRPr="005F0419">
        <w:rPr>
          <w:rFonts w:ascii="Times New Roman" w:hAnsi="Times New Roman" w:cs="Times New Roman"/>
          <w:sz w:val="28"/>
          <w:szCs w:val="28"/>
          <w:lang w:val="uk-UA"/>
        </w:rPr>
        <w:t>Букас</w:t>
      </w:r>
      <w:proofErr w:type="spellEnd"/>
      <w:r w:rsidRPr="005F0419">
        <w:rPr>
          <w:rFonts w:ascii="Times New Roman" w:hAnsi="Times New Roman" w:cs="Times New Roman"/>
          <w:sz w:val="28"/>
          <w:szCs w:val="28"/>
          <w:lang w:val="uk-UA"/>
        </w:rPr>
        <w:t xml:space="preserve">, В. </w:t>
      </w:r>
      <w:proofErr w:type="spellStart"/>
      <w:r w:rsidRPr="005F0419">
        <w:rPr>
          <w:rFonts w:ascii="Times New Roman" w:hAnsi="Times New Roman" w:cs="Times New Roman"/>
          <w:sz w:val="28"/>
          <w:szCs w:val="28"/>
          <w:lang w:val="uk-UA"/>
        </w:rPr>
        <w:t>Зіакас</w:t>
      </w:r>
      <w:proofErr w:type="spellEnd"/>
      <w:r w:rsidRPr="005F0419">
        <w:rPr>
          <w:rFonts w:ascii="Times New Roman" w:hAnsi="Times New Roman" w:cs="Times New Roman"/>
          <w:sz w:val="28"/>
          <w:szCs w:val="28"/>
          <w:lang w:val="uk-UA"/>
        </w:rPr>
        <w:t xml:space="preserve"> [17], С. </w:t>
      </w:r>
      <w:proofErr w:type="spellStart"/>
      <w:r w:rsidRPr="005F0419">
        <w:rPr>
          <w:rFonts w:ascii="Times New Roman" w:hAnsi="Times New Roman" w:cs="Times New Roman"/>
          <w:sz w:val="28"/>
          <w:szCs w:val="28"/>
          <w:lang w:val="uk-UA"/>
        </w:rPr>
        <w:t>Каусевич</w:t>
      </w:r>
      <w:proofErr w:type="spellEnd"/>
      <w:r w:rsidRPr="005F0419">
        <w:rPr>
          <w:rFonts w:ascii="Times New Roman" w:hAnsi="Times New Roman" w:cs="Times New Roman"/>
          <w:sz w:val="28"/>
          <w:szCs w:val="28"/>
          <w:lang w:val="uk-UA"/>
        </w:rPr>
        <w:t xml:space="preserve">, П. </w:t>
      </w:r>
      <w:proofErr w:type="spellStart"/>
      <w:r w:rsidRPr="005F0419">
        <w:rPr>
          <w:rFonts w:ascii="Times New Roman" w:hAnsi="Times New Roman" w:cs="Times New Roman"/>
          <w:sz w:val="28"/>
          <w:szCs w:val="28"/>
          <w:lang w:val="uk-UA"/>
        </w:rPr>
        <w:t>Лінч</w:t>
      </w:r>
      <w:proofErr w:type="spellEnd"/>
      <w:r w:rsidRPr="005F0419">
        <w:rPr>
          <w:rFonts w:ascii="Times New Roman" w:hAnsi="Times New Roman" w:cs="Times New Roman"/>
          <w:sz w:val="28"/>
          <w:szCs w:val="28"/>
          <w:lang w:val="uk-UA"/>
        </w:rPr>
        <w:t xml:space="preserve"> [18], Д. Хол, М. Сміт, Б. </w:t>
      </w:r>
      <w:proofErr w:type="spellStart"/>
      <w:r w:rsidRPr="005F0419">
        <w:rPr>
          <w:rFonts w:ascii="Times New Roman" w:hAnsi="Times New Roman" w:cs="Times New Roman"/>
          <w:sz w:val="28"/>
          <w:szCs w:val="28"/>
          <w:lang w:val="uk-UA"/>
        </w:rPr>
        <w:t>Марцишевська</w:t>
      </w:r>
      <w:proofErr w:type="spellEnd"/>
      <w:r w:rsidRPr="005F0419">
        <w:rPr>
          <w:rFonts w:ascii="Times New Roman" w:hAnsi="Times New Roman" w:cs="Times New Roman"/>
          <w:sz w:val="28"/>
          <w:szCs w:val="28"/>
          <w:lang w:val="uk-UA"/>
        </w:rPr>
        <w:t xml:space="preserve"> [19], К. Чен [20], М. </w:t>
      </w:r>
      <w:proofErr w:type="spellStart"/>
      <w:r w:rsidRPr="005F0419">
        <w:rPr>
          <w:rFonts w:ascii="Times New Roman" w:hAnsi="Times New Roman" w:cs="Times New Roman"/>
          <w:sz w:val="28"/>
          <w:szCs w:val="28"/>
          <w:lang w:val="uk-UA"/>
        </w:rPr>
        <w:t>Іваніш</w:t>
      </w:r>
      <w:proofErr w:type="spellEnd"/>
      <w:r w:rsidRPr="005F0419">
        <w:rPr>
          <w:rFonts w:ascii="Times New Roman" w:hAnsi="Times New Roman" w:cs="Times New Roman"/>
          <w:sz w:val="28"/>
          <w:szCs w:val="28"/>
          <w:lang w:val="uk-UA"/>
        </w:rPr>
        <w:t xml:space="preserve"> [21], </w:t>
      </w:r>
      <w:proofErr w:type="spellStart"/>
      <w:r w:rsidRPr="005F0419">
        <w:rPr>
          <w:rFonts w:ascii="Times New Roman" w:hAnsi="Times New Roman" w:cs="Times New Roman"/>
          <w:sz w:val="28"/>
          <w:szCs w:val="28"/>
          <w:lang w:val="uk-UA"/>
        </w:rPr>
        <w:t>Дж</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Камхаджі</w:t>
      </w:r>
      <w:proofErr w:type="spellEnd"/>
      <w:r w:rsidRPr="005F0419">
        <w:rPr>
          <w:rFonts w:ascii="Times New Roman" w:hAnsi="Times New Roman" w:cs="Times New Roman"/>
          <w:sz w:val="28"/>
          <w:szCs w:val="28"/>
          <w:lang w:val="uk-UA"/>
        </w:rPr>
        <w:t xml:space="preserve"> [22], Н. Трусова [22–25] та інші вчені, </w:t>
      </w:r>
      <w:r w:rsidRPr="005F0419">
        <w:rPr>
          <w:rFonts w:ascii="Times New Roman" w:eastAsia="Calibri" w:hAnsi="Times New Roman" w:cs="Times New Roman"/>
          <w:sz w:val="28"/>
          <w:szCs w:val="28"/>
          <w:lang w:val="uk-UA" w:eastAsia="en-US"/>
        </w:rPr>
        <w:t xml:space="preserve">які вивчали просторову детермінанту в межах її здатності розширювати масштаби туристичного потенціалу в транскордонній регіональній </w:t>
      </w:r>
      <w:proofErr w:type="spellStart"/>
      <w:r w:rsidRPr="005F0419">
        <w:rPr>
          <w:rFonts w:ascii="Times New Roman" w:eastAsia="Calibri" w:hAnsi="Times New Roman" w:cs="Times New Roman"/>
          <w:sz w:val="28"/>
          <w:szCs w:val="28"/>
          <w:lang w:val="uk-UA" w:eastAsia="en-US"/>
        </w:rPr>
        <w:t>дестинації</w:t>
      </w:r>
      <w:proofErr w:type="spellEnd"/>
      <w:r w:rsidRPr="005F0419">
        <w:rPr>
          <w:rFonts w:ascii="Times New Roman" w:eastAsia="Calibri" w:hAnsi="Times New Roman" w:cs="Times New Roman"/>
          <w:sz w:val="28"/>
          <w:szCs w:val="28"/>
          <w:lang w:val="uk-UA" w:eastAsia="en-US"/>
        </w:rPr>
        <w:t>.</w:t>
      </w:r>
    </w:p>
    <w:p w14:paraId="664633F0" w14:textId="77777777" w:rsidR="00662012" w:rsidRPr="005F0419" w:rsidRDefault="00662012" w:rsidP="00662012">
      <w:pPr>
        <w:pStyle w:val="aff"/>
        <w:suppressAutoHyphens/>
        <w:spacing w:before="0" w:beforeAutospacing="0" w:after="0" w:afterAutospacing="0" w:line="360" w:lineRule="auto"/>
        <w:ind w:firstLine="720"/>
        <w:jc w:val="both"/>
        <w:rPr>
          <w:sz w:val="28"/>
          <w:szCs w:val="28"/>
          <w:shd w:val="clear" w:color="auto" w:fill="FFFFFF"/>
          <w:lang w:val="uk-UA"/>
        </w:rPr>
      </w:pPr>
      <w:r w:rsidRPr="005F0419">
        <w:rPr>
          <w:sz w:val="28"/>
          <w:szCs w:val="28"/>
          <w:shd w:val="clear" w:color="auto" w:fill="FFFFFF"/>
          <w:lang w:val="uk-UA"/>
        </w:rPr>
        <w:t xml:space="preserve">Пріоритетом і основним вектором дослідження є обґрунтування стратегії відновлення потенціалу міжнародного співробітництва в кризових умовах </w:t>
      </w:r>
      <w:r w:rsidRPr="005F0419">
        <w:rPr>
          <w:sz w:val="28"/>
          <w:szCs w:val="28"/>
          <w:shd w:val="clear" w:color="auto" w:fill="FFFFFF"/>
          <w:lang w:val="uk-UA"/>
        </w:rPr>
        <w:lastRenderedPageBreak/>
        <w:t xml:space="preserve">геоекономічного простору, яка на засадах функціонального симбіозу </w:t>
      </w:r>
      <w:proofErr w:type="spellStart"/>
      <w:r w:rsidRPr="005F0419">
        <w:rPr>
          <w:sz w:val="28"/>
          <w:szCs w:val="28"/>
          <w:shd w:val="clear" w:color="auto" w:fill="FFFFFF"/>
          <w:lang w:val="uk-UA"/>
        </w:rPr>
        <w:t>макро</w:t>
      </w:r>
      <w:proofErr w:type="spellEnd"/>
      <w:r w:rsidRPr="005F0419">
        <w:rPr>
          <w:sz w:val="28"/>
          <w:szCs w:val="28"/>
          <w:shd w:val="clear" w:color="auto" w:fill="FFFFFF"/>
          <w:lang w:val="uk-UA"/>
        </w:rPr>
        <w:t>-регіональних та локально-регіональних систем дозволяє об’єднати виробників туристичного продукту та інтегрувати ресурси в українську індустрію туризму.</w:t>
      </w:r>
    </w:p>
    <w:p w14:paraId="2E436D9B" w14:textId="77777777" w:rsidR="00662012" w:rsidRPr="005F0419" w:rsidRDefault="00662012" w:rsidP="00662012">
      <w:pPr>
        <w:pStyle w:val="aff"/>
        <w:suppressAutoHyphens/>
        <w:spacing w:before="0" w:beforeAutospacing="0" w:after="0" w:afterAutospacing="0" w:line="360" w:lineRule="auto"/>
        <w:ind w:firstLine="720"/>
        <w:jc w:val="both"/>
        <w:rPr>
          <w:sz w:val="28"/>
          <w:szCs w:val="28"/>
          <w:lang w:val="uk-UA"/>
        </w:rPr>
      </w:pPr>
      <w:r w:rsidRPr="005F0419">
        <w:rPr>
          <w:sz w:val="28"/>
          <w:szCs w:val="28"/>
          <w:lang w:val="uk-UA"/>
        </w:rPr>
        <w:t xml:space="preserve">Слід зазначити, що індустрія туризму вже стала геополітичним явищем у якості феномену глобального порядку у світі. У процесі політичних взаємодій різних держав відбувається прямий чи опосередкований вплив на стан світової індустрії туризму. Запорукою зміцнення конкурентних позицій певної держави у міжнародному середовищі й прискорення її інтеграції до світової економіки є нормалізація політичної ситуації. Уявлення мандрівника про безпеку </w:t>
      </w:r>
      <w:proofErr w:type="spellStart"/>
      <w:r w:rsidRPr="005F0419">
        <w:rPr>
          <w:sz w:val="28"/>
          <w:szCs w:val="28"/>
          <w:lang w:val="uk-UA"/>
        </w:rPr>
        <w:t>дестинації</w:t>
      </w:r>
      <w:proofErr w:type="spellEnd"/>
      <w:r w:rsidRPr="005F0419">
        <w:rPr>
          <w:sz w:val="28"/>
          <w:szCs w:val="28"/>
          <w:lang w:val="uk-UA"/>
        </w:rPr>
        <w:t xml:space="preserve"> значною мірою зумовлює географію, обсяг міжнародного туристичного потоку. У зв’язку з цим, у сучасному світі швидко змінюється геополітичний ландшафт і дані зміни знаходять негайне відображення на архітектурі індустрії туризму, яка є дуже вразливою до цих змін. Різки негативні зміни світової геополітичної кон’юнктури можуть навіть повністю знищити індустрію туризму в конкретній країні. Тому важливими є постійний аналіз і моніторинг геополітичних трендів.</w:t>
      </w:r>
    </w:p>
    <w:p w14:paraId="6BD0B0F7" w14:textId="77777777" w:rsidR="00662012" w:rsidRPr="005F0419" w:rsidRDefault="00662012" w:rsidP="00662012">
      <w:pPr>
        <w:pStyle w:val="aff"/>
        <w:suppressAutoHyphens/>
        <w:spacing w:before="0" w:beforeAutospacing="0" w:after="0" w:afterAutospacing="0" w:line="360" w:lineRule="auto"/>
        <w:ind w:firstLine="720"/>
        <w:jc w:val="both"/>
        <w:rPr>
          <w:rStyle w:val="rynqvb"/>
          <w:sz w:val="28"/>
          <w:szCs w:val="28"/>
          <w:lang w:val="uk-UA"/>
        </w:rPr>
      </w:pPr>
      <w:r w:rsidRPr="005F0419">
        <w:rPr>
          <w:sz w:val="28"/>
          <w:szCs w:val="28"/>
          <w:lang w:val="uk-UA"/>
        </w:rPr>
        <w:t xml:space="preserve">Так, геополітичні чинники впливу на поточне й перспективне середовище і місце </w:t>
      </w:r>
      <w:r w:rsidRPr="005F0419">
        <w:rPr>
          <w:rFonts w:eastAsia="Calibri"/>
          <w:sz w:val="28"/>
          <w:szCs w:val="28"/>
          <w:lang w:val="uk-UA" w:eastAsia="en-US"/>
        </w:rPr>
        <w:t>держави у світовій системі міжнародних відносин та на стратегічний розвиток самої системи по-різному знаходять власний прояв. Насамперед, вони у разі посилення міжнародної взаємодії й співпраці можуть сприяти стабілізації ситуації. У відповідності до схожості геополітичних умов держави мають схожі або дуже близькі національні інтереси, що, у свою чергу, зумовлює посилення їх партнерства і співробітництва, у тому числі за вектором зміцнення військової безпеки. Зазначена співпраця на колективній основі сприяє набуттю сталого розвитку на глобальному та регіональному рівнях. Також геополітичні фактори можуть створити і підвищити рівень конкуренції між державами. Фундаментом утворення деструктивного міжнародного середовища є територіальні претензії, геополітичні протиріччя, прагнення конкурентів поставити державу в невигідні умови функціонування на міжнародній арені. Ці події можуть спричинити стан протистояння та дестабілізувати деякі регіональні і глобальні процеси [13]</w:t>
      </w:r>
      <w:r w:rsidRPr="005F0419">
        <w:rPr>
          <w:rStyle w:val="rynqvb"/>
          <w:sz w:val="28"/>
          <w:szCs w:val="28"/>
          <w:lang w:val="uk-UA"/>
        </w:rPr>
        <w:t>.</w:t>
      </w:r>
    </w:p>
    <w:p w14:paraId="4021F5E2" w14:textId="77777777" w:rsidR="00662012" w:rsidRPr="005F0419" w:rsidRDefault="00662012" w:rsidP="00662012">
      <w:pPr>
        <w:pStyle w:val="aff"/>
        <w:suppressAutoHyphens/>
        <w:spacing w:before="0" w:beforeAutospacing="0" w:after="0" w:afterAutospacing="0" w:line="360" w:lineRule="auto"/>
        <w:ind w:firstLine="720"/>
        <w:jc w:val="both"/>
        <w:rPr>
          <w:sz w:val="28"/>
          <w:szCs w:val="28"/>
          <w:lang w:val="uk-UA"/>
        </w:rPr>
      </w:pPr>
      <w:r w:rsidRPr="005F0419">
        <w:rPr>
          <w:rStyle w:val="rynqvb"/>
          <w:sz w:val="28"/>
          <w:szCs w:val="28"/>
          <w:lang w:val="uk-UA"/>
        </w:rPr>
        <w:lastRenderedPageBreak/>
        <w:t xml:space="preserve">Вплив геополітичного фактору в індустрії туризму знаходить прояв через політичні події: теракти, війни, революції тощо. Негативна активність держав (військова агресія, терористичні дії, політичні перевороти, посилення візового режиму, впровадження санкцій тощо) призупиняє розвиток глобальної індустрії туризму, зменшує туристичні потоки, завдає значних збитків. </w:t>
      </w:r>
      <w:r w:rsidRPr="005F0419">
        <w:rPr>
          <w:sz w:val="28"/>
          <w:szCs w:val="28"/>
          <w:lang w:val="uk-UA" w:eastAsia="en-US"/>
        </w:rPr>
        <w:t xml:space="preserve">Крім того, певні геополітичні фактори (анексія території іншої держави, військовий конфлікт) потенційно можуть повністю знищити туристичну інфраструктуру території та зробити певну частину країни непридатною для реалізації цілей туризму </w:t>
      </w:r>
      <w:r w:rsidRPr="005F0419">
        <w:rPr>
          <w:rFonts w:eastAsia="Calibri"/>
          <w:sz w:val="28"/>
          <w:szCs w:val="28"/>
          <w:lang w:val="uk-UA" w:eastAsia="en-US"/>
        </w:rPr>
        <w:t>[26]</w:t>
      </w:r>
      <w:r w:rsidRPr="005F0419">
        <w:rPr>
          <w:sz w:val="28"/>
          <w:szCs w:val="28"/>
          <w:lang w:val="uk-UA" w:eastAsia="en-US"/>
        </w:rPr>
        <w:t xml:space="preserve">. </w:t>
      </w:r>
    </w:p>
    <w:p w14:paraId="71E2A635"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Геополітика сучасної епохи є одним з базових понять теорії міжнародних відносин, що характеризує положення держав (або їх блоків) по відношенню до розташування територіально-просторових об’єктів, конкретно-історичних форм і регіональних, континентальних, глобальних міжнародних процесів. Довжина державних кордонів, площа території, топографія, флора, фауна, гідрологічні особливості, клімат тощо – це є територіально-просторові ознаки. Геополітику визначають як сучасну теорію, яка обґрунтовує підхід до державної політики і часто характеризується геоекономічними, політичними, військовими, іншими факторами, спрямованими на забезпечення </w:t>
      </w:r>
      <w:proofErr w:type="spellStart"/>
      <w:r w:rsidRPr="005F0419">
        <w:rPr>
          <w:rFonts w:ascii="Times New Roman" w:eastAsia="Calibri" w:hAnsi="Times New Roman" w:cs="Times New Roman"/>
          <w:sz w:val="28"/>
          <w:szCs w:val="28"/>
          <w:lang w:val="uk-UA" w:eastAsia="en-US"/>
        </w:rPr>
        <w:t>життєво</w:t>
      </w:r>
      <w:proofErr w:type="spellEnd"/>
      <w:r w:rsidRPr="005F0419">
        <w:rPr>
          <w:rFonts w:ascii="Times New Roman" w:eastAsia="Calibri" w:hAnsi="Times New Roman" w:cs="Times New Roman"/>
          <w:sz w:val="28"/>
          <w:szCs w:val="28"/>
          <w:lang w:val="uk-UA" w:eastAsia="en-US"/>
        </w:rPr>
        <w:t xml:space="preserve"> важливих інтересів країни щодо індустрії туризму [27]</w:t>
      </w:r>
      <w:r w:rsidRPr="005F0419">
        <w:rPr>
          <w:rStyle w:val="rynqvb"/>
          <w:rFonts w:ascii="Times New Roman" w:eastAsia="Calibri" w:hAnsi="Times New Roman" w:cs="Times New Roman"/>
          <w:sz w:val="28"/>
          <w:szCs w:val="28"/>
          <w:lang w:val="uk-UA"/>
        </w:rPr>
        <w:t>. При цьому, г</w:t>
      </w:r>
      <w:r w:rsidRPr="005F0419">
        <w:rPr>
          <w:rFonts w:ascii="Times New Roman" w:eastAsia="Calibri" w:hAnsi="Times New Roman" w:cs="Times New Roman"/>
          <w:sz w:val="28"/>
          <w:szCs w:val="28"/>
          <w:lang w:val="uk-UA" w:eastAsia="en-US"/>
        </w:rPr>
        <w:t>еоекономічні перетворення в туризмі можуть перебувати на стадії суттєвих змін, пов'язаних з соціально-економічним розвитком країни. Індустрія туризмі є прибутковим міжгалузевим комплексом, що забезпечує високий рівень зайнятості, соціального добробуту і якості життя населення. Прагнення отримати максимальну вигоду від індустрії в п</w:t>
      </w:r>
      <w:r w:rsidRPr="005F0419">
        <w:rPr>
          <w:rFonts w:ascii="Times New Roman" w:hAnsi="Times New Roman" w:cs="Times New Roman"/>
          <w:sz w:val="28"/>
          <w:szCs w:val="28"/>
          <w:lang w:val="uk-UA"/>
        </w:rPr>
        <w:t>росторовій синергії регіонів, які мають культурно-історичні відмінності, та від асиметрії рекреаційних ресурсів, розміщеної на територіях транспортної, комунікаційної, курортно-розважальної інфраструктури тощо, дозволяють відродити потенціал міжнародного співробітництва української індустрії туризму з урахуванням поляризаційних аспектів геоекономічного простору, який</w:t>
      </w:r>
      <w:r w:rsidRPr="005F0419">
        <w:rPr>
          <w:rFonts w:ascii="Times New Roman" w:eastAsia="Calibri" w:hAnsi="Times New Roman" w:cs="Times New Roman"/>
          <w:sz w:val="28"/>
          <w:szCs w:val="28"/>
          <w:lang w:val="uk-UA" w:eastAsia="en-US"/>
        </w:rPr>
        <w:t xml:space="preserve"> в умовах глобалізації національних економік досяг значних масштабів і розглядається, як самостійна сфера зовнішньоекономічних відносин із суттєвою зміною її структури [11].</w:t>
      </w:r>
    </w:p>
    <w:p w14:paraId="1F0F278E" w14:textId="77777777" w:rsidR="00662012" w:rsidRPr="005F0419" w:rsidRDefault="00662012" w:rsidP="00662012">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Cs/>
          <w:sz w:val="28"/>
          <w:szCs w:val="28"/>
          <w:lang w:val="uk-UA"/>
        </w:rPr>
        <w:lastRenderedPageBreak/>
        <w:t>Геоекономічний простір (ГЕП)</w:t>
      </w:r>
      <w:r w:rsidRPr="005F0419">
        <w:rPr>
          <w:rFonts w:ascii="Times New Roman" w:hAnsi="Times New Roman" w:cs="Times New Roman"/>
          <w:sz w:val="28"/>
          <w:szCs w:val="28"/>
          <w:lang w:val="uk-UA"/>
        </w:rPr>
        <w:t xml:space="preserve"> представляє організаційно-функціональне середовище індустрії туризму, яке проявляється у формі взаємодії традиційно-культурологічних процесів розвитку міжнародного співробітництва держави на різних ієрархічних рівнях. Дані рівні розподіляються між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 xml:space="preserve">-регіональними й локально-регіональними системами. Тобто, на різних рівнях функціонування базовими компонентами </w:t>
      </w:r>
      <w:r w:rsidRPr="005F0419">
        <w:rPr>
          <w:rFonts w:ascii="Times New Roman" w:hAnsi="Times New Roman" w:cs="Times New Roman"/>
          <w:iCs/>
          <w:sz w:val="28"/>
          <w:szCs w:val="28"/>
          <w:lang w:val="uk-UA"/>
        </w:rPr>
        <w:t>ГЕП</w:t>
      </w:r>
      <w:r w:rsidRPr="005F0419">
        <w:rPr>
          <w:rFonts w:ascii="Times New Roman" w:hAnsi="Times New Roman" w:cs="Times New Roman"/>
          <w:sz w:val="28"/>
          <w:szCs w:val="28"/>
          <w:lang w:val="uk-UA"/>
        </w:rPr>
        <w:t xml:space="preserve"> є наступні сфери життєдіяльності суспільства:</w:t>
      </w:r>
      <w:r w:rsidRPr="005F0419">
        <w:rPr>
          <w:rFonts w:ascii="Times New Roman" w:hAnsi="Times New Roman" w:cs="Times New Roman"/>
          <w:iCs/>
          <w:sz w:val="28"/>
          <w:szCs w:val="28"/>
          <w:lang w:val="uk-UA"/>
        </w:rPr>
        <w:t xml:space="preserve"> соціально-економічна, територіальна</w:t>
      </w:r>
      <w:r w:rsidRPr="005F0419">
        <w:rPr>
          <w:rFonts w:ascii="Times New Roman" w:hAnsi="Times New Roman" w:cs="Times New Roman"/>
          <w:sz w:val="28"/>
          <w:szCs w:val="28"/>
          <w:lang w:val="uk-UA"/>
        </w:rPr>
        <w:t xml:space="preserve"> (просторова), </w:t>
      </w:r>
      <w:r w:rsidRPr="005F0419">
        <w:rPr>
          <w:rFonts w:ascii="Times New Roman" w:hAnsi="Times New Roman" w:cs="Times New Roman"/>
          <w:iCs/>
          <w:sz w:val="28"/>
          <w:szCs w:val="28"/>
          <w:lang w:val="uk-UA"/>
        </w:rPr>
        <w:t>демографічна</w:t>
      </w:r>
      <w:r w:rsidRPr="005F0419">
        <w:rPr>
          <w:rFonts w:ascii="Times New Roman" w:hAnsi="Times New Roman" w:cs="Times New Roman"/>
          <w:sz w:val="28"/>
          <w:szCs w:val="28"/>
          <w:lang w:val="uk-UA"/>
        </w:rPr>
        <w:t xml:space="preserve">, </w:t>
      </w:r>
      <w:r w:rsidRPr="005F0419">
        <w:rPr>
          <w:rFonts w:ascii="Times New Roman" w:hAnsi="Times New Roman" w:cs="Times New Roman"/>
          <w:iCs/>
          <w:sz w:val="28"/>
          <w:szCs w:val="28"/>
          <w:lang w:val="uk-UA"/>
        </w:rPr>
        <w:t>управлінська</w:t>
      </w:r>
      <w:r w:rsidRPr="005F0419">
        <w:rPr>
          <w:rFonts w:ascii="Times New Roman" w:hAnsi="Times New Roman" w:cs="Times New Roman"/>
          <w:sz w:val="28"/>
          <w:szCs w:val="28"/>
          <w:lang w:val="uk-UA"/>
        </w:rPr>
        <w:t>, культурно-релігійна. Г</w:t>
      </w:r>
      <w:r w:rsidRPr="005F0419">
        <w:rPr>
          <w:rFonts w:ascii="Times New Roman" w:hAnsi="Times New Roman" w:cs="Times New Roman"/>
          <w:iCs/>
          <w:sz w:val="28"/>
          <w:szCs w:val="28"/>
          <w:lang w:val="uk-UA"/>
        </w:rPr>
        <w:t>еоекономічний простір індустрії туризму</w:t>
      </w:r>
      <w:r w:rsidRPr="005F0419">
        <w:rPr>
          <w:rFonts w:ascii="Times New Roman" w:hAnsi="Times New Roman" w:cs="Times New Roman"/>
          <w:sz w:val="28"/>
          <w:szCs w:val="28"/>
          <w:lang w:val="uk-UA"/>
        </w:rPr>
        <w:t xml:space="preserve"> є суспільно-географічною системою (за системним підходом), яка за законом трансформації змін «кількість у якість», формує адекватні величини потенціалу міжнародного співробітництва держави в світовій ієрархії. При цьому забезпечується якісна трансформація територій за рахунок мобілізації значного обсягу ресурсів </w:t>
      </w:r>
      <w:r w:rsidRPr="005F0419">
        <w:rPr>
          <w:rFonts w:ascii="Times New Roman" w:eastAsia="Calibri" w:hAnsi="Times New Roman" w:cs="Times New Roman"/>
          <w:sz w:val="28"/>
          <w:szCs w:val="28"/>
          <w:lang w:val="uk-UA" w:eastAsia="en-US"/>
        </w:rPr>
        <w:t>[28].</w:t>
      </w:r>
      <w:r w:rsidRPr="005F0419">
        <w:rPr>
          <w:rFonts w:ascii="Times New Roman" w:hAnsi="Times New Roman" w:cs="Times New Roman"/>
          <w:sz w:val="28"/>
          <w:szCs w:val="28"/>
          <w:lang w:val="uk-UA"/>
        </w:rPr>
        <w:t xml:space="preserve"> </w:t>
      </w:r>
    </w:p>
    <w:p w14:paraId="236D466F" w14:textId="77777777" w:rsidR="00662012" w:rsidRPr="005F0419" w:rsidRDefault="00662012" w:rsidP="00662012">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Розширення у геоекономічному просторі індустрії туризму інтенсифікує розвиток інформаційно-комунікаційного потенціалу (транспорт, інформаційні технології), а також сприяє підвищенню ефективності комунікацій між різними країнами та регіонами у міжнародному середовищі. При цьому, даний процес формує потенціал міжнародного співробітництва, як органічну єдність певної економічної моделі, де існують внутрішні зв’язки між складовими елементами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 xml:space="preserve">-регіональних та локально-регіональних туристичних систем </w:t>
      </w:r>
      <w:r w:rsidRPr="005F0419">
        <w:rPr>
          <w:rFonts w:ascii="Times New Roman" w:eastAsia="Calibri" w:hAnsi="Times New Roman" w:cs="Times New Roman"/>
          <w:sz w:val="28"/>
          <w:szCs w:val="28"/>
          <w:lang w:val="uk-UA" w:eastAsia="en-US"/>
        </w:rPr>
        <w:t>[8; 29].</w:t>
      </w:r>
      <w:r w:rsidRPr="005F0419">
        <w:rPr>
          <w:rFonts w:ascii="Times New Roman" w:hAnsi="Times New Roman" w:cs="Times New Roman"/>
          <w:sz w:val="28"/>
          <w:szCs w:val="28"/>
          <w:lang w:val="uk-UA"/>
        </w:rPr>
        <w:t xml:space="preserve"> </w:t>
      </w:r>
    </w:p>
    <w:p w14:paraId="3233CD9E" w14:textId="54A64FBC" w:rsidR="00662012"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Локально-регіональні туристичні системи формуються на перетині трьох окремих підсистем (населення, виробництво і надання послуг, </w:t>
      </w:r>
      <w:r w:rsidRPr="005F0419">
        <w:rPr>
          <w:rFonts w:ascii="Times New Roman" w:eastAsia="Calibri" w:hAnsi="Times New Roman" w:cs="Times New Roman"/>
          <w:sz w:val="28"/>
          <w:szCs w:val="28"/>
          <w:lang w:val="uk-UA" w:eastAsia="en-US"/>
        </w:rPr>
        <w:t>природа)</w:t>
      </w:r>
      <w:r w:rsidRPr="005F0419">
        <w:rPr>
          <w:rFonts w:ascii="Times New Roman" w:hAnsi="Times New Roman" w:cs="Times New Roman"/>
          <w:spacing w:val="-2"/>
          <w:sz w:val="28"/>
          <w:szCs w:val="28"/>
          <w:lang w:val="uk-UA"/>
        </w:rPr>
        <w:t xml:space="preserve"> і містять у компоненти: рекреанти (формальна тимчасова суспільна група); туристи та трудові ресурси (обслуговування локально-регіональної системи в межах певної території); природні ресурси; матеріально-технічні, енергетичні й інформаційні засоби </w:t>
      </w:r>
      <w:r w:rsidRPr="005F0419">
        <w:rPr>
          <w:rFonts w:ascii="Times New Roman" w:eastAsia="Calibri" w:hAnsi="Times New Roman" w:cs="Times New Roman"/>
          <w:sz w:val="28"/>
          <w:szCs w:val="28"/>
          <w:lang w:val="uk-UA" w:eastAsia="en-US"/>
        </w:rPr>
        <w:t>[11]</w:t>
      </w:r>
      <w:r w:rsidRPr="005F0419">
        <w:rPr>
          <w:rFonts w:ascii="Times New Roman" w:hAnsi="Times New Roman" w:cs="Times New Roman"/>
          <w:spacing w:val="-2"/>
          <w:sz w:val="28"/>
          <w:szCs w:val="28"/>
          <w:lang w:val="uk-UA"/>
        </w:rPr>
        <w:t>. Відповідно, при формуванні відтворювальної моделі потенціалу міжнародного співробітництва, вкрай необхідним є виокремлення індикаторів туристичної локально-регіональної системи та визначення її величини (рис. 1).</w:t>
      </w:r>
    </w:p>
    <w:p w14:paraId="0B4DD40A" w14:textId="0B6AF380" w:rsidR="00D42F9E" w:rsidRDefault="00D42F9E"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210C363E" w14:textId="6C899999" w:rsidR="00C713B7" w:rsidRDefault="00C713B7"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75D681CF" w14:textId="77777777" w:rsidR="00C713B7" w:rsidRPr="005F0419" w:rsidRDefault="00C713B7"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0863F035" w14:textId="6839D27B"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noProof/>
          <w:spacing w:val="-2"/>
          <w:sz w:val="28"/>
          <w:szCs w:val="28"/>
          <w:lang w:val="uk-UA"/>
        </w:rPr>
        <w:lastRenderedPageBreak/>
        <mc:AlternateContent>
          <mc:Choice Requires="wpg">
            <w:drawing>
              <wp:anchor distT="0" distB="0" distL="114300" distR="114300" simplePos="0" relativeHeight="251692032" behindDoc="0" locked="0" layoutInCell="1" allowOverlap="1" wp14:anchorId="4C1E45BC" wp14:editId="51D2156E">
                <wp:simplePos x="0" y="0"/>
                <wp:positionH relativeFrom="column">
                  <wp:posOffset>-1077</wp:posOffset>
                </wp:positionH>
                <wp:positionV relativeFrom="paragraph">
                  <wp:posOffset>7924</wp:posOffset>
                </wp:positionV>
                <wp:extent cx="6115050" cy="3992134"/>
                <wp:effectExtent l="0" t="0" r="19050" b="27940"/>
                <wp:wrapNone/>
                <wp:docPr id="258017870" name="Группа 2580178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15050" cy="3992134"/>
                          <a:chOff x="1125" y="1140"/>
                          <a:chExt cx="9630" cy="4500"/>
                        </a:xfrm>
                      </wpg:grpSpPr>
                      <wps:wsp>
                        <wps:cNvPr id="258017871" name="Rectangle 19"/>
                        <wps:cNvSpPr>
                          <a:spLocks noChangeArrowheads="1"/>
                        </wps:cNvSpPr>
                        <wps:spPr bwMode="auto">
                          <a:xfrm>
                            <a:off x="1125" y="1140"/>
                            <a:ext cx="9630" cy="720"/>
                          </a:xfrm>
                          <a:prstGeom prst="rect">
                            <a:avLst/>
                          </a:prstGeom>
                          <a:solidFill>
                            <a:srgbClr val="FFFFFF"/>
                          </a:solidFill>
                          <a:ln w="9525">
                            <a:solidFill>
                              <a:srgbClr val="000000"/>
                            </a:solidFill>
                            <a:miter lim="800000"/>
                            <a:headEnd/>
                            <a:tailEnd/>
                          </a:ln>
                        </wps:spPr>
                        <wps:txbx>
                          <w:txbxContent>
                            <w:p w14:paraId="5A26289B" w14:textId="77777777" w:rsidR="00571B42" w:rsidRPr="002279C5" w:rsidRDefault="00571B42" w:rsidP="00662012">
                              <w:pPr>
                                <w:jc w:val="center"/>
                                <w:rPr>
                                  <w:rFonts w:ascii="Times New Roman" w:hAnsi="Times New Roman" w:cs="Times New Roman"/>
                                </w:rPr>
                              </w:pPr>
                              <w:r w:rsidRPr="002279C5">
                                <w:rPr>
                                  <w:rFonts w:ascii="Times New Roman" w:hAnsi="Times New Roman" w:cs="Times New Roman"/>
                                  <w:color w:val="000000"/>
                                  <w:lang w:val="uk-UA"/>
                                </w:rPr>
                                <w:t>Індикатори величини та рівня ефективності використання туристичної локально-регіональної системи в економіці країни</w:t>
                              </w:r>
                            </w:p>
                          </w:txbxContent>
                        </wps:txbx>
                        <wps:bodyPr rot="0" vert="horz" wrap="square" lIns="91440" tIns="45720" rIns="91440" bIns="45720" anchor="t" anchorCtr="0" upright="1">
                          <a:noAutofit/>
                        </wps:bodyPr>
                      </wps:wsp>
                      <wps:wsp>
                        <wps:cNvPr id="258017872" name="Rectangle 20"/>
                        <wps:cNvSpPr>
                          <a:spLocks noChangeArrowheads="1"/>
                        </wps:cNvSpPr>
                        <wps:spPr bwMode="auto">
                          <a:xfrm>
                            <a:off x="1275" y="2040"/>
                            <a:ext cx="3720" cy="975"/>
                          </a:xfrm>
                          <a:prstGeom prst="rect">
                            <a:avLst/>
                          </a:prstGeom>
                          <a:solidFill>
                            <a:srgbClr val="FFFFFF"/>
                          </a:solidFill>
                          <a:ln w="9525">
                            <a:solidFill>
                              <a:srgbClr val="000000"/>
                            </a:solidFill>
                            <a:miter lim="800000"/>
                            <a:headEnd/>
                            <a:tailEnd/>
                          </a:ln>
                        </wps:spPr>
                        <wps:txbx>
                          <w:txbxContent>
                            <w:p w14:paraId="04F09C74" w14:textId="77777777" w:rsidR="00571B42" w:rsidRPr="002279C5" w:rsidRDefault="00571B42" w:rsidP="00662012">
                              <w:pPr>
                                <w:suppressAutoHyphens/>
                                <w:jc w:val="center"/>
                                <w:rPr>
                                  <w:rFonts w:ascii="Times New Roman" w:hAnsi="Times New Roman" w:cs="Times New Roman"/>
                                </w:rPr>
                              </w:pPr>
                              <w:r w:rsidRPr="002279C5">
                                <w:rPr>
                                  <w:rFonts w:ascii="Times New Roman" w:hAnsi="Times New Roman" w:cs="Times New Roman"/>
                                  <w:lang w:val="uk-UA"/>
                                </w:rPr>
                                <w:t>Загальна кількість потенційних туристичних ресурсів в локально-регіональній системі</w:t>
                              </w:r>
                            </w:p>
                          </w:txbxContent>
                        </wps:txbx>
                        <wps:bodyPr rot="0" vert="horz" wrap="square" lIns="91440" tIns="45720" rIns="91440" bIns="45720" anchor="t" anchorCtr="0" upright="1">
                          <a:noAutofit/>
                        </wps:bodyPr>
                      </wps:wsp>
                      <wps:wsp>
                        <wps:cNvPr id="258017873" name="Rectangle 21"/>
                        <wps:cNvSpPr>
                          <a:spLocks noChangeArrowheads="1"/>
                        </wps:cNvSpPr>
                        <wps:spPr bwMode="auto">
                          <a:xfrm>
                            <a:off x="5250" y="2040"/>
                            <a:ext cx="5505" cy="975"/>
                          </a:xfrm>
                          <a:prstGeom prst="rect">
                            <a:avLst/>
                          </a:prstGeom>
                          <a:solidFill>
                            <a:srgbClr val="FFFFFF"/>
                          </a:solidFill>
                          <a:ln w="9525">
                            <a:solidFill>
                              <a:srgbClr val="000000"/>
                            </a:solidFill>
                            <a:miter lim="800000"/>
                            <a:headEnd/>
                            <a:tailEnd/>
                          </a:ln>
                        </wps:spPr>
                        <wps:txbx>
                          <w:txbxContent>
                            <w:p w14:paraId="1DAEAEF6" w14:textId="77777777" w:rsidR="00571B42" w:rsidRPr="002279C5" w:rsidRDefault="00571B42" w:rsidP="00662012">
                              <w:pPr>
                                <w:jc w:val="both"/>
                                <w:rPr>
                                  <w:rFonts w:ascii="Times New Roman" w:hAnsi="Times New Roman" w:cs="Times New Roman"/>
                                  <w:lang w:val="uk-UA"/>
                                </w:rPr>
                              </w:pPr>
                              <w:r w:rsidRPr="002279C5">
                                <w:rPr>
                                  <w:rFonts w:ascii="Times New Roman" w:hAnsi="Times New Roman" w:cs="Times New Roman"/>
                                  <w:lang w:val="uk-UA"/>
                                </w:rPr>
                                <w:t xml:space="preserve">Обсяг туристичних ресурсів. </w:t>
                              </w:r>
                            </w:p>
                            <w:p w14:paraId="517ADC46" w14:textId="77777777" w:rsidR="00571B42" w:rsidRPr="002279C5" w:rsidRDefault="00571B42" w:rsidP="00662012">
                              <w:pPr>
                                <w:suppressAutoHyphens/>
                                <w:rPr>
                                  <w:rFonts w:ascii="Times New Roman" w:hAnsi="Times New Roman" w:cs="Times New Roman"/>
                                </w:rPr>
                              </w:pPr>
                              <w:r w:rsidRPr="002279C5">
                                <w:rPr>
                                  <w:rFonts w:ascii="Times New Roman" w:hAnsi="Times New Roman" w:cs="Times New Roman"/>
                                  <w:lang w:val="uk-UA"/>
                                </w:rPr>
                                <w:t>Продуктивність туристично-рекреаційних ресурсів.</w:t>
                              </w:r>
                            </w:p>
                          </w:txbxContent>
                        </wps:txbx>
                        <wps:bodyPr rot="0" vert="horz" wrap="square" lIns="91440" tIns="45720" rIns="91440" bIns="45720" anchor="t" anchorCtr="0" upright="1">
                          <a:noAutofit/>
                        </wps:bodyPr>
                      </wps:wsp>
                      <wps:wsp>
                        <wps:cNvPr id="258017874" name="Rectangle 22"/>
                        <wps:cNvSpPr>
                          <a:spLocks noChangeArrowheads="1"/>
                        </wps:cNvSpPr>
                        <wps:spPr bwMode="auto">
                          <a:xfrm>
                            <a:off x="1290" y="3195"/>
                            <a:ext cx="3720" cy="975"/>
                          </a:xfrm>
                          <a:prstGeom prst="rect">
                            <a:avLst/>
                          </a:prstGeom>
                          <a:solidFill>
                            <a:srgbClr val="FFFFFF"/>
                          </a:solidFill>
                          <a:ln w="9525">
                            <a:solidFill>
                              <a:srgbClr val="000000"/>
                            </a:solidFill>
                            <a:miter lim="800000"/>
                            <a:headEnd/>
                            <a:tailEnd/>
                          </a:ln>
                        </wps:spPr>
                        <wps:txbx>
                          <w:txbxContent>
                            <w:p w14:paraId="71613927" w14:textId="77777777" w:rsidR="00571B42" w:rsidRPr="002279C5" w:rsidRDefault="00571B42" w:rsidP="00662012">
                              <w:pPr>
                                <w:suppressAutoHyphens/>
                                <w:jc w:val="center"/>
                                <w:rPr>
                                  <w:rFonts w:ascii="Times New Roman" w:hAnsi="Times New Roman" w:cs="Times New Roman"/>
                                  <w:lang w:val="uk-UA"/>
                                </w:rPr>
                              </w:pPr>
                              <w:r w:rsidRPr="002279C5">
                                <w:rPr>
                                  <w:rFonts w:ascii="Times New Roman" w:hAnsi="Times New Roman" w:cs="Times New Roman"/>
                                  <w:lang w:val="uk-UA"/>
                                </w:rPr>
                                <w:t>Потенційна величина туристичного продукту в локально-регіональній системі</w:t>
                              </w:r>
                            </w:p>
                          </w:txbxContent>
                        </wps:txbx>
                        <wps:bodyPr rot="0" vert="horz" wrap="square" lIns="91440" tIns="45720" rIns="91440" bIns="45720" anchor="t" anchorCtr="0" upright="1">
                          <a:noAutofit/>
                        </wps:bodyPr>
                      </wps:wsp>
                      <wps:wsp>
                        <wps:cNvPr id="258017875" name="Rectangle 23"/>
                        <wps:cNvSpPr>
                          <a:spLocks noChangeArrowheads="1"/>
                        </wps:cNvSpPr>
                        <wps:spPr bwMode="auto">
                          <a:xfrm>
                            <a:off x="5265" y="3180"/>
                            <a:ext cx="5490" cy="975"/>
                          </a:xfrm>
                          <a:prstGeom prst="rect">
                            <a:avLst/>
                          </a:prstGeom>
                          <a:solidFill>
                            <a:srgbClr val="FFFFFF"/>
                          </a:solidFill>
                          <a:ln w="9525">
                            <a:solidFill>
                              <a:srgbClr val="000000"/>
                            </a:solidFill>
                            <a:miter lim="800000"/>
                            <a:headEnd/>
                            <a:tailEnd/>
                          </a:ln>
                        </wps:spPr>
                        <wps:txbx>
                          <w:txbxContent>
                            <w:p w14:paraId="39DA7133" w14:textId="77777777" w:rsidR="00571B42" w:rsidRPr="002279C5" w:rsidRDefault="00571B42" w:rsidP="00662012">
                              <w:pPr>
                                <w:jc w:val="both"/>
                                <w:rPr>
                                  <w:rFonts w:ascii="Times New Roman" w:hAnsi="Times New Roman" w:cs="Times New Roman"/>
                                  <w:lang w:val="uk-UA"/>
                                </w:rPr>
                              </w:pPr>
                              <w:r w:rsidRPr="002279C5">
                                <w:rPr>
                                  <w:rFonts w:ascii="Times New Roman" w:hAnsi="Times New Roman" w:cs="Times New Roman"/>
                                  <w:lang w:val="uk-UA"/>
                                </w:rPr>
                                <w:t>Обсяг виробництва туристичного продукту.</w:t>
                              </w:r>
                            </w:p>
                            <w:p w14:paraId="0C3577E3" w14:textId="77777777" w:rsidR="00571B42" w:rsidRPr="002279C5" w:rsidRDefault="00571B42" w:rsidP="00662012">
                              <w:pPr>
                                <w:suppressAutoHyphens/>
                                <w:rPr>
                                  <w:rFonts w:ascii="Times New Roman" w:hAnsi="Times New Roman" w:cs="Times New Roman"/>
                                </w:rPr>
                              </w:pPr>
                              <w:r w:rsidRPr="002279C5">
                                <w:rPr>
                                  <w:rFonts w:ascii="Times New Roman" w:hAnsi="Times New Roman" w:cs="Times New Roman"/>
                                  <w:lang w:val="uk-UA"/>
                                </w:rPr>
                                <w:t>Обсяг продажу туристичного продукту.</w:t>
                              </w:r>
                            </w:p>
                          </w:txbxContent>
                        </wps:txbx>
                        <wps:bodyPr rot="0" vert="horz" wrap="square" lIns="91440" tIns="45720" rIns="91440" bIns="45720" anchor="t" anchorCtr="0" upright="1">
                          <a:noAutofit/>
                        </wps:bodyPr>
                      </wps:wsp>
                      <wps:wsp>
                        <wps:cNvPr id="258017876" name="Rectangle 24"/>
                        <wps:cNvSpPr>
                          <a:spLocks noChangeArrowheads="1"/>
                        </wps:cNvSpPr>
                        <wps:spPr bwMode="auto">
                          <a:xfrm>
                            <a:off x="1290" y="4470"/>
                            <a:ext cx="3720" cy="975"/>
                          </a:xfrm>
                          <a:prstGeom prst="rect">
                            <a:avLst/>
                          </a:prstGeom>
                          <a:solidFill>
                            <a:srgbClr val="FFFFFF"/>
                          </a:solidFill>
                          <a:ln w="9525">
                            <a:solidFill>
                              <a:srgbClr val="000000"/>
                            </a:solidFill>
                            <a:miter lim="800000"/>
                            <a:headEnd/>
                            <a:tailEnd/>
                          </a:ln>
                        </wps:spPr>
                        <wps:txbx>
                          <w:txbxContent>
                            <w:p w14:paraId="7A450871" w14:textId="77777777" w:rsidR="00571B42" w:rsidRPr="002279C5" w:rsidRDefault="00571B42" w:rsidP="00662012">
                              <w:pPr>
                                <w:suppressAutoHyphens/>
                                <w:jc w:val="center"/>
                                <w:rPr>
                                  <w:rFonts w:ascii="Times New Roman" w:hAnsi="Times New Roman" w:cs="Times New Roman"/>
                                  <w:lang w:val="uk-UA"/>
                                </w:rPr>
                              </w:pPr>
                              <w:r w:rsidRPr="002279C5">
                                <w:rPr>
                                  <w:rFonts w:ascii="Times New Roman" w:hAnsi="Times New Roman" w:cs="Times New Roman"/>
                                  <w:lang w:val="uk-UA"/>
                                </w:rPr>
                                <w:t>Субіндикатори потенціалу туристичної локально-регіональної системи</w:t>
                              </w:r>
                            </w:p>
                          </w:txbxContent>
                        </wps:txbx>
                        <wps:bodyPr rot="0" vert="horz" wrap="square" lIns="91440" tIns="45720" rIns="91440" bIns="45720" anchor="t" anchorCtr="0" upright="1">
                          <a:noAutofit/>
                        </wps:bodyPr>
                      </wps:wsp>
                      <wps:wsp>
                        <wps:cNvPr id="258017877" name="Rectangle 25"/>
                        <wps:cNvSpPr>
                          <a:spLocks noChangeArrowheads="1"/>
                        </wps:cNvSpPr>
                        <wps:spPr bwMode="auto">
                          <a:xfrm>
                            <a:off x="5280" y="4350"/>
                            <a:ext cx="5475" cy="1290"/>
                          </a:xfrm>
                          <a:prstGeom prst="rect">
                            <a:avLst/>
                          </a:prstGeom>
                          <a:solidFill>
                            <a:srgbClr val="FFFFFF"/>
                          </a:solidFill>
                          <a:ln w="9525">
                            <a:solidFill>
                              <a:srgbClr val="000000"/>
                            </a:solidFill>
                            <a:miter lim="800000"/>
                            <a:headEnd/>
                            <a:tailEnd/>
                          </a:ln>
                        </wps:spPr>
                        <wps:txbx>
                          <w:txbxContent>
                            <w:p w14:paraId="4561D41B" w14:textId="77777777" w:rsidR="00571B42" w:rsidRPr="002279C5" w:rsidRDefault="00571B42" w:rsidP="00662012">
                              <w:pPr>
                                <w:suppressAutoHyphens/>
                                <w:rPr>
                                  <w:rFonts w:ascii="Times New Roman" w:hAnsi="Times New Roman" w:cs="Times New Roman"/>
                                  <w:lang w:val="uk-UA"/>
                                </w:rPr>
                              </w:pPr>
                              <w:r w:rsidRPr="002279C5">
                                <w:rPr>
                                  <w:rFonts w:ascii="Times New Roman" w:hAnsi="Times New Roman" w:cs="Times New Roman"/>
                                  <w:lang w:val="uk-UA"/>
                                </w:rPr>
                                <w:t>Рівень використання потенціалу туристичної локально-регіональної системи.</w:t>
                              </w:r>
                            </w:p>
                            <w:p w14:paraId="5512EFCA" w14:textId="77777777" w:rsidR="00571B42" w:rsidRPr="002279C5" w:rsidRDefault="00571B42" w:rsidP="00662012">
                              <w:pPr>
                                <w:suppressAutoHyphens/>
                                <w:rPr>
                                  <w:rFonts w:ascii="Times New Roman" w:hAnsi="Times New Roman" w:cs="Times New Roman"/>
                                </w:rPr>
                              </w:pPr>
                              <w:r w:rsidRPr="002279C5">
                                <w:rPr>
                                  <w:rFonts w:ascii="Times New Roman" w:hAnsi="Times New Roman" w:cs="Times New Roman"/>
                                  <w:lang w:val="uk-UA"/>
                                </w:rPr>
                                <w:t>Рівень потенційної віддачі туристичної локально-регіональної системи в економіці країни.</w:t>
                              </w:r>
                            </w:p>
                          </w:txbxContent>
                        </wps:txbx>
                        <wps:bodyPr rot="0" vert="horz" wrap="square" lIns="91440" tIns="45720" rIns="91440" bIns="45720" anchor="t" anchorCtr="0" upright="1">
                          <a:noAutofit/>
                        </wps:bodyPr>
                      </wps:wsp>
                      <wps:wsp>
                        <wps:cNvPr id="258017879" name="AutoShape 26"/>
                        <wps:cNvCnPr>
                          <a:cxnSpLocks noChangeShapeType="1"/>
                        </wps:cNvCnPr>
                        <wps:spPr bwMode="auto">
                          <a:xfrm>
                            <a:off x="1140" y="1860"/>
                            <a:ext cx="0" cy="3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8017880" name="AutoShape 27"/>
                        <wps:cNvCnPr>
                          <a:cxnSpLocks noChangeShapeType="1"/>
                        </wps:cNvCnPr>
                        <wps:spPr bwMode="auto">
                          <a:xfrm>
                            <a:off x="1140" y="2520"/>
                            <a:ext cx="1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8017881" name="AutoShape 28"/>
                        <wps:cNvCnPr>
                          <a:cxnSpLocks noChangeShapeType="1"/>
                        </wps:cNvCnPr>
                        <wps:spPr bwMode="auto">
                          <a:xfrm flipV="1">
                            <a:off x="1140" y="3645"/>
                            <a:ext cx="13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8017882" name="AutoShape 29"/>
                        <wps:cNvCnPr>
                          <a:cxnSpLocks noChangeShapeType="1"/>
                        </wps:cNvCnPr>
                        <wps:spPr bwMode="auto">
                          <a:xfrm>
                            <a:off x="1140" y="4920"/>
                            <a:ext cx="1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8017883" name="AutoShape 30"/>
                        <wps:cNvCnPr>
                          <a:cxnSpLocks noChangeShapeType="1"/>
                        </wps:cNvCnPr>
                        <wps:spPr bwMode="auto">
                          <a:xfrm>
                            <a:off x="5025" y="2520"/>
                            <a:ext cx="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8017884" name="AutoShape 31"/>
                        <wps:cNvCnPr>
                          <a:cxnSpLocks noChangeShapeType="1"/>
                        </wps:cNvCnPr>
                        <wps:spPr bwMode="auto">
                          <a:xfrm>
                            <a:off x="5025" y="3660"/>
                            <a:ext cx="2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8017885" name="AutoShape 32"/>
                        <wps:cNvCnPr>
                          <a:cxnSpLocks noChangeShapeType="1"/>
                        </wps:cNvCnPr>
                        <wps:spPr bwMode="auto">
                          <a:xfrm>
                            <a:off x="5025" y="4935"/>
                            <a:ext cx="2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C1E45BC" id="Группа 258017870" o:spid="_x0000_s1310" style="position:absolute;left:0;text-align:left;margin-left:-.1pt;margin-top:.6pt;width:481.5pt;height:314.35pt;z-index:251692032;mso-position-horizontal-relative:text;mso-position-vertical-relative:text" coordorigin="1125,1140" coordsize="9630,4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">
                <v:rect id="Rectangle 19" o:spid="_x0000_s1311" style="position:absolute;left:1125;top:1140;width:963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">
                  <v:textbox>
                    <w:txbxContent>
                      <w:p w14:paraId="5A26289B" w14:textId="77777777" w:rsidR="00571B42" w:rsidRPr="002279C5" w:rsidRDefault="00571B42" w:rsidP="00662012">
                        <w:pPr>
                          <w:jc w:val="center"/>
                          <w:rPr>
                            <w:rFonts w:ascii="Times New Roman" w:hAnsi="Times New Roman" w:cs="Times New Roman"/>
                          </w:rPr>
                        </w:pPr>
                        <w:r w:rsidRPr="002279C5">
                          <w:rPr>
                            <w:rFonts w:ascii="Times New Roman" w:hAnsi="Times New Roman" w:cs="Times New Roman"/>
                            <w:color w:val="000000"/>
                            <w:lang w:val="uk-UA"/>
                          </w:rPr>
                          <w:t>Індикатори величини та рівня ефективності використання туристичної локально-регіональної системи в економіці країни</w:t>
                        </w:r>
                      </w:p>
                    </w:txbxContent>
                  </v:textbox>
                </v:rect>
                <v:rect id="Rectangle 20" o:spid="_x0000_s1312" style="position:absolute;left:1275;top:2040;width:3720;height: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">
                  <v:textbox>
                    <w:txbxContent>
                      <w:p w14:paraId="04F09C74" w14:textId="77777777" w:rsidR="00571B42" w:rsidRPr="002279C5" w:rsidRDefault="00571B42" w:rsidP="00662012">
                        <w:pPr>
                          <w:suppressAutoHyphens/>
                          <w:jc w:val="center"/>
                          <w:rPr>
                            <w:rFonts w:ascii="Times New Roman" w:hAnsi="Times New Roman" w:cs="Times New Roman"/>
                          </w:rPr>
                        </w:pPr>
                        <w:r w:rsidRPr="002279C5">
                          <w:rPr>
                            <w:rFonts w:ascii="Times New Roman" w:hAnsi="Times New Roman" w:cs="Times New Roman"/>
                            <w:lang w:val="uk-UA"/>
                          </w:rPr>
                          <w:t>Загальна кількість потенційних туристичних ресурсів в локально-регіональній системі</w:t>
                        </w:r>
                      </w:p>
                    </w:txbxContent>
                  </v:textbox>
                </v:rect>
                <v:rect id="Rectangle 21" o:spid="_x0000_s1313" style="position:absolute;left:5250;top:2040;width:5505;height: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">
                  <v:textbox>
                    <w:txbxContent>
                      <w:p w14:paraId="1DAEAEF6" w14:textId="77777777" w:rsidR="00571B42" w:rsidRPr="002279C5" w:rsidRDefault="00571B42" w:rsidP="00662012">
                        <w:pPr>
                          <w:jc w:val="both"/>
                          <w:rPr>
                            <w:rFonts w:ascii="Times New Roman" w:hAnsi="Times New Roman" w:cs="Times New Roman"/>
                            <w:lang w:val="uk-UA"/>
                          </w:rPr>
                        </w:pPr>
                        <w:r w:rsidRPr="002279C5">
                          <w:rPr>
                            <w:rFonts w:ascii="Times New Roman" w:hAnsi="Times New Roman" w:cs="Times New Roman"/>
                            <w:lang w:val="uk-UA"/>
                          </w:rPr>
                          <w:t xml:space="preserve">Обсяг туристичних ресурсів. </w:t>
                        </w:r>
                      </w:p>
                      <w:p w14:paraId="517ADC46" w14:textId="77777777" w:rsidR="00571B42" w:rsidRPr="002279C5" w:rsidRDefault="00571B42" w:rsidP="00662012">
                        <w:pPr>
                          <w:suppressAutoHyphens/>
                          <w:rPr>
                            <w:rFonts w:ascii="Times New Roman" w:hAnsi="Times New Roman" w:cs="Times New Roman"/>
                          </w:rPr>
                        </w:pPr>
                        <w:r w:rsidRPr="002279C5">
                          <w:rPr>
                            <w:rFonts w:ascii="Times New Roman" w:hAnsi="Times New Roman" w:cs="Times New Roman"/>
                            <w:lang w:val="uk-UA"/>
                          </w:rPr>
                          <w:t>Продуктивність туристично-рекреаційних ресурсів.</w:t>
                        </w:r>
                      </w:p>
                    </w:txbxContent>
                  </v:textbox>
                </v:rect>
                <v:rect id="Rectangle 22" o:spid="_x0000_s1314" style="position:absolute;left:1290;top:3195;width:3720;height: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">
                  <v:textbox>
                    <w:txbxContent>
                      <w:p w14:paraId="71613927" w14:textId="77777777" w:rsidR="00571B42" w:rsidRPr="002279C5" w:rsidRDefault="00571B42" w:rsidP="00662012">
                        <w:pPr>
                          <w:suppressAutoHyphens/>
                          <w:jc w:val="center"/>
                          <w:rPr>
                            <w:rFonts w:ascii="Times New Roman" w:hAnsi="Times New Roman" w:cs="Times New Roman"/>
                            <w:lang w:val="uk-UA"/>
                          </w:rPr>
                        </w:pPr>
                        <w:r w:rsidRPr="002279C5">
                          <w:rPr>
                            <w:rFonts w:ascii="Times New Roman" w:hAnsi="Times New Roman" w:cs="Times New Roman"/>
                            <w:lang w:val="uk-UA"/>
                          </w:rPr>
                          <w:t>Потенційна величина туристичного продукту в локально-регіональній системі</w:t>
                        </w:r>
                      </w:p>
                    </w:txbxContent>
                  </v:textbox>
                </v:rect>
                <v:rect id="Rectangle 23" o:spid="_x0000_s1315" style="position:absolute;left:5265;top:3180;width:5490;height: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">
                  <v:textbox>
                    <w:txbxContent>
                      <w:p w14:paraId="39DA7133" w14:textId="77777777" w:rsidR="00571B42" w:rsidRPr="002279C5" w:rsidRDefault="00571B42" w:rsidP="00662012">
                        <w:pPr>
                          <w:jc w:val="both"/>
                          <w:rPr>
                            <w:rFonts w:ascii="Times New Roman" w:hAnsi="Times New Roman" w:cs="Times New Roman"/>
                            <w:lang w:val="uk-UA"/>
                          </w:rPr>
                        </w:pPr>
                        <w:r w:rsidRPr="002279C5">
                          <w:rPr>
                            <w:rFonts w:ascii="Times New Roman" w:hAnsi="Times New Roman" w:cs="Times New Roman"/>
                            <w:lang w:val="uk-UA"/>
                          </w:rPr>
                          <w:t>Обсяг виробництва туристичного продукту.</w:t>
                        </w:r>
                      </w:p>
                      <w:p w14:paraId="0C3577E3" w14:textId="77777777" w:rsidR="00571B42" w:rsidRPr="002279C5" w:rsidRDefault="00571B42" w:rsidP="00662012">
                        <w:pPr>
                          <w:suppressAutoHyphens/>
                          <w:rPr>
                            <w:rFonts w:ascii="Times New Roman" w:hAnsi="Times New Roman" w:cs="Times New Roman"/>
                          </w:rPr>
                        </w:pPr>
                        <w:r w:rsidRPr="002279C5">
                          <w:rPr>
                            <w:rFonts w:ascii="Times New Roman" w:hAnsi="Times New Roman" w:cs="Times New Roman"/>
                            <w:lang w:val="uk-UA"/>
                          </w:rPr>
                          <w:t>Обсяг продажу туристичного продукту.</w:t>
                        </w:r>
                      </w:p>
                    </w:txbxContent>
                  </v:textbox>
                </v:rect>
                <v:rect id="Rectangle 24" o:spid="_x0000_s1316" style="position:absolute;left:1290;top:4470;width:3720;height: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">
                  <v:textbox>
                    <w:txbxContent>
                      <w:p w14:paraId="7A450871" w14:textId="77777777" w:rsidR="00571B42" w:rsidRPr="002279C5" w:rsidRDefault="00571B42" w:rsidP="00662012">
                        <w:pPr>
                          <w:suppressAutoHyphens/>
                          <w:jc w:val="center"/>
                          <w:rPr>
                            <w:rFonts w:ascii="Times New Roman" w:hAnsi="Times New Roman" w:cs="Times New Roman"/>
                            <w:lang w:val="uk-UA"/>
                          </w:rPr>
                        </w:pPr>
                        <w:r w:rsidRPr="002279C5">
                          <w:rPr>
                            <w:rFonts w:ascii="Times New Roman" w:hAnsi="Times New Roman" w:cs="Times New Roman"/>
                            <w:lang w:val="uk-UA"/>
                          </w:rPr>
                          <w:t>Субіндикатори потенціалу туристичної локально-регіональної системи</w:t>
                        </w:r>
                      </w:p>
                    </w:txbxContent>
                  </v:textbox>
                </v:rect>
                <v:rect id="Rectangle 25" o:spid="_x0000_s1317" style="position:absolute;left:5280;top:4350;width:5475;height: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">
                  <v:textbox>
                    <w:txbxContent>
                      <w:p w14:paraId="4561D41B" w14:textId="77777777" w:rsidR="00571B42" w:rsidRPr="002279C5" w:rsidRDefault="00571B42" w:rsidP="00662012">
                        <w:pPr>
                          <w:suppressAutoHyphens/>
                          <w:rPr>
                            <w:rFonts w:ascii="Times New Roman" w:hAnsi="Times New Roman" w:cs="Times New Roman"/>
                            <w:lang w:val="uk-UA"/>
                          </w:rPr>
                        </w:pPr>
                        <w:r w:rsidRPr="002279C5">
                          <w:rPr>
                            <w:rFonts w:ascii="Times New Roman" w:hAnsi="Times New Roman" w:cs="Times New Roman"/>
                            <w:lang w:val="uk-UA"/>
                          </w:rPr>
                          <w:t>Рівень використання потенціалу туристичної локально-регіональної системи.</w:t>
                        </w:r>
                      </w:p>
                      <w:p w14:paraId="5512EFCA" w14:textId="77777777" w:rsidR="00571B42" w:rsidRPr="002279C5" w:rsidRDefault="00571B42" w:rsidP="00662012">
                        <w:pPr>
                          <w:suppressAutoHyphens/>
                          <w:rPr>
                            <w:rFonts w:ascii="Times New Roman" w:hAnsi="Times New Roman" w:cs="Times New Roman"/>
                          </w:rPr>
                        </w:pPr>
                        <w:r w:rsidRPr="002279C5">
                          <w:rPr>
                            <w:rFonts w:ascii="Times New Roman" w:hAnsi="Times New Roman" w:cs="Times New Roman"/>
                            <w:lang w:val="uk-UA"/>
                          </w:rPr>
                          <w:t>Рівень потенційної віддачі туристичної локально-регіональної системи в економіці країни.</w:t>
                        </w:r>
                      </w:p>
                    </w:txbxContent>
                  </v:textbox>
                </v:rect>
                <v:shape id="AutoShape 26" o:spid="_x0000_s1318" type="#_x0000_t32" style="position:absolute;left:1140;top:1860;width:0;height:30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"/>
                <v:shape id="AutoShape 27" o:spid="_x0000_s1319" type="#_x0000_t32" style="position:absolute;left:1140;top:2520;width:1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">
                  <v:stroke endarrow="block"/>
                </v:shape>
                <v:shape id="AutoShape 28" o:spid="_x0000_s1320" type="#_x0000_t32" style="position:absolute;left:1140;top:3645;width:135;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">
                  <v:stroke endarrow="block"/>
                </v:shape>
                <v:shape id="AutoShape 29" o:spid="_x0000_s1321" type="#_x0000_t32" style="position:absolute;left:1140;top:4920;width:15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">
                  <v:stroke endarrow="block"/>
                </v:shape>
                <v:shape id="AutoShape 30" o:spid="_x0000_s1322" type="#_x0000_t32" style="position:absolute;left:5025;top:2520;width:22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">
                  <v:stroke endarrow="block"/>
                </v:shape>
                <v:shape id="AutoShape 31" o:spid="_x0000_s1323" type="#_x0000_t32" style="position:absolute;left:5025;top:3660;width:2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">
                  <v:stroke endarrow="block"/>
                </v:shape>
                <v:shape id="AutoShape 32" o:spid="_x0000_s1324" type="#_x0000_t32" style="position:absolute;left:5025;top:4935;width:2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">
                  <v:stroke endarrow="block"/>
                </v:shape>
              </v:group>
            </w:pict>
          </mc:Fallback>
        </mc:AlternateContent>
      </w:r>
    </w:p>
    <w:p w14:paraId="7D02D181"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702C412A"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6CCCD979"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09BFE27C"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21605556"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07B6971E"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02D00955"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0202B489"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3CD49728"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42B7AA86"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1B15B671"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2B04C5C6"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712403A9"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0DAD5638" w14:textId="77777777" w:rsidR="00662012" w:rsidRPr="005F0419" w:rsidRDefault="00662012" w:rsidP="00662012">
      <w:pPr>
        <w:suppressAutoHyphens/>
        <w:autoSpaceDE w:val="0"/>
        <w:autoSpaceDN w:val="0"/>
        <w:adjustRightInd w:val="0"/>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 1.</w:t>
      </w:r>
      <w:r w:rsidRPr="005F0419">
        <w:rPr>
          <w:rFonts w:ascii="Times New Roman" w:hAnsi="Times New Roman" w:cs="Times New Roman"/>
          <w:b/>
          <w:sz w:val="28"/>
          <w:szCs w:val="28"/>
          <w:lang w:val="uk-UA"/>
        </w:rPr>
        <w:t xml:space="preserve"> </w:t>
      </w:r>
      <w:r w:rsidRPr="005F0419">
        <w:rPr>
          <w:rFonts w:ascii="Times New Roman" w:hAnsi="Times New Roman" w:cs="Times New Roman"/>
          <w:sz w:val="28"/>
          <w:szCs w:val="28"/>
          <w:lang w:val="uk-UA"/>
        </w:rPr>
        <w:t>Індикатори величини та рівня ефективності використання туристичної локально-регіональної системи в економіці країни</w:t>
      </w:r>
    </w:p>
    <w:p w14:paraId="4DD16481" w14:textId="1018B13E"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Джерело: розроблено автором</w:t>
      </w:r>
      <w:r w:rsidR="002279C5" w:rsidRPr="005F0419">
        <w:rPr>
          <w:rFonts w:ascii="Times New Roman" w:hAnsi="Times New Roman" w:cs="Times New Roman"/>
          <w:sz w:val="28"/>
          <w:szCs w:val="28"/>
          <w:lang w:val="uk-UA"/>
        </w:rPr>
        <w:t>.</w:t>
      </w:r>
    </w:p>
    <w:p w14:paraId="7509919C"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p>
    <w:p w14:paraId="0B240B55"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 метою комплексної оцінки потенційних можливостей туристичної локально-регіональної системи в країні для </w:t>
      </w:r>
      <w:r w:rsidRPr="005F0419">
        <w:rPr>
          <w:rFonts w:ascii="Times New Roman" w:hAnsi="Times New Roman" w:cs="Times New Roman"/>
          <w:spacing w:val="-2"/>
          <w:sz w:val="28"/>
          <w:szCs w:val="28"/>
          <w:lang w:val="uk-UA"/>
        </w:rPr>
        <w:t>відтворювальної модель потенціалу міжнародного співробітництва</w:t>
      </w:r>
      <w:r w:rsidRPr="005F0419">
        <w:rPr>
          <w:rFonts w:ascii="Times New Roman" w:hAnsi="Times New Roman" w:cs="Times New Roman"/>
          <w:sz w:val="28"/>
          <w:szCs w:val="28"/>
          <w:lang w:val="uk-UA"/>
        </w:rPr>
        <w:t xml:space="preserve"> запропоновано інтегрований рівень її ефективного використання, який представлено за формулою (1) [30]: </w:t>
      </w:r>
    </w:p>
    <w:p w14:paraId="00D36086" w14:textId="77777777" w:rsidR="00662012" w:rsidRPr="005F0419" w:rsidRDefault="00662012" w:rsidP="002279C5">
      <w:pPr>
        <w:pStyle w:val="Default"/>
        <w:suppressAutoHyphens/>
        <w:spacing w:line="360" w:lineRule="auto"/>
        <w:ind w:firstLine="720"/>
        <w:jc w:val="center"/>
        <w:rPr>
          <w:color w:val="auto"/>
          <w:sz w:val="28"/>
          <w:szCs w:val="28"/>
          <w:lang w:val="uk-UA"/>
        </w:rPr>
      </w:pPr>
      <w:r w:rsidRPr="005F0419">
        <w:rPr>
          <w:noProof/>
          <w:color w:val="auto"/>
          <w:position w:val="-14"/>
          <w:sz w:val="28"/>
          <w:szCs w:val="28"/>
          <w:lang w:val="uk-UA"/>
        </w:rPr>
        <w:object w:dxaOrig="4099" w:dyaOrig="340" w14:anchorId="773C0B03">
          <v:shape id="_x0000_i1036" type="#_x0000_t75" style="width:188.25pt;height:18pt" o:ole="">
            <v:imagedata r:id="rId271" o:title=""/>
          </v:shape>
          <o:OLEObject Type="Embed" ProgID="Equation.3" ShapeID="_x0000_i1036" DrawAspect="Content" ObjectID="_1773432098" r:id="rId272"/>
        </w:object>
      </w:r>
      <w:r w:rsidRPr="005F0419">
        <w:rPr>
          <w:color w:val="auto"/>
          <w:sz w:val="28"/>
          <w:szCs w:val="28"/>
          <w:lang w:val="uk-UA"/>
        </w:rPr>
        <w:t>,                                                                    (1)</w:t>
      </w:r>
    </w:p>
    <w:p w14:paraId="482AA156" w14:textId="77777777" w:rsidR="00662012" w:rsidRPr="005F0419" w:rsidRDefault="00662012" w:rsidP="00662012">
      <w:pPr>
        <w:pStyle w:val="Default"/>
        <w:suppressAutoHyphens/>
        <w:spacing w:line="360" w:lineRule="auto"/>
        <w:ind w:firstLine="720"/>
        <w:jc w:val="both"/>
        <w:rPr>
          <w:rFonts w:eastAsia="Times New Roman"/>
          <w:color w:val="auto"/>
          <w:sz w:val="28"/>
          <w:szCs w:val="28"/>
          <w:lang w:val="uk-UA"/>
        </w:rPr>
      </w:pPr>
      <w:r w:rsidRPr="005F0419">
        <w:rPr>
          <w:color w:val="auto"/>
          <w:sz w:val="28"/>
          <w:szCs w:val="28"/>
          <w:lang w:val="uk-UA"/>
        </w:rPr>
        <w:t xml:space="preserve">де </w:t>
      </w:r>
      <w:r w:rsidRPr="005F0419">
        <w:rPr>
          <w:noProof/>
          <w:color w:val="auto"/>
          <w:position w:val="-4"/>
          <w:sz w:val="28"/>
          <w:szCs w:val="28"/>
          <w:lang w:val="uk-UA"/>
        </w:rPr>
        <w:object w:dxaOrig="380" w:dyaOrig="260" w14:anchorId="557F6268">
          <v:shape id="_x0000_i1037" type="#_x0000_t75" style="width:18.75pt;height:12.75pt" o:ole="">
            <v:imagedata r:id="rId273" o:title=""/>
          </v:shape>
          <o:OLEObject Type="Embed" ProgID="Equation.3" ShapeID="_x0000_i1037" DrawAspect="Content" ObjectID="_1773432099" r:id="rId274"/>
        </w:object>
      </w:r>
      <w:r w:rsidRPr="005F0419">
        <w:rPr>
          <w:noProof/>
          <w:color w:val="auto"/>
          <w:sz w:val="28"/>
          <w:szCs w:val="28"/>
          <w:lang w:val="uk-UA"/>
        </w:rPr>
        <w:t xml:space="preserve"> </w:t>
      </w:r>
      <w:r w:rsidRPr="005F0419">
        <w:rPr>
          <w:color w:val="auto"/>
          <w:sz w:val="28"/>
          <w:szCs w:val="28"/>
          <w:lang w:val="uk-UA"/>
        </w:rPr>
        <w:t xml:space="preserve">– інтегрований рівень </w:t>
      </w:r>
      <w:r w:rsidRPr="005F0419">
        <w:rPr>
          <w:rFonts w:eastAsia="Times New Roman"/>
          <w:color w:val="auto"/>
          <w:sz w:val="28"/>
          <w:szCs w:val="28"/>
          <w:lang w:val="uk-UA"/>
        </w:rPr>
        <w:t xml:space="preserve">ефективності використання </w:t>
      </w:r>
      <w:r w:rsidRPr="005F0419">
        <w:rPr>
          <w:color w:val="auto"/>
          <w:sz w:val="28"/>
          <w:szCs w:val="28"/>
          <w:lang w:val="uk-UA"/>
        </w:rPr>
        <w:t>туристичної локально-регіональної системи в країні</w:t>
      </w:r>
      <w:r w:rsidRPr="005F0419">
        <w:rPr>
          <w:rFonts w:eastAsia="Times New Roman"/>
          <w:color w:val="auto"/>
          <w:sz w:val="28"/>
          <w:szCs w:val="28"/>
          <w:lang w:val="uk-UA"/>
        </w:rPr>
        <w:t xml:space="preserve">; </w:t>
      </w:r>
      <w:r w:rsidRPr="005F0419">
        <w:rPr>
          <w:noProof/>
          <w:color w:val="auto"/>
          <w:position w:val="-12"/>
          <w:sz w:val="28"/>
          <w:szCs w:val="28"/>
          <w:lang w:val="uk-UA"/>
        </w:rPr>
        <w:object w:dxaOrig="420" w:dyaOrig="360" w14:anchorId="12EF146A">
          <v:shape id="_x0000_i1038" type="#_x0000_t75" style="width:21pt;height:18.75pt" o:ole="">
            <v:imagedata r:id="rId275" o:title=""/>
          </v:shape>
          <o:OLEObject Type="Embed" ProgID="Equation.3" ShapeID="_x0000_i1038" DrawAspect="Content" ObjectID="_1773432100" r:id="rId276"/>
        </w:object>
      </w:r>
      <w:r w:rsidRPr="005F0419">
        <w:rPr>
          <w:color w:val="auto"/>
          <w:sz w:val="28"/>
          <w:szCs w:val="28"/>
          <w:lang w:val="uk-UA"/>
        </w:rPr>
        <w:t xml:space="preserve">– </w:t>
      </w:r>
      <w:r w:rsidRPr="005F0419">
        <w:rPr>
          <w:rFonts w:eastAsia="Times New Roman"/>
          <w:color w:val="auto"/>
          <w:sz w:val="28"/>
          <w:szCs w:val="28"/>
          <w:lang w:val="uk-UA"/>
        </w:rPr>
        <w:t xml:space="preserve">рівень потенціалу туристичних (історико-культурних) об’єктів в </w:t>
      </w:r>
      <w:r w:rsidRPr="005F0419">
        <w:rPr>
          <w:color w:val="auto"/>
          <w:sz w:val="28"/>
          <w:szCs w:val="28"/>
          <w:lang w:val="uk-UA"/>
        </w:rPr>
        <w:t>локально-регіональній системі країни</w:t>
      </w:r>
      <w:r w:rsidRPr="005F0419">
        <w:rPr>
          <w:rFonts w:eastAsia="Times New Roman"/>
          <w:color w:val="auto"/>
          <w:sz w:val="28"/>
          <w:szCs w:val="28"/>
          <w:lang w:val="uk-UA"/>
        </w:rPr>
        <w:t xml:space="preserve">; </w:t>
      </w:r>
      <w:r w:rsidRPr="005F0419">
        <w:rPr>
          <w:noProof/>
          <w:color w:val="auto"/>
          <w:position w:val="-16"/>
          <w:sz w:val="28"/>
          <w:szCs w:val="28"/>
          <w:lang w:val="uk-UA"/>
        </w:rPr>
        <w:object w:dxaOrig="580" w:dyaOrig="400" w14:anchorId="78EED7CF">
          <v:shape id="_x0000_i1039" type="#_x0000_t75" style="width:27.75pt;height:20.25pt" o:ole="">
            <v:imagedata r:id="rId277" o:title=""/>
          </v:shape>
          <o:OLEObject Type="Embed" ProgID="Equation.3" ShapeID="_x0000_i1039" DrawAspect="Content" ObjectID="_1773432101" r:id="rId278"/>
        </w:object>
      </w:r>
      <w:r w:rsidRPr="005F0419">
        <w:rPr>
          <w:color w:val="auto"/>
          <w:sz w:val="28"/>
          <w:szCs w:val="28"/>
          <w:lang w:val="uk-UA"/>
        </w:rPr>
        <w:t xml:space="preserve">– </w:t>
      </w:r>
      <w:r w:rsidRPr="005F0419">
        <w:rPr>
          <w:rFonts w:eastAsia="Times New Roman"/>
          <w:color w:val="auto"/>
          <w:sz w:val="28"/>
          <w:szCs w:val="28"/>
          <w:lang w:val="uk-UA"/>
        </w:rPr>
        <w:t>рівень потенціалу природних заповідних зон</w:t>
      </w:r>
      <w:r w:rsidRPr="005F0419">
        <w:rPr>
          <w:color w:val="auto"/>
          <w:sz w:val="28"/>
          <w:szCs w:val="28"/>
          <w:lang w:val="uk-UA"/>
        </w:rPr>
        <w:t xml:space="preserve"> </w:t>
      </w:r>
      <w:r w:rsidRPr="005F0419">
        <w:rPr>
          <w:rFonts w:eastAsia="Times New Roman"/>
          <w:color w:val="auto"/>
          <w:sz w:val="28"/>
          <w:szCs w:val="28"/>
          <w:lang w:val="uk-UA"/>
        </w:rPr>
        <w:t xml:space="preserve">в </w:t>
      </w:r>
      <w:r w:rsidRPr="005F0419">
        <w:rPr>
          <w:color w:val="auto"/>
          <w:sz w:val="28"/>
          <w:szCs w:val="28"/>
          <w:lang w:val="uk-UA"/>
        </w:rPr>
        <w:t xml:space="preserve">туристичній локально-регіональній системі країни; </w:t>
      </w:r>
      <w:r w:rsidRPr="005F0419">
        <w:rPr>
          <w:noProof/>
          <w:color w:val="auto"/>
          <w:position w:val="-12"/>
          <w:sz w:val="28"/>
          <w:szCs w:val="28"/>
          <w:lang w:val="uk-UA"/>
        </w:rPr>
        <w:object w:dxaOrig="420" w:dyaOrig="360" w14:anchorId="7DDA0DF7">
          <v:shape id="_x0000_i1040" type="#_x0000_t75" style="width:21pt;height:18.75pt" o:ole="">
            <v:imagedata r:id="rId279" o:title=""/>
          </v:shape>
          <o:OLEObject Type="Embed" ProgID="Equation.3" ShapeID="_x0000_i1040" DrawAspect="Content" ObjectID="_1773432102" r:id="rId280"/>
        </w:object>
      </w:r>
      <w:r w:rsidRPr="005F0419">
        <w:rPr>
          <w:color w:val="auto"/>
          <w:sz w:val="28"/>
          <w:szCs w:val="28"/>
          <w:lang w:val="uk-UA"/>
        </w:rPr>
        <w:t xml:space="preserve">– </w:t>
      </w:r>
      <w:r w:rsidRPr="005F0419">
        <w:rPr>
          <w:rFonts w:eastAsia="Times New Roman"/>
          <w:color w:val="auto"/>
          <w:sz w:val="28"/>
          <w:szCs w:val="28"/>
          <w:lang w:val="uk-UA"/>
        </w:rPr>
        <w:t xml:space="preserve">рівень потенціалу природних умов в </w:t>
      </w:r>
      <w:r w:rsidRPr="005F0419">
        <w:rPr>
          <w:color w:val="auto"/>
          <w:sz w:val="28"/>
          <w:szCs w:val="28"/>
          <w:lang w:val="uk-UA"/>
        </w:rPr>
        <w:lastRenderedPageBreak/>
        <w:t>туристичній локально-регіональній системі країни</w:t>
      </w:r>
      <w:r w:rsidRPr="005F0419">
        <w:rPr>
          <w:rFonts w:eastAsia="Times New Roman"/>
          <w:color w:val="auto"/>
          <w:sz w:val="28"/>
          <w:szCs w:val="28"/>
          <w:lang w:val="uk-UA"/>
        </w:rPr>
        <w:t xml:space="preserve">; </w:t>
      </w:r>
      <w:r w:rsidRPr="005F0419">
        <w:rPr>
          <w:noProof/>
          <w:color w:val="auto"/>
          <w:position w:val="-12"/>
          <w:sz w:val="28"/>
          <w:szCs w:val="28"/>
          <w:lang w:val="uk-UA"/>
        </w:rPr>
        <w:object w:dxaOrig="360" w:dyaOrig="360" w14:anchorId="3156C0FB">
          <v:shape id="_x0000_i1041" type="#_x0000_t75" style="width:18.75pt;height:18.75pt" o:ole="">
            <v:imagedata r:id="rId281" o:title=""/>
          </v:shape>
          <o:OLEObject Type="Embed" ProgID="Equation.3" ShapeID="_x0000_i1041" DrawAspect="Content" ObjectID="_1773432103" r:id="rId282"/>
        </w:object>
      </w:r>
      <w:r w:rsidRPr="005F0419">
        <w:rPr>
          <w:color w:val="auto"/>
          <w:sz w:val="28"/>
          <w:szCs w:val="28"/>
          <w:lang w:val="uk-UA"/>
        </w:rPr>
        <w:t xml:space="preserve">– </w:t>
      </w:r>
      <w:r w:rsidRPr="005F0419">
        <w:rPr>
          <w:rFonts w:eastAsia="Times New Roman"/>
          <w:color w:val="auto"/>
          <w:sz w:val="28"/>
          <w:szCs w:val="28"/>
          <w:lang w:val="uk-UA"/>
        </w:rPr>
        <w:t xml:space="preserve">рівень потенціалу туристичної інфраструктури в </w:t>
      </w:r>
      <w:r w:rsidRPr="005F0419">
        <w:rPr>
          <w:color w:val="auto"/>
          <w:sz w:val="28"/>
          <w:szCs w:val="28"/>
          <w:lang w:val="uk-UA"/>
        </w:rPr>
        <w:t xml:space="preserve">локально-регіональній системі країни; </w:t>
      </w:r>
      <w:r w:rsidRPr="005F0419">
        <w:rPr>
          <w:noProof/>
          <w:color w:val="auto"/>
          <w:position w:val="-10"/>
          <w:sz w:val="28"/>
          <w:szCs w:val="28"/>
          <w:lang w:val="uk-UA"/>
        </w:rPr>
        <w:object w:dxaOrig="780" w:dyaOrig="340" w14:anchorId="68362796">
          <v:shape id="_x0000_i1042" type="#_x0000_t75" style="width:39pt;height:17.25pt" o:ole="">
            <v:imagedata r:id="rId283" o:title=""/>
          </v:shape>
          <o:OLEObject Type="Embed" ProgID="Equation.3" ShapeID="_x0000_i1042" DrawAspect="Content" ObjectID="_1773432104" r:id="rId284"/>
        </w:object>
      </w:r>
      <w:r w:rsidRPr="005F0419">
        <w:rPr>
          <w:color w:val="auto"/>
          <w:sz w:val="28"/>
          <w:szCs w:val="28"/>
          <w:lang w:val="uk-UA"/>
        </w:rPr>
        <w:t xml:space="preserve">– </w:t>
      </w:r>
      <w:r w:rsidRPr="005F0419">
        <w:rPr>
          <w:rFonts w:eastAsia="Times New Roman"/>
          <w:color w:val="auto"/>
          <w:sz w:val="28"/>
          <w:szCs w:val="28"/>
          <w:lang w:val="uk-UA"/>
        </w:rPr>
        <w:t xml:space="preserve">коефіцієнт вагомості потенціалів. </w:t>
      </w:r>
    </w:p>
    <w:p w14:paraId="267C43FA" w14:textId="77777777" w:rsidR="00662012" w:rsidRPr="005F0419" w:rsidRDefault="00662012" w:rsidP="00662012">
      <w:pPr>
        <w:pStyle w:val="Default"/>
        <w:suppressAutoHyphens/>
        <w:spacing w:line="360" w:lineRule="auto"/>
        <w:ind w:firstLine="720"/>
        <w:jc w:val="both"/>
        <w:rPr>
          <w:color w:val="auto"/>
          <w:sz w:val="28"/>
          <w:szCs w:val="28"/>
          <w:lang w:val="uk-UA"/>
        </w:rPr>
      </w:pPr>
      <w:r w:rsidRPr="005F0419">
        <w:rPr>
          <w:rFonts w:eastAsia="Times New Roman"/>
          <w:color w:val="auto"/>
          <w:sz w:val="28"/>
          <w:szCs w:val="28"/>
          <w:lang w:val="uk-UA"/>
        </w:rPr>
        <w:t>Рівень потенціалу туристичних (історико-культурних) об’єктів в л</w:t>
      </w:r>
      <w:r w:rsidRPr="005F0419">
        <w:rPr>
          <w:color w:val="auto"/>
          <w:sz w:val="28"/>
          <w:szCs w:val="28"/>
          <w:lang w:val="uk-UA"/>
        </w:rPr>
        <w:t>окально-регіональній системі країни</w:t>
      </w:r>
      <w:r w:rsidRPr="005F0419">
        <w:rPr>
          <w:rFonts w:eastAsia="Times New Roman"/>
          <w:color w:val="auto"/>
          <w:sz w:val="28"/>
          <w:szCs w:val="28"/>
          <w:lang w:val="uk-UA"/>
        </w:rPr>
        <w:t xml:space="preserve"> розраховується за формулою (2) </w:t>
      </w:r>
      <w:r w:rsidRPr="005F0419">
        <w:rPr>
          <w:color w:val="auto"/>
          <w:sz w:val="28"/>
          <w:szCs w:val="28"/>
          <w:lang w:val="uk-UA"/>
        </w:rPr>
        <w:t>[30]:</w:t>
      </w:r>
    </w:p>
    <w:p w14:paraId="084883B3" w14:textId="77777777" w:rsidR="00662012" w:rsidRPr="005F0419" w:rsidRDefault="00662012" w:rsidP="00662012">
      <w:pPr>
        <w:pStyle w:val="Default"/>
        <w:suppressAutoHyphens/>
        <w:spacing w:line="360" w:lineRule="auto"/>
        <w:ind w:firstLine="720"/>
        <w:jc w:val="both"/>
        <w:rPr>
          <w:color w:val="auto"/>
          <w:sz w:val="28"/>
          <w:szCs w:val="28"/>
          <w:lang w:val="uk-UA"/>
        </w:rPr>
      </w:pPr>
      <w:r w:rsidRPr="005F0419">
        <w:rPr>
          <w:noProof/>
          <w:color w:val="auto"/>
          <w:position w:val="-20"/>
          <w:sz w:val="28"/>
          <w:szCs w:val="28"/>
          <w:lang w:val="uk-UA"/>
        </w:rPr>
        <w:object w:dxaOrig="1620" w:dyaOrig="540" w14:anchorId="00998D7F">
          <v:shape id="_x0000_i1043" type="#_x0000_t75" style="width:75pt;height:26.25pt" o:ole="">
            <v:imagedata r:id="rId285" o:title=""/>
          </v:shape>
          <o:OLEObject Type="Embed" ProgID="Equation.3" ShapeID="_x0000_i1043" DrawAspect="Content" ObjectID="_1773432105" r:id="rId286"/>
        </w:object>
      </w:r>
      <w:r w:rsidRPr="005F0419">
        <w:rPr>
          <w:color w:val="auto"/>
          <w:sz w:val="28"/>
          <w:szCs w:val="28"/>
          <w:lang w:val="uk-UA"/>
        </w:rPr>
        <w:t>,</w:t>
      </w:r>
      <w:r w:rsidRPr="005F0419">
        <w:rPr>
          <w:i/>
          <w:color w:val="auto"/>
          <w:sz w:val="28"/>
          <w:szCs w:val="28"/>
          <w:lang w:val="uk-UA"/>
        </w:rPr>
        <w:t xml:space="preserve"> </w:t>
      </w:r>
      <w:r w:rsidRPr="005F0419">
        <w:rPr>
          <w:color w:val="auto"/>
          <w:sz w:val="28"/>
          <w:szCs w:val="28"/>
          <w:lang w:val="uk-UA"/>
        </w:rPr>
        <w:t xml:space="preserve">                                                                                                   (2)</w:t>
      </w:r>
    </w:p>
    <w:p w14:paraId="60F10E24" w14:textId="77777777" w:rsidR="00662012" w:rsidRPr="005F0419" w:rsidRDefault="00662012" w:rsidP="00662012">
      <w:pPr>
        <w:pStyle w:val="Default"/>
        <w:suppressAutoHyphens/>
        <w:spacing w:line="360" w:lineRule="auto"/>
        <w:ind w:firstLine="720"/>
        <w:jc w:val="both"/>
        <w:rPr>
          <w:rFonts w:eastAsia="Times New Roman"/>
          <w:color w:val="auto"/>
          <w:sz w:val="28"/>
          <w:szCs w:val="28"/>
          <w:lang w:val="uk-UA"/>
        </w:rPr>
      </w:pPr>
      <w:r w:rsidRPr="005F0419">
        <w:rPr>
          <w:color w:val="auto"/>
          <w:sz w:val="28"/>
          <w:szCs w:val="28"/>
          <w:lang w:val="uk-UA"/>
        </w:rPr>
        <w:t xml:space="preserve">де, </w:t>
      </w:r>
      <w:r w:rsidRPr="005F0419">
        <w:rPr>
          <w:noProof/>
          <w:color w:val="auto"/>
          <w:position w:val="-12"/>
          <w:sz w:val="28"/>
          <w:szCs w:val="28"/>
          <w:lang w:val="uk-UA"/>
        </w:rPr>
        <w:object w:dxaOrig="420" w:dyaOrig="360" w14:anchorId="1DD5F91C">
          <v:shape id="_x0000_i1044" type="#_x0000_t75" style="width:21pt;height:18.75pt" o:ole="">
            <v:imagedata r:id="rId287" o:title=""/>
          </v:shape>
          <o:OLEObject Type="Embed" ProgID="Equation.3" ShapeID="_x0000_i1044" DrawAspect="Content" ObjectID="_1773432106" r:id="rId288"/>
        </w:object>
      </w:r>
      <w:r w:rsidRPr="005F0419">
        <w:rPr>
          <w:color w:val="auto"/>
          <w:sz w:val="28"/>
          <w:szCs w:val="28"/>
          <w:lang w:val="uk-UA"/>
        </w:rPr>
        <w:t xml:space="preserve">– </w:t>
      </w:r>
      <w:r w:rsidRPr="005F0419">
        <w:rPr>
          <w:rFonts w:eastAsia="Times New Roman"/>
          <w:color w:val="auto"/>
          <w:sz w:val="28"/>
          <w:szCs w:val="28"/>
          <w:lang w:val="uk-UA"/>
        </w:rPr>
        <w:t xml:space="preserve">рівень потенціалу туристичних (історико-культурних) об’єктів в </w:t>
      </w:r>
      <w:r w:rsidRPr="005F0419">
        <w:rPr>
          <w:color w:val="auto"/>
          <w:sz w:val="28"/>
          <w:szCs w:val="28"/>
          <w:lang w:val="uk-UA"/>
        </w:rPr>
        <w:t>локально-регіональній системі країни</w:t>
      </w:r>
      <w:r w:rsidRPr="005F0419">
        <w:rPr>
          <w:rFonts w:eastAsia="Times New Roman"/>
          <w:color w:val="auto"/>
          <w:sz w:val="28"/>
          <w:szCs w:val="28"/>
          <w:lang w:val="uk-UA"/>
        </w:rPr>
        <w:t xml:space="preserve">; </w:t>
      </w:r>
      <w:r w:rsidRPr="005F0419">
        <w:rPr>
          <w:noProof/>
          <w:color w:val="auto"/>
          <w:position w:val="-12"/>
          <w:sz w:val="28"/>
          <w:szCs w:val="28"/>
          <w:lang w:val="uk-UA"/>
        </w:rPr>
        <w:object w:dxaOrig="380" w:dyaOrig="360" w14:anchorId="34C274F3">
          <v:shape id="_x0000_i1045" type="#_x0000_t75" style="width:18.75pt;height:18.75pt" o:ole="">
            <v:imagedata r:id="rId289" o:title=""/>
          </v:shape>
          <o:OLEObject Type="Embed" ProgID="Equation.3" ShapeID="_x0000_i1045" DrawAspect="Content" ObjectID="_1773432107" r:id="rId290"/>
        </w:object>
      </w:r>
      <w:r w:rsidRPr="005F0419">
        <w:rPr>
          <w:color w:val="auto"/>
          <w:sz w:val="28"/>
          <w:szCs w:val="28"/>
          <w:lang w:val="uk-UA"/>
        </w:rPr>
        <w:t xml:space="preserve">– </w:t>
      </w:r>
      <w:r w:rsidRPr="005F0419">
        <w:rPr>
          <w:rFonts w:eastAsia="Times New Roman"/>
          <w:color w:val="auto"/>
          <w:sz w:val="28"/>
          <w:szCs w:val="28"/>
          <w:lang w:val="uk-UA"/>
        </w:rPr>
        <w:t xml:space="preserve">кількість об’єктів розміщення в адміністративних центрах </w:t>
      </w:r>
      <w:r w:rsidRPr="005F0419">
        <w:rPr>
          <w:color w:val="auto"/>
          <w:sz w:val="28"/>
          <w:szCs w:val="28"/>
          <w:lang w:val="uk-UA"/>
        </w:rPr>
        <w:t>туристичної локально-регіональної системи країни</w:t>
      </w:r>
      <w:r w:rsidRPr="005F0419">
        <w:rPr>
          <w:rFonts w:eastAsia="Times New Roman"/>
          <w:color w:val="auto"/>
          <w:sz w:val="28"/>
          <w:szCs w:val="28"/>
          <w:lang w:val="uk-UA"/>
        </w:rPr>
        <w:t xml:space="preserve">; </w:t>
      </w:r>
      <w:r w:rsidRPr="005F0419">
        <w:rPr>
          <w:noProof/>
          <w:color w:val="auto"/>
          <w:position w:val="-4"/>
          <w:sz w:val="28"/>
          <w:szCs w:val="28"/>
          <w:lang w:val="uk-UA"/>
        </w:rPr>
        <w:object w:dxaOrig="240" w:dyaOrig="260" w14:anchorId="230D6216">
          <v:shape id="_x0000_i1046" type="#_x0000_t75" style="width:12pt;height:12.75pt" o:ole="">
            <v:imagedata r:id="rId291" o:title=""/>
          </v:shape>
          <o:OLEObject Type="Embed" ProgID="Equation.3" ShapeID="_x0000_i1046" DrawAspect="Content" ObjectID="_1773432108" r:id="rId292"/>
        </w:object>
      </w:r>
      <w:r w:rsidRPr="005F0419">
        <w:rPr>
          <w:color w:val="auto"/>
          <w:sz w:val="28"/>
          <w:szCs w:val="28"/>
          <w:lang w:val="uk-UA"/>
        </w:rPr>
        <w:t xml:space="preserve">– </w:t>
      </w:r>
      <w:r w:rsidRPr="005F0419">
        <w:rPr>
          <w:rFonts w:eastAsia="Times New Roman"/>
          <w:color w:val="auto"/>
          <w:sz w:val="28"/>
          <w:szCs w:val="28"/>
          <w:lang w:val="uk-UA"/>
        </w:rPr>
        <w:t xml:space="preserve">локалізаційний коефіцієнт (визначає концентрацію </w:t>
      </w:r>
      <w:r w:rsidRPr="005F0419">
        <w:rPr>
          <w:color w:val="auto"/>
          <w:sz w:val="28"/>
          <w:szCs w:val="28"/>
          <w:lang w:val="uk-UA"/>
        </w:rPr>
        <w:t xml:space="preserve">туристичних </w:t>
      </w:r>
      <w:r w:rsidRPr="005F0419">
        <w:rPr>
          <w:rFonts w:eastAsia="Times New Roman"/>
          <w:color w:val="auto"/>
          <w:sz w:val="28"/>
          <w:szCs w:val="28"/>
          <w:lang w:val="uk-UA"/>
        </w:rPr>
        <w:t>об’єктів та їх віддаленість від адміністративних центрів – історико-культурних об’єктів)</w:t>
      </w:r>
      <w:r w:rsidRPr="005F0419">
        <w:rPr>
          <w:color w:val="auto"/>
          <w:sz w:val="28"/>
          <w:szCs w:val="28"/>
          <w:lang w:val="uk-UA"/>
        </w:rPr>
        <w:t xml:space="preserve">; </w:t>
      </w:r>
      <w:r w:rsidRPr="005F0419">
        <w:rPr>
          <w:noProof/>
          <w:color w:val="auto"/>
          <w:position w:val="-4"/>
          <w:sz w:val="28"/>
          <w:szCs w:val="28"/>
          <w:lang w:val="uk-UA"/>
        </w:rPr>
        <w:object w:dxaOrig="279" w:dyaOrig="260" w14:anchorId="5378B2FB">
          <v:shape id="_x0000_i1047" type="#_x0000_t75" style="width:14.25pt;height:12.75pt" o:ole="">
            <v:imagedata r:id="rId293" o:title=""/>
          </v:shape>
          <o:OLEObject Type="Embed" ProgID="Equation.3" ShapeID="_x0000_i1047" DrawAspect="Content" ObjectID="_1773432109" r:id="rId294"/>
        </w:object>
      </w:r>
      <w:r w:rsidRPr="005F0419">
        <w:rPr>
          <w:color w:val="auto"/>
          <w:sz w:val="28"/>
          <w:szCs w:val="28"/>
          <w:lang w:val="uk-UA"/>
        </w:rPr>
        <w:t xml:space="preserve">– </w:t>
      </w:r>
      <w:r w:rsidRPr="005F0419">
        <w:rPr>
          <w:rFonts w:eastAsia="Times New Roman"/>
          <w:color w:val="auto"/>
          <w:sz w:val="28"/>
          <w:szCs w:val="28"/>
          <w:lang w:val="uk-UA"/>
        </w:rPr>
        <w:t xml:space="preserve">кількість об’єктів розміщених в адміністративних центрах </w:t>
      </w:r>
      <w:r w:rsidRPr="005F0419">
        <w:rPr>
          <w:color w:val="auto"/>
          <w:sz w:val="28"/>
          <w:szCs w:val="28"/>
          <w:lang w:val="uk-UA"/>
        </w:rPr>
        <w:t>туристичної локально-регіональної системи країни</w:t>
      </w:r>
      <w:r w:rsidRPr="005F0419">
        <w:rPr>
          <w:rFonts w:eastAsia="Times New Roman"/>
          <w:color w:val="auto"/>
          <w:sz w:val="28"/>
          <w:szCs w:val="28"/>
          <w:lang w:val="uk-UA"/>
        </w:rPr>
        <w:t>.</w:t>
      </w:r>
    </w:p>
    <w:p w14:paraId="1AB86A0D" w14:textId="77777777" w:rsidR="00662012" w:rsidRPr="005F0419" w:rsidRDefault="00662012" w:rsidP="00662012">
      <w:pPr>
        <w:pStyle w:val="Default"/>
        <w:suppressAutoHyphens/>
        <w:spacing w:line="360" w:lineRule="auto"/>
        <w:ind w:firstLine="720"/>
        <w:jc w:val="both"/>
        <w:rPr>
          <w:rFonts w:eastAsia="Times New Roman"/>
          <w:color w:val="auto"/>
          <w:sz w:val="28"/>
          <w:szCs w:val="28"/>
          <w:lang w:val="uk-UA"/>
        </w:rPr>
      </w:pPr>
      <w:r w:rsidRPr="005F0419">
        <w:rPr>
          <w:rFonts w:eastAsia="Times New Roman"/>
          <w:color w:val="auto"/>
          <w:sz w:val="28"/>
          <w:szCs w:val="28"/>
          <w:lang w:val="uk-UA"/>
        </w:rPr>
        <w:t xml:space="preserve">Так, чим більше об’єктів історико-культурної спадщини сконцентровано на території, тим більший рівень розвитку </w:t>
      </w:r>
      <w:r w:rsidRPr="005F0419">
        <w:rPr>
          <w:color w:val="auto"/>
          <w:sz w:val="28"/>
          <w:szCs w:val="28"/>
          <w:lang w:val="uk-UA"/>
        </w:rPr>
        <w:t xml:space="preserve">туристичної </w:t>
      </w:r>
      <w:r w:rsidRPr="005F0419">
        <w:rPr>
          <w:rFonts w:eastAsia="Times New Roman"/>
          <w:color w:val="auto"/>
          <w:sz w:val="28"/>
          <w:szCs w:val="28"/>
          <w:lang w:val="uk-UA"/>
        </w:rPr>
        <w:t xml:space="preserve">інфраструктури в </w:t>
      </w:r>
      <w:r w:rsidRPr="005F0419">
        <w:rPr>
          <w:color w:val="auto"/>
          <w:sz w:val="28"/>
          <w:szCs w:val="28"/>
          <w:lang w:val="uk-UA"/>
        </w:rPr>
        <w:t>локально-регіональній системі країни</w:t>
      </w:r>
      <w:r w:rsidRPr="005F0419">
        <w:rPr>
          <w:rFonts w:eastAsia="Times New Roman"/>
          <w:color w:val="auto"/>
          <w:sz w:val="28"/>
          <w:szCs w:val="28"/>
          <w:lang w:val="uk-UA"/>
        </w:rPr>
        <w:t xml:space="preserve">. При цьому рівень локалізації об’єктів історико-культурної спадщини (розраховується методом прямого перерахунку) визначається які співвідносяться з щільністю їх розподілу в </w:t>
      </w:r>
      <w:r w:rsidRPr="005F0419">
        <w:rPr>
          <w:color w:val="auto"/>
          <w:sz w:val="28"/>
          <w:szCs w:val="28"/>
          <w:lang w:val="uk-UA"/>
        </w:rPr>
        <w:t>туристичній локально-регіональній системі країни</w:t>
      </w:r>
      <w:r w:rsidRPr="005F0419">
        <w:rPr>
          <w:rFonts w:eastAsia="Times New Roman"/>
          <w:color w:val="auto"/>
          <w:sz w:val="28"/>
          <w:szCs w:val="28"/>
          <w:lang w:val="uk-UA"/>
        </w:rPr>
        <w:t>. Для оцінювання рекомендовано градація об’єктів історико-культурної спадщини, яка враховує їх розміщення з іншими об’єктами туризму та рекреації: до 15 км – 7 балів; від 15 до 20 км – 6 балів; від 20 до 50 км – 5 балів; від 50 до 200 км – 4 бали; понад 200 км – 3 бали.</w:t>
      </w:r>
    </w:p>
    <w:p w14:paraId="2FC92893" w14:textId="77777777" w:rsidR="00662012" w:rsidRPr="005F0419" w:rsidRDefault="00662012" w:rsidP="00662012">
      <w:pPr>
        <w:pStyle w:val="Default"/>
        <w:suppressAutoHyphens/>
        <w:spacing w:line="360" w:lineRule="auto"/>
        <w:ind w:firstLine="720"/>
        <w:jc w:val="both"/>
        <w:rPr>
          <w:color w:val="auto"/>
          <w:sz w:val="28"/>
          <w:szCs w:val="28"/>
          <w:lang w:val="uk-UA"/>
        </w:rPr>
      </w:pPr>
      <w:r w:rsidRPr="005F0419">
        <w:rPr>
          <w:rFonts w:eastAsia="Times New Roman"/>
          <w:color w:val="auto"/>
          <w:sz w:val="28"/>
          <w:szCs w:val="28"/>
          <w:lang w:val="uk-UA"/>
        </w:rPr>
        <w:t xml:space="preserve">Визначення коефіцієнта локалізації може бути здійснене декількома способами. На першому етапі визначається відстань до адміністративного центру та розраховується кількість об’єктів історико-культурної спадщини в регіоні. Далі кожному об’єкту присуджується бал відповідної градації. На останньому етапі визначається середнє значення із загальної суми балів, яка ділиться на максимальний бал. Для визначення рівня локалізації пропонується графічна будова розміщення туристичних (історико-культурних) об’єктів із </w:t>
      </w:r>
      <w:r w:rsidRPr="005F0419">
        <w:rPr>
          <w:rFonts w:eastAsia="Times New Roman"/>
          <w:color w:val="auto"/>
          <w:sz w:val="28"/>
          <w:szCs w:val="28"/>
          <w:lang w:val="uk-UA"/>
        </w:rPr>
        <w:lastRenderedPageBreak/>
        <w:t xml:space="preserve">визначенням відстаней між ними та їх скупченням. Мінімальна відстань до адміністративних центрів в локально-регіональній системі країни з розвиненою </w:t>
      </w:r>
      <w:r w:rsidRPr="005F0419">
        <w:rPr>
          <w:color w:val="auto"/>
          <w:sz w:val="28"/>
          <w:szCs w:val="28"/>
          <w:lang w:val="uk-UA"/>
        </w:rPr>
        <w:t xml:space="preserve">туристичною інфраструктурою, </w:t>
      </w:r>
      <w:r w:rsidRPr="005F0419">
        <w:rPr>
          <w:rFonts w:eastAsia="Times New Roman"/>
          <w:color w:val="auto"/>
          <w:sz w:val="28"/>
          <w:szCs w:val="28"/>
          <w:lang w:val="uk-UA"/>
        </w:rPr>
        <w:t xml:space="preserve">та від них, </w:t>
      </w:r>
      <w:r w:rsidRPr="005F0419">
        <w:rPr>
          <w:color w:val="auto"/>
          <w:sz w:val="28"/>
          <w:szCs w:val="28"/>
          <w:lang w:val="uk-UA"/>
        </w:rPr>
        <w:t xml:space="preserve">оцінюється в 6–7 балів (рис. 2). </w:t>
      </w:r>
    </w:p>
    <w:p w14:paraId="53265D8D" w14:textId="343436D0" w:rsidR="00662012" w:rsidRPr="005F0419" w:rsidRDefault="002279C5" w:rsidP="00662012">
      <w:pPr>
        <w:pStyle w:val="Default"/>
        <w:suppressAutoHyphens/>
        <w:spacing w:line="360" w:lineRule="auto"/>
        <w:ind w:firstLine="720"/>
        <w:jc w:val="both"/>
        <w:rPr>
          <w:color w:val="auto"/>
          <w:sz w:val="28"/>
          <w:szCs w:val="28"/>
          <w:lang w:val="uk-UA"/>
        </w:rPr>
      </w:pPr>
      <w:r w:rsidRPr="005F0419">
        <w:rPr>
          <w:noProof/>
          <w:color w:val="auto"/>
          <w:sz w:val="28"/>
          <w:szCs w:val="28"/>
          <w:lang w:val="uk-UA"/>
        </w:rPr>
        <mc:AlternateContent>
          <mc:Choice Requires="wpg">
            <w:drawing>
              <wp:anchor distT="0" distB="0" distL="114300" distR="114300" simplePos="0" relativeHeight="251693056" behindDoc="0" locked="0" layoutInCell="1" allowOverlap="1" wp14:anchorId="406629CB" wp14:editId="23CEC242">
                <wp:simplePos x="0" y="0"/>
                <wp:positionH relativeFrom="column">
                  <wp:posOffset>5467</wp:posOffset>
                </wp:positionH>
                <wp:positionV relativeFrom="paragraph">
                  <wp:posOffset>7345</wp:posOffset>
                </wp:positionV>
                <wp:extent cx="6099175" cy="3324170"/>
                <wp:effectExtent l="0" t="0" r="15875" b="10160"/>
                <wp:wrapNone/>
                <wp:docPr id="1909726875" name="Группа 19097268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9175" cy="3324170"/>
                          <a:chOff x="1155" y="1125"/>
                          <a:chExt cx="9605" cy="4199"/>
                        </a:xfrm>
                      </wpg:grpSpPr>
                      <wps:wsp>
                        <wps:cNvPr id="1909726876" name="AutoShape 34"/>
                        <wps:cNvSpPr>
                          <a:spLocks noChangeArrowheads="1"/>
                        </wps:cNvSpPr>
                        <wps:spPr bwMode="auto">
                          <a:xfrm>
                            <a:off x="4890" y="2862"/>
                            <a:ext cx="2415" cy="750"/>
                          </a:xfrm>
                          <a:prstGeom prst="roundRect">
                            <a:avLst>
                              <a:gd name="adj" fmla="val 16667"/>
                            </a:avLst>
                          </a:prstGeom>
                          <a:solidFill>
                            <a:srgbClr val="FFFFFF"/>
                          </a:solidFill>
                          <a:ln w="3175">
                            <a:solidFill>
                              <a:srgbClr val="000000"/>
                            </a:solidFill>
                            <a:round/>
                            <a:headEnd/>
                            <a:tailEnd/>
                          </a:ln>
                        </wps:spPr>
                        <wps:txbx>
                          <w:txbxContent>
                            <w:p w14:paraId="52860C5F" w14:textId="77777777" w:rsidR="00571B42" w:rsidRPr="00225325" w:rsidRDefault="00571B42" w:rsidP="00662012">
                              <w:pPr>
                                <w:jc w:val="center"/>
                                <w:rPr>
                                  <w:lang w:val="uk-UA"/>
                                </w:rPr>
                              </w:pPr>
                              <w:r>
                                <w:rPr>
                                  <w:lang w:val="uk-UA"/>
                                </w:rPr>
                                <w:t>Адміністративний центр</w:t>
                              </w:r>
                            </w:p>
                          </w:txbxContent>
                        </wps:txbx>
                        <wps:bodyPr rot="0" vert="horz" wrap="square" lIns="91440" tIns="45720" rIns="91440" bIns="45720" anchor="t" anchorCtr="0" upright="1">
                          <a:noAutofit/>
                        </wps:bodyPr>
                      </wps:wsp>
                      <wps:wsp>
                        <wps:cNvPr id="1909726877" name="AutoShape 35"/>
                        <wps:cNvSpPr>
                          <a:spLocks noChangeArrowheads="1"/>
                        </wps:cNvSpPr>
                        <wps:spPr bwMode="auto">
                          <a:xfrm>
                            <a:off x="3600" y="1125"/>
                            <a:ext cx="1245" cy="405"/>
                          </a:xfrm>
                          <a:prstGeom prst="roundRect">
                            <a:avLst>
                              <a:gd name="adj" fmla="val 16667"/>
                            </a:avLst>
                          </a:prstGeom>
                          <a:solidFill>
                            <a:srgbClr val="FFFFFF"/>
                          </a:solidFill>
                          <a:ln w="3175">
                            <a:solidFill>
                              <a:srgbClr val="000000"/>
                            </a:solidFill>
                            <a:round/>
                            <a:headEnd/>
                            <a:tailEnd/>
                          </a:ln>
                        </wps:spPr>
                        <wps:txbx>
                          <w:txbxContent>
                            <w:p w14:paraId="7B95793E" w14:textId="77777777" w:rsidR="00571B42" w:rsidRPr="00225325" w:rsidRDefault="00571B42" w:rsidP="00662012">
                              <w:pPr>
                                <w:jc w:val="center"/>
                                <w:rPr>
                                  <w:lang w:val="uk-UA"/>
                                </w:rPr>
                              </w:pPr>
                              <w:r>
                                <w:rPr>
                                  <w:lang w:val="uk-UA"/>
                                </w:rPr>
                                <w:t>Об’єкт 5</w:t>
                              </w:r>
                            </w:p>
                          </w:txbxContent>
                        </wps:txbx>
                        <wps:bodyPr rot="0" vert="horz" wrap="square" lIns="91440" tIns="45720" rIns="91440" bIns="45720" anchor="t" anchorCtr="0" upright="1">
                          <a:noAutofit/>
                        </wps:bodyPr>
                      </wps:wsp>
                      <wps:wsp>
                        <wps:cNvPr id="1909726878" name="AutoShape 36"/>
                        <wps:cNvSpPr>
                          <a:spLocks noChangeArrowheads="1"/>
                        </wps:cNvSpPr>
                        <wps:spPr bwMode="auto">
                          <a:xfrm>
                            <a:off x="1155" y="1725"/>
                            <a:ext cx="1245" cy="405"/>
                          </a:xfrm>
                          <a:prstGeom prst="roundRect">
                            <a:avLst>
                              <a:gd name="adj" fmla="val 16667"/>
                            </a:avLst>
                          </a:prstGeom>
                          <a:solidFill>
                            <a:srgbClr val="FFFFFF"/>
                          </a:solidFill>
                          <a:ln w="3175">
                            <a:solidFill>
                              <a:srgbClr val="000000"/>
                            </a:solidFill>
                            <a:round/>
                            <a:headEnd/>
                            <a:tailEnd/>
                          </a:ln>
                        </wps:spPr>
                        <wps:txbx>
                          <w:txbxContent>
                            <w:p w14:paraId="30592C78" w14:textId="77777777" w:rsidR="00571B42" w:rsidRPr="00225325" w:rsidRDefault="00571B42" w:rsidP="00662012">
                              <w:pPr>
                                <w:jc w:val="center"/>
                                <w:rPr>
                                  <w:lang w:val="uk-UA"/>
                                </w:rPr>
                              </w:pPr>
                              <w:r>
                                <w:rPr>
                                  <w:lang w:val="uk-UA"/>
                                </w:rPr>
                                <w:t>Об’єкт 4</w:t>
                              </w:r>
                            </w:p>
                          </w:txbxContent>
                        </wps:txbx>
                        <wps:bodyPr rot="0" vert="horz" wrap="square" lIns="91440" tIns="45720" rIns="91440" bIns="45720" anchor="t" anchorCtr="0" upright="1">
                          <a:noAutofit/>
                        </wps:bodyPr>
                      </wps:wsp>
                      <wps:wsp>
                        <wps:cNvPr id="1909726879" name="AutoShape 37"/>
                        <wps:cNvSpPr>
                          <a:spLocks noChangeArrowheads="1"/>
                        </wps:cNvSpPr>
                        <wps:spPr bwMode="auto">
                          <a:xfrm>
                            <a:off x="1155" y="2400"/>
                            <a:ext cx="1245" cy="405"/>
                          </a:xfrm>
                          <a:prstGeom prst="roundRect">
                            <a:avLst>
                              <a:gd name="adj" fmla="val 16667"/>
                            </a:avLst>
                          </a:prstGeom>
                          <a:solidFill>
                            <a:srgbClr val="FFFFFF"/>
                          </a:solidFill>
                          <a:ln w="3175">
                            <a:solidFill>
                              <a:srgbClr val="000000"/>
                            </a:solidFill>
                            <a:round/>
                            <a:headEnd/>
                            <a:tailEnd/>
                          </a:ln>
                        </wps:spPr>
                        <wps:txbx>
                          <w:txbxContent>
                            <w:p w14:paraId="680BD5A0" w14:textId="77777777" w:rsidR="00571B42" w:rsidRPr="00225325" w:rsidRDefault="00571B42" w:rsidP="00662012">
                              <w:pPr>
                                <w:jc w:val="center"/>
                                <w:rPr>
                                  <w:lang w:val="uk-UA"/>
                                </w:rPr>
                              </w:pPr>
                              <w:r>
                                <w:rPr>
                                  <w:lang w:val="uk-UA"/>
                                </w:rPr>
                                <w:t>Об’єкт 3</w:t>
                              </w:r>
                            </w:p>
                          </w:txbxContent>
                        </wps:txbx>
                        <wps:bodyPr rot="0" vert="horz" wrap="square" lIns="91440" tIns="45720" rIns="91440" bIns="45720" anchor="t" anchorCtr="0" upright="1">
                          <a:noAutofit/>
                        </wps:bodyPr>
                      </wps:wsp>
                      <wps:wsp>
                        <wps:cNvPr id="1909726880" name="AutoShape 38"/>
                        <wps:cNvSpPr>
                          <a:spLocks noChangeArrowheads="1"/>
                        </wps:cNvSpPr>
                        <wps:spPr bwMode="auto">
                          <a:xfrm>
                            <a:off x="1875" y="4065"/>
                            <a:ext cx="1245" cy="405"/>
                          </a:xfrm>
                          <a:prstGeom prst="roundRect">
                            <a:avLst>
                              <a:gd name="adj" fmla="val 16667"/>
                            </a:avLst>
                          </a:prstGeom>
                          <a:solidFill>
                            <a:srgbClr val="FFFFFF"/>
                          </a:solidFill>
                          <a:ln w="3175">
                            <a:solidFill>
                              <a:srgbClr val="000000"/>
                            </a:solidFill>
                            <a:round/>
                            <a:headEnd/>
                            <a:tailEnd/>
                          </a:ln>
                        </wps:spPr>
                        <wps:txbx>
                          <w:txbxContent>
                            <w:p w14:paraId="290F59C1" w14:textId="77777777" w:rsidR="00571B42" w:rsidRPr="00225325" w:rsidRDefault="00571B42" w:rsidP="00662012">
                              <w:pPr>
                                <w:jc w:val="center"/>
                                <w:rPr>
                                  <w:lang w:val="uk-UA"/>
                                </w:rPr>
                              </w:pPr>
                              <w:r>
                                <w:rPr>
                                  <w:lang w:val="uk-UA"/>
                                </w:rPr>
                                <w:t>Об’єкт 2</w:t>
                              </w:r>
                            </w:p>
                          </w:txbxContent>
                        </wps:txbx>
                        <wps:bodyPr rot="0" vert="horz" wrap="square" lIns="91440" tIns="45720" rIns="91440" bIns="45720" anchor="t" anchorCtr="0" upright="1">
                          <a:noAutofit/>
                        </wps:bodyPr>
                      </wps:wsp>
                      <wps:wsp>
                        <wps:cNvPr id="1909726881" name="AutoShape 39"/>
                        <wps:cNvSpPr>
                          <a:spLocks noChangeArrowheads="1"/>
                        </wps:cNvSpPr>
                        <wps:spPr bwMode="auto">
                          <a:xfrm>
                            <a:off x="3785" y="4919"/>
                            <a:ext cx="1245" cy="405"/>
                          </a:xfrm>
                          <a:prstGeom prst="roundRect">
                            <a:avLst>
                              <a:gd name="adj" fmla="val 16667"/>
                            </a:avLst>
                          </a:prstGeom>
                          <a:solidFill>
                            <a:srgbClr val="FFFFFF"/>
                          </a:solidFill>
                          <a:ln w="3175">
                            <a:solidFill>
                              <a:srgbClr val="000000"/>
                            </a:solidFill>
                            <a:round/>
                            <a:headEnd/>
                            <a:tailEnd/>
                          </a:ln>
                        </wps:spPr>
                        <wps:txbx>
                          <w:txbxContent>
                            <w:p w14:paraId="4CF319E7" w14:textId="77777777" w:rsidR="00571B42" w:rsidRPr="00225325" w:rsidRDefault="00571B42" w:rsidP="00662012">
                              <w:pPr>
                                <w:jc w:val="center"/>
                                <w:rPr>
                                  <w:lang w:val="uk-UA"/>
                                </w:rPr>
                              </w:pPr>
                              <w:r>
                                <w:rPr>
                                  <w:lang w:val="uk-UA"/>
                                </w:rPr>
                                <w:t>Об’єкт 1</w:t>
                              </w:r>
                            </w:p>
                          </w:txbxContent>
                        </wps:txbx>
                        <wps:bodyPr rot="0" vert="horz" wrap="square" lIns="91440" tIns="45720" rIns="91440" bIns="45720" anchor="t" anchorCtr="0" upright="1">
                          <a:noAutofit/>
                        </wps:bodyPr>
                      </wps:wsp>
                      <wps:wsp>
                        <wps:cNvPr id="1909726882" name="AutoShape 40"/>
                        <wps:cNvSpPr>
                          <a:spLocks noChangeArrowheads="1"/>
                        </wps:cNvSpPr>
                        <wps:spPr bwMode="auto">
                          <a:xfrm>
                            <a:off x="6995" y="4904"/>
                            <a:ext cx="1405" cy="405"/>
                          </a:xfrm>
                          <a:prstGeom prst="roundRect">
                            <a:avLst>
                              <a:gd name="adj" fmla="val 16667"/>
                            </a:avLst>
                          </a:prstGeom>
                          <a:solidFill>
                            <a:srgbClr val="FFFFFF"/>
                          </a:solidFill>
                          <a:ln w="3175">
                            <a:solidFill>
                              <a:srgbClr val="000000"/>
                            </a:solidFill>
                            <a:round/>
                            <a:headEnd/>
                            <a:tailEnd/>
                          </a:ln>
                        </wps:spPr>
                        <wps:txbx>
                          <w:txbxContent>
                            <w:p w14:paraId="25359620" w14:textId="77777777" w:rsidR="00571B42" w:rsidRPr="00225325" w:rsidRDefault="00571B42" w:rsidP="00662012">
                              <w:pPr>
                                <w:jc w:val="center"/>
                                <w:rPr>
                                  <w:lang w:val="uk-UA"/>
                                </w:rPr>
                              </w:pPr>
                              <w:r>
                                <w:rPr>
                                  <w:lang w:val="uk-UA"/>
                                </w:rPr>
                                <w:t>Об’єкт 11</w:t>
                              </w:r>
                            </w:p>
                          </w:txbxContent>
                        </wps:txbx>
                        <wps:bodyPr rot="0" vert="horz" wrap="square" lIns="91440" tIns="45720" rIns="91440" bIns="45720" anchor="t" anchorCtr="0" upright="1">
                          <a:noAutofit/>
                        </wps:bodyPr>
                      </wps:wsp>
                      <wps:wsp>
                        <wps:cNvPr id="1909726883" name="AutoShape 41"/>
                        <wps:cNvSpPr>
                          <a:spLocks noChangeArrowheads="1"/>
                        </wps:cNvSpPr>
                        <wps:spPr bwMode="auto">
                          <a:xfrm>
                            <a:off x="8765" y="4455"/>
                            <a:ext cx="1360" cy="405"/>
                          </a:xfrm>
                          <a:prstGeom prst="roundRect">
                            <a:avLst>
                              <a:gd name="adj" fmla="val 16667"/>
                            </a:avLst>
                          </a:prstGeom>
                          <a:solidFill>
                            <a:srgbClr val="FFFFFF"/>
                          </a:solidFill>
                          <a:ln w="3175">
                            <a:solidFill>
                              <a:srgbClr val="000000"/>
                            </a:solidFill>
                            <a:round/>
                            <a:headEnd/>
                            <a:tailEnd/>
                          </a:ln>
                        </wps:spPr>
                        <wps:txbx>
                          <w:txbxContent>
                            <w:p w14:paraId="13CD0FFC" w14:textId="77777777" w:rsidR="00571B42" w:rsidRPr="00225325" w:rsidRDefault="00571B42" w:rsidP="00662012">
                              <w:pPr>
                                <w:jc w:val="center"/>
                                <w:rPr>
                                  <w:lang w:val="uk-UA"/>
                                </w:rPr>
                              </w:pPr>
                              <w:r>
                                <w:rPr>
                                  <w:lang w:val="uk-UA"/>
                                </w:rPr>
                                <w:t>Об’єкт 10</w:t>
                              </w:r>
                            </w:p>
                          </w:txbxContent>
                        </wps:txbx>
                        <wps:bodyPr rot="0" vert="horz" wrap="square" lIns="91440" tIns="45720" rIns="91440" bIns="45720" anchor="t" anchorCtr="0" upright="1">
                          <a:noAutofit/>
                        </wps:bodyPr>
                      </wps:wsp>
                      <wps:wsp>
                        <wps:cNvPr id="1909726884" name="AutoShape 42"/>
                        <wps:cNvSpPr>
                          <a:spLocks noChangeArrowheads="1"/>
                        </wps:cNvSpPr>
                        <wps:spPr bwMode="auto">
                          <a:xfrm>
                            <a:off x="8690" y="2805"/>
                            <a:ext cx="1245" cy="405"/>
                          </a:xfrm>
                          <a:prstGeom prst="roundRect">
                            <a:avLst>
                              <a:gd name="adj" fmla="val 16667"/>
                            </a:avLst>
                          </a:prstGeom>
                          <a:solidFill>
                            <a:srgbClr val="FFFFFF"/>
                          </a:solidFill>
                          <a:ln w="3175">
                            <a:solidFill>
                              <a:srgbClr val="000000"/>
                            </a:solidFill>
                            <a:round/>
                            <a:headEnd/>
                            <a:tailEnd/>
                          </a:ln>
                        </wps:spPr>
                        <wps:txbx>
                          <w:txbxContent>
                            <w:p w14:paraId="3CEAFF87" w14:textId="77777777" w:rsidR="00571B42" w:rsidRPr="00225325" w:rsidRDefault="00571B42" w:rsidP="00662012">
                              <w:pPr>
                                <w:jc w:val="center"/>
                                <w:rPr>
                                  <w:lang w:val="uk-UA"/>
                                </w:rPr>
                              </w:pPr>
                              <w:r>
                                <w:rPr>
                                  <w:lang w:val="uk-UA"/>
                                </w:rPr>
                                <w:t>Об’єкт 9</w:t>
                              </w:r>
                            </w:p>
                          </w:txbxContent>
                        </wps:txbx>
                        <wps:bodyPr rot="0" vert="horz" wrap="square" lIns="91440" tIns="45720" rIns="91440" bIns="45720" anchor="t" anchorCtr="0" upright="1">
                          <a:noAutofit/>
                        </wps:bodyPr>
                      </wps:wsp>
                      <wps:wsp>
                        <wps:cNvPr id="1909726885" name="AutoShape 43"/>
                        <wps:cNvSpPr>
                          <a:spLocks noChangeArrowheads="1"/>
                        </wps:cNvSpPr>
                        <wps:spPr bwMode="auto">
                          <a:xfrm>
                            <a:off x="5495" y="2384"/>
                            <a:ext cx="1245" cy="405"/>
                          </a:xfrm>
                          <a:prstGeom prst="roundRect">
                            <a:avLst>
                              <a:gd name="adj" fmla="val 16667"/>
                            </a:avLst>
                          </a:prstGeom>
                          <a:solidFill>
                            <a:srgbClr val="FFFFFF"/>
                          </a:solidFill>
                          <a:ln w="3175">
                            <a:solidFill>
                              <a:srgbClr val="000000"/>
                            </a:solidFill>
                            <a:round/>
                            <a:headEnd/>
                            <a:tailEnd/>
                          </a:ln>
                        </wps:spPr>
                        <wps:txbx>
                          <w:txbxContent>
                            <w:p w14:paraId="1E59B4BD" w14:textId="77777777" w:rsidR="00571B42" w:rsidRPr="00225325" w:rsidRDefault="00571B42" w:rsidP="00662012">
                              <w:pPr>
                                <w:jc w:val="center"/>
                                <w:rPr>
                                  <w:lang w:val="uk-UA"/>
                                </w:rPr>
                              </w:pPr>
                              <w:r>
                                <w:rPr>
                                  <w:lang w:val="uk-UA"/>
                                </w:rPr>
                                <w:t>Об’єкт 6</w:t>
                              </w:r>
                            </w:p>
                          </w:txbxContent>
                        </wps:txbx>
                        <wps:bodyPr rot="0" vert="horz" wrap="square" lIns="91440" tIns="45720" rIns="91440" bIns="45720" anchor="t" anchorCtr="0" upright="1">
                          <a:noAutofit/>
                        </wps:bodyPr>
                      </wps:wsp>
                      <wps:wsp>
                        <wps:cNvPr id="1909726886" name="AutoShape 44"/>
                        <wps:cNvSpPr>
                          <a:spLocks noChangeArrowheads="1"/>
                        </wps:cNvSpPr>
                        <wps:spPr bwMode="auto">
                          <a:xfrm>
                            <a:off x="9515" y="2159"/>
                            <a:ext cx="1245" cy="405"/>
                          </a:xfrm>
                          <a:prstGeom prst="roundRect">
                            <a:avLst>
                              <a:gd name="adj" fmla="val 16667"/>
                            </a:avLst>
                          </a:prstGeom>
                          <a:solidFill>
                            <a:srgbClr val="FFFFFF"/>
                          </a:solidFill>
                          <a:ln w="3175">
                            <a:solidFill>
                              <a:srgbClr val="000000"/>
                            </a:solidFill>
                            <a:round/>
                            <a:headEnd/>
                            <a:tailEnd/>
                          </a:ln>
                        </wps:spPr>
                        <wps:txbx>
                          <w:txbxContent>
                            <w:p w14:paraId="72777034" w14:textId="77777777" w:rsidR="00571B42" w:rsidRPr="00225325" w:rsidRDefault="00571B42" w:rsidP="00662012">
                              <w:pPr>
                                <w:jc w:val="center"/>
                                <w:rPr>
                                  <w:lang w:val="uk-UA"/>
                                </w:rPr>
                              </w:pPr>
                              <w:r>
                                <w:rPr>
                                  <w:lang w:val="uk-UA"/>
                                </w:rPr>
                                <w:t>Об’єкт 8</w:t>
                              </w:r>
                            </w:p>
                          </w:txbxContent>
                        </wps:txbx>
                        <wps:bodyPr rot="0" vert="horz" wrap="square" lIns="91440" tIns="45720" rIns="91440" bIns="45720" anchor="t" anchorCtr="0" upright="1">
                          <a:noAutofit/>
                        </wps:bodyPr>
                      </wps:wsp>
                      <wps:wsp>
                        <wps:cNvPr id="1909726887" name="AutoShape 45"/>
                        <wps:cNvSpPr>
                          <a:spLocks noChangeArrowheads="1"/>
                        </wps:cNvSpPr>
                        <wps:spPr bwMode="auto">
                          <a:xfrm>
                            <a:off x="7460" y="1125"/>
                            <a:ext cx="1245" cy="405"/>
                          </a:xfrm>
                          <a:prstGeom prst="roundRect">
                            <a:avLst>
                              <a:gd name="adj" fmla="val 16667"/>
                            </a:avLst>
                          </a:prstGeom>
                          <a:solidFill>
                            <a:srgbClr val="FFFFFF"/>
                          </a:solidFill>
                          <a:ln w="3175">
                            <a:solidFill>
                              <a:srgbClr val="000000"/>
                            </a:solidFill>
                            <a:round/>
                            <a:headEnd/>
                            <a:tailEnd/>
                          </a:ln>
                        </wps:spPr>
                        <wps:txbx>
                          <w:txbxContent>
                            <w:p w14:paraId="6B1867E9" w14:textId="77777777" w:rsidR="00571B42" w:rsidRPr="00225325" w:rsidRDefault="00571B42" w:rsidP="00662012">
                              <w:pPr>
                                <w:jc w:val="center"/>
                                <w:rPr>
                                  <w:lang w:val="uk-UA"/>
                                </w:rPr>
                              </w:pPr>
                              <w:r>
                                <w:rPr>
                                  <w:lang w:val="uk-UA"/>
                                </w:rPr>
                                <w:t>Об’єкт 7</w:t>
                              </w:r>
                            </w:p>
                          </w:txbxContent>
                        </wps:txbx>
                        <wps:bodyPr rot="0" vert="horz" wrap="square" lIns="91440" tIns="45720" rIns="91440" bIns="45720" anchor="t" anchorCtr="0" upright="1">
                          <a:noAutofit/>
                        </wps:bodyPr>
                      </wps:wsp>
                      <wps:wsp>
                        <wps:cNvPr id="1909726888" name="Rectangle 46"/>
                        <wps:cNvSpPr>
                          <a:spLocks noChangeArrowheads="1"/>
                        </wps:cNvSpPr>
                        <wps:spPr bwMode="auto">
                          <a:xfrm>
                            <a:off x="2685" y="1200"/>
                            <a:ext cx="510" cy="345"/>
                          </a:xfrm>
                          <a:prstGeom prst="rect">
                            <a:avLst/>
                          </a:prstGeom>
                          <a:solidFill>
                            <a:srgbClr val="FFFFFF"/>
                          </a:solidFill>
                          <a:ln w="9525">
                            <a:solidFill>
                              <a:srgbClr val="000000"/>
                            </a:solidFill>
                            <a:miter lim="800000"/>
                            <a:headEnd/>
                            <a:tailEnd/>
                          </a:ln>
                        </wps:spPr>
                        <wps:txbx>
                          <w:txbxContent>
                            <w:p w14:paraId="22573A93" w14:textId="77777777" w:rsidR="00571B42" w:rsidRPr="00833E86" w:rsidRDefault="00571B42" w:rsidP="00662012">
                              <w:pPr>
                                <w:rPr>
                                  <w:sz w:val="20"/>
                                  <w:szCs w:val="20"/>
                                  <w:lang w:val="uk-UA"/>
                                </w:rPr>
                              </w:pPr>
                              <w:r>
                                <w:rPr>
                                  <w:sz w:val="20"/>
                                  <w:szCs w:val="20"/>
                                  <w:lang w:val="uk-UA"/>
                                </w:rPr>
                                <w:t>10</w:t>
                              </w:r>
                            </w:p>
                          </w:txbxContent>
                        </wps:txbx>
                        <wps:bodyPr rot="0" vert="horz" wrap="square" lIns="91440" tIns="45720" rIns="91440" bIns="45720" anchor="t" anchorCtr="0" upright="1">
                          <a:noAutofit/>
                        </wps:bodyPr>
                      </wps:wsp>
                      <wps:wsp>
                        <wps:cNvPr id="1909726889" name="AutoShape 47"/>
                        <wps:cNvCnPr>
                          <a:cxnSpLocks noChangeShapeType="1"/>
                        </wps:cNvCnPr>
                        <wps:spPr bwMode="auto">
                          <a:xfrm flipV="1">
                            <a:off x="2415" y="1440"/>
                            <a:ext cx="1155" cy="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90" name="AutoShape 48"/>
                        <wps:cNvCnPr>
                          <a:cxnSpLocks noChangeShapeType="1"/>
                        </wps:cNvCnPr>
                        <wps:spPr bwMode="auto">
                          <a:xfrm flipV="1">
                            <a:off x="1770" y="2115"/>
                            <a:ext cx="0" cy="2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91" name="AutoShape 49"/>
                        <wps:cNvCnPr>
                          <a:cxnSpLocks noChangeShapeType="1"/>
                        </wps:cNvCnPr>
                        <wps:spPr bwMode="auto">
                          <a:xfrm flipH="1" flipV="1">
                            <a:off x="1815" y="2805"/>
                            <a:ext cx="615" cy="12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92" name="AutoShape 50"/>
                        <wps:cNvCnPr>
                          <a:cxnSpLocks noChangeShapeType="1"/>
                        </wps:cNvCnPr>
                        <wps:spPr bwMode="auto">
                          <a:xfrm flipH="1" flipV="1">
                            <a:off x="2595" y="4470"/>
                            <a:ext cx="1190" cy="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93" name="AutoShape 51"/>
                        <wps:cNvCnPr>
                          <a:cxnSpLocks noChangeShapeType="1"/>
                        </wps:cNvCnPr>
                        <wps:spPr bwMode="auto">
                          <a:xfrm flipH="1">
                            <a:off x="5030" y="5040"/>
                            <a:ext cx="196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94" name="AutoShape 52"/>
                        <wps:cNvCnPr>
                          <a:cxnSpLocks noChangeShapeType="1"/>
                        </wps:cNvCnPr>
                        <wps:spPr bwMode="auto">
                          <a:xfrm flipV="1">
                            <a:off x="9855" y="2564"/>
                            <a:ext cx="660" cy="186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95" name="AutoShape 53"/>
                        <wps:cNvCnPr>
                          <a:cxnSpLocks noChangeShapeType="1"/>
                        </wps:cNvCnPr>
                        <wps:spPr bwMode="auto">
                          <a:xfrm>
                            <a:off x="9210" y="3210"/>
                            <a:ext cx="0" cy="12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96" name="AutoShape 54"/>
                        <wps:cNvCnPr>
                          <a:cxnSpLocks noChangeShapeType="1"/>
                        </wps:cNvCnPr>
                        <wps:spPr bwMode="auto">
                          <a:xfrm flipH="1" flipV="1">
                            <a:off x="8730" y="1395"/>
                            <a:ext cx="1650" cy="7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97" name="AutoShape 55"/>
                        <wps:cNvCnPr>
                          <a:cxnSpLocks noChangeShapeType="1"/>
                        </wps:cNvCnPr>
                        <wps:spPr bwMode="auto">
                          <a:xfrm>
                            <a:off x="4860" y="1320"/>
                            <a:ext cx="260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09726898" name="AutoShape 56"/>
                        <wps:cNvCnPr>
                          <a:cxnSpLocks noChangeShapeType="1"/>
                        </wps:cNvCnPr>
                        <wps:spPr bwMode="auto">
                          <a:xfrm flipV="1">
                            <a:off x="6645" y="1545"/>
                            <a:ext cx="915" cy="839"/>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09726899" name="AutoShape 57"/>
                        <wps:cNvCnPr>
                          <a:cxnSpLocks noChangeShapeType="1"/>
                        </wps:cNvCnPr>
                        <wps:spPr bwMode="auto">
                          <a:xfrm flipV="1">
                            <a:off x="7200" y="1530"/>
                            <a:ext cx="975" cy="1332"/>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09726901" name="AutoShape 58"/>
                        <wps:cNvCnPr>
                          <a:cxnSpLocks noChangeShapeType="1"/>
                        </wps:cNvCnPr>
                        <wps:spPr bwMode="auto">
                          <a:xfrm flipV="1">
                            <a:off x="7290" y="2325"/>
                            <a:ext cx="2225" cy="76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09726902" name="AutoShape 59"/>
                        <wps:cNvCnPr>
                          <a:cxnSpLocks noChangeShapeType="1"/>
                        </wps:cNvCnPr>
                        <wps:spPr bwMode="auto">
                          <a:xfrm flipH="1" flipV="1">
                            <a:off x="7290" y="3570"/>
                            <a:ext cx="1545" cy="90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09726903" name="AutoShape 60"/>
                        <wps:cNvCnPr>
                          <a:cxnSpLocks noChangeShapeType="1"/>
                        </wps:cNvCnPr>
                        <wps:spPr bwMode="auto">
                          <a:xfrm flipH="1" flipV="1">
                            <a:off x="6600" y="3612"/>
                            <a:ext cx="885" cy="1292"/>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09726904" name="AutoShape 61"/>
                        <wps:cNvCnPr>
                          <a:cxnSpLocks noChangeShapeType="1"/>
                        </wps:cNvCnPr>
                        <wps:spPr bwMode="auto">
                          <a:xfrm flipV="1">
                            <a:off x="4605" y="3612"/>
                            <a:ext cx="960" cy="1323"/>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09726905" name="AutoShape 62"/>
                        <wps:cNvCnPr>
                          <a:cxnSpLocks noChangeShapeType="1"/>
                        </wps:cNvCnPr>
                        <wps:spPr bwMode="auto">
                          <a:xfrm flipV="1">
                            <a:off x="3105" y="3450"/>
                            <a:ext cx="1800" cy="64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09726906" name="AutoShape 63"/>
                        <wps:cNvCnPr>
                          <a:cxnSpLocks noChangeShapeType="1"/>
                        </wps:cNvCnPr>
                        <wps:spPr bwMode="auto">
                          <a:xfrm flipH="1" flipV="1">
                            <a:off x="2400" y="2610"/>
                            <a:ext cx="2490" cy="615"/>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09726907" name="AutoShape 64"/>
                        <wps:cNvCnPr>
                          <a:cxnSpLocks noChangeShapeType="1"/>
                        </wps:cNvCnPr>
                        <wps:spPr bwMode="auto">
                          <a:xfrm flipH="1" flipV="1">
                            <a:off x="2400" y="2025"/>
                            <a:ext cx="2520" cy="837"/>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09726908" name="AutoShape 65"/>
                        <wps:cNvCnPr>
                          <a:cxnSpLocks noChangeShapeType="1"/>
                        </wps:cNvCnPr>
                        <wps:spPr bwMode="auto">
                          <a:xfrm flipH="1" flipV="1">
                            <a:off x="4380" y="1545"/>
                            <a:ext cx="870" cy="1317"/>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09726909" name="Rectangle 66"/>
                        <wps:cNvSpPr>
                          <a:spLocks noChangeArrowheads="1"/>
                        </wps:cNvSpPr>
                        <wps:spPr bwMode="auto">
                          <a:xfrm>
                            <a:off x="5820" y="1320"/>
                            <a:ext cx="645" cy="345"/>
                          </a:xfrm>
                          <a:prstGeom prst="rect">
                            <a:avLst/>
                          </a:prstGeom>
                          <a:solidFill>
                            <a:srgbClr val="FFFFFF"/>
                          </a:solidFill>
                          <a:ln w="9525">
                            <a:solidFill>
                              <a:srgbClr val="000000"/>
                            </a:solidFill>
                            <a:miter lim="800000"/>
                            <a:headEnd/>
                            <a:tailEnd/>
                          </a:ln>
                        </wps:spPr>
                        <wps:txbx>
                          <w:txbxContent>
                            <w:p w14:paraId="076EE6A8" w14:textId="77777777" w:rsidR="00571B42" w:rsidRPr="00833E86" w:rsidRDefault="00571B42" w:rsidP="00662012">
                              <w:pPr>
                                <w:rPr>
                                  <w:sz w:val="20"/>
                                  <w:szCs w:val="20"/>
                                  <w:lang w:val="uk-UA"/>
                                </w:rPr>
                              </w:pPr>
                              <w:r>
                                <w:rPr>
                                  <w:sz w:val="20"/>
                                  <w:szCs w:val="20"/>
                                  <w:lang w:val="uk-UA"/>
                                </w:rPr>
                                <w:t>150</w:t>
                              </w:r>
                            </w:p>
                          </w:txbxContent>
                        </wps:txbx>
                        <wps:bodyPr rot="0" vert="horz" wrap="square" lIns="91440" tIns="45720" rIns="91440" bIns="45720" anchor="t" anchorCtr="0" upright="1">
                          <a:noAutofit/>
                        </wps:bodyPr>
                      </wps:wsp>
                      <wps:wsp>
                        <wps:cNvPr id="1909726910" name="Rectangle 67"/>
                        <wps:cNvSpPr>
                          <a:spLocks noChangeArrowheads="1"/>
                        </wps:cNvSpPr>
                        <wps:spPr bwMode="auto">
                          <a:xfrm>
                            <a:off x="6570" y="1665"/>
                            <a:ext cx="510" cy="345"/>
                          </a:xfrm>
                          <a:prstGeom prst="rect">
                            <a:avLst/>
                          </a:prstGeom>
                          <a:solidFill>
                            <a:srgbClr val="FFFFFF"/>
                          </a:solidFill>
                          <a:ln w="9525">
                            <a:solidFill>
                              <a:srgbClr val="000000"/>
                            </a:solidFill>
                            <a:miter lim="800000"/>
                            <a:headEnd/>
                            <a:tailEnd/>
                          </a:ln>
                        </wps:spPr>
                        <wps:txbx>
                          <w:txbxContent>
                            <w:p w14:paraId="449378EC" w14:textId="77777777" w:rsidR="00571B42" w:rsidRPr="00833E86" w:rsidRDefault="00571B42" w:rsidP="00662012">
                              <w:pPr>
                                <w:rPr>
                                  <w:sz w:val="20"/>
                                  <w:szCs w:val="20"/>
                                  <w:lang w:val="uk-UA"/>
                                </w:rPr>
                              </w:pPr>
                              <w:r>
                                <w:rPr>
                                  <w:sz w:val="20"/>
                                  <w:szCs w:val="20"/>
                                  <w:lang w:val="uk-UA"/>
                                </w:rPr>
                                <w:t>50</w:t>
                              </w:r>
                            </w:p>
                          </w:txbxContent>
                        </wps:txbx>
                        <wps:bodyPr rot="0" vert="horz" wrap="square" lIns="91440" tIns="45720" rIns="91440" bIns="45720" anchor="t" anchorCtr="0" upright="1">
                          <a:noAutofit/>
                        </wps:bodyPr>
                      </wps:wsp>
                      <wps:wsp>
                        <wps:cNvPr id="1909726911" name="Rectangle 68"/>
                        <wps:cNvSpPr>
                          <a:spLocks noChangeArrowheads="1"/>
                        </wps:cNvSpPr>
                        <wps:spPr bwMode="auto">
                          <a:xfrm>
                            <a:off x="9540" y="1425"/>
                            <a:ext cx="510" cy="345"/>
                          </a:xfrm>
                          <a:prstGeom prst="rect">
                            <a:avLst/>
                          </a:prstGeom>
                          <a:solidFill>
                            <a:srgbClr val="FFFFFF"/>
                          </a:solidFill>
                          <a:ln w="9525">
                            <a:solidFill>
                              <a:srgbClr val="000000"/>
                            </a:solidFill>
                            <a:miter lim="800000"/>
                            <a:headEnd/>
                            <a:tailEnd/>
                          </a:ln>
                        </wps:spPr>
                        <wps:txbx>
                          <w:txbxContent>
                            <w:p w14:paraId="6892D0EC" w14:textId="77777777" w:rsidR="00571B42" w:rsidRPr="00833E86" w:rsidRDefault="00571B42" w:rsidP="00662012">
                              <w:pPr>
                                <w:rPr>
                                  <w:sz w:val="20"/>
                                  <w:szCs w:val="20"/>
                                  <w:lang w:val="uk-UA"/>
                                </w:rPr>
                              </w:pPr>
                              <w:r>
                                <w:rPr>
                                  <w:sz w:val="20"/>
                                  <w:szCs w:val="20"/>
                                  <w:lang w:val="uk-UA"/>
                                </w:rPr>
                                <w:t>10</w:t>
                              </w:r>
                            </w:p>
                          </w:txbxContent>
                        </wps:txbx>
                        <wps:bodyPr rot="0" vert="horz" wrap="square" lIns="91440" tIns="45720" rIns="91440" bIns="45720" anchor="t" anchorCtr="0" upright="1">
                          <a:noAutofit/>
                        </wps:bodyPr>
                      </wps:wsp>
                      <wps:wsp>
                        <wps:cNvPr id="258017856" name="Rectangle 69"/>
                        <wps:cNvSpPr>
                          <a:spLocks noChangeArrowheads="1"/>
                        </wps:cNvSpPr>
                        <wps:spPr bwMode="auto">
                          <a:xfrm>
                            <a:off x="7695" y="2130"/>
                            <a:ext cx="510" cy="345"/>
                          </a:xfrm>
                          <a:prstGeom prst="rect">
                            <a:avLst/>
                          </a:prstGeom>
                          <a:solidFill>
                            <a:srgbClr val="FFFFFF"/>
                          </a:solidFill>
                          <a:ln w="9525">
                            <a:solidFill>
                              <a:srgbClr val="000000"/>
                            </a:solidFill>
                            <a:miter lim="800000"/>
                            <a:headEnd/>
                            <a:tailEnd/>
                          </a:ln>
                        </wps:spPr>
                        <wps:txbx>
                          <w:txbxContent>
                            <w:p w14:paraId="6365C9BF" w14:textId="77777777" w:rsidR="00571B42" w:rsidRPr="00833E86" w:rsidRDefault="00571B42" w:rsidP="00662012">
                              <w:pPr>
                                <w:rPr>
                                  <w:sz w:val="20"/>
                                  <w:szCs w:val="20"/>
                                  <w:lang w:val="uk-UA"/>
                                </w:rPr>
                              </w:pPr>
                              <w:r>
                                <w:rPr>
                                  <w:sz w:val="20"/>
                                  <w:szCs w:val="20"/>
                                  <w:lang w:val="uk-UA"/>
                                </w:rPr>
                                <w:t>50</w:t>
                              </w:r>
                            </w:p>
                          </w:txbxContent>
                        </wps:txbx>
                        <wps:bodyPr rot="0" vert="horz" wrap="square" lIns="91440" tIns="45720" rIns="91440" bIns="45720" anchor="t" anchorCtr="0" upright="1">
                          <a:noAutofit/>
                        </wps:bodyPr>
                      </wps:wsp>
                      <wps:wsp>
                        <wps:cNvPr id="258017857" name="Rectangle 70"/>
                        <wps:cNvSpPr>
                          <a:spLocks noChangeArrowheads="1"/>
                        </wps:cNvSpPr>
                        <wps:spPr bwMode="auto">
                          <a:xfrm>
                            <a:off x="8690" y="2115"/>
                            <a:ext cx="510" cy="345"/>
                          </a:xfrm>
                          <a:prstGeom prst="rect">
                            <a:avLst/>
                          </a:prstGeom>
                          <a:solidFill>
                            <a:srgbClr val="FFFFFF"/>
                          </a:solidFill>
                          <a:ln w="9525">
                            <a:solidFill>
                              <a:srgbClr val="000000"/>
                            </a:solidFill>
                            <a:miter lim="800000"/>
                            <a:headEnd/>
                            <a:tailEnd/>
                          </a:ln>
                        </wps:spPr>
                        <wps:txbx>
                          <w:txbxContent>
                            <w:p w14:paraId="52F98053" w14:textId="77777777" w:rsidR="00571B42" w:rsidRPr="00833E86" w:rsidRDefault="00571B42" w:rsidP="00662012">
                              <w:pPr>
                                <w:rPr>
                                  <w:sz w:val="20"/>
                                  <w:szCs w:val="20"/>
                                  <w:lang w:val="uk-UA"/>
                                </w:rPr>
                              </w:pPr>
                              <w:r>
                                <w:rPr>
                                  <w:sz w:val="20"/>
                                  <w:szCs w:val="20"/>
                                  <w:lang w:val="uk-UA"/>
                                </w:rPr>
                                <w:t>70</w:t>
                              </w:r>
                            </w:p>
                          </w:txbxContent>
                        </wps:txbx>
                        <wps:bodyPr rot="0" vert="horz" wrap="square" lIns="91440" tIns="45720" rIns="91440" bIns="45720" anchor="t" anchorCtr="0" upright="1">
                          <a:noAutofit/>
                        </wps:bodyPr>
                      </wps:wsp>
                      <wps:wsp>
                        <wps:cNvPr id="258017858" name="Rectangle 71"/>
                        <wps:cNvSpPr>
                          <a:spLocks noChangeArrowheads="1"/>
                        </wps:cNvSpPr>
                        <wps:spPr bwMode="auto">
                          <a:xfrm>
                            <a:off x="10155" y="3555"/>
                            <a:ext cx="510" cy="345"/>
                          </a:xfrm>
                          <a:prstGeom prst="rect">
                            <a:avLst/>
                          </a:prstGeom>
                          <a:solidFill>
                            <a:srgbClr val="FFFFFF"/>
                          </a:solidFill>
                          <a:ln w="9525">
                            <a:solidFill>
                              <a:srgbClr val="000000"/>
                            </a:solidFill>
                            <a:miter lim="800000"/>
                            <a:headEnd/>
                            <a:tailEnd/>
                          </a:ln>
                        </wps:spPr>
                        <wps:txbx>
                          <w:txbxContent>
                            <w:p w14:paraId="48BCC51F" w14:textId="77777777" w:rsidR="00571B42" w:rsidRPr="00833E86" w:rsidRDefault="00571B42" w:rsidP="00662012">
                              <w:pPr>
                                <w:rPr>
                                  <w:sz w:val="20"/>
                                  <w:szCs w:val="20"/>
                                  <w:lang w:val="uk-UA"/>
                                </w:rPr>
                              </w:pPr>
                              <w:r>
                                <w:rPr>
                                  <w:sz w:val="20"/>
                                  <w:szCs w:val="20"/>
                                  <w:lang w:val="uk-UA"/>
                                </w:rPr>
                                <w:t>60</w:t>
                              </w:r>
                            </w:p>
                          </w:txbxContent>
                        </wps:txbx>
                        <wps:bodyPr rot="0" vert="horz" wrap="square" lIns="91440" tIns="45720" rIns="91440" bIns="45720" anchor="t" anchorCtr="0" upright="1">
                          <a:noAutofit/>
                        </wps:bodyPr>
                      </wps:wsp>
                      <wps:wsp>
                        <wps:cNvPr id="258017859" name="Rectangle 72"/>
                        <wps:cNvSpPr>
                          <a:spLocks noChangeArrowheads="1"/>
                        </wps:cNvSpPr>
                        <wps:spPr bwMode="auto">
                          <a:xfrm>
                            <a:off x="9240" y="3495"/>
                            <a:ext cx="510" cy="345"/>
                          </a:xfrm>
                          <a:prstGeom prst="rect">
                            <a:avLst/>
                          </a:prstGeom>
                          <a:solidFill>
                            <a:srgbClr val="FFFFFF"/>
                          </a:solidFill>
                          <a:ln w="9525">
                            <a:solidFill>
                              <a:srgbClr val="000000"/>
                            </a:solidFill>
                            <a:miter lim="800000"/>
                            <a:headEnd/>
                            <a:tailEnd/>
                          </a:ln>
                        </wps:spPr>
                        <wps:txbx>
                          <w:txbxContent>
                            <w:p w14:paraId="0CE30F5B" w14:textId="77777777" w:rsidR="00571B42" w:rsidRPr="00833E86" w:rsidRDefault="00571B42" w:rsidP="00662012">
                              <w:pPr>
                                <w:rPr>
                                  <w:sz w:val="20"/>
                                  <w:szCs w:val="20"/>
                                  <w:lang w:val="uk-UA"/>
                                </w:rPr>
                              </w:pPr>
                              <w:r>
                                <w:rPr>
                                  <w:sz w:val="20"/>
                                  <w:szCs w:val="20"/>
                                  <w:lang w:val="uk-UA"/>
                                </w:rPr>
                                <w:t>30</w:t>
                              </w:r>
                            </w:p>
                          </w:txbxContent>
                        </wps:txbx>
                        <wps:bodyPr rot="0" vert="horz" wrap="square" lIns="91440" tIns="45720" rIns="91440" bIns="45720" anchor="t" anchorCtr="0" upright="1">
                          <a:noAutofit/>
                        </wps:bodyPr>
                      </wps:wsp>
                      <wps:wsp>
                        <wps:cNvPr id="258017860" name="Rectangle 73"/>
                        <wps:cNvSpPr>
                          <a:spLocks noChangeArrowheads="1"/>
                        </wps:cNvSpPr>
                        <wps:spPr bwMode="auto">
                          <a:xfrm>
                            <a:off x="7995" y="3645"/>
                            <a:ext cx="510" cy="345"/>
                          </a:xfrm>
                          <a:prstGeom prst="rect">
                            <a:avLst/>
                          </a:prstGeom>
                          <a:solidFill>
                            <a:srgbClr val="FFFFFF"/>
                          </a:solidFill>
                          <a:ln w="9525">
                            <a:solidFill>
                              <a:srgbClr val="000000"/>
                            </a:solidFill>
                            <a:miter lim="800000"/>
                            <a:headEnd/>
                            <a:tailEnd/>
                          </a:ln>
                        </wps:spPr>
                        <wps:txbx>
                          <w:txbxContent>
                            <w:p w14:paraId="7DD0C868" w14:textId="77777777" w:rsidR="00571B42" w:rsidRPr="00833E86" w:rsidRDefault="00571B42" w:rsidP="00662012">
                              <w:pPr>
                                <w:rPr>
                                  <w:sz w:val="20"/>
                                  <w:szCs w:val="20"/>
                                  <w:lang w:val="uk-UA"/>
                                </w:rPr>
                              </w:pPr>
                              <w:r>
                                <w:rPr>
                                  <w:sz w:val="20"/>
                                  <w:szCs w:val="20"/>
                                  <w:lang w:val="uk-UA"/>
                                </w:rPr>
                                <w:t>50</w:t>
                              </w:r>
                            </w:p>
                          </w:txbxContent>
                        </wps:txbx>
                        <wps:bodyPr rot="0" vert="horz" wrap="square" lIns="91440" tIns="45720" rIns="91440" bIns="45720" anchor="t" anchorCtr="0" upright="1">
                          <a:noAutofit/>
                        </wps:bodyPr>
                      </wps:wsp>
                      <wps:wsp>
                        <wps:cNvPr id="258017861" name="Rectangle 74"/>
                        <wps:cNvSpPr>
                          <a:spLocks noChangeArrowheads="1"/>
                        </wps:cNvSpPr>
                        <wps:spPr bwMode="auto">
                          <a:xfrm>
                            <a:off x="7170" y="4125"/>
                            <a:ext cx="510" cy="345"/>
                          </a:xfrm>
                          <a:prstGeom prst="rect">
                            <a:avLst/>
                          </a:prstGeom>
                          <a:solidFill>
                            <a:srgbClr val="FFFFFF"/>
                          </a:solidFill>
                          <a:ln w="9525">
                            <a:solidFill>
                              <a:srgbClr val="000000"/>
                            </a:solidFill>
                            <a:miter lim="800000"/>
                            <a:headEnd/>
                            <a:tailEnd/>
                          </a:ln>
                        </wps:spPr>
                        <wps:txbx>
                          <w:txbxContent>
                            <w:p w14:paraId="4DA54061" w14:textId="77777777" w:rsidR="00571B42" w:rsidRPr="00833E86" w:rsidRDefault="00571B42" w:rsidP="00662012">
                              <w:pPr>
                                <w:rPr>
                                  <w:sz w:val="20"/>
                                  <w:szCs w:val="20"/>
                                  <w:lang w:val="uk-UA"/>
                                </w:rPr>
                              </w:pPr>
                              <w:r>
                                <w:rPr>
                                  <w:sz w:val="20"/>
                                  <w:szCs w:val="20"/>
                                  <w:lang w:val="uk-UA"/>
                                </w:rPr>
                                <w:t>40</w:t>
                              </w:r>
                            </w:p>
                          </w:txbxContent>
                        </wps:txbx>
                        <wps:bodyPr rot="0" vert="horz" wrap="square" lIns="91440" tIns="45720" rIns="91440" bIns="45720" anchor="t" anchorCtr="0" upright="1">
                          <a:noAutofit/>
                        </wps:bodyPr>
                      </wps:wsp>
                      <wps:wsp>
                        <wps:cNvPr id="258017862" name="Rectangle 75"/>
                        <wps:cNvSpPr>
                          <a:spLocks noChangeArrowheads="1"/>
                        </wps:cNvSpPr>
                        <wps:spPr bwMode="auto">
                          <a:xfrm>
                            <a:off x="5820" y="4665"/>
                            <a:ext cx="510" cy="345"/>
                          </a:xfrm>
                          <a:prstGeom prst="rect">
                            <a:avLst/>
                          </a:prstGeom>
                          <a:solidFill>
                            <a:srgbClr val="FFFFFF"/>
                          </a:solidFill>
                          <a:ln w="9525">
                            <a:solidFill>
                              <a:srgbClr val="000000"/>
                            </a:solidFill>
                            <a:miter lim="800000"/>
                            <a:headEnd/>
                            <a:tailEnd/>
                          </a:ln>
                        </wps:spPr>
                        <wps:txbx>
                          <w:txbxContent>
                            <w:p w14:paraId="57A3BA27" w14:textId="77777777" w:rsidR="00571B42" w:rsidRPr="00833E86" w:rsidRDefault="00571B42" w:rsidP="00662012">
                              <w:pPr>
                                <w:rPr>
                                  <w:sz w:val="20"/>
                                  <w:szCs w:val="20"/>
                                  <w:lang w:val="uk-UA"/>
                                </w:rPr>
                              </w:pPr>
                              <w:r>
                                <w:rPr>
                                  <w:sz w:val="20"/>
                                  <w:szCs w:val="20"/>
                                  <w:lang w:val="uk-UA"/>
                                </w:rPr>
                                <w:t>80</w:t>
                              </w:r>
                            </w:p>
                          </w:txbxContent>
                        </wps:txbx>
                        <wps:bodyPr rot="0" vert="horz" wrap="square" lIns="91440" tIns="45720" rIns="91440" bIns="45720" anchor="t" anchorCtr="0" upright="1">
                          <a:noAutofit/>
                        </wps:bodyPr>
                      </wps:wsp>
                      <wps:wsp>
                        <wps:cNvPr id="258017863" name="Rectangle 76"/>
                        <wps:cNvSpPr>
                          <a:spLocks noChangeArrowheads="1"/>
                        </wps:cNvSpPr>
                        <wps:spPr bwMode="auto">
                          <a:xfrm>
                            <a:off x="5130" y="4155"/>
                            <a:ext cx="510" cy="345"/>
                          </a:xfrm>
                          <a:prstGeom prst="rect">
                            <a:avLst/>
                          </a:prstGeom>
                          <a:solidFill>
                            <a:srgbClr val="FFFFFF"/>
                          </a:solidFill>
                          <a:ln w="9525">
                            <a:solidFill>
                              <a:srgbClr val="000000"/>
                            </a:solidFill>
                            <a:miter lim="800000"/>
                            <a:headEnd/>
                            <a:tailEnd/>
                          </a:ln>
                        </wps:spPr>
                        <wps:txbx>
                          <w:txbxContent>
                            <w:p w14:paraId="3F29601B" w14:textId="77777777" w:rsidR="00571B42" w:rsidRPr="00833E86" w:rsidRDefault="00571B42" w:rsidP="00662012">
                              <w:pPr>
                                <w:rPr>
                                  <w:sz w:val="20"/>
                                  <w:szCs w:val="20"/>
                                  <w:lang w:val="uk-UA"/>
                                </w:rPr>
                              </w:pPr>
                              <w:r>
                                <w:rPr>
                                  <w:sz w:val="20"/>
                                  <w:szCs w:val="20"/>
                                  <w:lang w:val="uk-UA"/>
                                </w:rPr>
                                <w:t>70</w:t>
                              </w:r>
                            </w:p>
                          </w:txbxContent>
                        </wps:txbx>
                        <wps:bodyPr rot="0" vert="horz" wrap="square" lIns="91440" tIns="45720" rIns="91440" bIns="45720" anchor="t" anchorCtr="0" upright="1">
                          <a:noAutofit/>
                        </wps:bodyPr>
                      </wps:wsp>
                      <wps:wsp>
                        <wps:cNvPr id="258017864" name="Rectangle 77"/>
                        <wps:cNvSpPr>
                          <a:spLocks noChangeArrowheads="1"/>
                        </wps:cNvSpPr>
                        <wps:spPr bwMode="auto">
                          <a:xfrm>
                            <a:off x="3255" y="4440"/>
                            <a:ext cx="510" cy="345"/>
                          </a:xfrm>
                          <a:prstGeom prst="rect">
                            <a:avLst/>
                          </a:prstGeom>
                          <a:solidFill>
                            <a:srgbClr val="FFFFFF"/>
                          </a:solidFill>
                          <a:ln w="9525">
                            <a:solidFill>
                              <a:srgbClr val="000000"/>
                            </a:solidFill>
                            <a:miter lim="800000"/>
                            <a:headEnd/>
                            <a:tailEnd/>
                          </a:ln>
                        </wps:spPr>
                        <wps:txbx>
                          <w:txbxContent>
                            <w:p w14:paraId="3158C1E7" w14:textId="77777777" w:rsidR="00571B42" w:rsidRPr="00833E86" w:rsidRDefault="00571B42" w:rsidP="00662012">
                              <w:pPr>
                                <w:rPr>
                                  <w:sz w:val="20"/>
                                  <w:szCs w:val="20"/>
                                  <w:lang w:val="uk-UA"/>
                                </w:rPr>
                              </w:pPr>
                              <w:r>
                                <w:rPr>
                                  <w:sz w:val="20"/>
                                  <w:szCs w:val="20"/>
                                  <w:lang w:val="uk-UA"/>
                                </w:rPr>
                                <w:t>20</w:t>
                              </w:r>
                            </w:p>
                          </w:txbxContent>
                        </wps:txbx>
                        <wps:bodyPr rot="0" vert="horz" wrap="square" lIns="91440" tIns="45720" rIns="91440" bIns="45720" anchor="t" anchorCtr="0" upright="1">
                          <a:noAutofit/>
                        </wps:bodyPr>
                      </wps:wsp>
                      <wps:wsp>
                        <wps:cNvPr id="258017865" name="Rectangle 78"/>
                        <wps:cNvSpPr>
                          <a:spLocks noChangeArrowheads="1"/>
                        </wps:cNvSpPr>
                        <wps:spPr bwMode="auto">
                          <a:xfrm>
                            <a:off x="1560" y="3315"/>
                            <a:ext cx="510" cy="345"/>
                          </a:xfrm>
                          <a:prstGeom prst="rect">
                            <a:avLst/>
                          </a:prstGeom>
                          <a:solidFill>
                            <a:srgbClr val="FFFFFF"/>
                          </a:solidFill>
                          <a:ln w="9525">
                            <a:solidFill>
                              <a:srgbClr val="000000"/>
                            </a:solidFill>
                            <a:miter lim="800000"/>
                            <a:headEnd/>
                            <a:tailEnd/>
                          </a:ln>
                        </wps:spPr>
                        <wps:txbx>
                          <w:txbxContent>
                            <w:p w14:paraId="35138972" w14:textId="77777777" w:rsidR="00571B42" w:rsidRPr="00833E86" w:rsidRDefault="00571B42" w:rsidP="00662012">
                              <w:pPr>
                                <w:rPr>
                                  <w:sz w:val="20"/>
                                  <w:szCs w:val="20"/>
                                  <w:lang w:val="uk-UA"/>
                                </w:rPr>
                              </w:pPr>
                              <w:r>
                                <w:rPr>
                                  <w:sz w:val="20"/>
                                  <w:szCs w:val="20"/>
                                  <w:lang w:val="uk-UA"/>
                                </w:rPr>
                                <w:t>50</w:t>
                              </w:r>
                            </w:p>
                          </w:txbxContent>
                        </wps:txbx>
                        <wps:bodyPr rot="0" vert="horz" wrap="square" lIns="91440" tIns="45720" rIns="91440" bIns="45720" anchor="t" anchorCtr="0" upright="1">
                          <a:noAutofit/>
                        </wps:bodyPr>
                      </wps:wsp>
                      <wps:wsp>
                        <wps:cNvPr id="258017866" name="Rectangle 79"/>
                        <wps:cNvSpPr>
                          <a:spLocks noChangeArrowheads="1"/>
                        </wps:cNvSpPr>
                        <wps:spPr bwMode="auto">
                          <a:xfrm>
                            <a:off x="3945" y="3780"/>
                            <a:ext cx="510" cy="345"/>
                          </a:xfrm>
                          <a:prstGeom prst="rect">
                            <a:avLst/>
                          </a:prstGeom>
                          <a:solidFill>
                            <a:srgbClr val="FFFFFF"/>
                          </a:solidFill>
                          <a:ln w="9525">
                            <a:solidFill>
                              <a:srgbClr val="000000"/>
                            </a:solidFill>
                            <a:miter lim="800000"/>
                            <a:headEnd/>
                            <a:tailEnd/>
                          </a:ln>
                        </wps:spPr>
                        <wps:txbx>
                          <w:txbxContent>
                            <w:p w14:paraId="498C9BAD" w14:textId="77777777" w:rsidR="00571B42" w:rsidRPr="00833E86" w:rsidRDefault="00571B42" w:rsidP="00662012">
                              <w:pPr>
                                <w:rPr>
                                  <w:sz w:val="20"/>
                                  <w:szCs w:val="20"/>
                                  <w:lang w:val="uk-UA"/>
                                </w:rPr>
                              </w:pPr>
                              <w:r>
                                <w:rPr>
                                  <w:sz w:val="20"/>
                                  <w:szCs w:val="20"/>
                                  <w:lang w:val="uk-UA"/>
                                </w:rPr>
                                <w:t>50</w:t>
                              </w:r>
                            </w:p>
                          </w:txbxContent>
                        </wps:txbx>
                        <wps:bodyPr rot="0" vert="horz" wrap="square" lIns="91440" tIns="45720" rIns="91440" bIns="45720" anchor="t" anchorCtr="0" upright="1">
                          <a:noAutofit/>
                        </wps:bodyPr>
                      </wps:wsp>
                      <wps:wsp>
                        <wps:cNvPr id="258017867" name="Rectangle 80"/>
                        <wps:cNvSpPr>
                          <a:spLocks noChangeArrowheads="1"/>
                        </wps:cNvSpPr>
                        <wps:spPr bwMode="auto">
                          <a:xfrm>
                            <a:off x="2940" y="2865"/>
                            <a:ext cx="510" cy="345"/>
                          </a:xfrm>
                          <a:prstGeom prst="rect">
                            <a:avLst/>
                          </a:prstGeom>
                          <a:solidFill>
                            <a:srgbClr val="FFFFFF"/>
                          </a:solidFill>
                          <a:ln w="9525">
                            <a:solidFill>
                              <a:srgbClr val="000000"/>
                            </a:solidFill>
                            <a:miter lim="800000"/>
                            <a:headEnd/>
                            <a:tailEnd/>
                          </a:ln>
                        </wps:spPr>
                        <wps:txbx>
                          <w:txbxContent>
                            <w:p w14:paraId="323D1DB5" w14:textId="77777777" w:rsidR="00571B42" w:rsidRPr="00833E86" w:rsidRDefault="00571B42" w:rsidP="00662012">
                              <w:pPr>
                                <w:rPr>
                                  <w:sz w:val="20"/>
                                  <w:szCs w:val="20"/>
                                  <w:lang w:val="uk-UA"/>
                                </w:rPr>
                              </w:pPr>
                              <w:r>
                                <w:rPr>
                                  <w:sz w:val="20"/>
                                  <w:szCs w:val="20"/>
                                  <w:lang w:val="uk-UA"/>
                                </w:rPr>
                                <w:t>80</w:t>
                              </w:r>
                            </w:p>
                          </w:txbxContent>
                        </wps:txbx>
                        <wps:bodyPr rot="0" vert="horz" wrap="square" lIns="91440" tIns="45720" rIns="91440" bIns="45720" anchor="t" anchorCtr="0" upright="1">
                          <a:noAutofit/>
                        </wps:bodyPr>
                      </wps:wsp>
                      <wps:wsp>
                        <wps:cNvPr id="258017868" name="Rectangle 81"/>
                        <wps:cNvSpPr>
                          <a:spLocks noChangeArrowheads="1"/>
                        </wps:cNvSpPr>
                        <wps:spPr bwMode="auto">
                          <a:xfrm>
                            <a:off x="2925" y="1875"/>
                            <a:ext cx="615" cy="345"/>
                          </a:xfrm>
                          <a:prstGeom prst="rect">
                            <a:avLst/>
                          </a:prstGeom>
                          <a:solidFill>
                            <a:srgbClr val="FFFFFF"/>
                          </a:solidFill>
                          <a:ln w="9525">
                            <a:solidFill>
                              <a:srgbClr val="000000"/>
                            </a:solidFill>
                            <a:miter lim="800000"/>
                            <a:headEnd/>
                            <a:tailEnd/>
                          </a:ln>
                        </wps:spPr>
                        <wps:txbx>
                          <w:txbxContent>
                            <w:p w14:paraId="6DA964C5" w14:textId="77777777" w:rsidR="00571B42" w:rsidRPr="00833E86" w:rsidRDefault="00571B42" w:rsidP="00662012">
                              <w:pPr>
                                <w:rPr>
                                  <w:sz w:val="20"/>
                                  <w:szCs w:val="20"/>
                                  <w:lang w:val="uk-UA"/>
                                </w:rPr>
                              </w:pPr>
                              <w:r>
                                <w:rPr>
                                  <w:sz w:val="20"/>
                                  <w:szCs w:val="20"/>
                                  <w:lang w:val="uk-UA"/>
                                </w:rPr>
                                <w:t>120</w:t>
                              </w:r>
                            </w:p>
                          </w:txbxContent>
                        </wps:txbx>
                        <wps:bodyPr rot="0" vert="horz" wrap="square" lIns="91440" tIns="45720" rIns="91440" bIns="45720" anchor="t" anchorCtr="0" upright="1">
                          <a:noAutofit/>
                        </wps:bodyPr>
                      </wps:wsp>
                      <wps:wsp>
                        <wps:cNvPr id="258017869" name="Rectangle 82"/>
                        <wps:cNvSpPr>
                          <a:spLocks noChangeArrowheads="1"/>
                        </wps:cNvSpPr>
                        <wps:spPr bwMode="auto">
                          <a:xfrm>
                            <a:off x="4065" y="2025"/>
                            <a:ext cx="630" cy="345"/>
                          </a:xfrm>
                          <a:prstGeom prst="rect">
                            <a:avLst/>
                          </a:prstGeom>
                          <a:solidFill>
                            <a:srgbClr val="FFFFFF"/>
                          </a:solidFill>
                          <a:ln w="9525">
                            <a:solidFill>
                              <a:srgbClr val="000000"/>
                            </a:solidFill>
                            <a:miter lim="800000"/>
                            <a:headEnd/>
                            <a:tailEnd/>
                          </a:ln>
                        </wps:spPr>
                        <wps:txbx>
                          <w:txbxContent>
                            <w:p w14:paraId="168BC65D" w14:textId="77777777" w:rsidR="00571B42" w:rsidRPr="00833E86" w:rsidRDefault="00571B42" w:rsidP="00662012">
                              <w:pPr>
                                <w:rPr>
                                  <w:sz w:val="20"/>
                                  <w:szCs w:val="20"/>
                                  <w:lang w:val="uk-UA"/>
                                </w:rPr>
                              </w:pPr>
                              <w:r>
                                <w:rPr>
                                  <w:sz w:val="20"/>
                                  <w:szCs w:val="20"/>
                                  <w:lang w:val="uk-UA"/>
                                </w:rPr>
                                <w:t>100</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6629CB" id="Группа 1909726875" o:spid="_x0000_s1325" style="position:absolute;left:0;text-align:left;margin-left:.45pt;margin-top:.6pt;width:480.25pt;height:261.75pt;z-index:251693056;mso-position-horizontal-relative:text;mso-position-vertical-relative:text" coordorigin="1155,1125" coordsize="9605,4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">
                <v:roundrect id="AutoShape 34" o:spid="_x0000_s1326" style="position:absolute;left:4890;top:2862;width:2415;height:75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" strokeweight=".25pt">
                  <v:textbox>
                    <w:txbxContent>
                      <w:p w14:paraId="52860C5F" w14:textId="77777777" w:rsidR="00571B42" w:rsidRPr="00225325" w:rsidRDefault="00571B42" w:rsidP="00662012">
                        <w:pPr>
                          <w:jc w:val="center"/>
                          <w:rPr>
                            <w:lang w:val="uk-UA"/>
                          </w:rPr>
                        </w:pPr>
                        <w:r>
                          <w:rPr>
                            <w:lang w:val="uk-UA"/>
                          </w:rPr>
                          <w:t>Адміністративний центр</w:t>
                        </w:r>
                      </w:p>
                    </w:txbxContent>
                  </v:textbox>
                </v:roundrect>
                <v:roundrect id="AutoShape 35" o:spid="_x0000_s1327" style="position:absolute;left:3600;top:1125;width:124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" strokeweight=".25pt">
                  <v:textbox>
                    <w:txbxContent>
                      <w:p w14:paraId="7B95793E" w14:textId="77777777" w:rsidR="00571B42" w:rsidRPr="00225325" w:rsidRDefault="00571B42" w:rsidP="00662012">
                        <w:pPr>
                          <w:jc w:val="center"/>
                          <w:rPr>
                            <w:lang w:val="uk-UA"/>
                          </w:rPr>
                        </w:pPr>
                        <w:r>
                          <w:rPr>
                            <w:lang w:val="uk-UA"/>
                          </w:rPr>
                          <w:t>Об’єкт 5</w:t>
                        </w:r>
                      </w:p>
                    </w:txbxContent>
                  </v:textbox>
                </v:roundrect>
                <v:roundrect id="AutoShape 36" o:spid="_x0000_s1328" style="position:absolute;left:1155;top:1725;width:124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" strokeweight=".25pt">
                  <v:textbox>
                    <w:txbxContent>
                      <w:p w14:paraId="30592C78" w14:textId="77777777" w:rsidR="00571B42" w:rsidRPr="00225325" w:rsidRDefault="00571B42" w:rsidP="00662012">
                        <w:pPr>
                          <w:jc w:val="center"/>
                          <w:rPr>
                            <w:lang w:val="uk-UA"/>
                          </w:rPr>
                        </w:pPr>
                        <w:r>
                          <w:rPr>
                            <w:lang w:val="uk-UA"/>
                          </w:rPr>
                          <w:t>Об’єкт 4</w:t>
                        </w:r>
                      </w:p>
                    </w:txbxContent>
                  </v:textbox>
                </v:roundrect>
                <v:roundrect id="AutoShape 37" o:spid="_x0000_s1329" style="position:absolute;left:1155;top:2400;width:124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" strokeweight=".25pt">
                  <v:textbox>
                    <w:txbxContent>
                      <w:p w14:paraId="680BD5A0" w14:textId="77777777" w:rsidR="00571B42" w:rsidRPr="00225325" w:rsidRDefault="00571B42" w:rsidP="00662012">
                        <w:pPr>
                          <w:jc w:val="center"/>
                          <w:rPr>
                            <w:lang w:val="uk-UA"/>
                          </w:rPr>
                        </w:pPr>
                        <w:r>
                          <w:rPr>
                            <w:lang w:val="uk-UA"/>
                          </w:rPr>
                          <w:t>Об’єкт 3</w:t>
                        </w:r>
                      </w:p>
                    </w:txbxContent>
                  </v:textbox>
                </v:roundrect>
                <v:roundrect id="AutoShape 38" o:spid="_x0000_s1330" style="position:absolute;left:1875;top:4065;width:124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" strokeweight=".25pt">
                  <v:textbox>
                    <w:txbxContent>
                      <w:p w14:paraId="290F59C1" w14:textId="77777777" w:rsidR="00571B42" w:rsidRPr="00225325" w:rsidRDefault="00571B42" w:rsidP="00662012">
                        <w:pPr>
                          <w:jc w:val="center"/>
                          <w:rPr>
                            <w:lang w:val="uk-UA"/>
                          </w:rPr>
                        </w:pPr>
                        <w:r>
                          <w:rPr>
                            <w:lang w:val="uk-UA"/>
                          </w:rPr>
                          <w:t>Об’єкт 2</w:t>
                        </w:r>
                      </w:p>
                    </w:txbxContent>
                  </v:textbox>
                </v:roundrect>
                <v:roundrect id="AutoShape 39" o:spid="_x0000_s1331" style="position:absolute;left:3785;top:4919;width:124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" strokeweight=".25pt">
                  <v:textbox>
                    <w:txbxContent>
                      <w:p w14:paraId="4CF319E7" w14:textId="77777777" w:rsidR="00571B42" w:rsidRPr="00225325" w:rsidRDefault="00571B42" w:rsidP="00662012">
                        <w:pPr>
                          <w:jc w:val="center"/>
                          <w:rPr>
                            <w:lang w:val="uk-UA"/>
                          </w:rPr>
                        </w:pPr>
                        <w:r>
                          <w:rPr>
                            <w:lang w:val="uk-UA"/>
                          </w:rPr>
                          <w:t>Об’єкт 1</w:t>
                        </w:r>
                      </w:p>
                    </w:txbxContent>
                  </v:textbox>
                </v:roundrect>
                <v:roundrect id="AutoShape 40" o:spid="_x0000_s1332" style="position:absolute;left:6995;top:4904;width:140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" strokeweight=".25pt">
                  <v:textbox>
                    <w:txbxContent>
                      <w:p w14:paraId="25359620" w14:textId="77777777" w:rsidR="00571B42" w:rsidRPr="00225325" w:rsidRDefault="00571B42" w:rsidP="00662012">
                        <w:pPr>
                          <w:jc w:val="center"/>
                          <w:rPr>
                            <w:lang w:val="uk-UA"/>
                          </w:rPr>
                        </w:pPr>
                        <w:r>
                          <w:rPr>
                            <w:lang w:val="uk-UA"/>
                          </w:rPr>
                          <w:t>Об’єкт 11</w:t>
                        </w:r>
                      </w:p>
                    </w:txbxContent>
                  </v:textbox>
                </v:roundrect>
                <v:roundrect id="AutoShape 41" o:spid="_x0000_s1333" style="position:absolute;left:8765;top:4455;width:1360;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" strokeweight=".25pt">
                  <v:textbox>
                    <w:txbxContent>
                      <w:p w14:paraId="13CD0FFC" w14:textId="77777777" w:rsidR="00571B42" w:rsidRPr="00225325" w:rsidRDefault="00571B42" w:rsidP="00662012">
                        <w:pPr>
                          <w:jc w:val="center"/>
                          <w:rPr>
                            <w:lang w:val="uk-UA"/>
                          </w:rPr>
                        </w:pPr>
                        <w:r>
                          <w:rPr>
                            <w:lang w:val="uk-UA"/>
                          </w:rPr>
                          <w:t>Об’єкт 10</w:t>
                        </w:r>
                      </w:p>
                    </w:txbxContent>
                  </v:textbox>
                </v:roundrect>
                <v:roundrect id="AutoShape 42" o:spid="_x0000_s1334" style="position:absolute;left:8690;top:2805;width:124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" strokeweight=".25pt">
                  <v:textbox>
                    <w:txbxContent>
                      <w:p w14:paraId="3CEAFF87" w14:textId="77777777" w:rsidR="00571B42" w:rsidRPr="00225325" w:rsidRDefault="00571B42" w:rsidP="00662012">
                        <w:pPr>
                          <w:jc w:val="center"/>
                          <w:rPr>
                            <w:lang w:val="uk-UA"/>
                          </w:rPr>
                        </w:pPr>
                        <w:r>
                          <w:rPr>
                            <w:lang w:val="uk-UA"/>
                          </w:rPr>
                          <w:t>Об’єкт 9</w:t>
                        </w:r>
                      </w:p>
                    </w:txbxContent>
                  </v:textbox>
                </v:roundrect>
                <v:roundrect id="AutoShape 43" o:spid="_x0000_s1335" style="position:absolute;left:5495;top:2384;width:124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" strokeweight=".25pt">
                  <v:textbox>
                    <w:txbxContent>
                      <w:p w14:paraId="1E59B4BD" w14:textId="77777777" w:rsidR="00571B42" w:rsidRPr="00225325" w:rsidRDefault="00571B42" w:rsidP="00662012">
                        <w:pPr>
                          <w:jc w:val="center"/>
                          <w:rPr>
                            <w:lang w:val="uk-UA"/>
                          </w:rPr>
                        </w:pPr>
                        <w:r>
                          <w:rPr>
                            <w:lang w:val="uk-UA"/>
                          </w:rPr>
                          <w:t>Об’єкт 6</w:t>
                        </w:r>
                      </w:p>
                    </w:txbxContent>
                  </v:textbox>
                </v:roundrect>
                <v:roundrect id="AutoShape 44" o:spid="_x0000_s1336" style="position:absolute;left:9515;top:2159;width:124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" strokeweight=".25pt">
                  <v:textbox>
                    <w:txbxContent>
                      <w:p w14:paraId="72777034" w14:textId="77777777" w:rsidR="00571B42" w:rsidRPr="00225325" w:rsidRDefault="00571B42" w:rsidP="00662012">
                        <w:pPr>
                          <w:jc w:val="center"/>
                          <w:rPr>
                            <w:lang w:val="uk-UA"/>
                          </w:rPr>
                        </w:pPr>
                        <w:r>
                          <w:rPr>
                            <w:lang w:val="uk-UA"/>
                          </w:rPr>
                          <w:t>Об’єкт 8</w:t>
                        </w:r>
                      </w:p>
                    </w:txbxContent>
                  </v:textbox>
                </v:roundrect>
                <v:roundrect id="AutoShape 45" o:spid="_x0000_s1337" style="position:absolute;left:7460;top:1125;width:1245;height:4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" strokeweight=".25pt">
                  <v:textbox>
                    <w:txbxContent>
                      <w:p w14:paraId="6B1867E9" w14:textId="77777777" w:rsidR="00571B42" w:rsidRPr="00225325" w:rsidRDefault="00571B42" w:rsidP="00662012">
                        <w:pPr>
                          <w:jc w:val="center"/>
                          <w:rPr>
                            <w:lang w:val="uk-UA"/>
                          </w:rPr>
                        </w:pPr>
                        <w:r>
                          <w:rPr>
                            <w:lang w:val="uk-UA"/>
                          </w:rPr>
                          <w:t>Об’єкт 7</w:t>
                        </w:r>
                      </w:p>
                    </w:txbxContent>
                  </v:textbox>
                </v:roundrect>
                <v:rect id="Rectangle 46" o:spid="_x0000_s1338" style="position:absolute;left:2685;top:1200;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">
                  <v:textbox>
                    <w:txbxContent>
                      <w:p w14:paraId="22573A93" w14:textId="77777777" w:rsidR="00571B42" w:rsidRPr="00833E86" w:rsidRDefault="00571B42" w:rsidP="00662012">
                        <w:pPr>
                          <w:rPr>
                            <w:sz w:val="20"/>
                            <w:szCs w:val="20"/>
                            <w:lang w:val="uk-UA"/>
                          </w:rPr>
                        </w:pPr>
                        <w:r>
                          <w:rPr>
                            <w:sz w:val="20"/>
                            <w:szCs w:val="20"/>
                            <w:lang w:val="uk-UA"/>
                          </w:rPr>
                          <w:t>10</w:t>
                        </w:r>
                      </w:p>
                    </w:txbxContent>
                  </v:textbox>
                </v:rect>
                <v:shape id="AutoShape 47" o:spid="_x0000_s1339" type="#_x0000_t32" style="position:absolute;left:2415;top:1440;width:1155;height:30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">
                  <v:stroke endarrow="block"/>
                </v:shape>
                <v:shape id="AutoShape 48" o:spid="_x0000_s1340" type="#_x0000_t32" style="position:absolute;left:1770;top:2115;width:0;height:28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">
                  <v:stroke endarrow="block"/>
                </v:shape>
                <v:shape id="AutoShape 49" o:spid="_x0000_s1341" type="#_x0000_t32" style="position:absolute;left:1815;top:2805;width:615;height:126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">
                  <v:stroke endarrow="block"/>
                </v:shape>
                <v:shape id="AutoShape 50" o:spid="_x0000_s1342" type="#_x0000_t32" style="position:absolute;left:2595;top:4470;width:1190;height:52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">
                  <v:stroke endarrow="block"/>
                </v:shape>
                <v:shape id="AutoShape 51" o:spid="_x0000_s1343" type="#_x0000_t32" style="position:absolute;left:5030;top:5040;width:1965;height: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">
                  <v:stroke endarrow="block"/>
                </v:shape>
                <v:shape id="AutoShape 52" o:spid="_x0000_s1344" type="#_x0000_t32" style="position:absolute;left:9855;top:2564;width:660;height:186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">
                  <v:stroke endarrow="block"/>
                </v:shape>
                <v:shape id="AutoShape 53" o:spid="_x0000_s1345" type="#_x0000_t32" style="position:absolute;left:9210;top:3210;width:0;height:12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">
                  <v:stroke endarrow="block"/>
                </v:shape>
                <v:shape id="AutoShape 54" o:spid="_x0000_s1346" type="#_x0000_t32" style="position:absolute;left:8730;top:1395;width:1650;height:76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">
                  <v:stroke endarrow="block"/>
                </v:shape>
                <v:shape id="AutoShape 55" o:spid="_x0000_s1347" type="#_x0000_t32" style="position:absolute;left:4860;top:1320;width:26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">
                  <v:stroke startarrow="block" endarrow="block"/>
                </v:shape>
                <v:shape id="AutoShape 56" o:spid="_x0000_s1348" type="#_x0000_t32" style="position:absolute;left:6645;top:1545;width:915;height:8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">
                  <v:stroke startarrow="block" endarrow="block"/>
                </v:shape>
                <v:shape id="AutoShape 57" o:spid="_x0000_s1349" type="#_x0000_t32" style="position:absolute;left:7200;top:1530;width:975;height:133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">
                  <v:stroke startarrow="block" endarrow="block"/>
                </v:shape>
                <v:shape id="AutoShape 58" o:spid="_x0000_s1350" type="#_x0000_t32" style="position:absolute;left:7290;top:2325;width:2225;height:76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">
                  <v:stroke startarrow="block" endarrow="block"/>
                </v:shape>
                <v:shape id="AutoShape 59" o:spid="_x0000_s1351" type="#_x0000_t32" style="position:absolute;left:7290;top:3570;width:1545;height:90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">
                  <v:stroke startarrow="block" endarrow="block"/>
                </v:shape>
                <v:shape id="AutoShape 60" o:spid="_x0000_s1352" type="#_x0000_t32" style="position:absolute;left:6600;top:3612;width:885;height:129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">
                  <v:stroke startarrow="block" endarrow="block"/>
                </v:shape>
                <v:shape id="AutoShape 61" o:spid="_x0000_s1353" type="#_x0000_t32" style="position:absolute;left:4605;top:3612;width:960;height:132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">
                  <v:stroke startarrow="block" endarrow="block"/>
                </v:shape>
                <v:shape id="AutoShape 62" o:spid="_x0000_s1354" type="#_x0000_t32" style="position:absolute;left:3105;top:3450;width:1800;height:64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">
                  <v:stroke startarrow="block" endarrow="block"/>
                </v:shape>
                <v:shape id="AutoShape 63" o:spid="_x0000_s1355" type="#_x0000_t32" style="position:absolute;left:2400;top:2610;width:2490;height:61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">
                  <v:stroke startarrow="block" endarrow="block"/>
                </v:shape>
                <v:shape id="AutoShape 64" o:spid="_x0000_s1356" type="#_x0000_t32" style="position:absolute;left:2400;top:2025;width:2520;height:83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">
                  <v:stroke startarrow="block" endarrow="block"/>
                </v:shape>
                <v:shape id="AutoShape 65" o:spid="_x0000_s1357" type="#_x0000_t32" style="position:absolute;left:4380;top:1545;width:870;height:131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">
                  <v:stroke startarrow="block" endarrow="block"/>
                </v:shape>
                <v:rect id="Rectangle 66" o:spid="_x0000_s1358" style="position:absolute;left:5820;top:1320;width:645;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">
                  <v:textbox>
                    <w:txbxContent>
                      <w:p w14:paraId="076EE6A8" w14:textId="77777777" w:rsidR="00571B42" w:rsidRPr="00833E86" w:rsidRDefault="00571B42" w:rsidP="00662012">
                        <w:pPr>
                          <w:rPr>
                            <w:sz w:val="20"/>
                            <w:szCs w:val="20"/>
                            <w:lang w:val="uk-UA"/>
                          </w:rPr>
                        </w:pPr>
                        <w:r>
                          <w:rPr>
                            <w:sz w:val="20"/>
                            <w:szCs w:val="20"/>
                            <w:lang w:val="uk-UA"/>
                          </w:rPr>
                          <w:t>150</w:t>
                        </w:r>
                      </w:p>
                    </w:txbxContent>
                  </v:textbox>
                </v:rect>
                <v:rect id="Rectangle 67" o:spid="_x0000_s1359" style="position:absolute;left:6570;top:1665;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">
                  <v:textbox>
                    <w:txbxContent>
                      <w:p w14:paraId="449378EC" w14:textId="77777777" w:rsidR="00571B42" w:rsidRPr="00833E86" w:rsidRDefault="00571B42" w:rsidP="00662012">
                        <w:pPr>
                          <w:rPr>
                            <w:sz w:val="20"/>
                            <w:szCs w:val="20"/>
                            <w:lang w:val="uk-UA"/>
                          </w:rPr>
                        </w:pPr>
                        <w:r>
                          <w:rPr>
                            <w:sz w:val="20"/>
                            <w:szCs w:val="20"/>
                            <w:lang w:val="uk-UA"/>
                          </w:rPr>
                          <w:t>50</w:t>
                        </w:r>
                      </w:p>
                    </w:txbxContent>
                  </v:textbox>
                </v:rect>
                <v:rect id="Rectangle 68" o:spid="_x0000_s1360" style="position:absolute;left:9540;top:1425;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">
                  <v:textbox>
                    <w:txbxContent>
                      <w:p w14:paraId="6892D0EC" w14:textId="77777777" w:rsidR="00571B42" w:rsidRPr="00833E86" w:rsidRDefault="00571B42" w:rsidP="00662012">
                        <w:pPr>
                          <w:rPr>
                            <w:sz w:val="20"/>
                            <w:szCs w:val="20"/>
                            <w:lang w:val="uk-UA"/>
                          </w:rPr>
                        </w:pPr>
                        <w:r>
                          <w:rPr>
                            <w:sz w:val="20"/>
                            <w:szCs w:val="20"/>
                            <w:lang w:val="uk-UA"/>
                          </w:rPr>
                          <w:t>10</w:t>
                        </w:r>
                      </w:p>
                    </w:txbxContent>
                  </v:textbox>
                </v:rect>
                <v:rect id="Rectangle 69" o:spid="_x0000_s1361" style="position:absolute;left:7695;top:2130;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">
                  <v:textbox>
                    <w:txbxContent>
                      <w:p w14:paraId="6365C9BF" w14:textId="77777777" w:rsidR="00571B42" w:rsidRPr="00833E86" w:rsidRDefault="00571B42" w:rsidP="00662012">
                        <w:pPr>
                          <w:rPr>
                            <w:sz w:val="20"/>
                            <w:szCs w:val="20"/>
                            <w:lang w:val="uk-UA"/>
                          </w:rPr>
                        </w:pPr>
                        <w:r>
                          <w:rPr>
                            <w:sz w:val="20"/>
                            <w:szCs w:val="20"/>
                            <w:lang w:val="uk-UA"/>
                          </w:rPr>
                          <w:t>50</w:t>
                        </w:r>
                      </w:p>
                    </w:txbxContent>
                  </v:textbox>
                </v:rect>
                <v:rect id="Rectangle 70" o:spid="_x0000_s1362" style="position:absolute;left:8690;top:2115;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">
                  <v:textbox>
                    <w:txbxContent>
                      <w:p w14:paraId="52F98053" w14:textId="77777777" w:rsidR="00571B42" w:rsidRPr="00833E86" w:rsidRDefault="00571B42" w:rsidP="00662012">
                        <w:pPr>
                          <w:rPr>
                            <w:sz w:val="20"/>
                            <w:szCs w:val="20"/>
                            <w:lang w:val="uk-UA"/>
                          </w:rPr>
                        </w:pPr>
                        <w:r>
                          <w:rPr>
                            <w:sz w:val="20"/>
                            <w:szCs w:val="20"/>
                            <w:lang w:val="uk-UA"/>
                          </w:rPr>
                          <w:t>70</w:t>
                        </w:r>
                      </w:p>
                    </w:txbxContent>
                  </v:textbox>
                </v:rect>
                <v:rect id="Rectangle 71" o:spid="_x0000_s1363" style="position:absolute;left:10155;top:3555;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">
                  <v:textbox>
                    <w:txbxContent>
                      <w:p w14:paraId="48BCC51F" w14:textId="77777777" w:rsidR="00571B42" w:rsidRPr="00833E86" w:rsidRDefault="00571B42" w:rsidP="00662012">
                        <w:pPr>
                          <w:rPr>
                            <w:sz w:val="20"/>
                            <w:szCs w:val="20"/>
                            <w:lang w:val="uk-UA"/>
                          </w:rPr>
                        </w:pPr>
                        <w:r>
                          <w:rPr>
                            <w:sz w:val="20"/>
                            <w:szCs w:val="20"/>
                            <w:lang w:val="uk-UA"/>
                          </w:rPr>
                          <w:t>60</w:t>
                        </w:r>
                      </w:p>
                    </w:txbxContent>
                  </v:textbox>
                </v:rect>
                <v:rect id="Rectangle 72" o:spid="_x0000_s1364" style="position:absolute;left:9240;top:3495;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">
                  <v:textbox>
                    <w:txbxContent>
                      <w:p w14:paraId="0CE30F5B" w14:textId="77777777" w:rsidR="00571B42" w:rsidRPr="00833E86" w:rsidRDefault="00571B42" w:rsidP="00662012">
                        <w:pPr>
                          <w:rPr>
                            <w:sz w:val="20"/>
                            <w:szCs w:val="20"/>
                            <w:lang w:val="uk-UA"/>
                          </w:rPr>
                        </w:pPr>
                        <w:r>
                          <w:rPr>
                            <w:sz w:val="20"/>
                            <w:szCs w:val="20"/>
                            <w:lang w:val="uk-UA"/>
                          </w:rPr>
                          <w:t>30</w:t>
                        </w:r>
                      </w:p>
                    </w:txbxContent>
                  </v:textbox>
                </v:rect>
                <v:rect id="Rectangle 73" o:spid="_x0000_s1365" style="position:absolute;left:7995;top:3645;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">
                  <v:textbox>
                    <w:txbxContent>
                      <w:p w14:paraId="7DD0C868" w14:textId="77777777" w:rsidR="00571B42" w:rsidRPr="00833E86" w:rsidRDefault="00571B42" w:rsidP="00662012">
                        <w:pPr>
                          <w:rPr>
                            <w:sz w:val="20"/>
                            <w:szCs w:val="20"/>
                            <w:lang w:val="uk-UA"/>
                          </w:rPr>
                        </w:pPr>
                        <w:r>
                          <w:rPr>
                            <w:sz w:val="20"/>
                            <w:szCs w:val="20"/>
                            <w:lang w:val="uk-UA"/>
                          </w:rPr>
                          <w:t>50</w:t>
                        </w:r>
                      </w:p>
                    </w:txbxContent>
                  </v:textbox>
                </v:rect>
                <v:rect id="Rectangle 74" o:spid="_x0000_s1366" style="position:absolute;left:7170;top:4125;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">
                  <v:textbox>
                    <w:txbxContent>
                      <w:p w14:paraId="4DA54061" w14:textId="77777777" w:rsidR="00571B42" w:rsidRPr="00833E86" w:rsidRDefault="00571B42" w:rsidP="00662012">
                        <w:pPr>
                          <w:rPr>
                            <w:sz w:val="20"/>
                            <w:szCs w:val="20"/>
                            <w:lang w:val="uk-UA"/>
                          </w:rPr>
                        </w:pPr>
                        <w:r>
                          <w:rPr>
                            <w:sz w:val="20"/>
                            <w:szCs w:val="20"/>
                            <w:lang w:val="uk-UA"/>
                          </w:rPr>
                          <w:t>40</w:t>
                        </w:r>
                      </w:p>
                    </w:txbxContent>
                  </v:textbox>
                </v:rect>
                <v:rect id="Rectangle 75" o:spid="_x0000_s1367" style="position:absolute;left:5820;top:4665;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">
                  <v:textbox>
                    <w:txbxContent>
                      <w:p w14:paraId="57A3BA27" w14:textId="77777777" w:rsidR="00571B42" w:rsidRPr="00833E86" w:rsidRDefault="00571B42" w:rsidP="00662012">
                        <w:pPr>
                          <w:rPr>
                            <w:sz w:val="20"/>
                            <w:szCs w:val="20"/>
                            <w:lang w:val="uk-UA"/>
                          </w:rPr>
                        </w:pPr>
                        <w:r>
                          <w:rPr>
                            <w:sz w:val="20"/>
                            <w:szCs w:val="20"/>
                            <w:lang w:val="uk-UA"/>
                          </w:rPr>
                          <w:t>80</w:t>
                        </w:r>
                      </w:p>
                    </w:txbxContent>
                  </v:textbox>
                </v:rect>
                <v:rect id="Rectangle 76" o:spid="_x0000_s1368" style="position:absolute;left:5130;top:4155;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">
                  <v:textbox>
                    <w:txbxContent>
                      <w:p w14:paraId="3F29601B" w14:textId="77777777" w:rsidR="00571B42" w:rsidRPr="00833E86" w:rsidRDefault="00571B42" w:rsidP="00662012">
                        <w:pPr>
                          <w:rPr>
                            <w:sz w:val="20"/>
                            <w:szCs w:val="20"/>
                            <w:lang w:val="uk-UA"/>
                          </w:rPr>
                        </w:pPr>
                        <w:r>
                          <w:rPr>
                            <w:sz w:val="20"/>
                            <w:szCs w:val="20"/>
                            <w:lang w:val="uk-UA"/>
                          </w:rPr>
                          <w:t>70</w:t>
                        </w:r>
                      </w:p>
                    </w:txbxContent>
                  </v:textbox>
                </v:rect>
                <v:rect id="Rectangle 77" o:spid="_x0000_s1369" style="position:absolute;left:3255;top:4440;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">
                  <v:textbox>
                    <w:txbxContent>
                      <w:p w14:paraId="3158C1E7" w14:textId="77777777" w:rsidR="00571B42" w:rsidRPr="00833E86" w:rsidRDefault="00571B42" w:rsidP="00662012">
                        <w:pPr>
                          <w:rPr>
                            <w:sz w:val="20"/>
                            <w:szCs w:val="20"/>
                            <w:lang w:val="uk-UA"/>
                          </w:rPr>
                        </w:pPr>
                        <w:r>
                          <w:rPr>
                            <w:sz w:val="20"/>
                            <w:szCs w:val="20"/>
                            <w:lang w:val="uk-UA"/>
                          </w:rPr>
                          <w:t>20</w:t>
                        </w:r>
                      </w:p>
                    </w:txbxContent>
                  </v:textbox>
                </v:rect>
                <v:rect id="Rectangle 78" o:spid="_x0000_s1370" style="position:absolute;left:1560;top:3315;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">
                  <v:textbox>
                    <w:txbxContent>
                      <w:p w14:paraId="35138972" w14:textId="77777777" w:rsidR="00571B42" w:rsidRPr="00833E86" w:rsidRDefault="00571B42" w:rsidP="00662012">
                        <w:pPr>
                          <w:rPr>
                            <w:sz w:val="20"/>
                            <w:szCs w:val="20"/>
                            <w:lang w:val="uk-UA"/>
                          </w:rPr>
                        </w:pPr>
                        <w:r>
                          <w:rPr>
                            <w:sz w:val="20"/>
                            <w:szCs w:val="20"/>
                            <w:lang w:val="uk-UA"/>
                          </w:rPr>
                          <w:t>50</w:t>
                        </w:r>
                      </w:p>
                    </w:txbxContent>
                  </v:textbox>
                </v:rect>
                <v:rect id="Rectangle 79" o:spid="_x0000_s1371" style="position:absolute;left:3945;top:3780;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">
                  <v:textbox>
                    <w:txbxContent>
                      <w:p w14:paraId="498C9BAD" w14:textId="77777777" w:rsidR="00571B42" w:rsidRPr="00833E86" w:rsidRDefault="00571B42" w:rsidP="00662012">
                        <w:pPr>
                          <w:rPr>
                            <w:sz w:val="20"/>
                            <w:szCs w:val="20"/>
                            <w:lang w:val="uk-UA"/>
                          </w:rPr>
                        </w:pPr>
                        <w:r>
                          <w:rPr>
                            <w:sz w:val="20"/>
                            <w:szCs w:val="20"/>
                            <w:lang w:val="uk-UA"/>
                          </w:rPr>
                          <w:t>50</w:t>
                        </w:r>
                      </w:p>
                    </w:txbxContent>
                  </v:textbox>
                </v:rect>
                <v:rect id="Rectangle 80" o:spid="_x0000_s1372" style="position:absolute;left:2940;top:2865;width:51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">
                  <v:textbox>
                    <w:txbxContent>
                      <w:p w14:paraId="323D1DB5" w14:textId="77777777" w:rsidR="00571B42" w:rsidRPr="00833E86" w:rsidRDefault="00571B42" w:rsidP="00662012">
                        <w:pPr>
                          <w:rPr>
                            <w:sz w:val="20"/>
                            <w:szCs w:val="20"/>
                            <w:lang w:val="uk-UA"/>
                          </w:rPr>
                        </w:pPr>
                        <w:r>
                          <w:rPr>
                            <w:sz w:val="20"/>
                            <w:szCs w:val="20"/>
                            <w:lang w:val="uk-UA"/>
                          </w:rPr>
                          <w:t>80</w:t>
                        </w:r>
                      </w:p>
                    </w:txbxContent>
                  </v:textbox>
                </v:rect>
                <v:rect id="Rectangle 81" o:spid="_x0000_s1373" style="position:absolute;left:2925;top:1875;width:615;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">
                  <v:textbox>
                    <w:txbxContent>
                      <w:p w14:paraId="6DA964C5" w14:textId="77777777" w:rsidR="00571B42" w:rsidRPr="00833E86" w:rsidRDefault="00571B42" w:rsidP="00662012">
                        <w:pPr>
                          <w:rPr>
                            <w:sz w:val="20"/>
                            <w:szCs w:val="20"/>
                            <w:lang w:val="uk-UA"/>
                          </w:rPr>
                        </w:pPr>
                        <w:r>
                          <w:rPr>
                            <w:sz w:val="20"/>
                            <w:szCs w:val="20"/>
                            <w:lang w:val="uk-UA"/>
                          </w:rPr>
                          <w:t>120</w:t>
                        </w:r>
                      </w:p>
                    </w:txbxContent>
                  </v:textbox>
                </v:rect>
                <v:rect id="Rectangle 82" o:spid="_x0000_s1374" style="position:absolute;left:4065;top:2025;width:630;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">
                  <v:textbox>
                    <w:txbxContent>
                      <w:p w14:paraId="168BC65D" w14:textId="77777777" w:rsidR="00571B42" w:rsidRPr="00833E86" w:rsidRDefault="00571B42" w:rsidP="00662012">
                        <w:pPr>
                          <w:rPr>
                            <w:sz w:val="20"/>
                            <w:szCs w:val="20"/>
                            <w:lang w:val="uk-UA"/>
                          </w:rPr>
                        </w:pPr>
                        <w:r>
                          <w:rPr>
                            <w:sz w:val="20"/>
                            <w:szCs w:val="20"/>
                            <w:lang w:val="uk-UA"/>
                          </w:rPr>
                          <w:t>100</w:t>
                        </w:r>
                      </w:p>
                    </w:txbxContent>
                  </v:textbox>
                </v:rect>
              </v:group>
            </w:pict>
          </mc:Fallback>
        </mc:AlternateContent>
      </w:r>
    </w:p>
    <w:p w14:paraId="01DFD560" w14:textId="2B59EF0B" w:rsidR="00662012" w:rsidRPr="005F0419" w:rsidRDefault="00662012" w:rsidP="00662012">
      <w:pPr>
        <w:pStyle w:val="Default"/>
        <w:suppressAutoHyphens/>
        <w:spacing w:line="360" w:lineRule="auto"/>
        <w:ind w:firstLine="720"/>
        <w:jc w:val="both"/>
        <w:rPr>
          <w:color w:val="auto"/>
          <w:sz w:val="28"/>
          <w:szCs w:val="28"/>
          <w:lang w:val="uk-UA"/>
        </w:rPr>
      </w:pPr>
    </w:p>
    <w:p w14:paraId="03096D9D" w14:textId="77777777" w:rsidR="00662012" w:rsidRPr="005F0419" w:rsidRDefault="00662012" w:rsidP="00662012">
      <w:pPr>
        <w:pStyle w:val="Default"/>
        <w:suppressAutoHyphens/>
        <w:spacing w:line="360" w:lineRule="auto"/>
        <w:ind w:firstLine="720"/>
        <w:jc w:val="both"/>
        <w:rPr>
          <w:color w:val="auto"/>
          <w:sz w:val="28"/>
          <w:szCs w:val="28"/>
          <w:lang w:val="uk-UA"/>
        </w:rPr>
      </w:pPr>
    </w:p>
    <w:p w14:paraId="1BBEDA2F" w14:textId="77777777" w:rsidR="00662012" w:rsidRPr="005F0419" w:rsidRDefault="00662012" w:rsidP="00662012">
      <w:pPr>
        <w:pStyle w:val="Default"/>
        <w:suppressAutoHyphens/>
        <w:spacing w:line="360" w:lineRule="auto"/>
        <w:ind w:firstLine="720"/>
        <w:jc w:val="both"/>
        <w:rPr>
          <w:color w:val="auto"/>
          <w:sz w:val="28"/>
          <w:szCs w:val="28"/>
          <w:lang w:val="uk-UA"/>
        </w:rPr>
      </w:pPr>
    </w:p>
    <w:p w14:paraId="03C505C1" w14:textId="77777777" w:rsidR="00662012" w:rsidRPr="005F0419" w:rsidRDefault="00662012" w:rsidP="00662012">
      <w:pPr>
        <w:pStyle w:val="Default"/>
        <w:suppressAutoHyphens/>
        <w:spacing w:line="360" w:lineRule="auto"/>
        <w:ind w:firstLine="720"/>
        <w:jc w:val="both"/>
        <w:rPr>
          <w:color w:val="auto"/>
          <w:sz w:val="28"/>
          <w:szCs w:val="28"/>
          <w:lang w:val="uk-UA"/>
        </w:rPr>
      </w:pPr>
    </w:p>
    <w:p w14:paraId="387A704A" w14:textId="77777777" w:rsidR="00662012" w:rsidRPr="005F0419" w:rsidRDefault="00662012" w:rsidP="00662012">
      <w:pPr>
        <w:pStyle w:val="Default"/>
        <w:suppressAutoHyphens/>
        <w:spacing w:line="360" w:lineRule="auto"/>
        <w:ind w:firstLine="720"/>
        <w:jc w:val="both"/>
        <w:rPr>
          <w:color w:val="auto"/>
          <w:sz w:val="28"/>
          <w:szCs w:val="28"/>
          <w:lang w:val="uk-UA"/>
        </w:rPr>
      </w:pPr>
    </w:p>
    <w:p w14:paraId="4C32A30B" w14:textId="77777777" w:rsidR="00662012" w:rsidRPr="005F0419" w:rsidRDefault="00662012" w:rsidP="00662012">
      <w:pPr>
        <w:pStyle w:val="Default"/>
        <w:tabs>
          <w:tab w:val="left" w:pos="2445"/>
        </w:tabs>
        <w:suppressAutoHyphens/>
        <w:spacing w:line="360" w:lineRule="auto"/>
        <w:ind w:firstLine="720"/>
        <w:jc w:val="both"/>
        <w:rPr>
          <w:color w:val="auto"/>
          <w:sz w:val="28"/>
          <w:szCs w:val="28"/>
          <w:lang w:val="uk-UA"/>
        </w:rPr>
      </w:pPr>
      <w:r w:rsidRPr="005F0419">
        <w:rPr>
          <w:color w:val="auto"/>
          <w:sz w:val="28"/>
          <w:szCs w:val="28"/>
          <w:lang w:val="uk-UA"/>
        </w:rPr>
        <w:tab/>
      </w:r>
    </w:p>
    <w:p w14:paraId="4DA5C6DF" w14:textId="77777777" w:rsidR="00662012" w:rsidRPr="005F0419" w:rsidRDefault="00662012" w:rsidP="00662012">
      <w:pPr>
        <w:pStyle w:val="Default"/>
        <w:suppressAutoHyphens/>
        <w:spacing w:line="360" w:lineRule="auto"/>
        <w:ind w:firstLine="720"/>
        <w:jc w:val="both"/>
        <w:rPr>
          <w:color w:val="auto"/>
          <w:sz w:val="28"/>
          <w:szCs w:val="28"/>
          <w:lang w:val="uk-UA"/>
        </w:rPr>
      </w:pPr>
    </w:p>
    <w:p w14:paraId="6BCB25BC" w14:textId="77777777" w:rsidR="00662012" w:rsidRPr="005F0419" w:rsidRDefault="00662012" w:rsidP="00662012">
      <w:pPr>
        <w:pStyle w:val="Default"/>
        <w:suppressAutoHyphens/>
        <w:spacing w:line="360" w:lineRule="auto"/>
        <w:ind w:firstLine="720"/>
        <w:jc w:val="both"/>
        <w:rPr>
          <w:color w:val="auto"/>
          <w:sz w:val="28"/>
          <w:szCs w:val="28"/>
          <w:lang w:val="uk-UA"/>
        </w:rPr>
      </w:pPr>
    </w:p>
    <w:p w14:paraId="6B739D7F" w14:textId="77777777" w:rsidR="00662012" w:rsidRPr="005F0419" w:rsidRDefault="00662012" w:rsidP="00662012">
      <w:pPr>
        <w:pStyle w:val="Default"/>
        <w:suppressAutoHyphens/>
        <w:spacing w:line="360" w:lineRule="auto"/>
        <w:ind w:firstLine="720"/>
        <w:jc w:val="both"/>
        <w:rPr>
          <w:color w:val="auto"/>
          <w:sz w:val="28"/>
          <w:szCs w:val="28"/>
          <w:lang w:val="uk-UA"/>
        </w:rPr>
      </w:pPr>
    </w:p>
    <w:p w14:paraId="55FBEC14" w14:textId="77777777" w:rsidR="00662012" w:rsidRPr="005F0419" w:rsidRDefault="00662012" w:rsidP="00662012">
      <w:pPr>
        <w:pStyle w:val="Default"/>
        <w:suppressAutoHyphens/>
        <w:spacing w:line="360" w:lineRule="auto"/>
        <w:ind w:firstLine="720"/>
        <w:jc w:val="both"/>
        <w:rPr>
          <w:color w:val="auto"/>
          <w:sz w:val="28"/>
          <w:szCs w:val="28"/>
          <w:lang w:val="uk-UA"/>
        </w:rPr>
      </w:pPr>
    </w:p>
    <w:p w14:paraId="3C9C8F7C" w14:textId="77777777" w:rsidR="00662012" w:rsidRPr="005F0419" w:rsidRDefault="00662012" w:rsidP="00662012">
      <w:pPr>
        <w:pStyle w:val="Default"/>
        <w:suppressAutoHyphens/>
        <w:spacing w:line="360" w:lineRule="auto"/>
        <w:ind w:firstLine="720"/>
        <w:jc w:val="center"/>
        <w:rPr>
          <w:color w:val="auto"/>
          <w:sz w:val="28"/>
          <w:szCs w:val="28"/>
          <w:lang w:val="uk-UA"/>
        </w:rPr>
      </w:pPr>
      <w:r w:rsidRPr="005F0419">
        <w:rPr>
          <w:color w:val="auto"/>
          <w:sz w:val="28"/>
          <w:szCs w:val="28"/>
          <w:lang w:val="uk-UA"/>
        </w:rPr>
        <w:t>Рис. 2.</w:t>
      </w:r>
      <w:r w:rsidRPr="005F0419">
        <w:rPr>
          <w:b/>
          <w:color w:val="auto"/>
          <w:sz w:val="28"/>
          <w:szCs w:val="28"/>
          <w:lang w:val="uk-UA"/>
        </w:rPr>
        <w:t xml:space="preserve"> </w:t>
      </w:r>
      <w:r w:rsidRPr="005F0419">
        <w:rPr>
          <w:color w:val="auto"/>
          <w:sz w:val="28"/>
          <w:szCs w:val="28"/>
          <w:lang w:val="uk-UA"/>
        </w:rPr>
        <w:t>Графік розміщення туристичних (історико-культурних) об’єктів в адміністративних центрах локально-регіональної системи країни</w:t>
      </w:r>
    </w:p>
    <w:p w14:paraId="5D39682E" w14:textId="1E544FA6" w:rsidR="00662012" w:rsidRPr="005F0419" w:rsidRDefault="00662012" w:rsidP="00662012">
      <w:pPr>
        <w:pStyle w:val="Default"/>
        <w:suppressAutoHyphens/>
        <w:spacing w:line="360" w:lineRule="auto"/>
        <w:ind w:firstLine="720"/>
        <w:jc w:val="both"/>
        <w:rPr>
          <w:color w:val="auto"/>
          <w:sz w:val="28"/>
          <w:szCs w:val="28"/>
          <w:lang w:val="uk-UA"/>
        </w:rPr>
      </w:pPr>
      <w:r w:rsidRPr="005F0419">
        <w:rPr>
          <w:color w:val="auto"/>
          <w:sz w:val="28"/>
          <w:szCs w:val="28"/>
          <w:lang w:val="uk-UA"/>
        </w:rPr>
        <w:t>Джерело: побудовано автором</w:t>
      </w:r>
      <w:r w:rsidR="002279C5" w:rsidRPr="005F0419">
        <w:rPr>
          <w:color w:val="auto"/>
          <w:sz w:val="28"/>
          <w:szCs w:val="28"/>
          <w:lang w:val="uk-UA"/>
        </w:rPr>
        <w:t>.</w:t>
      </w:r>
    </w:p>
    <w:p w14:paraId="7E5E8845" w14:textId="77777777" w:rsidR="00662012" w:rsidRPr="005F0419" w:rsidRDefault="00662012" w:rsidP="00662012">
      <w:pPr>
        <w:pStyle w:val="Default"/>
        <w:suppressAutoHyphens/>
        <w:spacing w:line="360" w:lineRule="auto"/>
        <w:ind w:firstLine="720"/>
        <w:jc w:val="both"/>
        <w:rPr>
          <w:color w:val="auto"/>
          <w:sz w:val="28"/>
          <w:szCs w:val="28"/>
          <w:lang w:val="uk-UA"/>
        </w:rPr>
      </w:pPr>
    </w:p>
    <w:p w14:paraId="0B9EBDEC" w14:textId="77777777" w:rsidR="00662012" w:rsidRPr="005F0419" w:rsidRDefault="00662012" w:rsidP="00662012">
      <w:pPr>
        <w:pStyle w:val="Default"/>
        <w:suppressAutoHyphens/>
        <w:spacing w:line="360" w:lineRule="auto"/>
        <w:ind w:firstLine="720"/>
        <w:jc w:val="both"/>
        <w:rPr>
          <w:color w:val="auto"/>
          <w:sz w:val="28"/>
          <w:szCs w:val="28"/>
          <w:lang w:val="uk-UA"/>
        </w:rPr>
      </w:pPr>
      <w:r w:rsidRPr="005F0419">
        <w:rPr>
          <w:color w:val="auto"/>
          <w:sz w:val="28"/>
          <w:szCs w:val="28"/>
          <w:lang w:val="uk-UA"/>
        </w:rPr>
        <w:t>Двосторонніми стрілками зображені маршрути доступу (як – до так і від об’єкту), односторонніми – вказаний маршрут тільки шляхом відвідування попереднього об’єкту. Формула (2) коригується та визначається інтегральний рівень потенціалу історико-культурних об’єктів далі за формулою (3) [31]:</w:t>
      </w:r>
    </w:p>
    <w:p w14:paraId="63E8CE24" w14:textId="77777777" w:rsidR="00662012" w:rsidRPr="005F0419" w:rsidRDefault="00662012" w:rsidP="00662012">
      <w:pPr>
        <w:pStyle w:val="Default"/>
        <w:suppressAutoHyphens/>
        <w:spacing w:line="360" w:lineRule="auto"/>
        <w:ind w:firstLine="720"/>
        <w:jc w:val="both"/>
        <w:rPr>
          <w:color w:val="auto"/>
          <w:sz w:val="28"/>
          <w:szCs w:val="28"/>
          <w:lang w:val="uk-UA"/>
        </w:rPr>
      </w:pPr>
      <w:r w:rsidRPr="005F0419">
        <w:rPr>
          <w:noProof/>
          <w:color w:val="auto"/>
          <w:position w:val="-10"/>
          <w:sz w:val="28"/>
          <w:szCs w:val="28"/>
          <w:lang w:val="uk-UA"/>
        </w:rPr>
        <w:object w:dxaOrig="2620" w:dyaOrig="300" w14:anchorId="5877263B">
          <v:shape id="_x0000_i1048" type="#_x0000_t75" style="width:119.25pt;height:15pt" o:ole="">
            <v:imagedata r:id="rId295" o:title=""/>
          </v:shape>
          <o:OLEObject Type="Embed" ProgID="Equation.3" ShapeID="_x0000_i1048" DrawAspect="Content" ObjectID="_1773432110" r:id="rId296"/>
        </w:object>
      </w:r>
      <w:r w:rsidRPr="005F0419">
        <w:rPr>
          <w:color w:val="auto"/>
          <w:sz w:val="28"/>
          <w:szCs w:val="28"/>
          <w:lang w:val="uk-UA"/>
        </w:rPr>
        <w:t>,</w:t>
      </w:r>
      <w:r w:rsidRPr="005F0419">
        <w:rPr>
          <w:i/>
          <w:color w:val="auto"/>
          <w:sz w:val="28"/>
          <w:szCs w:val="28"/>
          <w:lang w:val="uk-UA"/>
        </w:rPr>
        <w:t xml:space="preserve"> </w:t>
      </w:r>
      <w:r w:rsidRPr="005F0419">
        <w:rPr>
          <w:color w:val="auto"/>
          <w:sz w:val="28"/>
          <w:szCs w:val="28"/>
          <w:lang w:val="uk-UA"/>
        </w:rPr>
        <w:t xml:space="preserve">                                                                                      (3)</w:t>
      </w:r>
    </w:p>
    <w:p w14:paraId="753918E3" w14:textId="77777777" w:rsidR="00662012" w:rsidRPr="005F0419" w:rsidRDefault="00662012" w:rsidP="00662012">
      <w:pPr>
        <w:pStyle w:val="Default"/>
        <w:suppressAutoHyphens/>
        <w:spacing w:line="360" w:lineRule="auto"/>
        <w:ind w:firstLine="720"/>
        <w:jc w:val="both"/>
        <w:rPr>
          <w:rFonts w:eastAsia="Times New Roman"/>
          <w:color w:val="auto"/>
          <w:sz w:val="28"/>
          <w:szCs w:val="28"/>
          <w:lang w:val="uk-UA"/>
        </w:rPr>
      </w:pPr>
      <w:r w:rsidRPr="005F0419">
        <w:rPr>
          <w:color w:val="auto"/>
          <w:sz w:val="28"/>
          <w:szCs w:val="28"/>
          <w:lang w:val="uk-UA"/>
        </w:rPr>
        <w:t xml:space="preserve">де </w:t>
      </w:r>
      <w:r w:rsidRPr="005F0419">
        <w:rPr>
          <w:noProof/>
          <w:color w:val="auto"/>
          <w:position w:val="-10"/>
          <w:sz w:val="28"/>
          <w:szCs w:val="28"/>
          <w:lang w:val="uk-UA"/>
        </w:rPr>
        <w:object w:dxaOrig="320" w:dyaOrig="340" w14:anchorId="6E027BE6">
          <v:shape id="_x0000_i1049" type="#_x0000_t75" style="width:15.75pt;height:17.25pt" o:ole="">
            <v:imagedata r:id="rId297" o:title=""/>
          </v:shape>
          <o:OLEObject Type="Embed" ProgID="Equation.3" ShapeID="_x0000_i1049" DrawAspect="Content" ObjectID="_1773432111" r:id="rId298"/>
        </w:object>
      </w:r>
      <w:r w:rsidRPr="005F0419">
        <w:rPr>
          <w:color w:val="auto"/>
          <w:sz w:val="28"/>
          <w:szCs w:val="28"/>
          <w:lang w:val="uk-UA"/>
        </w:rPr>
        <w:t xml:space="preserve">– </w:t>
      </w:r>
      <w:r w:rsidRPr="005F0419">
        <w:rPr>
          <w:rFonts w:eastAsia="Times New Roman"/>
          <w:color w:val="auto"/>
          <w:sz w:val="28"/>
          <w:szCs w:val="28"/>
          <w:lang w:val="uk-UA"/>
        </w:rPr>
        <w:t xml:space="preserve">пам’ятки архітектури; </w:t>
      </w:r>
      <w:r w:rsidRPr="005F0419">
        <w:rPr>
          <w:noProof/>
          <w:color w:val="auto"/>
          <w:position w:val="-10"/>
          <w:sz w:val="28"/>
          <w:szCs w:val="28"/>
          <w:lang w:val="uk-UA"/>
        </w:rPr>
        <w:object w:dxaOrig="360" w:dyaOrig="340" w14:anchorId="705817EB">
          <v:shape id="_x0000_i1050" type="#_x0000_t75" style="width:18.75pt;height:17.25pt" o:ole="">
            <v:imagedata r:id="rId299" o:title=""/>
          </v:shape>
          <o:OLEObject Type="Embed" ProgID="Equation.3" ShapeID="_x0000_i1050" DrawAspect="Content" ObjectID="_1773432112" r:id="rId300"/>
        </w:object>
      </w:r>
      <w:r w:rsidRPr="005F0419">
        <w:rPr>
          <w:color w:val="auto"/>
          <w:sz w:val="28"/>
          <w:szCs w:val="28"/>
          <w:lang w:val="uk-UA"/>
        </w:rPr>
        <w:t xml:space="preserve">– </w:t>
      </w:r>
      <w:r w:rsidRPr="005F0419">
        <w:rPr>
          <w:rFonts w:eastAsia="Times New Roman"/>
          <w:color w:val="auto"/>
          <w:sz w:val="28"/>
          <w:szCs w:val="28"/>
          <w:lang w:val="uk-UA"/>
        </w:rPr>
        <w:t xml:space="preserve">пам’ятки історії; </w:t>
      </w:r>
      <w:r w:rsidRPr="005F0419">
        <w:rPr>
          <w:noProof/>
          <w:color w:val="auto"/>
          <w:position w:val="-12"/>
          <w:sz w:val="28"/>
          <w:szCs w:val="28"/>
          <w:lang w:val="uk-UA"/>
        </w:rPr>
        <w:object w:dxaOrig="340" w:dyaOrig="360" w14:anchorId="7E9A8BD4">
          <v:shape id="_x0000_i1051" type="#_x0000_t75" style="width:17.25pt;height:18.75pt" o:ole="">
            <v:imagedata r:id="rId301" o:title=""/>
          </v:shape>
          <o:OLEObject Type="Embed" ProgID="Equation.3" ShapeID="_x0000_i1051" DrawAspect="Content" ObjectID="_1773432113" r:id="rId302"/>
        </w:object>
      </w:r>
      <w:r w:rsidRPr="005F0419">
        <w:rPr>
          <w:color w:val="auto"/>
          <w:sz w:val="28"/>
          <w:szCs w:val="28"/>
          <w:lang w:val="uk-UA"/>
        </w:rPr>
        <w:t xml:space="preserve">– </w:t>
      </w:r>
      <w:r w:rsidRPr="005F0419">
        <w:rPr>
          <w:rFonts w:eastAsia="Times New Roman"/>
          <w:color w:val="auto"/>
          <w:sz w:val="28"/>
          <w:szCs w:val="28"/>
          <w:lang w:val="uk-UA"/>
        </w:rPr>
        <w:t>пам’ятки археології</w:t>
      </w:r>
      <w:r w:rsidRPr="005F0419">
        <w:rPr>
          <w:color w:val="auto"/>
          <w:sz w:val="28"/>
          <w:szCs w:val="28"/>
          <w:lang w:val="uk-UA"/>
        </w:rPr>
        <w:t xml:space="preserve">; </w:t>
      </w:r>
      <w:r w:rsidRPr="005F0419">
        <w:rPr>
          <w:noProof/>
          <w:color w:val="auto"/>
          <w:position w:val="-6"/>
          <w:sz w:val="28"/>
          <w:szCs w:val="28"/>
          <w:lang w:val="uk-UA"/>
        </w:rPr>
        <w:object w:dxaOrig="200" w:dyaOrig="220" w14:anchorId="09F32ECB">
          <v:shape id="_x0000_i1052" type="#_x0000_t75" style="width:9.75pt;height:11.25pt" o:ole="">
            <v:imagedata r:id="rId303" o:title=""/>
          </v:shape>
          <o:OLEObject Type="Embed" ProgID="Equation.3" ShapeID="_x0000_i1052" DrawAspect="Content" ObjectID="_1773432114" r:id="rId304"/>
        </w:object>
      </w:r>
      <w:r w:rsidRPr="005F0419">
        <w:rPr>
          <w:color w:val="auto"/>
          <w:sz w:val="28"/>
          <w:szCs w:val="28"/>
          <w:lang w:val="uk-UA"/>
        </w:rPr>
        <w:t xml:space="preserve">– </w:t>
      </w:r>
      <w:r w:rsidRPr="005F0419">
        <w:rPr>
          <w:rFonts w:eastAsia="Times New Roman"/>
          <w:color w:val="auto"/>
          <w:sz w:val="28"/>
          <w:szCs w:val="28"/>
          <w:lang w:val="uk-UA"/>
        </w:rPr>
        <w:t>коефіцієнт вагомості (граничні межі від 3 до 7 балів, виходячи з пріоритетності ресурсу).</w:t>
      </w:r>
    </w:p>
    <w:p w14:paraId="2A7CA631" w14:textId="77777777" w:rsidR="00662012" w:rsidRPr="005F0419" w:rsidRDefault="00662012" w:rsidP="00662012">
      <w:pPr>
        <w:pStyle w:val="Default"/>
        <w:suppressAutoHyphens/>
        <w:spacing w:line="360" w:lineRule="auto"/>
        <w:ind w:firstLine="720"/>
        <w:jc w:val="both"/>
        <w:rPr>
          <w:rFonts w:eastAsia="Times New Roman"/>
          <w:color w:val="auto"/>
          <w:sz w:val="28"/>
          <w:szCs w:val="28"/>
          <w:lang w:val="uk-UA"/>
        </w:rPr>
      </w:pPr>
      <w:r w:rsidRPr="005F0419">
        <w:rPr>
          <w:rFonts w:eastAsia="Times New Roman"/>
          <w:color w:val="auto"/>
          <w:sz w:val="28"/>
          <w:szCs w:val="28"/>
          <w:lang w:val="uk-UA"/>
        </w:rPr>
        <w:t>В залежності від інтегрального показника (</w:t>
      </w:r>
      <w:r w:rsidRPr="005F0419">
        <w:rPr>
          <w:noProof/>
          <w:color w:val="auto"/>
          <w:position w:val="-12"/>
          <w:sz w:val="28"/>
          <w:szCs w:val="28"/>
          <w:lang w:val="uk-UA"/>
        </w:rPr>
        <w:object w:dxaOrig="420" w:dyaOrig="360" w14:anchorId="5156CF14">
          <v:shape id="_x0000_i1053" type="#_x0000_t75" style="width:21pt;height:18.75pt" o:ole="">
            <v:imagedata r:id="rId305" o:title=""/>
          </v:shape>
          <o:OLEObject Type="Embed" ProgID="Equation.3" ShapeID="_x0000_i1053" DrawAspect="Content" ObjectID="_1773432115" r:id="rId306"/>
        </w:object>
      </w:r>
      <w:r w:rsidRPr="005F0419">
        <w:rPr>
          <w:rFonts w:eastAsia="Times New Roman"/>
          <w:color w:val="auto"/>
          <w:sz w:val="28"/>
          <w:szCs w:val="28"/>
          <w:lang w:val="uk-UA"/>
        </w:rPr>
        <w:t xml:space="preserve">) розраховується відносний туристичний (історико-культурний) </w:t>
      </w:r>
      <w:proofErr w:type="spellStart"/>
      <w:r w:rsidRPr="005F0419">
        <w:rPr>
          <w:rFonts w:eastAsia="Times New Roman"/>
          <w:color w:val="auto"/>
          <w:sz w:val="28"/>
          <w:szCs w:val="28"/>
          <w:lang w:val="uk-UA"/>
        </w:rPr>
        <w:t>субіндикатор</w:t>
      </w:r>
      <w:proofErr w:type="spellEnd"/>
      <w:r w:rsidRPr="005F0419">
        <w:rPr>
          <w:rFonts w:eastAsia="Times New Roman"/>
          <w:color w:val="auto"/>
          <w:sz w:val="28"/>
          <w:szCs w:val="28"/>
          <w:lang w:val="uk-UA"/>
        </w:rPr>
        <w:t xml:space="preserve"> (</w:t>
      </w:r>
      <w:r w:rsidRPr="005F0419">
        <w:rPr>
          <w:noProof/>
          <w:color w:val="auto"/>
          <w:position w:val="-12"/>
          <w:sz w:val="28"/>
          <w:szCs w:val="28"/>
          <w:lang w:val="uk-UA"/>
        </w:rPr>
        <w:object w:dxaOrig="340" w:dyaOrig="360" w14:anchorId="0A5307FD">
          <v:shape id="_x0000_i1054" type="#_x0000_t75" style="width:17.25pt;height:18.75pt" o:ole="">
            <v:imagedata r:id="rId307" o:title=""/>
          </v:shape>
          <o:OLEObject Type="Embed" ProgID="Equation.3" ShapeID="_x0000_i1054" DrawAspect="Content" ObjectID="_1773432116" r:id="rId308"/>
        </w:object>
      </w:r>
      <w:r w:rsidRPr="005F0419">
        <w:rPr>
          <w:rFonts w:eastAsia="Times New Roman"/>
          <w:color w:val="auto"/>
          <w:sz w:val="28"/>
          <w:szCs w:val="28"/>
          <w:lang w:val="uk-UA"/>
        </w:rPr>
        <w:t xml:space="preserve">), який відображає потенціал туристичних (історико-культурний) об’єктів в локально-регіональній </w:t>
      </w:r>
      <w:r w:rsidRPr="005F0419">
        <w:rPr>
          <w:rFonts w:eastAsia="Times New Roman"/>
          <w:color w:val="auto"/>
          <w:sz w:val="28"/>
          <w:szCs w:val="28"/>
          <w:lang w:val="uk-UA"/>
        </w:rPr>
        <w:lastRenderedPageBreak/>
        <w:t xml:space="preserve">системі країни по відношенню до території держави, в цілому, і розраховується за формулою (4) </w:t>
      </w:r>
      <w:r w:rsidRPr="005F0419">
        <w:rPr>
          <w:color w:val="auto"/>
          <w:sz w:val="28"/>
          <w:szCs w:val="28"/>
          <w:lang w:val="uk-UA"/>
        </w:rPr>
        <w:t>[31]:</w:t>
      </w:r>
    </w:p>
    <w:p w14:paraId="0B0064AB" w14:textId="22C37655" w:rsidR="00662012" w:rsidRPr="005F0419" w:rsidRDefault="00C713B7" w:rsidP="00662012">
      <w:pPr>
        <w:pStyle w:val="Default"/>
        <w:suppressAutoHyphens/>
        <w:spacing w:line="360" w:lineRule="auto"/>
        <w:ind w:firstLine="720"/>
        <w:jc w:val="both"/>
        <w:rPr>
          <w:color w:val="auto"/>
          <w:sz w:val="28"/>
          <w:szCs w:val="28"/>
          <w:lang w:val="uk-UA"/>
        </w:rPr>
      </w:pPr>
      <w:r w:rsidRPr="005F0419">
        <w:rPr>
          <w:noProof/>
          <w:color w:val="auto"/>
          <w:position w:val="-26"/>
          <w:sz w:val="28"/>
          <w:szCs w:val="28"/>
          <w:lang w:val="uk-UA"/>
        </w:rPr>
        <w:object w:dxaOrig="1100" w:dyaOrig="580" w14:anchorId="2E662098">
          <v:shape id="_x0000_i1055" type="#_x0000_t75" style="width:65.25pt;height:36pt" o:ole="">
            <v:imagedata r:id="rId309" o:title=""/>
          </v:shape>
          <o:OLEObject Type="Embed" ProgID="Equation.3" ShapeID="_x0000_i1055" DrawAspect="Content" ObjectID="_1773432117" r:id="rId310"/>
        </w:object>
      </w:r>
      <w:r w:rsidR="00662012" w:rsidRPr="005F0419">
        <w:rPr>
          <w:color w:val="auto"/>
          <w:sz w:val="28"/>
          <w:szCs w:val="28"/>
          <w:lang w:val="uk-UA"/>
        </w:rPr>
        <w:t>,</w:t>
      </w:r>
      <w:r w:rsidR="00662012" w:rsidRPr="005F0419">
        <w:rPr>
          <w:i/>
          <w:color w:val="auto"/>
          <w:sz w:val="28"/>
          <w:szCs w:val="28"/>
          <w:lang w:val="uk-UA"/>
        </w:rPr>
        <w:t xml:space="preserve"> </w:t>
      </w:r>
      <w:r w:rsidR="00662012" w:rsidRPr="005F0419">
        <w:rPr>
          <w:color w:val="auto"/>
          <w:sz w:val="28"/>
          <w:szCs w:val="28"/>
          <w:lang w:val="uk-UA"/>
        </w:rPr>
        <w:t xml:space="preserve">                                                                                                  (4)</w:t>
      </w:r>
    </w:p>
    <w:p w14:paraId="2922B6CF" w14:textId="77777777" w:rsidR="00662012" w:rsidRPr="005F0419" w:rsidRDefault="00662012" w:rsidP="00662012">
      <w:pPr>
        <w:pStyle w:val="Default"/>
        <w:suppressAutoHyphens/>
        <w:spacing w:line="360" w:lineRule="auto"/>
        <w:ind w:firstLine="720"/>
        <w:jc w:val="both"/>
        <w:rPr>
          <w:rFonts w:eastAsia="Times New Roman"/>
          <w:color w:val="auto"/>
          <w:sz w:val="28"/>
          <w:szCs w:val="28"/>
          <w:lang w:val="uk-UA"/>
        </w:rPr>
      </w:pPr>
      <w:r w:rsidRPr="005F0419">
        <w:rPr>
          <w:color w:val="auto"/>
          <w:sz w:val="28"/>
          <w:szCs w:val="28"/>
          <w:lang w:val="uk-UA"/>
        </w:rPr>
        <w:t xml:space="preserve">де </w:t>
      </w:r>
      <w:r w:rsidRPr="005F0419">
        <w:rPr>
          <w:noProof/>
          <w:color w:val="auto"/>
          <w:position w:val="-6"/>
          <w:sz w:val="28"/>
          <w:szCs w:val="28"/>
          <w:lang w:val="uk-UA"/>
        </w:rPr>
        <w:object w:dxaOrig="240" w:dyaOrig="279" w14:anchorId="1EFD3D17">
          <v:shape id="_x0000_i1056" type="#_x0000_t75" style="width:12pt;height:12.75pt" o:ole="">
            <v:imagedata r:id="rId311" o:title=""/>
          </v:shape>
          <o:OLEObject Type="Embed" ProgID="Equation.3" ShapeID="_x0000_i1056" DrawAspect="Content" ObjectID="_1773432118" r:id="rId312"/>
        </w:object>
      </w:r>
      <w:r w:rsidRPr="005F0419">
        <w:rPr>
          <w:color w:val="auto"/>
          <w:sz w:val="28"/>
          <w:szCs w:val="28"/>
          <w:lang w:val="uk-UA"/>
        </w:rPr>
        <w:t>– рівень потенціалу туристичного (</w:t>
      </w:r>
      <w:r w:rsidRPr="005F0419">
        <w:rPr>
          <w:rFonts w:eastAsia="Times New Roman"/>
          <w:color w:val="auto"/>
          <w:sz w:val="28"/>
          <w:szCs w:val="28"/>
          <w:lang w:val="uk-UA"/>
        </w:rPr>
        <w:t xml:space="preserve">історико-культурного) об’єкту в локально-регіональній системі країни, що досліджується; </w:t>
      </w:r>
      <w:r w:rsidRPr="005F0419">
        <w:rPr>
          <w:noProof/>
          <w:color w:val="auto"/>
          <w:position w:val="-12"/>
          <w:sz w:val="28"/>
          <w:szCs w:val="28"/>
          <w:lang w:val="uk-UA"/>
        </w:rPr>
        <w:object w:dxaOrig="660" w:dyaOrig="360" w14:anchorId="741D54F9">
          <v:shape id="_x0000_i1057" type="#_x0000_t75" style="width:33pt;height:18.75pt" o:ole="">
            <v:imagedata r:id="rId313" o:title=""/>
          </v:shape>
          <o:OLEObject Type="Embed" ProgID="Equation.3" ShapeID="_x0000_i1057" DrawAspect="Content" ObjectID="_1773432119" r:id="rId314"/>
        </w:object>
      </w:r>
      <w:r w:rsidRPr="005F0419">
        <w:rPr>
          <w:color w:val="auto"/>
          <w:sz w:val="28"/>
          <w:szCs w:val="28"/>
          <w:lang w:val="uk-UA"/>
        </w:rPr>
        <w:t xml:space="preserve">– </w:t>
      </w:r>
      <w:r w:rsidRPr="005F0419">
        <w:rPr>
          <w:rFonts w:eastAsia="Times New Roman"/>
          <w:color w:val="auto"/>
          <w:sz w:val="28"/>
          <w:szCs w:val="28"/>
          <w:lang w:val="uk-UA"/>
        </w:rPr>
        <w:t>максимальний рівень потенціалу туристичного (історико-культурних) об’єкту в державі.</w:t>
      </w:r>
    </w:p>
    <w:p w14:paraId="33CBF000" w14:textId="77777777" w:rsidR="00662012" w:rsidRPr="005F0419" w:rsidRDefault="00662012" w:rsidP="00662012">
      <w:pPr>
        <w:pStyle w:val="Default"/>
        <w:suppressAutoHyphens/>
        <w:spacing w:line="360" w:lineRule="auto"/>
        <w:ind w:firstLine="720"/>
        <w:jc w:val="both"/>
        <w:rPr>
          <w:rFonts w:eastAsia="Times New Roman"/>
          <w:color w:val="auto"/>
          <w:sz w:val="28"/>
          <w:szCs w:val="28"/>
          <w:lang w:val="uk-UA"/>
        </w:rPr>
      </w:pPr>
      <w:r w:rsidRPr="005F0419">
        <w:rPr>
          <w:rFonts w:eastAsia="Times New Roman"/>
          <w:color w:val="auto"/>
          <w:sz w:val="28"/>
          <w:szCs w:val="28"/>
          <w:lang w:val="uk-UA"/>
        </w:rPr>
        <w:t>Для ефективності використання туристичної локально-регіональної системи країни важливим компонентом є наявність потенціалу природних заповідних зон, який оцінювання за формулою (5)</w:t>
      </w:r>
      <w:r w:rsidRPr="005F0419">
        <w:rPr>
          <w:color w:val="auto"/>
          <w:sz w:val="28"/>
          <w:szCs w:val="28"/>
          <w:lang w:val="uk-UA"/>
        </w:rPr>
        <w:t xml:space="preserve"> [31]:</w:t>
      </w:r>
    </w:p>
    <w:p w14:paraId="31C310CF" w14:textId="7872C0E0" w:rsidR="00662012" w:rsidRPr="005F0419" w:rsidRDefault="00C713B7" w:rsidP="00662012">
      <w:pPr>
        <w:pStyle w:val="Default"/>
        <w:suppressAutoHyphens/>
        <w:spacing w:line="360" w:lineRule="auto"/>
        <w:ind w:firstLine="720"/>
        <w:jc w:val="both"/>
        <w:rPr>
          <w:color w:val="auto"/>
          <w:sz w:val="28"/>
          <w:szCs w:val="28"/>
          <w:lang w:val="uk-UA"/>
        </w:rPr>
      </w:pPr>
      <w:r w:rsidRPr="005F0419">
        <w:rPr>
          <w:noProof/>
          <w:color w:val="auto"/>
          <w:position w:val="-14"/>
          <w:sz w:val="28"/>
          <w:szCs w:val="28"/>
          <w:lang w:val="uk-UA"/>
        </w:rPr>
        <w:object w:dxaOrig="4880" w:dyaOrig="340" w14:anchorId="2451C873">
          <v:shape id="_x0000_i1058" type="#_x0000_t75" style="width:295.5pt;height:18.75pt" o:ole="">
            <v:imagedata r:id="rId315" o:title=""/>
          </v:shape>
          <o:OLEObject Type="Embed" ProgID="Equation.3" ShapeID="_x0000_i1058" DrawAspect="Content" ObjectID="_1773432120" r:id="rId316"/>
        </w:object>
      </w:r>
      <w:r w:rsidR="00662012" w:rsidRPr="005F0419">
        <w:rPr>
          <w:color w:val="auto"/>
          <w:sz w:val="28"/>
          <w:szCs w:val="28"/>
          <w:lang w:val="uk-UA"/>
        </w:rPr>
        <w:t>,</w:t>
      </w:r>
      <w:r w:rsidR="00662012" w:rsidRPr="005F0419">
        <w:rPr>
          <w:i/>
          <w:color w:val="auto"/>
          <w:sz w:val="28"/>
          <w:szCs w:val="28"/>
          <w:lang w:val="uk-UA"/>
        </w:rPr>
        <w:t xml:space="preserve"> </w:t>
      </w:r>
      <w:r w:rsidR="00662012" w:rsidRPr="005F0419">
        <w:rPr>
          <w:color w:val="auto"/>
          <w:sz w:val="28"/>
          <w:szCs w:val="28"/>
          <w:lang w:val="uk-UA"/>
        </w:rPr>
        <w:t xml:space="preserve">                                             (5)</w:t>
      </w:r>
    </w:p>
    <w:p w14:paraId="2368A2C1" w14:textId="77777777" w:rsidR="00662012" w:rsidRPr="005F0419" w:rsidRDefault="00662012" w:rsidP="00662012">
      <w:pPr>
        <w:pStyle w:val="Default"/>
        <w:suppressAutoHyphens/>
        <w:spacing w:line="360" w:lineRule="auto"/>
        <w:ind w:firstLine="720"/>
        <w:jc w:val="both"/>
        <w:rPr>
          <w:color w:val="auto"/>
          <w:sz w:val="28"/>
          <w:szCs w:val="28"/>
          <w:lang w:val="uk-UA"/>
        </w:rPr>
      </w:pPr>
      <w:r w:rsidRPr="005F0419">
        <w:rPr>
          <w:color w:val="auto"/>
          <w:sz w:val="28"/>
          <w:szCs w:val="28"/>
          <w:lang w:val="uk-UA"/>
        </w:rPr>
        <w:t xml:space="preserve">де </w:t>
      </w:r>
      <w:r w:rsidRPr="005F0419">
        <w:rPr>
          <w:noProof/>
          <w:color w:val="auto"/>
          <w:position w:val="-16"/>
          <w:sz w:val="28"/>
          <w:szCs w:val="28"/>
          <w:lang w:val="uk-UA"/>
        </w:rPr>
        <w:object w:dxaOrig="580" w:dyaOrig="400" w14:anchorId="70839E25">
          <v:shape id="_x0000_i1059" type="#_x0000_t75" style="width:27.75pt;height:20.25pt" o:ole="">
            <v:imagedata r:id="rId317" o:title=""/>
          </v:shape>
          <o:OLEObject Type="Embed" ProgID="Equation.3" ShapeID="_x0000_i1059" DrawAspect="Content" ObjectID="_1773432121" r:id="rId318"/>
        </w:object>
      </w:r>
      <w:r w:rsidRPr="005F0419">
        <w:rPr>
          <w:color w:val="auto"/>
          <w:sz w:val="28"/>
          <w:szCs w:val="28"/>
          <w:lang w:val="uk-UA"/>
        </w:rPr>
        <w:t xml:space="preserve">– рівень </w:t>
      </w:r>
      <w:r w:rsidRPr="005F0419">
        <w:rPr>
          <w:rFonts w:eastAsia="Times New Roman"/>
          <w:color w:val="auto"/>
          <w:sz w:val="28"/>
          <w:szCs w:val="28"/>
          <w:lang w:val="uk-UA"/>
        </w:rPr>
        <w:t xml:space="preserve">потенціалу природних заповідних зон в туристичній локально-регіональній системі країни; </w:t>
      </w:r>
      <w:r w:rsidRPr="005F0419">
        <w:rPr>
          <w:noProof/>
          <w:color w:val="auto"/>
          <w:position w:val="-4"/>
          <w:sz w:val="28"/>
          <w:szCs w:val="28"/>
          <w:lang w:val="uk-UA"/>
        </w:rPr>
        <w:object w:dxaOrig="220" w:dyaOrig="260" w14:anchorId="0456DE64">
          <v:shape id="_x0000_i1060" type="#_x0000_t75" style="width:11.25pt;height:12.75pt" o:ole="">
            <v:imagedata r:id="rId319" o:title=""/>
          </v:shape>
          <o:OLEObject Type="Embed" ProgID="Equation.3" ShapeID="_x0000_i1060" DrawAspect="Content" ObjectID="_1773432122" r:id="rId320"/>
        </w:object>
      </w:r>
      <w:r w:rsidRPr="005F0419">
        <w:rPr>
          <w:color w:val="auto"/>
          <w:sz w:val="28"/>
          <w:szCs w:val="28"/>
          <w:lang w:val="uk-UA"/>
        </w:rPr>
        <w:t xml:space="preserve">– </w:t>
      </w:r>
      <w:r w:rsidRPr="005F0419">
        <w:rPr>
          <w:rFonts w:eastAsia="Times New Roman"/>
          <w:color w:val="auto"/>
          <w:sz w:val="28"/>
          <w:szCs w:val="28"/>
          <w:lang w:val="uk-UA"/>
        </w:rPr>
        <w:t xml:space="preserve">національний парк; </w:t>
      </w:r>
      <w:r w:rsidRPr="005F0419">
        <w:rPr>
          <w:noProof/>
          <w:color w:val="auto"/>
          <w:position w:val="-4"/>
          <w:sz w:val="28"/>
          <w:szCs w:val="28"/>
          <w:lang w:val="uk-UA"/>
        </w:rPr>
        <w:object w:dxaOrig="220" w:dyaOrig="260" w14:anchorId="139E5A01">
          <v:shape id="_x0000_i1061" type="#_x0000_t75" style="width:11.25pt;height:12.75pt" o:ole="">
            <v:imagedata r:id="rId321" o:title=""/>
          </v:shape>
          <o:OLEObject Type="Embed" ProgID="Equation.3" ShapeID="_x0000_i1061" DrawAspect="Content" ObjectID="_1773432123" r:id="rId322"/>
        </w:object>
      </w:r>
      <w:r w:rsidRPr="005F0419">
        <w:rPr>
          <w:color w:val="auto"/>
          <w:sz w:val="28"/>
          <w:szCs w:val="28"/>
          <w:lang w:val="uk-UA"/>
        </w:rPr>
        <w:t xml:space="preserve">– </w:t>
      </w:r>
      <w:r w:rsidRPr="005F0419">
        <w:rPr>
          <w:rFonts w:eastAsia="Times New Roman"/>
          <w:color w:val="auto"/>
          <w:sz w:val="28"/>
          <w:szCs w:val="28"/>
          <w:lang w:val="uk-UA"/>
        </w:rPr>
        <w:t xml:space="preserve">ландшафтний парк; </w:t>
      </w:r>
      <w:r w:rsidRPr="005F0419">
        <w:rPr>
          <w:noProof/>
          <w:color w:val="auto"/>
          <w:position w:val="-12"/>
          <w:sz w:val="28"/>
          <w:szCs w:val="28"/>
          <w:lang w:val="uk-UA"/>
        </w:rPr>
        <w:object w:dxaOrig="340" w:dyaOrig="360" w14:anchorId="3CEF8A44">
          <v:shape id="_x0000_i1062" type="#_x0000_t75" style="width:18.75pt;height:18.75pt" o:ole="">
            <v:imagedata r:id="rId323" o:title=""/>
          </v:shape>
          <o:OLEObject Type="Embed" ProgID="Equation.3" ShapeID="_x0000_i1062" DrawAspect="Content" ObjectID="_1773432124" r:id="rId324"/>
        </w:object>
      </w:r>
      <w:r w:rsidRPr="005F0419">
        <w:rPr>
          <w:color w:val="auto"/>
          <w:sz w:val="28"/>
          <w:szCs w:val="28"/>
          <w:lang w:val="uk-UA"/>
        </w:rPr>
        <w:t xml:space="preserve">– ландшафтний парк </w:t>
      </w:r>
      <w:r w:rsidRPr="005F0419">
        <w:rPr>
          <w:rFonts w:eastAsia="Times New Roman"/>
          <w:color w:val="auto"/>
          <w:sz w:val="28"/>
          <w:szCs w:val="28"/>
          <w:lang w:val="uk-UA"/>
        </w:rPr>
        <w:t xml:space="preserve">національного значення; </w:t>
      </w:r>
      <w:r w:rsidRPr="005F0419">
        <w:rPr>
          <w:noProof/>
          <w:color w:val="auto"/>
          <w:position w:val="-12"/>
          <w:sz w:val="28"/>
          <w:szCs w:val="28"/>
          <w:lang w:val="uk-UA"/>
        </w:rPr>
        <w:object w:dxaOrig="400" w:dyaOrig="360" w14:anchorId="4C982B7E">
          <v:shape id="_x0000_i1063" type="#_x0000_t75" style="width:20.25pt;height:18.75pt" o:ole="">
            <v:imagedata r:id="rId325" o:title=""/>
          </v:shape>
          <o:OLEObject Type="Embed" ProgID="Equation.3" ShapeID="_x0000_i1063" DrawAspect="Content" ObjectID="_1773432125" r:id="rId326"/>
        </w:object>
      </w:r>
      <w:r w:rsidRPr="005F0419">
        <w:rPr>
          <w:color w:val="auto"/>
          <w:sz w:val="28"/>
          <w:szCs w:val="28"/>
          <w:lang w:val="uk-UA"/>
        </w:rPr>
        <w:t xml:space="preserve">– </w:t>
      </w:r>
      <w:r w:rsidRPr="005F0419">
        <w:rPr>
          <w:rFonts w:eastAsia="Times New Roman"/>
          <w:color w:val="auto"/>
          <w:sz w:val="28"/>
          <w:szCs w:val="28"/>
          <w:lang w:val="uk-UA"/>
        </w:rPr>
        <w:t xml:space="preserve">ландшафтний парк місцевого значення; </w:t>
      </w:r>
      <w:r w:rsidRPr="005F0419">
        <w:rPr>
          <w:noProof/>
          <w:color w:val="auto"/>
          <w:position w:val="-12"/>
          <w:sz w:val="28"/>
          <w:szCs w:val="28"/>
          <w:lang w:val="uk-UA"/>
        </w:rPr>
        <w:object w:dxaOrig="440" w:dyaOrig="360" w14:anchorId="04C963FC">
          <v:shape id="_x0000_i1064" type="#_x0000_t75" style="width:23.25pt;height:18.75pt" o:ole="">
            <v:imagedata r:id="rId327" o:title=""/>
          </v:shape>
          <o:OLEObject Type="Embed" ProgID="Equation.3" ShapeID="_x0000_i1064" DrawAspect="Content" ObjectID="_1773432126" r:id="rId328"/>
        </w:object>
      </w:r>
      <w:r w:rsidRPr="005F0419">
        <w:rPr>
          <w:color w:val="auto"/>
          <w:sz w:val="28"/>
          <w:szCs w:val="28"/>
          <w:lang w:val="uk-UA"/>
        </w:rPr>
        <w:t>– пам’ятники природи державного значення</w:t>
      </w:r>
      <w:r w:rsidRPr="005F0419">
        <w:rPr>
          <w:rFonts w:eastAsia="Times New Roman"/>
          <w:color w:val="auto"/>
          <w:sz w:val="28"/>
          <w:szCs w:val="28"/>
          <w:lang w:val="uk-UA"/>
        </w:rPr>
        <w:t>;</w:t>
      </w:r>
      <w:r w:rsidRPr="005F0419">
        <w:rPr>
          <w:color w:val="auto"/>
          <w:position w:val="-10"/>
          <w:sz w:val="28"/>
          <w:szCs w:val="28"/>
          <w:lang w:val="uk-UA"/>
        </w:rPr>
        <w:t xml:space="preserve"> </w:t>
      </w:r>
      <w:r w:rsidRPr="005F0419">
        <w:rPr>
          <w:noProof/>
          <w:color w:val="auto"/>
          <w:position w:val="-12"/>
          <w:sz w:val="28"/>
          <w:szCs w:val="28"/>
          <w:lang w:val="uk-UA"/>
        </w:rPr>
        <w:object w:dxaOrig="400" w:dyaOrig="360" w14:anchorId="3D0D5A8B">
          <v:shape id="_x0000_i1065" type="#_x0000_t75" style="width:20.25pt;height:18.75pt" o:ole="">
            <v:imagedata r:id="rId329" o:title=""/>
          </v:shape>
          <o:OLEObject Type="Embed" ProgID="Equation.3" ShapeID="_x0000_i1065" DrawAspect="Content" ObjectID="_1773432127" r:id="rId330"/>
        </w:object>
      </w:r>
      <w:r w:rsidRPr="005F0419">
        <w:rPr>
          <w:color w:val="auto"/>
          <w:sz w:val="28"/>
          <w:szCs w:val="28"/>
          <w:lang w:val="uk-UA"/>
        </w:rPr>
        <w:t xml:space="preserve">– пам’ятники природи місцевого значення; </w:t>
      </w:r>
      <w:r w:rsidRPr="005F0419">
        <w:rPr>
          <w:noProof/>
          <w:color w:val="auto"/>
          <w:position w:val="-6"/>
          <w:sz w:val="28"/>
          <w:szCs w:val="28"/>
          <w:lang w:val="uk-UA"/>
        </w:rPr>
        <w:object w:dxaOrig="200" w:dyaOrig="220" w14:anchorId="44574F7A">
          <v:shape id="_x0000_i1066" type="#_x0000_t75" style="width:9.75pt;height:11.25pt" o:ole="">
            <v:imagedata r:id="rId331" o:title=""/>
          </v:shape>
          <o:OLEObject Type="Embed" ProgID="Equation.3" ShapeID="_x0000_i1066" DrawAspect="Content" ObjectID="_1773432128" r:id="rId332"/>
        </w:object>
      </w:r>
      <w:r w:rsidRPr="005F0419">
        <w:rPr>
          <w:color w:val="auto"/>
          <w:sz w:val="28"/>
          <w:szCs w:val="28"/>
          <w:lang w:val="uk-UA"/>
        </w:rPr>
        <w:t>– вагомість (</w:t>
      </w:r>
      <w:r w:rsidRPr="005F0419">
        <w:rPr>
          <w:noProof/>
          <w:color w:val="auto"/>
          <w:position w:val="-6"/>
          <w:sz w:val="28"/>
          <w:szCs w:val="28"/>
          <w:lang w:val="uk-UA"/>
        </w:rPr>
        <w:object w:dxaOrig="859" w:dyaOrig="279" w14:anchorId="6490D203">
          <v:shape id="_x0000_i1067" type="#_x0000_t75" style="width:44.25pt;height:12.75pt" o:ole="">
            <v:imagedata r:id="rId333" o:title=""/>
          </v:shape>
          <o:OLEObject Type="Embed" ProgID="Equation.3" ShapeID="_x0000_i1067" DrawAspect="Content" ObjectID="_1773432129" r:id="rId334"/>
        </w:object>
      </w:r>
      <w:r w:rsidRPr="005F0419">
        <w:rPr>
          <w:color w:val="auto"/>
          <w:sz w:val="28"/>
          <w:szCs w:val="28"/>
          <w:lang w:val="uk-UA"/>
        </w:rPr>
        <w:t xml:space="preserve">). </w:t>
      </w:r>
    </w:p>
    <w:p w14:paraId="00387985" w14:textId="77777777" w:rsidR="00662012" w:rsidRPr="005F0419" w:rsidRDefault="00662012" w:rsidP="00662012">
      <w:pPr>
        <w:pStyle w:val="Default"/>
        <w:suppressAutoHyphens/>
        <w:spacing w:line="360" w:lineRule="auto"/>
        <w:ind w:firstLine="720"/>
        <w:jc w:val="both"/>
        <w:rPr>
          <w:color w:val="auto"/>
          <w:sz w:val="28"/>
          <w:szCs w:val="28"/>
          <w:lang w:val="uk-UA"/>
        </w:rPr>
      </w:pPr>
      <w:r w:rsidRPr="005F0419">
        <w:rPr>
          <w:color w:val="auto"/>
          <w:sz w:val="28"/>
          <w:szCs w:val="28"/>
          <w:lang w:val="uk-UA"/>
        </w:rPr>
        <w:t>Віддаленість природних заповідних зон вимагає зниження ризиків їх відвідування у випадках травм, загострень захворювань, нещасних випадків. Тому, вважаємо за необхідне, додати до показника потенціалу бальну оцінку відстані до найближчого адміністративного центру в туристичній локально-регіональній системі країни, а саме: від 20 км – 9 балів; від 20 до 50 км – 8 балів; від 50 км до 100 км – 7 балів; понад 100 км – 6 балів.</w:t>
      </w:r>
    </w:p>
    <w:p w14:paraId="119A87A9" w14:textId="77777777" w:rsidR="00662012" w:rsidRPr="005F0419" w:rsidRDefault="00662012" w:rsidP="00662012">
      <w:pPr>
        <w:pStyle w:val="Default"/>
        <w:suppressAutoHyphens/>
        <w:spacing w:line="360" w:lineRule="auto"/>
        <w:ind w:firstLine="720"/>
        <w:jc w:val="both"/>
        <w:rPr>
          <w:color w:val="auto"/>
          <w:sz w:val="28"/>
          <w:szCs w:val="28"/>
          <w:lang w:val="uk-UA"/>
        </w:rPr>
      </w:pPr>
      <w:r w:rsidRPr="005F0419">
        <w:rPr>
          <w:color w:val="auto"/>
          <w:sz w:val="28"/>
          <w:szCs w:val="28"/>
          <w:lang w:val="uk-UA"/>
        </w:rPr>
        <w:t>Відповідно, формула (5) коригується має вигляд (формула (6)) [31]:</w:t>
      </w:r>
    </w:p>
    <w:p w14:paraId="7053158A" w14:textId="358C5EE7" w:rsidR="00662012" w:rsidRPr="005F0419" w:rsidRDefault="00C713B7" w:rsidP="00662012">
      <w:pPr>
        <w:pStyle w:val="Default"/>
        <w:suppressAutoHyphens/>
        <w:spacing w:line="360" w:lineRule="auto"/>
        <w:ind w:firstLine="720"/>
        <w:jc w:val="both"/>
        <w:rPr>
          <w:color w:val="auto"/>
          <w:sz w:val="28"/>
          <w:szCs w:val="28"/>
          <w:lang w:val="uk-UA"/>
        </w:rPr>
      </w:pPr>
      <w:r w:rsidRPr="005F0419">
        <w:rPr>
          <w:noProof/>
          <w:color w:val="auto"/>
          <w:position w:val="-14"/>
          <w:sz w:val="28"/>
          <w:szCs w:val="28"/>
          <w:lang w:val="uk-UA"/>
        </w:rPr>
        <w:object w:dxaOrig="7860" w:dyaOrig="340" w14:anchorId="22D59D00">
          <v:shape id="_x0000_i1068" type="#_x0000_t75" style="width:358.5pt;height:20.25pt" o:ole="">
            <v:imagedata r:id="rId335" o:title=""/>
          </v:shape>
          <o:OLEObject Type="Embed" ProgID="Equation.3" ShapeID="_x0000_i1068" DrawAspect="Content" ObjectID="_1773432130" r:id="rId336"/>
        </w:object>
      </w:r>
      <w:r w:rsidR="00662012" w:rsidRPr="005F0419">
        <w:rPr>
          <w:color w:val="auto"/>
          <w:sz w:val="28"/>
          <w:szCs w:val="28"/>
          <w:lang w:val="uk-UA"/>
        </w:rPr>
        <w:t>,                   (6)</w:t>
      </w:r>
    </w:p>
    <w:p w14:paraId="3E6E51B7" w14:textId="77777777" w:rsidR="00662012" w:rsidRPr="005F0419" w:rsidRDefault="00662012" w:rsidP="00662012">
      <w:pPr>
        <w:pStyle w:val="Default"/>
        <w:suppressAutoHyphens/>
        <w:spacing w:line="360" w:lineRule="auto"/>
        <w:ind w:firstLine="720"/>
        <w:jc w:val="both"/>
        <w:rPr>
          <w:rFonts w:eastAsia="Times New Roman"/>
          <w:color w:val="auto"/>
          <w:sz w:val="28"/>
          <w:szCs w:val="28"/>
          <w:lang w:val="uk-UA"/>
        </w:rPr>
      </w:pPr>
      <w:r w:rsidRPr="005F0419">
        <w:rPr>
          <w:color w:val="auto"/>
          <w:sz w:val="28"/>
          <w:szCs w:val="28"/>
          <w:lang w:val="uk-UA"/>
        </w:rPr>
        <w:t xml:space="preserve">де </w:t>
      </w:r>
      <w:r w:rsidRPr="005F0419">
        <w:rPr>
          <w:noProof/>
          <w:color w:val="auto"/>
          <w:position w:val="-4"/>
          <w:sz w:val="28"/>
          <w:szCs w:val="28"/>
          <w:lang w:val="uk-UA"/>
        </w:rPr>
        <w:object w:dxaOrig="180" w:dyaOrig="200" w14:anchorId="77F4CFA7">
          <v:shape id="_x0000_i1069" type="#_x0000_t75" style="width:9.75pt;height:9.75pt" o:ole="">
            <v:imagedata r:id="rId337" o:title=""/>
          </v:shape>
          <o:OLEObject Type="Embed" ProgID="Equation.3" ShapeID="_x0000_i1069" DrawAspect="Content" ObjectID="_1773432131" r:id="rId338"/>
        </w:object>
      </w:r>
      <w:r w:rsidRPr="005F0419">
        <w:rPr>
          <w:color w:val="auto"/>
          <w:sz w:val="28"/>
          <w:szCs w:val="28"/>
          <w:lang w:val="uk-UA"/>
        </w:rPr>
        <w:t xml:space="preserve">– </w:t>
      </w:r>
      <w:r w:rsidRPr="005F0419">
        <w:rPr>
          <w:rFonts w:eastAsia="Times New Roman"/>
          <w:color w:val="auto"/>
          <w:sz w:val="28"/>
          <w:szCs w:val="28"/>
          <w:lang w:val="uk-UA"/>
        </w:rPr>
        <w:t xml:space="preserve">коригуючий коефіцієнт відстані до найближчого населеного пункту (по дорогам), який розраховується за формулою (7) </w:t>
      </w:r>
      <w:r w:rsidRPr="005F0419">
        <w:rPr>
          <w:color w:val="auto"/>
          <w:sz w:val="28"/>
          <w:szCs w:val="28"/>
          <w:lang w:val="uk-UA"/>
        </w:rPr>
        <w:t>[31]:</w:t>
      </w:r>
    </w:p>
    <w:p w14:paraId="2941ABD4" w14:textId="77777777" w:rsidR="00662012" w:rsidRPr="005F0419" w:rsidRDefault="00662012" w:rsidP="00662012">
      <w:pPr>
        <w:pStyle w:val="Default"/>
        <w:suppressAutoHyphens/>
        <w:spacing w:line="360" w:lineRule="auto"/>
        <w:ind w:firstLine="720"/>
        <w:jc w:val="both"/>
        <w:rPr>
          <w:color w:val="auto"/>
          <w:sz w:val="28"/>
          <w:szCs w:val="28"/>
          <w:lang w:val="uk-UA"/>
        </w:rPr>
      </w:pPr>
      <w:r w:rsidRPr="005F0419">
        <w:rPr>
          <w:noProof/>
          <w:color w:val="auto"/>
          <w:position w:val="-30"/>
          <w:sz w:val="28"/>
          <w:szCs w:val="28"/>
          <w:lang w:val="uk-UA"/>
        </w:rPr>
        <w:object w:dxaOrig="999" w:dyaOrig="700" w14:anchorId="05CF44E3">
          <v:shape id="_x0000_i1070" type="#_x0000_t75" style="width:51pt;height:33.75pt" o:ole="">
            <v:imagedata r:id="rId339" o:title=""/>
          </v:shape>
          <o:OLEObject Type="Embed" ProgID="Equation.3" ShapeID="_x0000_i1070" DrawAspect="Content" ObjectID="_1773432132" r:id="rId340"/>
        </w:object>
      </w:r>
      <w:r w:rsidRPr="005F0419">
        <w:rPr>
          <w:color w:val="auto"/>
          <w:sz w:val="28"/>
          <w:szCs w:val="28"/>
          <w:lang w:val="uk-UA"/>
        </w:rPr>
        <w:t>,                                                                                                           (7)</w:t>
      </w:r>
    </w:p>
    <w:p w14:paraId="5769AF64" w14:textId="77777777" w:rsidR="00662012" w:rsidRPr="005F0419" w:rsidRDefault="00662012" w:rsidP="00662012">
      <w:pPr>
        <w:pStyle w:val="Default"/>
        <w:suppressAutoHyphens/>
        <w:spacing w:line="360" w:lineRule="auto"/>
        <w:ind w:firstLine="720"/>
        <w:jc w:val="both"/>
        <w:rPr>
          <w:rFonts w:eastAsia="Times New Roman"/>
          <w:color w:val="auto"/>
          <w:sz w:val="28"/>
          <w:szCs w:val="28"/>
          <w:lang w:val="uk-UA"/>
        </w:rPr>
      </w:pPr>
      <w:r w:rsidRPr="005F0419">
        <w:rPr>
          <w:rFonts w:eastAsia="Times New Roman"/>
          <w:color w:val="auto"/>
          <w:sz w:val="28"/>
          <w:szCs w:val="28"/>
          <w:lang w:val="uk-UA"/>
        </w:rPr>
        <w:lastRenderedPageBreak/>
        <w:t>Для визначення (</w:t>
      </w:r>
      <w:r w:rsidRPr="005F0419">
        <w:rPr>
          <w:noProof/>
          <w:color w:val="auto"/>
          <w:position w:val="-4"/>
          <w:sz w:val="28"/>
          <w:szCs w:val="28"/>
          <w:lang w:val="uk-UA"/>
        </w:rPr>
        <w:object w:dxaOrig="180" w:dyaOrig="200" w14:anchorId="7B927ED2">
          <v:shape id="_x0000_i1071" type="#_x0000_t75" style="width:9.75pt;height:9.75pt" o:ole="">
            <v:imagedata r:id="rId337" o:title=""/>
          </v:shape>
          <o:OLEObject Type="Embed" ProgID="Equation.3" ShapeID="_x0000_i1071" DrawAspect="Content" ObjectID="_1773432133" r:id="rId341"/>
        </w:object>
      </w:r>
      <w:r w:rsidRPr="005F0419">
        <w:rPr>
          <w:rFonts w:eastAsia="Times New Roman"/>
          <w:color w:val="auto"/>
          <w:sz w:val="28"/>
          <w:szCs w:val="28"/>
          <w:lang w:val="uk-UA"/>
        </w:rPr>
        <w:t>) прямим підрахунком визначається кількість заповідних зон в туристичній локально-регіональній системі країни, потім кожному об’єкту присвоюється бал градації. Дані підсумовуються та визначається середня їх величина, яка ділиться на максимальний бал – 9 балів.</w:t>
      </w:r>
    </w:p>
    <w:p w14:paraId="0C7A8532" w14:textId="77777777" w:rsidR="00662012" w:rsidRPr="005F0419" w:rsidRDefault="00662012" w:rsidP="00662012">
      <w:pPr>
        <w:pStyle w:val="Default"/>
        <w:suppressAutoHyphens/>
        <w:spacing w:line="360" w:lineRule="auto"/>
        <w:ind w:firstLine="720"/>
        <w:jc w:val="both"/>
        <w:rPr>
          <w:rFonts w:eastAsia="Times New Roman"/>
          <w:color w:val="auto"/>
          <w:spacing w:val="-4"/>
          <w:sz w:val="28"/>
          <w:szCs w:val="28"/>
          <w:lang w:val="uk-UA"/>
        </w:rPr>
      </w:pPr>
      <w:r w:rsidRPr="005F0419">
        <w:rPr>
          <w:rFonts w:eastAsia="Times New Roman"/>
          <w:color w:val="auto"/>
          <w:spacing w:val="-4"/>
          <w:sz w:val="28"/>
          <w:szCs w:val="28"/>
          <w:lang w:val="uk-UA"/>
        </w:rPr>
        <w:t>Залежно від інтегрального показника (</w:t>
      </w:r>
      <w:r w:rsidRPr="005F0419">
        <w:rPr>
          <w:noProof/>
          <w:color w:val="auto"/>
          <w:spacing w:val="-4"/>
          <w:position w:val="-16"/>
          <w:sz w:val="28"/>
          <w:szCs w:val="28"/>
          <w:lang w:val="uk-UA"/>
        </w:rPr>
        <w:object w:dxaOrig="560" w:dyaOrig="400" w14:anchorId="3E182DA2">
          <v:shape id="_x0000_i1072" type="#_x0000_t75" style="width:27.75pt;height:17.25pt" o:ole="">
            <v:imagedata r:id="rId342" o:title=""/>
          </v:shape>
          <o:OLEObject Type="Embed" ProgID="Equation.3" ShapeID="_x0000_i1072" DrawAspect="Content" ObjectID="_1773432134" r:id="rId343"/>
        </w:object>
      </w:r>
      <w:r w:rsidRPr="005F0419">
        <w:rPr>
          <w:rFonts w:eastAsia="Times New Roman"/>
          <w:color w:val="auto"/>
          <w:spacing w:val="-4"/>
          <w:sz w:val="28"/>
          <w:szCs w:val="28"/>
          <w:lang w:val="uk-UA"/>
        </w:rPr>
        <w:t>) розраховується рівень потенціалу природних заповідників на території (</w:t>
      </w:r>
      <w:r w:rsidRPr="005F0419">
        <w:rPr>
          <w:noProof/>
          <w:color w:val="auto"/>
          <w:spacing w:val="-4"/>
          <w:position w:val="-16"/>
          <w:sz w:val="28"/>
          <w:szCs w:val="28"/>
          <w:lang w:val="uk-UA"/>
        </w:rPr>
        <w:object w:dxaOrig="580" w:dyaOrig="499" w14:anchorId="409B76B2">
          <v:shape id="_x0000_i1073" type="#_x0000_t75" style="width:29.25pt;height:22.5pt" o:ole="">
            <v:imagedata r:id="rId344" o:title=""/>
          </v:shape>
          <o:OLEObject Type="Embed" ProgID="Equation.3" ShapeID="_x0000_i1073" DrawAspect="Content" ObjectID="_1773432135" r:id="rId345"/>
        </w:object>
      </w:r>
      <w:r w:rsidRPr="005F0419">
        <w:rPr>
          <w:rFonts w:eastAsia="Times New Roman"/>
          <w:color w:val="auto"/>
          <w:spacing w:val="-4"/>
          <w:sz w:val="28"/>
          <w:szCs w:val="28"/>
          <w:lang w:val="uk-UA"/>
        </w:rPr>
        <w:t xml:space="preserve">), який відображає ефективність використання туристичної локально-регіональної системи до загальної території держави, в цілому, та розраховується за формулою (8) </w:t>
      </w:r>
      <w:r w:rsidRPr="005F0419">
        <w:rPr>
          <w:color w:val="auto"/>
          <w:sz w:val="28"/>
          <w:szCs w:val="28"/>
          <w:lang w:val="uk-UA"/>
        </w:rPr>
        <w:t>[31]</w:t>
      </w:r>
      <w:r w:rsidRPr="005F0419">
        <w:rPr>
          <w:rFonts w:eastAsia="Times New Roman"/>
          <w:color w:val="auto"/>
          <w:spacing w:val="-4"/>
          <w:sz w:val="28"/>
          <w:szCs w:val="28"/>
          <w:lang w:val="uk-UA"/>
        </w:rPr>
        <w:t>:</w:t>
      </w:r>
    </w:p>
    <w:p w14:paraId="535477ED" w14:textId="6EDF6756" w:rsidR="00662012" w:rsidRPr="005F0419" w:rsidRDefault="00C713B7" w:rsidP="00662012">
      <w:pPr>
        <w:pStyle w:val="Default"/>
        <w:suppressAutoHyphens/>
        <w:spacing w:line="360" w:lineRule="auto"/>
        <w:ind w:firstLine="720"/>
        <w:jc w:val="both"/>
        <w:rPr>
          <w:color w:val="auto"/>
          <w:sz w:val="28"/>
          <w:szCs w:val="28"/>
          <w:lang w:val="uk-UA"/>
        </w:rPr>
      </w:pPr>
      <w:r w:rsidRPr="005F0419">
        <w:rPr>
          <w:noProof/>
          <w:color w:val="auto"/>
          <w:position w:val="-26"/>
          <w:sz w:val="28"/>
          <w:szCs w:val="28"/>
          <w:lang w:val="uk-UA"/>
        </w:rPr>
        <w:object w:dxaOrig="1240" w:dyaOrig="600" w14:anchorId="27255226">
          <v:shape id="_x0000_i1074" type="#_x0000_t75" style="width:71.25pt;height:31.5pt" o:ole="">
            <v:imagedata r:id="rId346" o:title=""/>
          </v:shape>
          <o:OLEObject Type="Embed" ProgID="Equation.3" ShapeID="_x0000_i1074" DrawAspect="Content" ObjectID="_1773432136" r:id="rId347"/>
        </w:object>
      </w:r>
      <w:r w:rsidR="00662012" w:rsidRPr="005F0419">
        <w:rPr>
          <w:color w:val="auto"/>
          <w:sz w:val="28"/>
          <w:szCs w:val="28"/>
          <w:lang w:val="uk-UA"/>
        </w:rPr>
        <w:t>,                                                                                                       (8)</w:t>
      </w:r>
    </w:p>
    <w:p w14:paraId="6A8991BE" w14:textId="77777777" w:rsidR="00662012" w:rsidRPr="005F0419" w:rsidRDefault="00662012" w:rsidP="00662012">
      <w:pPr>
        <w:pStyle w:val="Default"/>
        <w:suppressAutoHyphens/>
        <w:spacing w:line="360" w:lineRule="auto"/>
        <w:ind w:firstLine="720"/>
        <w:jc w:val="both"/>
        <w:rPr>
          <w:rFonts w:eastAsia="Times New Roman"/>
          <w:color w:val="auto"/>
          <w:sz w:val="28"/>
          <w:szCs w:val="28"/>
          <w:lang w:val="uk-UA"/>
        </w:rPr>
      </w:pPr>
      <w:r w:rsidRPr="005F0419">
        <w:rPr>
          <w:color w:val="auto"/>
          <w:sz w:val="28"/>
          <w:szCs w:val="28"/>
          <w:lang w:val="uk-UA"/>
        </w:rPr>
        <w:t xml:space="preserve">де </w:t>
      </w:r>
      <w:r w:rsidRPr="005F0419">
        <w:rPr>
          <w:noProof/>
          <w:color w:val="auto"/>
          <w:position w:val="-12"/>
          <w:sz w:val="28"/>
          <w:szCs w:val="28"/>
          <w:lang w:val="uk-UA"/>
        </w:rPr>
        <w:object w:dxaOrig="620" w:dyaOrig="360" w14:anchorId="5DCD3A38">
          <v:shape id="_x0000_i1075" type="#_x0000_t75" style="width:33pt;height:18.75pt" o:ole="">
            <v:imagedata r:id="rId348" o:title=""/>
          </v:shape>
          <o:OLEObject Type="Embed" ProgID="Equation.3" ShapeID="_x0000_i1075" DrawAspect="Content" ObjectID="_1773432137" r:id="rId349"/>
        </w:object>
      </w:r>
      <w:r w:rsidRPr="005F0419">
        <w:rPr>
          <w:color w:val="auto"/>
          <w:sz w:val="28"/>
          <w:szCs w:val="28"/>
          <w:lang w:val="uk-UA"/>
        </w:rPr>
        <w:t xml:space="preserve">– </w:t>
      </w:r>
      <w:r w:rsidRPr="005F0419">
        <w:rPr>
          <w:rFonts w:eastAsia="Times New Roman"/>
          <w:color w:val="auto"/>
          <w:sz w:val="28"/>
          <w:szCs w:val="28"/>
          <w:lang w:val="uk-UA"/>
        </w:rPr>
        <w:t>максимальний рівень потенціалу природних заповідників в державі.</w:t>
      </w:r>
    </w:p>
    <w:p w14:paraId="14FECA91" w14:textId="77777777" w:rsidR="002279C5"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hAnsi="Times New Roman" w:cs="Times New Roman"/>
          <w:sz w:val="28"/>
          <w:szCs w:val="28"/>
          <w:lang w:val="uk-UA"/>
        </w:rPr>
        <w:t xml:space="preserve">Сучасний геоекономічний простір індустрії туризму вимагає розробки </w:t>
      </w:r>
      <w:r w:rsidRPr="005F0419">
        <w:rPr>
          <w:rFonts w:ascii="Times New Roman" w:eastAsia="Calibri" w:hAnsi="Times New Roman" w:cs="Times New Roman"/>
          <w:sz w:val="28"/>
          <w:szCs w:val="28"/>
          <w:lang w:val="uk-UA" w:eastAsia="en-US"/>
        </w:rPr>
        <w:t xml:space="preserve">методики оцінки потенціалу міжнародного співробітництва однієї країни з певним рівнем ефективного використання </w:t>
      </w:r>
      <w:r w:rsidRPr="005F0419">
        <w:rPr>
          <w:rFonts w:ascii="Times New Roman" w:hAnsi="Times New Roman" w:cs="Times New Roman"/>
          <w:sz w:val="28"/>
          <w:szCs w:val="28"/>
          <w:lang w:val="uk-UA"/>
        </w:rPr>
        <w:t xml:space="preserve">локально-регіональної системи та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-регіональних системах</w:t>
      </w:r>
      <w:r w:rsidRPr="005F0419">
        <w:rPr>
          <w:rFonts w:ascii="Times New Roman" w:eastAsia="Calibri" w:hAnsi="Times New Roman" w:cs="Times New Roman"/>
          <w:sz w:val="28"/>
          <w:szCs w:val="28"/>
          <w:lang w:val="uk-UA" w:eastAsia="en-US"/>
        </w:rPr>
        <w:t xml:space="preserve"> країн шляхом вимірювання їх функціонального симбіозу на туристичному ринку, який об’єднує велику кількість виробників туристичної продукції з реальними та потенційними покупцями в постійно зростаючому тренді процесу туристичних поїздок, які мають прямий вплив на </w:t>
      </w:r>
      <w:proofErr w:type="spellStart"/>
      <w:r w:rsidRPr="005F0419">
        <w:rPr>
          <w:rFonts w:ascii="Times New Roman" w:eastAsia="Calibri" w:hAnsi="Times New Roman" w:cs="Times New Roman"/>
          <w:sz w:val="28"/>
          <w:szCs w:val="28"/>
          <w:lang w:val="uk-UA" w:eastAsia="en-US"/>
        </w:rPr>
        <w:t>геоекономіку</w:t>
      </w:r>
      <w:proofErr w:type="spellEnd"/>
      <w:r w:rsidRPr="005F0419">
        <w:rPr>
          <w:rFonts w:ascii="Times New Roman" w:eastAsia="Calibri" w:hAnsi="Times New Roman" w:cs="Times New Roman"/>
          <w:sz w:val="28"/>
          <w:szCs w:val="28"/>
          <w:lang w:val="uk-UA" w:eastAsia="en-US"/>
        </w:rPr>
        <w:t xml:space="preserve"> будь-якої країни </w:t>
      </w:r>
      <w:r w:rsidRPr="005F0419">
        <w:rPr>
          <w:rFonts w:ascii="Times New Roman" w:hAnsi="Times New Roman" w:cs="Times New Roman"/>
          <w:sz w:val="28"/>
          <w:szCs w:val="28"/>
          <w:lang w:val="uk-UA"/>
        </w:rPr>
        <w:t>[32; 33]</w:t>
      </w:r>
      <w:r w:rsidRPr="005F0419">
        <w:rPr>
          <w:rFonts w:ascii="Times New Roman" w:eastAsia="Times New Roman,Italic" w:hAnsi="Times New Roman" w:cs="Times New Roman"/>
          <w:iCs/>
          <w:sz w:val="28"/>
          <w:szCs w:val="28"/>
          <w:lang w:val="uk-UA" w:eastAsia="en-US"/>
        </w:rPr>
        <w:t>.</w:t>
      </w:r>
      <w:r w:rsidRPr="005F0419">
        <w:rPr>
          <w:rFonts w:ascii="Times New Roman" w:eastAsia="Calibri" w:hAnsi="Times New Roman" w:cs="Times New Roman"/>
          <w:sz w:val="28"/>
          <w:szCs w:val="28"/>
          <w:lang w:val="uk-UA" w:eastAsia="en-US"/>
        </w:rPr>
        <w:t xml:space="preserve"> При цьому, ефективним способом оцінювання функціональних зв’язки між сферами діяльності суб’єктів міжнародного ринку, що забезпечують </w:t>
      </w:r>
      <w:proofErr w:type="spellStart"/>
      <w:r w:rsidRPr="005F0419">
        <w:rPr>
          <w:rFonts w:ascii="Times New Roman" w:eastAsia="Calibri" w:hAnsi="Times New Roman" w:cs="Times New Roman"/>
          <w:sz w:val="28"/>
          <w:szCs w:val="28"/>
          <w:lang w:val="uk-UA" w:eastAsia="en-US"/>
        </w:rPr>
        <w:t>синергетичність</w:t>
      </w:r>
      <w:proofErr w:type="spellEnd"/>
      <w:r w:rsidRPr="005F0419">
        <w:rPr>
          <w:rFonts w:ascii="Times New Roman" w:eastAsia="Calibri" w:hAnsi="Times New Roman" w:cs="Times New Roman"/>
          <w:sz w:val="28"/>
          <w:szCs w:val="28"/>
          <w:lang w:val="uk-UA" w:eastAsia="en-US"/>
        </w:rPr>
        <w:t xml:space="preserve"> незмінних факторів геоекономічного простору індустрії туризму, є прогнозування очікуваного результату. В такому випадку прогнозування базується на методі екстраполяції ринкових тенденцій й індикаторів </w:t>
      </w:r>
      <w:r w:rsidRPr="005F0419">
        <w:rPr>
          <w:rFonts w:ascii="Times New Roman" w:hAnsi="Times New Roman" w:cs="Times New Roman"/>
          <w:sz w:val="28"/>
          <w:szCs w:val="28"/>
          <w:lang w:val="uk-UA"/>
        </w:rPr>
        <w:t>[20]</w:t>
      </w:r>
      <w:r w:rsidRPr="005F0419">
        <w:rPr>
          <w:rFonts w:ascii="Times New Roman" w:eastAsia="Calibri" w:hAnsi="Times New Roman" w:cs="Times New Roman"/>
          <w:sz w:val="28"/>
          <w:szCs w:val="28"/>
          <w:lang w:val="uk-UA" w:eastAsia="en-US"/>
        </w:rPr>
        <w:t xml:space="preserve">. Точність і надійність прогнозу залежить від багатофакторності і розміру вибірки індикаторів у часі. Використання багатофакторного аналізу дозволяє здійснити геоекономічний аналіз факторів, які впливають на якість результату міжнародного співробітництва країни в функціонуючих </w:t>
      </w:r>
      <w:r w:rsidRPr="005F0419">
        <w:rPr>
          <w:rFonts w:ascii="Times New Roman" w:hAnsi="Times New Roman" w:cs="Times New Roman"/>
          <w:sz w:val="28"/>
          <w:szCs w:val="28"/>
          <w:lang w:val="uk-UA"/>
        </w:rPr>
        <w:t xml:space="preserve">локально-регіональних і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-регіональних системах</w:t>
      </w:r>
      <w:r w:rsidRPr="005F0419">
        <w:rPr>
          <w:rFonts w:ascii="Times New Roman" w:eastAsia="Calibri" w:hAnsi="Times New Roman" w:cs="Times New Roman"/>
          <w:sz w:val="28"/>
          <w:szCs w:val="28"/>
          <w:lang w:val="uk-UA" w:eastAsia="en-US"/>
        </w:rPr>
        <w:t xml:space="preserve"> індустрії туризму </w:t>
      </w:r>
      <w:r w:rsidRPr="005F0419">
        <w:rPr>
          <w:rFonts w:ascii="Times New Roman" w:hAnsi="Times New Roman" w:cs="Times New Roman"/>
          <w:sz w:val="28"/>
          <w:szCs w:val="28"/>
          <w:lang w:val="uk-UA"/>
        </w:rPr>
        <w:t>[4]</w:t>
      </w:r>
      <w:r w:rsidRPr="005F0419">
        <w:rPr>
          <w:rFonts w:ascii="Times New Roman" w:eastAsia="Calibri" w:hAnsi="Times New Roman" w:cs="Times New Roman"/>
          <w:sz w:val="28"/>
          <w:szCs w:val="28"/>
          <w:lang w:val="uk-UA" w:eastAsia="en-US"/>
        </w:rPr>
        <w:t xml:space="preserve">. </w:t>
      </w:r>
    </w:p>
    <w:p w14:paraId="3AA90D46" w14:textId="5135B8C9" w:rsidR="00662012" w:rsidRPr="005F0419" w:rsidRDefault="00662012" w:rsidP="00662012">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r w:rsidRPr="005F0419">
        <w:rPr>
          <w:rFonts w:ascii="Times New Roman" w:eastAsia="TimesNewRomanPSMT" w:hAnsi="Times New Roman" w:cs="Times New Roman"/>
          <w:sz w:val="28"/>
          <w:szCs w:val="28"/>
          <w:lang w:val="uk-UA" w:eastAsia="en-US"/>
        </w:rPr>
        <w:lastRenderedPageBreak/>
        <w:t xml:space="preserve">Так, з позиції розвитку </w:t>
      </w:r>
      <w:r w:rsidRPr="005F0419">
        <w:rPr>
          <w:rFonts w:ascii="Times New Roman" w:eastAsia="Calibri" w:hAnsi="Times New Roman" w:cs="Times New Roman"/>
          <w:sz w:val="28"/>
          <w:szCs w:val="28"/>
          <w:lang w:val="uk-UA" w:eastAsia="en-US"/>
        </w:rPr>
        <w:t xml:space="preserve">ефективність функціонування потенціалу міжнародного співробітництва країни в європейському геоекономічному просторі індустрії туризму пропонується здійснювати за формулою темпів приросту кінцевого продукту, алгоритм розрахунку якого є </w:t>
      </w:r>
      <w:r w:rsidRPr="005F0419">
        <w:rPr>
          <w:rFonts w:ascii="Times New Roman" w:eastAsia="TimesNewRomanPSMT" w:hAnsi="Times New Roman" w:cs="Times New Roman"/>
          <w:sz w:val="28"/>
          <w:szCs w:val="28"/>
          <w:lang w:val="uk-UA" w:eastAsia="en-US"/>
        </w:rPr>
        <w:t xml:space="preserve">інтегрований в країнах Європи та дозволяє визначити індикатори </w:t>
      </w:r>
      <w:proofErr w:type="spellStart"/>
      <w:r w:rsidRPr="005F0419">
        <w:rPr>
          <w:rFonts w:ascii="Times New Roman" w:eastAsia="TimesNewRomanPSMT" w:hAnsi="Times New Roman" w:cs="Times New Roman"/>
          <w:sz w:val="28"/>
          <w:szCs w:val="28"/>
          <w:lang w:val="uk-UA" w:eastAsia="en-US"/>
        </w:rPr>
        <w:t>геоекономіки</w:t>
      </w:r>
      <w:proofErr w:type="spellEnd"/>
      <w:r w:rsidRPr="005F0419">
        <w:rPr>
          <w:rFonts w:ascii="Times New Roman" w:eastAsia="TimesNewRomanPSMT" w:hAnsi="Times New Roman" w:cs="Times New Roman"/>
          <w:sz w:val="28"/>
          <w:szCs w:val="28"/>
          <w:lang w:val="uk-UA" w:eastAsia="en-US"/>
        </w:rPr>
        <w:t xml:space="preserve"> </w:t>
      </w:r>
      <w:r w:rsidRPr="005F0419">
        <w:rPr>
          <w:rFonts w:ascii="Times New Roman" w:hAnsi="Times New Roman" w:cs="Times New Roman"/>
          <w:sz w:val="28"/>
          <w:szCs w:val="28"/>
          <w:lang w:val="uk-UA"/>
        </w:rPr>
        <w:t>[5; 19]</w:t>
      </w:r>
      <w:r w:rsidRPr="005F0419">
        <w:rPr>
          <w:rFonts w:ascii="Times New Roman" w:eastAsia="TimesNewRomanPSMT" w:hAnsi="Times New Roman" w:cs="Times New Roman"/>
          <w:sz w:val="28"/>
          <w:szCs w:val="28"/>
          <w:lang w:val="uk-UA" w:eastAsia="en-US"/>
        </w:rPr>
        <w:t xml:space="preserve"> (рис. 3). </w:t>
      </w:r>
    </w:p>
    <w:p w14:paraId="4EE4911F" w14:textId="666AF70E" w:rsidR="00662012" w:rsidRPr="005F0419" w:rsidRDefault="00662012" w:rsidP="00662012">
      <w:pPr>
        <w:suppressAutoHyphens/>
        <w:autoSpaceDE w:val="0"/>
        <w:autoSpaceDN w:val="0"/>
        <w:adjustRightInd w:val="0"/>
        <w:spacing w:after="0" w:line="360" w:lineRule="auto"/>
        <w:ind w:firstLine="720"/>
        <w:jc w:val="both"/>
        <w:rPr>
          <w:rFonts w:ascii="Times New Roman" w:eastAsia="TimesNewRomanPSMT" w:hAnsi="Times New Roman" w:cs="Times New Roman"/>
          <w:spacing w:val="-3"/>
          <w:sz w:val="28"/>
          <w:szCs w:val="28"/>
          <w:lang w:val="uk-UA" w:eastAsia="en-US"/>
        </w:rPr>
      </w:pPr>
      <w:r w:rsidRPr="005F0419">
        <w:rPr>
          <w:rFonts w:ascii="Times New Roman" w:eastAsia="TimesNewRomanPSMT" w:hAnsi="Times New Roman" w:cs="Times New Roman"/>
          <w:spacing w:val="-3"/>
          <w:sz w:val="28"/>
          <w:szCs w:val="28"/>
          <w:lang w:val="uk-UA" w:eastAsia="en-US"/>
        </w:rPr>
        <w:t xml:space="preserve">Макроекономічну модель розрахунку інтегрованого </w:t>
      </w:r>
      <w:r w:rsidRPr="005F0419">
        <w:rPr>
          <w:rFonts w:ascii="Times New Roman" w:eastAsia="Calibri" w:hAnsi="Times New Roman" w:cs="Times New Roman"/>
          <w:bCs/>
          <w:spacing w:val="-3"/>
          <w:sz w:val="28"/>
          <w:szCs w:val="28"/>
          <w:lang w:val="uk-UA" w:eastAsia="en-US"/>
        </w:rPr>
        <w:t>індексу міжнародного співробітництва в європейському геоекономічному просторі індустрії туризму</w:t>
      </w:r>
      <w:r w:rsidRPr="005F0419">
        <w:rPr>
          <w:rFonts w:ascii="Times New Roman" w:eastAsia="TimesNewRomanPSMT" w:hAnsi="Times New Roman" w:cs="Times New Roman"/>
          <w:spacing w:val="-3"/>
          <w:sz w:val="28"/>
          <w:szCs w:val="28"/>
          <w:lang w:val="uk-UA" w:eastAsia="en-US"/>
        </w:rPr>
        <w:t xml:space="preserve"> країни пропонується розраховувати як середню величину одинадцяти стандартизованих змінних індикаторів, що характеризують ступінь ресурсного забезпечення </w:t>
      </w:r>
      <w:r w:rsidRPr="005F0419">
        <w:rPr>
          <w:rFonts w:ascii="Times New Roman" w:hAnsi="Times New Roman" w:cs="Times New Roman"/>
          <w:spacing w:val="-3"/>
          <w:sz w:val="28"/>
          <w:szCs w:val="28"/>
          <w:lang w:val="uk-UA"/>
        </w:rPr>
        <w:t xml:space="preserve">локально-регіональних і </w:t>
      </w:r>
      <w:proofErr w:type="spellStart"/>
      <w:r w:rsidRPr="005F0419">
        <w:rPr>
          <w:rFonts w:ascii="Times New Roman" w:hAnsi="Times New Roman" w:cs="Times New Roman"/>
          <w:spacing w:val="-3"/>
          <w:sz w:val="28"/>
          <w:szCs w:val="28"/>
          <w:lang w:val="uk-UA"/>
        </w:rPr>
        <w:t>макро</w:t>
      </w:r>
      <w:proofErr w:type="spellEnd"/>
      <w:r w:rsidRPr="005F0419">
        <w:rPr>
          <w:rFonts w:ascii="Times New Roman" w:hAnsi="Times New Roman" w:cs="Times New Roman"/>
          <w:spacing w:val="-3"/>
          <w:sz w:val="28"/>
          <w:szCs w:val="28"/>
          <w:lang w:val="uk-UA"/>
        </w:rPr>
        <w:t>-регіональних систем</w:t>
      </w:r>
      <w:r w:rsidRPr="005F0419">
        <w:rPr>
          <w:rFonts w:ascii="Times New Roman" w:eastAsia="TimesNewRomanPSMT" w:hAnsi="Times New Roman" w:cs="Times New Roman"/>
          <w:spacing w:val="-3"/>
          <w:sz w:val="28"/>
          <w:szCs w:val="28"/>
          <w:lang w:val="uk-UA" w:eastAsia="en-US"/>
        </w:rPr>
        <w:t xml:space="preserve">, масштаб </w:t>
      </w:r>
      <w:r w:rsidRPr="005F0419">
        <w:rPr>
          <w:rFonts w:ascii="Times New Roman" w:eastAsia="Calibri" w:hAnsi="Times New Roman" w:cs="Times New Roman"/>
          <w:spacing w:val="-3"/>
          <w:sz w:val="28"/>
          <w:szCs w:val="28"/>
          <w:lang w:val="uk-UA" w:eastAsia="en-US"/>
        </w:rPr>
        <w:t>сфер діяльності суб’єктів туристичного бізнесу на міжнародному ринку</w:t>
      </w:r>
      <w:r w:rsidRPr="005F0419">
        <w:rPr>
          <w:rFonts w:ascii="Times New Roman" w:eastAsia="TimesNewRomanPSMT" w:hAnsi="Times New Roman" w:cs="Times New Roman"/>
          <w:spacing w:val="-3"/>
          <w:sz w:val="28"/>
          <w:szCs w:val="28"/>
          <w:lang w:val="uk-UA" w:eastAsia="en-US"/>
        </w:rPr>
        <w:t xml:space="preserve">, інвестиційна привабливість туристичного сектору, рівень торгівлі туристичними продуктами за формами інтеграції (формула (9)) </w:t>
      </w:r>
      <w:r w:rsidRPr="005F0419">
        <w:rPr>
          <w:rFonts w:ascii="Times New Roman" w:hAnsi="Times New Roman" w:cs="Times New Roman"/>
          <w:sz w:val="28"/>
          <w:szCs w:val="28"/>
          <w:lang w:val="uk-UA"/>
        </w:rPr>
        <w:t>[28; 32]</w:t>
      </w:r>
      <w:r w:rsidRPr="005F0419">
        <w:rPr>
          <w:rFonts w:ascii="Times New Roman" w:eastAsia="TimesNewRomanPSMT" w:hAnsi="Times New Roman" w:cs="Times New Roman"/>
          <w:spacing w:val="-3"/>
          <w:sz w:val="28"/>
          <w:szCs w:val="28"/>
          <w:lang w:val="uk-UA" w:eastAsia="en-US"/>
        </w:rPr>
        <w:t>:</w:t>
      </w:r>
    </w:p>
    <w:p w14:paraId="31A03BD6" w14:textId="77777777" w:rsidR="00662012" w:rsidRPr="005F0419" w:rsidRDefault="00662012" w:rsidP="00662012">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position w:val="-20"/>
          <w:sz w:val="28"/>
          <w:szCs w:val="28"/>
          <w:lang w:val="uk-UA"/>
        </w:rPr>
        <w:object w:dxaOrig="8220" w:dyaOrig="740" w14:anchorId="253F5BF3">
          <v:shape id="_x0000_i1076" type="#_x0000_t75" style="width:408pt;height:36.75pt" o:ole="">
            <v:imagedata r:id="rId350" o:title=""/>
          </v:shape>
          <o:OLEObject Type="Embed" ProgID="Equation.3" ShapeID="_x0000_i1076" DrawAspect="Content" ObjectID="_1773432138" r:id="rId351"/>
        </w:object>
      </w:r>
      <w:r w:rsidRPr="005F0419">
        <w:rPr>
          <w:rFonts w:ascii="Times New Roman" w:hAnsi="Times New Roman" w:cs="Times New Roman"/>
          <w:sz w:val="28"/>
          <w:szCs w:val="28"/>
          <w:lang w:val="uk-UA"/>
        </w:rPr>
        <w:t>,     (9)</w:t>
      </w:r>
    </w:p>
    <w:p w14:paraId="6B2457F5" w14:textId="08A9F8BA" w:rsidR="00662012" w:rsidRPr="005F0419" w:rsidRDefault="00662012" w:rsidP="00662012">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r w:rsidRPr="005F0419">
        <w:rPr>
          <w:rFonts w:ascii="Times New Roman" w:hAnsi="Times New Roman" w:cs="Times New Roman"/>
          <w:sz w:val="28"/>
          <w:szCs w:val="28"/>
          <w:lang w:val="uk-UA"/>
        </w:rPr>
        <w:t xml:space="preserve">де, </w:t>
      </w:r>
      <w:r w:rsidRPr="005F0419">
        <w:rPr>
          <w:rFonts w:ascii="Times New Roman" w:hAnsi="Times New Roman" w:cs="Times New Roman"/>
          <w:noProof/>
          <w:position w:val="-10"/>
          <w:sz w:val="28"/>
          <w:szCs w:val="28"/>
          <w:lang w:val="uk-UA"/>
        </w:rPr>
        <w:object w:dxaOrig="540" w:dyaOrig="300" w14:anchorId="0AB73872">
          <v:shape id="_x0000_i1077" type="#_x0000_t75" style="width:27.75pt;height:15pt" o:ole="">
            <v:imagedata r:id="rId352" o:title=""/>
          </v:shape>
          <o:OLEObject Type="Embed" ProgID="Equation.3" ShapeID="_x0000_i1077" DrawAspect="Content" ObjectID="_1773432139" r:id="rId353"/>
        </w:object>
      </w:r>
      <w:r w:rsidRPr="005F0419">
        <w:rPr>
          <w:rFonts w:ascii="Times New Roman" w:hAnsi="Times New Roman" w:cs="Times New Roman"/>
          <w:sz w:val="28"/>
          <w:szCs w:val="28"/>
          <w:lang w:val="uk-UA"/>
        </w:rPr>
        <w:t xml:space="preserve"> – </w:t>
      </w:r>
      <w:r w:rsidRPr="005F0419">
        <w:rPr>
          <w:rFonts w:ascii="Times New Roman" w:eastAsia="TimesNewRomanPSMT" w:hAnsi="Times New Roman" w:cs="Times New Roman"/>
          <w:sz w:val="28"/>
          <w:szCs w:val="28"/>
          <w:lang w:val="uk-UA" w:eastAsia="en-US"/>
        </w:rPr>
        <w:t xml:space="preserve">інтегрований </w:t>
      </w:r>
      <w:r w:rsidRPr="005F0419">
        <w:rPr>
          <w:rFonts w:ascii="Times New Roman" w:eastAsia="Calibri" w:hAnsi="Times New Roman" w:cs="Times New Roman"/>
          <w:bCs/>
          <w:sz w:val="28"/>
          <w:szCs w:val="28"/>
          <w:lang w:val="uk-UA" w:eastAsia="en-US"/>
        </w:rPr>
        <w:t>індекс міжнародного співробітництва країни в європейському геоекономічному просторі індустрії туризму;</w:t>
      </w:r>
      <w:r w:rsidRPr="005F0419">
        <w:rPr>
          <w:rFonts w:ascii="Times New Roman" w:hAnsi="Times New Roman" w:cs="Times New Roman"/>
          <w:sz w:val="28"/>
          <w:szCs w:val="28"/>
          <w:lang w:val="uk-UA"/>
        </w:rPr>
        <w:t xml:space="preserve"> </w:t>
      </w:r>
      <w:r w:rsidRPr="005F0419">
        <w:rPr>
          <w:rFonts w:ascii="Times New Roman" w:hAnsi="Times New Roman" w:cs="Times New Roman"/>
          <w:noProof/>
          <w:position w:val="-6"/>
          <w:sz w:val="28"/>
          <w:szCs w:val="28"/>
          <w:lang w:val="uk-UA"/>
        </w:rPr>
        <w:object w:dxaOrig="600" w:dyaOrig="300" w14:anchorId="31FD259D">
          <v:shape id="_x0000_i1078" type="#_x0000_t75" style="width:30pt;height:15pt" o:ole="">
            <v:imagedata r:id="rId354" o:title=""/>
          </v:shape>
          <o:OLEObject Type="Embed" ProgID="Equation.3" ShapeID="_x0000_i1078" DrawAspect="Content" ObjectID="_1773432140" r:id="rId355"/>
        </w:objec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стандартизована середня за </w:t>
      </w:r>
      <w:r w:rsidRPr="005F0419">
        <w:rPr>
          <w:rFonts w:ascii="Times New Roman" w:eastAsia="Calibri" w:hAnsi="Times New Roman" w:cs="Times New Roman"/>
          <w:sz w:val="28"/>
          <w:szCs w:val="28"/>
          <w:lang w:val="uk-UA" w:eastAsia="en-US"/>
        </w:rPr>
        <w:t xml:space="preserve">рівень сприятливого геоекономічного середовища; </w:t>
      </w:r>
      <w:r w:rsidRPr="005F0419">
        <w:rPr>
          <w:rFonts w:ascii="Times New Roman" w:hAnsi="Times New Roman" w:cs="Times New Roman"/>
          <w:noProof/>
          <w:position w:val="-6"/>
          <w:sz w:val="28"/>
          <w:szCs w:val="28"/>
          <w:lang w:val="uk-UA"/>
        </w:rPr>
        <w:object w:dxaOrig="540" w:dyaOrig="300" w14:anchorId="5798B45A">
          <v:shape id="_x0000_i1079" type="#_x0000_t75" style="width:27.75pt;height:15pt" o:ole="">
            <v:imagedata r:id="rId356" o:title=""/>
          </v:shape>
          <o:OLEObject Type="Embed" ProgID="Equation.3" ShapeID="_x0000_i1079" DrawAspect="Content" ObjectID="_1773432141" r:id="rId357"/>
        </w:objec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стандартизована середня за </w:t>
      </w:r>
      <w:r w:rsidRPr="005F0419">
        <w:rPr>
          <w:rFonts w:ascii="Times New Roman" w:eastAsia="Calibri" w:hAnsi="Times New Roman" w:cs="Times New Roman"/>
          <w:sz w:val="28"/>
          <w:szCs w:val="28"/>
          <w:lang w:val="uk-UA" w:eastAsia="en-US"/>
        </w:rPr>
        <w:t xml:space="preserve">рівнем розвитку міжнародного співробітництва у сфері подорожей; </w:t>
      </w:r>
      <w:r w:rsidRPr="005F0419">
        <w:rPr>
          <w:rFonts w:ascii="Times New Roman" w:hAnsi="Times New Roman" w:cs="Times New Roman"/>
          <w:noProof/>
          <w:position w:val="-4"/>
          <w:sz w:val="28"/>
          <w:szCs w:val="28"/>
          <w:lang w:val="uk-UA"/>
        </w:rPr>
        <w:object w:dxaOrig="260" w:dyaOrig="279" w14:anchorId="184BC301">
          <v:shape id="_x0000_i1080" type="#_x0000_t75" style="width:12.75pt;height:14.25pt" o:ole="">
            <v:imagedata r:id="rId358" o:title=""/>
          </v:shape>
          <o:OLEObject Type="Embed" ProgID="Equation.3" ShapeID="_x0000_i1080" DrawAspect="Content" ObjectID="_1773432142" r:id="rId359"/>
        </w:objec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стандартизована середня за </w:t>
      </w:r>
      <w:r w:rsidRPr="005F0419">
        <w:rPr>
          <w:rFonts w:ascii="Times New Roman" w:eastAsia="Calibri" w:hAnsi="Times New Roman" w:cs="Times New Roman"/>
          <w:sz w:val="28"/>
          <w:szCs w:val="28"/>
          <w:lang w:val="uk-UA" w:eastAsia="en-US"/>
        </w:rPr>
        <w:t xml:space="preserve">рівнем розвитку туристичної інфраструктури; </w:t>
      </w:r>
      <w:r w:rsidRPr="005F0419">
        <w:rPr>
          <w:rFonts w:ascii="Times New Roman" w:hAnsi="Times New Roman" w:cs="Times New Roman"/>
          <w:noProof/>
          <w:position w:val="-4"/>
          <w:sz w:val="28"/>
          <w:szCs w:val="28"/>
          <w:lang w:val="uk-UA"/>
        </w:rPr>
        <w:object w:dxaOrig="460" w:dyaOrig="279" w14:anchorId="2D84BCD4">
          <v:shape id="_x0000_i1081" type="#_x0000_t75" style="width:23.25pt;height:14.25pt" o:ole="">
            <v:imagedata r:id="rId360" o:title=""/>
          </v:shape>
          <o:OLEObject Type="Embed" ProgID="Equation.3" ShapeID="_x0000_i1081" DrawAspect="Content" ObjectID="_1773432143" r:id="rId361"/>
        </w:object>
      </w:r>
      <w:r w:rsidRPr="005F0419">
        <w:rPr>
          <w:rFonts w:ascii="Times New Roman" w:hAnsi="Times New Roman" w:cs="Times New Roman"/>
          <w:sz w:val="28"/>
          <w:szCs w:val="28"/>
          <w:lang w:val="uk-UA"/>
        </w:rPr>
        <w:t xml:space="preserve"> – </w:t>
      </w:r>
      <w:r w:rsidRPr="005F0419">
        <w:rPr>
          <w:rFonts w:ascii="Times New Roman" w:eastAsia="TimesNewRomanPSMT" w:hAnsi="Times New Roman" w:cs="Times New Roman"/>
          <w:sz w:val="28"/>
          <w:szCs w:val="28"/>
          <w:lang w:val="uk-UA" w:eastAsia="en-US"/>
        </w:rPr>
        <w:t xml:space="preserve">стандартизована середня за </w:t>
      </w:r>
      <w:r w:rsidRPr="005F0419">
        <w:rPr>
          <w:rFonts w:ascii="Times New Roman" w:eastAsia="Calibri" w:hAnsi="Times New Roman" w:cs="Times New Roman"/>
          <w:sz w:val="28"/>
          <w:szCs w:val="28"/>
          <w:lang w:val="uk-UA" w:eastAsia="en-US"/>
        </w:rPr>
        <w:t xml:space="preserve">рівнем двосторонніх туристичних потоків; </w:t>
      </w:r>
      <w:r w:rsidRPr="005F0419">
        <w:rPr>
          <w:rFonts w:ascii="Times New Roman" w:hAnsi="Times New Roman" w:cs="Times New Roman"/>
          <w:noProof/>
          <w:position w:val="-6"/>
          <w:sz w:val="28"/>
          <w:szCs w:val="28"/>
          <w:lang w:val="uk-UA"/>
        </w:rPr>
        <w:object w:dxaOrig="480" w:dyaOrig="300" w14:anchorId="584CE516">
          <v:shape id="_x0000_i1082" type="#_x0000_t75" style="width:24pt;height:15pt" o:ole="">
            <v:imagedata r:id="rId362" o:title=""/>
          </v:shape>
          <o:OLEObject Type="Embed" ProgID="Equation.3" ShapeID="_x0000_i1082" DrawAspect="Content" ObjectID="_1773432144" r:id="rId363"/>
        </w:objec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стандартизована середня за </w:t>
      </w:r>
      <w:r w:rsidRPr="005F0419">
        <w:rPr>
          <w:rFonts w:ascii="Times New Roman" w:eastAsia="Calibri" w:hAnsi="Times New Roman" w:cs="Times New Roman"/>
          <w:sz w:val="28"/>
          <w:szCs w:val="28"/>
          <w:lang w:val="uk-UA" w:eastAsia="en-US"/>
        </w:rPr>
        <w:t xml:space="preserve">рівнем природних та культурних ресурсів; </w:t>
      </w:r>
      <w:r w:rsidRPr="005F0419">
        <w:rPr>
          <w:rFonts w:ascii="Times New Roman" w:hAnsi="Times New Roman" w:cs="Times New Roman"/>
          <w:noProof/>
          <w:position w:val="-10"/>
          <w:sz w:val="28"/>
          <w:szCs w:val="28"/>
          <w:lang w:val="uk-UA"/>
        </w:rPr>
        <w:object w:dxaOrig="780" w:dyaOrig="340" w14:anchorId="18FD4F31">
          <v:shape id="_x0000_i1083" type="#_x0000_t75" style="width:39pt;height:17.25pt" o:ole="">
            <v:imagedata r:id="rId364" o:title=""/>
          </v:shape>
          <o:OLEObject Type="Embed" ProgID="Equation.3" ShapeID="_x0000_i1083" DrawAspect="Content" ObjectID="_1773432145" r:id="rId365"/>
        </w:objec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стандартизована середня за </w:t>
      </w:r>
      <w:r w:rsidRPr="005F0419">
        <w:rPr>
          <w:rFonts w:ascii="Times New Roman" w:eastAsia="Calibri" w:hAnsi="Times New Roman" w:cs="Times New Roman"/>
          <w:sz w:val="28"/>
          <w:szCs w:val="28"/>
          <w:lang w:val="uk-UA" w:eastAsia="en-US"/>
        </w:rPr>
        <w:t xml:space="preserve">рівнем припливу прямих іноземних інвестицій на розвиток локально-регіональних систем; </w:t>
      </w:r>
      <w:r w:rsidRPr="005F0419">
        <w:rPr>
          <w:rFonts w:ascii="Times New Roman" w:hAnsi="Times New Roman" w:cs="Times New Roman"/>
          <w:noProof/>
          <w:position w:val="-14"/>
          <w:sz w:val="28"/>
          <w:szCs w:val="28"/>
          <w:lang w:val="uk-UA"/>
        </w:rPr>
        <w:object w:dxaOrig="800" w:dyaOrig="380" w14:anchorId="48D3C83E">
          <v:shape id="_x0000_i1084" type="#_x0000_t75" style="width:39.75pt;height:18.75pt" o:ole="">
            <v:imagedata r:id="rId366" o:title=""/>
          </v:shape>
          <o:OLEObject Type="Embed" ProgID="Equation.3" ShapeID="_x0000_i1084" DrawAspect="Content" ObjectID="_1773432146" r:id="rId367"/>
        </w:objec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стандартизована середня за </w:t>
      </w:r>
      <w:r w:rsidRPr="005F0419">
        <w:rPr>
          <w:rFonts w:ascii="Times New Roman" w:eastAsia="Calibri" w:hAnsi="Times New Roman" w:cs="Times New Roman"/>
          <w:sz w:val="28"/>
          <w:szCs w:val="28"/>
          <w:lang w:val="uk-UA" w:eastAsia="en-US"/>
        </w:rPr>
        <w:t xml:space="preserve">рівнем інтенсивності приросту доходів суб’єктів туристичної діяльності в об’єднаному геоекономічному просторі; </w:t>
      </w:r>
      <w:r w:rsidRPr="005F0419">
        <w:rPr>
          <w:rFonts w:ascii="Times New Roman" w:hAnsi="Times New Roman" w:cs="Times New Roman"/>
          <w:noProof/>
          <w:position w:val="-16"/>
          <w:sz w:val="28"/>
          <w:szCs w:val="28"/>
          <w:lang w:val="uk-UA"/>
        </w:rPr>
        <w:object w:dxaOrig="560" w:dyaOrig="499" w14:anchorId="7FB5CA43">
          <v:shape id="_x0000_i1085" type="#_x0000_t75" style="width:27.75pt;height:24.75pt" o:ole="">
            <v:imagedata r:id="rId368" o:title=""/>
          </v:shape>
          <o:OLEObject Type="Embed" ProgID="Equation.3" ShapeID="_x0000_i1085" DrawAspect="Content" ObjectID="_1773432147" r:id="rId369"/>
        </w:objec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стандартизована середня за </w:t>
      </w:r>
      <w:r w:rsidRPr="005F0419">
        <w:rPr>
          <w:rFonts w:ascii="Times New Roman" w:eastAsia="Calibri" w:hAnsi="Times New Roman" w:cs="Times New Roman"/>
          <w:sz w:val="28"/>
          <w:szCs w:val="28"/>
          <w:lang w:val="uk-UA" w:eastAsia="en-US"/>
        </w:rPr>
        <w:t xml:space="preserve">рівнем податкових надходжень від індустрії туризму в державному бюджеті країни; </w:t>
      </w:r>
      <w:r w:rsidRPr="005F0419">
        <w:rPr>
          <w:rFonts w:ascii="Times New Roman" w:hAnsi="Times New Roman" w:cs="Times New Roman"/>
          <w:noProof/>
          <w:position w:val="-16"/>
          <w:sz w:val="28"/>
          <w:szCs w:val="28"/>
          <w:lang w:val="uk-UA"/>
        </w:rPr>
        <w:object w:dxaOrig="720" w:dyaOrig="520" w14:anchorId="7C1D6113">
          <v:shape id="_x0000_i1086" type="#_x0000_t75" style="width:36pt;height:26.25pt" o:ole="">
            <v:imagedata r:id="rId370" o:title=""/>
          </v:shape>
          <o:OLEObject Type="Embed" ProgID="Equation.3" ShapeID="_x0000_i1086" DrawAspect="Content" ObjectID="_1773432148" r:id="rId371"/>
        </w:objec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стандартизована середня за </w:t>
      </w:r>
      <w:r w:rsidRPr="005F0419">
        <w:rPr>
          <w:rFonts w:ascii="Times New Roman" w:eastAsia="Calibri" w:hAnsi="Times New Roman" w:cs="Times New Roman"/>
          <w:sz w:val="28"/>
          <w:szCs w:val="28"/>
          <w:lang w:val="uk-UA" w:eastAsia="en-US"/>
        </w:rPr>
        <w:t xml:space="preserve">часткою </w:t>
      </w:r>
      <w:r w:rsidRPr="005F0419">
        <w:rPr>
          <w:rFonts w:ascii="Times New Roman" w:eastAsia="TimesNewRomanPSMT" w:hAnsi="Times New Roman" w:cs="Times New Roman"/>
          <w:sz w:val="28"/>
          <w:szCs w:val="28"/>
          <w:lang w:val="uk-UA" w:eastAsia="en-US"/>
        </w:rPr>
        <w:t xml:space="preserve">обсягу ВРП на душу населення при залученні прямих </w:t>
      </w:r>
      <w:r w:rsidRPr="005F0419">
        <w:rPr>
          <w:rFonts w:ascii="Times New Roman" w:eastAsia="TimesNewRomanPSMT" w:hAnsi="Times New Roman" w:cs="Times New Roman"/>
          <w:sz w:val="28"/>
          <w:szCs w:val="28"/>
          <w:lang w:val="uk-UA" w:eastAsia="en-US"/>
        </w:rPr>
        <w:lastRenderedPageBreak/>
        <w:t xml:space="preserve">іноземних інвестицій; </w:t>
      </w:r>
      <w:r w:rsidRPr="005F0419">
        <w:rPr>
          <w:rFonts w:ascii="Times New Roman" w:hAnsi="Times New Roman" w:cs="Times New Roman"/>
          <w:noProof/>
          <w:position w:val="-10"/>
          <w:sz w:val="28"/>
          <w:szCs w:val="28"/>
          <w:lang w:val="uk-UA"/>
        </w:rPr>
        <w:object w:dxaOrig="859" w:dyaOrig="340" w14:anchorId="0E22161C">
          <v:shape id="_x0000_i1087" type="#_x0000_t75" style="width:42.75pt;height:17.25pt" o:ole="">
            <v:imagedata r:id="rId372" o:title=""/>
          </v:shape>
          <o:OLEObject Type="Embed" ProgID="Equation.3" ShapeID="_x0000_i1087" DrawAspect="Content" ObjectID="_1773432149" r:id="rId373"/>
        </w:objec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стандартизована середня за часткою експорту туристичних послуг у ВРП країни; </w:t>
      </w:r>
      <w:r w:rsidRPr="005F0419">
        <w:rPr>
          <w:rFonts w:ascii="Times New Roman" w:hAnsi="Times New Roman" w:cs="Times New Roman"/>
          <w:noProof/>
          <w:position w:val="-6"/>
          <w:sz w:val="28"/>
          <w:szCs w:val="28"/>
          <w:lang w:val="uk-UA"/>
        </w:rPr>
        <w:object w:dxaOrig="340" w:dyaOrig="300" w14:anchorId="4CB6DB8E">
          <v:shape id="_x0000_i1088" type="#_x0000_t75" style="width:17.25pt;height:15pt" o:ole="">
            <v:imagedata r:id="rId374" o:title=""/>
          </v:shape>
          <o:OLEObject Type="Embed" ProgID="Equation.3" ShapeID="_x0000_i1088" DrawAspect="Content" ObjectID="_1773432150" r:id="rId375"/>
        </w:objec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стандартизована середня за рівнем приросту вартості робочої сили в </w:t>
      </w:r>
      <w:r w:rsidRPr="005F0419">
        <w:rPr>
          <w:rFonts w:ascii="Times New Roman" w:eastAsia="Calibri" w:hAnsi="Times New Roman" w:cs="Times New Roman"/>
          <w:sz w:val="28"/>
          <w:szCs w:val="28"/>
          <w:lang w:val="uk-UA" w:eastAsia="en-US"/>
        </w:rPr>
        <w:t>індустрії туризму</w:t>
      </w:r>
      <w:r w:rsidRPr="005F0419">
        <w:rPr>
          <w:rFonts w:ascii="Times New Roman" w:eastAsia="TimesNewRomanPSMT" w:hAnsi="Times New Roman" w:cs="Times New Roman"/>
          <w:sz w:val="28"/>
          <w:szCs w:val="28"/>
          <w:lang w:val="uk-UA" w:eastAsia="en-US"/>
        </w:rPr>
        <w:t>.</w:t>
      </w:r>
    </w:p>
    <w:p w14:paraId="38A57C2C" w14:textId="7BB7A4C0" w:rsidR="002279C5" w:rsidRPr="005F0419" w:rsidRDefault="002279C5"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hAnsi="Times New Roman" w:cs="Times New Roman"/>
          <w:noProof/>
          <w:sz w:val="28"/>
          <w:szCs w:val="28"/>
          <w:lang w:val="uk-UA"/>
        </w:rPr>
        <mc:AlternateContent>
          <mc:Choice Requires="wpg">
            <w:drawing>
              <wp:anchor distT="0" distB="0" distL="114300" distR="114300" simplePos="0" relativeHeight="251691008" behindDoc="0" locked="0" layoutInCell="1" allowOverlap="1" wp14:anchorId="2A5E2B30" wp14:editId="5E4EA048">
                <wp:simplePos x="0" y="0"/>
                <wp:positionH relativeFrom="column">
                  <wp:posOffset>128132</wp:posOffset>
                </wp:positionH>
                <wp:positionV relativeFrom="paragraph">
                  <wp:posOffset>82964</wp:posOffset>
                </wp:positionV>
                <wp:extent cx="6111875" cy="3864196"/>
                <wp:effectExtent l="0" t="0" r="22225" b="22225"/>
                <wp:wrapNone/>
                <wp:docPr id="1909726859" name="Группа 19097268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11875" cy="3864196"/>
                          <a:chOff x="1335" y="10101"/>
                          <a:chExt cx="9445" cy="4425"/>
                        </a:xfrm>
                      </wpg:grpSpPr>
                      <wps:wsp>
                        <wps:cNvPr id="1909726860" name=" 346"/>
                        <wps:cNvSpPr txBox="1">
                          <a:spLocks/>
                        </wps:cNvSpPr>
                        <wps:spPr bwMode="auto">
                          <a:xfrm>
                            <a:off x="1335" y="10246"/>
                            <a:ext cx="1006" cy="428"/>
                          </a:xfrm>
                          <a:prstGeom prst="rect">
                            <a:avLst/>
                          </a:prstGeom>
                          <a:solidFill>
                            <a:srgbClr val="FFFFFF"/>
                          </a:solidFill>
                          <a:ln w="9525">
                            <a:solidFill>
                              <a:srgbClr val="000000"/>
                            </a:solidFill>
                            <a:miter lim="800000"/>
                            <a:headEnd/>
                            <a:tailEnd/>
                          </a:ln>
                        </wps:spPr>
                        <wps:txbx>
                          <w:txbxContent>
                            <w:p w14:paraId="0B45ADBD" w14:textId="77777777" w:rsidR="00571B42" w:rsidRPr="002279C5" w:rsidRDefault="00571B42" w:rsidP="00662012">
                              <w:pPr>
                                <w:jc w:val="center"/>
                                <w:rPr>
                                  <w:rFonts w:ascii="Times New Roman" w:hAnsi="Times New Roman" w:cs="Times New Roman"/>
                                  <w:sz w:val="24"/>
                                  <w:szCs w:val="24"/>
                                </w:rPr>
                              </w:pPr>
                              <w:r w:rsidRPr="002279C5">
                                <w:rPr>
                                  <w:rFonts w:ascii="Times New Roman" w:hAnsi="Times New Roman" w:cs="Times New Roman"/>
                                  <w:bCs/>
                                  <w:sz w:val="24"/>
                                  <w:szCs w:val="24"/>
                                  <w:lang w:val="uk-UA"/>
                                </w:rPr>
                                <w:t>Етап 1</w:t>
                              </w:r>
                            </w:p>
                          </w:txbxContent>
                        </wps:txbx>
                        <wps:bodyPr rot="0" vert="horz" wrap="square" lIns="91440" tIns="45720" rIns="91440" bIns="45720" anchor="t" anchorCtr="0" upright="1">
                          <a:noAutofit/>
                        </wps:bodyPr>
                      </wps:wsp>
                      <wps:wsp>
                        <wps:cNvPr id="1909726861" name=" 347"/>
                        <wps:cNvSpPr txBox="1">
                          <a:spLocks/>
                        </wps:cNvSpPr>
                        <wps:spPr bwMode="auto">
                          <a:xfrm>
                            <a:off x="2527" y="10101"/>
                            <a:ext cx="8253" cy="738"/>
                          </a:xfrm>
                          <a:prstGeom prst="rect">
                            <a:avLst/>
                          </a:prstGeom>
                          <a:solidFill>
                            <a:srgbClr val="FFFFFF"/>
                          </a:solidFill>
                          <a:ln w="9525">
                            <a:solidFill>
                              <a:srgbClr val="000000"/>
                            </a:solidFill>
                            <a:miter lim="800000"/>
                            <a:headEnd/>
                            <a:tailEnd/>
                          </a:ln>
                        </wps:spPr>
                        <wps:txbx>
                          <w:txbxContent>
                            <w:p w14:paraId="0B26D7DF" w14:textId="77777777" w:rsidR="00571B42" w:rsidRPr="002279C5" w:rsidRDefault="00571B42" w:rsidP="00662012">
                              <w:pPr>
                                <w:suppressAutoHyphens/>
                                <w:autoSpaceDE w:val="0"/>
                                <w:autoSpaceDN w:val="0"/>
                                <w:adjustRightInd w:val="0"/>
                                <w:jc w:val="both"/>
                                <w:rPr>
                                  <w:rFonts w:ascii="Times New Roman" w:eastAsia="Calibri" w:hAnsi="Times New Roman" w:cs="Times New Roman"/>
                                  <w:bCs/>
                                  <w:sz w:val="24"/>
                                  <w:szCs w:val="24"/>
                                  <w:lang w:val="uk-UA" w:eastAsia="en-US"/>
                                </w:rPr>
                              </w:pPr>
                              <w:r w:rsidRPr="002279C5">
                                <w:rPr>
                                  <w:rFonts w:ascii="Times New Roman" w:eastAsia="Calibri" w:hAnsi="Times New Roman" w:cs="Times New Roman"/>
                                  <w:bCs/>
                                  <w:sz w:val="24"/>
                                  <w:szCs w:val="24"/>
                                  <w:lang w:val="uk-UA" w:eastAsia="en-US"/>
                                </w:rPr>
                                <w:t xml:space="preserve">Визначення аналітичних індикаторів, що формують </w:t>
                              </w:r>
                              <w:r w:rsidRPr="002279C5">
                                <w:rPr>
                                  <w:rFonts w:ascii="Times New Roman" w:eastAsia="TimesNewRomanPSMT" w:hAnsi="Times New Roman" w:cs="Times New Roman"/>
                                  <w:sz w:val="24"/>
                                  <w:szCs w:val="24"/>
                                  <w:lang w:val="uk-UA" w:eastAsia="en-US"/>
                                </w:rPr>
                                <w:t xml:space="preserve">інтегрований </w:t>
                              </w:r>
                              <w:r w:rsidRPr="002279C5">
                                <w:rPr>
                                  <w:rFonts w:ascii="Times New Roman" w:eastAsia="Calibri" w:hAnsi="Times New Roman" w:cs="Times New Roman"/>
                                  <w:bCs/>
                                  <w:sz w:val="24"/>
                                  <w:szCs w:val="24"/>
                                  <w:lang w:val="uk-UA" w:eastAsia="en-US"/>
                                </w:rPr>
                                <w:t xml:space="preserve">індекс </w:t>
                              </w:r>
                            </w:p>
                            <w:p w14:paraId="6C343FEE" w14:textId="77777777" w:rsidR="00571B42" w:rsidRPr="002279C5" w:rsidRDefault="00571B42" w:rsidP="00662012">
                              <w:pPr>
                                <w:suppressAutoHyphens/>
                                <w:autoSpaceDE w:val="0"/>
                                <w:autoSpaceDN w:val="0"/>
                                <w:adjustRightInd w:val="0"/>
                                <w:jc w:val="both"/>
                                <w:rPr>
                                  <w:rFonts w:ascii="Times New Roman" w:hAnsi="Times New Roman" w:cs="Times New Roman"/>
                                  <w:sz w:val="24"/>
                                  <w:szCs w:val="24"/>
                                  <w:lang w:val="uk-UA"/>
                                </w:rPr>
                              </w:pPr>
                              <w:r w:rsidRPr="002279C5">
                                <w:rPr>
                                  <w:rFonts w:ascii="Times New Roman" w:eastAsia="Calibri" w:hAnsi="Times New Roman" w:cs="Times New Roman"/>
                                  <w:bCs/>
                                  <w:sz w:val="24"/>
                                  <w:szCs w:val="24"/>
                                  <w:lang w:val="uk-UA" w:eastAsia="en-US"/>
                                </w:rPr>
                                <w:t xml:space="preserve">міжнародного співробітництва країни в європейському геоекономічному просторі індустрії туризму </w:t>
                              </w:r>
                            </w:p>
                          </w:txbxContent>
                        </wps:txbx>
                        <wps:bodyPr rot="0" vert="horz" wrap="square" lIns="91440" tIns="45720" rIns="91440" bIns="45720" anchor="t" anchorCtr="0" upright="1">
                          <a:noAutofit/>
                        </wps:bodyPr>
                      </wps:wsp>
                      <wps:wsp>
                        <wps:cNvPr id="1909726862" name=" 351"/>
                        <wps:cNvSpPr>
                          <a:spLocks/>
                        </wps:cNvSpPr>
                        <wps:spPr bwMode="auto">
                          <a:xfrm>
                            <a:off x="2341" y="10389"/>
                            <a:ext cx="233" cy="143"/>
                          </a:xfrm>
                          <a:prstGeom prst="rightArrow">
                            <a:avLst>
                              <a:gd name="adj1" fmla="val 50000"/>
                              <a:gd name="adj2" fmla="val 4073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09726863" name=" 354"/>
                        <wps:cNvSpPr txBox="1">
                          <a:spLocks/>
                        </wps:cNvSpPr>
                        <wps:spPr bwMode="auto">
                          <a:xfrm>
                            <a:off x="1335" y="10978"/>
                            <a:ext cx="1006" cy="417"/>
                          </a:xfrm>
                          <a:prstGeom prst="rect">
                            <a:avLst/>
                          </a:prstGeom>
                          <a:solidFill>
                            <a:srgbClr val="FFFFFF"/>
                          </a:solidFill>
                          <a:ln w="9525">
                            <a:solidFill>
                              <a:srgbClr val="000000"/>
                            </a:solidFill>
                            <a:miter lim="800000"/>
                            <a:headEnd/>
                            <a:tailEnd/>
                          </a:ln>
                        </wps:spPr>
                        <wps:txbx>
                          <w:txbxContent>
                            <w:p w14:paraId="2B8576F6" w14:textId="77777777" w:rsidR="00571B42" w:rsidRPr="002279C5" w:rsidRDefault="00571B42" w:rsidP="00662012">
                              <w:pPr>
                                <w:jc w:val="both"/>
                                <w:rPr>
                                  <w:rFonts w:ascii="Times New Roman" w:hAnsi="Times New Roman" w:cs="Times New Roman"/>
                                  <w:sz w:val="24"/>
                                  <w:szCs w:val="24"/>
                                </w:rPr>
                              </w:pPr>
                              <w:r w:rsidRPr="002279C5">
                                <w:rPr>
                                  <w:rFonts w:ascii="Times New Roman" w:hAnsi="Times New Roman" w:cs="Times New Roman"/>
                                  <w:bCs/>
                                  <w:sz w:val="24"/>
                                  <w:szCs w:val="24"/>
                                  <w:lang w:val="uk-UA"/>
                                </w:rPr>
                                <w:t>Етап 2</w:t>
                              </w:r>
                            </w:p>
                          </w:txbxContent>
                        </wps:txbx>
                        <wps:bodyPr rot="0" vert="horz" wrap="square" lIns="91440" tIns="45720" rIns="91440" bIns="45720" anchor="t" anchorCtr="0" upright="1">
                          <a:noAutofit/>
                        </wps:bodyPr>
                      </wps:wsp>
                      <wps:wsp>
                        <wps:cNvPr id="1909726864" name=" 355"/>
                        <wps:cNvSpPr txBox="1">
                          <a:spLocks/>
                        </wps:cNvSpPr>
                        <wps:spPr bwMode="auto">
                          <a:xfrm>
                            <a:off x="2527" y="10978"/>
                            <a:ext cx="8253" cy="417"/>
                          </a:xfrm>
                          <a:prstGeom prst="rect">
                            <a:avLst/>
                          </a:prstGeom>
                          <a:solidFill>
                            <a:srgbClr val="FFFFFF"/>
                          </a:solidFill>
                          <a:ln w="9525">
                            <a:solidFill>
                              <a:srgbClr val="000000"/>
                            </a:solidFill>
                            <a:miter lim="800000"/>
                            <a:headEnd/>
                            <a:tailEnd/>
                          </a:ln>
                        </wps:spPr>
                        <wps:txbx>
                          <w:txbxContent>
                            <w:p w14:paraId="3A318B9E" w14:textId="77777777" w:rsidR="00571B42" w:rsidRPr="002279C5" w:rsidRDefault="00571B42" w:rsidP="00662012">
                              <w:pPr>
                                <w:autoSpaceDE w:val="0"/>
                                <w:autoSpaceDN w:val="0"/>
                                <w:adjustRightInd w:val="0"/>
                                <w:jc w:val="both"/>
                                <w:rPr>
                                  <w:rFonts w:ascii="Times New Roman" w:hAnsi="Times New Roman" w:cs="Times New Roman"/>
                                  <w:sz w:val="24"/>
                                  <w:szCs w:val="24"/>
                                  <w:lang w:val="uk-UA"/>
                                </w:rPr>
                              </w:pPr>
                              <w:r w:rsidRPr="002279C5">
                                <w:rPr>
                                  <w:rFonts w:ascii="Times New Roman" w:eastAsia="Calibri" w:hAnsi="Times New Roman" w:cs="Times New Roman"/>
                                  <w:bCs/>
                                  <w:sz w:val="24"/>
                                  <w:szCs w:val="24"/>
                                  <w:lang w:val="uk-UA" w:eastAsia="en-US"/>
                                </w:rPr>
                                <w:t>Стандартизація аналітичних індикаторів за методом найбільшої середньої.</w:t>
                              </w:r>
                            </w:p>
                          </w:txbxContent>
                        </wps:txbx>
                        <wps:bodyPr rot="0" vert="horz" wrap="square" lIns="91440" tIns="45720" rIns="91440" bIns="45720" anchor="t" anchorCtr="0" upright="1">
                          <a:noAutofit/>
                        </wps:bodyPr>
                      </wps:wsp>
                      <wps:wsp>
                        <wps:cNvPr id="1909726865" name=" 357"/>
                        <wps:cNvSpPr txBox="1">
                          <a:spLocks/>
                        </wps:cNvSpPr>
                        <wps:spPr bwMode="auto">
                          <a:xfrm>
                            <a:off x="1335" y="12553"/>
                            <a:ext cx="1006" cy="450"/>
                          </a:xfrm>
                          <a:prstGeom prst="rect">
                            <a:avLst/>
                          </a:prstGeom>
                          <a:solidFill>
                            <a:srgbClr val="FFFFFF"/>
                          </a:solidFill>
                          <a:ln w="9525">
                            <a:solidFill>
                              <a:srgbClr val="000000"/>
                            </a:solidFill>
                            <a:miter lim="800000"/>
                            <a:headEnd/>
                            <a:tailEnd/>
                          </a:ln>
                        </wps:spPr>
                        <wps:txbx>
                          <w:txbxContent>
                            <w:p w14:paraId="19C5F47B" w14:textId="77777777" w:rsidR="00571B42" w:rsidRPr="002279C5" w:rsidRDefault="00571B42" w:rsidP="00662012">
                              <w:pPr>
                                <w:jc w:val="both"/>
                                <w:rPr>
                                  <w:rFonts w:ascii="Times New Roman" w:hAnsi="Times New Roman" w:cs="Times New Roman"/>
                                  <w:sz w:val="24"/>
                                  <w:szCs w:val="24"/>
                                </w:rPr>
                              </w:pPr>
                              <w:r w:rsidRPr="002279C5">
                                <w:rPr>
                                  <w:rFonts w:ascii="Times New Roman" w:hAnsi="Times New Roman" w:cs="Times New Roman"/>
                                  <w:bCs/>
                                  <w:sz w:val="24"/>
                                  <w:szCs w:val="24"/>
                                  <w:lang w:val="uk-UA"/>
                                </w:rPr>
                                <w:t>Етап 4</w:t>
                              </w:r>
                            </w:p>
                          </w:txbxContent>
                        </wps:txbx>
                        <wps:bodyPr rot="0" vert="horz" wrap="square" lIns="91440" tIns="45720" rIns="91440" bIns="45720" anchor="t" anchorCtr="0" upright="1">
                          <a:noAutofit/>
                        </wps:bodyPr>
                      </wps:wsp>
                      <wps:wsp>
                        <wps:cNvPr id="1909726866" name=" 368"/>
                        <wps:cNvSpPr>
                          <a:spLocks/>
                        </wps:cNvSpPr>
                        <wps:spPr bwMode="auto">
                          <a:xfrm>
                            <a:off x="2341" y="11109"/>
                            <a:ext cx="186" cy="143"/>
                          </a:xfrm>
                          <a:prstGeom prst="rightArrow">
                            <a:avLst>
                              <a:gd name="adj1" fmla="val 50000"/>
                              <a:gd name="adj2" fmla="val 3251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09726867" name=" 369"/>
                        <wps:cNvSpPr txBox="1">
                          <a:spLocks/>
                        </wps:cNvSpPr>
                        <wps:spPr bwMode="auto">
                          <a:xfrm>
                            <a:off x="1335" y="11646"/>
                            <a:ext cx="1006" cy="417"/>
                          </a:xfrm>
                          <a:prstGeom prst="rect">
                            <a:avLst/>
                          </a:prstGeom>
                          <a:solidFill>
                            <a:srgbClr val="FFFFFF"/>
                          </a:solidFill>
                          <a:ln w="9525">
                            <a:solidFill>
                              <a:srgbClr val="000000"/>
                            </a:solidFill>
                            <a:miter lim="800000"/>
                            <a:headEnd/>
                            <a:tailEnd/>
                          </a:ln>
                        </wps:spPr>
                        <wps:txbx>
                          <w:txbxContent>
                            <w:p w14:paraId="5A40E27B" w14:textId="77777777" w:rsidR="00571B42" w:rsidRPr="002279C5" w:rsidRDefault="00571B42" w:rsidP="00662012">
                              <w:pPr>
                                <w:jc w:val="both"/>
                                <w:rPr>
                                  <w:rFonts w:ascii="Times New Roman" w:hAnsi="Times New Roman" w:cs="Times New Roman"/>
                                  <w:sz w:val="24"/>
                                  <w:szCs w:val="24"/>
                                </w:rPr>
                              </w:pPr>
                              <w:r w:rsidRPr="002279C5">
                                <w:rPr>
                                  <w:rFonts w:ascii="Times New Roman" w:hAnsi="Times New Roman" w:cs="Times New Roman"/>
                                  <w:bCs/>
                                  <w:sz w:val="24"/>
                                  <w:szCs w:val="24"/>
                                  <w:lang w:val="uk-UA"/>
                                </w:rPr>
                                <w:t>Етап 3</w:t>
                              </w:r>
                            </w:p>
                          </w:txbxContent>
                        </wps:txbx>
                        <wps:bodyPr rot="0" vert="horz" wrap="square" lIns="91440" tIns="45720" rIns="91440" bIns="45720" anchor="t" anchorCtr="0" upright="1">
                          <a:noAutofit/>
                        </wps:bodyPr>
                      </wps:wsp>
                      <wps:wsp>
                        <wps:cNvPr id="1909726868" name=" 371"/>
                        <wps:cNvSpPr txBox="1">
                          <a:spLocks/>
                        </wps:cNvSpPr>
                        <wps:spPr bwMode="auto">
                          <a:xfrm>
                            <a:off x="2527" y="11481"/>
                            <a:ext cx="8253" cy="660"/>
                          </a:xfrm>
                          <a:prstGeom prst="rect">
                            <a:avLst/>
                          </a:prstGeom>
                          <a:solidFill>
                            <a:srgbClr val="FFFFFF"/>
                          </a:solidFill>
                          <a:ln w="9525">
                            <a:solidFill>
                              <a:srgbClr val="000000"/>
                            </a:solidFill>
                            <a:miter lim="800000"/>
                            <a:headEnd/>
                            <a:tailEnd/>
                          </a:ln>
                        </wps:spPr>
                        <wps:txbx>
                          <w:txbxContent>
                            <w:p w14:paraId="063D73AF" w14:textId="77777777" w:rsidR="00571B42" w:rsidRPr="002279C5" w:rsidRDefault="00571B42" w:rsidP="00662012">
                              <w:pPr>
                                <w:autoSpaceDE w:val="0"/>
                                <w:autoSpaceDN w:val="0"/>
                                <w:adjustRightInd w:val="0"/>
                                <w:jc w:val="both"/>
                                <w:rPr>
                                  <w:rFonts w:ascii="Times New Roman" w:hAnsi="Times New Roman" w:cs="Times New Roman"/>
                                  <w:sz w:val="24"/>
                                  <w:szCs w:val="24"/>
                                  <w:lang w:val="uk-UA"/>
                                </w:rPr>
                              </w:pPr>
                              <w:r w:rsidRPr="002279C5">
                                <w:rPr>
                                  <w:rFonts w:ascii="Times New Roman" w:eastAsia="Calibri" w:hAnsi="Times New Roman" w:cs="Times New Roman"/>
                                  <w:bCs/>
                                  <w:sz w:val="24"/>
                                  <w:szCs w:val="24"/>
                                  <w:lang w:val="uk-UA" w:eastAsia="en-US"/>
                                </w:rPr>
                                <w:t xml:space="preserve">Розрахунок </w:t>
                              </w:r>
                              <w:r w:rsidRPr="002279C5">
                                <w:rPr>
                                  <w:rFonts w:ascii="Times New Roman" w:eastAsia="TimesNewRomanPSMT" w:hAnsi="Times New Roman" w:cs="Times New Roman"/>
                                  <w:sz w:val="24"/>
                                  <w:szCs w:val="24"/>
                                  <w:lang w:val="uk-UA" w:eastAsia="en-US"/>
                                </w:rPr>
                                <w:t xml:space="preserve">інтегрованого </w:t>
                              </w:r>
                              <w:r w:rsidRPr="002279C5">
                                <w:rPr>
                                  <w:rFonts w:ascii="Times New Roman" w:eastAsia="Calibri" w:hAnsi="Times New Roman" w:cs="Times New Roman"/>
                                  <w:bCs/>
                                  <w:sz w:val="24"/>
                                  <w:szCs w:val="24"/>
                                  <w:lang w:val="uk-UA" w:eastAsia="en-US"/>
                                </w:rPr>
                                <w:t xml:space="preserve">індексу міжнародного співробітництва країни в європейському геоекономічному просторі індустрії туризму </w:t>
                              </w:r>
                            </w:p>
                          </w:txbxContent>
                        </wps:txbx>
                        <wps:bodyPr rot="0" vert="horz" wrap="square" lIns="91440" tIns="45720" rIns="91440" bIns="45720" anchor="t" anchorCtr="0" upright="1">
                          <a:noAutofit/>
                        </wps:bodyPr>
                      </wps:wsp>
                      <wps:wsp>
                        <wps:cNvPr id="1909726869" name=" 373"/>
                        <wps:cNvSpPr txBox="1">
                          <a:spLocks/>
                        </wps:cNvSpPr>
                        <wps:spPr bwMode="auto">
                          <a:xfrm>
                            <a:off x="2527" y="12275"/>
                            <a:ext cx="8253" cy="1096"/>
                          </a:xfrm>
                          <a:prstGeom prst="rect">
                            <a:avLst/>
                          </a:prstGeom>
                          <a:solidFill>
                            <a:srgbClr val="FFFFFF"/>
                          </a:solidFill>
                          <a:ln w="9525">
                            <a:solidFill>
                              <a:srgbClr val="000000"/>
                            </a:solidFill>
                            <a:miter lim="800000"/>
                            <a:headEnd/>
                            <a:tailEnd/>
                          </a:ln>
                        </wps:spPr>
                        <wps:txbx>
                          <w:txbxContent>
                            <w:p w14:paraId="7E8BC2BB" w14:textId="77777777" w:rsidR="00571B42" w:rsidRPr="002279C5" w:rsidRDefault="00571B42" w:rsidP="00662012">
                              <w:pPr>
                                <w:suppressAutoHyphens/>
                                <w:autoSpaceDE w:val="0"/>
                                <w:autoSpaceDN w:val="0"/>
                                <w:adjustRightInd w:val="0"/>
                                <w:jc w:val="both"/>
                                <w:rPr>
                                  <w:rFonts w:ascii="Times New Roman" w:hAnsi="Times New Roman" w:cs="Times New Roman"/>
                                  <w:sz w:val="24"/>
                                  <w:szCs w:val="24"/>
                                  <w:lang w:val="uk-UA"/>
                                </w:rPr>
                              </w:pPr>
                              <w:r w:rsidRPr="002279C5">
                                <w:rPr>
                                  <w:rFonts w:ascii="Times New Roman" w:eastAsia="Calibri" w:hAnsi="Times New Roman" w:cs="Times New Roman"/>
                                  <w:bCs/>
                                  <w:sz w:val="24"/>
                                  <w:szCs w:val="24"/>
                                  <w:lang w:val="uk-UA" w:eastAsia="en-US"/>
                                </w:rPr>
                                <w:t xml:space="preserve">Співставлення </w:t>
                              </w:r>
                              <w:r w:rsidRPr="002279C5">
                                <w:rPr>
                                  <w:rFonts w:ascii="Times New Roman" w:eastAsia="TimesNewRomanPSMT" w:hAnsi="Times New Roman" w:cs="Times New Roman"/>
                                  <w:sz w:val="24"/>
                                  <w:szCs w:val="24"/>
                                  <w:lang w:val="uk-UA" w:eastAsia="en-US"/>
                                </w:rPr>
                                <w:t xml:space="preserve">інтегрованого </w:t>
                              </w:r>
                              <w:r w:rsidRPr="002279C5">
                                <w:rPr>
                                  <w:rFonts w:ascii="Times New Roman" w:eastAsia="Calibri" w:hAnsi="Times New Roman" w:cs="Times New Roman"/>
                                  <w:bCs/>
                                  <w:sz w:val="24"/>
                                  <w:szCs w:val="24"/>
                                  <w:lang w:val="uk-UA" w:eastAsia="en-US"/>
                                </w:rPr>
                                <w:t xml:space="preserve">індексу міжнародного співробітництва країни в європейському геоекономічному просторі індустрії туризму із індикаторами ефективності залучення прямих іноземних інвестицій країн </w:t>
                              </w:r>
                              <w:r w:rsidRPr="002279C5">
                                <w:rPr>
                                  <w:rFonts w:ascii="Times New Roman" w:eastAsia="TimesNewRomanPSMT" w:hAnsi="Times New Roman" w:cs="Times New Roman"/>
                                  <w:sz w:val="24"/>
                                  <w:szCs w:val="24"/>
                                  <w:lang w:val="uk-UA" w:eastAsia="en-US"/>
                                </w:rPr>
                                <w:t>Європи</w:t>
                              </w:r>
                              <w:r w:rsidRPr="002279C5">
                                <w:rPr>
                                  <w:rFonts w:ascii="Times New Roman" w:eastAsia="Calibri" w:hAnsi="Times New Roman" w:cs="Times New Roman"/>
                                  <w:bCs/>
                                  <w:sz w:val="24"/>
                                  <w:szCs w:val="24"/>
                                  <w:lang w:val="uk-UA" w:eastAsia="en-US"/>
                                </w:rPr>
                                <w:t xml:space="preserve"> для відновлення потенціалу</w:t>
                              </w:r>
                              <w:r w:rsidRPr="002279C5">
                                <w:rPr>
                                  <w:rFonts w:ascii="Times New Roman" w:hAnsi="Times New Roman" w:cs="Times New Roman"/>
                                  <w:sz w:val="24"/>
                                  <w:szCs w:val="24"/>
                                  <w:lang w:val="uk-UA"/>
                                </w:rPr>
                                <w:t xml:space="preserve"> локально-регіональних та макро-регіональних систем</w:t>
                              </w:r>
                              <w:r w:rsidRPr="002279C5">
                                <w:rPr>
                                  <w:rFonts w:ascii="Times New Roman" w:eastAsia="Calibri" w:hAnsi="Times New Roman" w:cs="Times New Roman"/>
                                  <w:bCs/>
                                  <w:sz w:val="24"/>
                                  <w:szCs w:val="24"/>
                                  <w:lang w:val="uk-UA" w:eastAsia="en-US"/>
                                </w:rPr>
                                <w:t xml:space="preserve"> </w:t>
                              </w:r>
                            </w:p>
                          </w:txbxContent>
                        </wps:txbx>
                        <wps:bodyPr rot="0" vert="horz" wrap="square" lIns="91440" tIns="45720" rIns="91440" bIns="45720" anchor="t" anchorCtr="0" upright="1">
                          <a:noAutofit/>
                        </wps:bodyPr>
                      </wps:wsp>
                      <wps:wsp>
                        <wps:cNvPr id="1909726870" name=" 374"/>
                        <wps:cNvSpPr txBox="1">
                          <a:spLocks/>
                        </wps:cNvSpPr>
                        <wps:spPr bwMode="auto">
                          <a:xfrm>
                            <a:off x="1335" y="13694"/>
                            <a:ext cx="1053" cy="450"/>
                          </a:xfrm>
                          <a:prstGeom prst="rect">
                            <a:avLst/>
                          </a:prstGeom>
                          <a:solidFill>
                            <a:srgbClr val="FFFFFF"/>
                          </a:solidFill>
                          <a:ln w="9525">
                            <a:solidFill>
                              <a:srgbClr val="000000"/>
                            </a:solidFill>
                            <a:miter lim="800000"/>
                            <a:headEnd/>
                            <a:tailEnd/>
                          </a:ln>
                        </wps:spPr>
                        <wps:txbx>
                          <w:txbxContent>
                            <w:p w14:paraId="52BA8F0C" w14:textId="77777777" w:rsidR="00571B42" w:rsidRPr="002279C5" w:rsidRDefault="00571B42" w:rsidP="00662012">
                              <w:pPr>
                                <w:jc w:val="both"/>
                                <w:rPr>
                                  <w:rFonts w:ascii="Times New Roman" w:hAnsi="Times New Roman" w:cs="Times New Roman"/>
                                  <w:sz w:val="24"/>
                                  <w:szCs w:val="24"/>
                                </w:rPr>
                              </w:pPr>
                              <w:r w:rsidRPr="002279C5">
                                <w:rPr>
                                  <w:rFonts w:ascii="Times New Roman" w:hAnsi="Times New Roman" w:cs="Times New Roman"/>
                                  <w:bCs/>
                                  <w:sz w:val="24"/>
                                  <w:szCs w:val="24"/>
                                  <w:lang w:val="uk-UA"/>
                                </w:rPr>
                                <w:t>Етап 5</w:t>
                              </w:r>
                            </w:p>
                          </w:txbxContent>
                        </wps:txbx>
                        <wps:bodyPr rot="0" vert="horz" wrap="square" lIns="91440" tIns="45720" rIns="91440" bIns="45720" anchor="t" anchorCtr="0" upright="1">
                          <a:noAutofit/>
                        </wps:bodyPr>
                      </wps:wsp>
                      <wps:wsp>
                        <wps:cNvPr id="1909726871" name=" 375"/>
                        <wps:cNvSpPr txBox="1">
                          <a:spLocks/>
                        </wps:cNvSpPr>
                        <wps:spPr bwMode="auto">
                          <a:xfrm>
                            <a:off x="2527" y="13446"/>
                            <a:ext cx="8253" cy="1080"/>
                          </a:xfrm>
                          <a:prstGeom prst="rect">
                            <a:avLst/>
                          </a:prstGeom>
                          <a:solidFill>
                            <a:srgbClr val="FFFFFF"/>
                          </a:solidFill>
                          <a:ln w="9525">
                            <a:solidFill>
                              <a:srgbClr val="000000"/>
                            </a:solidFill>
                            <a:miter lim="800000"/>
                            <a:headEnd/>
                            <a:tailEnd/>
                          </a:ln>
                        </wps:spPr>
                        <wps:txbx>
                          <w:txbxContent>
                            <w:p w14:paraId="7CBC0F56" w14:textId="77777777" w:rsidR="00571B42" w:rsidRPr="002279C5" w:rsidRDefault="00571B42" w:rsidP="00662012">
                              <w:pPr>
                                <w:autoSpaceDE w:val="0"/>
                                <w:autoSpaceDN w:val="0"/>
                                <w:adjustRightInd w:val="0"/>
                                <w:jc w:val="both"/>
                                <w:rPr>
                                  <w:rFonts w:ascii="Times New Roman" w:hAnsi="Times New Roman" w:cs="Times New Roman"/>
                                  <w:sz w:val="24"/>
                                  <w:szCs w:val="24"/>
                                  <w:lang w:val="uk-UA"/>
                                </w:rPr>
                              </w:pPr>
                              <w:r w:rsidRPr="002279C5">
                                <w:rPr>
                                  <w:rFonts w:ascii="Times New Roman" w:eastAsia="Calibri" w:hAnsi="Times New Roman" w:cs="Times New Roman"/>
                                  <w:bCs/>
                                  <w:sz w:val="24"/>
                                  <w:szCs w:val="24"/>
                                  <w:lang w:val="uk-UA" w:eastAsia="en-US"/>
                                </w:rPr>
                                <w:t>Кластеризація матриці країн</w:t>
                              </w:r>
                              <w:r w:rsidRPr="002279C5">
                                <w:rPr>
                                  <w:rFonts w:ascii="Times New Roman" w:eastAsia="TimesNewRomanPSMT" w:hAnsi="Times New Roman" w:cs="Times New Roman"/>
                                  <w:sz w:val="24"/>
                                  <w:szCs w:val="24"/>
                                  <w:lang w:val="uk-UA" w:eastAsia="en-US"/>
                                </w:rPr>
                                <w:t xml:space="preserve"> Південно-Східної Європи, що</w:t>
                              </w:r>
                              <w:r w:rsidRPr="002279C5">
                                <w:rPr>
                                  <w:rFonts w:ascii="Times New Roman" w:eastAsia="Calibri" w:hAnsi="Times New Roman" w:cs="Times New Roman"/>
                                  <w:bCs/>
                                  <w:sz w:val="24"/>
                                  <w:szCs w:val="24"/>
                                  <w:lang w:val="uk-UA" w:eastAsia="en-US"/>
                                </w:rPr>
                                <w:t xml:space="preserve"> мотивовані до міжнародного співробітництва з країною в європейському геоекономічному просторі індустрії туризму та використовують прямі іноземні інвестиції на ресурсне забезпечення </w:t>
                              </w:r>
                              <w:r w:rsidRPr="002279C5">
                                <w:rPr>
                                  <w:rFonts w:ascii="Times New Roman" w:hAnsi="Times New Roman" w:cs="Times New Roman"/>
                                  <w:sz w:val="24"/>
                                  <w:szCs w:val="24"/>
                                  <w:lang w:val="uk-UA"/>
                                </w:rPr>
                                <w:t>локально-регіональних та макро-регіональних систем</w:t>
                              </w:r>
                            </w:p>
                          </w:txbxContent>
                        </wps:txbx>
                        <wps:bodyPr rot="0" vert="horz" wrap="square" lIns="91440" tIns="45720" rIns="91440" bIns="45720" anchor="t" anchorCtr="0" upright="1">
                          <a:noAutofit/>
                        </wps:bodyPr>
                      </wps:wsp>
                      <wps:wsp>
                        <wps:cNvPr id="1909726872" name=" 376"/>
                        <wps:cNvSpPr>
                          <a:spLocks/>
                        </wps:cNvSpPr>
                        <wps:spPr bwMode="auto">
                          <a:xfrm>
                            <a:off x="2388" y="13851"/>
                            <a:ext cx="186" cy="143"/>
                          </a:xfrm>
                          <a:prstGeom prst="rightArrow">
                            <a:avLst>
                              <a:gd name="adj1" fmla="val 50000"/>
                              <a:gd name="adj2" fmla="val 3251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09726873" name=" 377"/>
                        <wps:cNvSpPr>
                          <a:spLocks/>
                        </wps:cNvSpPr>
                        <wps:spPr bwMode="auto">
                          <a:xfrm>
                            <a:off x="2341" y="11750"/>
                            <a:ext cx="186" cy="143"/>
                          </a:xfrm>
                          <a:prstGeom prst="rightArrow">
                            <a:avLst>
                              <a:gd name="adj1" fmla="val 50000"/>
                              <a:gd name="adj2" fmla="val 3251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09726874" name=" 378"/>
                        <wps:cNvSpPr>
                          <a:spLocks/>
                        </wps:cNvSpPr>
                        <wps:spPr bwMode="auto">
                          <a:xfrm>
                            <a:off x="2341" y="12717"/>
                            <a:ext cx="186" cy="143"/>
                          </a:xfrm>
                          <a:prstGeom prst="rightArrow">
                            <a:avLst>
                              <a:gd name="adj1" fmla="val 50000"/>
                              <a:gd name="adj2" fmla="val 3251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5E2B30" id="Группа 1909726859" o:spid="_x0000_s1375" style="position:absolute;left:0;text-align:left;margin-left:10.1pt;margin-top:6.55pt;width:481.25pt;height:304.25pt;z-index:251691008;mso-position-horizontal-relative:text;mso-position-vertical-relative:text" coordorigin="1335,10101" coordsize="9445,44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">
                <v:shapetype id="_x0000_t202" coordsize="21600,21600" o:spt="202" path="m,l,21600r21600,l21600,xe">
                  <v:stroke joinstyle="miter"/>
                  <v:path gradientshapeok="t" o:connecttype="rect"/>
                </v:shapetype>
                <v:shape id=" 346" o:spid="_x0000_s1376" type="#_x0000_t202" style="position:absolute;left:1335;top:10246;width:1006;height: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">
                  <v:path arrowok="t"/>
                  <v:textbox>
                    <w:txbxContent>
                      <w:p w14:paraId="0B45ADBD" w14:textId="77777777" w:rsidR="00571B42" w:rsidRPr="002279C5" w:rsidRDefault="00571B42" w:rsidP="00662012">
                        <w:pPr>
                          <w:jc w:val="center"/>
                          <w:rPr>
                            <w:rFonts w:ascii="Times New Roman" w:hAnsi="Times New Roman" w:cs="Times New Roman"/>
                            <w:sz w:val="24"/>
                            <w:szCs w:val="24"/>
                          </w:rPr>
                        </w:pPr>
                        <w:r w:rsidRPr="002279C5">
                          <w:rPr>
                            <w:rFonts w:ascii="Times New Roman" w:hAnsi="Times New Roman" w:cs="Times New Roman"/>
                            <w:bCs/>
                            <w:sz w:val="24"/>
                            <w:szCs w:val="24"/>
                            <w:lang w:val="uk-UA"/>
                          </w:rPr>
                          <w:t>Етап 1</w:t>
                        </w:r>
                      </w:p>
                    </w:txbxContent>
                  </v:textbox>
                </v:shape>
                <v:shape id=" 347" o:spid="_x0000_s1377" type="#_x0000_t202" style="position:absolute;left:2527;top:10101;width:8253;height: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">
                  <v:path arrowok="t"/>
                  <v:textbox>
                    <w:txbxContent>
                      <w:p w14:paraId="0B26D7DF" w14:textId="77777777" w:rsidR="00571B42" w:rsidRPr="002279C5" w:rsidRDefault="00571B42" w:rsidP="00662012">
                        <w:pPr>
                          <w:suppressAutoHyphens/>
                          <w:autoSpaceDE w:val="0"/>
                          <w:autoSpaceDN w:val="0"/>
                          <w:adjustRightInd w:val="0"/>
                          <w:jc w:val="both"/>
                          <w:rPr>
                            <w:rFonts w:ascii="Times New Roman" w:eastAsia="Calibri" w:hAnsi="Times New Roman" w:cs="Times New Roman"/>
                            <w:bCs/>
                            <w:sz w:val="24"/>
                            <w:szCs w:val="24"/>
                            <w:lang w:val="uk-UA" w:eastAsia="en-US"/>
                          </w:rPr>
                        </w:pPr>
                        <w:r w:rsidRPr="002279C5">
                          <w:rPr>
                            <w:rFonts w:ascii="Times New Roman" w:eastAsia="Calibri" w:hAnsi="Times New Roman" w:cs="Times New Roman"/>
                            <w:bCs/>
                            <w:sz w:val="24"/>
                            <w:szCs w:val="24"/>
                            <w:lang w:val="uk-UA" w:eastAsia="en-US"/>
                          </w:rPr>
                          <w:t xml:space="preserve">Визначення аналітичних індикаторів, що формують </w:t>
                        </w:r>
                        <w:r w:rsidRPr="002279C5">
                          <w:rPr>
                            <w:rFonts w:ascii="Times New Roman" w:eastAsia="TimesNewRomanPSMT" w:hAnsi="Times New Roman" w:cs="Times New Roman"/>
                            <w:sz w:val="24"/>
                            <w:szCs w:val="24"/>
                            <w:lang w:val="uk-UA" w:eastAsia="en-US"/>
                          </w:rPr>
                          <w:t xml:space="preserve">інтегрований </w:t>
                        </w:r>
                        <w:r w:rsidRPr="002279C5">
                          <w:rPr>
                            <w:rFonts w:ascii="Times New Roman" w:eastAsia="Calibri" w:hAnsi="Times New Roman" w:cs="Times New Roman"/>
                            <w:bCs/>
                            <w:sz w:val="24"/>
                            <w:szCs w:val="24"/>
                            <w:lang w:val="uk-UA" w:eastAsia="en-US"/>
                          </w:rPr>
                          <w:t xml:space="preserve">індекс </w:t>
                        </w:r>
                      </w:p>
                      <w:p w14:paraId="6C343FEE" w14:textId="77777777" w:rsidR="00571B42" w:rsidRPr="002279C5" w:rsidRDefault="00571B42" w:rsidP="00662012">
                        <w:pPr>
                          <w:suppressAutoHyphens/>
                          <w:autoSpaceDE w:val="0"/>
                          <w:autoSpaceDN w:val="0"/>
                          <w:adjustRightInd w:val="0"/>
                          <w:jc w:val="both"/>
                          <w:rPr>
                            <w:rFonts w:ascii="Times New Roman" w:hAnsi="Times New Roman" w:cs="Times New Roman"/>
                            <w:sz w:val="24"/>
                            <w:szCs w:val="24"/>
                            <w:lang w:val="uk-UA"/>
                          </w:rPr>
                        </w:pPr>
                        <w:r w:rsidRPr="002279C5">
                          <w:rPr>
                            <w:rFonts w:ascii="Times New Roman" w:eastAsia="Calibri" w:hAnsi="Times New Roman" w:cs="Times New Roman"/>
                            <w:bCs/>
                            <w:sz w:val="24"/>
                            <w:szCs w:val="24"/>
                            <w:lang w:val="uk-UA" w:eastAsia="en-US"/>
                          </w:rPr>
                          <w:t xml:space="preserve">міжнародного співробітництва країни в європейському геоекономічному просторі індустрії туризму </w:t>
                        </w:r>
                      </w:p>
                    </w:txbxContent>
                  </v:textbox>
                </v:shape>
                <v:shape id=" 351" o:spid="_x0000_s1378" type="#_x0000_t13" style="position:absolute;left:2341;top:10389;width:23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">
                  <v:path arrowok="t"/>
                </v:shape>
                <v:shape id=" 354" o:spid="_x0000_s1379" type="#_x0000_t202" style="position:absolute;left:1335;top:10978;width:1006;height: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">
                  <v:path arrowok="t"/>
                  <v:textbox>
                    <w:txbxContent>
                      <w:p w14:paraId="2B8576F6" w14:textId="77777777" w:rsidR="00571B42" w:rsidRPr="002279C5" w:rsidRDefault="00571B42" w:rsidP="00662012">
                        <w:pPr>
                          <w:jc w:val="both"/>
                          <w:rPr>
                            <w:rFonts w:ascii="Times New Roman" w:hAnsi="Times New Roman" w:cs="Times New Roman"/>
                            <w:sz w:val="24"/>
                            <w:szCs w:val="24"/>
                          </w:rPr>
                        </w:pPr>
                        <w:r w:rsidRPr="002279C5">
                          <w:rPr>
                            <w:rFonts w:ascii="Times New Roman" w:hAnsi="Times New Roman" w:cs="Times New Roman"/>
                            <w:bCs/>
                            <w:sz w:val="24"/>
                            <w:szCs w:val="24"/>
                            <w:lang w:val="uk-UA"/>
                          </w:rPr>
                          <w:t>Етап 2</w:t>
                        </w:r>
                      </w:p>
                    </w:txbxContent>
                  </v:textbox>
                </v:shape>
                <v:shape id=" 355" o:spid="_x0000_s1380" type="#_x0000_t202" style="position:absolute;left:2527;top:10978;width:8253;height: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">
                  <v:path arrowok="t"/>
                  <v:textbox>
                    <w:txbxContent>
                      <w:p w14:paraId="3A318B9E" w14:textId="77777777" w:rsidR="00571B42" w:rsidRPr="002279C5" w:rsidRDefault="00571B42" w:rsidP="00662012">
                        <w:pPr>
                          <w:autoSpaceDE w:val="0"/>
                          <w:autoSpaceDN w:val="0"/>
                          <w:adjustRightInd w:val="0"/>
                          <w:jc w:val="both"/>
                          <w:rPr>
                            <w:rFonts w:ascii="Times New Roman" w:hAnsi="Times New Roman" w:cs="Times New Roman"/>
                            <w:sz w:val="24"/>
                            <w:szCs w:val="24"/>
                            <w:lang w:val="uk-UA"/>
                          </w:rPr>
                        </w:pPr>
                        <w:r w:rsidRPr="002279C5">
                          <w:rPr>
                            <w:rFonts w:ascii="Times New Roman" w:eastAsia="Calibri" w:hAnsi="Times New Roman" w:cs="Times New Roman"/>
                            <w:bCs/>
                            <w:sz w:val="24"/>
                            <w:szCs w:val="24"/>
                            <w:lang w:val="uk-UA" w:eastAsia="en-US"/>
                          </w:rPr>
                          <w:t>Стандартизація аналітичних індикаторів за методом найбільшої середньої.</w:t>
                        </w:r>
                      </w:p>
                    </w:txbxContent>
                  </v:textbox>
                </v:shape>
                <v:shape id=" 357" o:spid="_x0000_s1381" type="#_x0000_t202" style="position:absolute;left:1335;top:12553;width:1006;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">
                  <v:path arrowok="t"/>
                  <v:textbox>
                    <w:txbxContent>
                      <w:p w14:paraId="19C5F47B" w14:textId="77777777" w:rsidR="00571B42" w:rsidRPr="002279C5" w:rsidRDefault="00571B42" w:rsidP="00662012">
                        <w:pPr>
                          <w:jc w:val="both"/>
                          <w:rPr>
                            <w:rFonts w:ascii="Times New Roman" w:hAnsi="Times New Roman" w:cs="Times New Roman"/>
                            <w:sz w:val="24"/>
                            <w:szCs w:val="24"/>
                          </w:rPr>
                        </w:pPr>
                        <w:r w:rsidRPr="002279C5">
                          <w:rPr>
                            <w:rFonts w:ascii="Times New Roman" w:hAnsi="Times New Roman" w:cs="Times New Roman"/>
                            <w:bCs/>
                            <w:sz w:val="24"/>
                            <w:szCs w:val="24"/>
                            <w:lang w:val="uk-UA"/>
                          </w:rPr>
                          <w:t>Етап 4</w:t>
                        </w:r>
                      </w:p>
                    </w:txbxContent>
                  </v:textbox>
                </v:shape>
                <v:shape id=" 368" o:spid="_x0000_s1382" type="#_x0000_t13" style="position:absolute;left:2341;top:11109;width:186;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">
                  <v:path arrowok="t"/>
                </v:shape>
                <v:shape id=" 369" o:spid="_x0000_s1383" type="#_x0000_t202" style="position:absolute;left:1335;top:11646;width:1006;height: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">
                  <v:path arrowok="t"/>
                  <v:textbox>
                    <w:txbxContent>
                      <w:p w14:paraId="5A40E27B" w14:textId="77777777" w:rsidR="00571B42" w:rsidRPr="002279C5" w:rsidRDefault="00571B42" w:rsidP="00662012">
                        <w:pPr>
                          <w:jc w:val="both"/>
                          <w:rPr>
                            <w:rFonts w:ascii="Times New Roman" w:hAnsi="Times New Roman" w:cs="Times New Roman"/>
                            <w:sz w:val="24"/>
                            <w:szCs w:val="24"/>
                          </w:rPr>
                        </w:pPr>
                        <w:r w:rsidRPr="002279C5">
                          <w:rPr>
                            <w:rFonts w:ascii="Times New Roman" w:hAnsi="Times New Roman" w:cs="Times New Roman"/>
                            <w:bCs/>
                            <w:sz w:val="24"/>
                            <w:szCs w:val="24"/>
                            <w:lang w:val="uk-UA"/>
                          </w:rPr>
                          <w:t>Етап 3</w:t>
                        </w:r>
                      </w:p>
                    </w:txbxContent>
                  </v:textbox>
                </v:shape>
                <v:shape id=" 371" o:spid="_x0000_s1384" type="#_x0000_t202" style="position:absolute;left:2527;top:11481;width:8253;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">
                  <v:path arrowok="t"/>
                  <v:textbox>
                    <w:txbxContent>
                      <w:p w14:paraId="063D73AF" w14:textId="77777777" w:rsidR="00571B42" w:rsidRPr="002279C5" w:rsidRDefault="00571B42" w:rsidP="00662012">
                        <w:pPr>
                          <w:autoSpaceDE w:val="0"/>
                          <w:autoSpaceDN w:val="0"/>
                          <w:adjustRightInd w:val="0"/>
                          <w:jc w:val="both"/>
                          <w:rPr>
                            <w:rFonts w:ascii="Times New Roman" w:hAnsi="Times New Roman" w:cs="Times New Roman"/>
                            <w:sz w:val="24"/>
                            <w:szCs w:val="24"/>
                            <w:lang w:val="uk-UA"/>
                          </w:rPr>
                        </w:pPr>
                        <w:r w:rsidRPr="002279C5">
                          <w:rPr>
                            <w:rFonts w:ascii="Times New Roman" w:eastAsia="Calibri" w:hAnsi="Times New Roman" w:cs="Times New Roman"/>
                            <w:bCs/>
                            <w:sz w:val="24"/>
                            <w:szCs w:val="24"/>
                            <w:lang w:val="uk-UA" w:eastAsia="en-US"/>
                          </w:rPr>
                          <w:t xml:space="preserve">Розрахунок </w:t>
                        </w:r>
                        <w:r w:rsidRPr="002279C5">
                          <w:rPr>
                            <w:rFonts w:ascii="Times New Roman" w:eastAsia="TimesNewRomanPSMT" w:hAnsi="Times New Roman" w:cs="Times New Roman"/>
                            <w:sz w:val="24"/>
                            <w:szCs w:val="24"/>
                            <w:lang w:val="uk-UA" w:eastAsia="en-US"/>
                          </w:rPr>
                          <w:t xml:space="preserve">інтегрованого </w:t>
                        </w:r>
                        <w:r w:rsidRPr="002279C5">
                          <w:rPr>
                            <w:rFonts w:ascii="Times New Roman" w:eastAsia="Calibri" w:hAnsi="Times New Roman" w:cs="Times New Roman"/>
                            <w:bCs/>
                            <w:sz w:val="24"/>
                            <w:szCs w:val="24"/>
                            <w:lang w:val="uk-UA" w:eastAsia="en-US"/>
                          </w:rPr>
                          <w:t xml:space="preserve">індексу міжнародного співробітництва країни в європейському геоекономічному просторі індустрії туризму </w:t>
                        </w:r>
                      </w:p>
                    </w:txbxContent>
                  </v:textbox>
                </v:shape>
                <v:shape id=" 373" o:spid="_x0000_s1385" type="#_x0000_t202" style="position:absolute;left:2527;top:12275;width:8253;height:1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">
                  <v:path arrowok="t"/>
                  <v:textbox>
                    <w:txbxContent>
                      <w:p w14:paraId="7E8BC2BB" w14:textId="77777777" w:rsidR="00571B42" w:rsidRPr="002279C5" w:rsidRDefault="00571B42" w:rsidP="00662012">
                        <w:pPr>
                          <w:suppressAutoHyphens/>
                          <w:autoSpaceDE w:val="0"/>
                          <w:autoSpaceDN w:val="0"/>
                          <w:adjustRightInd w:val="0"/>
                          <w:jc w:val="both"/>
                          <w:rPr>
                            <w:rFonts w:ascii="Times New Roman" w:hAnsi="Times New Roman" w:cs="Times New Roman"/>
                            <w:sz w:val="24"/>
                            <w:szCs w:val="24"/>
                            <w:lang w:val="uk-UA"/>
                          </w:rPr>
                        </w:pPr>
                        <w:r w:rsidRPr="002279C5">
                          <w:rPr>
                            <w:rFonts w:ascii="Times New Roman" w:eastAsia="Calibri" w:hAnsi="Times New Roman" w:cs="Times New Roman"/>
                            <w:bCs/>
                            <w:sz w:val="24"/>
                            <w:szCs w:val="24"/>
                            <w:lang w:val="uk-UA" w:eastAsia="en-US"/>
                          </w:rPr>
                          <w:t xml:space="preserve">Співставлення </w:t>
                        </w:r>
                        <w:r w:rsidRPr="002279C5">
                          <w:rPr>
                            <w:rFonts w:ascii="Times New Roman" w:eastAsia="TimesNewRomanPSMT" w:hAnsi="Times New Roman" w:cs="Times New Roman"/>
                            <w:sz w:val="24"/>
                            <w:szCs w:val="24"/>
                            <w:lang w:val="uk-UA" w:eastAsia="en-US"/>
                          </w:rPr>
                          <w:t xml:space="preserve">інтегрованого </w:t>
                        </w:r>
                        <w:r w:rsidRPr="002279C5">
                          <w:rPr>
                            <w:rFonts w:ascii="Times New Roman" w:eastAsia="Calibri" w:hAnsi="Times New Roman" w:cs="Times New Roman"/>
                            <w:bCs/>
                            <w:sz w:val="24"/>
                            <w:szCs w:val="24"/>
                            <w:lang w:val="uk-UA" w:eastAsia="en-US"/>
                          </w:rPr>
                          <w:t xml:space="preserve">індексу міжнародного співробітництва країни в європейському геоекономічному просторі індустрії туризму із індикаторами ефективності залучення прямих іноземних інвестицій країн </w:t>
                        </w:r>
                        <w:r w:rsidRPr="002279C5">
                          <w:rPr>
                            <w:rFonts w:ascii="Times New Roman" w:eastAsia="TimesNewRomanPSMT" w:hAnsi="Times New Roman" w:cs="Times New Roman"/>
                            <w:sz w:val="24"/>
                            <w:szCs w:val="24"/>
                            <w:lang w:val="uk-UA" w:eastAsia="en-US"/>
                          </w:rPr>
                          <w:t>Європи</w:t>
                        </w:r>
                        <w:r w:rsidRPr="002279C5">
                          <w:rPr>
                            <w:rFonts w:ascii="Times New Roman" w:eastAsia="Calibri" w:hAnsi="Times New Roman" w:cs="Times New Roman"/>
                            <w:bCs/>
                            <w:sz w:val="24"/>
                            <w:szCs w:val="24"/>
                            <w:lang w:val="uk-UA" w:eastAsia="en-US"/>
                          </w:rPr>
                          <w:t xml:space="preserve"> для відновлення потенціалу</w:t>
                        </w:r>
                        <w:r w:rsidRPr="002279C5">
                          <w:rPr>
                            <w:rFonts w:ascii="Times New Roman" w:hAnsi="Times New Roman" w:cs="Times New Roman"/>
                            <w:sz w:val="24"/>
                            <w:szCs w:val="24"/>
                            <w:lang w:val="uk-UA"/>
                          </w:rPr>
                          <w:t xml:space="preserve"> локально-регіональних та макро-регіональних систем</w:t>
                        </w:r>
                        <w:r w:rsidRPr="002279C5">
                          <w:rPr>
                            <w:rFonts w:ascii="Times New Roman" w:eastAsia="Calibri" w:hAnsi="Times New Roman" w:cs="Times New Roman"/>
                            <w:bCs/>
                            <w:sz w:val="24"/>
                            <w:szCs w:val="24"/>
                            <w:lang w:val="uk-UA" w:eastAsia="en-US"/>
                          </w:rPr>
                          <w:t xml:space="preserve"> </w:t>
                        </w:r>
                      </w:p>
                    </w:txbxContent>
                  </v:textbox>
                </v:shape>
                <v:shape id=" 374" o:spid="_x0000_s1386" type="#_x0000_t202" style="position:absolute;left:1335;top:13694;width:1053;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">
                  <v:path arrowok="t"/>
                  <v:textbox>
                    <w:txbxContent>
                      <w:p w14:paraId="52BA8F0C" w14:textId="77777777" w:rsidR="00571B42" w:rsidRPr="002279C5" w:rsidRDefault="00571B42" w:rsidP="00662012">
                        <w:pPr>
                          <w:jc w:val="both"/>
                          <w:rPr>
                            <w:rFonts w:ascii="Times New Roman" w:hAnsi="Times New Roman" w:cs="Times New Roman"/>
                            <w:sz w:val="24"/>
                            <w:szCs w:val="24"/>
                          </w:rPr>
                        </w:pPr>
                        <w:r w:rsidRPr="002279C5">
                          <w:rPr>
                            <w:rFonts w:ascii="Times New Roman" w:hAnsi="Times New Roman" w:cs="Times New Roman"/>
                            <w:bCs/>
                            <w:sz w:val="24"/>
                            <w:szCs w:val="24"/>
                            <w:lang w:val="uk-UA"/>
                          </w:rPr>
                          <w:t>Етап 5</w:t>
                        </w:r>
                      </w:p>
                    </w:txbxContent>
                  </v:textbox>
                </v:shape>
                <v:shape id=" 375" o:spid="_x0000_s1387" type="#_x0000_t202" style="position:absolute;left:2527;top:13446;width:8253;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">
                  <v:path arrowok="t"/>
                  <v:textbox>
                    <w:txbxContent>
                      <w:p w14:paraId="7CBC0F56" w14:textId="77777777" w:rsidR="00571B42" w:rsidRPr="002279C5" w:rsidRDefault="00571B42" w:rsidP="00662012">
                        <w:pPr>
                          <w:autoSpaceDE w:val="0"/>
                          <w:autoSpaceDN w:val="0"/>
                          <w:adjustRightInd w:val="0"/>
                          <w:jc w:val="both"/>
                          <w:rPr>
                            <w:rFonts w:ascii="Times New Roman" w:hAnsi="Times New Roman" w:cs="Times New Roman"/>
                            <w:sz w:val="24"/>
                            <w:szCs w:val="24"/>
                            <w:lang w:val="uk-UA"/>
                          </w:rPr>
                        </w:pPr>
                        <w:r w:rsidRPr="002279C5">
                          <w:rPr>
                            <w:rFonts w:ascii="Times New Roman" w:eastAsia="Calibri" w:hAnsi="Times New Roman" w:cs="Times New Roman"/>
                            <w:bCs/>
                            <w:sz w:val="24"/>
                            <w:szCs w:val="24"/>
                            <w:lang w:val="uk-UA" w:eastAsia="en-US"/>
                          </w:rPr>
                          <w:t>Кластеризація матриці країн</w:t>
                        </w:r>
                        <w:r w:rsidRPr="002279C5">
                          <w:rPr>
                            <w:rFonts w:ascii="Times New Roman" w:eastAsia="TimesNewRomanPSMT" w:hAnsi="Times New Roman" w:cs="Times New Roman"/>
                            <w:sz w:val="24"/>
                            <w:szCs w:val="24"/>
                            <w:lang w:val="uk-UA" w:eastAsia="en-US"/>
                          </w:rPr>
                          <w:t xml:space="preserve"> Південно-Східної Європи, що</w:t>
                        </w:r>
                        <w:r w:rsidRPr="002279C5">
                          <w:rPr>
                            <w:rFonts w:ascii="Times New Roman" w:eastAsia="Calibri" w:hAnsi="Times New Roman" w:cs="Times New Roman"/>
                            <w:bCs/>
                            <w:sz w:val="24"/>
                            <w:szCs w:val="24"/>
                            <w:lang w:val="uk-UA" w:eastAsia="en-US"/>
                          </w:rPr>
                          <w:t xml:space="preserve"> мотивовані до міжнародного співробітництва з країною в європейському геоекономічному просторі індустрії туризму та використовують прямі іноземні інвестиції на ресурсне забезпечення </w:t>
                        </w:r>
                        <w:r w:rsidRPr="002279C5">
                          <w:rPr>
                            <w:rFonts w:ascii="Times New Roman" w:hAnsi="Times New Roman" w:cs="Times New Roman"/>
                            <w:sz w:val="24"/>
                            <w:szCs w:val="24"/>
                            <w:lang w:val="uk-UA"/>
                          </w:rPr>
                          <w:t>локально-регіональних та макро-регіональних систем</w:t>
                        </w:r>
                      </w:p>
                    </w:txbxContent>
                  </v:textbox>
                </v:shape>
                <v:shape id=" 376" o:spid="_x0000_s1388" type="#_x0000_t13" style="position:absolute;left:2388;top:13851;width:186;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">
                  <v:path arrowok="t"/>
                </v:shape>
                <v:shape id=" 377" o:spid="_x0000_s1389" type="#_x0000_t13" style="position:absolute;left:2341;top:11750;width:186;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">
                  <v:path arrowok="t"/>
                </v:shape>
                <v:shape id=" 378" o:spid="_x0000_s1390" type="#_x0000_t13" style="position:absolute;left:2341;top:12717;width:186;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">
                  <v:path arrowok="t"/>
                </v:shape>
              </v:group>
            </w:pict>
          </mc:Fallback>
        </mc:AlternateContent>
      </w:r>
    </w:p>
    <w:p w14:paraId="3DD60968"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p>
    <w:p w14:paraId="5733B837"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p>
    <w:p w14:paraId="762F0339"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p>
    <w:p w14:paraId="049B9B78"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p>
    <w:p w14:paraId="60A80483"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p>
    <w:p w14:paraId="28C1FF17"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p>
    <w:p w14:paraId="3563E59B"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p>
    <w:p w14:paraId="546C3364"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p>
    <w:p w14:paraId="55FC5320"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p>
    <w:p w14:paraId="4C0DDD9F"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p>
    <w:p w14:paraId="4AFC0549" w14:textId="77777777" w:rsidR="002279C5" w:rsidRPr="005F0419" w:rsidRDefault="002279C5" w:rsidP="002279C5">
      <w:pPr>
        <w:suppressAutoHyphens/>
        <w:autoSpaceDE w:val="0"/>
        <w:autoSpaceDN w:val="0"/>
        <w:adjustRightInd w:val="0"/>
        <w:spacing w:after="0" w:line="360" w:lineRule="auto"/>
        <w:ind w:firstLine="720"/>
        <w:jc w:val="center"/>
        <w:rPr>
          <w:rFonts w:ascii="Times New Roman" w:eastAsia="TimesNewRomanPSMT" w:hAnsi="Times New Roman" w:cs="Times New Roman"/>
          <w:sz w:val="28"/>
          <w:szCs w:val="28"/>
          <w:lang w:val="uk-UA" w:eastAsia="en-US"/>
        </w:rPr>
      </w:pPr>
    </w:p>
    <w:p w14:paraId="4163AA45" w14:textId="77777777" w:rsidR="002279C5" w:rsidRPr="005F0419" w:rsidRDefault="002279C5" w:rsidP="002279C5">
      <w:pPr>
        <w:suppressAutoHyphens/>
        <w:autoSpaceDE w:val="0"/>
        <w:autoSpaceDN w:val="0"/>
        <w:adjustRightInd w:val="0"/>
        <w:spacing w:after="0" w:line="360" w:lineRule="auto"/>
        <w:ind w:firstLine="720"/>
        <w:jc w:val="center"/>
        <w:rPr>
          <w:rFonts w:ascii="Times New Roman" w:eastAsia="TimesNewRomanPSMT" w:hAnsi="Times New Roman" w:cs="Times New Roman"/>
          <w:sz w:val="28"/>
          <w:szCs w:val="28"/>
          <w:lang w:val="uk-UA" w:eastAsia="en-US"/>
        </w:rPr>
      </w:pPr>
    </w:p>
    <w:p w14:paraId="251CC45A" w14:textId="77777777" w:rsidR="002279C5" w:rsidRPr="005F0419" w:rsidRDefault="002279C5" w:rsidP="002279C5">
      <w:pPr>
        <w:suppressAutoHyphens/>
        <w:autoSpaceDE w:val="0"/>
        <w:autoSpaceDN w:val="0"/>
        <w:adjustRightInd w:val="0"/>
        <w:spacing w:after="0" w:line="360" w:lineRule="auto"/>
        <w:ind w:firstLine="720"/>
        <w:jc w:val="center"/>
        <w:rPr>
          <w:rFonts w:ascii="Times New Roman" w:eastAsia="Calibri" w:hAnsi="Times New Roman" w:cs="Times New Roman"/>
          <w:bCs/>
          <w:sz w:val="28"/>
          <w:szCs w:val="28"/>
          <w:lang w:val="uk-UA" w:eastAsia="en-US"/>
        </w:rPr>
      </w:pPr>
      <w:r w:rsidRPr="005F0419">
        <w:rPr>
          <w:rFonts w:ascii="Times New Roman" w:eastAsia="TimesNewRomanPSMT" w:hAnsi="Times New Roman" w:cs="Times New Roman"/>
          <w:sz w:val="28"/>
          <w:szCs w:val="28"/>
          <w:lang w:val="uk-UA" w:eastAsia="en-US"/>
        </w:rPr>
        <w:t xml:space="preserve">Рис. 3. </w:t>
      </w:r>
      <w:r w:rsidRPr="005F0419">
        <w:rPr>
          <w:rFonts w:ascii="Times New Roman" w:eastAsia="Calibri" w:hAnsi="Times New Roman" w:cs="Times New Roman"/>
          <w:bCs/>
          <w:sz w:val="28"/>
          <w:szCs w:val="28"/>
          <w:lang w:val="uk-UA" w:eastAsia="en-US"/>
        </w:rPr>
        <w:t>Етапи оцінювання і реалізації потенціалу міжнародного співробітництва країни в європейському геоекономічному просторі індустрії туризму</w:t>
      </w:r>
    </w:p>
    <w:p w14:paraId="5BA57CBF" w14:textId="0967C13A"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r w:rsidRPr="005F0419">
        <w:rPr>
          <w:rFonts w:ascii="Times New Roman" w:eastAsia="Calibri" w:hAnsi="Times New Roman" w:cs="Times New Roman"/>
          <w:bCs/>
          <w:sz w:val="28"/>
          <w:szCs w:val="28"/>
          <w:lang w:val="uk-UA" w:eastAsia="en-US"/>
        </w:rPr>
        <w:t xml:space="preserve">Джерело: розроблено авторами за даними </w:t>
      </w:r>
      <w:r w:rsidRPr="005F0419">
        <w:rPr>
          <w:rFonts w:ascii="Times New Roman" w:hAnsi="Times New Roman" w:cs="Times New Roman"/>
          <w:sz w:val="28"/>
          <w:szCs w:val="28"/>
          <w:lang w:val="uk-UA"/>
        </w:rPr>
        <w:t>[5; 19; 28].</w:t>
      </w:r>
    </w:p>
    <w:p w14:paraId="1FEF65A5" w14:textId="77777777" w:rsidR="00C713B7" w:rsidRDefault="00C713B7"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p>
    <w:p w14:paraId="6C4F3C53" w14:textId="0B8C4994"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Масштаб </w:t>
      </w:r>
      <w:r w:rsidRPr="005F0419">
        <w:rPr>
          <w:rFonts w:ascii="Times New Roman" w:eastAsia="Calibri" w:hAnsi="Times New Roman" w:cs="Times New Roman"/>
          <w:bCs/>
          <w:sz w:val="28"/>
          <w:szCs w:val="28"/>
          <w:lang w:val="uk-UA" w:eastAsia="en-US"/>
        </w:rPr>
        <w:t>потенціалу міжнародного співробітництва</w:t>
      </w:r>
      <w:r w:rsidRPr="005F0419">
        <w:rPr>
          <w:rFonts w:ascii="Times New Roman" w:eastAsia="Calibri" w:hAnsi="Times New Roman" w:cs="Times New Roman"/>
          <w:sz w:val="28"/>
          <w:szCs w:val="28"/>
          <w:lang w:val="uk-UA" w:eastAsia="en-US"/>
        </w:rPr>
        <w:t xml:space="preserve">, який забезпечує ресурсами геоекономічний простір індустрії туризму та відновлює потенціал </w:t>
      </w:r>
      <w:r w:rsidRPr="005F0419">
        <w:rPr>
          <w:rFonts w:ascii="Times New Roman" w:hAnsi="Times New Roman" w:cs="Times New Roman"/>
          <w:sz w:val="28"/>
          <w:szCs w:val="28"/>
          <w:lang w:val="uk-UA"/>
        </w:rPr>
        <w:t xml:space="preserve">локально-регіональних і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 xml:space="preserve">-регіональних систем за </w:t>
      </w:r>
      <w:r w:rsidRPr="005F0419">
        <w:rPr>
          <w:rFonts w:ascii="Times New Roman" w:eastAsia="Calibri" w:hAnsi="Times New Roman" w:cs="Times New Roman"/>
          <w:sz w:val="28"/>
          <w:szCs w:val="28"/>
          <w:lang w:val="uk-UA" w:eastAsia="en-US"/>
        </w:rPr>
        <w:t xml:space="preserve">сферами обслуговування туристів та рекреантів, визначається за формулою (10) </w:t>
      </w:r>
      <w:r w:rsidRPr="005F0419">
        <w:rPr>
          <w:rFonts w:ascii="Times New Roman" w:hAnsi="Times New Roman" w:cs="Times New Roman"/>
          <w:sz w:val="28"/>
          <w:szCs w:val="28"/>
          <w:lang w:val="uk-UA"/>
        </w:rPr>
        <w:t>[24; 28; 32]</w:t>
      </w:r>
      <w:r w:rsidRPr="005F0419">
        <w:rPr>
          <w:rFonts w:ascii="Times New Roman" w:eastAsia="Calibri" w:hAnsi="Times New Roman" w:cs="Times New Roman"/>
          <w:sz w:val="28"/>
          <w:szCs w:val="28"/>
          <w:lang w:val="uk-UA" w:eastAsia="en-US"/>
        </w:rPr>
        <w:t>:</w:t>
      </w:r>
    </w:p>
    <w:p w14:paraId="36CA32C4" w14:textId="7AD66310" w:rsidR="00662012" w:rsidRPr="005F0419" w:rsidRDefault="00C713B7" w:rsidP="00662012">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position w:val="-14"/>
          <w:sz w:val="28"/>
          <w:szCs w:val="28"/>
          <w:lang w:val="uk-UA"/>
        </w:rPr>
        <w:object w:dxaOrig="1719" w:dyaOrig="340" w14:anchorId="1E11B6F2">
          <v:shape id="_x0000_i1089" type="#_x0000_t75" style="width:147pt;height:21.75pt" o:ole="">
            <v:imagedata r:id="rId376" o:title=""/>
          </v:shape>
          <o:OLEObject Type="Embed" ProgID="Equation.3" ShapeID="_x0000_i1089" DrawAspect="Content" ObjectID="_1773432151" r:id="rId377"/>
        </w:object>
      </w:r>
      <w:r w:rsidR="00662012" w:rsidRPr="005F0419">
        <w:rPr>
          <w:rFonts w:ascii="Times New Roman" w:hAnsi="Times New Roman" w:cs="Times New Roman"/>
          <w:sz w:val="28"/>
          <w:szCs w:val="28"/>
          <w:lang w:val="uk-UA"/>
        </w:rPr>
        <w:t>,                                                                                          (10)</w:t>
      </w:r>
    </w:p>
    <w:p w14:paraId="060A515D"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hAnsi="Times New Roman" w:cs="Times New Roman"/>
          <w:sz w:val="28"/>
          <w:szCs w:val="28"/>
          <w:lang w:val="uk-UA"/>
        </w:rPr>
        <w:t xml:space="preserve">де, </w:t>
      </w:r>
      <w:r w:rsidRPr="005F0419">
        <w:rPr>
          <w:rFonts w:ascii="Times New Roman" w:hAnsi="Times New Roman" w:cs="Times New Roman"/>
          <w:noProof/>
          <w:position w:val="-14"/>
          <w:sz w:val="28"/>
          <w:szCs w:val="28"/>
          <w:lang w:val="uk-UA"/>
        </w:rPr>
        <w:object w:dxaOrig="320" w:dyaOrig="340" w14:anchorId="28A42C05">
          <v:shape id="_x0000_i1090" type="#_x0000_t75" style="width:15.75pt;height:17.25pt" o:ole="">
            <v:imagedata r:id="rId378" o:title=""/>
          </v:shape>
          <o:OLEObject Type="Embed" ProgID="Equation.3" ShapeID="_x0000_i1090" DrawAspect="Content" ObjectID="_1773432152" r:id="rId379"/>
        </w:object>
      </w:r>
      <w:r w:rsidRPr="005F0419">
        <w:rPr>
          <w:rFonts w:ascii="Times New Roman" w:hAnsi="Times New Roman" w:cs="Times New Roman"/>
          <w:sz w:val="28"/>
          <w:szCs w:val="28"/>
          <w:lang w:val="uk-UA"/>
        </w:rPr>
        <w:t xml:space="preserve"> – </w:t>
      </w:r>
      <w:r w:rsidRPr="005F0419">
        <w:rPr>
          <w:rFonts w:ascii="Times New Roman" w:eastAsia="Calibri" w:hAnsi="Times New Roman" w:cs="Times New Roman"/>
          <w:sz w:val="28"/>
          <w:szCs w:val="28"/>
          <w:lang w:val="uk-UA" w:eastAsia="en-US"/>
        </w:rPr>
        <w:t xml:space="preserve">масштаб </w:t>
      </w:r>
      <w:r w:rsidRPr="005F0419">
        <w:rPr>
          <w:rFonts w:ascii="Times New Roman" w:eastAsia="Calibri" w:hAnsi="Times New Roman" w:cs="Times New Roman"/>
          <w:bCs/>
          <w:sz w:val="28"/>
          <w:szCs w:val="28"/>
          <w:lang w:val="uk-UA" w:eastAsia="en-US"/>
        </w:rPr>
        <w:t>потенціалу міжнародного співробітництва країни</w:t>
      </w:r>
      <w:r w:rsidRPr="005F0419">
        <w:rPr>
          <w:rFonts w:ascii="Times New Roman" w:eastAsia="Calibri" w:hAnsi="Times New Roman" w:cs="Times New Roman"/>
          <w:sz w:val="28"/>
          <w:szCs w:val="28"/>
          <w:lang w:val="uk-UA" w:eastAsia="en-US"/>
        </w:rPr>
        <w:t xml:space="preserve"> (дохід національний) у відновленні індустрії туризму, у млн. </w:t>
      </w:r>
      <w:r w:rsidRPr="005F0419">
        <w:rPr>
          <w:rFonts w:ascii="Times New Roman" w:hAnsi="Times New Roman" w:cs="Times New Roman"/>
          <w:sz w:val="28"/>
          <w:szCs w:val="28"/>
          <w:lang w:val="uk-UA"/>
        </w:rPr>
        <w:t xml:space="preserve">USD; </w:t>
      </w:r>
      <w:r w:rsidRPr="005F0419">
        <w:rPr>
          <w:rFonts w:ascii="Times New Roman" w:hAnsi="Times New Roman" w:cs="Times New Roman"/>
          <w:noProof/>
          <w:position w:val="-10"/>
          <w:sz w:val="28"/>
          <w:szCs w:val="28"/>
          <w:lang w:val="uk-UA"/>
        </w:rPr>
        <w:object w:dxaOrig="220" w:dyaOrig="240" w14:anchorId="3D3987F2">
          <v:shape id="_x0000_i1091" type="#_x0000_t75" style="width:11.25pt;height:12pt" o:ole="">
            <v:imagedata r:id="rId380" o:title=""/>
          </v:shape>
          <o:OLEObject Type="Embed" ProgID="Equation.3" ShapeID="_x0000_i1091" DrawAspect="Content" ObjectID="_1773432153" r:id="rId381"/>
        </w:object>
      </w:r>
      <w:r w:rsidRPr="005F0419">
        <w:rPr>
          <w:rFonts w:ascii="Times New Roman" w:hAnsi="Times New Roman" w:cs="Times New Roman"/>
          <w:sz w:val="28"/>
          <w:szCs w:val="28"/>
          <w:lang w:val="uk-UA"/>
        </w:rPr>
        <w:t xml:space="preserve">– </w:t>
      </w:r>
      <w:r w:rsidRPr="005F0419">
        <w:rPr>
          <w:rFonts w:ascii="Times New Roman" w:eastAsia="Calibri" w:hAnsi="Times New Roman" w:cs="Times New Roman"/>
          <w:sz w:val="28"/>
          <w:szCs w:val="28"/>
          <w:lang w:val="uk-UA" w:eastAsia="en-US"/>
        </w:rPr>
        <w:t xml:space="preserve">темпи приросту динаміки туристичних відвідувань в </w:t>
      </w:r>
      <w:r w:rsidRPr="005F0419">
        <w:rPr>
          <w:rFonts w:ascii="Times New Roman" w:hAnsi="Times New Roman" w:cs="Times New Roman"/>
          <w:sz w:val="28"/>
          <w:szCs w:val="28"/>
          <w:lang w:val="uk-UA"/>
        </w:rPr>
        <w:t xml:space="preserve">локально-регіональних та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lastRenderedPageBreak/>
        <w:t>регіональних системах</w:t>
      </w:r>
      <w:r w:rsidRPr="005F0419">
        <w:rPr>
          <w:rFonts w:ascii="Times New Roman" w:eastAsia="Calibri" w:hAnsi="Times New Roman" w:cs="Times New Roman"/>
          <w:sz w:val="28"/>
          <w:szCs w:val="28"/>
          <w:lang w:val="uk-UA" w:eastAsia="en-US"/>
        </w:rPr>
        <w:t xml:space="preserve">, у %; </w:t>
      </w:r>
      <w:r w:rsidRPr="005F0419">
        <w:rPr>
          <w:rFonts w:ascii="Times New Roman" w:hAnsi="Times New Roman" w:cs="Times New Roman"/>
          <w:noProof/>
          <w:position w:val="-10"/>
          <w:sz w:val="28"/>
          <w:szCs w:val="28"/>
          <w:lang w:val="uk-UA"/>
        </w:rPr>
        <w:object w:dxaOrig="260" w:dyaOrig="300" w14:anchorId="6321175E">
          <v:shape id="_x0000_i1092" type="#_x0000_t75" style="width:12.75pt;height:15pt" o:ole="">
            <v:imagedata r:id="rId382" o:title=""/>
          </v:shape>
          <o:OLEObject Type="Embed" ProgID="Equation.3" ShapeID="_x0000_i1092" DrawAspect="Content" ObjectID="_1773432154" r:id="rId383"/>
        </w:object>
      </w:r>
      <w:r w:rsidRPr="005F0419">
        <w:rPr>
          <w:rFonts w:ascii="Times New Roman" w:eastAsia="Calibri" w:hAnsi="Times New Roman" w:cs="Times New Roman"/>
          <w:sz w:val="28"/>
          <w:szCs w:val="28"/>
          <w:lang w:val="uk-UA" w:eastAsia="en-US"/>
        </w:rPr>
        <w:t xml:space="preserve">– параметр рівня </w:t>
      </w:r>
      <w:proofErr w:type="spellStart"/>
      <w:r w:rsidRPr="005F0419">
        <w:rPr>
          <w:rFonts w:ascii="Times New Roman" w:eastAsia="Calibri" w:hAnsi="Times New Roman" w:cs="Times New Roman"/>
          <w:sz w:val="28"/>
          <w:szCs w:val="28"/>
          <w:lang w:val="uk-UA" w:eastAsia="en-US"/>
        </w:rPr>
        <w:t>працемісткості</w:t>
      </w:r>
      <w:proofErr w:type="spellEnd"/>
      <w:r w:rsidRPr="005F0419">
        <w:rPr>
          <w:rFonts w:ascii="Times New Roman" w:eastAsia="Calibri" w:hAnsi="Times New Roman" w:cs="Times New Roman"/>
          <w:sz w:val="28"/>
          <w:szCs w:val="28"/>
          <w:lang w:val="uk-UA" w:eastAsia="en-US"/>
        </w:rPr>
        <w:t xml:space="preserve"> </w:t>
      </w:r>
      <w:proofErr w:type="spellStart"/>
      <w:r w:rsidRPr="005F0419">
        <w:rPr>
          <w:rFonts w:ascii="Times New Roman" w:hAnsi="Times New Roman" w:cs="Times New Roman"/>
          <w:sz w:val="28"/>
          <w:szCs w:val="28"/>
          <w:lang w:val="uk-UA"/>
        </w:rPr>
        <w:t>дестинації</w:t>
      </w:r>
      <w:proofErr w:type="spellEnd"/>
      <w:r w:rsidRPr="005F0419">
        <w:rPr>
          <w:rFonts w:ascii="Times New Roman" w:hAnsi="Times New Roman" w:cs="Times New Roman"/>
          <w:sz w:val="28"/>
          <w:szCs w:val="28"/>
          <w:lang w:val="uk-UA"/>
        </w:rPr>
        <w:t xml:space="preserve"> </w:t>
      </w:r>
      <w:r w:rsidRPr="005F0419">
        <w:rPr>
          <w:rFonts w:ascii="Times New Roman" w:eastAsia="Calibri" w:hAnsi="Times New Roman" w:cs="Times New Roman"/>
          <w:sz w:val="28"/>
          <w:szCs w:val="28"/>
          <w:lang w:val="uk-UA" w:eastAsia="en-US"/>
        </w:rPr>
        <w:t xml:space="preserve">туристично-рекреаційного районування; </w:t>
      </w:r>
      <w:r w:rsidRPr="005F0419">
        <w:rPr>
          <w:rFonts w:ascii="Times New Roman" w:hAnsi="Times New Roman" w:cs="Times New Roman"/>
          <w:noProof/>
          <w:position w:val="-10"/>
          <w:sz w:val="28"/>
          <w:szCs w:val="28"/>
          <w:lang w:val="uk-UA"/>
        </w:rPr>
        <w:object w:dxaOrig="220" w:dyaOrig="300" w14:anchorId="078A63CB">
          <v:shape id="_x0000_i1093" type="#_x0000_t75" style="width:11.25pt;height:15pt" o:ole="">
            <v:imagedata r:id="rId384" o:title=""/>
          </v:shape>
          <o:OLEObject Type="Embed" ProgID="Equation.3" ShapeID="_x0000_i1093" DrawAspect="Content" ObjectID="_1773432155" r:id="rId385"/>
        </w:object>
      </w:r>
      <w:r w:rsidRPr="005F0419">
        <w:rPr>
          <w:rFonts w:ascii="Times New Roman" w:eastAsia="Calibri" w:hAnsi="Times New Roman" w:cs="Times New Roman"/>
          <w:sz w:val="28"/>
          <w:szCs w:val="28"/>
          <w:lang w:val="uk-UA" w:eastAsia="en-US"/>
        </w:rPr>
        <w:t xml:space="preserve">– зростання темпів продуктивності праці в </w:t>
      </w:r>
      <w:proofErr w:type="spellStart"/>
      <w:r w:rsidRPr="005F0419">
        <w:rPr>
          <w:rFonts w:ascii="Times New Roman" w:hAnsi="Times New Roman" w:cs="Times New Roman"/>
          <w:sz w:val="28"/>
          <w:szCs w:val="28"/>
          <w:lang w:val="uk-UA"/>
        </w:rPr>
        <w:t>дестинації</w:t>
      </w:r>
      <w:proofErr w:type="spellEnd"/>
      <w:r w:rsidRPr="005F0419">
        <w:rPr>
          <w:rFonts w:ascii="Times New Roman" w:hAnsi="Times New Roman" w:cs="Times New Roman"/>
          <w:sz w:val="28"/>
          <w:szCs w:val="28"/>
          <w:lang w:val="uk-UA"/>
        </w:rPr>
        <w:t xml:space="preserve"> </w:t>
      </w:r>
      <w:r w:rsidRPr="005F0419">
        <w:rPr>
          <w:rFonts w:ascii="Times New Roman" w:eastAsia="Calibri" w:hAnsi="Times New Roman" w:cs="Times New Roman"/>
          <w:sz w:val="28"/>
          <w:szCs w:val="28"/>
          <w:lang w:val="uk-UA" w:eastAsia="en-US"/>
        </w:rPr>
        <w:t>туристично-рекреаційного районування</w:t>
      </w:r>
      <w:r w:rsidRPr="005F0419">
        <w:rPr>
          <w:rFonts w:ascii="Times New Roman" w:hAnsi="Times New Roman" w:cs="Times New Roman"/>
          <w:sz w:val="28"/>
          <w:szCs w:val="28"/>
          <w:lang w:val="uk-UA"/>
        </w:rPr>
        <w:t xml:space="preserve"> при обслуговуванні туристів та рекреантів заданих систем</w:t>
      </w:r>
      <w:r w:rsidRPr="005F0419">
        <w:rPr>
          <w:rFonts w:ascii="Times New Roman" w:eastAsia="Calibri" w:hAnsi="Times New Roman" w:cs="Times New Roman"/>
          <w:sz w:val="28"/>
          <w:szCs w:val="28"/>
          <w:lang w:val="uk-UA" w:eastAsia="en-US"/>
        </w:rPr>
        <w:t xml:space="preserve">; </w:t>
      </w:r>
      <w:r w:rsidRPr="005F0419">
        <w:rPr>
          <w:rFonts w:ascii="Times New Roman" w:hAnsi="Times New Roman" w:cs="Times New Roman"/>
          <w:noProof/>
          <w:position w:val="-10"/>
          <w:sz w:val="28"/>
          <w:szCs w:val="28"/>
          <w:lang w:val="uk-UA"/>
        </w:rPr>
        <w:object w:dxaOrig="300" w:dyaOrig="300" w14:anchorId="632312C6">
          <v:shape id="_x0000_i1094" type="#_x0000_t75" style="width:15pt;height:15pt" o:ole="">
            <v:imagedata r:id="rId386" o:title=""/>
          </v:shape>
          <o:OLEObject Type="Embed" ProgID="Equation.3" ShapeID="_x0000_i1094" DrawAspect="Content" ObjectID="_1773432156" r:id="rId387"/>
        </w:object>
      </w:r>
      <w:r w:rsidRPr="005F0419">
        <w:rPr>
          <w:rFonts w:ascii="Times New Roman" w:eastAsia="Calibri" w:hAnsi="Times New Roman" w:cs="Times New Roman"/>
          <w:i/>
          <w:iCs/>
          <w:sz w:val="28"/>
          <w:szCs w:val="28"/>
          <w:lang w:val="uk-UA" w:eastAsia="en-US"/>
        </w:rPr>
        <w:t xml:space="preserve"> </w:t>
      </w:r>
      <w:r w:rsidRPr="005F0419">
        <w:rPr>
          <w:rFonts w:ascii="Times New Roman" w:eastAsia="Calibri" w:hAnsi="Times New Roman" w:cs="Times New Roman"/>
          <w:sz w:val="28"/>
          <w:szCs w:val="28"/>
          <w:lang w:val="uk-UA" w:eastAsia="en-US"/>
        </w:rPr>
        <w:t xml:space="preserve">– параметр ступеня фондомісткості </w:t>
      </w:r>
      <w:proofErr w:type="spellStart"/>
      <w:r w:rsidRPr="005F0419">
        <w:rPr>
          <w:rFonts w:ascii="Times New Roman" w:hAnsi="Times New Roman" w:cs="Times New Roman"/>
          <w:sz w:val="28"/>
          <w:szCs w:val="28"/>
          <w:lang w:val="uk-UA"/>
        </w:rPr>
        <w:t>дестинації</w:t>
      </w:r>
      <w:proofErr w:type="spellEnd"/>
      <w:r w:rsidRPr="005F0419">
        <w:rPr>
          <w:rFonts w:ascii="Times New Roman" w:hAnsi="Times New Roman" w:cs="Times New Roman"/>
          <w:sz w:val="28"/>
          <w:szCs w:val="28"/>
          <w:lang w:val="uk-UA"/>
        </w:rPr>
        <w:t xml:space="preserve"> </w:t>
      </w:r>
      <w:r w:rsidRPr="005F0419">
        <w:rPr>
          <w:rFonts w:ascii="Times New Roman" w:eastAsia="Calibri" w:hAnsi="Times New Roman" w:cs="Times New Roman"/>
          <w:sz w:val="28"/>
          <w:szCs w:val="28"/>
          <w:lang w:val="uk-UA" w:eastAsia="en-US"/>
        </w:rPr>
        <w:t xml:space="preserve">туристично-рекреаційного районування; </w:t>
      </w:r>
      <w:r w:rsidRPr="005F0419">
        <w:rPr>
          <w:rFonts w:ascii="Times New Roman" w:hAnsi="Times New Roman" w:cs="Times New Roman"/>
          <w:noProof/>
          <w:position w:val="-10"/>
          <w:sz w:val="28"/>
          <w:szCs w:val="28"/>
          <w:lang w:val="uk-UA"/>
        </w:rPr>
        <w:object w:dxaOrig="260" w:dyaOrig="300" w14:anchorId="53942054">
          <v:shape id="_x0000_i1095" type="#_x0000_t75" style="width:12.75pt;height:15pt" o:ole="">
            <v:imagedata r:id="rId388" o:title=""/>
          </v:shape>
          <o:OLEObject Type="Embed" ProgID="Equation.3" ShapeID="_x0000_i1095" DrawAspect="Content" ObjectID="_1773432157" r:id="rId389"/>
        </w:object>
      </w:r>
      <w:r w:rsidRPr="005F0419">
        <w:rPr>
          <w:rFonts w:ascii="Times New Roman" w:eastAsia="Calibri" w:hAnsi="Times New Roman" w:cs="Times New Roman"/>
          <w:sz w:val="28"/>
          <w:szCs w:val="28"/>
          <w:lang w:val="uk-UA" w:eastAsia="en-US"/>
        </w:rPr>
        <w:t xml:space="preserve">– зростання фондовіддачі в </w:t>
      </w:r>
      <w:proofErr w:type="spellStart"/>
      <w:r w:rsidRPr="005F0419">
        <w:rPr>
          <w:rFonts w:ascii="Times New Roman" w:hAnsi="Times New Roman" w:cs="Times New Roman"/>
          <w:sz w:val="28"/>
          <w:szCs w:val="28"/>
          <w:lang w:val="uk-UA"/>
        </w:rPr>
        <w:t>дестинації</w:t>
      </w:r>
      <w:proofErr w:type="spellEnd"/>
      <w:r w:rsidRPr="005F0419">
        <w:rPr>
          <w:rFonts w:ascii="Times New Roman" w:hAnsi="Times New Roman" w:cs="Times New Roman"/>
          <w:sz w:val="28"/>
          <w:szCs w:val="28"/>
          <w:lang w:val="uk-UA"/>
        </w:rPr>
        <w:t xml:space="preserve"> </w:t>
      </w:r>
      <w:r w:rsidRPr="005F0419">
        <w:rPr>
          <w:rFonts w:ascii="Times New Roman" w:eastAsia="Calibri" w:hAnsi="Times New Roman" w:cs="Times New Roman"/>
          <w:sz w:val="28"/>
          <w:szCs w:val="28"/>
          <w:lang w:val="uk-UA" w:eastAsia="en-US"/>
        </w:rPr>
        <w:t>туристично-рекреаційного районування</w:t>
      </w:r>
      <w:r w:rsidRPr="005F0419">
        <w:rPr>
          <w:rFonts w:ascii="Times New Roman" w:hAnsi="Times New Roman" w:cs="Times New Roman"/>
          <w:sz w:val="28"/>
          <w:szCs w:val="28"/>
          <w:lang w:val="uk-UA"/>
        </w:rPr>
        <w:t xml:space="preserve"> при обслуговуванні туристів і рекреантів локально-регіональних та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-регіональних систем</w:t>
      </w:r>
      <w:r w:rsidRPr="005F0419">
        <w:rPr>
          <w:rFonts w:ascii="Times New Roman" w:eastAsia="Calibri" w:hAnsi="Times New Roman" w:cs="Times New Roman"/>
          <w:sz w:val="28"/>
          <w:szCs w:val="28"/>
          <w:lang w:val="uk-UA" w:eastAsia="en-US"/>
        </w:rPr>
        <w:t>.</w:t>
      </w:r>
    </w:p>
    <w:p w14:paraId="54E00D30"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b/>
          <w:sz w:val="28"/>
          <w:szCs w:val="28"/>
          <w:lang w:val="uk-UA"/>
        </w:rPr>
      </w:pPr>
      <w:r w:rsidRPr="005F0419">
        <w:rPr>
          <w:rFonts w:ascii="Times New Roman" w:eastAsia="TimesNewRomanPSMT" w:hAnsi="Times New Roman" w:cs="Times New Roman"/>
          <w:sz w:val="28"/>
          <w:szCs w:val="28"/>
          <w:lang w:val="uk-UA" w:eastAsia="en-US"/>
        </w:rPr>
        <w:t xml:space="preserve">В геоекономічному просторі масштаб забезпечення </w:t>
      </w:r>
      <w:r w:rsidRPr="005F0419">
        <w:rPr>
          <w:rFonts w:ascii="Times New Roman" w:eastAsia="Calibri" w:hAnsi="Times New Roman" w:cs="Times New Roman"/>
          <w:sz w:val="28"/>
          <w:szCs w:val="28"/>
          <w:lang w:val="uk-UA" w:eastAsia="en-US"/>
        </w:rPr>
        <w:t>індустрії туризму</w:t>
      </w:r>
      <w:r w:rsidRPr="005F0419">
        <w:rPr>
          <w:rFonts w:ascii="Times New Roman" w:eastAsia="TimesNewRomanPSMT" w:hAnsi="Times New Roman" w:cs="Times New Roman"/>
          <w:sz w:val="28"/>
          <w:szCs w:val="28"/>
          <w:lang w:val="uk-UA" w:eastAsia="en-US"/>
        </w:rPr>
        <w:t xml:space="preserve"> країни прямими іноземними інвестиціями визначається на рівні туристичних фірм із врахування змінних «торгових витрат». Тобто, розраховується відстані між змінними, які є «диференціалом доходу на одного працівника», й та, яка є контрольною змінною для різниці між факторами-пропорціями та ВВП приймаючої країни </w:t>
      </w:r>
      <w:r w:rsidRPr="005F0419">
        <w:rPr>
          <w:rFonts w:ascii="Times New Roman" w:hAnsi="Times New Roman" w:cs="Times New Roman"/>
          <w:sz w:val="28"/>
          <w:szCs w:val="28"/>
          <w:lang w:val="uk-UA"/>
        </w:rPr>
        <w:t>[6]</w:t>
      </w:r>
      <w:r w:rsidRPr="005F0419">
        <w:rPr>
          <w:rFonts w:ascii="Times New Roman" w:eastAsia="TimesNewRomanPSMT" w:hAnsi="Times New Roman" w:cs="Times New Roman"/>
          <w:sz w:val="28"/>
          <w:szCs w:val="28"/>
          <w:lang w:val="uk-UA" w:eastAsia="en-US"/>
        </w:rPr>
        <w:t xml:space="preserve">. Зазначена контрольна змінна зосереджена тільки на горизонтальних прямих інвестиціях та є визначальним фактором присутності суб’єктів міжнародного ринку туристичних послуг в </w:t>
      </w:r>
      <w:r w:rsidRPr="005F0419">
        <w:rPr>
          <w:rFonts w:ascii="Times New Roman" w:hAnsi="Times New Roman" w:cs="Times New Roman"/>
          <w:sz w:val="28"/>
          <w:szCs w:val="28"/>
          <w:lang w:val="uk-UA"/>
        </w:rPr>
        <w:t xml:space="preserve">локально-регіональних та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-регіональних система</w:t>
      </w:r>
      <w:r w:rsidRPr="005F0419">
        <w:rPr>
          <w:rFonts w:ascii="Times New Roman" w:eastAsia="Calibri" w:hAnsi="Times New Roman" w:cs="Times New Roman"/>
          <w:sz w:val="28"/>
          <w:szCs w:val="28"/>
          <w:lang w:val="uk-UA" w:eastAsia="en-US"/>
        </w:rPr>
        <w:t xml:space="preserve"> приймаючої країни </w:t>
      </w:r>
      <w:r w:rsidRPr="005F0419">
        <w:rPr>
          <w:rFonts w:ascii="Times New Roman" w:hAnsi="Times New Roman" w:cs="Times New Roman"/>
          <w:sz w:val="28"/>
          <w:szCs w:val="28"/>
          <w:lang w:val="uk-UA"/>
        </w:rPr>
        <w:t>[34; 35]</w:t>
      </w:r>
      <w:r w:rsidRPr="005F0419">
        <w:rPr>
          <w:rFonts w:ascii="Times New Roman" w:eastAsia="TimesNewRomanPSMT" w:hAnsi="Times New Roman" w:cs="Times New Roman"/>
          <w:sz w:val="28"/>
          <w:szCs w:val="28"/>
          <w:lang w:val="uk-UA" w:eastAsia="en-US"/>
        </w:rPr>
        <w:t xml:space="preserve">. При цьому модель міжнародного співробітництва країни в індустрії туризму формує такі змінні: індекс подібності країн за розміром, географічну відстань між партнерами і межу «геоекономічного простору» між країнами за заданою величиною ВВП. Остання змінна додається, щоб врахувати «ринковий» аспект прямих іноземних інвестицій (ПІІ). Тобто, коли інвестори виробляють туристичні продукти за кордоном для продажу на приймаючому ринку іншої країни, вони, таким чином, збільшують частку на міжнародному ринку. Додаткові змінні (спільна мова, спільний кордон або пільгові торговельні угоди), можуть знизити витрати на виїзд за кордон, але, водночас, можуть бути введені до «торгових витрат» за допомогою фіктивних змінних </w:t>
      </w:r>
      <w:r w:rsidRPr="005F0419">
        <w:rPr>
          <w:rFonts w:ascii="Times New Roman" w:hAnsi="Times New Roman" w:cs="Times New Roman"/>
          <w:sz w:val="28"/>
          <w:szCs w:val="28"/>
          <w:lang w:val="uk-UA"/>
        </w:rPr>
        <w:t>[10; 36]</w:t>
      </w:r>
      <w:r w:rsidRPr="005F0419">
        <w:rPr>
          <w:rFonts w:ascii="Times New Roman" w:eastAsia="TimesNewRomanPSMT" w:hAnsi="Times New Roman" w:cs="Times New Roman"/>
          <w:sz w:val="28"/>
          <w:szCs w:val="28"/>
          <w:lang w:val="uk-UA" w:eastAsia="en-US"/>
        </w:rPr>
        <w:t xml:space="preserve">. З позиції динаміки приросту залучення прямих іноземних інвестицій та схожості країн за виробітком туристичних продуктів економічна модель міжнародного співробітництва оцінюється за </w:t>
      </w:r>
      <w:r w:rsidRPr="005F0419">
        <w:rPr>
          <w:rFonts w:ascii="Times New Roman" w:eastAsia="TimesNewRomanPSMT" w:hAnsi="Times New Roman" w:cs="Times New Roman"/>
          <w:sz w:val="28"/>
          <w:szCs w:val="28"/>
          <w:lang w:val="uk-UA" w:eastAsia="en-US"/>
        </w:rPr>
        <w:lastRenderedPageBreak/>
        <w:t xml:space="preserve">допомогою двосторонніх туристичних потоків </w:t>
      </w:r>
      <w:r w:rsidRPr="005F0419">
        <w:rPr>
          <w:rFonts w:ascii="Times New Roman" w:hAnsi="Times New Roman" w:cs="Times New Roman"/>
          <w:sz w:val="28"/>
          <w:szCs w:val="28"/>
          <w:lang w:val="uk-UA"/>
        </w:rPr>
        <w:t>[37]</w:t>
      </w:r>
      <w:r w:rsidRPr="005F0419">
        <w:rPr>
          <w:rFonts w:ascii="Times New Roman" w:eastAsia="TimesNewRomanPSMT" w:hAnsi="Times New Roman" w:cs="Times New Roman"/>
          <w:sz w:val="28"/>
          <w:szCs w:val="28"/>
          <w:lang w:val="uk-UA" w:eastAsia="en-US"/>
        </w:rPr>
        <w:t xml:space="preserve">. Отже, загальна форма рівняння тяжіння буде мати вигляд (формула (11)) </w:t>
      </w:r>
      <w:r w:rsidRPr="005F0419">
        <w:rPr>
          <w:rFonts w:ascii="Times New Roman" w:hAnsi="Times New Roman" w:cs="Times New Roman"/>
          <w:sz w:val="28"/>
          <w:szCs w:val="28"/>
          <w:lang w:val="uk-UA"/>
        </w:rPr>
        <w:t>[36–38]</w:t>
      </w:r>
      <w:r w:rsidRPr="005F0419">
        <w:rPr>
          <w:rFonts w:ascii="Times New Roman" w:eastAsia="TimesNewRomanPSMT" w:hAnsi="Times New Roman" w:cs="Times New Roman"/>
          <w:sz w:val="28"/>
          <w:szCs w:val="28"/>
          <w:lang w:val="uk-UA" w:eastAsia="en-US"/>
        </w:rPr>
        <w:t>:</w:t>
      </w:r>
      <w:r w:rsidRPr="005F0419">
        <w:rPr>
          <w:rFonts w:ascii="Times New Roman" w:hAnsi="Times New Roman" w:cs="Times New Roman"/>
          <w:b/>
          <w:sz w:val="28"/>
          <w:szCs w:val="28"/>
          <w:lang w:val="uk-UA"/>
        </w:rPr>
        <w:t xml:space="preserve"> </w:t>
      </w:r>
    </w:p>
    <w:p w14:paraId="3266D151" w14:textId="4C853309" w:rsidR="00662012" w:rsidRPr="005F0419" w:rsidRDefault="00C713B7" w:rsidP="00662012">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position w:val="-14"/>
          <w:sz w:val="28"/>
          <w:szCs w:val="28"/>
          <w:lang w:val="uk-UA"/>
        </w:rPr>
        <w:object w:dxaOrig="7580" w:dyaOrig="340" w14:anchorId="74A90DA8">
          <v:shape id="_x0000_i1096" type="#_x0000_t75" style="width:387pt;height:21.75pt" o:ole="">
            <v:imagedata r:id="rId390" o:title=""/>
          </v:shape>
          <o:OLEObject Type="Embed" ProgID="Equation.3" ShapeID="_x0000_i1096" DrawAspect="Content" ObjectID="_1773432158" r:id="rId391"/>
        </w:object>
      </w:r>
      <w:r w:rsidR="00662012" w:rsidRPr="005F0419">
        <w:rPr>
          <w:rFonts w:ascii="Times New Roman" w:hAnsi="Times New Roman" w:cs="Times New Roman"/>
          <w:sz w:val="28"/>
          <w:szCs w:val="28"/>
          <w:lang w:val="uk-UA"/>
        </w:rPr>
        <w:t>,        (11)</w:t>
      </w:r>
    </w:p>
    <w:p w14:paraId="2D78D2F7"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w:r w:rsidRPr="005F0419">
        <w:rPr>
          <w:rFonts w:ascii="Times New Roman" w:hAnsi="Times New Roman" w:cs="Times New Roman"/>
          <w:noProof/>
          <w:position w:val="-14"/>
          <w:sz w:val="28"/>
          <w:szCs w:val="28"/>
          <w:lang w:val="uk-UA"/>
        </w:rPr>
        <w:object w:dxaOrig="279" w:dyaOrig="340" w14:anchorId="147DC964">
          <v:shape id="_x0000_i1097" type="#_x0000_t75" style="width:14.25pt;height:17.25pt" o:ole="">
            <v:imagedata r:id="rId392" o:title=""/>
          </v:shape>
          <o:OLEObject Type="Embed" ProgID="Equation.3" ShapeID="_x0000_i1097" DrawAspect="Content" ObjectID="_1773432159" r:id="rId393"/>
        </w:object>
      </w:r>
      <w:r w:rsidRPr="005F0419">
        <w:rPr>
          <w:rFonts w:ascii="Times New Roman" w:hAnsi="Times New Roman" w:cs="Times New Roman"/>
          <w:sz w:val="28"/>
          <w:szCs w:val="28"/>
          <w:lang w:val="uk-UA"/>
        </w:rPr>
        <w:t xml:space="preserve"> – </w:t>
      </w:r>
      <w:r w:rsidRPr="005F0419">
        <w:rPr>
          <w:rFonts w:ascii="Times New Roman" w:eastAsia="TimesNewRomanPSMT" w:hAnsi="Times New Roman" w:cs="Times New Roman"/>
          <w:sz w:val="28"/>
          <w:szCs w:val="28"/>
          <w:lang w:val="uk-UA" w:eastAsia="en-US"/>
        </w:rPr>
        <w:t>це значення ПІІ або експорту з</w:t>
      </w:r>
      <w:r w:rsidRPr="005F0419">
        <w:rPr>
          <w:rFonts w:ascii="Times New Roman" w:eastAsia="TimesNewRomanPSMT" w:hAnsi="Times New Roman" w:cs="Times New Roman"/>
          <w:iCs/>
          <w:sz w:val="28"/>
          <w:szCs w:val="28"/>
          <w:lang w:val="uk-UA" w:eastAsia="en-US"/>
        </w:rPr>
        <w:t xml:space="preserve"> </w:t>
      </w:r>
      <w:r w:rsidRPr="005F0419">
        <w:rPr>
          <w:rFonts w:ascii="Times New Roman" w:eastAsia="TimesNewRomanPSMT" w:hAnsi="Times New Roman" w:cs="Times New Roman"/>
          <w:i/>
          <w:iCs/>
          <w:sz w:val="28"/>
          <w:szCs w:val="28"/>
          <w:lang w:val="uk-UA" w:eastAsia="en-US"/>
        </w:rPr>
        <w:t>i</w:t>
      </w:r>
      <w:r w:rsidRPr="005F0419">
        <w:rPr>
          <w:rFonts w:ascii="Times New Roman" w:eastAsia="TimesNewRomanPSMT" w:hAnsi="Times New Roman" w:cs="Times New Roman"/>
          <w:iCs/>
          <w:sz w:val="28"/>
          <w:szCs w:val="28"/>
          <w:lang w:val="uk-UA" w:eastAsia="en-US"/>
        </w:rPr>
        <w:t>-ї</w:t>
      </w:r>
      <w:r w:rsidRPr="005F0419">
        <w:rPr>
          <w:rFonts w:ascii="Times New Roman" w:eastAsia="TimesNewRomanPSMT" w:hAnsi="Times New Roman" w:cs="Times New Roman"/>
          <w:sz w:val="28"/>
          <w:szCs w:val="28"/>
          <w:lang w:val="uk-UA" w:eastAsia="en-US"/>
        </w:rPr>
        <w:t xml:space="preserve"> </w:t>
      </w:r>
      <w:r w:rsidRPr="005F0419">
        <w:rPr>
          <w:rFonts w:ascii="Times New Roman" w:eastAsia="TimesNewRomanPSMT" w:hAnsi="Times New Roman" w:cs="Times New Roman"/>
          <w:iCs/>
          <w:sz w:val="28"/>
          <w:szCs w:val="28"/>
          <w:lang w:val="uk-UA" w:eastAsia="en-US"/>
        </w:rPr>
        <w:t xml:space="preserve">країни </w:t>
      </w:r>
      <w:r w:rsidRPr="005F0419">
        <w:rPr>
          <w:rFonts w:ascii="Times New Roman" w:eastAsia="TimesNewRomanPSMT" w:hAnsi="Times New Roman" w:cs="Times New Roman"/>
          <w:sz w:val="28"/>
          <w:szCs w:val="28"/>
          <w:lang w:val="uk-UA" w:eastAsia="en-US"/>
        </w:rPr>
        <w:t xml:space="preserve">(рідна країна) в </w:t>
      </w:r>
      <w:r w:rsidRPr="005F0419">
        <w:rPr>
          <w:rFonts w:ascii="Times New Roman" w:eastAsia="TimesNewRomanPSMT" w:hAnsi="Times New Roman" w:cs="Times New Roman"/>
          <w:i/>
          <w:iCs/>
          <w:sz w:val="28"/>
          <w:szCs w:val="28"/>
          <w:lang w:val="uk-UA" w:eastAsia="en-US"/>
        </w:rPr>
        <w:t>j</w:t>
      </w:r>
      <w:r w:rsidRPr="005F0419">
        <w:rPr>
          <w:rFonts w:ascii="Times New Roman" w:eastAsia="TimesNewRomanPSMT" w:hAnsi="Times New Roman" w:cs="Times New Roman"/>
          <w:iCs/>
          <w:sz w:val="28"/>
          <w:szCs w:val="28"/>
          <w:lang w:val="uk-UA" w:eastAsia="en-US"/>
        </w:rPr>
        <w:t xml:space="preserve">-ю країну </w:t>
      </w:r>
      <w:r w:rsidRPr="005F0419">
        <w:rPr>
          <w:rFonts w:ascii="Times New Roman" w:eastAsia="TimesNewRomanPSMT" w:hAnsi="Times New Roman" w:cs="Times New Roman"/>
          <w:sz w:val="28"/>
          <w:szCs w:val="28"/>
          <w:lang w:val="uk-UA" w:eastAsia="en-US"/>
        </w:rPr>
        <w:t>(приймаюча країна)</w:t>
      </w:r>
      <w:r w:rsidRPr="005F0419">
        <w:rPr>
          <w:rFonts w:ascii="Times New Roman" w:hAnsi="Times New Roman" w:cs="Times New Roman"/>
          <w:sz w:val="28"/>
          <w:szCs w:val="28"/>
          <w:lang w:val="uk-UA"/>
        </w:rPr>
        <w:t>;</w:t>
      </w:r>
    </w:p>
    <w:p w14:paraId="0F420C99" w14:textId="77777777" w:rsidR="00662012" w:rsidRPr="005F0419" w:rsidRDefault="00662012" w:rsidP="00662012">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position w:val="-14"/>
          <w:sz w:val="28"/>
          <w:szCs w:val="28"/>
          <w:lang w:val="uk-UA"/>
        </w:rPr>
        <w:object w:dxaOrig="2700" w:dyaOrig="340" w14:anchorId="38A3AF69">
          <v:shape id="_x0000_i1098" type="#_x0000_t75" style="width:156pt;height:17.25pt" o:ole="">
            <v:imagedata r:id="rId394" o:title=""/>
          </v:shape>
          <o:OLEObject Type="Embed" ProgID="Equation.3" ShapeID="_x0000_i1098" DrawAspect="Content" ObjectID="_1773432160" r:id="rId395"/>
        </w:object>
      </w:r>
      <w:r w:rsidRPr="005F0419">
        <w:rPr>
          <w:rFonts w:ascii="Times New Roman" w:hAnsi="Times New Roman" w:cs="Times New Roman"/>
          <w:sz w:val="28"/>
          <w:szCs w:val="28"/>
          <w:lang w:val="uk-UA"/>
        </w:rPr>
        <w:t>,                                                                           (12)</w:t>
      </w:r>
    </w:p>
    <w:p w14:paraId="73EA0C44" w14:textId="77777777" w:rsidR="00662012" w:rsidRPr="005F0419" w:rsidRDefault="00662012" w:rsidP="00662012">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position w:val="-42"/>
          <w:sz w:val="28"/>
          <w:szCs w:val="28"/>
          <w:lang w:val="uk-UA"/>
        </w:rPr>
        <w:object w:dxaOrig="5040" w:dyaOrig="940" w14:anchorId="7A8D1DD1">
          <v:shape id="_x0000_i1099" type="#_x0000_t75" style="width:290.25pt;height:48pt" o:ole="">
            <v:imagedata r:id="rId396" o:title=""/>
          </v:shape>
          <o:OLEObject Type="Embed" ProgID="Equation.3" ShapeID="_x0000_i1099" DrawAspect="Content" ObjectID="_1773432161" r:id="rId397"/>
        </w:object>
      </w:r>
      <w:r w:rsidRPr="005F0419">
        <w:rPr>
          <w:rFonts w:ascii="Times New Roman" w:hAnsi="Times New Roman" w:cs="Times New Roman"/>
          <w:sz w:val="28"/>
          <w:szCs w:val="28"/>
          <w:lang w:val="uk-UA"/>
        </w:rPr>
        <w:t>,                                    (13)</w:t>
      </w:r>
    </w:p>
    <w:p w14:paraId="74E57FDD" w14:textId="77777777" w:rsidR="00662012" w:rsidRPr="005F0419" w:rsidRDefault="00662012" w:rsidP="00662012">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position w:val="-32"/>
          <w:sz w:val="28"/>
          <w:szCs w:val="28"/>
          <w:lang w:val="uk-UA"/>
        </w:rPr>
        <w:object w:dxaOrig="3340" w:dyaOrig="740" w14:anchorId="12BDD07E">
          <v:shape id="_x0000_i1100" type="#_x0000_t75" style="width:192.75pt;height:38.25pt" o:ole="">
            <v:imagedata r:id="rId398" o:title=""/>
          </v:shape>
          <o:OLEObject Type="Embed" ProgID="Equation.3" ShapeID="_x0000_i1100" DrawAspect="Content" ObjectID="_1773432162" r:id="rId399"/>
        </w:object>
      </w:r>
      <w:r w:rsidRPr="005F0419">
        <w:rPr>
          <w:rFonts w:ascii="Times New Roman" w:hAnsi="Times New Roman" w:cs="Times New Roman"/>
          <w:sz w:val="28"/>
          <w:szCs w:val="28"/>
          <w:lang w:val="uk-UA"/>
        </w:rPr>
        <w:t>,                                                                (14)</w:t>
      </w:r>
    </w:p>
    <w:p w14:paraId="23674888"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r w:rsidRPr="005F0419">
        <w:rPr>
          <w:rFonts w:ascii="Times New Roman" w:hAnsi="Times New Roman" w:cs="Times New Roman"/>
          <w:sz w:val="28"/>
          <w:szCs w:val="28"/>
          <w:lang w:val="uk-UA"/>
        </w:rPr>
        <w:t xml:space="preserve">де, </w:t>
      </w:r>
      <w:r w:rsidRPr="005F0419">
        <w:rPr>
          <w:rFonts w:ascii="Times New Roman" w:hAnsi="Times New Roman" w:cs="Times New Roman"/>
          <w:noProof/>
          <w:position w:val="-14"/>
          <w:sz w:val="28"/>
          <w:szCs w:val="28"/>
          <w:lang w:val="uk-UA"/>
        </w:rPr>
        <w:object w:dxaOrig="620" w:dyaOrig="340" w14:anchorId="16F4251A">
          <v:shape id="_x0000_i1101" type="#_x0000_t75" style="width:30.75pt;height:17.25pt" o:ole="">
            <v:imagedata r:id="rId400" o:title=""/>
          </v:shape>
          <o:OLEObject Type="Embed" ProgID="Equation.3" ShapeID="_x0000_i1101" DrawAspect="Content" ObjectID="_1773432163" r:id="rId401"/>
        </w:object>
      </w:r>
      <w:r w:rsidRPr="005F0419">
        <w:rPr>
          <w:rFonts w:ascii="Times New Roman" w:hAnsi="Times New Roman" w:cs="Times New Roman"/>
          <w:sz w:val="28"/>
          <w:szCs w:val="28"/>
          <w:lang w:val="uk-UA"/>
        </w:rPr>
        <w:t xml:space="preserve"> – </w:t>
      </w:r>
      <w:r w:rsidRPr="005F0419">
        <w:rPr>
          <w:rFonts w:ascii="Times New Roman" w:eastAsia="TimesNewRomanPSMT" w:hAnsi="Times New Roman" w:cs="Times New Roman"/>
          <w:sz w:val="28"/>
          <w:szCs w:val="28"/>
          <w:lang w:val="uk-UA" w:eastAsia="en-US"/>
        </w:rPr>
        <w:t xml:space="preserve">відносна відстань між країнами </w:t>
      </w:r>
      <w:r w:rsidRPr="005F0419">
        <w:rPr>
          <w:rFonts w:ascii="Times New Roman" w:eastAsia="TimesNewRomanPSMT" w:hAnsi="Times New Roman" w:cs="Times New Roman"/>
          <w:i/>
          <w:iCs/>
          <w:sz w:val="28"/>
          <w:szCs w:val="28"/>
          <w:lang w:val="uk-UA" w:eastAsia="en-US"/>
        </w:rPr>
        <w:t xml:space="preserve">i </w:t>
      </w:r>
      <w:r w:rsidRPr="005F0419">
        <w:rPr>
          <w:rFonts w:ascii="Times New Roman" w:eastAsia="TimesNewRomanPSMT" w:hAnsi="Times New Roman" w:cs="Times New Roman"/>
          <w:sz w:val="28"/>
          <w:szCs w:val="28"/>
          <w:lang w:val="uk-UA" w:eastAsia="en-US"/>
        </w:rPr>
        <w:t xml:space="preserve">та </w:t>
      </w:r>
      <w:r w:rsidRPr="005F0419">
        <w:rPr>
          <w:rFonts w:ascii="Times New Roman" w:eastAsia="TimesNewRomanPSMT" w:hAnsi="Times New Roman" w:cs="Times New Roman"/>
          <w:i/>
          <w:iCs/>
          <w:sz w:val="28"/>
          <w:szCs w:val="28"/>
          <w:lang w:val="uk-UA" w:eastAsia="en-US"/>
        </w:rPr>
        <w:t>j</w:t>
      </w:r>
      <w:r w:rsidRPr="005F0419">
        <w:rPr>
          <w:rFonts w:ascii="Times New Roman" w:eastAsia="TimesNewRomanPSMT" w:hAnsi="Times New Roman" w:cs="Times New Roman"/>
          <w:sz w:val="28"/>
          <w:szCs w:val="28"/>
          <w:lang w:val="uk-UA" w:eastAsia="en-US"/>
        </w:rPr>
        <w:t xml:space="preserve">. Відповідно підходу </w:t>
      </w:r>
      <w:r w:rsidRPr="005F0419">
        <w:rPr>
          <w:rFonts w:ascii="Times New Roman" w:hAnsi="Times New Roman" w:cs="Times New Roman"/>
          <w:sz w:val="28"/>
          <w:szCs w:val="28"/>
          <w:lang w:val="uk-UA"/>
        </w:rPr>
        <w:t>[36]</w:t>
      </w:r>
      <w:r w:rsidRPr="005F0419">
        <w:rPr>
          <w:rFonts w:ascii="Times New Roman" w:eastAsia="TimesNewRomanPSMT" w:hAnsi="Times New Roman" w:cs="Times New Roman"/>
          <w:sz w:val="28"/>
          <w:szCs w:val="28"/>
          <w:lang w:val="uk-UA" w:eastAsia="en-US"/>
        </w:rPr>
        <w:t xml:space="preserve">, пропонується використовувати не абсолютні значення, а логарифм фактичної відстані, поділений на середню відстань країни-вкладання прямих іноземних інвестицій (ПІІ) від своїх партнерів, зважений на частки останнього у світовому ВВП. Ця корекція перешкоджає моделі тяжіння виробляти упереджені результати: упередження вниз для далеких країн і вгору – для близьких країн; </w:t>
      </w:r>
      <w:r w:rsidRPr="005F0419">
        <w:rPr>
          <w:rFonts w:ascii="Times New Roman" w:hAnsi="Times New Roman" w:cs="Times New Roman"/>
          <w:noProof/>
          <w:position w:val="-14"/>
          <w:sz w:val="28"/>
          <w:szCs w:val="28"/>
          <w:lang w:val="uk-UA"/>
        </w:rPr>
        <w:object w:dxaOrig="440" w:dyaOrig="340" w14:anchorId="2F401A2F">
          <v:shape id="_x0000_i1102" type="#_x0000_t75" style="width:21.75pt;height:17.25pt" o:ole="">
            <v:imagedata r:id="rId402" o:title=""/>
          </v:shape>
          <o:OLEObject Type="Embed" ProgID="Equation.3" ShapeID="_x0000_i1102" DrawAspect="Content" ObjectID="_1773432164" r:id="rId403"/>
        </w:object>
      </w:r>
      <w:r w:rsidRPr="005F0419">
        <w:rPr>
          <w:rFonts w:ascii="Times New Roman" w:eastAsia="Calibri" w:hAnsi="Times New Roman" w:cs="Times New Roman"/>
          <w:i/>
          <w:iCs/>
          <w:sz w:val="28"/>
          <w:szCs w:val="28"/>
          <w:lang w:val="uk-UA" w:eastAsia="en-US"/>
        </w:rPr>
        <w:t xml:space="preserve"> </w:t>
      </w:r>
      <w:r w:rsidRPr="005F0419">
        <w:rPr>
          <w:rFonts w:ascii="Times New Roman" w:eastAsia="TimesNewRomanPSMT" w:hAnsi="Times New Roman" w:cs="Times New Roman"/>
          <w:sz w:val="28"/>
          <w:szCs w:val="28"/>
          <w:lang w:val="uk-UA" w:eastAsia="en-US"/>
        </w:rPr>
        <w:t xml:space="preserve">– фіктивні змінні (здебільшого це фактори країни), які використовуються, коли це доречно, а </w:t>
      </w:r>
      <w:r w:rsidRPr="005F0419">
        <w:rPr>
          <w:rFonts w:ascii="Times New Roman" w:hAnsi="Times New Roman" w:cs="Times New Roman"/>
          <w:noProof/>
          <w:position w:val="-14"/>
          <w:sz w:val="28"/>
          <w:szCs w:val="28"/>
          <w:lang w:val="uk-UA"/>
        </w:rPr>
        <w:object w:dxaOrig="300" w:dyaOrig="340" w14:anchorId="49393858">
          <v:shape id="_x0000_i1103" type="#_x0000_t75" style="width:15pt;height:17.25pt" o:ole="">
            <v:imagedata r:id="rId404" o:title=""/>
          </v:shape>
          <o:OLEObject Type="Embed" ProgID="Equation.3" ShapeID="_x0000_i1103" DrawAspect="Content" ObjectID="_1773432165" r:id="rId405"/>
        </w:object>
      </w:r>
      <w:r w:rsidRPr="005F0419">
        <w:rPr>
          <w:rFonts w:ascii="Times New Roman" w:eastAsia="Calibri" w:hAnsi="Times New Roman" w:cs="Times New Roman"/>
          <w:i/>
          <w:iCs/>
          <w:sz w:val="28"/>
          <w:szCs w:val="28"/>
          <w:lang w:val="uk-UA" w:eastAsia="en-US"/>
        </w:rPr>
        <w:t xml:space="preserve"> </w:t>
      </w:r>
      <w:r w:rsidRPr="005F0419">
        <w:rPr>
          <w:rFonts w:ascii="Times New Roman" w:eastAsia="TimesNewRomanPSMT" w:hAnsi="Times New Roman" w:cs="Times New Roman"/>
          <w:sz w:val="28"/>
          <w:szCs w:val="28"/>
          <w:lang w:val="uk-UA" w:eastAsia="en-US"/>
        </w:rPr>
        <w:t>– звичайний термін помилки.</w:t>
      </w:r>
    </w:p>
    <w:p w14:paraId="4C565E00"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eastAsia="TimesNewRomanPSMT" w:hAnsi="Times New Roman" w:cs="Times New Roman"/>
          <w:sz w:val="28"/>
          <w:szCs w:val="28"/>
          <w:lang w:val="uk-UA" w:eastAsia="en-US"/>
        </w:rPr>
        <w:t xml:space="preserve">Транснаціональна модель міжнародного співробітництва країни в індустрії туризму відображає рівень партнерського виробництва туристичних продуктів за кордоном. Це вимагає наявності таких даних, які на практиці </w: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обмежені </w:t>
      </w:r>
      <w:r w:rsidRPr="005F0419">
        <w:rPr>
          <w:rFonts w:ascii="Times New Roman" w:hAnsi="Times New Roman" w:cs="Times New Roman"/>
          <w:sz w:val="28"/>
          <w:szCs w:val="28"/>
          <w:lang w:val="uk-UA"/>
        </w:rPr>
        <w:t xml:space="preserve">[5; 6; 19]. </w:t>
      </w:r>
      <w:r w:rsidRPr="005F0419">
        <w:rPr>
          <w:rFonts w:ascii="Times New Roman" w:eastAsia="TimesNewRomanPSMT" w:hAnsi="Times New Roman" w:cs="Times New Roman"/>
          <w:sz w:val="28"/>
          <w:szCs w:val="28"/>
          <w:lang w:val="uk-UA" w:eastAsia="en-US"/>
        </w:rPr>
        <w:t>Очікується, що змінна «геоекономічного простору» (</w:t>
      </w:r>
      <w:r w:rsidRPr="005F0419">
        <w:rPr>
          <w:rFonts w:ascii="Times New Roman" w:hAnsi="Times New Roman" w:cs="Times New Roman"/>
          <w:noProof/>
          <w:position w:val="-6"/>
          <w:sz w:val="28"/>
          <w:szCs w:val="28"/>
          <w:lang w:val="uk-UA"/>
        </w:rPr>
        <w:object w:dxaOrig="900" w:dyaOrig="240" w14:anchorId="33335572">
          <v:shape id="_x0000_i1104" type="#_x0000_t75" style="width:45.75pt;height:12pt" o:ole="">
            <v:imagedata r:id="rId406" o:title=""/>
          </v:shape>
          <o:OLEObject Type="Embed" ProgID="Equation.3" ShapeID="_x0000_i1104" DrawAspect="Content" ObjectID="_1773432166" r:id="rId407"/>
        </w:object>
      </w:r>
      <w:r w:rsidRPr="005F0419">
        <w:rPr>
          <w:rFonts w:ascii="Times New Roman" w:eastAsia="TimesNewRomanPSMT" w:hAnsi="Times New Roman" w:cs="Times New Roman"/>
          <w:sz w:val="28"/>
          <w:szCs w:val="28"/>
          <w:lang w:val="uk-UA" w:eastAsia="en-US"/>
        </w:rPr>
        <w:t>) позитивно вплине на рівень ПІІ та експорту. Індекс подібності розмірів (</w:t>
      </w:r>
      <w:r w:rsidRPr="005F0419">
        <w:rPr>
          <w:rFonts w:ascii="Times New Roman" w:hAnsi="Times New Roman" w:cs="Times New Roman"/>
          <w:noProof/>
          <w:position w:val="-6"/>
          <w:sz w:val="28"/>
          <w:szCs w:val="28"/>
          <w:lang w:val="uk-UA"/>
        </w:rPr>
        <w:object w:dxaOrig="820" w:dyaOrig="240" w14:anchorId="5361C935">
          <v:shape id="_x0000_i1105" type="#_x0000_t75" style="width:41.25pt;height:12pt" o:ole="">
            <v:imagedata r:id="rId408" o:title=""/>
          </v:shape>
          <o:OLEObject Type="Embed" ProgID="Equation.3" ShapeID="_x0000_i1105" DrawAspect="Content" ObjectID="_1773432167" r:id="rId409"/>
        </w:object>
      </w:r>
      <w:r w:rsidRPr="005F0419">
        <w:rPr>
          <w:rFonts w:ascii="Times New Roman" w:eastAsia="TimesNewRomanPSMT" w:hAnsi="Times New Roman" w:cs="Times New Roman"/>
          <w:sz w:val="28"/>
          <w:szCs w:val="28"/>
          <w:lang w:val="uk-UA" w:eastAsia="en-US"/>
        </w:rPr>
        <w:t>) приймає значення між 0 (</w:t>
      </w:r>
      <w:proofErr w:type="spellStart"/>
      <w:r w:rsidRPr="005F0419">
        <w:rPr>
          <w:rFonts w:ascii="Times New Roman" w:eastAsia="TimesNewRomanPSMT" w:hAnsi="Times New Roman" w:cs="Times New Roman"/>
          <w:sz w:val="28"/>
          <w:szCs w:val="28"/>
          <w:lang w:val="uk-UA" w:eastAsia="en-US"/>
        </w:rPr>
        <w:t>log</w:t>
      </w:r>
      <w:proofErr w:type="spellEnd"/>
      <w:r w:rsidRPr="005F0419">
        <w:rPr>
          <w:rFonts w:ascii="Times New Roman" w:eastAsia="TimesNewRomanPSMT" w:hAnsi="Times New Roman" w:cs="Times New Roman"/>
          <w:sz w:val="28"/>
          <w:szCs w:val="28"/>
          <w:lang w:val="uk-UA" w:eastAsia="en-US"/>
        </w:rPr>
        <w:t xml:space="preserve"> від числа біля нуля) в разі ідеальної несхожості – 0,69 (</w:t>
      </w:r>
      <w:proofErr w:type="spellStart"/>
      <w:r w:rsidRPr="005F0419">
        <w:rPr>
          <w:rFonts w:ascii="Times New Roman" w:eastAsia="TimesNewRomanPSMT" w:hAnsi="Times New Roman" w:cs="Times New Roman"/>
          <w:sz w:val="28"/>
          <w:szCs w:val="28"/>
          <w:lang w:val="uk-UA" w:eastAsia="en-US"/>
        </w:rPr>
        <w:t>log</w:t>
      </w:r>
      <w:proofErr w:type="spellEnd"/>
      <w:r w:rsidRPr="005F0419">
        <w:rPr>
          <w:rFonts w:ascii="Times New Roman" w:eastAsia="TimesNewRomanPSMT" w:hAnsi="Times New Roman" w:cs="Times New Roman"/>
          <w:sz w:val="28"/>
          <w:szCs w:val="28"/>
          <w:lang w:val="uk-UA" w:eastAsia="en-US"/>
        </w:rPr>
        <w:t xml:space="preserve"> від 0,5) для ідеальної схожості. Подібність за розміром повинна позитивно вплинути на експорт: країни, подібні за розміром, будуть торгувати більше; відбудеться збільшення рівня прибутковості, торгівля буде мати </w:t>
      </w:r>
      <w:proofErr w:type="spellStart"/>
      <w:r w:rsidRPr="005F0419">
        <w:rPr>
          <w:rFonts w:ascii="Times New Roman" w:eastAsia="TimesNewRomanPSMT" w:hAnsi="Times New Roman" w:cs="Times New Roman"/>
          <w:sz w:val="28"/>
          <w:szCs w:val="28"/>
          <w:lang w:val="uk-UA" w:eastAsia="en-US"/>
        </w:rPr>
        <w:t>внутрішньоіндустріальний</w:t>
      </w:r>
      <w:proofErr w:type="spellEnd"/>
      <w:r w:rsidRPr="005F0419">
        <w:rPr>
          <w:rFonts w:ascii="Times New Roman" w:eastAsia="TimesNewRomanPSMT" w:hAnsi="Times New Roman" w:cs="Times New Roman"/>
          <w:sz w:val="28"/>
          <w:szCs w:val="28"/>
          <w:lang w:val="uk-UA" w:eastAsia="en-US"/>
        </w:rPr>
        <w:t xml:space="preserve"> характер </w:t>
      </w:r>
      <w:r w:rsidRPr="005F0419">
        <w:rPr>
          <w:rFonts w:ascii="Times New Roman" w:hAnsi="Times New Roman" w:cs="Times New Roman"/>
          <w:sz w:val="28"/>
          <w:szCs w:val="28"/>
          <w:lang w:val="uk-UA"/>
        </w:rPr>
        <w:t>[36–38].</w:t>
      </w:r>
    </w:p>
    <w:p w14:paraId="2861029D"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eastAsia="TimesNewRomanPSMT" w:hAnsi="Times New Roman" w:cs="Times New Roman"/>
          <w:sz w:val="28"/>
          <w:szCs w:val="28"/>
          <w:lang w:val="uk-UA" w:eastAsia="en-US"/>
        </w:rPr>
        <w:lastRenderedPageBreak/>
        <w:t>Змінна (</w:t>
      </w:r>
      <w:r w:rsidRPr="005F0419">
        <w:rPr>
          <w:rFonts w:ascii="Times New Roman" w:hAnsi="Times New Roman" w:cs="Times New Roman"/>
          <w:noProof/>
          <w:position w:val="-6"/>
          <w:sz w:val="28"/>
          <w:szCs w:val="28"/>
          <w:lang w:val="uk-UA"/>
        </w:rPr>
        <w:object w:dxaOrig="1180" w:dyaOrig="240" w14:anchorId="6970EB71">
          <v:shape id="_x0000_i1106" type="#_x0000_t75" style="width:59.25pt;height:12pt" o:ole="">
            <v:imagedata r:id="rId410" o:title=""/>
          </v:shape>
          <o:OLEObject Type="Embed" ProgID="Equation.3" ShapeID="_x0000_i1106" DrawAspect="Content" ObjectID="_1773432168" r:id="rId411"/>
        </w:object>
      </w:r>
      <w:r w:rsidRPr="005F0419">
        <w:rPr>
          <w:rFonts w:ascii="Times New Roman" w:eastAsia="TimesNewRomanPSMT" w:hAnsi="Times New Roman" w:cs="Times New Roman"/>
          <w:sz w:val="28"/>
          <w:szCs w:val="28"/>
          <w:lang w:val="uk-UA" w:eastAsia="en-US"/>
        </w:rPr>
        <w:t xml:space="preserve">) вимірюються між країнами різницею у ВВП на душу населення. Кращими змінними можуть бути: ВВП на одного працівника, співвідношення капіталу (формування валового фіксованого капіталу) над працездатним населенням або кваліфікованими працівниками індустрії туризму у загальній зайнятості такої країни. Негативний коефіцієнт у рівнянні експорту є ознакою того, що переважає внутрішньогалузева торгівля туристичними продуктами. Для ПІІ має місце схожість алгоритму приросту змінної: вертикальні ПІІ (еквівалентні міжгалузевій торгівлі в індустрії туризму) виникають, коли країни дуже відрізняються за складом факторів, і, при цьому, показують позитивний коефіцієнт; горизонтальні ПІІ визначаються схожістю у складі факторів країн, які показують негативний коефіцієнт. Що ж стосується відстані між країнами, то вплив на експорт може бути негативний через збільшення транспортних витрат. З іншого боку, туристичні компанії можуть бути інвестувати за кордон, і, при цьому не експортувати за умови високих витрат на торгівлю. Однак, ця змінна також може мати негативний коефіцієнт у рівнянні з ПІІ, оскільки витрати на роботу закордонних туристичних компаній можуть зростати; є залежними від штаб-квартири туристичної компанії </w:t>
      </w:r>
      <w:r w:rsidRPr="005F0419">
        <w:rPr>
          <w:rFonts w:ascii="Times New Roman" w:hAnsi="Times New Roman" w:cs="Times New Roman"/>
          <w:sz w:val="28"/>
          <w:szCs w:val="28"/>
          <w:lang w:val="uk-UA"/>
        </w:rPr>
        <w:t>[36–38].</w:t>
      </w:r>
    </w:p>
    <w:p w14:paraId="2CAE07FE"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r w:rsidRPr="005F0419">
        <w:rPr>
          <w:rFonts w:ascii="Times New Roman" w:eastAsia="TimesNewRomanPSMT" w:hAnsi="Times New Roman" w:cs="Times New Roman"/>
          <w:sz w:val="28"/>
          <w:szCs w:val="28"/>
          <w:lang w:val="uk-UA" w:eastAsia="en-US"/>
        </w:rPr>
        <w:t xml:space="preserve">Типове геоекономічне середовище буде описано кількома важливими змінами, що впливають на інтеграцію країн у міжнародне співробітництво інших країн для відновлення індустрії туризму, при різних рівнях розвитку подій </w:t>
      </w:r>
      <w:r w:rsidRPr="005F0419">
        <w:rPr>
          <w:rFonts w:ascii="Times New Roman" w:hAnsi="Times New Roman" w:cs="Times New Roman"/>
          <w:sz w:val="28"/>
          <w:szCs w:val="28"/>
          <w:lang w:val="uk-UA"/>
        </w:rPr>
        <w:t>[17; 21; 39]</w:t>
      </w:r>
      <w:r w:rsidRPr="005F0419">
        <w:rPr>
          <w:rFonts w:ascii="Times New Roman" w:eastAsia="TimesNewRomanPSMT" w:hAnsi="Times New Roman" w:cs="Times New Roman"/>
          <w:sz w:val="28"/>
          <w:szCs w:val="28"/>
          <w:lang w:val="uk-UA" w:eastAsia="en-US"/>
        </w:rPr>
        <w:t>: 1) зниження тарифів (скасування тарифів та прийняття спільного зовнішнього тарифу у разі митного союзу); 2) зменшення нетарифних бар’єрів (</w:t>
      </w:r>
      <w:r w:rsidRPr="005F0419">
        <w:rPr>
          <w:rFonts w:ascii="Times New Roman" w:hAnsi="Times New Roman" w:cs="Times New Roman"/>
          <w:noProof/>
          <w:position w:val="-6"/>
          <w:sz w:val="28"/>
          <w:szCs w:val="28"/>
          <w:lang w:val="uk-UA"/>
        </w:rPr>
        <w:object w:dxaOrig="540" w:dyaOrig="240" w14:anchorId="2C052B30">
          <v:shape id="_x0000_i1107" type="#_x0000_t75" style="width:27.75pt;height:12pt" o:ole="">
            <v:imagedata r:id="rId412" o:title=""/>
          </v:shape>
          <o:OLEObject Type="Embed" ProgID="Equation.3" ShapeID="_x0000_i1107" DrawAspect="Content" ObjectID="_1773432169" r:id="rId413"/>
        </w:object>
      </w:r>
      <w:r w:rsidRPr="005F0419">
        <w:rPr>
          <w:rFonts w:ascii="Times New Roman" w:eastAsia="TimesNewRomanPSMT" w:hAnsi="Times New Roman" w:cs="Times New Roman"/>
          <w:sz w:val="28"/>
          <w:szCs w:val="28"/>
          <w:lang w:val="uk-UA" w:eastAsia="en-US"/>
        </w:rPr>
        <w:t>) за Програмою єдиного ринку (</w:t>
      </w:r>
      <w:r w:rsidRPr="005F0419">
        <w:rPr>
          <w:rFonts w:ascii="Times New Roman" w:hAnsi="Times New Roman" w:cs="Times New Roman"/>
          <w:noProof/>
          <w:position w:val="-6"/>
          <w:sz w:val="28"/>
          <w:szCs w:val="28"/>
          <w:lang w:val="uk-UA"/>
        </w:rPr>
        <w:object w:dxaOrig="480" w:dyaOrig="240" w14:anchorId="5D56A1CF">
          <v:shape id="_x0000_i1108" type="#_x0000_t75" style="width:24pt;height:12pt" o:ole="">
            <v:imagedata r:id="rId414" o:title=""/>
          </v:shape>
          <o:OLEObject Type="Embed" ProgID="Equation.3" ShapeID="_x0000_i1108" DrawAspect="Content" ObjectID="_1773432170" r:id="rId415"/>
        </w:object>
      </w:r>
      <w:r w:rsidRPr="005F0419">
        <w:rPr>
          <w:rFonts w:ascii="Times New Roman" w:eastAsia="TimesNewRomanPSMT" w:hAnsi="Times New Roman" w:cs="Times New Roman"/>
          <w:sz w:val="28"/>
          <w:szCs w:val="28"/>
          <w:lang w:val="uk-UA" w:eastAsia="en-US"/>
        </w:rPr>
        <w:t xml:space="preserve">); 3) потенційно більша </w:t>
      </w:r>
      <w:proofErr w:type="spellStart"/>
      <w:r w:rsidRPr="005F0419">
        <w:rPr>
          <w:rFonts w:ascii="Times New Roman" w:eastAsia="TimesNewRomanPSMT" w:hAnsi="Times New Roman" w:cs="Times New Roman"/>
          <w:sz w:val="28"/>
          <w:szCs w:val="28"/>
          <w:lang w:val="uk-UA" w:eastAsia="en-US"/>
        </w:rPr>
        <w:t>курсо</w:t>
      </w:r>
      <w:proofErr w:type="spellEnd"/>
      <w:r w:rsidRPr="005F0419">
        <w:rPr>
          <w:rFonts w:ascii="Times New Roman" w:eastAsia="TimesNewRomanPSMT" w:hAnsi="Times New Roman" w:cs="Times New Roman"/>
          <w:sz w:val="28"/>
          <w:szCs w:val="28"/>
          <w:lang w:val="uk-UA" w:eastAsia="en-US"/>
        </w:rPr>
        <w:t>-умовна стабільність, за Європейською валютною системою (</w:t>
      </w:r>
      <w:r w:rsidRPr="005F0419">
        <w:rPr>
          <w:rFonts w:ascii="Times New Roman" w:hAnsi="Times New Roman" w:cs="Times New Roman"/>
          <w:noProof/>
          <w:position w:val="-6"/>
          <w:sz w:val="28"/>
          <w:szCs w:val="28"/>
          <w:lang w:val="uk-UA"/>
        </w:rPr>
        <w:object w:dxaOrig="460" w:dyaOrig="240" w14:anchorId="5F8A6614">
          <v:shape id="_x0000_i1109" type="#_x0000_t75" style="width:23.25pt;height:12pt" o:ole="">
            <v:imagedata r:id="rId416" o:title=""/>
          </v:shape>
          <o:OLEObject Type="Embed" ProgID="Equation.3" ShapeID="_x0000_i1109" DrawAspect="Content" ObjectID="_1773432171" r:id="rId417"/>
        </w:object>
      </w:r>
      <w:r w:rsidRPr="005F0419">
        <w:rPr>
          <w:rFonts w:ascii="Times New Roman" w:eastAsia="TimesNewRomanPSMT" w:hAnsi="Times New Roman" w:cs="Times New Roman"/>
          <w:sz w:val="28"/>
          <w:szCs w:val="28"/>
          <w:lang w:val="uk-UA" w:eastAsia="en-US"/>
        </w:rPr>
        <w:t xml:space="preserve">); 4) більша ефективність при розподілі ресурсів завдяки посиленій конкуренції. Перші два ефекти можна назвати «комерційними змінами», оскільки вони наразі пов’язані з торговельною політикою на міжнародному ринку туристичних послуг; третій – з «грошовою інтеграцією», а четвертий – з «інтеграцією ринку» </w:t>
      </w:r>
      <w:r w:rsidRPr="005F0419">
        <w:rPr>
          <w:rFonts w:ascii="Times New Roman" w:hAnsi="Times New Roman" w:cs="Times New Roman"/>
          <w:sz w:val="28"/>
          <w:szCs w:val="28"/>
          <w:lang w:val="uk-UA"/>
        </w:rPr>
        <w:t>[8; 11; 38]</w:t>
      </w:r>
      <w:r w:rsidRPr="005F0419">
        <w:rPr>
          <w:rFonts w:ascii="Times New Roman" w:eastAsia="TimesNewRomanPSMT" w:hAnsi="Times New Roman" w:cs="Times New Roman"/>
          <w:sz w:val="28"/>
          <w:szCs w:val="28"/>
          <w:lang w:val="uk-UA" w:eastAsia="en-US"/>
        </w:rPr>
        <w:t>.</w:t>
      </w:r>
    </w:p>
    <w:p w14:paraId="2B7575A3"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r w:rsidRPr="005F0419">
        <w:rPr>
          <w:rFonts w:ascii="Times New Roman" w:eastAsia="TimesNewRomanPSMT" w:hAnsi="Times New Roman" w:cs="Times New Roman"/>
          <w:sz w:val="28"/>
          <w:szCs w:val="28"/>
          <w:lang w:val="uk-UA" w:eastAsia="en-US"/>
        </w:rPr>
        <w:t xml:space="preserve">Аналізуючи вплив комерційних змін варто врахувати головну відмінність між членами та не-членами інтегрованої системи </w:t>
      </w:r>
      <w:r w:rsidRPr="005F0419">
        <w:rPr>
          <w:rFonts w:ascii="Times New Roman" w:hAnsi="Times New Roman" w:cs="Times New Roman"/>
          <w:sz w:val="28"/>
          <w:szCs w:val="28"/>
          <w:lang w:val="uk-UA"/>
        </w:rPr>
        <w:t xml:space="preserve">локально-регіональної та </w:t>
      </w:r>
      <w:proofErr w:type="spellStart"/>
      <w:r w:rsidRPr="005F0419">
        <w:rPr>
          <w:rFonts w:ascii="Times New Roman" w:hAnsi="Times New Roman" w:cs="Times New Roman"/>
          <w:sz w:val="28"/>
          <w:szCs w:val="28"/>
          <w:lang w:val="uk-UA"/>
        </w:rPr>
        <w:lastRenderedPageBreak/>
        <w:t>макро</w:t>
      </w:r>
      <w:proofErr w:type="spellEnd"/>
      <w:r w:rsidRPr="005F0419">
        <w:rPr>
          <w:rFonts w:ascii="Times New Roman" w:hAnsi="Times New Roman" w:cs="Times New Roman"/>
          <w:sz w:val="28"/>
          <w:szCs w:val="28"/>
          <w:lang w:val="uk-UA"/>
        </w:rPr>
        <w:t>-регіональної</w:t>
      </w:r>
      <w:r w:rsidRPr="005F0419">
        <w:rPr>
          <w:rFonts w:ascii="Times New Roman" w:eastAsia="TimesNewRomanPSMT" w:hAnsi="Times New Roman" w:cs="Times New Roman"/>
          <w:sz w:val="28"/>
          <w:szCs w:val="28"/>
          <w:lang w:val="uk-UA" w:eastAsia="en-US"/>
        </w:rPr>
        <w:t xml:space="preserve"> зон (</w:t>
      </w:r>
      <w:r w:rsidRPr="005F0419">
        <w:rPr>
          <w:rFonts w:ascii="Times New Roman" w:hAnsi="Times New Roman" w:cs="Times New Roman"/>
          <w:noProof/>
          <w:position w:val="-10"/>
          <w:sz w:val="28"/>
          <w:szCs w:val="28"/>
          <w:lang w:val="uk-UA"/>
        </w:rPr>
        <w:object w:dxaOrig="1219" w:dyaOrig="300" w14:anchorId="5B7AEBF9">
          <v:shape id="_x0000_i1110" type="#_x0000_t75" style="width:60.75pt;height:15pt" o:ole="">
            <v:imagedata r:id="rId418" o:title=""/>
          </v:shape>
          <o:OLEObject Type="Embed" ProgID="Equation.3" ShapeID="_x0000_i1110" DrawAspect="Content" ObjectID="_1773432172" r:id="rId419"/>
        </w:object>
      </w:r>
      <w:r w:rsidRPr="005F0419">
        <w:rPr>
          <w:rFonts w:ascii="Times New Roman" w:eastAsia="TimesNewRomanPSMT" w:hAnsi="Times New Roman" w:cs="Times New Roman"/>
          <w:sz w:val="28"/>
          <w:szCs w:val="28"/>
          <w:lang w:val="uk-UA" w:eastAsia="en-US"/>
        </w:rPr>
        <w:t xml:space="preserve">). З одного боку, маємо факт, що скорочення витрат на торгівлю туристичними продуктами безпосередньо піде на користь експорту. Якщо припустити, що аргумент «тариф-стрибок» тримається (який насправді повинен бути перевірений першим), то очікуємо скорочення ПІІ від членів </w:t>
      </w:r>
      <w:r w:rsidRPr="005F0419">
        <w:rPr>
          <w:rFonts w:ascii="Times New Roman" w:hAnsi="Times New Roman" w:cs="Times New Roman"/>
          <w:noProof/>
          <w:position w:val="-10"/>
          <w:sz w:val="28"/>
          <w:szCs w:val="28"/>
          <w:lang w:val="uk-UA"/>
        </w:rPr>
        <w:object w:dxaOrig="1219" w:dyaOrig="300" w14:anchorId="15BBA014">
          <v:shape id="_x0000_i1111" type="#_x0000_t75" style="width:60.75pt;height:15pt" o:ole="">
            <v:imagedata r:id="rId420" o:title=""/>
          </v:shape>
          <o:OLEObject Type="Embed" ProgID="Equation.3" ShapeID="_x0000_i1111" DrawAspect="Content" ObjectID="_1773432173" r:id="rId421"/>
        </w:object>
      </w:r>
      <w:r w:rsidRPr="005F0419">
        <w:rPr>
          <w:rFonts w:ascii="Times New Roman" w:hAnsi="Times New Roman" w:cs="Times New Roman"/>
          <w:sz w:val="28"/>
          <w:szCs w:val="28"/>
          <w:lang w:val="uk-UA"/>
        </w:rPr>
        <w:t xml:space="preserve"> </w:t>
      </w:r>
      <w:r w:rsidRPr="005F0419">
        <w:rPr>
          <w:rFonts w:ascii="Times New Roman" w:eastAsia="TimesNewRomanPSMT" w:hAnsi="Times New Roman" w:cs="Times New Roman"/>
          <w:sz w:val="28"/>
          <w:szCs w:val="28"/>
          <w:lang w:val="uk-UA" w:eastAsia="en-US"/>
        </w:rPr>
        <w:t xml:space="preserve">відносно експорту. Тобто, експорт повинен стати більш прибутковим, як сфера обслуговування міжнародного ринку туристичних послуг, в межах </w:t>
      </w:r>
      <w:r w:rsidRPr="005F0419">
        <w:rPr>
          <w:rFonts w:ascii="Times New Roman" w:hAnsi="Times New Roman" w:cs="Times New Roman"/>
          <w:noProof/>
          <w:position w:val="-10"/>
          <w:sz w:val="28"/>
          <w:szCs w:val="28"/>
          <w:lang w:val="uk-UA"/>
        </w:rPr>
        <w:object w:dxaOrig="1219" w:dyaOrig="300" w14:anchorId="59F8D2F7">
          <v:shape id="_x0000_i1112" type="#_x0000_t75" style="width:60.75pt;height:15pt" o:ole="">
            <v:imagedata r:id="rId420" o:title=""/>
          </v:shape>
          <o:OLEObject Type="Embed" ProgID="Equation.3" ShapeID="_x0000_i1112" DrawAspect="Content" ObjectID="_1773432174" r:id="rId422"/>
        </w:object>
      </w:r>
      <w:r w:rsidRPr="005F0419">
        <w:rPr>
          <w:rFonts w:ascii="Times New Roman" w:eastAsia="TimesNewRomanPSMT" w:hAnsi="Times New Roman" w:cs="Times New Roman"/>
          <w:sz w:val="28"/>
          <w:szCs w:val="28"/>
          <w:lang w:val="uk-UA" w:eastAsia="en-US"/>
        </w:rPr>
        <w:t xml:space="preserve">. З іншого боку, тільки у випадку з митним союзом, для не-членів може бути протилежна ситуація. Ефект торгової диверсії при створенні </w:t>
      </w:r>
      <w:r w:rsidRPr="005F0419">
        <w:rPr>
          <w:rFonts w:ascii="Times New Roman" w:hAnsi="Times New Roman" w:cs="Times New Roman"/>
          <w:noProof/>
          <w:position w:val="-10"/>
          <w:sz w:val="28"/>
          <w:szCs w:val="28"/>
          <w:lang w:val="uk-UA"/>
        </w:rPr>
        <w:object w:dxaOrig="1219" w:dyaOrig="300" w14:anchorId="39C2344F">
          <v:shape id="_x0000_i1113" type="#_x0000_t75" style="width:60.75pt;height:15pt" o:ole="">
            <v:imagedata r:id="rId420" o:title=""/>
          </v:shape>
          <o:OLEObject Type="Embed" ProgID="Equation.3" ShapeID="_x0000_i1113" DrawAspect="Content" ObjectID="_1773432175" r:id="rId423"/>
        </w:object>
      </w:r>
      <w:r w:rsidRPr="005F0419">
        <w:rPr>
          <w:rFonts w:ascii="Times New Roman" w:eastAsia="TimesNewRomanPSMT" w:hAnsi="Times New Roman" w:cs="Times New Roman"/>
          <w:sz w:val="28"/>
          <w:szCs w:val="28"/>
          <w:lang w:val="uk-UA" w:eastAsia="en-US"/>
        </w:rPr>
        <w:t xml:space="preserve"> стимулює експортерів до інвестування в </w:t>
      </w:r>
      <w:r w:rsidRPr="005F0419">
        <w:rPr>
          <w:rFonts w:ascii="Times New Roman" w:hAnsi="Times New Roman" w:cs="Times New Roman"/>
          <w:noProof/>
          <w:position w:val="-10"/>
          <w:sz w:val="28"/>
          <w:szCs w:val="28"/>
          <w:lang w:val="uk-UA"/>
        </w:rPr>
        <w:object w:dxaOrig="1219" w:dyaOrig="300" w14:anchorId="6A5D87B9">
          <v:shape id="_x0000_i1114" type="#_x0000_t75" style="width:60.75pt;height:15pt" o:ole="">
            <v:imagedata r:id="rId420" o:title=""/>
          </v:shape>
          <o:OLEObject Type="Embed" ProgID="Equation.3" ShapeID="_x0000_i1114" DrawAspect="Content" ObjectID="_1773432176" r:id="rId424"/>
        </w:object>
      </w:r>
      <w:r w:rsidRPr="005F0419">
        <w:rPr>
          <w:rFonts w:ascii="Times New Roman" w:eastAsia="TimesNewRomanPSMT" w:hAnsi="Times New Roman" w:cs="Times New Roman"/>
          <w:sz w:val="28"/>
          <w:szCs w:val="28"/>
          <w:lang w:val="uk-UA" w:eastAsia="en-US"/>
        </w:rPr>
        <w:t xml:space="preserve">, для уникнення тарифів та отримання доступу до більшого ринку туристичних послуг, який згодом буде вільний від тарифів </w:t>
      </w:r>
      <w:r w:rsidRPr="005F0419">
        <w:rPr>
          <w:rFonts w:ascii="Times New Roman" w:hAnsi="Times New Roman" w:cs="Times New Roman"/>
          <w:sz w:val="28"/>
          <w:szCs w:val="28"/>
          <w:lang w:val="uk-UA"/>
        </w:rPr>
        <w:t>[11; 36]</w:t>
      </w:r>
      <w:r w:rsidRPr="005F0419">
        <w:rPr>
          <w:rFonts w:ascii="Times New Roman" w:eastAsia="TimesNewRomanPSMT" w:hAnsi="Times New Roman" w:cs="Times New Roman"/>
          <w:sz w:val="28"/>
          <w:szCs w:val="28"/>
          <w:lang w:val="uk-UA" w:eastAsia="en-US"/>
        </w:rPr>
        <w:t>.</w:t>
      </w:r>
    </w:p>
    <w:p w14:paraId="542ECA4D"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eastAsia="TimesNewRomanPSMT" w:hAnsi="Times New Roman" w:cs="Times New Roman"/>
          <w:sz w:val="28"/>
          <w:szCs w:val="28"/>
          <w:lang w:val="uk-UA" w:eastAsia="en-US"/>
        </w:rPr>
        <w:t xml:space="preserve">Відновлення вітчизняної індустрії туризму в Україні, як імпульсного прискорювача розвитку потенціалу міжнародного співробітництва країни в геоекономічному просторі, орієнтується на паралельні процеси: радикальні зміни міжнародних економічних відносин та поточні структурні глобалізаційні трансформації. Однак, у порівнянні з іншими світовими державами вітчизняна індустрія туризму відроджується нерівномірно у розрізі окремих її територій. </w:t>
      </w:r>
      <w:r w:rsidRPr="005F0419">
        <w:rPr>
          <w:rFonts w:ascii="Times New Roman" w:eastAsia="Calibri" w:hAnsi="Times New Roman" w:cs="Times New Roman"/>
          <w:sz w:val="28"/>
          <w:szCs w:val="28"/>
          <w:lang w:val="uk-UA" w:eastAsia="en-US"/>
        </w:rPr>
        <w:t xml:space="preserve">Це пояснюється </w:t>
      </w:r>
      <w:r w:rsidRPr="005F0419">
        <w:rPr>
          <w:rFonts w:ascii="Times New Roman" w:hAnsi="Times New Roman" w:cs="Times New Roman"/>
          <w:sz w:val="28"/>
          <w:szCs w:val="28"/>
          <w:lang w:val="uk-UA"/>
        </w:rPr>
        <w:t xml:space="preserve">низьким рівнем активності виробників комплексного продукту в туризмі щодо надання пропозицій в </w:t>
      </w:r>
      <w:proofErr w:type="spellStart"/>
      <w:r w:rsidRPr="005F0419">
        <w:rPr>
          <w:rFonts w:ascii="Times New Roman" w:hAnsi="Times New Roman" w:cs="Times New Roman"/>
          <w:sz w:val="28"/>
          <w:szCs w:val="28"/>
          <w:lang w:val="uk-UA"/>
        </w:rPr>
        <w:t>дестинації</w:t>
      </w:r>
      <w:proofErr w:type="spellEnd"/>
      <w:r w:rsidRPr="005F0419">
        <w:rPr>
          <w:rFonts w:ascii="Times New Roman" w:hAnsi="Times New Roman" w:cs="Times New Roman"/>
          <w:sz w:val="28"/>
          <w:szCs w:val="28"/>
          <w:lang w:val="uk-UA"/>
        </w:rPr>
        <w:t xml:space="preserve"> відносно подорожей, рекреації та відпочинку, який спричинено відносно </w:t>
      </w:r>
      <w:r w:rsidRPr="005F0419">
        <w:rPr>
          <w:rFonts w:ascii="Times New Roman" w:eastAsia="Calibri" w:hAnsi="Times New Roman" w:cs="Times New Roman"/>
          <w:sz w:val="28"/>
          <w:szCs w:val="28"/>
          <w:lang w:val="uk-UA" w:eastAsia="en-US"/>
        </w:rPr>
        <w:t xml:space="preserve">затяжним періодом пандемії в світі, очікуванням нового штаму </w:t>
      </w:r>
      <w:proofErr w:type="spellStart"/>
      <w:r w:rsidRPr="005F0419">
        <w:rPr>
          <w:rFonts w:ascii="Times New Roman" w:eastAsia="Calibri" w:hAnsi="Times New Roman" w:cs="Times New Roman"/>
          <w:sz w:val="28"/>
          <w:szCs w:val="28"/>
          <w:lang w:val="uk-UA" w:eastAsia="en-US"/>
        </w:rPr>
        <w:t>коронавірусної</w:t>
      </w:r>
      <w:proofErr w:type="spellEnd"/>
      <w:r w:rsidRPr="005F0419">
        <w:rPr>
          <w:rFonts w:ascii="Times New Roman" w:eastAsia="Calibri" w:hAnsi="Times New Roman" w:cs="Times New Roman"/>
          <w:sz w:val="28"/>
          <w:szCs w:val="28"/>
          <w:lang w:val="uk-UA" w:eastAsia="en-US"/>
        </w:rPr>
        <w:t xml:space="preserve"> хвороби та воєнною агресією </w:t>
      </w:r>
      <w:proofErr w:type="spellStart"/>
      <w:r w:rsidRPr="005F0419">
        <w:rPr>
          <w:rFonts w:ascii="Times New Roman" w:eastAsia="Calibri" w:hAnsi="Times New Roman" w:cs="Times New Roman"/>
          <w:sz w:val="28"/>
          <w:szCs w:val="28"/>
          <w:lang w:val="uk-UA" w:eastAsia="en-US"/>
        </w:rPr>
        <w:t>росії</w:t>
      </w:r>
      <w:proofErr w:type="spellEnd"/>
      <w:r w:rsidRPr="005F0419">
        <w:rPr>
          <w:rFonts w:ascii="Times New Roman" w:eastAsia="Calibri" w:hAnsi="Times New Roman" w:cs="Times New Roman"/>
          <w:sz w:val="28"/>
          <w:szCs w:val="28"/>
          <w:lang w:val="uk-UA" w:eastAsia="en-US"/>
        </w:rPr>
        <w:t xml:space="preserve"> </w:t>
      </w:r>
      <w:r w:rsidRPr="005F0419">
        <w:rPr>
          <w:rFonts w:ascii="Times New Roman" w:hAnsi="Times New Roman" w:cs="Times New Roman"/>
          <w:sz w:val="28"/>
          <w:szCs w:val="28"/>
          <w:lang w:val="uk-UA"/>
        </w:rPr>
        <w:t xml:space="preserve">по відношенню до України [11; 40]. Зазначені негативні події призвели вже </w:t>
      </w:r>
      <w:r w:rsidRPr="005F0419">
        <w:rPr>
          <w:rFonts w:ascii="Times New Roman" w:hAnsi="Times New Roman" w:cs="Times New Roman"/>
          <w:bCs/>
          <w:sz w:val="28"/>
          <w:szCs w:val="28"/>
          <w:lang w:val="uk-UA"/>
        </w:rPr>
        <w:t>до посилення кризи й кризових явищ всередині країни, а також до неспроможності здійснення</w:t>
      </w:r>
      <w:r w:rsidRPr="005F0419">
        <w:rPr>
          <w:rFonts w:ascii="Times New Roman" w:hAnsi="Times New Roman" w:cs="Times New Roman"/>
          <w:sz w:val="28"/>
          <w:szCs w:val="28"/>
          <w:lang w:val="uk-UA"/>
        </w:rPr>
        <w:t xml:space="preserve"> диверсифікації туристично-рекреаційних процесів</w:t>
      </w:r>
      <w:r w:rsidRPr="005F0419">
        <w:rPr>
          <w:rFonts w:ascii="Times New Roman" w:hAnsi="Times New Roman" w:cs="Times New Roman"/>
          <w:bCs/>
          <w:sz w:val="28"/>
          <w:szCs w:val="28"/>
          <w:lang w:val="uk-UA"/>
        </w:rPr>
        <w:t xml:space="preserve"> в період чинності причин, викликів, загроз. Протягом 2022–2023 років </w:t>
      </w:r>
      <w:r w:rsidRPr="005F0419">
        <w:rPr>
          <w:rFonts w:ascii="Times New Roman" w:hAnsi="Times New Roman" w:cs="Times New Roman"/>
          <w:sz w:val="28"/>
          <w:szCs w:val="28"/>
          <w:lang w:val="uk-UA"/>
        </w:rPr>
        <w:t xml:space="preserve">Україна частково втратила міжнародні зв’язки на ринку туристичних послуг, таким чином, ускладнивши своєчасність швидкого відновлення ресурсної компоненти в обслуговуванні туристів та рекреантів на міжнародній арені, збільшила інвестиційні ризики та послабила позиції національного індустрії туризму. </w:t>
      </w:r>
      <w:r w:rsidRPr="005F0419">
        <w:rPr>
          <w:rFonts w:ascii="Times New Roman" w:hAnsi="Times New Roman" w:cs="Times New Roman"/>
          <w:bCs/>
          <w:sz w:val="28"/>
          <w:szCs w:val="28"/>
          <w:lang w:val="uk-UA"/>
        </w:rPr>
        <w:t xml:space="preserve">Україна зараз знаходиться </w:t>
      </w:r>
      <w:r w:rsidRPr="005F0419">
        <w:rPr>
          <w:rFonts w:ascii="Times New Roman" w:hAnsi="Times New Roman" w:cs="Times New Roman"/>
          <w:sz w:val="28"/>
          <w:szCs w:val="28"/>
          <w:lang w:val="uk-UA"/>
        </w:rPr>
        <w:t xml:space="preserve">в </w:t>
      </w:r>
      <w:r w:rsidRPr="005F0419">
        <w:rPr>
          <w:rFonts w:ascii="Times New Roman" w:hAnsi="Times New Roman" w:cs="Times New Roman"/>
          <w:sz w:val="28"/>
          <w:szCs w:val="28"/>
          <w:lang w:val="uk-UA"/>
        </w:rPr>
        <w:lastRenderedPageBreak/>
        <w:t>«стресовому» воєнному періоді, однак, за оцінкою міжнародних туристичних організацій,</w:t>
      </w:r>
      <w:r w:rsidRPr="005F0419">
        <w:rPr>
          <w:rFonts w:ascii="Times New Roman" w:hAnsi="Times New Roman" w:cs="Times New Roman"/>
          <w:bCs/>
          <w:sz w:val="28"/>
          <w:szCs w:val="28"/>
          <w:lang w:val="uk-UA"/>
        </w:rPr>
        <w:t xml:space="preserve"> </w:t>
      </w:r>
      <w:r w:rsidRPr="005F0419">
        <w:rPr>
          <w:rFonts w:ascii="Times New Roman" w:hAnsi="Times New Roman" w:cs="Times New Roman"/>
          <w:sz w:val="28"/>
          <w:szCs w:val="28"/>
          <w:lang w:val="uk-UA"/>
        </w:rPr>
        <w:t>намагається відновити модель подальшого розвитку туризму [41].</w:t>
      </w:r>
    </w:p>
    <w:p w14:paraId="2213CEE1"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eastAsia="TimesNewRomanPSMT" w:hAnsi="Times New Roman" w:cs="Times New Roman"/>
          <w:sz w:val="28"/>
          <w:szCs w:val="28"/>
          <w:lang w:val="uk-UA" w:eastAsia="en-US"/>
        </w:rPr>
        <w:t xml:space="preserve">У 2021 році державний бюджет України отримав від туристичного збору 1,86 млн. </w:t>
      </w:r>
      <w:proofErr w:type="spellStart"/>
      <w:r w:rsidRPr="005F0419">
        <w:rPr>
          <w:rFonts w:ascii="Times New Roman" w:eastAsia="TimesNewRomanPSMT" w:hAnsi="Times New Roman" w:cs="Times New Roman"/>
          <w:sz w:val="28"/>
          <w:szCs w:val="28"/>
          <w:lang w:val="uk-UA" w:eastAsia="en-US"/>
        </w:rPr>
        <w:t>дол</w:t>
      </w:r>
      <w:proofErr w:type="spellEnd"/>
      <w:r w:rsidRPr="005F0419">
        <w:rPr>
          <w:rFonts w:ascii="Times New Roman" w:eastAsia="TimesNewRomanPSMT" w:hAnsi="Times New Roman" w:cs="Times New Roman"/>
          <w:sz w:val="28"/>
          <w:szCs w:val="28"/>
          <w:lang w:val="uk-UA" w:eastAsia="en-US"/>
        </w:rPr>
        <w:t xml:space="preserve">. США. Однак, за перше півріччя 2022 р. сума туристичного збору склала 2,39 млн. </w:t>
      </w:r>
      <w:proofErr w:type="spellStart"/>
      <w:r w:rsidRPr="005F0419">
        <w:rPr>
          <w:rFonts w:ascii="Times New Roman" w:eastAsia="TimesNewRomanPSMT" w:hAnsi="Times New Roman" w:cs="Times New Roman"/>
          <w:sz w:val="28"/>
          <w:szCs w:val="28"/>
          <w:lang w:val="uk-UA" w:eastAsia="en-US"/>
        </w:rPr>
        <w:t>дол</w:t>
      </w:r>
      <w:proofErr w:type="spellEnd"/>
      <w:r w:rsidRPr="005F0419">
        <w:rPr>
          <w:rFonts w:ascii="Times New Roman" w:eastAsia="TimesNewRomanPSMT" w:hAnsi="Times New Roman" w:cs="Times New Roman"/>
          <w:sz w:val="28"/>
          <w:szCs w:val="28"/>
          <w:lang w:val="uk-UA" w:eastAsia="en-US"/>
        </w:rPr>
        <w:t xml:space="preserve">. США, що перевищує показник 2021 року на 28,8%. І це попри збитки, які зазнала українська індустрія туризму через військову агресію з боку </w:t>
      </w:r>
      <w:proofErr w:type="spellStart"/>
      <w:r w:rsidRPr="005F0419">
        <w:rPr>
          <w:rFonts w:ascii="Times New Roman" w:eastAsia="TimesNewRomanPSMT" w:hAnsi="Times New Roman" w:cs="Times New Roman"/>
          <w:sz w:val="28"/>
          <w:szCs w:val="28"/>
          <w:lang w:val="uk-UA" w:eastAsia="en-US"/>
        </w:rPr>
        <w:t>росії</w:t>
      </w:r>
      <w:proofErr w:type="spellEnd"/>
      <w:r w:rsidRPr="005F0419">
        <w:rPr>
          <w:rFonts w:ascii="Times New Roman" w:eastAsia="TimesNewRomanPSMT" w:hAnsi="Times New Roman" w:cs="Times New Roman"/>
          <w:sz w:val="28"/>
          <w:szCs w:val="28"/>
          <w:lang w:val="uk-UA" w:eastAsia="en-US"/>
        </w:rPr>
        <w:t xml:space="preserve"> з 24 лютого 2022 року. Столиця та чотири регіони склали п’ятірку лідерів за сплатою туристичного збору у 2022 році. Місто Київ близько 545 тис. </w:t>
      </w:r>
      <w:proofErr w:type="spellStart"/>
      <w:r w:rsidRPr="005F0419">
        <w:rPr>
          <w:rFonts w:ascii="Times New Roman" w:eastAsia="TimesNewRomanPSMT" w:hAnsi="Times New Roman" w:cs="Times New Roman"/>
          <w:sz w:val="28"/>
          <w:szCs w:val="28"/>
          <w:lang w:val="uk-UA" w:eastAsia="en-US"/>
        </w:rPr>
        <w:t>дол</w:t>
      </w:r>
      <w:proofErr w:type="spellEnd"/>
      <w:r w:rsidRPr="005F0419">
        <w:rPr>
          <w:rFonts w:ascii="Times New Roman" w:eastAsia="TimesNewRomanPSMT" w:hAnsi="Times New Roman" w:cs="Times New Roman"/>
          <w:sz w:val="28"/>
          <w:szCs w:val="28"/>
          <w:lang w:val="uk-UA" w:eastAsia="en-US"/>
        </w:rPr>
        <w:t xml:space="preserve">. США перерахувало до бюджету. 528 тис. </w:t>
      </w:r>
      <w:proofErr w:type="spellStart"/>
      <w:r w:rsidRPr="005F0419">
        <w:rPr>
          <w:rFonts w:ascii="Times New Roman" w:eastAsia="TimesNewRomanPSMT" w:hAnsi="Times New Roman" w:cs="Times New Roman"/>
          <w:sz w:val="28"/>
          <w:szCs w:val="28"/>
          <w:lang w:val="uk-UA" w:eastAsia="en-US"/>
        </w:rPr>
        <w:t>дол</w:t>
      </w:r>
      <w:proofErr w:type="spellEnd"/>
      <w:r w:rsidRPr="005F0419">
        <w:rPr>
          <w:rFonts w:ascii="Times New Roman" w:eastAsia="TimesNewRomanPSMT" w:hAnsi="Times New Roman" w:cs="Times New Roman"/>
          <w:sz w:val="28"/>
          <w:szCs w:val="28"/>
          <w:lang w:val="uk-UA" w:eastAsia="en-US"/>
        </w:rPr>
        <w:t xml:space="preserve">. США надійшло до бюджетів різних громад Львівського регіону і він продемонстрував найбільший приріст бюджетних надходжень у 2022 р. у порівнянні з 2021 р. – у 1,93 рази. На 76,4% зросла </w:t>
      </w:r>
      <w:r w:rsidRPr="005F0419">
        <w:rPr>
          <w:rFonts w:ascii="Times New Roman" w:hAnsi="Times New Roman" w:cs="Times New Roman"/>
          <w:sz w:val="28"/>
          <w:szCs w:val="28"/>
          <w:lang w:val="uk-UA"/>
        </w:rPr>
        <w:t xml:space="preserve">сума туристичного збору у Івано-Франківському регіоні й у 2022 р. вона склала 252,98 </w:t>
      </w:r>
      <w:r w:rsidRPr="005F0419">
        <w:rPr>
          <w:rFonts w:ascii="Times New Roman" w:eastAsia="TimesNewRomanPSMT" w:hAnsi="Times New Roman" w:cs="Times New Roman"/>
          <w:sz w:val="28"/>
          <w:szCs w:val="28"/>
          <w:lang w:val="uk-UA" w:eastAsia="en-US"/>
        </w:rPr>
        <w:t xml:space="preserve">тис. </w:t>
      </w:r>
      <w:proofErr w:type="spellStart"/>
      <w:r w:rsidRPr="005F0419">
        <w:rPr>
          <w:rFonts w:ascii="Times New Roman" w:eastAsia="TimesNewRomanPSMT" w:hAnsi="Times New Roman" w:cs="Times New Roman"/>
          <w:sz w:val="28"/>
          <w:szCs w:val="28"/>
          <w:lang w:val="uk-UA" w:eastAsia="en-US"/>
        </w:rPr>
        <w:t>дол</w:t>
      </w:r>
      <w:proofErr w:type="spellEnd"/>
      <w:r w:rsidRPr="005F0419">
        <w:rPr>
          <w:rFonts w:ascii="Times New Roman" w:eastAsia="TimesNewRomanPSMT" w:hAnsi="Times New Roman" w:cs="Times New Roman"/>
          <w:sz w:val="28"/>
          <w:szCs w:val="28"/>
          <w:lang w:val="uk-UA" w:eastAsia="en-US"/>
        </w:rPr>
        <w:t xml:space="preserve">. США. </w:t>
      </w:r>
      <w:r w:rsidRPr="005F0419">
        <w:rPr>
          <w:rFonts w:ascii="Times New Roman" w:hAnsi="Times New Roman" w:cs="Times New Roman"/>
          <w:sz w:val="28"/>
          <w:szCs w:val="28"/>
          <w:lang w:val="uk-UA"/>
        </w:rPr>
        <w:t xml:space="preserve">Закарпатський регіон за перші шість місяців 2022 р. збільшив бюджет від розвитку індустрії туризму на 236,69 тис. </w:t>
      </w:r>
      <w:proofErr w:type="spellStart"/>
      <w:r w:rsidRPr="005F0419">
        <w:rPr>
          <w:rFonts w:ascii="Times New Roman" w:eastAsia="TimesNewRomanPSMT" w:hAnsi="Times New Roman" w:cs="Times New Roman"/>
          <w:sz w:val="28"/>
          <w:szCs w:val="28"/>
          <w:lang w:val="uk-UA" w:eastAsia="en-US"/>
        </w:rPr>
        <w:t>дол</w:t>
      </w:r>
      <w:proofErr w:type="spellEnd"/>
      <w:r w:rsidRPr="005F0419">
        <w:rPr>
          <w:rFonts w:ascii="Times New Roman" w:eastAsia="TimesNewRomanPSMT" w:hAnsi="Times New Roman" w:cs="Times New Roman"/>
          <w:sz w:val="28"/>
          <w:szCs w:val="28"/>
          <w:lang w:val="uk-UA" w:eastAsia="en-US"/>
        </w:rPr>
        <w:t>. США,</w:t>
      </w:r>
      <w:r w:rsidRPr="005F0419">
        <w:rPr>
          <w:rFonts w:ascii="Times New Roman" w:hAnsi="Times New Roman" w:cs="Times New Roman"/>
          <w:sz w:val="28"/>
          <w:szCs w:val="28"/>
          <w:lang w:val="uk-UA"/>
        </w:rPr>
        <w:t xml:space="preserve"> що у 1,4 рази більше, ніж туристичний збір, який сплачено у 2021 р. Київський регіон за перше півріччя 2022 р. сплатив до бюджету 125,34 тис. </w:t>
      </w:r>
      <w:proofErr w:type="spellStart"/>
      <w:r w:rsidRPr="005F0419">
        <w:rPr>
          <w:rFonts w:ascii="Times New Roman" w:eastAsia="TimesNewRomanPSMT" w:hAnsi="Times New Roman" w:cs="Times New Roman"/>
          <w:sz w:val="28"/>
          <w:szCs w:val="28"/>
          <w:lang w:val="uk-UA" w:eastAsia="en-US"/>
        </w:rPr>
        <w:t>дол</w:t>
      </w:r>
      <w:proofErr w:type="spellEnd"/>
      <w:r w:rsidRPr="005F0419">
        <w:rPr>
          <w:rFonts w:ascii="Times New Roman" w:eastAsia="TimesNewRomanPSMT" w:hAnsi="Times New Roman" w:cs="Times New Roman"/>
          <w:sz w:val="28"/>
          <w:szCs w:val="28"/>
          <w:lang w:val="uk-UA" w:eastAsia="en-US"/>
        </w:rPr>
        <w:t>. США</w:t>
      </w:r>
      <w:r w:rsidRPr="005F0419">
        <w:rPr>
          <w:rFonts w:ascii="Times New Roman" w:hAnsi="Times New Roman" w:cs="Times New Roman"/>
          <w:sz w:val="28"/>
          <w:szCs w:val="28"/>
          <w:lang w:val="uk-UA"/>
        </w:rPr>
        <w:t xml:space="preserve"> і це менше на 23%, ніж значення показника цього періоду 2021 р. (рис. 4 та рис. 5).</w:t>
      </w:r>
    </w:p>
    <w:p w14:paraId="75DD79F4" w14:textId="0F659CA1" w:rsidR="00662012" w:rsidRPr="005F0419" w:rsidRDefault="00662012" w:rsidP="00662012">
      <w:pPr>
        <w:suppressAutoHyphens/>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212CB9EC" wp14:editId="0D3F014B">
            <wp:extent cx="5436235" cy="2633870"/>
            <wp:effectExtent l="0" t="0" r="0" b="0"/>
            <wp:docPr id="165" name="Диаграмма 16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5"/>
              </a:graphicData>
            </a:graphic>
          </wp:inline>
        </w:drawing>
      </w:r>
      <w:r w:rsidRPr="005F0419">
        <w:rPr>
          <w:rFonts w:ascii="Times New Roman" w:hAnsi="Times New Roman" w:cs="Times New Roman"/>
          <w:sz w:val="28"/>
          <w:szCs w:val="28"/>
          <w:lang w:val="uk-UA"/>
        </w:rPr>
        <w:t xml:space="preserve">Рис. 4. Туристичний збір в Україні: обсяг за 2021–2022 рр., млн. </w:t>
      </w:r>
      <w:proofErr w:type="spellStart"/>
      <w:r w:rsidRPr="005F0419">
        <w:rPr>
          <w:rFonts w:ascii="Times New Roman" w:hAnsi="Times New Roman" w:cs="Times New Roman"/>
          <w:sz w:val="28"/>
          <w:szCs w:val="28"/>
          <w:lang w:val="uk-UA"/>
        </w:rPr>
        <w:t>дол</w:t>
      </w:r>
      <w:proofErr w:type="spellEnd"/>
      <w:r w:rsidRPr="005F0419">
        <w:rPr>
          <w:rFonts w:ascii="Times New Roman" w:hAnsi="Times New Roman" w:cs="Times New Roman"/>
          <w:sz w:val="28"/>
          <w:szCs w:val="28"/>
          <w:lang w:val="uk-UA"/>
        </w:rPr>
        <w:t>. США</w:t>
      </w:r>
    </w:p>
    <w:p w14:paraId="4C9C8159"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Джерело: побудовано автором за [42] </w:t>
      </w:r>
    </w:p>
    <w:p w14:paraId="473429E6"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i/>
          <w:iCs/>
          <w:sz w:val="28"/>
          <w:szCs w:val="28"/>
          <w:highlight w:val="cyan"/>
          <w:lang w:val="uk-UA"/>
        </w:rPr>
      </w:pPr>
    </w:p>
    <w:p w14:paraId="3738368B" w14:textId="7CB874F6" w:rsidR="00662012" w:rsidRPr="005F0419" w:rsidRDefault="00662012" w:rsidP="00662012">
      <w:pPr>
        <w:suppressAutoHyphens/>
        <w:spacing w:after="0" w:line="360" w:lineRule="auto"/>
        <w:ind w:firstLine="720"/>
        <w:jc w:val="both"/>
        <w:rPr>
          <w:rFonts w:ascii="Times New Roman" w:hAnsi="Times New Roman" w:cs="Times New Roman"/>
          <w:sz w:val="28"/>
          <w:szCs w:val="28"/>
          <w:highlight w:val="cyan"/>
          <w:lang w:val="uk-UA"/>
        </w:rPr>
      </w:pPr>
      <w:r w:rsidRPr="005F0419">
        <w:rPr>
          <w:rFonts w:ascii="Times New Roman" w:hAnsi="Times New Roman" w:cs="Times New Roman"/>
          <w:noProof/>
          <w:sz w:val="28"/>
          <w:szCs w:val="28"/>
          <w:lang w:val="uk-UA"/>
        </w:rPr>
        <w:lastRenderedPageBreak/>
        <w:drawing>
          <wp:inline distT="0" distB="0" distL="0" distR="0" wp14:anchorId="4BE553EC" wp14:editId="78EEAF47">
            <wp:extent cx="5386705" cy="3031435"/>
            <wp:effectExtent l="0" t="0" r="4445" b="0"/>
            <wp:docPr id="164" name="Диаграмма 16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6"/>
              </a:graphicData>
            </a:graphic>
          </wp:inline>
        </w:drawing>
      </w:r>
    </w:p>
    <w:p w14:paraId="2EA17CE3" w14:textId="77777777" w:rsidR="002279C5" w:rsidRPr="005F0419" w:rsidRDefault="00662012" w:rsidP="00662012">
      <w:pPr>
        <w:suppressAutoHyphens/>
        <w:spacing w:after="0" w:line="360" w:lineRule="auto"/>
        <w:ind w:firstLine="720"/>
        <w:jc w:val="center"/>
        <w:rPr>
          <w:rStyle w:val="rynqvb"/>
          <w:rFonts w:ascii="Times New Roman" w:eastAsia="Calibri" w:hAnsi="Times New Roman" w:cs="Times New Roman"/>
          <w:sz w:val="28"/>
          <w:szCs w:val="28"/>
          <w:lang w:val="uk-UA"/>
        </w:rPr>
      </w:pPr>
      <w:r w:rsidRPr="005F0419">
        <w:rPr>
          <w:rFonts w:ascii="Times New Roman" w:hAnsi="Times New Roman" w:cs="Times New Roman"/>
          <w:sz w:val="28"/>
          <w:szCs w:val="28"/>
          <w:lang w:val="uk-UA"/>
        </w:rPr>
        <w:t xml:space="preserve">Рис. 5. </w:t>
      </w:r>
      <w:r w:rsidRPr="005F0419">
        <w:rPr>
          <w:rStyle w:val="rynqvb"/>
          <w:rFonts w:ascii="Times New Roman" w:eastAsia="Calibri" w:hAnsi="Times New Roman" w:cs="Times New Roman"/>
          <w:sz w:val="28"/>
          <w:szCs w:val="28"/>
          <w:lang w:val="uk-UA"/>
        </w:rPr>
        <w:t xml:space="preserve">Темпи змін обсягу туристичного збору в Україні </w:t>
      </w:r>
    </w:p>
    <w:p w14:paraId="0291521C" w14:textId="77C729F4" w:rsidR="00662012" w:rsidRPr="005F0419" w:rsidRDefault="00662012" w:rsidP="00662012">
      <w:pPr>
        <w:suppressAutoHyphens/>
        <w:spacing w:after="0" w:line="360" w:lineRule="auto"/>
        <w:ind w:firstLine="720"/>
        <w:jc w:val="center"/>
        <w:rPr>
          <w:rFonts w:ascii="Times New Roman" w:hAnsi="Times New Roman" w:cs="Times New Roman"/>
          <w:sz w:val="28"/>
          <w:szCs w:val="28"/>
          <w:lang w:val="uk-UA"/>
        </w:rPr>
      </w:pPr>
      <w:r w:rsidRPr="005F0419">
        <w:rPr>
          <w:rStyle w:val="rynqvb"/>
          <w:rFonts w:ascii="Times New Roman" w:eastAsia="Calibri" w:hAnsi="Times New Roman" w:cs="Times New Roman"/>
          <w:sz w:val="28"/>
          <w:szCs w:val="28"/>
          <w:lang w:val="uk-UA"/>
        </w:rPr>
        <w:t>(2022 р.</w:t>
      </w:r>
      <w:r w:rsidRPr="005F0419">
        <w:rPr>
          <w:rStyle w:val="hwtze"/>
          <w:rFonts w:ascii="Times New Roman" w:eastAsia="Calibri" w:hAnsi="Times New Roman" w:cs="Times New Roman"/>
          <w:sz w:val="28"/>
          <w:szCs w:val="28"/>
          <w:lang w:val="uk-UA"/>
        </w:rPr>
        <w:t xml:space="preserve"> </w:t>
      </w:r>
      <w:r w:rsidRPr="005F0419">
        <w:rPr>
          <w:rStyle w:val="rynqvb"/>
          <w:rFonts w:ascii="Times New Roman" w:eastAsia="Calibri" w:hAnsi="Times New Roman" w:cs="Times New Roman"/>
          <w:sz w:val="28"/>
          <w:szCs w:val="28"/>
          <w:lang w:val="uk-UA"/>
        </w:rPr>
        <w:t>до 2021 р.), %</w:t>
      </w:r>
    </w:p>
    <w:p w14:paraId="1C07A6F5" w14:textId="0440E510"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 [42]</w:t>
      </w:r>
      <w:r w:rsidR="002279C5" w:rsidRPr="005F0419">
        <w:rPr>
          <w:rFonts w:ascii="Times New Roman" w:eastAsia="Calibri" w:hAnsi="Times New Roman" w:cs="Times New Roman"/>
          <w:sz w:val="28"/>
          <w:szCs w:val="28"/>
          <w:lang w:val="uk-UA" w:eastAsia="en-US"/>
        </w:rPr>
        <w:t>.</w:t>
      </w:r>
      <w:r w:rsidRPr="005F0419">
        <w:rPr>
          <w:rFonts w:ascii="Times New Roman" w:eastAsia="Calibri" w:hAnsi="Times New Roman" w:cs="Times New Roman"/>
          <w:sz w:val="28"/>
          <w:szCs w:val="28"/>
          <w:lang w:val="uk-UA" w:eastAsia="en-US"/>
        </w:rPr>
        <w:t xml:space="preserve"> </w:t>
      </w:r>
    </w:p>
    <w:p w14:paraId="6C9CD3FA" w14:textId="77777777" w:rsidR="00662012" w:rsidRPr="005F0419" w:rsidRDefault="00662012" w:rsidP="00662012">
      <w:pPr>
        <w:pStyle w:val="aff"/>
        <w:suppressAutoHyphens/>
        <w:spacing w:before="0" w:beforeAutospacing="0" w:after="0" w:afterAutospacing="0" w:line="360" w:lineRule="auto"/>
        <w:ind w:firstLine="720"/>
        <w:jc w:val="both"/>
        <w:rPr>
          <w:sz w:val="28"/>
          <w:szCs w:val="28"/>
          <w:lang w:val="uk-UA"/>
        </w:rPr>
      </w:pPr>
    </w:p>
    <w:p w14:paraId="01164C39" w14:textId="77777777" w:rsidR="00C713B7" w:rsidRPr="005F0419" w:rsidRDefault="00C713B7" w:rsidP="00C713B7">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 першу половину 2022 року найбільш вагомий приріст надходжень від туристичного збору до бюджету відносно першого півріччя 2021 р. зафіксовано в одному центральному і шести західних регіонах України, а саме: Львівському (+192,7), Тернопільському (+145,4), Хмельницькому (+116,5), Закарпатському (+107,9), Кіровоградському (+105), Чернівецькому (+103), Івано-Франківському (76,4). Значення приросту надходжень від туристичного збору вказано у %.</w:t>
      </w:r>
    </w:p>
    <w:p w14:paraId="577D1FE5" w14:textId="77777777" w:rsidR="00662012" w:rsidRPr="005F0419" w:rsidRDefault="00662012" w:rsidP="00662012">
      <w:pPr>
        <w:pStyle w:val="aff"/>
        <w:suppressAutoHyphens/>
        <w:spacing w:before="0" w:beforeAutospacing="0" w:after="0" w:afterAutospacing="0" w:line="360" w:lineRule="auto"/>
        <w:ind w:firstLine="720"/>
        <w:jc w:val="both"/>
        <w:rPr>
          <w:sz w:val="28"/>
          <w:szCs w:val="28"/>
          <w:lang w:val="uk-UA"/>
        </w:rPr>
      </w:pPr>
      <w:r w:rsidRPr="005F0419">
        <w:rPr>
          <w:sz w:val="28"/>
          <w:szCs w:val="28"/>
          <w:lang w:val="uk-UA"/>
        </w:rPr>
        <w:t xml:space="preserve">При цьому, обсяг податків у 2022 р. від української індустрії туризму мав різновекторну тенденцію: 65% зростання з січня по квітень і вже зниження до 28,8% у періоді травень–червень. Зростання туристичного збору пояснюється тим, що більшість громадян України в перші місяці війни рятували родини від повітряних бомбардувань і окупації фашистськими загарбниками та покинули місця постійного проживання в південно-східних регіонах держави – вимушені були переїхати до менш небезпечних (центральних та західних) регіонів країни. У підсумку, за перше півріччя 2022 р. по відношенню до цього періоду 2021 р. надходження до державного бюджету від індустрії туризму скоротилися (–26%) з причин військових дій на території України </w:t>
      </w:r>
      <w:r w:rsidRPr="005F0419">
        <w:rPr>
          <w:rFonts w:eastAsia="Calibri"/>
          <w:sz w:val="28"/>
          <w:szCs w:val="28"/>
          <w:lang w:val="uk-UA" w:eastAsia="en-US"/>
        </w:rPr>
        <w:t>[42].</w:t>
      </w:r>
      <w:r w:rsidRPr="005F0419">
        <w:rPr>
          <w:sz w:val="28"/>
          <w:szCs w:val="28"/>
          <w:lang w:val="uk-UA"/>
        </w:rPr>
        <w:t xml:space="preserve"> За цей порівняльний період </w:t>
      </w:r>
      <w:r w:rsidRPr="005F0419">
        <w:rPr>
          <w:sz w:val="28"/>
          <w:szCs w:val="28"/>
          <w:lang w:val="uk-UA"/>
        </w:rPr>
        <w:lastRenderedPageBreak/>
        <w:t xml:space="preserve">загальна кількість платників податків (фізичні та юридичні особи), які зайняті у сфері надання туристичних послуг, скоротилася на 17%: скорочення кількості юридичних осіб склало 24,5%, фізичних осіб – 13,5%. Санаторіями та готелями сплачена найбільша частка надходжень до державного бюджету – 12,3 млн. </w:t>
      </w:r>
      <w:proofErr w:type="spellStart"/>
      <w:r w:rsidRPr="005F0419">
        <w:rPr>
          <w:sz w:val="28"/>
          <w:szCs w:val="28"/>
          <w:lang w:val="uk-UA"/>
        </w:rPr>
        <w:t>дол</w:t>
      </w:r>
      <w:proofErr w:type="spellEnd"/>
      <w:r w:rsidRPr="005F0419">
        <w:rPr>
          <w:sz w:val="28"/>
          <w:szCs w:val="28"/>
          <w:lang w:val="uk-UA"/>
        </w:rPr>
        <w:t xml:space="preserve">. США, проте рівень у 2022 р. менше на 30% показника 2021 р. </w:t>
      </w:r>
      <w:r w:rsidRPr="005F0419">
        <w:rPr>
          <w:rFonts w:eastAsia="Calibri"/>
          <w:sz w:val="28"/>
          <w:szCs w:val="28"/>
          <w:lang w:val="uk-UA" w:eastAsia="en-US"/>
        </w:rPr>
        <w:t>[42]</w:t>
      </w:r>
      <w:r w:rsidRPr="005F0419">
        <w:rPr>
          <w:sz w:val="28"/>
          <w:szCs w:val="28"/>
          <w:lang w:val="uk-UA"/>
        </w:rPr>
        <w:t xml:space="preserve"> (рис. 6).</w:t>
      </w:r>
    </w:p>
    <w:p w14:paraId="763D7A9E" w14:textId="52441EDA" w:rsidR="00662012" w:rsidRPr="005F0419" w:rsidRDefault="00662012" w:rsidP="00662012">
      <w:pPr>
        <w:suppressAutoHyphens/>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37D15FA0" wp14:editId="68A6FB9F">
            <wp:extent cx="5615609" cy="2941955"/>
            <wp:effectExtent l="0" t="0" r="4445" b="0"/>
            <wp:docPr id="163" name="Диаграмма 16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7"/>
              </a:graphicData>
            </a:graphic>
          </wp:inline>
        </w:drawing>
      </w:r>
      <w:r w:rsidRPr="005F0419">
        <w:rPr>
          <w:rFonts w:ascii="Times New Roman" w:hAnsi="Times New Roman" w:cs="Times New Roman"/>
          <w:sz w:val="28"/>
          <w:szCs w:val="28"/>
          <w:lang w:val="uk-UA"/>
        </w:rPr>
        <w:t xml:space="preserve">Рис. 6. Обсяг податків від індустрії туризму за 2021–2022 р., млн. </w:t>
      </w:r>
      <w:proofErr w:type="spellStart"/>
      <w:r w:rsidRPr="005F0419">
        <w:rPr>
          <w:rFonts w:ascii="Times New Roman" w:hAnsi="Times New Roman" w:cs="Times New Roman"/>
          <w:sz w:val="28"/>
          <w:szCs w:val="28"/>
          <w:lang w:val="uk-UA"/>
        </w:rPr>
        <w:t>дол</w:t>
      </w:r>
      <w:proofErr w:type="spellEnd"/>
      <w:r w:rsidRPr="005F0419">
        <w:rPr>
          <w:rFonts w:ascii="Times New Roman" w:hAnsi="Times New Roman" w:cs="Times New Roman"/>
          <w:sz w:val="28"/>
          <w:szCs w:val="28"/>
          <w:lang w:val="uk-UA"/>
        </w:rPr>
        <w:t>. США</w:t>
      </w:r>
    </w:p>
    <w:p w14:paraId="2F95E4DA" w14:textId="20F64CF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 [42]</w:t>
      </w:r>
      <w:r w:rsidR="002279C5" w:rsidRPr="005F0419">
        <w:rPr>
          <w:rFonts w:ascii="Times New Roman" w:eastAsia="Calibri" w:hAnsi="Times New Roman" w:cs="Times New Roman"/>
          <w:sz w:val="28"/>
          <w:szCs w:val="28"/>
          <w:lang w:val="uk-UA" w:eastAsia="en-US"/>
        </w:rPr>
        <w:t>.</w:t>
      </w:r>
    </w:p>
    <w:p w14:paraId="247956F0" w14:textId="77777777" w:rsidR="00662012" w:rsidRPr="005F0419" w:rsidRDefault="00662012" w:rsidP="00662012">
      <w:pPr>
        <w:suppressAutoHyphens/>
        <w:spacing w:after="0" w:line="360" w:lineRule="auto"/>
        <w:ind w:firstLine="720"/>
        <w:jc w:val="both"/>
        <w:rPr>
          <w:rFonts w:ascii="Times New Roman" w:hAnsi="Times New Roman" w:cs="Times New Roman"/>
          <w:sz w:val="28"/>
          <w:szCs w:val="28"/>
          <w:highlight w:val="cyan"/>
          <w:lang w:val="uk-UA"/>
        </w:rPr>
      </w:pPr>
    </w:p>
    <w:p w14:paraId="5E090390" w14:textId="06E7A7B6" w:rsidR="00662012" w:rsidRPr="005F0419" w:rsidRDefault="00662012" w:rsidP="00662012">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2022 р. від діяльності пансіонатів й гуртожитків, що використовувалися громадянами України у якості тимчасового житла під час переміщення з міст їх постійного проживання у менш небезпечні регіони та локації через воєнні дії, зафіксований приріст на 39% обсягу сплачених податків. Одночасно з цим, від діяльності кемпінгів, туристичних баз і таборів відпочинку дітей зменшилась на 59% частка сплаченого податку до державного бюджету у 2022 р. у порівнянні з 2021 р. (всього за 2022 р. сплачено даною категорією 1,95 млн. </w:t>
      </w:r>
      <w:proofErr w:type="spellStart"/>
      <w:r w:rsidRPr="005F0419">
        <w:rPr>
          <w:rFonts w:ascii="Times New Roman" w:hAnsi="Times New Roman" w:cs="Times New Roman"/>
          <w:sz w:val="28"/>
          <w:szCs w:val="28"/>
          <w:lang w:val="uk-UA"/>
        </w:rPr>
        <w:t>дол</w:t>
      </w:r>
      <w:proofErr w:type="spellEnd"/>
      <w:r w:rsidRPr="005F0419">
        <w:rPr>
          <w:rFonts w:ascii="Times New Roman" w:hAnsi="Times New Roman" w:cs="Times New Roman"/>
          <w:sz w:val="28"/>
          <w:szCs w:val="28"/>
          <w:lang w:val="uk-UA"/>
        </w:rPr>
        <w:t xml:space="preserve">. США). Українські туристичні </w:t>
      </w:r>
      <w:r w:rsidR="002279C5" w:rsidRPr="005F0419">
        <w:rPr>
          <w:rFonts w:ascii="Times New Roman" w:hAnsi="Times New Roman" w:cs="Times New Roman"/>
          <w:sz w:val="28"/>
          <w:szCs w:val="28"/>
          <w:lang w:val="uk-UA"/>
        </w:rPr>
        <w:t>агентства</w:t>
      </w:r>
      <w:r w:rsidRPr="005F0419">
        <w:rPr>
          <w:rFonts w:ascii="Times New Roman" w:hAnsi="Times New Roman" w:cs="Times New Roman"/>
          <w:sz w:val="28"/>
          <w:szCs w:val="28"/>
          <w:lang w:val="uk-UA"/>
        </w:rPr>
        <w:t xml:space="preserve"> поповнили дохідну частину бюджету на 41% у 2022 р. більше, ніж у 2021 році. Разом із цим відбувся спад у обсязі сплачених податків від діяльності туристичних операторів на 21% у 2022 р. відносно 2021 р. і ця різниця склала 2,22 млн. </w:t>
      </w:r>
      <w:proofErr w:type="spellStart"/>
      <w:r w:rsidRPr="005F0419">
        <w:rPr>
          <w:rFonts w:ascii="Times New Roman" w:hAnsi="Times New Roman" w:cs="Times New Roman"/>
          <w:sz w:val="28"/>
          <w:szCs w:val="28"/>
          <w:lang w:val="uk-UA"/>
        </w:rPr>
        <w:t>дол</w:t>
      </w:r>
      <w:proofErr w:type="spellEnd"/>
      <w:r w:rsidRPr="005F0419">
        <w:rPr>
          <w:rFonts w:ascii="Times New Roman" w:hAnsi="Times New Roman" w:cs="Times New Roman"/>
          <w:sz w:val="28"/>
          <w:szCs w:val="28"/>
          <w:lang w:val="uk-UA"/>
        </w:rPr>
        <w:t xml:space="preserve">. США. За шість місяців 2022 р. найбільший розмір сплаченого податку зафіксовано у таких регіонах (% зростання до 2021 </w:t>
      </w:r>
      <w:r w:rsidRPr="005F0419">
        <w:rPr>
          <w:rFonts w:ascii="Times New Roman" w:hAnsi="Times New Roman" w:cs="Times New Roman"/>
          <w:sz w:val="28"/>
          <w:szCs w:val="28"/>
          <w:lang w:val="uk-UA"/>
        </w:rPr>
        <w:lastRenderedPageBreak/>
        <w:t xml:space="preserve">р.): Івано-Франківському (63%), Львівському (51%), Київському (16%). Місто Київ і Одеський регіон зменшили обсяг на 34% й 82,3% відповідно </w:t>
      </w:r>
      <w:r w:rsidRPr="005F0419">
        <w:rPr>
          <w:rFonts w:ascii="Times New Roman" w:eastAsia="Calibri" w:hAnsi="Times New Roman" w:cs="Times New Roman"/>
          <w:sz w:val="28"/>
          <w:szCs w:val="28"/>
          <w:lang w:val="uk-UA" w:eastAsia="en-US"/>
        </w:rPr>
        <w:t>[42]</w:t>
      </w:r>
      <w:r w:rsidRPr="005F0419">
        <w:rPr>
          <w:rFonts w:ascii="Times New Roman" w:hAnsi="Times New Roman" w:cs="Times New Roman"/>
          <w:sz w:val="28"/>
          <w:szCs w:val="28"/>
          <w:lang w:val="uk-UA"/>
        </w:rPr>
        <w:t xml:space="preserve"> (рис. 7).</w:t>
      </w:r>
    </w:p>
    <w:p w14:paraId="7E410FB6" w14:textId="0D235570" w:rsidR="00662012" w:rsidRPr="005F0419" w:rsidRDefault="00662012" w:rsidP="00662012">
      <w:pPr>
        <w:suppressAutoHyphens/>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764E3D43" wp14:editId="769DE366">
            <wp:extent cx="5733415" cy="3359426"/>
            <wp:effectExtent l="0" t="0" r="635" b="0"/>
            <wp:docPr id="162" name="Диаграмма 16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8"/>
              </a:graphicData>
            </a:graphic>
          </wp:inline>
        </w:drawing>
      </w:r>
      <w:r w:rsidRPr="005F0419">
        <w:rPr>
          <w:rFonts w:ascii="Times New Roman" w:hAnsi="Times New Roman" w:cs="Times New Roman"/>
          <w:sz w:val="28"/>
          <w:szCs w:val="28"/>
          <w:lang w:val="uk-UA"/>
        </w:rPr>
        <w:t xml:space="preserve">Рис. 7. Обсяг податків до державного бюджету України, які сплачено різними суб’єктами туристичної діяльності у 2021–2022 роках, млн. </w:t>
      </w:r>
      <w:proofErr w:type="spellStart"/>
      <w:r w:rsidRPr="005F0419">
        <w:rPr>
          <w:rFonts w:ascii="Times New Roman" w:hAnsi="Times New Roman" w:cs="Times New Roman"/>
          <w:sz w:val="28"/>
          <w:szCs w:val="28"/>
          <w:lang w:val="uk-UA"/>
        </w:rPr>
        <w:t>дол</w:t>
      </w:r>
      <w:proofErr w:type="spellEnd"/>
      <w:r w:rsidRPr="005F0419">
        <w:rPr>
          <w:rFonts w:ascii="Times New Roman" w:hAnsi="Times New Roman" w:cs="Times New Roman"/>
          <w:sz w:val="28"/>
          <w:szCs w:val="28"/>
          <w:lang w:val="uk-UA"/>
        </w:rPr>
        <w:t>. США</w:t>
      </w:r>
    </w:p>
    <w:p w14:paraId="2104ACF5"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Джерело: побудовано автором за [42] </w:t>
      </w:r>
    </w:p>
    <w:p w14:paraId="4B6C05F3"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p>
    <w:p w14:paraId="2229B1CC"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hAnsi="Times New Roman" w:cs="Times New Roman"/>
          <w:sz w:val="28"/>
          <w:szCs w:val="28"/>
          <w:highlight w:val="cyan"/>
          <w:lang w:val="uk-UA"/>
        </w:rPr>
      </w:pPr>
      <w:r w:rsidRPr="005F0419">
        <w:rPr>
          <w:rFonts w:ascii="Times New Roman" w:hAnsi="Times New Roman" w:cs="Times New Roman"/>
          <w:sz w:val="28"/>
          <w:szCs w:val="28"/>
          <w:lang w:val="uk-UA"/>
        </w:rPr>
        <w:t>В Україну у 2021 р. з різних країн завітало 1,5 млн. іноземних туристів, тобто приріст кількості осіб, які відвідали нашу країну, склав 9% у порівнянні з другим півріччям 2020 р. Хоча. Слід підкреслити, що значення цього показника менше рівня 2019 р. на 75%. Кількість в’їзних туристів у 2019 р. склала майже 6 млн. осіб. Кількість іноземних туристів у другому кварталі 2021 р. досягла 3,4 млн. осіб, що перевищило у чотири рази даний показник за аналогічний період 2020 р. [39; 43]. Так, у 2021 р. в нашій країні відбулось поступове відновлення туристичних потоків за рахунок того, що відбулося зростання кількості поїздок по всьому світу, запропоновані нові туристичні маршрути й підвищено безпеку.</w:t>
      </w:r>
    </w:p>
    <w:p w14:paraId="3496AEC2" w14:textId="77777777" w:rsidR="002279C5" w:rsidRPr="005F0419" w:rsidRDefault="002279C5" w:rsidP="002279C5">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2020 р. в Україну із Саудівської Аравії в’їхало 250 туристів, а у 2021 р. потік громадян з цієї країни до України зріс у 40 разів та склав 14 тис. осіб. Із США туристичний потік склав 34 тис. осіб (приріст 69,6%); із Ізраїлю приїхало </w:t>
      </w:r>
      <w:r w:rsidRPr="005F0419">
        <w:rPr>
          <w:rFonts w:ascii="Times New Roman" w:hAnsi="Times New Roman" w:cs="Times New Roman"/>
          <w:sz w:val="28"/>
          <w:szCs w:val="28"/>
          <w:lang w:val="uk-UA"/>
        </w:rPr>
        <w:lastRenderedPageBreak/>
        <w:t xml:space="preserve">26,6 туристів (приріст 69,6%); у 2021 р. подвоїлась кількість громадян Вірменії, які завітали до нашої країни, їх кількість склала 7 тис. осіб; із Азербайджану до України приїхало 16 тис. осіб (приріст 67%); із Грузії – 15,5 тис. осіб (40%). </w:t>
      </w:r>
    </w:p>
    <w:p w14:paraId="0A2D180B"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Україну у 2021 році частіше відвідували представники Туреччини (93 тис. осіб), Румунії (109 тис. осіб) та Молдови (368 тис. осіб). У 2021 р. відбулися зміни у туристичних потоках до України: скоротилась на 10% по відношенню до 2020 р. кількість мандрівників з Європи (в структурі займають 70%); зросла на 8% кількість представників Азії (в структурі займають 24%); інші зміни були менш значимі. Констатовано, що у 2021 р. в структурі в’їзного туризму України були присутні туристи із Північної Америки (2,8%) та Африки (1,7%) [39; 43].</w:t>
      </w:r>
    </w:p>
    <w:p w14:paraId="7F000C86"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За перше півріччя 2021 р. у порівнянні з аналогічним періодом 2020 року зріс на 15% туристичний потік громадян України до різних країн світу та склав 5,7 млн. осіб. Традиційним попитом наших громадян користуються такі країни, як: Єгипет (відвідало 705 тис. українців у 2021 р.) та Туреччина (774 тис. осіб). Відносно новим туристичним маршрутом для відвідування громадянами країни у 2021 році стала Домініканська Республіка: у 2,4 рази зріс туристичний потік. Також потребують виокремлення в структурі виїзного туризму нашої країни наступні туристичні сегменти: 11,5 тис. осіб відвідали Катар; 10 тис. осіб – Мальдіви; 7 тис. осіб – Танзанію; 2,5 тис. осіб відвідали Шрі Ланку [39; 43].</w:t>
      </w:r>
    </w:p>
    <w:p w14:paraId="3FED692A" w14:textId="77777777" w:rsidR="00662012" w:rsidRPr="005F0419" w:rsidRDefault="00662012" w:rsidP="00662012">
      <w:pPr>
        <w:suppressAutoHyphens/>
        <w:spacing w:after="0" w:line="360" w:lineRule="auto"/>
        <w:ind w:firstLine="720"/>
        <w:jc w:val="both"/>
        <w:rPr>
          <w:rFonts w:ascii="Times New Roman" w:hAnsi="Times New Roman" w:cs="Times New Roman"/>
          <w:sz w:val="28"/>
          <w:szCs w:val="28"/>
          <w:lang w:val="uk-UA"/>
        </w:rPr>
      </w:pPr>
      <w:r w:rsidRPr="005F0419">
        <w:rPr>
          <w:rFonts w:ascii="Times New Roman" w:eastAsia="Calibri" w:hAnsi="Times New Roman" w:cs="Times New Roman"/>
          <w:bCs/>
          <w:sz w:val="28"/>
          <w:szCs w:val="28"/>
          <w:lang w:val="uk-UA" w:eastAsia="en-US"/>
        </w:rPr>
        <w:t xml:space="preserve">Динаміку змін у продажу послуг, які надані суб’єктами індустрії туризму України на міжнародному ринку у 2019–2022 рр. представлено на рис. 8. Так, </w:t>
      </w:r>
      <w:r w:rsidRPr="005F0419">
        <w:rPr>
          <w:rFonts w:ascii="Times New Roman" w:hAnsi="Times New Roman" w:cs="Times New Roman"/>
          <w:sz w:val="28"/>
          <w:szCs w:val="28"/>
          <w:lang w:val="uk-UA"/>
        </w:rPr>
        <w:t>у 2020–2021 роках світ опинився у новій туристичній реальності: пріоритетом у виборі туру була не лише вартість та споживацькі вподобання, але й карантинні обмеження, санітарні норми, правила безпеки, бар’єри при перетині кордонів різних країн, інформація та пропаганда щодо поширення COVID-19 (рис. 8).</w:t>
      </w:r>
    </w:p>
    <w:p w14:paraId="6492BB21" w14:textId="096BBEFC" w:rsidR="00662012"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bCs/>
          <w:sz w:val="28"/>
          <w:szCs w:val="28"/>
          <w:lang w:val="uk-UA" w:eastAsia="en-US"/>
        </w:rPr>
      </w:pPr>
      <w:r w:rsidRPr="005F0419">
        <w:rPr>
          <w:rFonts w:ascii="Times New Roman" w:eastAsia="Calibri" w:hAnsi="Times New Roman" w:cs="Times New Roman"/>
          <w:noProof/>
          <w:sz w:val="28"/>
          <w:szCs w:val="28"/>
          <w:lang w:val="uk-UA"/>
        </w:rPr>
        <w:lastRenderedPageBreak/>
        <w:drawing>
          <wp:inline distT="0" distB="0" distL="0" distR="0" wp14:anchorId="32911FC3" wp14:editId="6C646C74">
            <wp:extent cx="5446395" cy="2892287"/>
            <wp:effectExtent l="0" t="0" r="1905" b="3810"/>
            <wp:docPr id="161" name="Диаграмма 16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9"/>
              </a:graphicData>
            </a:graphic>
          </wp:inline>
        </w:drawing>
      </w:r>
      <w:r w:rsidRPr="005F0419">
        <w:rPr>
          <w:rFonts w:ascii="Times New Roman" w:eastAsia="Calibri" w:hAnsi="Times New Roman" w:cs="Times New Roman"/>
          <w:sz w:val="28"/>
          <w:szCs w:val="28"/>
          <w:lang w:val="uk-UA" w:eastAsia="en-US"/>
        </w:rPr>
        <w:t xml:space="preserve">Рис. 8. </w:t>
      </w:r>
      <w:r w:rsidRPr="005F0419">
        <w:rPr>
          <w:rFonts w:ascii="Times New Roman" w:eastAsia="Calibri" w:hAnsi="Times New Roman" w:cs="Times New Roman"/>
          <w:bCs/>
          <w:sz w:val="28"/>
          <w:szCs w:val="28"/>
          <w:lang w:val="uk-UA" w:eastAsia="en-US"/>
        </w:rPr>
        <w:t>Динаміка змін у продажу послуг, які надані суб’єктами індустрії туризму України на міжнародному ринку у 2019–2022 рр., %</w:t>
      </w:r>
    </w:p>
    <w:p w14:paraId="6C21BE32" w14:textId="49950FAE"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 [39; 41; 43–49]</w:t>
      </w:r>
      <w:r w:rsidR="002279C5" w:rsidRPr="005F0419">
        <w:rPr>
          <w:rFonts w:ascii="Times New Roman" w:eastAsia="Calibri" w:hAnsi="Times New Roman" w:cs="Times New Roman"/>
          <w:sz w:val="28"/>
          <w:szCs w:val="28"/>
          <w:lang w:val="uk-UA" w:eastAsia="en-US"/>
        </w:rPr>
        <w:t>.</w:t>
      </w:r>
    </w:p>
    <w:p w14:paraId="76875C60" w14:textId="41EFCABB" w:rsidR="002279C5" w:rsidRPr="005F0419" w:rsidRDefault="002279C5"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p>
    <w:p w14:paraId="0EFAC9CB"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r w:rsidRPr="005F0419">
        <w:rPr>
          <w:rFonts w:ascii="Times New Roman" w:eastAsia="TimesNewRomanPSMT" w:hAnsi="Times New Roman" w:cs="Times New Roman"/>
          <w:sz w:val="28"/>
          <w:szCs w:val="28"/>
          <w:lang w:val="uk-UA" w:eastAsia="en-US"/>
        </w:rPr>
        <w:t xml:space="preserve">Загальна вартість турів, які були проданими туристичними операторами й туристичними </w:t>
      </w:r>
      <w:proofErr w:type="spellStart"/>
      <w:r w:rsidRPr="005F0419">
        <w:rPr>
          <w:rFonts w:ascii="Times New Roman" w:eastAsia="TimesNewRomanPSMT" w:hAnsi="Times New Roman" w:cs="Times New Roman"/>
          <w:sz w:val="28"/>
          <w:szCs w:val="28"/>
          <w:lang w:val="uk-UA" w:eastAsia="en-US"/>
        </w:rPr>
        <w:t>агенствами</w:t>
      </w:r>
      <w:proofErr w:type="spellEnd"/>
      <w:r w:rsidRPr="005F0419">
        <w:rPr>
          <w:rFonts w:ascii="Times New Roman" w:eastAsia="TimesNewRomanPSMT" w:hAnsi="Times New Roman" w:cs="Times New Roman"/>
          <w:sz w:val="28"/>
          <w:szCs w:val="28"/>
          <w:lang w:val="uk-UA" w:eastAsia="en-US"/>
        </w:rPr>
        <w:t xml:space="preserve">, у 2021 р. склала 1,19 млн. </w:t>
      </w:r>
      <w:proofErr w:type="spellStart"/>
      <w:r w:rsidRPr="005F0419">
        <w:rPr>
          <w:rFonts w:ascii="Times New Roman" w:eastAsia="TimesNewRomanPSMT" w:hAnsi="Times New Roman" w:cs="Times New Roman"/>
          <w:sz w:val="28"/>
          <w:szCs w:val="28"/>
          <w:lang w:val="uk-UA" w:eastAsia="en-US"/>
        </w:rPr>
        <w:t>дол</w:t>
      </w:r>
      <w:proofErr w:type="spellEnd"/>
      <w:r w:rsidRPr="005F0419">
        <w:rPr>
          <w:rFonts w:ascii="Times New Roman" w:eastAsia="TimesNewRomanPSMT" w:hAnsi="Times New Roman" w:cs="Times New Roman"/>
          <w:sz w:val="28"/>
          <w:szCs w:val="28"/>
          <w:lang w:val="uk-UA" w:eastAsia="en-US"/>
        </w:rPr>
        <w:t xml:space="preserve">. США – на 53% нижче за показник 2020 р., обсяг продажу в якому склав 2,54 млн. </w:t>
      </w:r>
      <w:proofErr w:type="spellStart"/>
      <w:r w:rsidRPr="005F0419">
        <w:rPr>
          <w:rFonts w:ascii="Times New Roman" w:eastAsia="TimesNewRomanPSMT" w:hAnsi="Times New Roman" w:cs="Times New Roman"/>
          <w:sz w:val="28"/>
          <w:szCs w:val="28"/>
          <w:lang w:val="uk-UA" w:eastAsia="en-US"/>
        </w:rPr>
        <w:t>дол</w:t>
      </w:r>
      <w:proofErr w:type="spellEnd"/>
      <w:r w:rsidRPr="005F0419">
        <w:rPr>
          <w:rFonts w:ascii="Times New Roman" w:eastAsia="TimesNewRomanPSMT" w:hAnsi="Times New Roman" w:cs="Times New Roman"/>
          <w:sz w:val="28"/>
          <w:szCs w:val="28"/>
          <w:lang w:val="uk-UA" w:eastAsia="en-US"/>
        </w:rPr>
        <w:t xml:space="preserve">. США (рис. 9). </w:t>
      </w:r>
    </w:p>
    <w:p w14:paraId="0DCB5E7C" w14:textId="454A52E6" w:rsidR="00662012" w:rsidRPr="005F0419" w:rsidRDefault="00662012" w:rsidP="00662012">
      <w:pPr>
        <w:suppressAutoHyphens/>
        <w:autoSpaceDE w:val="0"/>
        <w:autoSpaceDN w:val="0"/>
        <w:adjustRightInd w:val="0"/>
        <w:spacing w:after="0" w:line="360" w:lineRule="auto"/>
        <w:ind w:firstLine="720"/>
        <w:jc w:val="center"/>
        <w:rPr>
          <w:rFonts w:ascii="Times New Roman" w:eastAsia="TimesNewRomanPS-BoldMT" w:hAnsi="Times New Roman" w:cs="Times New Roman"/>
          <w:b/>
          <w:bCs/>
          <w:sz w:val="28"/>
          <w:szCs w:val="28"/>
          <w:lang w:val="uk-UA" w:eastAsia="en-US"/>
        </w:rPr>
      </w:pPr>
      <w:r w:rsidRPr="005F0419">
        <w:rPr>
          <w:rFonts w:ascii="Times New Roman" w:eastAsia="TimesNewRomanPSMT" w:hAnsi="Times New Roman" w:cs="Times New Roman"/>
          <w:noProof/>
          <w:sz w:val="28"/>
          <w:szCs w:val="28"/>
          <w:lang w:val="uk-UA"/>
        </w:rPr>
        <w:drawing>
          <wp:inline distT="0" distB="0" distL="0" distR="0" wp14:anchorId="047C4F64" wp14:editId="08EAF1AC">
            <wp:extent cx="5724525" cy="2216426"/>
            <wp:effectExtent l="0" t="0" r="0" b="0"/>
            <wp:docPr id="160" name="Диаграмма 16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0"/>
              </a:graphicData>
            </a:graphic>
          </wp:inline>
        </w:drawing>
      </w:r>
      <w:r w:rsidRPr="005F0419">
        <w:rPr>
          <w:rFonts w:ascii="Times New Roman" w:eastAsia="TimesNewRomanPSMT" w:hAnsi="Times New Roman" w:cs="Times New Roman"/>
          <w:sz w:val="28"/>
          <w:szCs w:val="28"/>
          <w:lang w:val="uk-UA" w:eastAsia="en-US"/>
        </w:rPr>
        <w:t xml:space="preserve">Рис. 9. </w:t>
      </w:r>
      <w:r w:rsidRPr="005F0419">
        <w:rPr>
          <w:rFonts w:ascii="Times New Roman" w:eastAsia="TimesNewRomanPS-BoldMT" w:hAnsi="Times New Roman" w:cs="Times New Roman"/>
          <w:bCs/>
          <w:sz w:val="28"/>
          <w:szCs w:val="28"/>
          <w:lang w:val="uk-UA" w:eastAsia="en-US"/>
        </w:rPr>
        <w:t xml:space="preserve">Зміни сумарної вартості турів, які були реалізованими туристичними операторами та туристичними </w:t>
      </w:r>
      <w:r w:rsidR="002279C5" w:rsidRPr="005F0419">
        <w:rPr>
          <w:rFonts w:ascii="Times New Roman" w:eastAsia="TimesNewRomanPS-BoldMT" w:hAnsi="Times New Roman" w:cs="Times New Roman"/>
          <w:bCs/>
          <w:sz w:val="28"/>
          <w:szCs w:val="28"/>
          <w:lang w:val="uk-UA" w:eastAsia="en-US"/>
        </w:rPr>
        <w:t>агентствами</w:t>
      </w:r>
      <w:r w:rsidRPr="005F0419">
        <w:rPr>
          <w:rFonts w:ascii="Times New Roman" w:eastAsia="TimesNewRomanPS-BoldMT" w:hAnsi="Times New Roman" w:cs="Times New Roman"/>
          <w:bCs/>
          <w:sz w:val="28"/>
          <w:szCs w:val="28"/>
          <w:lang w:val="uk-UA" w:eastAsia="en-US"/>
        </w:rPr>
        <w:t xml:space="preserve"> у 2020-2021 рр., </w:t>
      </w:r>
      <w:r w:rsidRPr="005F0419">
        <w:rPr>
          <w:rFonts w:ascii="Times New Roman" w:eastAsia="TimesNewRomanPSMT" w:hAnsi="Times New Roman" w:cs="Times New Roman"/>
          <w:sz w:val="28"/>
          <w:szCs w:val="28"/>
          <w:lang w:val="uk-UA" w:eastAsia="en-US"/>
        </w:rPr>
        <w:t xml:space="preserve">млн. </w:t>
      </w:r>
      <w:proofErr w:type="spellStart"/>
      <w:r w:rsidRPr="005F0419">
        <w:rPr>
          <w:rFonts w:ascii="Times New Roman" w:eastAsia="TimesNewRomanPSMT" w:hAnsi="Times New Roman" w:cs="Times New Roman"/>
          <w:sz w:val="28"/>
          <w:szCs w:val="28"/>
          <w:lang w:val="uk-UA" w:eastAsia="en-US"/>
        </w:rPr>
        <w:t>дол</w:t>
      </w:r>
      <w:proofErr w:type="spellEnd"/>
      <w:r w:rsidRPr="005F0419">
        <w:rPr>
          <w:rFonts w:ascii="Times New Roman" w:eastAsia="TimesNewRomanPSMT" w:hAnsi="Times New Roman" w:cs="Times New Roman"/>
          <w:sz w:val="28"/>
          <w:szCs w:val="28"/>
          <w:lang w:val="uk-UA" w:eastAsia="en-US"/>
        </w:rPr>
        <w:t>. США</w:t>
      </w:r>
    </w:p>
    <w:p w14:paraId="4DF47ABC" w14:textId="4F5B0CDB"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 [39; 41; 43–49]</w:t>
      </w:r>
      <w:r w:rsidR="002279C5" w:rsidRPr="005F0419">
        <w:rPr>
          <w:rFonts w:ascii="Times New Roman" w:eastAsia="Calibri" w:hAnsi="Times New Roman" w:cs="Times New Roman"/>
          <w:sz w:val="28"/>
          <w:szCs w:val="28"/>
          <w:lang w:val="uk-UA" w:eastAsia="en-US"/>
        </w:rPr>
        <w:t>.</w:t>
      </w:r>
    </w:p>
    <w:p w14:paraId="1B278B12" w14:textId="77777777" w:rsidR="00C713B7" w:rsidRDefault="00C713B7" w:rsidP="002279C5">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p>
    <w:p w14:paraId="73091C73" w14:textId="4F76C9C6" w:rsidR="002279C5" w:rsidRPr="005F0419" w:rsidRDefault="002279C5" w:rsidP="002279C5">
      <w:pPr>
        <w:suppressAutoHyphens/>
        <w:autoSpaceDE w:val="0"/>
        <w:autoSpaceDN w:val="0"/>
        <w:adjustRightInd w:val="0"/>
        <w:spacing w:after="0" w:line="360" w:lineRule="auto"/>
        <w:ind w:firstLine="720"/>
        <w:jc w:val="both"/>
        <w:rPr>
          <w:rFonts w:ascii="Times New Roman" w:eastAsia="TimesNewRomanPSMT" w:hAnsi="Times New Roman" w:cs="Times New Roman"/>
          <w:sz w:val="28"/>
          <w:szCs w:val="28"/>
          <w:lang w:val="uk-UA" w:eastAsia="en-US"/>
        </w:rPr>
      </w:pPr>
      <w:r w:rsidRPr="005F0419">
        <w:rPr>
          <w:rFonts w:ascii="Times New Roman" w:hAnsi="Times New Roman" w:cs="Times New Roman"/>
          <w:sz w:val="28"/>
          <w:szCs w:val="28"/>
          <w:lang w:val="uk-UA"/>
        </w:rPr>
        <w:lastRenderedPageBreak/>
        <w:t>Починаючі з 24 лютого 2022 р. розвиток економічної моделі відновлення потенціалу міжнародного співробітництва індустрії туризму України зменшено.</w:t>
      </w:r>
    </w:p>
    <w:p w14:paraId="4B27AE43"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 причин воєнних дій в Україні ускладняється розширення просторових меж існування і функціонування локально-регіональних систем в туризмі. При досягненні певної межі заповнений геоекономічний простір індустрії туризму починає деградувати, що знаходить прояв в скороченні займаної території.</w:t>
      </w:r>
    </w:p>
    <w:p w14:paraId="4C552545"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Наша країна у якості функціонуючої туристичної локально-регіональної системи в площині інтегрованого геоекономічного простору враховує інтереси, норми та пріоритети ключових гравців світової індустрії туризму [24; 35].</w:t>
      </w:r>
    </w:p>
    <w:p w14:paraId="7983953D"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В індустрії туризму знижується рівень потенціалу міжнародної співпраці та співробітництва України, що унаочнює скорочення частки сектора туризму у ВВП від 0,6% у 2020 р. до 0,2% у 2022 р.; це у 16,7 разів нижче за </w:t>
      </w:r>
      <w:proofErr w:type="spellStart"/>
      <w:r w:rsidRPr="005F0419">
        <w:rPr>
          <w:rFonts w:ascii="Times New Roman" w:eastAsia="Calibri" w:hAnsi="Times New Roman" w:cs="Times New Roman"/>
          <w:sz w:val="28"/>
          <w:szCs w:val="28"/>
          <w:lang w:val="uk-UA" w:eastAsia="en-US"/>
        </w:rPr>
        <w:t>доковідний</w:t>
      </w:r>
      <w:proofErr w:type="spellEnd"/>
      <w:r w:rsidRPr="005F0419">
        <w:rPr>
          <w:rFonts w:ascii="Times New Roman" w:eastAsia="Calibri" w:hAnsi="Times New Roman" w:cs="Times New Roman"/>
          <w:sz w:val="28"/>
          <w:szCs w:val="28"/>
          <w:lang w:val="uk-UA" w:eastAsia="en-US"/>
        </w:rPr>
        <w:t xml:space="preserve"> рівень світової </w:t>
      </w:r>
      <w:proofErr w:type="spellStart"/>
      <w:r w:rsidRPr="005F0419">
        <w:rPr>
          <w:rFonts w:ascii="Times New Roman" w:eastAsia="Calibri" w:hAnsi="Times New Roman" w:cs="Times New Roman"/>
          <w:sz w:val="28"/>
          <w:szCs w:val="28"/>
          <w:lang w:val="uk-UA" w:eastAsia="en-US"/>
        </w:rPr>
        <w:t>геоекономіки</w:t>
      </w:r>
      <w:proofErr w:type="spellEnd"/>
      <w:r w:rsidRPr="005F0419">
        <w:rPr>
          <w:rFonts w:ascii="Times New Roman" w:eastAsia="Calibri" w:hAnsi="Times New Roman" w:cs="Times New Roman"/>
          <w:sz w:val="28"/>
          <w:szCs w:val="28"/>
          <w:lang w:val="uk-UA" w:eastAsia="en-US"/>
        </w:rPr>
        <w:t xml:space="preserve"> (середньорічний показник 10%) й у 25 разів нижче рівня світової </w:t>
      </w:r>
      <w:proofErr w:type="spellStart"/>
      <w:r w:rsidRPr="005F0419">
        <w:rPr>
          <w:rFonts w:ascii="Times New Roman" w:eastAsia="Calibri" w:hAnsi="Times New Roman" w:cs="Times New Roman"/>
          <w:sz w:val="28"/>
          <w:szCs w:val="28"/>
          <w:lang w:val="uk-UA" w:eastAsia="en-US"/>
        </w:rPr>
        <w:t>геоекономіки</w:t>
      </w:r>
      <w:proofErr w:type="spellEnd"/>
      <w:r w:rsidRPr="005F0419">
        <w:rPr>
          <w:rFonts w:ascii="Times New Roman" w:eastAsia="Calibri" w:hAnsi="Times New Roman" w:cs="Times New Roman"/>
          <w:sz w:val="28"/>
          <w:szCs w:val="28"/>
          <w:lang w:val="uk-UA" w:eastAsia="en-US"/>
        </w:rPr>
        <w:t xml:space="preserve"> (5%), яка існувала в умовах COVID-19 (</w:t>
      </w:r>
      <w:r w:rsidRPr="005F0419">
        <w:rPr>
          <w:rFonts w:ascii="Times New Roman" w:eastAsia="TimesNewRomanPSMT" w:hAnsi="Times New Roman" w:cs="Times New Roman"/>
          <w:sz w:val="28"/>
          <w:szCs w:val="28"/>
          <w:lang w:val="uk-UA" w:eastAsia="en-US"/>
        </w:rPr>
        <w:t>рис. 10</w:t>
      </w:r>
      <w:r w:rsidRPr="005F0419">
        <w:rPr>
          <w:rFonts w:ascii="Times New Roman" w:eastAsia="Calibri" w:hAnsi="Times New Roman" w:cs="Times New Roman"/>
          <w:sz w:val="28"/>
          <w:szCs w:val="28"/>
          <w:lang w:val="uk-UA" w:eastAsia="en-US"/>
        </w:rPr>
        <w:t>).</w:t>
      </w:r>
    </w:p>
    <w:p w14:paraId="74530C94" w14:textId="60C5E54F" w:rsidR="00662012"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bCs/>
          <w:sz w:val="28"/>
          <w:szCs w:val="28"/>
          <w:highlight w:val="yellow"/>
          <w:lang w:val="uk-UA" w:eastAsia="en-US"/>
        </w:rPr>
      </w:pPr>
      <w:r w:rsidRPr="005F0419">
        <w:rPr>
          <w:rFonts w:ascii="Times New Roman" w:eastAsia="TimesNewRomanPSMT" w:hAnsi="Times New Roman" w:cs="Times New Roman"/>
          <w:noProof/>
          <w:sz w:val="28"/>
          <w:szCs w:val="28"/>
          <w:lang w:val="uk-UA"/>
        </w:rPr>
        <w:drawing>
          <wp:inline distT="0" distB="0" distL="0" distR="0" wp14:anchorId="2FFE50BF" wp14:editId="7C885CE1">
            <wp:extent cx="5565775" cy="2683565"/>
            <wp:effectExtent l="0" t="0" r="0" b="2540"/>
            <wp:docPr id="159" name="Диаграмма 15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1"/>
              </a:graphicData>
            </a:graphic>
          </wp:inline>
        </w:drawing>
      </w:r>
      <w:r w:rsidRPr="005F0419">
        <w:rPr>
          <w:rFonts w:ascii="Times New Roman" w:eastAsia="TimesNewRomanPSMT" w:hAnsi="Times New Roman" w:cs="Times New Roman"/>
          <w:sz w:val="28"/>
          <w:szCs w:val="28"/>
          <w:lang w:val="uk-UA" w:eastAsia="en-US"/>
        </w:rPr>
        <w:t xml:space="preserve">Рис. 10. </w:t>
      </w:r>
      <w:r w:rsidRPr="005F0419">
        <w:rPr>
          <w:rFonts w:ascii="Times New Roman" w:eastAsia="Calibri" w:hAnsi="Times New Roman" w:cs="Times New Roman"/>
          <w:bCs/>
          <w:sz w:val="28"/>
          <w:szCs w:val="28"/>
          <w:lang w:val="uk-UA" w:eastAsia="en-US"/>
        </w:rPr>
        <w:t>Частка сектора туризму у ВВП України у 2018–2022 рр., %</w:t>
      </w:r>
    </w:p>
    <w:p w14:paraId="311692BC" w14:textId="1660157B"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 [43; 50]</w:t>
      </w:r>
      <w:r w:rsidR="002279C5" w:rsidRPr="005F0419">
        <w:rPr>
          <w:rFonts w:ascii="Times New Roman" w:eastAsia="Calibri" w:hAnsi="Times New Roman" w:cs="Times New Roman"/>
          <w:sz w:val="28"/>
          <w:szCs w:val="28"/>
          <w:lang w:val="uk-UA" w:eastAsia="en-US"/>
        </w:rPr>
        <w:t>.</w:t>
      </w:r>
    </w:p>
    <w:p w14:paraId="4A0811A2"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p>
    <w:p w14:paraId="67067758" w14:textId="77777777" w:rsidR="002279C5" w:rsidRPr="005F0419" w:rsidRDefault="002279C5" w:rsidP="002279C5">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З метою</w:t>
      </w:r>
      <w:r w:rsidRPr="005F0419">
        <w:rPr>
          <w:rFonts w:ascii="Times New Roman" w:hAnsi="Times New Roman" w:cs="Times New Roman"/>
          <w:sz w:val="28"/>
          <w:szCs w:val="28"/>
          <w:lang w:val="uk-UA"/>
        </w:rPr>
        <w:t xml:space="preserve"> відновлення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 xml:space="preserve">-регіональної системи індустрії туризму на вітчизняній території своєчасно та </w:t>
      </w:r>
      <w:proofErr w:type="spellStart"/>
      <w:r w:rsidRPr="005F0419">
        <w:rPr>
          <w:rFonts w:ascii="Times New Roman" w:hAnsi="Times New Roman" w:cs="Times New Roman"/>
          <w:sz w:val="28"/>
          <w:szCs w:val="28"/>
          <w:lang w:val="uk-UA"/>
        </w:rPr>
        <w:t>логічно</w:t>
      </w:r>
      <w:proofErr w:type="spellEnd"/>
      <w:r w:rsidRPr="005F0419">
        <w:rPr>
          <w:rFonts w:ascii="Times New Roman" w:hAnsi="Times New Roman" w:cs="Times New Roman"/>
          <w:sz w:val="28"/>
          <w:szCs w:val="28"/>
          <w:lang w:val="uk-UA"/>
        </w:rPr>
        <w:t xml:space="preserve"> запровадити стабілізаційні заходи.</w:t>
      </w:r>
    </w:p>
    <w:p w14:paraId="32995DCD" w14:textId="6B07B304"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hAnsi="Times New Roman" w:cs="Times New Roman"/>
          <w:sz w:val="28"/>
          <w:szCs w:val="28"/>
          <w:lang w:val="uk-UA"/>
        </w:rPr>
        <w:t>Впровадження стабілізаційних заходів розвитку потенціалу міжнародного співробітництва України у світовому середовищі з метою формування</w:t>
      </w:r>
      <w:r w:rsidRPr="005F0419">
        <w:rPr>
          <w:rFonts w:ascii="Times New Roman" w:eastAsia="Calibri" w:hAnsi="Times New Roman" w:cs="Times New Roman"/>
          <w:sz w:val="28"/>
          <w:szCs w:val="28"/>
          <w:lang w:val="uk-UA" w:eastAsia="en-US"/>
        </w:rPr>
        <w:t xml:space="preserve"> високої </w:t>
      </w:r>
      <w:r w:rsidRPr="005F0419">
        <w:rPr>
          <w:rFonts w:ascii="Times New Roman" w:eastAsia="Calibri" w:hAnsi="Times New Roman" w:cs="Times New Roman"/>
          <w:sz w:val="28"/>
          <w:szCs w:val="28"/>
          <w:lang w:val="uk-UA" w:eastAsia="en-US"/>
        </w:rPr>
        <w:lastRenderedPageBreak/>
        <w:t xml:space="preserve">позитивної динаміки обсягу експорту-імпорту комплексного продукту індустрії туризму шляхом зменшення кількості обмежень на лібералізацію і </w:t>
      </w:r>
      <w:r w:rsidRPr="005F0419">
        <w:rPr>
          <w:rFonts w:ascii="Times New Roman" w:eastAsia="Calibri" w:hAnsi="Times New Roman" w:cs="Times New Roman"/>
          <w:bCs/>
          <w:sz w:val="28"/>
          <w:szCs w:val="28"/>
          <w:lang w:val="uk-UA" w:eastAsia="en-US"/>
        </w:rPr>
        <w:t xml:space="preserve">трансфертні технології </w:t>
      </w:r>
      <w:r w:rsidRPr="005F0419">
        <w:rPr>
          <w:rFonts w:ascii="Times New Roman" w:eastAsia="Calibri" w:hAnsi="Times New Roman" w:cs="Times New Roman"/>
          <w:sz w:val="28"/>
          <w:szCs w:val="28"/>
          <w:lang w:val="uk-UA" w:eastAsia="en-US"/>
        </w:rPr>
        <w:t>франчайзингу при</w:t>
      </w:r>
      <w:r w:rsidRPr="005F0419">
        <w:rPr>
          <w:rFonts w:ascii="Times New Roman" w:eastAsia="Calibri" w:hAnsi="Times New Roman" w:cs="Times New Roman"/>
          <w:bCs/>
          <w:sz w:val="28"/>
          <w:szCs w:val="28"/>
          <w:lang w:val="uk-UA" w:eastAsia="en-US"/>
        </w:rPr>
        <w:t xml:space="preserve"> співробітництві суб’єктів туристичних </w:t>
      </w:r>
      <w:proofErr w:type="spellStart"/>
      <w:r w:rsidRPr="005F0419">
        <w:rPr>
          <w:rFonts w:ascii="Times New Roman" w:eastAsia="Calibri" w:hAnsi="Times New Roman" w:cs="Times New Roman"/>
          <w:bCs/>
          <w:sz w:val="28"/>
          <w:szCs w:val="28"/>
          <w:lang w:val="uk-UA" w:eastAsia="en-US"/>
        </w:rPr>
        <w:t>дестинацій</w:t>
      </w:r>
      <w:proofErr w:type="spellEnd"/>
      <w:r w:rsidRPr="005F0419">
        <w:rPr>
          <w:rFonts w:ascii="Times New Roman" w:eastAsia="Calibri" w:hAnsi="Times New Roman" w:cs="Times New Roman"/>
          <w:sz w:val="28"/>
          <w:szCs w:val="28"/>
          <w:lang w:val="uk-UA" w:eastAsia="en-US"/>
        </w:rPr>
        <w:t xml:space="preserve"> знайшло висвітлення в мо</w:t>
      </w:r>
      <w:r w:rsidRPr="005F0419">
        <w:rPr>
          <w:rFonts w:ascii="Times New Roman" w:eastAsia="Calibri" w:hAnsi="Times New Roman" w:cs="Times New Roman"/>
          <w:bCs/>
          <w:sz w:val="28"/>
          <w:szCs w:val="28"/>
          <w:lang w:val="uk-UA" w:eastAsia="en-US"/>
        </w:rPr>
        <w:t xml:space="preserve">делі функціонального симбіозу </w:t>
      </w:r>
      <w:proofErr w:type="spellStart"/>
      <w:r w:rsidRPr="005F0419">
        <w:rPr>
          <w:rFonts w:ascii="Times New Roman" w:eastAsia="Calibri" w:hAnsi="Times New Roman" w:cs="Times New Roman"/>
          <w:bCs/>
          <w:sz w:val="28"/>
          <w:szCs w:val="28"/>
          <w:lang w:val="uk-UA" w:eastAsia="en-US"/>
        </w:rPr>
        <w:t>макро</w:t>
      </w:r>
      <w:proofErr w:type="spellEnd"/>
      <w:r w:rsidRPr="005F0419">
        <w:rPr>
          <w:rFonts w:ascii="Times New Roman" w:eastAsia="Calibri" w:hAnsi="Times New Roman" w:cs="Times New Roman"/>
          <w:bCs/>
          <w:sz w:val="28"/>
          <w:szCs w:val="28"/>
          <w:lang w:val="uk-UA" w:eastAsia="en-US"/>
        </w:rPr>
        <w:t xml:space="preserve">-регіональної та локально-регіональної туристичної системи під впливом рівня лібералізації та трансфертних переваг </w:t>
      </w:r>
      <w:r w:rsidRPr="005F0419">
        <w:rPr>
          <w:rFonts w:ascii="Times New Roman" w:eastAsia="Calibri" w:hAnsi="Times New Roman" w:cs="Times New Roman"/>
          <w:sz w:val="28"/>
          <w:szCs w:val="28"/>
          <w:lang w:val="uk-UA" w:eastAsia="en-US"/>
        </w:rPr>
        <w:t xml:space="preserve">франчайзингу в </w:t>
      </w:r>
      <w:r w:rsidRPr="005F0419">
        <w:rPr>
          <w:rFonts w:ascii="Times New Roman" w:eastAsia="Calibri" w:hAnsi="Times New Roman" w:cs="Times New Roman"/>
          <w:bCs/>
          <w:sz w:val="28"/>
          <w:szCs w:val="28"/>
          <w:lang w:val="uk-UA" w:eastAsia="en-US"/>
        </w:rPr>
        <w:t>міжнародному співробітництві суб’єктів індустрії туризму в кризових умовах геоекономічного простору. Представлена модель поділена на три фрагменти, які унаочнені за допомогою рис. 11–13.</w:t>
      </w:r>
    </w:p>
    <w:p w14:paraId="40B0552B" w14:textId="216B8AC7" w:rsidR="00662012" w:rsidRPr="005F0419" w:rsidRDefault="002279C5"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r w:rsidRPr="005F0419">
        <w:rPr>
          <w:rFonts w:ascii="Times New Roman" w:hAnsi="Times New Roman" w:cs="Times New Roman"/>
          <w:noProof/>
          <w:spacing w:val="-3"/>
          <w:sz w:val="28"/>
          <w:szCs w:val="28"/>
          <w:lang w:val="uk-UA"/>
        </w:rPr>
        <mc:AlternateContent>
          <mc:Choice Requires="wpg">
            <w:drawing>
              <wp:anchor distT="0" distB="0" distL="114300" distR="114300" simplePos="0" relativeHeight="251694080" behindDoc="0" locked="0" layoutInCell="1" allowOverlap="1" wp14:anchorId="79AB8D20" wp14:editId="1D0BB3A3">
                <wp:simplePos x="0" y="0"/>
                <wp:positionH relativeFrom="column">
                  <wp:posOffset>5467</wp:posOffset>
                </wp:positionH>
                <wp:positionV relativeFrom="paragraph">
                  <wp:posOffset>86305</wp:posOffset>
                </wp:positionV>
                <wp:extent cx="6105525" cy="5466190"/>
                <wp:effectExtent l="0" t="0" r="28575" b="20320"/>
                <wp:wrapNone/>
                <wp:docPr id="1705309108" name="Группа 1705309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05525" cy="5466190"/>
                          <a:chOff x="1155" y="8010"/>
                          <a:chExt cx="9615" cy="5474"/>
                        </a:xfrm>
                      </wpg:grpSpPr>
                      <wps:wsp>
                        <wps:cNvPr id="1705309109" name="Rectangle 84"/>
                        <wps:cNvSpPr>
                          <a:spLocks noChangeArrowheads="1"/>
                        </wps:cNvSpPr>
                        <wps:spPr bwMode="auto">
                          <a:xfrm>
                            <a:off x="1155" y="8748"/>
                            <a:ext cx="9615" cy="525"/>
                          </a:xfrm>
                          <a:prstGeom prst="rect">
                            <a:avLst/>
                          </a:prstGeom>
                          <a:solidFill>
                            <a:srgbClr val="FFFFFF"/>
                          </a:solidFill>
                          <a:ln w="9525">
                            <a:solidFill>
                              <a:srgbClr val="000000"/>
                            </a:solidFill>
                            <a:miter lim="800000"/>
                            <a:headEnd/>
                            <a:tailEnd/>
                          </a:ln>
                        </wps:spPr>
                        <wps:txbx>
                          <w:txbxContent>
                            <w:p w14:paraId="3FA50B2F" w14:textId="77777777" w:rsidR="00571B42" w:rsidRPr="002279C5" w:rsidRDefault="00571B42" w:rsidP="00662012">
                              <w:pPr>
                                <w:jc w:val="center"/>
                                <w:rPr>
                                  <w:rFonts w:ascii="Times New Roman" w:hAnsi="Times New Roman" w:cs="Times New Roman"/>
                                  <w:sz w:val="28"/>
                                  <w:szCs w:val="28"/>
                                  <w:lang w:val="uk-UA"/>
                                </w:rPr>
                              </w:pPr>
                              <w:r w:rsidRPr="002279C5">
                                <w:rPr>
                                  <w:rFonts w:ascii="Times New Roman" w:hAnsi="Times New Roman" w:cs="Times New Roman"/>
                                  <w:sz w:val="28"/>
                                  <w:szCs w:val="28"/>
                                  <w:lang w:val="uk-UA"/>
                                </w:rPr>
                                <w:t>Макро-регіональна туристична система</w:t>
                              </w:r>
                            </w:p>
                          </w:txbxContent>
                        </wps:txbx>
                        <wps:bodyPr rot="0" vert="horz" wrap="square" lIns="91440" tIns="45720" rIns="91440" bIns="45720" anchor="t" anchorCtr="0" upright="1">
                          <a:noAutofit/>
                        </wps:bodyPr>
                      </wps:wsp>
                      <wps:wsp>
                        <wps:cNvPr id="1705309110" name="Rectangle 85"/>
                        <wps:cNvSpPr>
                          <a:spLocks noChangeArrowheads="1"/>
                        </wps:cNvSpPr>
                        <wps:spPr bwMode="auto">
                          <a:xfrm>
                            <a:off x="1155" y="9464"/>
                            <a:ext cx="4620" cy="525"/>
                          </a:xfrm>
                          <a:prstGeom prst="rect">
                            <a:avLst/>
                          </a:prstGeom>
                          <a:solidFill>
                            <a:srgbClr val="FFFFFF"/>
                          </a:solidFill>
                          <a:ln w="9525">
                            <a:solidFill>
                              <a:srgbClr val="000000"/>
                            </a:solidFill>
                            <a:miter lim="800000"/>
                            <a:headEnd/>
                            <a:tailEnd/>
                          </a:ln>
                        </wps:spPr>
                        <wps:txbx>
                          <w:txbxContent>
                            <w:p w14:paraId="6A894A1A" w14:textId="77777777" w:rsidR="00571B42" w:rsidRPr="002279C5" w:rsidRDefault="00571B42" w:rsidP="00662012">
                              <w:pPr>
                                <w:jc w:val="center"/>
                                <w:rPr>
                                  <w:rFonts w:ascii="Times New Roman" w:hAnsi="Times New Roman" w:cs="Times New Roman"/>
                                  <w:sz w:val="28"/>
                                  <w:szCs w:val="28"/>
                                  <w:lang w:val="uk-UA"/>
                                </w:rPr>
                              </w:pPr>
                              <w:r w:rsidRPr="002279C5">
                                <w:rPr>
                                  <w:rFonts w:ascii="Times New Roman" w:hAnsi="Times New Roman" w:cs="Times New Roman"/>
                                  <w:sz w:val="28"/>
                                  <w:szCs w:val="28"/>
                                  <w:lang w:val="uk-UA"/>
                                </w:rPr>
                                <w:t>Пропозиція на міжнародному ринку</w:t>
                              </w:r>
                            </w:p>
                          </w:txbxContent>
                        </wps:txbx>
                        <wps:bodyPr rot="0" vert="horz" wrap="square" lIns="91440" tIns="45720" rIns="91440" bIns="45720" anchor="t" anchorCtr="0" upright="1">
                          <a:noAutofit/>
                        </wps:bodyPr>
                      </wps:wsp>
                      <wps:wsp>
                        <wps:cNvPr id="1705309111" name="Rectangle 86"/>
                        <wps:cNvSpPr>
                          <a:spLocks noChangeArrowheads="1"/>
                        </wps:cNvSpPr>
                        <wps:spPr bwMode="auto">
                          <a:xfrm>
                            <a:off x="6150" y="9464"/>
                            <a:ext cx="4620" cy="525"/>
                          </a:xfrm>
                          <a:prstGeom prst="rect">
                            <a:avLst/>
                          </a:prstGeom>
                          <a:solidFill>
                            <a:srgbClr val="FFFFFF"/>
                          </a:solidFill>
                          <a:ln w="9525">
                            <a:solidFill>
                              <a:srgbClr val="000000"/>
                            </a:solidFill>
                            <a:miter lim="800000"/>
                            <a:headEnd/>
                            <a:tailEnd/>
                          </a:ln>
                        </wps:spPr>
                        <wps:txbx>
                          <w:txbxContent>
                            <w:p w14:paraId="2794B56C" w14:textId="77777777" w:rsidR="00571B42" w:rsidRPr="002279C5" w:rsidRDefault="00571B42" w:rsidP="00662012">
                              <w:pPr>
                                <w:jc w:val="center"/>
                                <w:rPr>
                                  <w:rFonts w:ascii="Times New Roman" w:hAnsi="Times New Roman" w:cs="Times New Roman"/>
                                  <w:sz w:val="28"/>
                                  <w:szCs w:val="28"/>
                                  <w:lang w:val="uk-UA"/>
                                </w:rPr>
                              </w:pPr>
                              <w:r w:rsidRPr="002279C5">
                                <w:rPr>
                                  <w:rFonts w:ascii="Times New Roman" w:hAnsi="Times New Roman" w:cs="Times New Roman"/>
                                  <w:sz w:val="28"/>
                                  <w:szCs w:val="28"/>
                                  <w:lang w:val="uk-UA"/>
                                </w:rPr>
                                <w:t>Попит на міжнародному ринку</w:t>
                              </w:r>
                            </w:p>
                          </w:txbxContent>
                        </wps:txbx>
                        <wps:bodyPr rot="0" vert="horz" wrap="square" lIns="91440" tIns="45720" rIns="91440" bIns="45720" anchor="t" anchorCtr="0" upright="1">
                          <a:noAutofit/>
                        </wps:bodyPr>
                      </wps:wsp>
                      <wps:wsp>
                        <wps:cNvPr id="1705309112" name="Rectangle 87"/>
                        <wps:cNvSpPr>
                          <a:spLocks noChangeArrowheads="1"/>
                        </wps:cNvSpPr>
                        <wps:spPr bwMode="auto">
                          <a:xfrm>
                            <a:off x="1155" y="10334"/>
                            <a:ext cx="4140" cy="1275"/>
                          </a:xfrm>
                          <a:prstGeom prst="rect">
                            <a:avLst/>
                          </a:prstGeom>
                          <a:solidFill>
                            <a:srgbClr val="FFFFFF"/>
                          </a:solidFill>
                          <a:ln w="9525">
                            <a:solidFill>
                              <a:srgbClr val="000000"/>
                            </a:solidFill>
                            <a:miter lim="800000"/>
                            <a:headEnd/>
                            <a:tailEnd/>
                          </a:ln>
                        </wps:spPr>
                        <wps:txbx>
                          <w:txbxContent>
                            <w:p w14:paraId="28419B85" w14:textId="77777777" w:rsidR="00571B42" w:rsidRPr="002279C5" w:rsidRDefault="00571B42" w:rsidP="00662012">
                              <w:pPr>
                                <w:suppressAutoHyphens/>
                                <w:jc w:val="center"/>
                                <w:rPr>
                                  <w:rFonts w:ascii="Times New Roman" w:hAnsi="Times New Roman" w:cs="Times New Roman"/>
                                  <w:sz w:val="28"/>
                                  <w:szCs w:val="28"/>
                                  <w:lang w:val="uk-UA"/>
                                </w:rPr>
                              </w:pPr>
                              <w:r w:rsidRPr="002279C5">
                                <w:rPr>
                                  <w:rFonts w:ascii="Times New Roman" w:eastAsia="Calibri" w:hAnsi="Times New Roman" w:cs="Times New Roman"/>
                                  <w:color w:val="0D0D0D"/>
                                  <w:sz w:val="28"/>
                                  <w:szCs w:val="28"/>
                                  <w:lang w:val="uk-UA" w:eastAsia="en-US"/>
                                </w:rPr>
                                <w:t>Виробники міжнародного туристичного продукту, що забезпечують пропозицією туристів з метою отримання прибутку</w:t>
                              </w:r>
                            </w:p>
                          </w:txbxContent>
                        </wps:txbx>
                        <wps:bodyPr rot="0" vert="horz" wrap="square" lIns="91440" tIns="45720" rIns="91440" bIns="45720" anchor="t" anchorCtr="0" upright="1">
                          <a:noAutofit/>
                        </wps:bodyPr>
                      </wps:wsp>
                      <wps:wsp>
                        <wps:cNvPr id="1705309113" name="Rectangle 88"/>
                        <wps:cNvSpPr>
                          <a:spLocks noChangeArrowheads="1"/>
                        </wps:cNvSpPr>
                        <wps:spPr bwMode="auto">
                          <a:xfrm>
                            <a:off x="1155" y="11954"/>
                            <a:ext cx="4140" cy="1530"/>
                          </a:xfrm>
                          <a:prstGeom prst="rect">
                            <a:avLst/>
                          </a:prstGeom>
                          <a:solidFill>
                            <a:srgbClr val="FFFFFF"/>
                          </a:solidFill>
                          <a:ln w="9525">
                            <a:solidFill>
                              <a:srgbClr val="000000"/>
                            </a:solidFill>
                            <a:miter lim="800000"/>
                            <a:headEnd/>
                            <a:tailEnd/>
                          </a:ln>
                        </wps:spPr>
                        <wps:txbx>
                          <w:txbxContent>
                            <w:p w14:paraId="03834C5F" w14:textId="77777777" w:rsidR="00571B42" w:rsidRPr="002279C5" w:rsidRDefault="00571B42" w:rsidP="00662012">
                              <w:pPr>
                                <w:suppressAutoHyphens/>
                                <w:autoSpaceDE w:val="0"/>
                                <w:autoSpaceDN w:val="0"/>
                                <w:adjustRightInd w:val="0"/>
                                <w:jc w:val="center"/>
                                <w:rPr>
                                  <w:rFonts w:ascii="Times New Roman" w:hAnsi="Times New Roman" w:cs="Times New Roman"/>
                                  <w:sz w:val="28"/>
                                  <w:szCs w:val="28"/>
                                  <w:lang w:val="uk-UA"/>
                                </w:rPr>
                              </w:pPr>
                              <w:r w:rsidRPr="002279C5">
                                <w:rPr>
                                  <w:rFonts w:ascii="Times New Roman" w:eastAsia="Calibri" w:hAnsi="Times New Roman" w:cs="Times New Roman"/>
                                  <w:color w:val="0D0D0D"/>
                                  <w:sz w:val="28"/>
                                  <w:szCs w:val="28"/>
                                  <w:lang w:val="uk-UA" w:eastAsia="en-US"/>
                                </w:rPr>
                                <w:t>Виробники міжнародного туристичного продукту, що забезпечують якісні та кількісні потреби туристів та не потребують  отримання прибутку</w:t>
                              </w:r>
                            </w:p>
                          </w:txbxContent>
                        </wps:txbx>
                        <wps:bodyPr rot="0" vert="horz" wrap="square" lIns="91440" tIns="45720" rIns="91440" bIns="45720" anchor="t" anchorCtr="0" upright="1">
                          <a:noAutofit/>
                        </wps:bodyPr>
                      </wps:wsp>
                      <wps:wsp>
                        <wps:cNvPr id="1705309114" name="Rectangle 89"/>
                        <wps:cNvSpPr>
                          <a:spLocks noChangeArrowheads="1"/>
                        </wps:cNvSpPr>
                        <wps:spPr bwMode="auto">
                          <a:xfrm>
                            <a:off x="6615" y="10184"/>
                            <a:ext cx="4140" cy="750"/>
                          </a:xfrm>
                          <a:prstGeom prst="rect">
                            <a:avLst/>
                          </a:prstGeom>
                          <a:solidFill>
                            <a:srgbClr val="FFFFFF"/>
                          </a:solidFill>
                          <a:ln w="9525">
                            <a:solidFill>
                              <a:srgbClr val="000000"/>
                            </a:solidFill>
                            <a:miter lim="800000"/>
                            <a:headEnd/>
                            <a:tailEnd/>
                          </a:ln>
                        </wps:spPr>
                        <wps:txbx>
                          <w:txbxContent>
                            <w:p w14:paraId="5868FD6D"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Туристичний потік з міжнародними потребами (потенційний ринок)</w:t>
                              </w:r>
                            </w:p>
                          </w:txbxContent>
                        </wps:txbx>
                        <wps:bodyPr rot="0" vert="horz" wrap="square" lIns="91440" tIns="45720" rIns="91440" bIns="45720" anchor="t" anchorCtr="0" upright="1">
                          <a:noAutofit/>
                        </wps:bodyPr>
                      </wps:wsp>
                      <wps:wsp>
                        <wps:cNvPr id="1705309115" name="Rectangle 90"/>
                        <wps:cNvSpPr>
                          <a:spLocks noChangeArrowheads="1"/>
                        </wps:cNvSpPr>
                        <wps:spPr bwMode="auto">
                          <a:xfrm>
                            <a:off x="6615" y="11069"/>
                            <a:ext cx="4140" cy="975"/>
                          </a:xfrm>
                          <a:prstGeom prst="rect">
                            <a:avLst/>
                          </a:prstGeom>
                          <a:solidFill>
                            <a:srgbClr val="FFFFFF"/>
                          </a:solidFill>
                          <a:ln w="9525">
                            <a:solidFill>
                              <a:srgbClr val="000000"/>
                            </a:solidFill>
                            <a:miter lim="800000"/>
                            <a:headEnd/>
                            <a:tailEnd/>
                          </a:ln>
                        </wps:spPr>
                        <wps:txbx>
                          <w:txbxContent>
                            <w:p w14:paraId="7BEEBB14"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Туристичний потік, що спроможний використовувати міжнародний турпродукт (доступний ринок)</w:t>
                              </w:r>
                            </w:p>
                          </w:txbxContent>
                        </wps:txbx>
                        <wps:bodyPr rot="0" vert="horz" wrap="square" lIns="91440" tIns="45720" rIns="91440" bIns="45720" anchor="t" anchorCtr="0" upright="1">
                          <a:noAutofit/>
                        </wps:bodyPr>
                      </wps:wsp>
                      <wps:wsp>
                        <wps:cNvPr id="1705309116" name="Rectangle 91"/>
                        <wps:cNvSpPr>
                          <a:spLocks noChangeArrowheads="1"/>
                        </wps:cNvSpPr>
                        <wps:spPr bwMode="auto">
                          <a:xfrm>
                            <a:off x="6615" y="12188"/>
                            <a:ext cx="4140" cy="1275"/>
                          </a:xfrm>
                          <a:prstGeom prst="rect">
                            <a:avLst/>
                          </a:prstGeom>
                          <a:solidFill>
                            <a:srgbClr val="FFFFFF"/>
                          </a:solidFill>
                          <a:ln w="9525">
                            <a:solidFill>
                              <a:srgbClr val="000000"/>
                            </a:solidFill>
                            <a:miter lim="800000"/>
                            <a:headEnd/>
                            <a:tailEnd/>
                          </a:ln>
                        </wps:spPr>
                        <wps:txbx>
                          <w:txbxContent>
                            <w:p w14:paraId="61489A5C"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Туристичний потік, що потенційно спроможний використовувати міжнародний туристичний продукт (ринок обслуговування)</w:t>
                              </w:r>
                            </w:p>
                          </w:txbxContent>
                        </wps:txbx>
                        <wps:bodyPr rot="0" vert="horz" wrap="square" lIns="91440" tIns="45720" rIns="91440" bIns="45720" anchor="t" anchorCtr="0" upright="1">
                          <a:noAutofit/>
                        </wps:bodyPr>
                      </wps:wsp>
                      <wps:wsp>
                        <wps:cNvPr id="1705309117" name="AutoShape 92"/>
                        <wps:cNvCnPr>
                          <a:cxnSpLocks noChangeShapeType="1"/>
                        </wps:cNvCnPr>
                        <wps:spPr bwMode="auto">
                          <a:xfrm>
                            <a:off x="3450" y="9273"/>
                            <a:ext cx="15" cy="1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118" name="AutoShape 93"/>
                        <wps:cNvCnPr>
                          <a:cxnSpLocks noChangeShapeType="1"/>
                        </wps:cNvCnPr>
                        <wps:spPr bwMode="auto">
                          <a:xfrm>
                            <a:off x="8280" y="9273"/>
                            <a:ext cx="15" cy="19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119" name="AutoShape 94"/>
                        <wps:cNvCnPr>
                          <a:cxnSpLocks noChangeShapeType="1"/>
                        </wps:cNvCnPr>
                        <wps:spPr bwMode="auto">
                          <a:xfrm>
                            <a:off x="5610" y="9989"/>
                            <a:ext cx="0" cy="27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09726848" name="AutoShape 95"/>
                        <wps:cNvCnPr>
                          <a:cxnSpLocks noChangeShapeType="1"/>
                        </wps:cNvCnPr>
                        <wps:spPr bwMode="auto">
                          <a:xfrm>
                            <a:off x="6330" y="10004"/>
                            <a:ext cx="0" cy="26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09726849" name="AutoShape 96"/>
                        <wps:cNvCnPr>
                          <a:cxnSpLocks noChangeShapeType="1"/>
                        </wps:cNvCnPr>
                        <wps:spPr bwMode="auto">
                          <a:xfrm flipV="1">
                            <a:off x="6345" y="12674"/>
                            <a:ext cx="28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50" name="AutoShape 97"/>
                        <wps:cNvCnPr>
                          <a:cxnSpLocks noChangeShapeType="1"/>
                        </wps:cNvCnPr>
                        <wps:spPr bwMode="auto">
                          <a:xfrm>
                            <a:off x="6345" y="11533"/>
                            <a:ext cx="2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51" name="AutoShape 98"/>
                        <wps:cNvCnPr>
                          <a:cxnSpLocks noChangeShapeType="1"/>
                        </wps:cNvCnPr>
                        <wps:spPr bwMode="auto">
                          <a:xfrm>
                            <a:off x="6345" y="10574"/>
                            <a:ext cx="2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52" name="AutoShape 99"/>
                        <wps:cNvCnPr>
                          <a:cxnSpLocks noChangeShapeType="1"/>
                        </wps:cNvCnPr>
                        <wps:spPr bwMode="auto">
                          <a:xfrm flipH="1">
                            <a:off x="5325" y="12734"/>
                            <a:ext cx="2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53" name="AutoShape 100"/>
                        <wps:cNvCnPr>
                          <a:cxnSpLocks noChangeShapeType="1"/>
                        </wps:cNvCnPr>
                        <wps:spPr bwMode="auto">
                          <a:xfrm flipH="1">
                            <a:off x="5310" y="10934"/>
                            <a:ext cx="3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54" name="Rectangle 101"/>
                        <wps:cNvSpPr>
                          <a:spLocks noChangeArrowheads="1"/>
                        </wps:cNvSpPr>
                        <wps:spPr bwMode="auto">
                          <a:xfrm>
                            <a:off x="1155" y="8010"/>
                            <a:ext cx="9615" cy="525"/>
                          </a:xfrm>
                          <a:prstGeom prst="rect">
                            <a:avLst/>
                          </a:prstGeom>
                          <a:solidFill>
                            <a:srgbClr val="FFFFFF"/>
                          </a:solidFill>
                          <a:ln w="9525">
                            <a:solidFill>
                              <a:srgbClr val="000000"/>
                            </a:solidFill>
                            <a:miter lim="800000"/>
                            <a:headEnd/>
                            <a:tailEnd/>
                          </a:ln>
                        </wps:spPr>
                        <wps:txbx>
                          <w:txbxContent>
                            <w:p w14:paraId="4B5549BE" w14:textId="77777777" w:rsidR="00571B42" w:rsidRPr="002279C5" w:rsidRDefault="00571B42" w:rsidP="00662012">
                              <w:pPr>
                                <w:jc w:val="center"/>
                                <w:rPr>
                                  <w:rFonts w:ascii="Times New Roman" w:hAnsi="Times New Roman" w:cs="Times New Roman"/>
                                  <w:sz w:val="28"/>
                                  <w:szCs w:val="28"/>
                                  <w:lang w:val="uk-UA"/>
                                </w:rPr>
                              </w:pPr>
                              <w:r w:rsidRPr="002279C5">
                                <w:rPr>
                                  <w:rFonts w:ascii="Times New Roman" w:hAnsi="Times New Roman" w:cs="Times New Roman"/>
                                  <w:sz w:val="28"/>
                                  <w:szCs w:val="28"/>
                                  <w:lang w:val="uk-UA"/>
                                </w:rPr>
                                <w:t>Локально-регіональна туристична система</w:t>
                              </w:r>
                            </w:p>
                          </w:txbxContent>
                        </wps:txbx>
                        <wps:bodyPr rot="0" vert="horz" wrap="square" lIns="91440" tIns="45720" rIns="91440" bIns="45720" anchor="t" anchorCtr="0" upright="1">
                          <a:noAutofit/>
                        </wps:bodyPr>
                      </wps:wsp>
                      <wps:wsp>
                        <wps:cNvPr id="1909726855" name="AutoShape 102"/>
                        <wps:cNvCnPr>
                          <a:cxnSpLocks noChangeShapeType="1"/>
                        </wps:cNvCnPr>
                        <wps:spPr bwMode="auto">
                          <a:xfrm>
                            <a:off x="3465" y="8535"/>
                            <a:ext cx="0" cy="2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56" name="AutoShape 103"/>
                        <wps:cNvCnPr>
                          <a:cxnSpLocks noChangeShapeType="1"/>
                        </wps:cNvCnPr>
                        <wps:spPr bwMode="auto">
                          <a:xfrm>
                            <a:off x="8295" y="8535"/>
                            <a:ext cx="15" cy="21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57" name="AutoShape 104"/>
                        <wps:cNvCnPr>
                          <a:cxnSpLocks noChangeShapeType="1"/>
                        </wps:cNvCnPr>
                        <wps:spPr bwMode="auto">
                          <a:xfrm flipV="1">
                            <a:off x="6180" y="8550"/>
                            <a:ext cx="0" cy="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9726858" name="AutoShape 105"/>
                        <wps:cNvCnPr>
                          <a:cxnSpLocks noChangeShapeType="1"/>
                        </wps:cNvCnPr>
                        <wps:spPr bwMode="auto">
                          <a:xfrm flipV="1">
                            <a:off x="5775" y="8565"/>
                            <a:ext cx="15" cy="1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9AB8D20" id="Группа 1705309108" o:spid="_x0000_s1391" style="position:absolute;left:0;text-align:left;margin-left:.45pt;margin-top:6.8pt;width:480.75pt;height:430.4pt;z-index:251694080;mso-position-horizontal-relative:text;mso-position-vertical-relative:text" coordorigin="1155,8010" coordsize="9615,54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">
                <v:rect id="Rectangle 84" o:spid="_x0000_s1392" style="position:absolute;left:1155;top:8748;width:9615;height: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">
                  <v:textbox>
                    <w:txbxContent>
                      <w:p w14:paraId="3FA50B2F" w14:textId="77777777" w:rsidR="00571B42" w:rsidRPr="002279C5" w:rsidRDefault="00571B42" w:rsidP="00662012">
                        <w:pPr>
                          <w:jc w:val="center"/>
                          <w:rPr>
                            <w:rFonts w:ascii="Times New Roman" w:hAnsi="Times New Roman" w:cs="Times New Roman"/>
                            <w:sz w:val="28"/>
                            <w:szCs w:val="28"/>
                            <w:lang w:val="uk-UA"/>
                          </w:rPr>
                        </w:pPr>
                        <w:r w:rsidRPr="002279C5">
                          <w:rPr>
                            <w:rFonts w:ascii="Times New Roman" w:hAnsi="Times New Roman" w:cs="Times New Roman"/>
                            <w:sz w:val="28"/>
                            <w:szCs w:val="28"/>
                            <w:lang w:val="uk-UA"/>
                          </w:rPr>
                          <w:t>Макро-регіональна туристична система</w:t>
                        </w:r>
                      </w:p>
                    </w:txbxContent>
                  </v:textbox>
                </v:rect>
                <v:rect id="Rectangle 85" o:spid="_x0000_s1393" style="position:absolute;left:1155;top:9464;width:4620;height: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">
                  <v:textbox>
                    <w:txbxContent>
                      <w:p w14:paraId="6A894A1A" w14:textId="77777777" w:rsidR="00571B42" w:rsidRPr="002279C5" w:rsidRDefault="00571B42" w:rsidP="00662012">
                        <w:pPr>
                          <w:jc w:val="center"/>
                          <w:rPr>
                            <w:rFonts w:ascii="Times New Roman" w:hAnsi="Times New Roman" w:cs="Times New Roman"/>
                            <w:sz w:val="28"/>
                            <w:szCs w:val="28"/>
                            <w:lang w:val="uk-UA"/>
                          </w:rPr>
                        </w:pPr>
                        <w:r w:rsidRPr="002279C5">
                          <w:rPr>
                            <w:rFonts w:ascii="Times New Roman" w:hAnsi="Times New Roman" w:cs="Times New Roman"/>
                            <w:sz w:val="28"/>
                            <w:szCs w:val="28"/>
                            <w:lang w:val="uk-UA"/>
                          </w:rPr>
                          <w:t>Пропозиція на міжнародному ринку</w:t>
                        </w:r>
                      </w:p>
                    </w:txbxContent>
                  </v:textbox>
                </v:rect>
                <v:rect id="Rectangle 86" o:spid="_x0000_s1394" style="position:absolute;left:6150;top:9464;width:4620;height: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">
                  <v:textbox>
                    <w:txbxContent>
                      <w:p w14:paraId="2794B56C" w14:textId="77777777" w:rsidR="00571B42" w:rsidRPr="002279C5" w:rsidRDefault="00571B42" w:rsidP="00662012">
                        <w:pPr>
                          <w:jc w:val="center"/>
                          <w:rPr>
                            <w:rFonts w:ascii="Times New Roman" w:hAnsi="Times New Roman" w:cs="Times New Roman"/>
                            <w:sz w:val="28"/>
                            <w:szCs w:val="28"/>
                            <w:lang w:val="uk-UA"/>
                          </w:rPr>
                        </w:pPr>
                        <w:r w:rsidRPr="002279C5">
                          <w:rPr>
                            <w:rFonts w:ascii="Times New Roman" w:hAnsi="Times New Roman" w:cs="Times New Roman"/>
                            <w:sz w:val="28"/>
                            <w:szCs w:val="28"/>
                            <w:lang w:val="uk-UA"/>
                          </w:rPr>
                          <w:t>Попит на міжнародному ринку</w:t>
                        </w:r>
                      </w:p>
                    </w:txbxContent>
                  </v:textbox>
                </v:rect>
                <v:rect id="Rectangle 87" o:spid="_x0000_s1395" style="position:absolute;left:1155;top:10334;width:4140;height:1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">
                  <v:textbox>
                    <w:txbxContent>
                      <w:p w14:paraId="28419B85" w14:textId="77777777" w:rsidR="00571B42" w:rsidRPr="002279C5" w:rsidRDefault="00571B42" w:rsidP="00662012">
                        <w:pPr>
                          <w:suppressAutoHyphens/>
                          <w:jc w:val="center"/>
                          <w:rPr>
                            <w:rFonts w:ascii="Times New Roman" w:hAnsi="Times New Roman" w:cs="Times New Roman"/>
                            <w:sz w:val="28"/>
                            <w:szCs w:val="28"/>
                            <w:lang w:val="uk-UA"/>
                          </w:rPr>
                        </w:pPr>
                        <w:r w:rsidRPr="002279C5">
                          <w:rPr>
                            <w:rFonts w:ascii="Times New Roman" w:eastAsia="Calibri" w:hAnsi="Times New Roman" w:cs="Times New Roman"/>
                            <w:color w:val="0D0D0D"/>
                            <w:sz w:val="28"/>
                            <w:szCs w:val="28"/>
                            <w:lang w:val="uk-UA" w:eastAsia="en-US"/>
                          </w:rPr>
                          <w:t>Виробники міжнародного туристичного продукту, що забезпечують пропозицією туристів з метою отримання прибутку</w:t>
                        </w:r>
                      </w:p>
                    </w:txbxContent>
                  </v:textbox>
                </v:rect>
                <v:rect id="Rectangle 88" o:spid="_x0000_s1396" style="position:absolute;left:1155;top:11954;width:4140;height:1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">
                  <v:textbox>
                    <w:txbxContent>
                      <w:p w14:paraId="03834C5F" w14:textId="77777777" w:rsidR="00571B42" w:rsidRPr="002279C5" w:rsidRDefault="00571B42" w:rsidP="00662012">
                        <w:pPr>
                          <w:suppressAutoHyphens/>
                          <w:autoSpaceDE w:val="0"/>
                          <w:autoSpaceDN w:val="0"/>
                          <w:adjustRightInd w:val="0"/>
                          <w:jc w:val="center"/>
                          <w:rPr>
                            <w:rFonts w:ascii="Times New Roman" w:hAnsi="Times New Roman" w:cs="Times New Roman"/>
                            <w:sz w:val="28"/>
                            <w:szCs w:val="28"/>
                            <w:lang w:val="uk-UA"/>
                          </w:rPr>
                        </w:pPr>
                        <w:r w:rsidRPr="002279C5">
                          <w:rPr>
                            <w:rFonts w:ascii="Times New Roman" w:eastAsia="Calibri" w:hAnsi="Times New Roman" w:cs="Times New Roman"/>
                            <w:color w:val="0D0D0D"/>
                            <w:sz w:val="28"/>
                            <w:szCs w:val="28"/>
                            <w:lang w:val="uk-UA" w:eastAsia="en-US"/>
                          </w:rPr>
                          <w:t>Виробники міжнародного туристичного продукту, що забезпечують якісні та кількісні потреби туристів та не потребують  отримання прибутку</w:t>
                        </w:r>
                      </w:p>
                    </w:txbxContent>
                  </v:textbox>
                </v:rect>
                <v:rect id="Rectangle 89" o:spid="_x0000_s1397" style="position:absolute;left:6615;top:10184;width:4140;height: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">
                  <v:textbox>
                    <w:txbxContent>
                      <w:p w14:paraId="5868FD6D"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Туристичний потік з міжнародними потребами (потенційний ринок)</w:t>
                        </w:r>
                      </w:p>
                    </w:txbxContent>
                  </v:textbox>
                </v:rect>
                <v:rect id="Rectangle 90" o:spid="_x0000_s1398" style="position:absolute;left:6615;top:11069;width:4140;height: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">
                  <v:textbox>
                    <w:txbxContent>
                      <w:p w14:paraId="7BEEBB14"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Туристичний потік, що спроможний використовувати міжнародний турпродукт (доступний ринок)</w:t>
                        </w:r>
                      </w:p>
                    </w:txbxContent>
                  </v:textbox>
                </v:rect>
                <v:rect id="Rectangle 91" o:spid="_x0000_s1399" style="position:absolute;left:6615;top:12188;width:4140;height:1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">
                  <v:textbox>
                    <w:txbxContent>
                      <w:p w14:paraId="61489A5C"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Туристичний потік, що потенційно спроможний використовувати міжнародний туристичний продукт (ринок обслуговування)</w:t>
                        </w:r>
                      </w:p>
                    </w:txbxContent>
                  </v:textbox>
                </v:rect>
                <v:shape id="AutoShape 92" o:spid="_x0000_s1400" type="#_x0000_t32" style="position:absolute;left:3450;top:9273;width:15;height: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">
                  <v:stroke endarrow="block"/>
                </v:shape>
                <v:shape id="AutoShape 93" o:spid="_x0000_s1401" type="#_x0000_t32" style="position:absolute;left:8280;top:9273;width:15;height:1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">
                  <v:stroke endarrow="block"/>
                </v:shape>
                <v:shape id="AutoShape 94" o:spid="_x0000_s1402" type="#_x0000_t32" style="position:absolute;left:5610;top:9989;width:0;height:27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"/>
                <v:shape id="AutoShape 95" o:spid="_x0000_s1403" type="#_x0000_t32" style="position:absolute;left:6330;top:10004;width:0;height:26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"/>
                <v:shape id="AutoShape 96" o:spid="_x0000_s1404" type="#_x0000_t32" style="position:absolute;left:6345;top:12674;width:285;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">
                  <v:stroke endarrow="block"/>
                </v:shape>
                <v:shape id="AutoShape 97" o:spid="_x0000_s1405" type="#_x0000_t32" style="position:absolute;left:6345;top:11533;width:2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">
                  <v:stroke endarrow="block"/>
                </v:shape>
                <v:shape id="AutoShape 98" o:spid="_x0000_s1406" type="#_x0000_t32" style="position:absolute;left:6345;top:10574;width:28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">
                  <v:stroke endarrow="block"/>
                </v:shape>
                <v:shape id="AutoShape 99" o:spid="_x0000_s1407" type="#_x0000_t32" style="position:absolute;left:5325;top:12734;width:28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">
                  <v:stroke endarrow="block"/>
                </v:shape>
                <v:shape id="AutoShape 100" o:spid="_x0000_s1408" type="#_x0000_t32" style="position:absolute;left:5310;top:10934;width:31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">
                  <v:stroke endarrow="block"/>
                </v:shape>
                <v:rect id="Rectangle 101" o:spid="_x0000_s1409" style="position:absolute;left:1155;top:8010;width:9615;height: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">
                  <v:textbox>
                    <w:txbxContent>
                      <w:p w14:paraId="4B5549BE" w14:textId="77777777" w:rsidR="00571B42" w:rsidRPr="002279C5" w:rsidRDefault="00571B42" w:rsidP="00662012">
                        <w:pPr>
                          <w:jc w:val="center"/>
                          <w:rPr>
                            <w:rFonts w:ascii="Times New Roman" w:hAnsi="Times New Roman" w:cs="Times New Roman"/>
                            <w:sz w:val="28"/>
                            <w:szCs w:val="28"/>
                            <w:lang w:val="uk-UA"/>
                          </w:rPr>
                        </w:pPr>
                        <w:r w:rsidRPr="002279C5">
                          <w:rPr>
                            <w:rFonts w:ascii="Times New Roman" w:hAnsi="Times New Roman" w:cs="Times New Roman"/>
                            <w:sz w:val="28"/>
                            <w:szCs w:val="28"/>
                            <w:lang w:val="uk-UA"/>
                          </w:rPr>
                          <w:t>Локально-регіональна туристична система</w:t>
                        </w:r>
                      </w:p>
                    </w:txbxContent>
                  </v:textbox>
                </v:rect>
                <v:shape id="AutoShape 102" o:spid="_x0000_s1410" type="#_x0000_t32" style="position:absolute;left:3465;top:8535;width:0;height:2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">
                  <v:stroke endarrow="block"/>
                </v:shape>
                <v:shape id="AutoShape 103" o:spid="_x0000_s1411" type="#_x0000_t32" style="position:absolute;left:8295;top:8535;width:15;height:2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">
                  <v:stroke endarrow="block"/>
                </v:shape>
                <v:shape id="AutoShape 104" o:spid="_x0000_s1412" type="#_x0000_t32" style="position:absolute;left:6180;top:8550;width:0;height:1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">
                  <v:stroke endarrow="block"/>
                </v:shape>
                <v:shape id="AutoShape 105" o:spid="_x0000_s1413" type="#_x0000_t32" style="position:absolute;left:5775;top:8565;width:15;height:18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">
                  <v:stroke endarrow="block"/>
                </v:shape>
              </v:group>
            </w:pict>
          </mc:Fallback>
        </mc:AlternateContent>
      </w:r>
    </w:p>
    <w:p w14:paraId="47C02857"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31D863A7"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5573D389"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57870EC0"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734DCFBC"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0B276665"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018FF75A"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0B10F630"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24C155A6"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27FF87DA"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110B7D6B"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44989CF1" w14:textId="77777777" w:rsidR="002279C5" w:rsidRPr="005F0419" w:rsidRDefault="002279C5" w:rsidP="00662012">
      <w:pPr>
        <w:suppressAutoHyphens/>
        <w:autoSpaceDE w:val="0"/>
        <w:autoSpaceDN w:val="0"/>
        <w:adjustRightInd w:val="0"/>
        <w:spacing w:after="0" w:line="360" w:lineRule="auto"/>
        <w:ind w:firstLine="720"/>
        <w:jc w:val="center"/>
        <w:rPr>
          <w:rFonts w:ascii="Times New Roman" w:hAnsi="Times New Roman" w:cs="Times New Roman"/>
          <w:spacing w:val="-3"/>
          <w:sz w:val="28"/>
          <w:szCs w:val="28"/>
          <w:lang w:val="uk-UA"/>
        </w:rPr>
      </w:pPr>
    </w:p>
    <w:p w14:paraId="29439F62" w14:textId="77777777" w:rsidR="002279C5" w:rsidRPr="005F0419" w:rsidRDefault="002279C5" w:rsidP="00662012">
      <w:pPr>
        <w:suppressAutoHyphens/>
        <w:autoSpaceDE w:val="0"/>
        <w:autoSpaceDN w:val="0"/>
        <w:adjustRightInd w:val="0"/>
        <w:spacing w:after="0" w:line="360" w:lineRule="auto"/>
        <w:ind w:firstLine="720"/>
        <w:jc w:val="center"/>
        <w:rPr>
          <w:rFonts w:ascii="Times New Roman" w:hAnsi="Times New Roman" w:cs="Times New Roman"/>
          <w:spacing w:val="-3"/>
          <w:sz w:val="28"/>
          <w:szCs w:val="28"/>
          <w:lang w:val="uk-UA"/>
        </w:rPr>
      </w:pPr>
    </w:p>
    <w:p w14:paraId="001C4628" w14:textId="77777777" w:rsidR="002279C5" w:rsidRPr="005F0419" w:rsidRDefault="002279C5" w:rsidP="00662012">
      <w:pPr>
        <w:suppressAutoHyphens/>
        <w:autoSpaceDE w:val="0"/>
        <w:autoSpaceDN w:val="0"/>
        <w:adjustRightInd w:val="0"/>
        <w:spacing w:after="0" w:line="360" w:lineRule="auto"/>
        <w:ind w:firstLine="720"/>
        <w:jc w:val="center"/>
        <w:rPr>
          <w:rFonts w:ascii="Times New Roman" w:hAnsi="Times New Roman" w:cs="Times New Roman"/>
          <w:spacing w:val="-3"/>
          <w:sz w:val="28"/>
          <w:szCs w:val="28"/>
          <w:lang w:val="uk-UA"/>
        </w:rPr>
      </w:pPr>
    </w:p>
    <w:p w14:paraId="6B00B1B5" w14:textId="77777777" w:rsidR="002279C5" w:rsidRPr="005F0419" w:rsidRDefault="002279C5" w:rsidP="00662012">
      <w:pPr>
        <w:suppressAutoHyphens/>
        <w:autoSpaceDE w:val="0"/>
        <w:autoSpaceDN w:val="0"/>
        <w:adjustRightInd w:val="0"/>
        <w:spacing w:after="0" w:line="360" w:lineRule="auto"/>
        <w:ind w:firstLine="720"/>
        <w:jc w:val="center"/>
        <w:rPr>
          <w:rFonts w:ascii="Times New Roman" w:hAnsi="Times New Roman" w:cs="Times New Roman"/>
          <w:spacing w:val="-3"/>
          <w:sz w:val="28"/>
          <w:szCs w:val="28"/>
          <w:lang w:val="uk-UA"/>
        </w:rPr>
      </w:pPr>
    </w:p>
    <w:p w14:paraId="007A5D11" w14:textId="77777777" w:rsidR="002279C5" w:rsidRPr="005F0419" w:rsidRDefault="002279C5" w:rsidP="00662012">
      <w:pPr>
        <w:suppressAutoHyphens/>
        <w:autoSpaceDE w:val="0"/>
        <w:autoSpaceDN w:val="0"/>
        <w:adjustRightInd w:val="0"/>
        <w:spacing w:after="0" w:line="360" w:lineRule="auto"/>
        <w:ind w:firstLine="720"/>
        <w:jc w:val="center"/>
        <w:rPr>
          <w:rFonts w:ascii="Times New Roman" w:hAnsi="Times New Roman" w:cs="Times New Roman"/>
          <w:spacing w:val="-3"/>
          <w:sz w:val="28"/>
          <w:szCs w:val="28"/>
          <w:lang w:val="uk-UA"/>
        </w:rPr>
      </w:pPr>
    </w:p>
    <w:p w14:paraId="4EDF4828" w14:textId="77777777" w:rsidR="002279C5" w:rsidRPr="005F0419" w:rsidRDefault="002279C5" w:rsidP="00662012">
      <w:pPr>
        <w:suppressAutoHyphens/>
        <w:autoSpaceDE w:val="0"/>
        <w:autoSpaceDN w:val="0"/>
        <w:adjustRightInd w:val="0"/>
        <w:spacing w:after="0" w:line="360" w:lineRule="auto"/>
        <w:ind w:firstLine="720"/>
        <w:jc w:val="center"/>
        <w:rPr>
          <w:rFonts w:ascii="Times New Roman" w:hAnsi="Times New Roman" w:cs="Times New Roman"/>
          <w:spacing w:val="-3"/>
          <w:sz w:val="28"/>
          <w:szCs w:val="28"/>
          <w:lang w:val="uk-UA"/>
        </w:rPr>
      </w:pPr>
    </w:p>
    <w:p w14:paraId="3BA600BC" w14:textId="77777777" w:rsidR="002279C5" w:rsidRPr="005F0419" w:rsidRDefault="002279C5" w:rsidP="00662012">
      <w:pPr>
        <w:suppressAutoHyphens/>
        <w:autoSpaceDE w:val="0"/>
        <w:autoSpaceDN w:val="0"/>
        <w:adjustRightInd w:val="0"/>
        <w:spacing w:after="0" w:line="360" w:lineRule="auto"/>
        <w:ind w:firstLine="720"/>
        <w:jc w:val="center"/>
        <w:rPr>
          <w:rFonts w:ascii="Times New Roman" w:hAnsi="Times New Roman" w:cs="Times New Roman"/>
          <w:spacing w:val="-3"/>
          <w:sz w:val="28"/>
          <w:szCs w:val="28"/>
          <w:lang w:val="uk-UA"/>
        </w:rPr>
      </w:pPr>
    </w:p>
    <w:p w14:paraId="646080E0" w14:textId="66E00829" w:rsidR="00662012" w:rsidRPr="005F0419" w:rsidRDefault="00662012" w:rsidP="00662012">
      <w:pPr>
        <w:suppressAutoHyphens/>
        <w:autoSpaceDE w:val="0"/>
        <w:autoSpaceDN w:val="0"/>
        <w:adjustRightInd w:val="0"/>
        <w:spacing w:after="0" w:line="360" w:lineRule="auto"/>
        <w:ind w:firstLine="720"/>
        <w:jc w:val="center"/>
        <w:rPr>
          <w:rFonts w:ascii="Times New Roman" w:hAnsi="Times New Roman" w:cs="Times New Roman"/>
          <w:spacing w:val="-3"/>
          <w:sz w:val="28"/>
          <w:szCs w:val="28"/>
          <w:lang w:val="uk-UA"/>
        </w:rPr>
      </w:pPr>
      <w:r w:rsidRPr="005F0419">
        <w:rPr>
          <w:rFonts w:ascii="Times New Roman" w:hAnsi="Times New Roman" w:cs="Times New Roman"/>
          <w:spacing w:val="-3"/>
          <w:sz w:val="28"/>
          <w:szCs w:val="28"/>
          <w:lang w:val="uk-UA"/>
        </w:rPr>
        <w:t xml:space="preserve">Рис. 11. </w:t>
      </w:r>
      <w:r w:rsidRPr="005F0419">
        <w:rPr>
          <w:rFonts w:ascii="Times New Roman" w:eastAsia="Calibri" w:hAnsi="Times New Roman" w:cs="Times New Roman"/>
          <w:bCs/>
          <w:sz w:val="28"/>
          <w:szCs w:val="28"/>
          <w:lang w:val="uk-UA" w:eastAsia="en-US"/>
        </w:rPr>
        <w:t xml:space="preserve">Симбіоз </w:t>
      </w:r>
      <w:proofErr w:type="spellStart"/>
      <w:r w:rsidRPr="005F0419">
        <w:rPr>
          <w:rFonts w:ascii="Times New Roman" w:eastAsia="Calibri" w:hAnsi="Times New Roman" w:cs="Times New Roman"/>
          <w:bCs/>
          <w:sz w:val="28"/>
          <w:szCs w:val="28"/>
          <w:lang w:val="uk-UA" w:eastAsia="en-US"/>
        </w:rPr>
        <w:t>макро</w:t>
      </w:r>
      <w:proofErr w:type="spellEnd"/>
      <w:r w:rsidRPr="005F0419">
        <w:rPr>
          <w:rFonts w:ascii="Times New Roman" w:eastAsia="Calibri" w:hAnsi="Times New Roman" w:cs="Times New Roman"/>
          <w:bCs/>
          <w:sz w:val="28"/>
          <w:szCs w:val="28"/>
          <w:lang w:val="uk-UA" w:eastAsia="en-US"/>
        </w:rPr>
        <w:t>-регіональної та локально-регіональної системи туризму</w:t>
      </w:r>
    </w:p>
    <w:p w14:paraId="653D0477" w14:textId="57BC0ABA"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 [51–53]</w:t>
      </w:r>
      <w:r w:rsidR="002279C5" w:rsidRPr="005F0419">
        <w:rPr>
          <w:rFonts w:ascii="Times New Roman" w:eastAsia="Calibri" w:hAnsi="Times New Roman" w:cs="Times New Roman"/>
          <w:sz w:val="28"/>
          <w:szCs w:val="28"/>
          <w:lang w:val="uk-UA" w:eastAsia="en-US"/>
        </w:rPr>
        <w:t>.</w:t>
      </w:r>
    </w:p>
    <w:p w14:paraId="59005939" w14:textId="59B64B2A" w:rsidR="002279C5" w:rsidRPr="005F0419" w:rsidRDefault="002279C5"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hAnsi="Times New Roman" w:cs="Times New Roman"/>
          <w:noProof/>
          <w:spacing w:val="-3"/>
          <w:sz w:val="28"/>
          <w:szCs w:val="28"/>
          <w:lang w:val="uk-UA"/>
        </w:rPr>
        <w:lastRenderedPageBreak/>
        <mc:AlternateContent>
          <mc:Choice Requires="wpg">
            <w:drawing>
              <wp:anchor distT="0" distB="0" distL="114300" distR="114300" simplePos="0" relativeHeight="251695104" behindDoc="0" locked="0" layoutInCell="1" allowOverlap="1" wp14:anchorId="455209C6" wp14:editId="3CBD94B8">
                <wp:simplePos x="0" y="0"/>
                <wp:positionH relativeFrom="column">
                  <wp:posOffset>128132</wp:posOffset>
                </wp:positionH>
                <wp:positionV relativeFrom="paragraph">
                  <wp:posOffset>-30894</wp:posOffset>
                </wp:positionV>
                <wp:extent cx="6105525" cy="8106934"/>
                <wp:effectExtent l="0" t="0" r="28575" b="27940"/>
                <wp:wrapNone/>
                <wp:docPr id="1705309076" name="Группа 17053090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05525" cy="8106934"/>
                          <a:chOff x="1155" y="1260"/>
                          <a:chExt cx="9615" cy="7125"/>
                        </a:xfrm>
                      </wpg:grpSpPr>
                      <wps:wsp>
                        <wps:cNvPr id="1705309077" name="Rectangle 107"/>
                        <wps:cNvSpPr>
                          <a:spLocks noChangeArrowheads="1"/>
                        </wps:cNvSpPr>
                        <wps:spPr bwMode="auto">
                          <a:xfrm>
                            <a:off x="1155" y="1260"/>
                            <a:ext cx="9615" cy="465"/>
                          </a:xfrm>
                          <a:prstGeom prst="rect">
                            <a:avLst/>
                          </a:prstGeom>
                          <a:solidFill>
                            <a:srgbClr val="FFFFFF"/>
                          </a:solidFill>
                          <a:ln w="9525">
                            <a:solidFill>
                              <a:srgbClr val="000000"/>
                            </a:solidFill>
                            <a:miter lim="800000"/>
                            <a:headEnd/>
                            <a:tailEnd/>
                          </a:ln>
                        </wps:spPr>
                        <wps:txbx>
                          <w:txbxContent>
                            <w:p w14:paraId="2F1E2C1F"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Державне регулювання міжнародної торгівлі туристичними продуктами</w:t>
                              </w:r>
                            </w:p>
                          </w:txbxContent>
                        </wps:txbx>
                        <wps:bodyPr rot="0" vert="horz" wrap="square" lIns="91440" tIns="45720" rIns="91440" bIns="45720" anchor="t" anchorCtr="0" upright="1">
                          <a:noAutofit/>
                        </wps:bodyPr>
                      </wps:wsp>
                      <wps:wsp>
                        <wps:cNvPr id="1705309078" name="Rectangle 108"/>
                        <wps:cNvSpPr>
                          <a:spLocks noChangeArrowheads="1"/>
                        </wps:cNvSpPr>
                        <wps:spPr bwMode="auto">
                          <a:xfrm>
                            <a:off x="1155" y="1950"/>
                            <a:ext cx="6900" cy="465"/>
                          </a:xfrm>
                          <a:prstGeom prst="rect">
                            <a:avLst/>
                          </a:prstGeom>
                          <a:solidFill>
                            <a:srgbClr val="FFFFFF"/>
                          </a:solidFill>
                          <a:ln w="9525">
                            <a:solidFill>
                              <a:srgbClr val="000000"/>
                            </a:solidFill>
                            <a:miter lim="800000"/>
                            <a:headEnd/>
                            <a:tailEnd/>
                          </a:ln>
                        </wps:spPr>
                        <wps:txbx>
                          <w:txbxContent>
                            <w:p w14:paraId="22304918"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Інструменти регулювання</w:t>
                              </w:r>
                            </w:p>
                          </w:txbxContent>
                        </wps:txbx>
                        <wps:bodyPr rot="0" vert="horz" wrap="square" lIns="91440" tIns="45720" rIns="91440" bIns="45720" anchor="t" anchorCtr="0" upright="1">
                          <a:noAutofit/>
                        </wps:bodyPr>
                      </wps:wsp>
                      <wps:wsp>
                        <wps:cNvPr id="1705309079" name="Rectangle 109"/>
                        <wps:cNvSpPr>
                          <a:spLocks noChangeArrowheads="1"/>
                        </wps:cNvSpPr>
                        <wps:spPr bwMode="auto">
                          <a:xfrm>
                            <a:off x="8250" y="1950"/>
                            <a:ext cx="2505" cy="465"/>
                          </a:xfrm>
                          <a:prstGeom prst="rect">
                            <a:avLst/>
                          </a:prstGeom>
                          <a:solidFill>
                            <a:srgbClr val="FFFFFF"/>
                          </a:solidFill>
                          <a:ln w="9525">
                            <a:solidFill>
                              <a:srgbClr val="000000"/>
                            </a:solidFill>
                            <a:miter lim="800000"/>
                            <a:headEnd/>
                            <a:tailEnd/>
                          </a:ln>
                        </wps:spPr>
                        <wps:txbx>
                          <w:txbxContent>
                            <w:p w14:paraId="52B9BE72"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Рівні лібералізації</w:t>
                              </w:r>
                            </w:p>
                          </w:txbxContent>
                        </wps:txbx>
                        <wps:bodyPr rot="0" vert="horz" wrap="square" lIns="91440" tIns="45720" rIns="91440" bIns="45720" anchor="t" anchorCtr="0" upright="1">
                          <a:noAutofit/>
                        </wps:bodyPr>
                      </wps:wsp>
                      <wps:wsp>
                        <wps:cNvPr id="1705309080" name="Rectangle 110"/>
                        <wps:cNvSpPr>
                          <a:spLocks noChangeArrowheads="1"/>
                        </wps:cNvSpPr>
                        <wps:spPr bwMode="auto">
                          <a:xfrm>
                            <a:off x="1155" y="2625"/>
                            <a:ext cx="3765" cy="465"/>
                          </a:xfrm>
                          <a:prstGeom prst="rect">
                            <a:avLst/>
                          </a:prstGeom>
                          <a:solidFill>
                            <a:srgbClr val="FFFFFF"/>
                          </a:solidFill>
                          <a:ln w="9525">
                            <a:solidFill>
                              <a:srgbClr val="000000"/>
                            </a:solidFill>
                            <a:miter lim="800000"/>
                            <a:headEnd/>
                            <a:tailEnd/>
                          </a:ln>
                        </wps:spPr>
                        <wps:txbx>
                          <w:txbxContent>
                            <w:p w14:paraId="3C14013A"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Засоби доступу до ринку</w:t>
                              </w:r>
                            </w:p>
                          </w:txbxContent>
                        </wps:txbx>
                        <wps:bodyPr rot="0" vert="horz" wrap="square" lIns="91440" tIns="45720" rIns="91440" bIns="45720" anchor="t" anchorCtr="0" upright="1">
                          <a:noAutofit/>
                        </wps:bodyPr>
                      </wps:wsp>
                      <wps:wsp>
                        <wps:cNvPr id="1705309081" name="Rectangle 111"/>
                        <wps:cNvSpPr>
                          <a:spLocks noChangeArrowheads="1"/>
                        </wps:cNvSpPr>
                        <wps:spPr bwMode="auto">
                          <a:xfrm>
                            <a:off x="5085" y="2625"/>
                            <a:ext cx="2970" cy="705"/>
                          </a:xfrm>
                          <a:prstGeom prst="rect">
                            <a:avLst/>
                          </a:prstGeom>
                          <a:solidFill>
                            <a:srgbClr val="FFFFFF"/>
                          </a:solidFill>
                          <a:ln w="9525">
                            <a:solidFill>
                              <a:srgbClr val="000000"/>
                            </a:solidFill>
                            <a:miter lim="800000"/>
                            <a:headEnd/>
                            <a:tailEnd/>
                          </a:ln>
                        </wps:spPr>
                        <wps:txbx>
                          <w:txbxContent>
                            <w:p w14:paraId="5449C34E"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Вилучення з національного режиму</w:t>
                              </w:r>
                            </w:p>
                          </w:txbxContent>
                        </wps:txbx>
                        <wps:bodyPr rot="0" vert="horz" wrap="square" lIns="91440" tIns="45720" rIns="91440" bIns="45720" anchor="t" anchorCtr="0" upright="1">
                          <a:noAutofit/>
                        </wps:bodyPr>
                      </wps:wsp>
                      <wps:wsp>
                        <wps:cNvPr id="1705309083" name="Rectangle 112"/>
                        <wps:cNvSpPr>
                          <a:spLocks noChangeArrowheads="1"/>
                        </wps:cNvSpPr>
                        <wps:spPr bwMode="auto">
                          <a:xfrm>
                            <a:off x="1155" y="3300"/>
                            <a:ext cx="3510" cy="720"/>
                          </a:xfrm>
                          <a:prstGeom prst="rect">
                            <a:avLst/>
                          </a:prstGeom>
                          <a:solidFill>
                            <a:srgbClr val="FFFFFF"/>
                          </a:solidFill>
                          <a:ln w="9525">
                            <a:solidFill>
                              <a:srgbClr val="000000"/>
                            </a:solidFill>
                            <a:miter lim="800000"/>
                            <a:headEnd/>
                            <a:tailEnd/>
                          </a:ln>
                        </wps:spPr>
                        <wps:txbx>
                          <w:txbxContent>
                            <w:p w14:paraId="3B238170"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Зняття обмеження на торгівлю туристичними послугами</w:t>
                              </w:r>
                            </w:p>
                          </w:txbxContent>
                        </wps:txbx>
                        <wps:bodyPr rot="0" vert="horz" wrap="square" lIns="91440" tIns="45720" rIns="91440" bIns="45720" anchor="t" anchorCtr="0" upright="1">
                          <a:noAutofit/>
                        </wps:bodyPr>
                      </wps:wsp>
                      <wps:wsp>
                        <wps:cNvPr id="1705309084" name="Rectangle 113"/>
                        <wps:cNvSpPr>
                          <a:spLocks noChangeArrowheads="1"/>
                        </wps:cNvSpPr>
                        <wps:spPr bwMode="auto">
                          <a:xfrm>
                            <a:off x="1155" y="4200"/>
                            <a:ext cx="3525" cy="705"/>
                          </a:xfrm>
                          <a:prstGeom prst="rect">
                            <a:avLst/>
                          </a:prstGeom>
                          <a:solidFill>
                            <a:srgbClr val="FFFFFF"/>
                          </a:solidFill>
                          <a:ln w="9525">
                            <a:solidFill>
                              <a:srgbClr val="000000"/>
                            </a:solidFill>
                            <a:miter lim="800000"/>
                            <a:headEnd/>
                            <a:tailEnd/>
                          </a:ln>
                        </wps:spPr>
                        <wps:txbx>
                          <w:txbxContent>
                            <w:p w14:paraId="3DD4DDD0"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Зняття квот на імпорт туристичних послуг</w:t>
                              </w:r>
                            </w:p>
                          </w:txbxContent>
                        </wps:txbx>
                        <wps:bodyPr rot="0" vert="horz" wrap="square" lIns="91440" tIns="45720" rIns="91440" bIns="45720" anchor="t" anchorCtr="0" upright="1">
                          <a:noAutofit/>
                        </wps:bodyPr>
                      </wps:wsp>
                      <wps:wsp>
                        <wps:cNvPr id="1705309085" name="Rectangle 114"/>
                        <wps:cNvSpPr>
                          <a:spLocks noChangeArrowheads="1"/>
                        </wps:cNvSpPr>
                        <wps:spPr bwMode="auto">
                          <a:xfrm>
                            <a:off x="1155" y="5115"/>
                            <a:ext cx="3540" cy="1785"/>
                          </a:xfrm>
                          <a:prstGeom prst="rect">
                            <a:avLst/>
                          </a:prstGeom>
                          <a:solidFill>
                            <a:srgbClr val="FFFFFF"/>
                          </a:solidFill>
                          <a:ln w="9525">
                            <a:solidFill>
                              <a:srgbClr val="000000"/>
                            </a:solidFill>
                            <a:miter lim="800000"/>
                            <a:headEnd/>
                            <a:tailEnd/>
                          </a:ln>
                        </wps:spPr>
                        <wps:txbx>
                          <w:txbxContent>
                            <w:p w14:paraId="17650B23"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 xml:space="preserve">Зняття обмежень на створення на внутрішньому ринку мережевих структур транснаціональних </w:t>
                              </w:r>
                            </w:p>
                            <w:p w14:paraId="1A6909B2"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компаній – виробників туристичних продуктів</w:t>
                              </w:r>
                            </w:p>
                          </w:txbxContent>
                        </wps:txbx>
                        <wps:bodyPr rot="0" vert="horz" wrap="square" lIns="91440" tIns="45720" rIns="91440" bIns="45720" anchor="t" anchorCtr="0" upright="1">
                          <a:noAutofit/>
                        </wps:bodyPr>
                      </wps:wsp>
                      <wps:wsp>
                        <wps:cNvPr id="1705309086" name="Rectangle 115"/>
                        <wps:cNvSpPr>
                          <a:spLocks noChangeArrowheads="1"/>
                        </wps:cNvSpPr>
                        <wps:spPr bwMode="auto">
                          <a:xfrm>
                            <a:off x="1155" y="7080"/>
                            <a:ext cx="3540" cy="1305"/>
                          </a:xfrm>
                          <a:prstGeom prst="rect">
                            <a:avLst/>
                          </a:prstGeom>
                          <a:solidFill>
                            <a:srgbClr val="FFFFFF"/>
                          </a:solidFill>
                          <a:ln w="9525">
                            <a:solidFill>
                              <a:srgbClr val="000000"/>
                            </a:solidFill>
                            <a:miter lim="800000"/>
                            <a:headEnd/>
                            <a:tailEnd/>
                          </a:ln>
                        </wps:spPr>
                        <wps:txbx>
                          <w:txbxContent>
                            <w:p w14:paraId="50CB5B98"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 xml:space="preserve">Знання обмеження на переміщення </w:t>
                              </w:r>
                            </w:p>
                            <w:p w14:paraId="2485ABDD"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транснаціональних виробників туристичних продуктів</w:t>
                              </w:r>
                            </w:p>
                          </w:txbxContent>
                        </wps:txbx>
                        <wps:bodyPr rot="0" vert="horz" wrap="square" lIns="91440" tIns="45720" rIns="91440" bIns="45720" anchor="t" anchorCtr="0" upright="1">
                          <a:noAutofit/>
                        </wps:bodyPr>
                      </wps:wsp>
                      <wps:wsp>
                        <wps:cNvPr id="1705309087" name="Rectangle 116"/>
                        <wps:cNvSpPr>
                          <a:spLocks noChangeArrowheads="1"/>
                        </wps:cNvSpPr>
                        <wps:spPr bwMode="auto">
                          <a:xfrm>
                            <a:off x="5385" y="3510"/>
                            <a:ext cx="2655" cy="1800"/>
                          </a:xfrm>
                          <a:prstGeom prst="rect">
                            <a:avLst/>
                          </a:prstGeom>
                          <a:solidFill>
                            <a:srgbClr val="FFFFFF"/>
                          </a:solidFill>
                          <a:ln w="9525">
                            <a:solidFill>
                              <a:srgbClr val="000000"/>
                            </a:solidFill>
                            <a:miter lim="800000"/>
                            <a:headEnd/>
                            <a:tailEnd/>
                          </a:ln>
                        </wps:spPr>
                        <wps:txbx>
                          <w:txbxContent>
                            <w:p w14:paraId="3C90B1C6"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Цінового диспаритету між місцевими та транснаціональними  виробникам туристичного продукту</w:t>
                              </w:r>
                            </w:p>
                          </w:txbxContent>
                        </wps:txbx>
                        <wps:bodyPr rot="0" vert="horz" wrap="square" lIns="91440" tIns="45720" rIns="91440" bIns="45720" anchor="t" anchorCtr="0" upright="1">
                          <a:noAutofit/>
                        </wps:bodyPr>
                      </wps:wsp>
                      <wps:wsp>
                        <wps:cNvPr id="1705309088" name="Rectangle 117"/>
                        <wps:cNvSpPr>
                          <a:spLocks noChangeArrowheads="1"/>
                        </wps:cNvSpPr>
                        <wps:spPr bwMode="auto">
                          <a:xfrm>
                            <a:off x="5385" y="5475"/>
                            <a:ext cx="2685" cy="2895"/>
                          </a:xfrm>
                          <a:prstGeom prst="rect">
                            <a:avLst/>
                          </a:prstGeom>
                          <a:solidFill>
                            <a:srgbClr val="FFFFFF"/>
                          </a:solidFill>
                          <a:ln w="9525">
                            <a:solidFill>
                              <a:srgbClr val="000000"/>
                            </a:solidFill>
                            <a:miter lim="800000"/>
                            <a:headEnd/>
                            <a:tailEnd/>
                          </a:ln>
                        </wps:spPr>
                        <wps:txbx>
                          <w:txbxContent>
                            <w:p w14:paraId="397FF748" w14:textId="77777777" w:rsidR="00571B42" w:rsidRPr="002279C5" w:rsidRDefault="00571B42" w:rsidP="00662012">
                              <w:pPr>
                                <w:suppressAutoHyphens/>
                                <w:autoSpaceDE w:val="0"/>
                                <w:autoSpaceDN w:val="0"/>
                                <w:adjustRightInd w:val="0"/>
                                <w:jc w:val="center"/>
                                <w:rPr>
                                  <w:rFonts w:ascii="Times New Roman" w:hAnsi="Times New Roman" w:cs="Times New Roman"/>
                                  <w:sz w:val="28"/>
                                  <w:szCs w:val="28"/>
                                  <w:lang w:val="uk-UA"/>
                                </w:rPr>
                              </w:pPr>
                              <w:r w:rsidRPr="002279C5">
                                <w:rPr>
                                  <w:rFonts w:ascii="Times New Roman" w:eastAsia="Calibri" w:hAnsi="Times New Roman" w:cs="Times New Roman"/>
                                  <w:color w:val="0D0D0D"/>
                                  <w:sz w:val="28"/>
                                  <w:szCs w:val="28"/>
                                  <w:lang w:val="uk-UA" w:eastAsia="en-US"/>
                                </w:rPr>
                                <w:t xml:space="preserve">Обмежень на використання франчайзингу транснаціональними  виробниками туристичного продукту на рівні </w:t>
                              </w:r>
                              <w:r w:rsidRPr="002279C5">
                                <w:rPr>
                                  <w:rFonts w:ascii="Times New Roman" w:hAnsi="Times New Roman" w:cs="Times New Roman"/>
                                  <w:sz w:val="28"/>
                                  <w:szCs w:val="28"/>
                                  <w:lang w:val="uk-UA"/>
                                </w:rPr>
                                <w:t>локально-регіональних та макро-регіональних систем</w:t>
                              </w:r>
                            </w:p>
                          </w:txbxContent>
                        </wps:txbx>
                        <wps:bodyPr rot="0" vert="horz" wrap="square" lIns="91440" tIns="45720" rIns="91440" bIns="45720" anchor="t" anchorCtr="0" upright="1">
                          <a:noAutofit/>
                        </wps:bodyPr>
                      </wps:wsp>
                      <wps:wsp>
                        <wps:cNvPr id="1705309089" name="Rectangle 118"/>
                        <wps:cNvSpPr>
                          <a:spLocks noChangeArrowheads="1"/>
                        </wps:cNvSpPr>
                        <wps:spPr bwMode="auto">
                          <a:xfrm>
                            <a:off x="8580" y="2640"/>
                            <a:ext cx="2175" cy="435"/>
                          </a:xfrm>
                          <a:prstGeom prst="rect">
                            <a:avLst/>
                          </a:prstGeom>
                          <a:solidFill>
                            <a:srgbClr val="FFFFFF"/>
                          </a:solidFill>
                          <a:ln w="9525">
                            <a:solidFill>
                              <a:srgbClr val="000000"/>
                            </a:solidFill>
                            <a:miter lim="800000"/>
                            <a:headEnd/>
                            <a:tailEnd/>
                          </a:ln>
                        </wps:spPr>
                        <wps:txbx>
                          <w:txbxContent>
                            <w:p w14:paraId="5B2E610F"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В межах ГЕПТГ</w:t>
                              </w:r>
                            </w:p>
                          </w:txbxContent>
                        </wps:txbx>
                        <wps:bodyPr rot="0" vert="horz" wrap="square" lIns="91440" tIns="45720" rIns="91440" bIns="45720" anchor="t" anchorCtr="0" upright="1">
                          <a:noAutofit/>
                        </wps:bodyPr>
                      </wps:wsp>
                      <wps:wsp>
                        <wps:cNvPr id="1705309090" name="Rectangle 119"/>
                        <wps:cNvSpPr>
                          <a:spLocks noChangeArrowheads="1"/>
                        </wps:cNvSpPr>
                        <wps:spPr bwMode="auto">
                          <a:xfrm>
                            <a:off x="8595" y="3285"/>
                            <a:ext cx="2160" cy="960"/>
                          </a:xfrm>
                          <a:prstGeom prst="rect">
                            <a:avLst/>
                          </a:prstGeom>
                          <a:solidFill>
                            <a:srgbClr val="FFFFFF"/>
                          </a:solidFill>
                          <a:ln w="9525">
                            <a:solidFill>
                              <a:srgbClr val="000000"/>
                            </a:solidFill>
                            <a:miter lim="800000"/>
                            <a:headEnd/>
                            <a:tailEnd/>
                          </a:ln>
                        </wps:spPr>
                        <wps:txbx>
                          <w:txbxContent>
                            <w:p w14:paraId="6492C10C"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В межах окремих угруповань країн ЄС</w:t>
                              </w:r>
                            </w:p>
                          </w:txbxContent>
                        </wps:txbx>
                        <wps:bodyPr rot="0" vert="horz" wrap="square" lIns="91440" tIns="45720" rIns="91440" bIns="45720" anchor="t" anchorCtr="0" upright="1">
                          <a:noAutofit/>
                        </wps:bodyPr>
                      </wps:wsp>
                      <wps:wsp>
                        <wps:cNvPr id="1705309091" name="Rectangle 120"/>
                        <wps:cNvSpPr>
                          <a:spLocks noChangeArrowheads="1"/>
                        </wps:cNvSpPr>
                        <wps:spPr bwMode="auto">
                          <a:xfrm>
                            <a:off x="8625" y="4470"/>
                            <a:ext cx="2130" cy="1245"/>
                          </a:xfrm>
                          <a:prstGeom prst="rect">
                            <a:avLst/>
                          </a:prstGeom>
                          <a:solidFill>
                            <a:srgbClr val="FFFFFF"/>
                          </a:solidFill>
                          <a:ln w="9525">
                            <a:solidFill>
                              <a:srgbClr val="000000"/>
                            </a:solidFill>
                            <a:miter lim="800000"/>
                            <a:headEnd/>
                            <a:tailEnd/>
                          </a:ln>
                        </wps:spPr>
                        <wps:txbx>
                          <w:txbxContent>
                            <w:p w14:paraId="6F8F95D8"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На двосторонній основі між окремими країнами</w:t>
                              </w:r>
                            </w:p>
                          </w:txbxContent>
                        </wps:txbx>
                        <wps:bodyPr rot="0" vert="horz" wrap="square" lIns="91440" tIns="45720" rIns="91440" bIns="45720" anchor="t" anchorCtr="0" upright="1">
                          <a:noAutofit/>
                        </wps:bodyPr>
                      </wps:wsp>
                      <wps:wsp>
                        <wps:cNvPr id="1705309092" name="AutoShape 121"/>
                        <wps:cNvCnPr>
                          <a:cxnSpLocks noChangeShapeType="1"/>
                        </wps:cNvCnPr>
                        <wps:spPr bwMode="auto">
                          <a:xfrm>
                            <a:off x="4695" y="1725"/>
                            <a:ext cx="15" cy="2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093" name="AutoShape 122"/>
                        <wps:cNvCnPr>
                          <a:cxnSpLocks noChangeShapeType="1"/>
                        </wps:cNvCnPr>
                        <wps:spPr bwMode="auto">
                          <a:xfrm>
                            <a:off x="9585" y="1740"/>
                            <a:ext cx="0" cy="2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094" name="AutoShape 123"/>
                        <wps:cNvCnPr>
                          <a:cxnSpLocks noChangeShapeType="1"/>
                        </wps:cNvCnPr>
                        <wps:spPr bwMode="auto">
                          <a:xfrm>
                            <a:off x="2985" y="2415"/>
                            <a:ext cx="15" cy="2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095" name="AutoShape 124"/>
                        <wps:cNvCnPr>
                          <a:cxnSpLocks noChangeShapeType="1"/>
                        </wps:cNvCnPr>
                        <wps:spPr bwMode="auto">
                          <a:xfrm>
                            <a:off x="6465" y="2415"/>
                            <a:ext cx="15" cy="2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096" name="AutoShape 125"/>
                        <wps:cNvCnPr>
                          <a:cxnSpLocks noChangeShapeType="1"/>
                        </wps:cNvCnPr>
                        <wps:spPr bwMode="auto">
                          <a:xfrm>
                            <a:off x="4845" y="3090"/>
                            <a:ext cx="30" cy="4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5309097" name="AutoShape 126"/>
                        <wps:cNvCnPr>
                          <a:cxnSpLocks noChangeShapeType="1"/>
                        </wps:cNvCnPr>
                        <wps:spPr bwMode="auto">
                          <a:xfrm>
                            <a:off x="5220" y="3345"/>
                            <a:ext cx="0" cy="36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5309098" name="AutoShape 127"/>
                        <wps:cNvCnPr>
                          <a:cxnSpLocks noChangeShapeType="1"/>
                        </wps:cNvCnPr>
                        <wps:spPr bwMode="auto">
                          <a:xfrm flipV="1">
                            <a:off x="5235" y="7050"/>
                            <a:ext cx="15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099" name="AutoShape 128"/>
                        <wps:cNvCnPr>
                          <a:cxnSpLocks noChangeShapeType="1"/>
                        </wps:cNvCnPr>
                        <wps:spPr bwMode="auto">
                          <a:xfrm flipV="1">
                            <a:off x="5250" y="4515"/>
                            <a:ext cx="13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100" name="AutoShape 129"/>
                        <wps:cNvCnPr>
                          <a:cxnSpLocks noChangeShapeType="1"/>
                        </wps:cNvCnPr>
                        <wps:spPr bwMode="auto">
                          <a:xfrm flipH="1">
                            <a:off x="4710" y="7710"/>
                            <a:ext cx="1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101" name="AutoShape 130"/>
                        <wps:cNvCnPr>
                          <a:cxnSpLocks noChangeShapeType="1"/>
                        </wps:cNvCnPr>
                        <wps:spPr bwMode="auto">
                          <a:xfrm flipH="1">
                            <a:off x="4710" y="6000"/>
                            <a:ext cx="1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102" name="AutoShape 131"/>
                        <wps:cNvCnPr>
                          <a:cxnSpLocks noChangeShapeType="1"/>
                        </wps:cNvCnPr>
                        <wps:spPr bwMode="auto">
                          <a:xfrm flipH="1">
                            <a:off x="4695" y="4545"/>
                            <a:ext cx="16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103" name="AutoShape 132"/>
                        <wps:cNvCnPr>
                          <a:cxnSpLocks noChangeShapeType="1"/>
                        </wps:cNvCnPr>
                        <wps:spPr bwMode="auto">
                          <a:xfrm flipH="1">
                            <a:off x="4695" y="3630"/>
                            <a:ext cx="15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104" name="AutoShape 133"/>
                        <wps:cNvCnPr>
                          <a:cxnSpLocks noChangeShapeType="1"/>
                        </wps:cNvCnPr>
                        <wps:spPr bwMode="auto">
                          <a:xfrm>
                            <a:off x="8370" y="2430"/>
                            <a:ext cx="15" cy="27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5309105" name="AutoShape 134"/>
                        <wps:cNvCnPr>
                          <a:cxnSpLocks noChangeShapeType="1"/>
                        </wps:cNvCnPr>
                        <wps:spPr bwMode="auto">
                          <a:xfrm>
                            <a:off x="8415" y="5175"/>
                            <a:ext cx="2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106" name="AutoShape 135"/>
                        <wps:cNvCnPr>
                          <a:cxnSpLocks noChangeShapeType="1"/>
                        </wps:cNvCnPr>
                        <wps:spPr bwMode="auto">
                          <a:xfrm>
                            <a:off x="8385" y="3750"/>
                            <a:ext cx="2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107" name="AutoShape 136"/>
                        <wps:cNvCnPr>
                          <a:cxnSpLocks noChangeShapeType="1"/>
                        </wps:cNvCnPr>
                        <wps:spPr bwMode="auto">
                          <a:xfrm>
                            <a:off x="8400" y="2850"/>
                            <a:ext cx="1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55209C6" id="Группа 1705309076" o:spid="_x0000_s1414" style="position:absolute;left:0;text-align:left;margin-left:10.1pt;margin-top:-2.45pt;width:480.75pt;height:638.35pt;z-index:251695104;mso-position-horizontal-relative:text;mso-position-vertical-relative:text" coordorigin="1155,1260" coordsize="9615,7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">
                <v:rect id="Rectangle 107" o:spid="_x0000_s1415" style="position:absolute;left:1155;top:1260;width:961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">
                  <v:textbox>
                    <w:txbxContent>
                      <w:p w14:paraId="2F1E2C1F"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Державне регулювання міжнародної торгівлі туристичними продуктами</w:t>
                        </w:r>
                      </w:p>
                    </w:txbxContent>
                  </v:textbox>
                </v:rect>
                <v:rect id="Rectangle 108" o:spid="_x0000_s1416" style="position:absolute;left:1155;top:1950;width:690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">
                  <v:textbox>
                    <w:txbxContent>
                      <w:p w14:paraId="22304918"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Інструменти регулювання</w:t>
                        </w:r>
                      </w:p>
                    </w:txbxContent>
                  </v:textbox>
                </v:rect>
                <v:rect id="Rectangle 109" o:spid="_x0000_s1417" style="position:absolute;left:8250;top:1950;width:250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">
                  <v:textbox>
                    <w:txbxContent>
                      <w:p w14:paraId="52B9BE72"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Рівні лібералізації</w:t>
                        </w:r>
                      </w:p>
                    </w:txbxContent>
                  </v:textbox>
                </v:rect>
                <v:rect id="Rectangle 110" o:spid="_x0000_s1418" style="position:absolute;left:1155;top:2625;width:376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">
                  <v:textbox>
                    <w:txbxContent>
                      <w:p w14:paraId="3C14013A"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Засоби доступу до ринку</w:t>
                        </w:r>
                      </w:p>
                    </w:txbxContent>
                  </v:textbox>
                </v:rect>
                <v:rect id="Rectangle 111" o:spid="_x0000_s1419" style="position:absolute;left:5085;top:2625;width:2970;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">
                  <v:textbox>
                    <w:txbxContent>
                      <w:p w14:paraId="5449C34E"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Вилучення з національного режиму</w:t>
                        </w:r>
                      </w:p>
                    </w:txbxContent>
                  </v:textbox>
                </v:rect>
                <v:rect id="Rectangle 112" o:spid="_x0000_s1420" style="position:absolute;left:1155;top:3300;width:351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">
                  <v:textbox>
                    <w:txbxContent>
                      <w:p w14:paraId="3B238170"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Зняття обмеження на торгівлю туристичними послугами</w:t>
                        </w:r>
                      </w:p>
                    </w:txbxContent>
                  </v:textbox>
                </v:rect>
                <v:rect id="Rectangle 113" o:spid="_x0000_s1421" style="position:absolute;left:1155;top:4200;width:3525;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">
                  <v:textbox>
                    <w:txbxContent>
                      <w:p w14:paraId="3DD4DDD0"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Зняття квот на імпорт туристичних послуг</w:t>
                        </w:r>
                      </w:p>
                    </w:txbxContent>
                  </v:textbox>
                </v:rect>
                <v:rect id="Rectangle 114" o:spid="_x0000_s1422" style="position:absolute;left:1155;top:5115;width:3540;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">
                  <v:textbox>
                    <w:txbxContent>
                      <w:p w14:paraId="17650B23"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 xml:space="preserve">Зняття обмежень на створення на внутрішньому ринку мережевих структур транснаціональних </w:t>
                        </w:r>
                      </w:p>
                      <w:p w14:paraId="1A6909B2"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компаній – виробників туристичних продуктів</w:t>
                        </w:r>
                      </w:p>
                    </w:txbxContent>
                  </v:textbox>
                </v:rect>
                <v:rect id="Rectangle 115" o:spid="_x0000_s1423" style="position:absolute;left:1155;top:7080;width:3540;height:1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">
                  <v:textbox>
                    <w:txbxContent>
                      <w:p w14:paraId="50CB5B98"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 xml:space="preserve">Знання обмеження на переміщення </w:t>
                        </w:r>
                      </w:p>
                      <w:p w14:paraId="2485ABDD"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транснаціональних виробників туристичних продуктів</w:t>
                        </w:r>
                      </w:p>
                    </w:txbxContent>
                  </v:textbox>
                </v:rect>
                <v:rect id="Rectangle 116" o:spid="_x0000_s1424" style="position:absolute;left:5385;top:3510;width:2655;height: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">
                  <v:textbox>
                    <w:txbxContent>
                      <w:p w14:paraId="3C90B1C6"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Цінового диспаритету між місцевими та транснаціональними  виробникам туристичного продукту</w:t>
                        </w:r>
                      </w:p>
                    </w:txbxContent>
                  </v:textbox>
                </v:rect>
                <v:rect id="Rectangle 117" o:spid="_x0000_s1425" style="position:absolute;left:5385;top:5475;width:2685;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">
                  <v:textbox>
                    <w:txbxContent>
                      <w:p w14:paraId="397FF748" w14:textId="77777777" w:rsidR="00571B42" w:rsidRPr="002279C5" w:rsidRDefault="00571B42" w:rsidP="00662012">
                        <w:pPr>
                          <w:suppressAutoHyphens/>
                          <w:autoSpaceDE w:val="0"/>
                          <w:autoSpaceDN w:val="0"/>
                          <w:adjustRightInd w:val="0"/>
                          <w:jc w:val="center"/>
                          <w:rPr>
                            <w:rFonts w:ascii="Times New Roman" w:hAnsi="Times New Roman" w:cs="Times New Roman"/>
                            <w:sz w:val="28"/>
                            <w:szCs w:val="28"/>
                            <w:lang w:val="uk-UA"/>
                          </w:rPr>
                        </w:pPr>
                        <w:r w:rsidRPr="002279C5">
                          <w:rPr>
                            <w:rFonts w:ascii="Times New Roman" w:eastAsia="Calibri" w:hAnsi="Times New Roman" w:cs="Times New Roman"/>
                            <w:color w:val="0D0D0D"/>
                            <w:sz w:val="28"/>
                            <w:szCs w:val="28"/>
                            <w:lang w:val="uk-UA" w:eastAsia="en-US"/>
                          </w:rPr>
                          <w:t xml:space="preserve">Обмежень на використання франчайзингу транснаціональними  виробниками туристичного продукту на рівні </w:t>
                        </w:r>
                        <w:r w:rsidRPr="002279C5">
                          <w:rPr>
                            <w:rFonts w:ascii="Times New Roman" w:hAnsi="Times New Roman" w:cs="Times New Roman"/>
                            <w:sz w:val="28"/>
                            <w:szCs w:val="28"/>
                            <w:lang w:val="uk-UA"/>
                          </w:rPr>
                          <w:t>локально-регіональних та макро-регіональних систем</w:t>
                        </w:r>
                      </w:p>
                    </w:txbxContent>
                  </v:textbox>
                </v:rect>
                <v:rect id="Rectangle 118" o:spid="_x0000_s1426" style="position:absolute;left:8580;top:2640;width:2175;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">
                  <v:textbox>
                    <w:txbxContent>
                      <w:p w14:paraId="5B2E610F"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В межах ГЕПТГ</w:t>
                        </w:r>
                      </w:p>
                    </w:txbxContent>
                  </v:textbox>
                </v:rect>
                <v:rect id="Rectangle 119" o:spid="_x0000_s1427" style="position:absolute;left:8595;top:3285;width:2160;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">
                  <v:textbox>
                    <w:txbxContent>
                      <w:p w14:paraId="6492C10C"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В межах окремих угруповань країн ЄС</w:t>
                        </w:r>
                      </w:p>
                    </w:txbxContent>
                  </v:textbox>
                </v:rect>
                <v:rect id="Rectangle 120" o:spid="_x0000_s1428" style="position:absolute;left:8625;top:4470;width:2130;height:1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">
                  <v:textbox>
                    <w:txbxContent>
                      <w:p w14:paraId="6F8F95D8" w14:textId="77777777" w:rsidR="00571B42" w:rsidRPr="002279C5" w:rsidRDefault="00571B42" w:rsidP="00662012">
                        <w:pPr>
                          <w:suppressAutoHyphens/>
                          <w:autoSpaceDE w:val="0"/>
                          <w:autoSpaceDN w:val="0"/>
                          <w:adjustRightInd w:val="0"/>
                          <w:jc w:val="center"/>
                          <w:rPr>
                            <w:rFonts w:ascii="Times New Roman" w:eastAsia="Calibri" w:hAnsi="Times New Roman" w:cs="Times New Roman"/>
                            <w:color w:val="0D0D0D"/>
                            <w:sz w:val="28"/>
                            <w:szCs w:val="28"/>
                            <w:lang w:val="uk-UA" w:eastAsia="en-US"/>
                          </w:rPr>
                        </w:pPr>
                        <w:r w:rsidRPr="002279C5">
                          <w:rPr>
                            <w:rFonts w:ascii="Times New Roman" w:eastAsia="Calibri" w:hAnsi="Times New Roman" w:cs="Times New Roman"/>
                            <w:color w:val="0D0D0D"/>
                            <w:sz w:val="28"/>
                            <w:szCs w:val="28"/>
                            <w:lang w:val="uk-UA" w:eastAsia="en-US"/>
                          </w:rPr>
                          <w:t>На двосторонній основі між окремими країнами</w:t>
                        </w:r>
                      </w:p>
                    </w:txbxContent>
                  </v:textbox>
                </v:rect>
                <v:shape id="AutoShape 121" o:spid="_x0000_s1429" type="#_x0000_t32" style="position:absolute;left:4695;top:1725;width:15;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">
                  <v:stroke endarrow="block"/>
                </v:shape>
                <v:shape id="AutoShape 122" o:spid="_x0000_s1430" type="#_x0000_t32" style="position:absolute;left:9585;top:1740;width:0;height:2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">
                  <v:stroke endarrow="block"/>
                </v:shape>
                <v:shape id="AutoShape 123" o:spid="_x0000_s1431" type="#_x0000_t32" style="position:absolute;left:2985;top:2415;width:15;height:2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">
                  <v:stroke endarrow="block"/>
                </v:shape>
                <v:shape id="AutoShape 124" o:spid="_x0000_s1432" type="#_x0000_t32" style="position:absolute;left:6465;top:2415;width:15;height: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">
                  <v:stroke endarrow="block"/>
                </v:shape>
                <v:shape id="AutoShape 125" o:spid="_x0000_s1433" type="#_x0000_t32" style="position:absolute;left:4845;top:3090;width:30;height:4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"/>
                <v:shape id="AutoShape 126" o:spid="_x0000_s1434" type="#_x0000_t32" style="position:absolute;left:5220;top:3345;width:0;height:36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"/>
                <v:shape id="AutoShape 127" o:spid="_x0000_s1435" type="#_x0000_t32" style="position:absolute;left:5235;top:7050;width:150;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">
                  <v:stroke endarrow="block"/>
                </v:shape>
                <v:shape id="AutoShape 128" o:spid="_x0000_s1436" type="#_x0000_t32" style="position:absolute;left:5250;top:4515;width:135;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">
                  <v:stroke endarrow="block"/>
                </v:shape>
                <v:shape id="AutoShape 129" o:spid="_x0000_s1437" type="#_x0000_t32" style="position:absolute;left:4710;top:7710;width:18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">
                  <v:stroke endarrow="block"/>
                </v:shape>
                <v:shape id="AutoShape 130" o:spid="_x0000_s1438" type="#_x0000_t32" style="position:absolute;left:4710;top:6000;width:15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">
                  <v:stroke endarrow="block"/>
                </v:shape>
                <v:shape id="AutoShape 131" o:spid="_x0000_s1439" type="#_x0000_t32" style="position:absolute;left:4695;top:4545;width:165;height: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">
                  <v:stroke endarrow="block"/>
                </v:shape>
                <v:shape id="AutoShape 132" o:spid="_x0000_s1440" type="#_x0000_t32" style="position:absolute;left:4695;top:3630;width:150;height: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">
                  <v:stroke endarrow="block"/>
                </v:shape>
                <v:shape id="AutoShape 133" o:spid="_x0000_s1441" type="#_x0000_t32" style="position:absolute;left:8370;top:2430;width:15;height:27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"/>
                <v:shape id="AutoShape 134" o:spid="_x0000_s1442" type="#_x0000_t32" style="position:absolute;left:8415;top:5175;width:2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">
                  <v:stroke endarrow="block"/>
                </v:shape>
                <v:shape id="AutoShape 135" o:spid="_x0000_s1443" type="#_x0000_t32" style="position:absolute;left:8385;top:3750;width:2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">
                  <v:stroke endarrow="block"/>
                </v:shape>
                <v:shape id="AutoShape 136" o:spid="_x0000_s1444" type="#_x0000_t32" style="position:absolute;left:8400;top:2850;width:19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">
                  <v:stroke endarrow="block"/>
                </v:shape>
              </v:group>
            </w:pict>
          </mc:Fallback>
        </mc:AlternateContent>
      </w:r>
    </w:p>
    <w:p w14:paraId="292CFC5C" w14:textId="32917CA1" w:rsidR="002279C5" w:rsidRPr="005F0419" w:rsidRDefault="002279C5"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p>
    <w:p w14:paraId="7493832F" w14:textId="6D43A0CD" w:rsidR="002279C5" w:rsidRPr="005F0419" w:rsidRDefault="002279C5"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p>
    <w:p w14:paraId="1614A05B" w14:textId="677E5B3E" w:rsidR="002279C5" w:rsidRPr="005F0419" w:rsidRDefault="002279C5"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p>
    <w:p w14:paraId="70E12311" w14:textId="558E9350"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080B3B37"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31EB6028"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2DD4BAB2"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550B022C"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225F4514"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3BE9C3BE"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120721B3"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36A4830E"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60447E4F"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3EAE8ED1"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49A9B3E7"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0E6785CE"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3484DDFE"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68452EEA"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4125B873"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5F21EDC4"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33AB57D0"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4F5497B6"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7B4CF017"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51A38D6D"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0A757E2B"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5875FCDB"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4172311B" w14:textId="77777777" w:rsidR="00662012" w:rsidRPr="005F0419" w:rsidRDefault="00662012" w:rsidP="00662012">
      <w:pPr>
        <w:suppressAutoHyphens/>
        <w:autoSpaceDE w:val="0"/>
        <w:autoSpaceDN w:val="0"/>
        <w:adjustRightInd w:val="0"/>
        <w:spacing w:after="0" w:line="360" w:lineRule="auto"/>
        <w:ind w:firstLine="720"/>
        <w:jc w:val="center"/>
        <w:rPr>
          <w:rFonts w:ascii="Times New Roman" w:hAnsi="Times New Roman" w:cs="Times New Roman"/>
          <w:spacing w:val="-3"/>
          <w:sz w:val="28"/>
          <w:szCs w:val="28"/>
          <w:lang w:val="uk-UA"/>
        </w:rPr>
      </w:pPr>
      <w:r w:rsidRPr="005F0419">
        <w:rPr>
          <w:rFonts w:ascii="Times New Roman" w:hAnsi="Times New Roman" w:cs="Times New Roman"/>
          <w:spacing w:val="-3"/>
          <w:sz w:val="28"/>
          <w:szCs w:val="28"/>
          <w:lang w:val="uk-UA"/>
        </w:rPr>
        <w:t xml:space="preserve">Рис. 12. </w:t>
      </w:r>
      <w:r w:rsidRPr="005F0419">
        <w:rPr>
          <w:rFonts w:ascii="Times New Roman" w:eastAsia="Calibri" w:hAnsi="Times New Roman" w:cs="Times New Roman"/>
          <w:sz w:val="28"/>
          <w:szCs w:val="28"/>
          <w:lang w:val="uk-UA" w:eastAsia="en-US"/>
        </w:rPr>
        <w:t>Регулювання міжнародної торгівлі туристичними продуктами</w:t>
      </w:r>
    </w:p>
    <w:p w14:paraId="54D2A097" w14:textId="4FFF255E"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 [51–53]</w:t>
      </w:r>
      <w:r w:rsidR="002279C5" w:rsidRPr="005F0419">
        <w:rPr>
          <w:rFonts w:ascii="Times New Roman" w:eastAsia="Calibri" w:hAnsi="Times New Roman" w:cs="Times New Roman"/>
          <w:sz w:val="28"/>
          <w:szCs w:val="28"/>
          <w:lang w:val="uk-UA" w:eastAsia="en-US"/>
        </w:rPr>
        <w:t>.</w:t>
      </w:r>
    </w:p>
    <w:p w14:paraId="2F679B25"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p>
    <w:p w14:paraId="34B7AF90"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r w:rsidRPr="005F0419">
        <w:rPr>
          <w:rStyle w:val="rynqvb"/>
          <w:rFonts w:ascii="Times New Roman" w:eastAsia="Calibri" w:hAnsi="Times New Roman" w:cs="Times New Roman"/>
          <w:sz w:val="28"/>
          <w:szCs w:val="28"/>
          <w:lang w:val="uk-UA"/>
        </w:rPr>
        <w:lastRenderedPageBreak/>
        <w:t>Слід загострити увагу на тому, що популярності з кожним роком набуває в нашій країні система управління туристичним бізнесом на основі укладання договорів франшизи. Одні вчені наголошують на тому, що франчайзинг – це форма стратегічного довгострокового бізнес-партнерства, в процесі реалізації якої велика туристична компанія надає індивідуальному підприємцю або групі підприємців ліцензію (франшизу) на виробництво комплексного туристичного продукту (надання комплексу туристичних послуг) під торговою маркою</w:t>
      </w:r>
      <w:r w:rsidRPr="005F0419">
        <w:rPr>
          <w:rStyle w:val="hwtze"/>
          <w:rFonts w:ascii="Times New Roman" w:eastAsia="Calibri" w:hAnsi="Times New Roman" w:cs="Times New Roman"/>
          <w:sz w:val="28"/>
          <w:szCs w:val="28"/>
          <w:lang w:val="uk-UA"/>
        </w:rPr>
        <w:t xml:space="preserve"> </w:t>
      </w:r>
      <w:r w:rsidRPr="005F0419">
        <w:rPr>
          <w:rStyle w:val="rynqvb"/>
          <w:rFonts w:ascii="Times New Roman" w:eastAsia="Calibri" w:hAnsi="Times New Roman" w:cs="Times New Roman"/>
          <w:sz w:val="28"/>
          <w:szCs w:val="28"/>
          <w:lang w:val="uk-UA"/>
        </w:rPr>
        <w:t xml:space="preserve">цієї компанії на обмеженій території на оговорений період і на умовах, визначених договором </w:t>
      </w:r>
      <w:r w:rsidRPr="005F0419">
        <w:rPr>
          <w:rFonts w:ascii="Times New Roman" w:eastAsia="Calibri" w:hAnsi="Times New Roman" w:cs="Times New Roman"/>
          <w:sz w:val="28"/>
          <w:szCs w:val="28"/>
          <w:lang w:val="uk-UA" w:eastAsia="en-US"/>
        </w:rPr>
        <w:t>[13]</w:t>
      </w:r>
      <w:r w:rsidRPr="005F0419">
        <w:rPr>
          <w:rStyle w:val="rynqvb"/>
          <w:rFonts w:ascii="Times New Roman" w:eastAsia="Calibri" w:hAnsi="Times New Roman" w:cs="Times New Roman"/>
          <w:sz w:val="28"/>
          <w:szCs w:val="28"/>
          <w:lang w:val="uk-UA"/>
        </w:rPr>
        <w:t>.</w:t>
      </w:r>
      <w:r w:rsidRPr="005F0419">
        <w:rPr>
          <w:rStyle w:val="hwtze"/>
          <w:rFonts w:ascii="Times New Roman" w:eastAsia="Calibri" w:hAnsi="Times New Roman" w:cs="Times New Roman"/>
          <w:sz w:val="28"/>
          <w:szCs w:val="28"/>
          <w:lang w:val="uk-UA"/>
        </w:rPr>
        <w:t xml:space="preserve"> Інші дослідники визначають </w:t>
      </w:r>
      <w:r w:rsidRPr="005F0419">
        <w:rPr>
          <w:rStyle w:val="rynqvb"/>
          <w:rFonts w:ascii="Times New Roman" w:eastAsia="Calibri" w:hAnsi="Times New Roman" w:cs="Times New Roman"/>
          <w:sz w:val="28"/>
          <w:szCs w:val="28"/>
          <w:lang w:val="uk-UA"/>
        </w:rPr>
        <w:t xml:space="preserve">франчайзинг як процес створення, організації, підтримки життєдіяльності, розвитку франчайзингової системи за допомогою власників незалежних підприємств </w:t>
      </w:r>
      <w:r w:rsidRPr="005F0419">
        <w:rPr>
          <w:rFonts w:ascii="Times New Roman" w:eastAsia="Calibri" w:hAnsi="Times New Roman" w:cs="Times New Roman"/>
          <w:sz w:val="28"/>
          <w:szCs w:val="28"/>
          <w:lang w:val="uk-UA" w:eastAsia="en-US"/>
        </w:rPr>
        <w:t>[54]</w:t>
      </w:r>
      <w:r w:rsidRPr="005F0419">
        <w:rPr>
          <w:rStyle w:val="rynqvb"/>
          <w:rFonts w:ascii="Times New Roman" w:eastAsia="Calibri" w:hAnsi="Times New Roman" w:cs="Times New Roman"/>
          <w:sz w:val="28"/>
          <w:szCs w:val="28"/>
          <w:lang w:val="uk-UA"/>
        </w:rPr>
        <w:t>. Також існує наукова думка, що франчайзинг є організацією бізнесу, при якій компанія (</w:t>
      </w:r>
      <w:proofErr w:type="spellStart"/>
      <w:r w:rsidRPr="005F0419">
        <w:rPr>
          <w:rStyle w:val="rynqvb"/>
          <w:rFonts w:ascii="Times New Roman" w:eastAsia="Calibri" w:hAnsi="Times New Roman" w:cs="Times New Roman"/>
          <w:sz w:val="28"/>
          <w:szCs w:val="28"/>
          <w:lang w:val="uk-UA"/>
        </w:rPr>
        <w:t>франчайзер</w:t>
      </w:r>
      <w:proofErr w:type="spellEnd"/>
      <w:r w:rsidRPr="005F0419">
        <w:rPr>
          <w:rStyle w:val="rynqvb"/>
          <w:rFonts w:ascii="Times New Roman" w:eastAsia="Calibri" w:hAnsi="Times New Roman" w:cs="Times New Roman"/>
          <w:sz w:val="28"/>
          <w:szCs w:val="28"/>
          <w:lang w:val="uk-UA"/>
        </w:rPr>
        <w:t xml:space="preserve">) передає особі чи компанії (франчайзі) право на продаж продукції і послуг компанії </w:t>
      </w:r>
      <w:r w:rsidRPr="005F0419">
        <w:rPr>
          <w:rFonts w:ascii="Times New Roman" w:eastAsia="Calibri" w:hAnsi="Times New Roman" w:cs="Times New Roman"/>
          <w:sz w:val="28"/>
          <w:szCs w:val="28"/>
          <w:lang w:val="uk-UA" w:eastAsia="en-US"/>
        </w:rPr>
        <w:t>[55]</w:t>
      </w:r>
      <w:r w:rsidRPr="005F0419">
        <w:rPr>
          <w:rStyle w:val="rynqvb"/>
          <w:rFonts w:ascii="Times New Roman" w:eastAsia="Calibri" w:hAnsi="Times New Roman" w:cs="Times New Roman"/>
          <w:sz w:val="28"/>
          <w:szCs w:val="28"/>
          <w:lang w:val="uk-UA"/>
        </w:rPr>
        <w:t>.</w:t>
      </w:r>
    </w:p>
    <w:p w14:paraId="05D6E7FB"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hAnsi="Times New Roman" w:cs="Times New Roman"/>
          <w:spacing w:val="-3"/>
          <w:sz w:val="28"/>
          <w:szCs w:val="28"/>
          <w:lang w:val="uk-UA"/>
        </w:rPr>
      </w:pPr>
      <w:r w:rsidRPr="005F0419">
        <w:rPr>
          <w:rStyle w:val="rynqvb"/>
          <w:rFonts w:ascii="Times New Roman" w:eastAsia="Calibri" w:hAnsi="Times New Roman" w:cs="Times New Roman"/>
          <w:sz w:val="28"/>
          <w:szCs w:val="28"/>
          <w:lang w:val="uk-UA"/>
        </w:rPr>
        <w:t xml:space="preserve">Франчайзинг в Україні користується попитом у представників готельного і ресторанного бізнесу, які працюють на внутрішньому ринку. Можна виділити такі франчайзингові мережі: </w:t>
      </w:r>
      <w:proofErr w:type="spellStart"/>
      <w:r w:rsidRPr="005F0419">
        <w:rPr>
          <w:rStyle w:val="rynqvb"/>
          <w:rFonts w:ascii="Times New Roman" w:eastAsia="Calibri" w:hAnsi="Times New Roman" w:cs="Times New Roman"/>
          <w:sz w:val="28"/>
          <w:szCs w:val="28"/>
          <w:lang w:val="uk-UA"/>
        </w:rPr>
        <w:t>Hyatt</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Ramada</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Radisson</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Hotels</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Holiday</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Inn</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Accor</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Premier</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Palace</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Hotel</w:t>
      </w:r>
      <w:proofErr w:type="spellEnd"/>
      <w:r w:rsidRPr="005F0419">
        <w:rPr>
          <w:rStyle w:val="rynqvb"/>
          <w:rFonts w:ascii="Times New Roman" w:eastAsia="Calibri" w:hAnsi="Times New Roman" w:cs="Times New Roman"/>
          <w:sz w:val="28"/>
          <w:szCs w:val="28"/>
          <w:lang w:val="uk-UA"/>
        </w:rPr>
        <w:t>.</w:t>
      </w:r>
      <w:r w:rsidRPr="005F0419">
        <w:rPr>
          <w:rStyle w:val="hwtze"/>
          <w:rFonts w:ascii="Times New Roman" w:eastAsia="Calibri" w:hAnsi="Times New Roman" w:cs="Times New Roman"/>
          <w:sz w:val="28"/>
          <w:szCs w:val="28"/>
          <w:lang w:val="uk-UA"/>
        </w:rPr>
        <w:t xml:space="preserve"> </w:t>
      </w:r>
      <w:r w:rsidRPr="005F0419">
        <w:rPr>
          <w:rStyle w:val="rynqvb"/>
          <w:rFonts w:ascii="Times New Roman" w:eastAsia="Calibri" w:hAnsi="Times New Roman" w:cs="Times New Roman"/>
          <w:sz w:val="28"/>
          <w:szCs w:val="28"/>
          <w:lang w:val="uk-UA"/>
        </w:rPr>
        <w:t xml:space="preserve">Також використовують франчайзинг мережі туристичних агентств: </w:t>
      </w:r>
      <w:proofErr w:type="spellStart"/>
      <w:r w:rsidRPr="005F0419">
        <w:rPr>
          <w:rStyle w:val="rynqvb"/>
          <w:rFonts w:ascii="Times New Roman" w:eastAsia="Calibri" w:hAnsi="Times New Roman" w:cs="Times New Roman"/>
          <w:sz w:val="28"/>
          <w:szCs w:val="28"/>
          <w:lang w:val="uk-UA"/>
        </w:rPr>
        <w:t>Coral</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Travel</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Hot</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Travel</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Agency</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Go</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with</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us</w:t>
      </w:r>
      <w:proofErr w:type="spellEnd"/>
      <w:r w:rsidRPr="005F0419">
        <w:rPr>
          <w:rStyle w:val="rynqvb"/>
          <w:rFonts w:ascii="Times New Roman" w:eastAsia="Calibri" w:hAnsi="Times New Roman" w:cs="Times New Roman"/>
          <w:sz w:val="28"/>
          <w:szCs w:val="28"/>
          <w:lang w:val="uk-UA"/>
        </w:rPr>
        <w:t>.</w:t>
      </w:r>
      <w:r w:rsidRPr="005F0419">
        <w:rPr>
          <w:rStyle w:val="hwtze"/>
          <w:rFonts w:ascii="Times New Roman" w:eastAsia="Calibri" w:hAnsi="Times New Roman" w:cs="Times New Roman"/>
          <w:sz w:val="28"/>
          <w:szCs w:val="28"/>
          <w:lang w:val="uk-UA"/>
        </w:rPr>
        <w:t xml:space="preserve"> </w:t>
      </w:r>
      <w:r w:rsidRPr="005F0419">
        <w:rPr>
          <w:rStyle w:val="rynqvb"/>
          <w:rFonts w:ascii="Times New Roman" w:eastAsia="Calibri" w:hAnsi="Times New Roman" w:cs="Times New Roman"/>
          <w:sz w:val="28"/>
          <w:szCs w:val="28"/>
          <w:lang w:val="uk-UA"/>
        </w:rPr>
        <w:t>Наявність значних переваг учасників франчайзингових відносин пояснює привабливість франчайзингу.</w:t>
      </w:r>
    </w:p>
    <w:p w14:paraId="53F719DF" w14:textId="436A42C7" w:rsidR="002279C5" w:rsidRPr="005F0419" w:rsidRDefault="00662012" w:rsidP="002279C5">
      <w:pPr>
        <w:suppressAutoHyphens/>
        <w:autoSpaceDE w:val="0"/>
        <w:autoSpaceDN w:val="0"/>
        <w:adjustRightInd w:val="0"/>
        <w:spacing w:after="0" w:line="360" w:lineRule="auto"/>
        <w:ind w:firstLine="720"/>
        <w:jc w:val="both"/>
        <w:rPr>
          <w:rStyle w:val="hwtze"/>
          <w:rFonts w:ascii="Times New Roman" w:eastAsia="Calibri" w:hAnsi="Times New Roman" w:cs="Times New Roman"/>
          <w:sz w:val="28"/>
          <w:szCs w:val="28"/>
          <w:lang w:val="uk-UA"/>
        </w:rPr>
      </w:pPr>
      <w:r w:rsidRPr="005F0419">
        <w:rPr>
          <w:rStyle w:val="rynqvb"/>
          <w:rFonts w:ascii="Times New Roman" w:eastAsia="Calibri" w:hAnsi="Times New Roman" w:cs="Times New Roman"/>
          <w:sz w:val="28"/>
          <w:szCs w:val="28"/>
          <w:lang w:val="uk-UA"/>
        </w:rPr>
        <w:t>Франчайзингова угода надає мікропідприємствам та МСП туристичного бізнесу стабільний прибуток, а для відомих фірм і компаній індустрії туризму – це можливість розширити та зміцнити конкурентні позиції на туристичному ринку.</w:t>
      </w:r>
      <w:r w:rsidRPr="005F0419">
        <w:rPr>
          <w:rStyle w:val="hwtze"/>
          <w:rFonts w:ascii="Times New Roman" w:eastAsia="Calibri" w:hAnsi="Times New Roman" w:cs="Times New Roman"/>
          <w:sz w:val="28"/>
          <w:szCs w:val="28"/>
          <w:lang w:val="uk-UA"/>
        </w:rPr>
        <w:t xml:space="preserve"> </w:t>
      </w:r>
      <w:r w:rsidRPr="005F0419">
        <w:rPr>
          <w:rStyle w:val="rynqvb"/>
          <w:rFonts w:ascii="Times New Roman" w:eastAsia="Calibri" w:hAnsi="Times New Roman" w:cs="Times New Roman"/>
          <w:sz w:val="28"/>
          <w:szCs w:val="28"/>
          <w:lang w:val="uk-UA"/>
        </w:rPr>
        <w:t>Досвід туристичного бізнесу Канади, Західної Європи, Австралії, Японії, країн Тихоокеанського регіону доводить велику популярність франчайзингу у світі.</w:t>
      </w:r>
      <w:r w:rsidRPr="005F0419">
        <w:rPr>
          <w:rStyle w:val="hwtze"/>
          <w:rFonts w:ascii="Times New Roman" w:eastAsia="Calibri" w:hAnsi="Times New Roman" w:cs="Times New Roman"/>
          <w:sz w:val="28"/>
          <w:szCs w:val="28"/>
          <w:lang w:val="uk-UA"/>
        </w:rPr>
        <w:t xml:space="preserve"> Тобто, у повоєнному періоді відновлення індустрії туризму в нашій країні поширення </w:t>
      </w:r>
      <w:r w:rsidRPr="005F0419">
        <w:rPr>
          <w:rStyle w:val="rynqvb"/>
          <w:rFonts w:ascii="Times New Roman" w:eastAsia="Calibri" w:hAnsi="Times New Roman" w:cs="Times New Roman"/>
          <w:sz w:val="28"/>
          <w:szCs w:val="28"/>
          <w:lang w:val="uk-UA"/>
        </w:rPr>
        <w:t xml:space="preserve">розвитку франчайзингу на ринку надання туристичних послуг може бути однією з найбільш ефективніших форм підтримки мікропідприємств та МСП в регіональних туристичних </w:t>
      </w:r>
      <w:proofErr w:type="spellStart"/>
      <w:r w:rsidRPr="005F0419">
        <w:rPr>
          <w:rStyle w:val="rynqvb"/>
          <w:rFonts w:ascii="Times New Roman" w:eastAsia="Calibri" w:hAnsi="Times New Roman" w:cs="Times New Roman"/>
          <w:sz w:val="28"/>
          <w:szCs w:val="28"/>
          <w:lang w:val="uk-UA"/>
        </w:rPr>
        <w:t>дестинаціях</w:t>
      </w:r>
      <w:proofErr w:type="spellEnd"/>
      <w:r w:rsidRPr="005F0419">
        <w:rPr>
          <w:rStyle w:val="rynqvb"/>
          <w:rFonts w:ascii="Times New Roman" w:eastAsia="Calibri" w:hAnsi="Times New Roman" w:cs="Times New Roman"/>
          <w:sz w:val="28"/>
          <w:szCs w:val="28"/>
          <w:lang w:val="uk-UA"/>
        </w:rPr>
        <w:t xml:space="preserve"> </w:t>
      </w:r>
      <w:r w:rsidRPr="005F0419">
        <w:rPr>
          <w:rFonts w:ascii="Times New Roman" w:eastAsia="Calibri" w:hAnsi="Times New Roman" w:cs="Times New Roman"/>
          <w:sz w:val="28"/>
          <w:szCs w:val="28"/>
          <w:lang w:val="uk-UA" w:eastAsia="en-US"/>
        </w:rPr>
        <w:t>[55]</w:t>
      </w:r>
      <w:r w:rsidRPr="005F0419">
        <w:rPr>
          <w:rStyle w:val="rynqvb"/>
          <w:rFonts w:ascii="Times New Roman" w:eastAsia="Calibri" w:hAnsi="Times New Roman" w:cs="Times New Roman"/>
          <w:sz w:val="28"/>
          <w:szCs w:val="28"/>
          <w:lang w:val="uk-UA"/>
        </w:rPr>
        <w:t xml:space="preserve">. </w:t>
      </w:r>
      <w:r w:rsidR="002279C5" w:rsidRPr="005F0419">
        <w:rPr>
          <w:rStyle w:val="rynqvb"/>
          <w:rFonts w:ascii="Times New Roman" w:eastAsia="Calibri" w:hAnsi="Times New Roman" w:cs="Times New Roman"/>
          <w:sz w:val="28"/>
          <w:szCs w:val="28"/>
          <w:lang w:val="uk-UA"/>
        </w:rPr>
        <w:t xml:space="preserve">Враховуючи особливості територіальної організації в стратегії відновлення потенціалу міжнародного співробітництва України на різних рівнях розвитку туристичних </w:t>
      </w:r>
      <w:proofErr w:type="spellStart"/>
      <w:r w:rsidR="002279C5" w:rsidRPr="005F0419">
        <w:rPr>
          <w:rStyle w:val="rynqvb"/>
          <w:rFonts w:ascii="Times New Roman" w:eastAsia="Calibri" w:hAnsi="Times New Roman" w:cs="Times New Roman"/>
          <w:sz w:val="28"/>
          <w:szCs w:val="28"/>
          <w:lang w:val="uk-UA"/>
        </w:rPr>
        <w:t>дестинацій</w:t>
      </w:r>
      <w:proofErr w:type="spellEnd"/>
      <w:r w:rsidR="002279C5" w:rsidRPr="005F0419">
        <w:rPr>
          <w:rStyle w:val="rynqvb"/>
          <w:rFonts w:ascii="Times New Roman" w:eastAsia="Calibri" w:hAnsi="Times New Roman" w:cs="Times New Roman"/>
          <w:sz w:val="28"/>
          <w:szCs w:val="28"/>
          <w:lang w:val="uk-UA"/>
        </w:rPr>
        <w:t xml:space="preserve"> у </w:t>
      </w:r>
      <w:r w:rsidR="002279C5" w:rsidRPr="005F0419">
        <w:rPr>
          <w:rStyle w:val="rynqvb"/>
          <w:rFonts w:ascii="Times New Roman" w:eastAsia="Calibri" w:hAnsi="Times New Roman" w:cs="Times New Roman"/>
          <w:sz w:val="28"/>
          <w:szCs w:val="28"/>
          <w:lang w:val="uk-UA"/>
        </w:rPr>
        <w:lastRenderedPageBreak/>
        <w:t>якості полікультурної форми функціонування української індустрії туризму в геоекономічному просторі міжнаціонального туристично-рекреаційного бізнесу</w:t>
      </w:r>
      <w:r w:rsidR="002279C5" w:rsidRPr="005F0419">
        <w:rPr>
          <w:rStyle w:val="hwtze"/>
          <w:rFonts w:ascii="Times New Roman" w:eastAsia="Calibri" w:hAnsi="Times New Roman" w:cs="Times New Roman"/>
          <w:sz w:val="28"/>
          <w:szCs w:val="28"/>
          <w:lang w:val="uk-UA"/>
        </w:rPr>
        <w:t xml:space="preserve"> </w:t>
      </w:r>
      <w:r w:rsidR="002279C5" w:rsidRPr="005F0419">
        <w:rPr>
          <w:rFonts w:ascii="Times New Roman" w:hAnsi="Times New Roman" w:cs="Times New Roman"/>
          <w:noProof/>
          <w:spacing w:val="-3"/>
          <w:sz w:val="28"/>
          <w:szCs w:val="28"/>
          <w:lang w:val="uk-UA"/>
        </w:rPr>
        <mc:AlternateContent>
          <mc:Choice Requires="wpg">
            <w:drawing>
              <wp:anchor distT="0" distB="0" distL="114300" distR="114300" simplePos="0" relativeHeight="251712512" behindDoc="0" locked="0" layoutInCell="1" allowOverlap="1" wp14:anchorId="452E725F" wp14:editId="35E6EC47">
                <wp:simplePos x="0" y="0"/>
                <wp:positionH relativeFrom="column">
                  <wp:posOffset>-14412</wp:posOffset>
                </wp:positionH>
                <wp:positionV relativeFrom="paragraph">
                  <wp:posOffset>929806</wp:posOffset>
                </wp:positionV>
                <wp:extent cx="6105525" cy="7036904"/>
                <wp:effectExtent l="0" t="0" r="28575" b="12065"/>
                <wp:wrapNone/>
                <wp:docPr id="1705309061" name="Группа 17053090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05525" cy="7036904"/>
                          <a:chOff x="1155" y="1206"/>
                          <a:chExt cx="9615" cy="7944"/>
                        </a:xfrm>
                      </wpg:grpSpPr>
                      <wps:wsp>
                        <wps:cNvPr id="1705309062" name="Rectangle 138"/>
                        <wps:cNvSpPr>
                          <a:spLocks noChangeArrowheads="1"/>
                        </wps:cNvSpPr>
                        <wps:spPr bwMode="auto">
                          <a:xfrm>
                            <a:off x="1185" y="1206"/>
                            <a:ext cx="9585" cy="750"/>
                          </a:xfrm>
                          <a:prstGeom prst="rect">
                            <a:avLst/>
                          </a:prstGeom>
                          <a:solidFill>
                            <a:srgbClr val="FFFFFF"/>
                          </a:solidFill>
                          <a:ln w="9525">
                            <a:solidFill>
                              <a:srgbClr val="000000"/>
                            </a:solidFill>
                            <a:miter lim="800000"/>
                            <a:headEnd/>
                            <a:tailEnd/>
                          </a:ln>
                        </wps:spPr>
                        <wps:txbx>
                          <w:txbxContent>
                            <w:p w14:paraId="6B126077"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r w:rsidRPr="002279C5">
                                <w:rPr>
                                  <w:rFonts w:ascii="Times New Roman" w:eastAsia="Calibri" w:hAnsi="Times New Roman" w:cs="Times New Roman"/>
                                  <w:color w:val="0D0D0D"/>
                                  <w:sz w:val="24"/>
                                  <w:szCs w:val="24"/>
                                  <w:lang w:val="uk-UA" w:eastAsia="en-US"/>
                                </w:rPr>
                                <w:t xml:space="preserve">Дозвіл на використання франчайзингу транснаціональними  виробниками туристичного продукту на рівні </w:t>
                              </w:r>
                              <w:r w:rsidRPr="002279C5">
                                <w:rPr>
                                  <w:rFonts w:ascii="Times New Roman" w:hAnsi="Times New Roman" w:cs="Times New Roman"/>
                                  <w:sz w:val="24"/>
                                  <w:szCs w:val="24"/>
                                  <w:lang w:val="uk-UA"/>
                                </w:rPr>
                                <w:t>локально-регіональних та макро-регіональних систем</w:t>
                              </w:r>
                            </w:p>
                          </w:txbxContent>
                        </wps:txbx>
                        <wps:bodyPr rot="0" vert="horz" wrap="square" lIns="91440" tIns="45720" rIns="91440" bIns="45720" anchor="t" anchorCtr="0" upright="1">
                          <a:noAutofit/>
                        </wps:bodyPr>
                      </wps:wsp>
                      <wps:wsp>
                        <wps:cNvPr id="1705309063" name="Rectangle 139"/>
                        <wps:cNvSpPr>
                          <a:spLocks noChangeArrowheads="1"/>
                        </wps:cNvSpPr>
                        <wps:spPr bwMode="auto">
                          <a:xfrm>
                            <a:off x="1185" y="2136"/>
                            <a:ext cx="4620" cy="450"/>
                          </a:xfrm>
                          <a:prstGeom prst="rect">
                            <a:avLst/>
                          </a:prstGeom>
                          <a:solidFill>
                            <a:srgbClr val="FFFFFF"/>
                          </a:solidFill>
                          <a:ln w="9525">
                            <a:solidFill>
                              <a:srgbClr val="000000"/>
                            </a:solidFill>
                            <a:miter lim="800000"/>
                            <a:headEnd/>
                            <a:tailEnd/>
                          </a:ln>
                        </wps:spPr>
                        <wps:txbx>
                          <w:txbxContent>
                            <w:p w14:paraId="3B0BAFBD"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r w:rsidRPr="002279C5">
                                <w:rPr>
                                  <w:rFonts w:ascii="Times New Roman" w:hAnsi="Times New Roman" w:cs="Times New Roman"/>
                                  <w:sz w:val="24"/>
                                  <w:szCs w:val="24"/>
                                  <w:lang w:val="uk-UA"/>
                                </w:rPr>
                                <w:t>Франчайзер</w:t>
                              </w:r>
                            </w:p>
                          </w:txbxContent>
                        </wps:txbx>
                        <wps:bodyPr rot="0" vert="horz" wrap="square" lIns="91440" tIns="45720" rIns="91440" bIns="45720" anchor="t" anchorCtr="0" upright="1">
                          <a:noAutofit/>
                        </wps:bodyPr>
                      </wps:wsp>
                      <wps:wsp>
                        <wps:cNvPr id="1705309064" name="Rectangle 140"/>
                        <wps:cNvSpPr>
                          <a:spLocks noChangeArrowheads="1"/>
                        </wps:cNvSpPr>
                        <wps:spPr bwMode="auto">
                          <a:xfrm>
                            <a:off x="6075" y="2136"/>
                            <a:ext cx="4680" cy="450"/>
                          </a:xfrm>
                          <a:prstGeom prst="rect">
                            <a:avLst/>
                          </a:prstGeom>
                          <a:solidFill>
                            <a:srgbClr val="FFFFFF"/>
                          </a:solidFill>
                          <a:ln w="9525">
                            <a:solidFill>
                              <a:srgbClr val="000000"/>
                            </a:solidFill>
                            <a:miter lim="800000"/>
                            <a:headEnd/>
                            <a:tailEnd/>
                          </a:ln>
                        </wps:spPr>
                        <wps:txbx>
                          <w:txbxContent>
                            <w:p w14:paraId="4A61BEE6"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r w:rsidRPr="002279C5">
                                <w:rPr>
                                  <w:rFonts w:ascii="Times New Roman" w:hAnsi="Times New Roman" w:cs="Times New Roman"/>
                                  <w:sz w:val="24"/>
                                  <w:szCs w:val="24"/>
                                  <w:lang w:val="uk-UA"/>
                                </w:rPr>
                                <w:t>Франчайзі</w:t>
                              </w:r>
                            </w:p>
                          </w:txbxContent>
                        </wps:txbx>
                        <wps:bodyPr rot="0" vert="horz" wrap="square" lIns="91440" tIns="45720" rIns="91440" bIns="45720" anchor="t" anchorCtr="0" upright="1">
                          <a:noAutofit/>
                        </wps:bodyPr>
                      </wps:wsp>
                      <wps:wsp>
                        <wps:cNvPr id="1705309065" name="Rectangle 141"/>
                        <wps:cNvSpPr>
                          <a:spLocks noChangeArrowheads="1"/>
                        </wps:cNvSpPr>
                        <wps:spPr bwMode="auto">
                          <a:xfrm>
                            <a:off x="1200" y="2751"/>
                            <a:ext cx="4440" cy="4314"/>
                          </a:xfrm>
                          <a:prstGeom prst="rect">
                            <a:avLst/>
                          </a:prstGeom>
                          <a:solidFill>
                            <a:srgbClr val="FFFFFF"/>
                          </a:solidFill>
                          <a:ln w="9525">
                            <a:solidFill>
                              <a:srgbClr val="000000"/>
                            </a:solidFill>
                            <a:miter lim="800000"/>
                            <a:headEnd/>
                            <a:tailEnd/>
                          </a:ln>
                        </wps:spPr>
                        <wps:txbx>
                          <w:txbxContent>
                            <w:p w14:paraId="22E56435" w14:textId="77777777" w:rsidR="00571B42" w:rsidRPr="002279C5" w:rsidRDefault="00571B42" w:rsidP="002279C5">
                              <w:pPr>
                                <w:suppressAutoHyphens/>
                                <w:jc w:val="center"/>
                                <w:rPr>
                                  <w:rFonts w:ascii="Times New Roman" w:hAnsi="Times New Roman" w:cs="Times New Roman"/>
                                  <w:sz w:val="24"/>
                                  <w:szCs w:val="24"/>
                                  <w:lang w:val="uk-UA"/>
                                </w:rPr>
                              </w:pPr>
                              <w:r w:rsidRPr="002279C5">
                                <w:rPr>
                                  <w:rFonts w:ascii="Times New Roman" w:hAnsi="Times New Roman" w:cs="Times New Roman"/>
                                  <w:sz w:val="24"/>
                                  <w:szCs w:val="24"/>
                                  <w:lang w:val="uk-UA" w:eastAsia="uk-UA"/>
                                </w:rPr>
                                <w:t>розширення ринку збуту туристичних продуктів; регулювання і контроль за якістю ведення бізнесу; проведення єдиної цінової політики; одержання доходу від покупки прав на використання товарного знаку; економія ресурсів за рахунок франчайзі, що використовує власні джерела фінансування діяльності; економія фінансових ресурсів за відсутності необхідності створення дочірніх підприємств; стабільність одержання додаткового доходу за рахунок франчайзі, який системно збільшує обсяги продажу турпродукції.</w:t>
                              </w:r>
                            </w:p>
                            <w:p w14:paraId="5542193F"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p>
                          </w:txbxContent>
                        </wps:txbx>
                        <wps:bodyPr rot="0" vert="horz" wrap="square" lIns="91440" tIns="45720" rIns="91440" bIns="45720" anchor="t" anchorCtr="0" upright="1">
                          <a:noAutofit/>
                        </wps:bodyPr>
                      </wps:wsp>
                      <wps:wsp>
                        <wps:cNvPr id="1705309066" name="Rectangle 142"/>
                        <wps:cNvSpPr>
                          <a:spLocks noChangeArrowheads="1"/>
                        </wps:cNvSpPr>
                        <wps:spPr bwMode="auto">
                          <a:xfrm>
                            <a:off x="6285" y="2766"/>
                            <a:ext cx="4470" cy="4299"/>
                          </a:xfrm>
                          <a:prstGeom prst="rect">
                            <a:avLst/>
                          </a:prstGeom>
                          <a:solidFill>
                            <a:srgbClr val="FFFFFF"/>
                          </a:solidFill>
                          <a:ln w="9525">
                            <a:solidFill>
                              <a:srgbClr val="000000"/>
                            </a:solidFill>
                            <a:miter lim="800000"/>
                            <a:headEnd/>
                            <a:tailEnd/>
                          </a:ln>
                        </wps:spPr>
                        <wps:txbx>
                          <w:txbxContent>
                            <w:p w14:paraId="29276B3F" w14:textId="32C3F3C1" w:rsidR="00571B42" w:rsidRPr="002279C5" w:rsidRDefault="00571B42" w:rsidP="00C736CF">
                              <w:pPr>
                                <w:tabs>
                                  <w:tab w:val="left" w:pos="142"/>
                                </w:tabs>
                                <w:suppressAutoHyphens/>
                                <w:rPr>
                                  <w:rFonts w:ascii="Times New Roman" w:hAnsi="Times New Roman" w:cs="Times New Roman"/>
                                  <w:sz w:val="24"/>
                                  <w:szCs w:val="24"/>
                                  <w:lang w:val="uk-UA"/>
                                </w:rPr>
                              </w:pPr>
                              <w:r w:rsidRPr="002279C5">
                                <w:rPr>
                                  <w:rFonts w:ascii="Times New Roman" w:hAnsi="Times New Roman" w:cs="Times New Roman"/>
                                  <w:sz w:val="24"/>
                                  <w:szCs w:val="24"/>
                                  <w:lang w:val="uk-UA" w:eastAsia="uk-UA"/>
                                </w:rPr>
                                <w:t>незалежність при прийняття рішень; економію ресурсів та часу на рекламі, маркетинг, розробку та реєстрацію власного товарного знаку, технології бізнесу, веденні переговорів і пошуку партнерів; отримання туристичної ліцензії за допомогою франчайзера; вступ в налагоджений бізнес; використання торгової марки, що зарекомендувала себе на ринку; автоматизована система взаємозв’язку з клієнтами для налагодження продуктивного бізнесу; використання рекламно-інформаційної продукції, матеріалів та екскізів</w:t>
                              </w:r>
                              <w:r>
                                <w:rPr>
                                  <w:rFonts w:ascii="Times New Roman" w:hAnsi="Times New Roman" w:cs="Times New Roman"/>
                                  <w:sz w:val="24"/>
                                  <w:szCs w:val="24"/>
                                  <w:lang w:val="uk-UA" w:eastAsia="uk-UA"/>
                                </w:rPr>
                                <w:t xml:space="preserve">; </w:t>
                              </w:r>
                              <w:r w:rsidRPr="002279C5">
                                <w:rPr>
                                  <w:rFonts w:ascii="Times New Roman" w:hAnsi="Times New Roman" w:cs="Times New Roman"/>
                                  <w:sz w:val="24"/>
                                  <w:szCs w:val="24"/>
                                  <w:lang w:val="uk-UA" w:eastAsia="uk-UA"/>
                                </w:rPr>
                                <w:t>реалізація авіаквитків без отримання спеціальної акредитації через офіс франчайзера; знижується ризик банкрутства.</w:t>
                              </w:r>
                            </w:p>
                            <w:p w14:paraId="684A2740"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p>
                          </w:txbxContent>
                        </wps:txbx>
                        <wps:bodyPr rot="0" vert="horz" wrap="square" lIns="91440" tIns="45720" rIns="91440" bIns="45720" anchor="t" anchorCtr="0" upright="1">
                          <a:noAutofit/>
                        </wps:bodyPr>
                      </wps:wsp>
                      <wps:wsp>
                        <wps:cNvPr id="1705309067" name="Rectangle 143"/>
                        <wps:cNvSpPr>
                          <a:spLocks noChangeArrowheads="1"/>
                        </wps:cNvSpPr>
                        <wps:spPr bwMode="auto">
                          <a:xfrm>
                            <a:off x="1155" y="7236"/>
                            <a:ext cx="9600" cy="450"/>
                          </a:xfrm>
                          <a:prstGeom prst="rect">
                            <a:avLst/>
                          </a:prstGeom>
                          <a:solidFill>
                            <a:srgbClr val="FFFFFF"/>
                          </a:solidFill>
                          <a:ln w="9525">
                            <a:solidFill>
                              <a:srgbClr val="000000"/>
                            </a:solidFill>
                            <a:miter lim="800000"/>
                            <a:headEnd/>
                            <a:tailEnd/>
                          </a:ln>
                        </wps:spPr>
                        <wps:txbx>
                          <w:txbxContent>
                            <w:p w14:paraId="7FD0BA82"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r w:rsidRPr="002279C5">
                                <w:rPr>
                                  <w:rFonts w:ascii="Times New Roman" w:hAnsi="Times New Roman" w:cs="Times New Roman"/>
                                  <w:sz w:val="24"/>
                                  <w:szCs w:val="24"/>
                                  <w:lang w:val="uk-UA"/>
                                </w:rPr>
                                <w:t>Споживач комплексного туристичного продукту в індустрії туризму</w:t>
                              </w:r>
                            </w:p>
                          </w:txbxContent>
                        </wps:txbx>
                        <wps:bodyPr rot="0" vert="horz" wrap="square" lIns="91440" tIns="45720" rIns="91440" bIns="45720" anchor="t" anchorCtr="0" upright="1">
                          <a:noAutofit/>
                        </wps:bodyPr>
                      </wps:wsp>
                      <wps:wsp>
                        <wps:cNvPr id="1705309068" name="Rectangle 144"/>
                        <wps:cNvSpPr>
                          <a:spLocks noChangeArrowheads="1"/>
                        </wps:cNvSpPr>
                        <wps:spPr bwMode="auto">
                          <a:xfrm>
                            <a:off x="1155" y="7866"/>
                            <a:ext cx="9600" cy="1284"/>
                          </a:xfrm>
                          <a:prstGeom prst="rect">
                            <a:avLst/>
                          </a:prstGeom>
                          <a:solidFill>
                            <a:srgbClr val="FFFFFF"/>
                          </a:solidFill>
                          <a:ln w="9525">
                            <a:solidFill>
                              <a:srgbClr val="000000"/>
                            </a:solidFill>
                            <a:miter lim="800000"/>
                            <a:headEnd/>
                            <a:tailEnd/>
                          </a:ln>
                        </wps:spPr>
                        <wps:txbx>
                          <w:txbxContent>
                            <w:p w14:paraId="058FFB86" w14:textId="77777777" w:rsidR="00571B42" w:rsidRPr="00C736CF" w:rsidRDefault="00571B42" w:rsidP="002279C5">
                              <w:pPr>
                                <w:suppressAutoHyphens/>
                                <w:autoSpaceDE w:val="0"/>
                                <w:autoSpaceDN w:val="0"/>
                                <w:adjustRightInd w:val="0"/>
                                <w:jc w:val="center"/>
                                <w:rPr>
                                  <w:rFonts w:ascii="Times New Roman" w:hAnsi="Times New Roman" w:cs="Times New Roman"/>
                                  <w:sz w:val="26"/>
                                  <w:szCs w:val="26"/>
                                  <w:lang w:val="uk-UA"/>
                                </w:rPr>
                              </w:pPr>
                              <w:r w:rsidRPr="00C736CF">
                                <w:rPr>
                                  <w:rFonts w:ascii="Times New Roman" w:eastAsia="Calibri" w:hAnsi="Times New Roman" w:cs="Times New Roman"/>
                                  <w:color w:val="0D0D0D"/>
                                  <w:sz w:val="26"/>
                                  <w:szCs w:val="26"/>
                                  <w:lang w:val="uk-UA" w:eastAsia="en-US"/>
                                </w:rPr>
                                <w:t xml:space="preserve">Переваги для споживача: </w:t>
                              </w:r>
                              <w:r w:rsidRPr="00C736CF">
                                <w:rPr>
                                  <w:rFonts w:ascii="Times New Roman" w:hAnsi="Times New Roman" w:cs="Times New Roman"/>
                                  <w:sz w:val="26"/>
                                  <w:szCs w:val="26"/>
                                  <w:lang w:val="uk-UA" w:eastAsia="uk-UA"/>
                                </w:rPr>
                                <w:t>контроль якості з боку франчайзера; франчайзингові тури з вищим рівнем обслуговування; при ліквідації туристичної агенції, право обслуговування клієнта переходить до основної компанії; франчайзі, як власники, надають споживачеві послуги з більшим ступенем особистої участі у процесі туристичного обслуговування.</w:t>
                              </w:r>
                            </w:p>
                          </w:txbxContent>
                        </wps:txbx>
                        <wps:bodyPr rot="0" vert="horz" wrap="square" lIns="91440" tIns="45720" rIns="91440" bIns="45720" anchor="t" anchorCtr="0" upright="1">
                          <a:noAutofit/>
                        </wps:bodyPr>
                      </wps:wsp>
                      <wps:wsp>
                        <wps:cNvPr id="1705309069" name="AutoShape 145"/>
                        <wps:cNvCnPr>
                          <a:cxnSpLocks noChangeShapeType="1"/>
                        </wps:cNvCnPr>
                        <wps:spPr bwMode="auto">
                          <a:xfrm>
                            <a:off x="3465" y="1956"/>
                            <a:ext cx="0" cy="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070" name="AutoShape 146"/>
                        <wps:cNvCnPr>
                          <a:cxnSpLocks noChangeShapeType="1"/>
                        </wps:cNvCnPr>
                        <wps:spPr bwMode="auto">
                          <a:xfrm>
                            <a:off x="5820" y="2355"/>
                            <a:ext cx="270"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071" name="AutoShape 147"/>
                        <wps:cNvCnPr>
                          <a:cxnSpLocks noChangeShapeType="1"/>
                        </wps:cNvCnPr>
                        <wps:spPr bwMode="auto">
                          <a:xfrm>
                            <a:off x="5760" y="2586"/>
                            <a:ext cx="15" cy="467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072" name="AutoShape 148"/>
                        <wps:cNvCnPr>
                          <a:cxnSpLocks noChangeShapeType="1"/>
                        </wps:cNvCnPr>
                        <wps:spPr bwMode="auto">
                          <a:xfrm>
                            <a:off x="6150" y="2586"/>
                            <a:ext cx="0" cy="4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309073" name="AutoShape 149"/>
                        <wps:cNvSpPr>
                          <a:spLocks noChangeArrowheads="1"/>
                        </wps:cNvSpPr>
                        <wps:spPr bwMode="auto">
                          <a:xfrm>
                            <a:off x="3345" y="2610"/>
                            <a:ext cx="255" cy="156"/>
                          </a:xfrm>
                          <a:prstGeom prst="flowChartMerg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05309074" name="AutoShape 150"/>
                        <wps:cNvSpPr>
                          <a:spLocks noChangeArrowheads="1"/>
                        </wps:cNvSpPr>
                        <wps:spPr bwMode="auto">
                          <a:xfrm>
                            <a:off x="8250" y="2610"/>
                            <a:ext cx="360" cy="165"/>
                          </a:xfrm>
                          <a:prstGeom prst="flowChartMerg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05309075" name="AutoShape 151"/>
                        <wps:cNvSpPr>
                          <a:spLocks noChangeArrowheads="1"/>
                        </wps:cNvSpPr>
                        <wps:spPr bwMode="auto">
                          <a:xfrm>
                            <a:off x="5760" y="7701"/>
                            <a:ext cx="375" cy="180"/>
                          </a:xfrm>
                          <a:prstGeom prst="flowChartMerge">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2E725F" id="Группа 1705309061" o:spid="_x0000_s1445" style="position:absolute;left:0;text-align:left;margin-left:-1.15pt;margin-top:73.2pt;width:480.75pt;height:554.1pt;z-index:251712512;mso-position-horizontal-relative:text;mso-position-vertical-relative:text" coordorigin="1155,1206" coordsize="9615,7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">
                <v:rect id="Rectangle 138" o:spid="_x0000_s1446" style="position:absolute;left:1185;top:1206;width:9585;height:7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">
                  <v:textbox>
                    <w:txbxContent>
                      <w:p w14:paraId="6B126077"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r w:rsidRPr="002279C5">
                          <w:rPr>
                            <w:rFonts w:ascii="Times New Roman" w:eastAsia="Calibri" w:hAnsi="Times New Roman" w:cs="Times New Roman"/>
                            <w:color w:val="0D0D0D"/>
                            <w:sz w:val="24"/>
                            <w:szCs w:val="24"/>
                            <w:lang w:val="uk-UA" w:eastAsia="en-US"/>
                          </w:rPr>
                          <w:t xml:space="preserve">Дозвіл на використання франчайзингу транснаціональними  виробниками туристичного продукту на рівні </w:t>
                        </w:r>
                        <w:r w:rsidRPr="002279C5">
                          <w:rPr>
                            <w:rFonts w:ascii="Times New Roman" w:hAnsi="Times New Roman" w:cs="Times New Roman"/>
                            <w:sz w:val="24"/>
                            <w:szCs w:val="24"/>
                            <w:lang w:val="uk-UA"/>
                          </w:rPr>
                          <w:t>локально-регіональних та макро-регіональних систем</w:t>
                        </w:r>
                      </w:p>
                    </w:txbxContent>
                  </v:textbox>
                </v:rect>
                <v:rect id="Rectangle 139" o:spid="_x0000_s1447" style="position:absolute;left:1185;top:2136;width:462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">
                  <v:textbox>
                    <w:txbxContent>
                      <w:p w14:paraId="3B0BAFBD"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r w:rsidRPr="002279C5">
                          <w:rPr>
                            <w:rFonts w:ascii="Times New Roman" w:hAnsi="Times New Roman" w:cs="Times New Roman"/>
                            <w:sz w:val="24"/>
                            <w:szCs w:val="24"/>
                            <w:lang w:val="uk-UA"/>
                          </w:rPr>
                          <w:t>Франчайзер</w:t>
                        </w:r>
                      </w:p>
                    </w:txbxContent>
                  </v:textbox>
                </v:rect>
                <v:rect id="Rectangle 140" o:spid="_x0000_s1448" style="position:absolute;left:6075;top:2136;width:468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">
                  <v:textbox>
                    <w:txbxContent>
                      <w:p w14:paraId="4A61BEE6"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r w:rsidRPr="002279C5">
                          <w:rPr>
                            <w:rFonts w:ascii="Times New Roman" w:hAnsi="Times New Roman" w:cs="Times New Roman"/>
                            <w:sz w:val="24"/>
                            <w:szCs w:val="24"/>
                            <w:lang w:val="uk-UA"/>
                          </w:rPr>
                          <w:t>Франчайзі</w:t>
                        </w:r>
                      </w:p>
                    </w:txbxContent>
                  </v:textbox>
                </v:rect>
                <v:rect id="Rectangle 141" o:spid="_x0000_s1449" style="position:absolute;left:1200;top:2751;width:4440;height:4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">
                  <v:textbox>
                    <w:txbxContent>
                      <w:p w14:paraId="22E56435" w14:textId="77777777" w:rsidR="00571B42" w:rsidRPr="002279C5" w:rsidRDefault="00571B42" w:rsidP="002279C5">
                        <w:pPr>
                          <w:suppressAutoHyphens/>
                          <w:jc w:val="center"/>
                          <w:rPr>
                            <w:rFonts w:ascii="Times New Roman" w:hAnsi="Times New Roman" w:cs="Times New Roman"/>
                            <w:sz w:val="24"/>
                            <w:szCs w:val="24"/>
                            <w:lang w:val="uk-UA"/>
                          </w:rPr>
                        </w:pPr>
                        <w:r w:rsidRPr="002279C5">
                          <w:rPr>
                            <w:rFonts w:ascii="Times New Roman" w:hAnsi="Times New Roman" w:cs="Times New Roman"/>
                            <w:sz w:val="24"/>
                            <w:szCs w:val="24"/>
                            <w:lang w:val="uk-UA" w:eastAsia="uk-UA"/>
                          </w:rPr>
                          <w:t>розширення ринку збуту туристичних продуктів; регулювання і контроль за якістю ведення бізнесу; проведення єдиної цінової політики; одержання доходу від покупки прав на використання товарного знаку; економія ресурсів за рахунок франчайзі, що використовує власні джерела фінансування діяльності; економія фінансових ресурсів за відсутності необхідності створення дочірніх підприємств; стабільність одержання додаткового доходу за рахунок франчайзі, який системно збільшує обсяги продажу турпродукції.</w:t>
                        </w:r>
                      </w:p>
                      <w:p w14:paraId="5542193F"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p>
                    </w:txbxContent>
                  </v:textbox>
                </v:rect>
                <v:rect id="Rectangle 142" o:spid="_x0000_s1450" style="position:absolute;left:6285;top:2766;width:4470;height:42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">
                  <v:textbox>
                    <w:txbxContent>
                      <w:p w14:paraId="29276B3F" w14:textId="32C3F3C1" w:rsidR="00571B42" w:rsidRPr="002279C5" w:rsidRDefault="00571B42" w:rsidP="00C736CF">
                        <w:pPr>
                          <w:tabs>
                            <w:tab w:val="left" w:pos="142"/>
                          </w:tabs>
                          <w:suppressAutoHyphens/>
                          <w:rPr>
                            <w:rFonts w:ascii="Times New Roman" w:hAnsi="Times New Roman" w:cs="Times New Roman"/>
                            <w:sz w:val="24"/>
                            <w:szCs w:val="24"/>
                            <w:lang w:val="uk-UA"/>
                          </w:rPr>
                        </w:pPr>
                        <w:r w:rsidRPr="002279C5">
                          <w:rPr>
                            <w:rFonts w:ascii="Times New Roman" w:hAnsi="Times New Roman" w:cs="Times New Roman"/>
                            <w:sz w:val="24"/>
                            <w:szCs w:val="24"/>
                            <w:lang w:val="uk-UA" w:eastAsia="uk-UA"/>
                          </w:rPr>
                          <w:t>незалежність при прийняття рішень; економію ресурсів та часу на рекламі, маркетинг, розробку та реєстрацію власного товарного знаку, технології бізнесу, веденні переговорів і пошуку партнерів; отримання туристичної ліцензії за допомогою франчайзера; вступ в налагоджений бізнес; використання торгової марки, що зарекомендувала себе на ринку; автоматизована система взаємозв’язку з клієнтами для налагодження продуктивного бізнесу; використання рекламно-інформаційної продукції, матеріалів та екскізів</w:t>
                        </w:r>
                        <w:r>
                          <w:rPr>
                            <w:rFonts w:ascii="Times New Roman" w:hAnsi="Times New Roman" w:cs="Times New Roman"/>
                            <w:sz w:val="24"/>
                            <w:szCs w:val="24"/>
                            <w:lang w:val="uk-UA" w:eastAsia="uk-UA"/>
                          </w:rPr>
                          <w:t xml:space="preserve">; </w:t>
                        </w:r>
                        <w:r w:rsidRPr="002279C5">
                          <w:rPr>
                            <w:rFonts w:ascii="Times New Roman" w:hAnsi="Times New Roman" w:cs="Times New Roman"/>
                            <w:sz w:val="24"/>
                            <w:szCs w:val="24"/>
                            <w:lang w:val="uk-UA" w:eastAsia="uk-UA"/>
                          </w:rPr>
                          <w:t>реалізація авіаквитків без отримання спеціальної акредитації через офіс франчайзера; знижується ризик банкрутства.</w:t>
                        </w:r>
                      </w:p>
                      <w:p w14:paraId="684A2740"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p>
                    </w:txbxContent>
                  </v:textbox>
                </v:rect>
                <v:rect id="Rectangle 143" o:spid="_x0000_s1451" style="position:absolute;left:1155;top:7236;width:9600;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">
                  <v:textbox>
                    <w:txbxContent>
                      <w:p w14:paraId="7FD0BA82" w14:textId="77777777" w:rsidR="00571B42" w:rsidRPr="002279C5" w:rsidRDefault="00571B42" w:rsidP="002279C5">
                        <w:pPr>
                          <w:suppressAutoHyphens/>
                          <w:autoSpaceDE w:val="0"/>
                          <w:autoSpaceDN w:val="0"/>
                          <w:adjustRightInd w:val="0"/>
                          <w:jc w:val="center"/>
                          <w:rPr>
                            <w:rFonts w:ascii="Times New Roman" w:hAnsi="Times New Roman" w:cs="Times New Roman"/>
                            <w:sz w:val="24"/>
                            <w:szCs w:val="24"/>
                            <w:lang w:val="uk-UA"/>
                          </w:rPr>
                        </w:pPr>
                        <w:r w:rsidRPr="002279C5">
                          <w:rPr>
                            <w:rFonts w:ascii="Times New Roman" w:hAnsi="Times New Roman" w:cs="Times New Roman"/>
                            <w:sz w:val="24"/>
                            <w:szCs w:val="24"/>
                            <w:lang w:val="uk-UA"/>
                          </w:rPr>
                          <w:t>Споживач комплексного туристичного продукту в індустрії туризму</w:t>
                        </w:r>
                      </w:p>
                    </w:txbxContent>
                  </v:textbox>
                </v:rect>
                <v:rect id="Rectangle 144" o:spid="_x0000_s1452" style="position:absolute;left:1155;top:7866;width:9600;height:1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">
                  <v:textbox>
                    <w:txbxContent>
                      <w:p w14:paraId="058FFB86" w14:textId="77777777" w:rsidR="00571B42" w:rsidRPr="00C736CF" w:rsidRDefault="00571B42" w:rsidP="002279C5">
                        <w:pPr>
                          <w:suppressAutoHyphens/>
                          <w:autoSpaceDE w:val="0"/>
                          <w:autoSpaceDN w:val="0"/>
                          <w:adjustRightInd w:val="0"/>
                          <w:jc w:val="center"/>
                          <w:rPr>
                            <w:rFonts w:ascii="Times New Roman" w:hAnsi="Times New Roman" w:cs="Times New Roman"/>
                            <w:sz w:val="26"/>
                            <w:szCs w:val="26"/>
                            <w:lang w:val="uk-UA"/>
                          </w:rPr>
                        </w:pPr>
                        <w:r w:rsidRPr="00C736CF">
                          <w:rPr>
                            <w:rFonts w:ascii="Times New Roman" w:eastAsia="Calibri" w:hAnsi="Times New Roman" w:cs="Times New Roman"/>
                            <w:color w:val="0D0D0D"/>
                            <w:sz w:val="26"/>
                            <w:szCs w:val="26"/>
                            <w:lang w:val="uk-UA" w:eastAsia="en-US"/>
                          </w:rPr>
                          <w:t xml:space="preserve">Переваги для споживача: </w:t>
                        </w:r>
                        <w:r w:rsidRPr="00C736CF">
                          <w:rPr>
                            <w:rFonts w:ascii="Times New Roman" w:hAnsi="Times New Roman" w:cs="Times New Roman"/>
                            <w:sz w:val="26"/>
                            <w:szCs w:val="26"/>
                            <w:lang w:val="uk-UA" w:eastAsia="uk-UA"/>
                          </w:rPr>
                          <w:t>контроль якості з боку франчайзера; франчайзингові тури з вищим рівнем обслуговування; при ліквідації туристичної агенції, право обслуговування клієнта переходить до основної компанії; франчайзі, як власники, надають споживачеві послуги з більшим ступенем особистої участі у процесі туристичного обслуговування.</w:t>
                        </w:r>
                      </w:p>
                    </w:txbxContent>
                  </v:textbox>
                </v:rect>
                <v:shape id="AutoShape 145" o:spid="_x0000_s1453" type="#_x0000_t32" style="position:absolute;left:3465;top:1956;width:0;height: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">
                  <v:stroke endarrow="block"/>
                </v:shape>
                <v:shape id="AutoShape 146" o:spid="_x0000_s1454" type="#_x0000_t32" style="position:absolute;left:5820;top:2355;width:270;height: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">
                  <v:stroke endarrow="block"/>
                </v:shape>
                <v:shape id="AutoShape 147" o:spid="_x0000_s1455" type="#_x0000_t32" style="position:absolute;left:5760;top:2586;width:15;height:46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">
                  <v:stroke endarrow="block"/>
                </v:shape>
                <v:shape id="AutoShape 148" o:spid="_x0000_s1456" type="#_x0000_t32" style="position:absolute;left:6150;top:2586;width:0;height:46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">
                  <v:stroke endarrow="block"/>
                </v:shape>
                <v:shapetype id="_x0000_t128" coordsize="21600,21600" o:spt="128" path="m,l21600,,10800,21600xe">
                  <v:stroke joinstyle="miter"/>
                  <v:path gradientshapeok="t" o:connecttype="custom" o:connectlocs="10800,0;5400,10800;10800,21600;16200,10800" textboxrect="5400,0,16200,10800"/>
                </v:shapetype>
                <v:shape id="AutoShape 149" o:spid="_x0000_s1457" type="#_x0000_t128" style="position:absolute;left:3345;top:2610;width:255;height:1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"/>
                <v:shape id="AutoShape 150" o:spid="_x0000_s1458" type="#_x0000_t128" style="position:absolute;left:8250;top:2610;width:360;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"/>
                <v:shape id="AutoShape 151" o:spid="_x0000_s1459" type="#_x0000_t128" style="position:absolute;left:5760;top:7701;width:37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"/>
              </v:group>
            </w:pict>
          </mc:Fallback>
        </mc:AlternateContent>
      </w:r>
      <w:r w:rsidR="002279C5" w:rsidRPr="005F0419">
        <w:rPr>
          <w:rStyle w:val="rynqvb"/>
          <w:rFonts w:ascii="Times New Roman" w:eastAsia="Calibri" w:hAnsi="Times New Roman" w:cs="Times New Roman"/>
          <w:sz w:val="28"/>
          <w:szCs w:val="28"/>
          <w:lang w:val="uk-UA"/>
        </w:rPr>
        <w:t>пропонується ринок.</w:t>
      </w:r>
      <w:r w:rsidR="002279C5" w:rsidRPr="005F0419">
        <w:rPr>
          <w:rStyle w:val="hwtze"/>
          <w:rFonts w:ascii="Times New Roman" w:eastAsia="Calibri" w:hAnsi="Times New Roman" w:cs="Times New Roman"/>
          <w:sz w:val="28"/>
          <w:szCs w:val="28"/>
          <w:lang w:val="uk-UA"/>
        </w:rPr>
        <w:t xml:space="preserve"> </w:t>
      </w:r>
    </w:p>
    <w:p w14:paraId="07A6117E" w14:textId="03A09B16"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72F0E826" w14:textId="77777777"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6844E0D2" w14:textId="24F3360E"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216D88FC" w14:textId="022CF37B"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1185778C" w14:textId="484802BD"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0D9DE514" w14:textId="7D69F0A0"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64412B73" w14:textId="332CC866"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5810C0ED" w14:textId="15C63611"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7014E837" w14:textId="6D1D6F1A"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1D3C32A8" w14:textId="29701466"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4BCB5DD4" w14:textId="1A141479"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0F6213BE" w14:textId="409C12D3"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3E8B0856" w14:textId="76CBA35B"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7D46CB46" w14:textId="770323FA"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4E8812E6" w14:textId="5549DCBE" w:rsidR="00C736CF" w:rsidRPr="005F0419" w:rsidRDefault="00C736CF"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0DA6410A" w14:textId="3E19D235" w:rsidR="00C736CF" w:rsidRPr="005F0419" w:rsidRDefault="00C736CF"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7FA21038" w14:textId="075533CD" w:rsidR="00C736CF" w:rsidRPr="005F0419" w:rsidRDefault="00C736CF"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6AB0F1E6" w14:textId="213CE7C3" w:rsidR="00C736CF" w:rsidRPr="005F0419" w:rsidRDefault="00C736CF"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3893EA33" w14:textId="1D8C6F83" w:rsidR="00C736CF" w:rsidRPr="005F0419" w:rsidRDefault="00C736CF"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2F9EA4EC" w14:textId="7429AB47" w:rsidR="00C736CF" w:rsidRPr="005F0419" w:rsidRDefault="00C736CF"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7D9CAFCF" w14:textId="77777777" w:rsidR="00C736CF" w:rsidRPr="005F0419" w:rsidRDefault="00C736CF"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22125AE8" w14:textId="35363D8A"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7CE3A701" w14:textId="448AC354"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4CF126DA" w14:textId="5C492D20" w:rsidR="002279C5" w:rsidRPr="005F0419" w:rsidRDefault="002279C5"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
    <w:p w14:paraId="1E73843D" w14:textId="24F11440" w:rsidR="002279C5" w:rsidRPr="005F0419" w:rsidRDefault="002279C5" w:rsidP="002279C5">
      <w:pPr>
        <w:suppressAutoHyphens/>
        <w:autoSpaceDE w:val="0"/>
        <w:autoSpaceDN w:val="0"/>
        <w:adjustRightInd w:val="0"/>
        <w:spacing w:after="0" w:line="360" w:lineRule="auto"/>
        <w:ind w:firstLine="720"/>
        <w:jc w:val="center"/>
        <w:rPr>
          <w:rFonts w:ascii="Times New Roman" w:hAnsi="Times New Roman" w:cs="Times New Roman"/>
          <w:spacing w:val="-3"/>
          <w:sz w:val="28"/>
          <w:szCs w:val="28"/>
          <w:lang w:val="uk-UA"/>
        </w:rPr>
      </w:pPr>
      <w:r w:rsidRPr="005F0419">
        <w:rPr>
          <w:rFonts w:ascii="Times New Roman" w:hAnsi="Times New Roman" w:cs="Times New Roman"/>
          <w:spacing w:val="-3"/>
          <w:sz w:val="28"/>
          <w:szCs w:val="28"/>
          <w:lang w:val="uk-UA"/>
        </w:rPr>
        <w:t xml:space="preserve">Рис. 13. </w:t>
      </w:r>
      <w:r w:rsidRPr="005F0419">
        <w:rPr>
          <w:rFonts w:ascii="Times New Roman" w:eastAsia="Calibri" w:hAnsi="Times New Roman" w:cs="Times New Roman"/>
          <w:bCs/>
          <w:sz w:val="28"/>
          <w:szCs w:val="28"/>
          <w:lang w:val="uk-UA" w:eastAsia="en-US"/>
        </w:rPr>
        <w:t xml:space="preserve">Трансфертні переваги </w:t>
      </w:r>
      <w:r w:rsidRPr="005F0419">
        <w:rPr>
          <w:rFonts w:ascii="Times New Roman" w:eastAsia="Calibri" w:hAnsi="Times New Roman" w:cs="Times New Roman"/>
          <w:sz w:val="28"/>
          <w:szCs w:val="28"/>
          <w:lang w:val="uk-UA" w:eastAsia="en-US"/>
        </w:rPr>
        <w:t xml:space="preserve">франчайзингу в </w:t>
      </w:r>
      <w:r w:rsidRPr="005F0419">
        <w:rPr>
          <w:rFonts w:ascii="Times New Roman" w:eastAsia="Calibri" w:hAnsi="Times New Roman" w:cs="Times New Roman"/>
          <w:bCs/>
          <w:sz w:val="28"/>
          <w:szCs w:val="28"/>
          <w:lang w:val="uk-UA" w:eastAsia="en-US"/>
        </w:rPr>
        <w:t>міжнародному співробітництві</w:t>
      </w:r>
    </w:p>
    <w:p w14:paraId="50A4EA0E" w14:textId="1FF127F4" w:rsidR="002279C5" w:rsidRPr="005F0419" w:rsidRDefault="002279C5" w:rsidP="002279C5">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 [51–53].</w:t>
      </w:r>
    </w:p>
    <w:p w14:paraId="5166ECEC" w14:textId="55C2B395" w:rsidR="00662012" w:rsidRPr="005F0419" w:rsidRDefault="00662012"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r w:rsidRPr="005F0419">
        <w:rPr>
          <w:rStyle w:val="rynqvb"/>
          <w:rFonts w:ascii="Times New Roman" w:eastAsia="Calibri" w:hAnsi="Times New Roman" w:cs="Times New Roman"/>
          <w:sz w:val="28"/>
          <w:szCs w:val="28"/>
          <w:lang w:val="uk-UA"/>
        </w:rPr>
        <w:lastRenderedPageBreak/>
        <w:t xml:space="preserve">У кожному туристичному </w:t>
      </w:r>
      <w:proofErr w:type="spellStart"/>
      <w:r w:rsidRPr="005F0419">
        <w:rPr>
          <w:rStyle w:val="rynqvb"/>
          <w:rFonts w:ascii="Times New Roman" w:eastAsia="Calibri" w:hAnsi="Times New Roman" w:cs="Times New Roman"/>
          <w:sz w:val="28"/>
          <w:szCs w:val="28"/>
          <w:lang w:val="uk-UA"/>
        </w:rPr>
        <w:t>макрорегіоні</w:t>
      </w:r>
      <w:proofErr w:type="spellEnd"/>
      <w:r w:rsidRPr="005F0419">
        <w:rPr>
          <w:rStyle w:val="rynqvb"/>
          <w:rFonts w:ascii="Times New Roman" w:eastAsia="Calibri" w:hAnsi="Times New Roman" w:cs="Times New Roman"/>
          <w:sz w:val="28"/>
          <w:szCs w:val="28"/>
          <w:lang w:val="uk-UA"/>
        </w:rPr>
        <w:t xml:space="preserve"> має сенс виділити відповідне інтеграційне ядро: держава або сукупність країн (ринків), соціально-економічно об’єднаних між собою в комплексні сукупні туристичні продукти між локально-регіональною та </w:t>
      </w:r>
      <w:proofErr w:type="spellStart"/>
      <w:r w:rsidRPr="005F0419">
        <w:rPr>
          <w:rStyle w:val="rynqvb"/>
          <w:rFonts w:ascii="Times New Roman" w:eastAsia="Calibri" w:hAnsi="Times New Roman" w:cs="Times New Roman"/>
          <w:sz w:val="28"/>
          <w:szCs w:val="28"/>
          <w:lang w:val="uk-UA"/>
        </w:rPr>
        <w:t>макро</w:t>
      </w:r>
      <w:proofErr w:type="spellEnd"/>
      <w:r w:rsidRPr="005F0419">
        <w:rPr>
          <w:rStyle w:val="rynqvb"/>
          <w:rFonts w:ascii="Times New Roman" w:eastAsia="Calibri" w:hAnsi="Times New Roman" w:cs="Times New Roman"/>
          <w:sz w:val="28"/>
          <w:szCs w:val="28"/>
          <w:lang w:val="uk-UA"/>
        </w:rPr>
        <w:t xml:space="preserve">-регіональною системами </w:t>
      </w:r>
      <w:r w:rsidRPr="005F0419">
        <w:rPr>
          <w:rFonts w:ascii="Times New Roman" w:eastAsia="Calibri" w:hAnsi="Times New Roman" w:cs="Times New Roman"/>
          <w:sz w:val="28"/>
          <w:szCs w:val="28"/>
          <w:lang w:val="uk-UA" w:eastAsia="en-US"/>
        </w:rPr>
        <w:t>[5]</w:t>
      </w:r>
      <w:r w:rsidRPr="005F0419">
        <w:rPr>
          <w:rStyle w:val="rynqvb"/>
          <w:rFonts w:ascii="Times New Roman" w:eastAsia="Calibri" w:hAnsi="Times New Roman" w:cs="Times New Roman"/>
          <w:sz w:val="28"/>
          <w:szCs w:val="28"/>
          <w:lang w:val="uk-UA"/>
        </w:rPr>
        <w:t>.</w:t>
      </w:r>
    </w:p>
    <w:p w14:paraId="749C0B3F" w14:textId="77777777" w:rsidR="00662012" w:rsidRPr="005F0419" w:rsidRDefault="00662012"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proofErr w:type="spellStart"/>
      <w:r w:rsidRPr="005F0419">
        <w:rPr>
          <w:rFonts w:ascii="Times New Roman" w:hAnsi="Times New Roman" w:cs="Times New Roman"/>
          <w:spacing w:val="-3"/>
          <w:sz w:val="28"/>
          <w:szCs w:val="28"/>
          <w:lang w:val="uk-UA"/>
        </w:rPr>
        <w:t>Австрало</w:t>
      </w:r>
      <w:proofErr w:type="spellEnd"/>
      <w:r w:rsidRPr="005F0419">
        <w:rPr>
          <w:rFonts w:ascii="Times New Roman" w:hAnsi="Times New Roman" w:cs="Times New Roman"/>
          <w:spacing w:val="-3"/>
          <w:sz w:val="28"/>
          <w:szCs w:val="28"/>
          <w:lang w:val="uk-UA"/>
        </w:rPr>
        <w:t xml:space="preserve">-Новозеландська угода про вільну торгівлю, Асоціація держав Південно-східної Азії, Асоціація регіонального співробітництва Південної Азії, Євразійське економічне співтовариство, Рада співпраці арабських держав Перської затоки, Європейський Союз, Північноамериканська угода про вільну торгівлю, Співтовариство розвитку Півдня Африки, Спільний ринок країн Південної Америки, Союз арабського Магрибу – є стійкими та привабливими світовими інтеграційними структурами (глобального та регіонального значення), які є ядрами міжнародної співпраці й досвід яких є надзвичайно корисним </w:t>
      </w:r>
      <w:r w:rsidRPr="005F0419">
        <w:rPr>
          <w:rFonts w:ascii="Times New Roman" w:eastAsia="Calibri" w:hAnsi="Times New Roman" w:cs="Times New Roman"/>
          <w:sz w:val="28"/>
          <w:szCs w:val="28"/>
          <w:lang w:val="uk-UA" w:eastAsia="en-US"/>
        </w:rPr>
        <w:t>[16]</w:t>
      </w:r>
      <w:r w:rsidRPr="005F0419">
        <w:rPr>
          <w:rStyle w:val="rynqvb"/>
          <w:rFonts w:ascii="Times New Roman" w:eastAsia="Calibri" w:hAnsi="Times New Roman" w:cs="Times New Roman"/>
          <w:sz w:val="28"/>
          <w:szCs w:val="28"/>
          <w:lang w:val="uk-UA"/>
        </w:rPr>
        <w:t>.</w:t>
      </w:r>
    </w:p>
    <w:p w14:paraId="190DBAA0" w14:textId="77777777" w:rsidR="00C736CF"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Style w:val="rynqvb"/>
          <w:rFonts w:ascii="Times New Roman" w:eastAsia="Calibri" w:hAnsi="Times New Roman" w:cs="Times New Roman"/>
          <w:sz w:val="28"/>
          <w:szCs w:val="28"/>
          <w:lang w:val="uk-UA"/>
        </w:rPr>
        <w:t>Розвиток міжнародного ринку туристичних послуг демонструє негативну стабільність у 2021–2022 рр., оскільки за період маємо факти</w:t>
      </w:r>
      <w:r w:rsidRPr="005F0419">
        <w:rPr>
          <w:rFonts w:ascii="Times New Roman" w:eastAsia="Calibri" w:hAnsi="Times New Roman" w:cs="Times New Roman"/>
          <w:sz w:val="28"/>
          <w:szCs w:val="28"/>
          <w:lang w:val="uk-UA" w:eastAsia="en-US"/>
        </w:rPr>
        <w:t xml:space="preserve"> [39; 44–47; 49]: </w:t>
      </w:r>
    </w:p>
    <w:p w14:paraId="4A90DC52" w14:textId="77777777" w:rsidR="00C736CF"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1) частка індустрії туризму у структурі світової економіки скоротилася майже у два рази за два роки: до 5,5% у 2021 р. з 10,4% у 2019 р. (до світової пандемії COVID-19 індустрія подорожей і туризму створювала 10,6% всіх робочих місць у світі (було задіяно 334 млн. осіб) та забезпечувала 10,4% світового ВВП (що складало 9,2 трлн. </w:t>
      </w:r>
      <w:proofErr w:type="spellStart"/>
      <w:r w:rsidRPr="005F0419">
        <w:rPr>
          <w:rFonts w:ascii="Times New Roman" w:eastAsia="Calibri" w:hAnsi="Times New Roman" w:cs="Times New Roman"/>
          <w:sz w:val="28"/>
          <w:szCs w:val="28"/>
          <w:lang w:val="uk-UA" w:eastAsia="en-US"/>
        </w:rPr>
        <w:t>дол</w:t>
      </w:r>
      <w:proofErr w:type="spellEnd"/>
      <w:r w:rsidRPr="005F0419">
        <w:rPr>
          <w:rFonts w:ascii="Times New Roman" w:eastAsia="Calibri" w:hAnsi="Times New Roman" w:cs="Times New Roman"/>
          <w:sz w:val="28"/>
          <w:szCs w:val="28"/>
          <w:lang w:val="uk-UA" w:eastAsia="en-US"/>
        </w:rPr>
        <w:t xml:space="preserve">. США); </w:t>
      </w:r>
    </w:p>
    <w:p w14:paraId="4F1A76BF" w14:textId="77777777" w:rsidR="00C736CF"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2) на 73,9% скоротились міжнародні туристичні перевезення; </w:t>
      </w:r>
    </w:p>
    <w:p w14:paraId="00EF7E13" w14:textId="32610570" w:rsidR="00C736CF"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3) під загрозою звільнення опинилося 100–120 млн. працівників світової індустрії туризму; </w:t>
      </w:r>
    </w:p>
    <w:p w14:paraId="21687736" w14:textId="3EBD5841"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eastAsia="en-US"/>
        </w:rPr>
        <w:t xml:space="preserve">4) орієнтовні сукупні втрати у структурі світового ВВП перевищили 2 трлн. </w:t>
      </w:r>
      <w:proofErr w:type="spellStart"/>
      <w:r w:rsidRPr="005F0419">
        <w:rPr>
          <w:rFonts w:ascii="Times New Roman" w:eastAsia="Calibri" w:hAnsi="Times New Roman" w:cs="Times New Roman"/>
          <w:sz w:val="28"/>
          <w:szCs w:val="28"/>
          <w:lang w:val="uk-UA" w:eastAsia="en-US"/>
        </w:rPr>
        <w:t>дол</w:t>
      </w:r>
      <w:proofErr w:type="spellEnd"/>
      <w:r w:rsidRPr="005F0419">
        <w:rPr>
          <w:rFonts w:ascii="Times New Roman" w:eastAsia="Calibri" w:hAnsi="Times New Roman" w:cs="Times New Roman"/>
          <w:sz w:val="28"/>
          <w:szCs w:val="28"/>
          <w:lang w:val="uk-UA" w:eastAsia="en-US"/>
        </w:rPr>
        <w:t>. США;</w:t>
      </w:r>
      <w:r w:rsidRPr="005F0419">
        <w:rPr>
          <w:rFonts w:ascii="Times New Roman" w:eastAsia="Calibri" w:hAnsi="Times New Roman" w:cs="Times New Roman"/>
          <w:sz w:val="28"/>
          <w:szCs w:val="28"/>
          <w:lang w:val="uk-UA"/>
        </w:rPr>
        <w:t xml:space="preserve"> 5) сукупні </w:t>
      </w:r>
      <w:r w:rsidRPr="005F0419">
        <w:rPr>
          <w:rFonts w:ascii="Times New Roman" w:eastAsia="Calibri" w:hAnsi="Times New Roman" w:cs="Times New Roman"/>
          <w:sz w:val="28"/>
          <w:szCs w:val="28"/>
          <w:lang w:val="uk-UA" w:eastAsia="en-US"/>
        </w:rPr>
        <w:t xml:space="preserve">втрати експортних надходжень від організації міжнародного туризму оцінено у розмірі 1,3 трлн. </w:t>
      </w:r>
      <w:proofErr w:type="spellStart"/>
      <w:r w:rsidRPr="005F0419">
        <w:rPr>
          <w:rFonts w:ascii="Times New Roman" w:eastAsia="Calibri" w:hAnsi="Times New Roman" w:cs="Times New Roman"/>
          <w:sz w:val="28"/>
          <w:szCs w:val="28"/>
          <w:lang w:val="uk-UA" w:eastAsia="en-US"/>
        </w:rPr>
        <w:t>дол</w:t>
      </w:r>
      <w:proofErr w:type="spellEnd"/>
      <w:r w:rsidRPr="005F0419">
        <w:rPr>
          <w:rFonts w:ascii="Times New Roman" w:eastAsia="Calibri" w:hAnsi="Times New Roman" w:cs="Times New Roman"/>
          <w:sz w:val="28"/>
          <w:szCs w:val="28"/>
          <w:lang w:val="uk-UA" w:eastAsia="en-US"/>
        </w:rPr>
        <w:t>. США.</w:t>
      </w:r>
    </w:p>
    <w:p w14:paraId="3FB207E4"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Світова індустрія туризму у 2022 р. скоротилась на 18,5%, втративши 62 млн. робочих місць; на 45% скоротились витрати часу на організацію турів для внутрішніх споживачів туристичних послуг; на 69,4% – міжнародних (рис. 14).</w:t>
      </w:r>
    </w:p>
    <w:p w14:paraId="2BE5954A" w14:textId="127F39D1" w:rsidR="00662012"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sz w:val="28"/>
          <w:szCs w:val="28"/>
          <w:lang w:val="uk-UA" w:eastAsia="en-US"/>
        </w:rPr>
      </w:pPr>
      <w:r w:rsidRPr="005F0419">
        <w:rPr>
          <w:rFonts w:ascii="Times New Roman" w:eastAsia="Calibri" w:hAnsi="Times New Roman" w:cs="Times New Roman"/>
          <w:noProof/>
          <w:sz w:val="28"/>
          <w:szCs w:val="28"/>
          <w:lang w:val="uk-UA"/>
        </w:rPr>
        <w:lastRenderedPageBreak/>
        <w:drawing>
          <wp:inline distT="0" distB="0" distL="0" distR="0" wp14:anchorId="4A6C89AD" wp14:editId="07AD909C">
            <wp:extent cx="5476240" cy="2534479"/>
            <wp:effectExtent l="0" t="0" r="0" b="0"/>
            <wp:docPr id="158" name="Диаграмма 15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2"/>
              </a:graphicData>
            </a:graphic>
          </wp:inline>
        </w:drawing>
      </w:r>
      <w:r w:rsidRPr="005F0419">
        <w:rPr>
          <w:rFonts w:ascii="Times New Roman" w:eastAsia="Calibri" w:hAnsi="Times New Roman" w:cs="Times New Roman"/>
          <w:sz w:val="28"/>
          <w:szCs w:val="28"/>
          <w:lang w:val="uk-UA" w:eastAsia="en-US"/>
        </w:rPr>
        <w:t xml:space="preserve">Рис. 14. </w:t>
      </w:r>
      <w:r w:rsidRPr="005F0419">
        <w:rPr>
          <w:rFonts w:ascii="Times New Roman" w:eastAsia="Calibri" w:hAnsi="Times New Roman" w:cs="Times New Roman"/>
          <w:bCs/>
          <w:sz w:val="28"/>
          <w:szCs w:val="28"/>
          <w:lang w:val="uk-UA" w:eastAsia="en-US"/>
        </w:rPr>
        <w:t>Динаміка змін ринку міжнародного туризму у 2018–2022 рр., %</w:t>
      </w:r>
    </w:p>
    <w:p w14:paraId="219CFB18"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 [39; 44–47; 49]</w:t>
      </w:r>
    </w:p>
    <w:p w14:paraId="1E599EF0"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highlight w:val="yellow"/>
          <w:lang w:val="uk-UA" w:eastAsia="en-US"/>
        </w:rPr>
      </w:pPr>
    </w:p>
    <w:p w14:paraId="6F332125"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У 2022 р. темпи скорочення ринку міжнародного туризму перевершили попередні кризові події (Глобальна світова економічна криза у 2008–2009 рр. та епідемія SARS у 2003 р.), які також спричинили негативний вплив на світову індустрію туризму (рис. 15). Кількість міжнародних туристичних переміщень у 2022 р. у порівнянні з 2019 р. (докризовим) скоротилась. За даними Всесвітньої організації туризму ООН (UNWTO) за 2022 р. кількість міжнародних туристів скоротилась на 20–30%. З цих причин відбулося скорочення світового доходу від організації міжнародного туризму на 300–450 млрд. </w:t>
      </w:r>
      <w:proofErr w:type="spellStart"/>
      <w:r w:rsidRPr="005F0419">
        <w:rPr>
          <w:rFonts w:ascii="Times New Roman" w:eastAsia="Calibri" w:hAnsi="Times New Roman" w:cs="Times New Roman"/>
          <w:sz w:val="28"/>
          <w:szCs w:val="28"/>
          <w:lang w:val="uk-UA" w:eastAsia="en-US"/>
        </w:rPr>
        <w:t>дол</w:t>
      </w:r>
      <w:proofErr w:type="spellEnd"/>
      <w:r w:rsidRPr="005F0419">
        <w:rPr>
          <w:rFonts w:ascii="Times New Roman" w:eastAsia="Calibri" w:hAnsi="Times New Roman" w:cs="Times New Roman"/>
          <w:sz w:val="28"/>
          <w:szCs w:val="28"/>
          <w:lang w:val="uk-UA" w:eastAsia="en-US"/>
        </w:rPr>
        <w:t xml:space="preserve">. США [24; 41]. </w:t>
      </w:r>
    </w:p>
    <w:p w14:paraId="178B7EFB" w14:textId="1AC41C5B" w:rsidR="00662012"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bCs/>
          <w:sz w:val="28"/>
          <w:szCs w:val="28"/>
          <w:lang w:val="uk-UA" w:eastAsia="en-US"/>
        </w:rPr>
      </w:pPr>
      <w:r w:rsidRPr="005F0419">
        <w:rPr>
          <w:rFonts w:ascii="Times New Roman" w:eastAsia="Calibri" w:hAnsi="Times New Roman" w:cs="Times New Roman"/>
          <w:noProof/>
          <w:sz w:val="28"/>
          <w:szCs w:val="28"/>
          <w:lang w:val="uk-UA"/>
        </w:rPr>
        <w:drawing>
          <wp:inline distT="0" distB="0" distL="0" distR="0" wp14:anchorId="40EA86F7" wp14:editId="1EE8BA12">
            <wp:extent cx="5575300" cy="2375452"/>
            <wp:effectExtent l="0" t="0" r="6350" b="6350"/>
            <wp:docPr id="157" name="Диаграмма 15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3"/>
              </a:graphicData>
            </a:graphic>
          </wp:inline>
        </w:drawing>
      </w:r>
      <w:r w:rsidRPr="005F0419">
        <w:rPr>
          <w:rFonts w:ascii="Times New Roman" w:eastAsia="Calibri" w:hAnsi="Times New Roman" w:cs="Times New Roman"/>
          <w:bCs/>
          <w:sz w:val="28"/>
          <w:szCs w:val="28"/>
          <w:lang w:val="uk-UA" w:eastAsia="en-US"/>
        </w:rPr>
        <w:t>Рис. 15. Міжнародні туристичні потоки: динаміка за 2018–2022 рр., млн. осіб</w:t>
      </w:r>
    </w:p>
    <w:p w14:paraId="5D932472" w14:textId="6136F89D"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 [39; 50; 56]</w:t>
      </w:r>
      <w:r w:rsidR="00C736CF" w:rsidRPr="005F0419">
        <w:rPr>
          <w:rFonts w:ascii="Times New Roman" w:eastAsia="Calibri" w:hAnsi="Times New Roman" w:cs="Times New Roman"/>
          <w:sz w:val="28"/>
          <w:szCs w:val="28"/>
          <w:lang w:val="uk-UA" w:eastAsia="en-US"/>
        </w:rPr>
        <w:t>.</w:t>
      </w:r>
    </w:p>
    <w:p w14:paraId="5DBF3872"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hAnsi="Times New Roman" w:cs="Times New Roman"/>
          <w:sz w:val="28"/>
          <w:szCs w:val="28"/>
          <w:lang w:val="uk-UA"/>
        </w:rPr>
        <w:lastRenderedPageBreak/>
        <w:t>Знайти підґрунтя цьому можна у</w:t>
      </w:r>
      <w:r w:rsidRPr="005F0419">
        <w:rPr>
          <w:rFonts w:ascii="Times New Roman" w:eastAsia="Calibri" w:hAnsi="Times New Roman" w:cs="Times New Roman"/>
          <w:sz w:val="28"/>
          <w:szCs w:val="28"/>
          <w:lang w:val="uk-UA" w:eastAsia="en-US"/>
        </w:rPr>
        <w:t xml:space="preserve"> різних рівнях соціально-економічного позиціонування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-регіональних та локально-регіональних систем. Сьогодні архітектура </w:t>
      </w:r>
      <w:proofErr w:type="spellStart"/>
      <w:r w:rsidRPr="005F0419">
        <w:rPr>
          <w:rFonts w:ascii="Times New Roman" w:eastAsia="Calibri" w:hAnsi="Times New Roman" w:cs="Times New Roman"/>
          <w:sz w:val="28"/>
          <w:szCs w:val="28"/>
          <w:lang w:val="uk-UA" w:eastAsia="en-US"/>
        </w:rPr>
        <w:t>геоекономіки</w:t>
      </w:r>
      <w:proofErr w:type="spellEnd"/>
      <w:r w:rsidRPr="005F0419">
        <w:rPr>
          <w:rFonts w:ascii="Times New Roman" w:eastAsia="Calibri" w:hAnsi="Times New Roman" w:cs="Times New Roman"/>
          <w:sz w:val="28"/>
          <w:szCs w:val="28"/>
          <w:lang w:val="uk-UA" w:eastAsia="en-US"/>
        </w:rPr>
        <w:t xml:space="preserve"> побудована таким чином, що сталий розвиток країн Західної Європи залежить від розвитку індустрії туризму, яка забезпечує біля 70% доходної частини бюджету, в країнах Північної та Південної Америки ці доля складає 20%, в Азії, в країнах Африки та Австралії – 10% [41]. В індустрії туризму європейських країн в цій галузі працює 616,2 млн. осіб або 49.9% від обсягу туристичних працівників у світі. Такий стан туристичного ринку Європи пояснюється розвиненою інфраструктурою сфери туризму, сталою торгівлею, уподобаннями жителів проводити відпустку у близькому зарубіжжі, наявністю всесвітньо відомих культурно-історичних і природних пам’яток. Близько 90% в туристичних подорожей у Європі складаються з мандрівників-європейців. В європейській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-регіональної системі лідирує Середземноморська локально-регіональна система. Вона утворена з країн: Австрія, країни Бенілюксу, Греція, Іспанія, Італія, Німеччина (біля 20% міжнародних туристичних потоків. Країни Східноєвропейської локально-регіональної системи (Болгарія, Хорватія, Чехія, Чорногорія) складають 11% міжнародних туристичних потоків [41] (рис. 16).</w:t>
      </w:r>
    </w:p>
    <w:p w14:paraId="0BE55A4A" w14:textId="550AE775" w:rsidR="00662012"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bCs/>
          <w:sz w:val="28"/>
          <w:szCs w:val="28"/>
          <w:lang w:val="uk-UA" w:eastAsia="en-US"/>
        </w:rPr>
      </w:pPr>
      <w:r w:rsidRPr="005F0419">
        <w:rPr>
          <w:rFonts w:ascii="Times New Roman" w:eastAsia="Calibri" w:hAnsi="Times New Roman" w:cs="Times New Roman"/>
          <w:noProof/>
          <w:sz w:val="28"/>
          <w:szCs w:val="28"/>
          <w:lang w:val="uk-UA"/>
        </w:rPr>
        <w:drawing>
          <wp:inline distT="0" distB="0" distL="0" distR="0" wp14:anchorId="004898C3" wp14:editId="532FBD56">
            <wp:extent cx="5664835" cy="3114675"/>
            <wp:effectExtent l="0" t="0" r="0" b="0"/>
            <wp:docPr id="156" name="Диаграмма 15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4"/>
              </a:graphicData>
            </a:graphic>
          </wp:inline>
        </w:drawing>
      </w:r>
      <w:r w:rsidRPr="005F0419">
        <w:rPr>
          <w:rFonts w:ascii="Times New Roman" w:eastAsia="Calibri" w:hAnsi="Times New Roman" w:cs="Times New Roman"/>
          <w:bCs/>
          <w:sz w:val="28"/>
          <w:szCs w:val="28"/>
          <w:lang w:val="uk-UA" w:eastAsia="en-US"/>
        </w:rPr>
        <w:t xml:space="preserve">Рис. 16. </w:t>
      </w:r>
      <w:proofErr w:type="spellStart"/>
      <w:r w:rsidRPr="005F0419">
        <w:rPr>
          <w:rFonts w:ascii="Times New Roman" w:eastAsia="Calibri" w:hAnsi="Times New Roman" w:cs="Times New Roman"/>
          <w:bCs/>
          <w:sz w:val="28"/>
          <w:szCs w:val="28"/>
          <w:lang w:val="uk-UA" w:eastAsia="en-US"/>
        </w:rPr>
        <w:t>Макро</w:t>
      </w:r>
      <w:proofErr w:type="spellEnd"/>
      <w:r w:rsidRPr="005F0419">
        <w:rPr>
          <w:rFonts w:ascii="Times New Roman" w:eastAsia="Calibri" w:hAnsi="Times New Roman" w:cs="Times New Roman"/>
          <w:bCs/>
          <w:sz w:val="28"/>
          <w:szCs w:val="28"/>
          <w:lang w:val="uk-UA" w:eastAsia="en-US"/>
        </w:rPr>
        <w:t>-регіональні системи на міжнародному ринку туризму у 2022, %</w:t>
      </w:r>
    </w:p>
    <w:p w14:paraId="78C5796F" w14:textId="5E0DAEA8"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w:t>
      </w:r>
      <w:r w:rsidRPr="005F0419">
        <w:rPr>
          <w:rFonts w:ascii="Times New Roman" w:eastAsia="Calibri" w:hAnsi="Times New Roman" w:cs="Times New Roman"/>
          <w:i/>
          <w:sz w:val="28"/>
          <w:szCs w:val="28"/>
          <w:lang w:val="uk-UA" w:eastAsia="en-US"/>
        </w:rPr>
        <w:t xml:space="preserve"> </w:t>
      </w:r>
      <w:r w:rsidRPr="005F0419">
        <w:rPr>
          <w:rFonts w:ascii="Times New Roman" w:eastAsia="Calibri" w:hAnsi="Times New Roman" w:cs="Times New Roman"/>
          <w:sz w:val="28"/>
          <w:szCs w:val="28"/>
          <w:lang w:val="uk-UA" w:eastAsia="en-US"/>
        </w:rPr>
        <w:t>[39; 50; 56]</w:t>
      </w:r>
      <w:r w:rsidR="00C736CF" w:rsidRPr="005F0419">
        <w:rPr>
          <w:rFonts w:ascii="Times New Roman" w:eastAsia="Calibri" w:hAnsi="Times New Roman" w:cs="Times New Roman"/>
          <w:sz w:val="28"/>
          <w:szCs w:val="28"/>
          <w:lang w:val="uk-UA" w:eastAsia="en-US"/>
        </w:rPr>
        <w:t>.</w:t>
      </w:r>
    </w:p>
    <w:p w14:paraId="4AD08C23"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lastRenderedPageBreak/>
        <w:t xml:space="preserve">Локально-регіональні системи конкретних країн (Канада, Мексика, США) забезпечують 75% отриманого доходу від міжнародних туристичних потоків в американській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-регіональній системі. Доречно додати, що надзвичайно потужну готельну мережеву структуру у всьому світі мають США і її чудово доповнює високорозвинена транспортна індустрія.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-регіональна система Близького Сходу, до складу якої входять локально-регіональні системи ОАЕ та Саудівської Аравії, (2% у світовій індустрії туризму) та Африканська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-регіональна система, до складу входять локально-регіональні системи ЮАР, Тунісу, Марокко, Сейшельських Островів, (4% у світовій індустрії туризму) на міжнародному туристичному ринку займають відносно незначне місце [38]. </w:t>
      </w:r>
    </w:p>
    <w:p w14:paraId="3D9CFB73"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Темпи зростання (падіння) індексу міжнародного співробітництва між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-регіональними системами країн світу за кількістю переміщених туристів в локально-регіональних системах представлено на рис. 17. </w:t>
      </w:r>
    </w:p>
    <w:p w14:paraId="4A67315C" w14:textId="2136A483" w:rsidR="00662012"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sz w:val="28"/>
          <w:szCs w:val="28"/>
          <w:lang w:val="uk-UA" w:eastAsia="en-US"/>
        </w:rPr>
      </w:pPr>
      <w:r w:rsidRPr="005F0419">
        <w:rPr>
          <w:rFonts w:ascii="Times New Roman" w:eastAsia="Calibri" w:hAnsi="Times New Roman" w:cs="Times New Roman"/>
          <w:noProof/>
          <w:sz w:val="28"/>
          <w:szCs w:val="28"/>
          <w:lang w:val="uk-UA"/>
        </w:rPr>
        <w:drawing>
          <wp:inline distT="0" distB="0" distL="0" distR="0" wp14:anchorId="7C191AF2" wp14:editId="0090E168">
            <wp:extent cx="5634990" cy="3876261"/>
            <wp:effectExtent l="0" t="0" r="3810" b="0"/>
            <wp:docPr id="155" name="Диаграмма 15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5"/>
              </a:graphicData>
            </a:graphic>
          </wp:inline>
        </w:drawing>
      </w:r>
      <w:r w:rsidRPr="005F0419">
        <w:rPr>
          <w:rFonts w:ascii="Times New Roman" w:eastAsia="Calibri" w:hAnsi="Times New Roman" w:cs="Times New Roman"/>
          <w:bCs/>
          <w:sz w:val="28"/>
          <w:szCs w:val="28"/>
          <w:lang w:val="uk-UA" w:eastAsia="en-US"/>
        </w:rPr>
        <w:t xml:space="preserve">Рис. 17. </w:t>
      </w:r>
      <w:r w:rsidRPr="005F0419">
        <w:rPr>
          <w:rFonts w:ascii="Times New Roman" w:eastAsia="Calibri" w:hAnsi="Times New Roman" w:cs="Times New Roman"/>
          <w:sz w:val="28"/>
          <w:szCs w:val="28"/>
          <w:lang w:val="uk-UA" w:eastAsia="en-US"/>
        </w:rPr>
        <w:t xml:space="preserve">Темпи змін міжнародного співробітництва між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-регіональними системами країн світу за кількістю переміщених туристів в локально-регіональних системах </w:t>
      </w:r>
      <w:r w:rsidRPr="005F0419">
        <w:rPr>
          <w:rFonts w:ascii="Times New Roman" w:eastAsia="Calibri" w:hAnsi="Times New Roman" w:cs="Times New Roman"/>
          <w:bCs/>
          <w:sz w:val="28"/>
          <w:szCs w:val="28"/>
          <w:lang w:val="uk-UA" w:eastAsia="en-US"/>
        </w:rPr>
        <w:t>у 2018–2022 рр., %</w:t>
      </w:r>
    </w:p>
    <w:p w14:paraId="73DD744E" w14:textId="04D10DAF"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w:t>
      </w:r>
      <w:r w:rsidRPr="005F0419">
        <w:rPr>
          <w:rFonts w:ascii="Times New Roman" w:eastAsia="Calibri" w:hAnsi="Times New Roman" w:cs="Times New Roman"/>
          <w:i/>
          <w:sz w:val="28"/>
          <w:szCs w:val="28"/>
          <w:lang w:val="uk-UA" w:eastAsia="en-US"/>
        </w:rPr>
        <w:t xml:space="preserve"> </w:t>
      </w:r>
      <w:r w:rsidRPr="005F0419">
        <w:rPr>
          <w:rFonts w:ascii="Times New Roman" w:eastAsia="Calibri" w:hAnsi="Times New Roman" w:cs="Times New Roman"/>
          <w:sz w:val="28"/>
          <w:szCs w:val="28"/>
          <w:lang w:val="uk-UA" w:eastAsia="en-US"/>
        </w:rPr>
        <w:t>[49; 50]</w:t>
      </w:r>
      <w:r w:rsidR="00C736CF" w:rsidRPr="005F0419">
        <w:rPr>
          <w:rFonts w:ascii="Times New Roman" w:eastAsia="Calibri" w:hAnsi="Times New Roman" w:cs="Times New Roman"/>
          <w:sz w:val="28"/>
          <w:szCs w:val="28"/>
          <w:lang w:val="uk-UA" w:eastAsia="en-US"/>
        </w:rPr>
        <w:t>.</w:t>
      </w:r>
    </w:p>
    <w:p w14:paraId="1E6A7E94"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lastRenderedPageBreak/>
        <w:t xml:space="preserve">В геоекономічному просторі динаміка відновлення країни з локально-регіональною системою індустрії туризму обумовлена зростанням попиту з боку країн, що мають лише внутрішні туристичні </w:t>
      </w:r>
      <w:proofErr w:type="spellStart"/>
      <w:r w:rsidRPr="005F0419">
        <w:rPr>
          <w:rFonts w:ascii="Times New Roman" w:eastAsia="Calibri" w:hAnsi="Times New Roman" w:cs="Times New Roman"/>
          <w:sz w:val="28"/>
          <w:szCs w:val="28"/>
          <w:lang w:val="uk-UA" w:eastAsia="en-US"/>
        </w:rPr>
        <w:t>дестинації</w:t>
      </w:r>
      <w:proofErr w:type="spellEnd"/>
      <w:r w:rsidRPr="005F0419">
        <w:rPr>
          <w:rFonts w:ascii="Times New Roman" w:eastAsia="Calibri" w:hAnsi="Times New Roman" w:cs="Times New Roman"/>
          <w:sz w:val="28"/>
          <w:szCs w:val="28"/>
          <w:lang w:val="uk-UA" w:eastAsia="en-US"/>
        </w:rPr>
        <w:t xml:space="preserve">, тобто або тільки розвиваються, або відроджуються в </w:t>
      </w:r>
      <w:proofErr w:type="spellStart"/>
      <w:r w:rsidRPr="005F0419">
        <w:rPr>
          <w:rFonts w:ascii="Times New Roman" w:eastAsia="Calibri" w:hAnsi="Times New Roman" w:cs="Times New Roman"/>
          <w:sz w:val="28"/>
          <w:szCs w:val="28"/>
          <w:lang w:val="uk-UA" w:eastAsia="en-US"/>
        </w:rPr>
        <w:t>постконфліктному</w:t>
      </w:r>
      <w:proofErr w:type="spellEnd"/>
      <w:r w:rsidRPr="005F0419">
        <w:rPr>
          <w:rFonts w:ascii="Times New Roman" w:eastAsia="Calibri" w:hAnsi="Times New Roman" w:cs="Times New Roman"/>
          <w:sz w:val="28"/>
          <w:szCs w:val="28"/>
          <w:lang w:val="uk-UA" w:eastAsia="en-US"/>
        </w:rPr>
        <w:t xml:space="preserve"> періоді. Тобто, доцільно зазначити: зберігається залежність потенціалу міжнародного співробітництва української індустрії туризму від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-регіональних систем розвинених країн. Так, країни Європи ще залишаються базовим центром культурно-пізнавального туризму. Однак, останнім часом все більшого значення для реалізації даного виду туристично-рекреаційного потенціалу набуває Азія, зокрема, Індія і Китай [41]. </w:t>
      </w:r>
      <w:proofErr w:type="spellStart"/>
      <w:r w:rsidRPr="005F0419">
        <w:rPr>
          <w:rFonts w:ascii="Times New Roman" w:eastAsia="Calibri" w:hAnsi="Times New Roman" w:cs="Times New Roman"/>
          <w:sz w:val="28"/>
          <w:szCs w:val="28"/>
          <w:lang w:val="uk-UA" w:eastAsia="en-US"/>
        </w:rPr>
        <w:t>Азійсько</w:t>
      </w:r>
      <w:proofErr w:type="spellEnd"/>
      <w:r w:rsidRPr="005F0419">
        <w:rPr>
          <w:rFonts w:ascii="Times New Roman" w:eastAsia="Calibri" w:hAnsi="Times New Roman" w:cs="Times New Roman"/>
          <w:sz w:val="28"/>
          <w:szCs w:val="28"/>
          <w:lang w:val="uk-UA" w:eastAsia="en-US"/>
        </w:rPr>
        <w:t>-тихоокеанські країни відвідало 308,4 млн. туристів з усього світу у 2021 р. (25% у структурі світової індустрії туризму); країни Північної та Південної Америки – 199,3 млн. осіб (16,1%); різні країни Африки – 57,8 млн. осіб (4,7%); країни Близького Сходу відвідали 53,6 млн. туристів (4,3% ) [50].</w:t>
      </w:r>
    </w:p>
    <w:p w14:paraId="6DAC482C" w14:textId="77777777" w:rsidR="00C736CF"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У 2022 році географічна структура міжнародного співробітництва країн в геоекономічному просторі індустрії туризму не зазнала змін у порівнянні з 2015 роком. Найбільша кількість туристів відвідала Францію, США, Іспанію, Китай і Італію (рис. 18). </w:t>
      </w:r>
    </w:p>
    <w:p w14:paraId="28155853" w14:textId="681BBA2A" w:rsidR="00662012"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sz w:val="28"/>
          <w:szCs w:val="28"/>
          <w:lang w:val="uk-UA" w:eastAsia="en-US"/>
        </w:rPr>
      </w:pPr>
      <w:r w:rsidRPr="005F0419">
        <w:rPr>
          <w:rFonts w:ascii="Times New Roman" w:eastAsia="Calibri" w:hAnsi="Times New Roman" w:cs="Times New Roman"/>
          <w:noProof/>
          <w:sz w:val="28"/>
          <w:szCs w:val="28"/>
          <w:lang w:val="uk-UA"/>
        </w:rPr>
        <w:drawing>
          <wp:inline distT="0" distB="0" distL="0" distR="0" wp14:anchorId="6A2BB943" wp14:editId="4C6410E9">
            <wp:extent cx="5664835" cy="2782956"/>
            <wp:effectExtent l="0" t="0" r="0" b="0"/>
            <wp:docPr id="154" name="Диаграмма 15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6"/>
              </a:graphicData>
            </a:graphic>
          </wp:inline>
        </w:drawing>
      </w:r>
      <w:r w:rsidRPr="005F0419">
        <w:rPr>
          <w:rFonts w:ascii="Times New Roman" w:eastAsia="Calibri" w:hAnsi="Times New Roman" w:cs="Times New Roman"/>
          <w:bCs/>
          <w:sz w:val="28"/>
          <w:szCs w:val="28"/>
          <w:lang w:val="uk-UA" w:eastAsia="en-US"/>
        </w:rPr>
        <w:t xml:space="preserve">Рис. 18.  Потенціал </w:t>
      </w:r>
      <w:r w:rsidRPr="005F0419">
        <w:rPr>
          <w:rFonts w:ascii="Times New Roman" w:eastAsia="Calibri" w:hAnsi="Times New Roman" w:cs="Times New Roman"/>
          <w:sz w:val="28"/>
          <w:szCs w:val="28"/>
          <w:lang w:val="uk-UA" w:eastAsia="en-US"/>
        </w:rPr>
        <w:t xml:space="preserve">міжнародного співробітництва країн-лідерів локально-регіональних систем за кількістю туристів </w:t>
      </w:r>
      <w:r w:rsidRPr="005F0419">
        <w:rPr>
          <w:rFonts w:ascii="Times New Roman" w:eastAsia="Calibri" w:hAnsi="Times New Roman" w:cs="Times New Roman"/>
          <w:bCs/>
          <w:sz w:val="28"/>
          <w:szCs w:val="28"/>
          <w:lang w:val="uk-UA" w:eastAsia="en-US"/>
        </w:rPr>
        <w:t>у 2022 році, млн. осіб</w:t>
      </w:r>
    </w:p>
    <w:p w14:paraId="55EA340E" w14:textId="5C489259"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w:t>
      </w:r>
      <w:r w:rsidRPr="005F0419">
        <w:rPr>
          <w:rFonts w:ascii="Times New Roman" w:eastAsia="Calibri" w:hAnsi="Times New Roman" w:cs="Times New Roman"/>
          <w:i/>
          <w:sz w:val="28"/>
          <w:szCs w:val="28"/>
          <w:lang w:val="uk-UA" w:eastAsia="en-US"/>
        </w:rPr>
        <w:t xml:space="preserve"> </w:t>
      </w:r>
      <w:r w:rsidRPr="005F0419">
        <w:rPr>
          <w:rFonts w:ascii="Times New Roman" w:eastAsia="Calibri" w:hAnsi="Times New Roman" w:cs="Times New Roman"/>
          <w:sz w:val="28"/>
          <w:szCs w:val="28"/>
          <w:lang w:val="uk-UA" w:eastAsia="en-US"/>
        </w:rPr>
        <w:t>[41; 50]</w:t>
      </w:r>
      <w:r w:rsidR="00C736CF" w:rsidRPr="005F0419">
        <w:rPr>
          <w:rFonts w:ascii="Times New Roman" w:eastAsia="Calibri" w:hAnsi="Times New Roman" w:cs="Times New Roman"/>
          <w:sz w:val="28"/>
          <w:szCs w:val="28"/>
          <w:lang w:val="uk-UA" w:eastAsia="en-US"/>
        </w:rPr>
        <w:t>.</w:t>
      </w:r>
    </w:p>
    <w:p w14:paraId="4F5B860F" w14:textId="77777777" w:rsidR="00C736CF" w:rsidRPr="005F0419" w:rsidRDefault="00C736CF" w:rsidP="00C736CF">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lastRenderedPageBreak/>
        <w:t xml:space="preserve">При цьому, однією з найбільш характерних тенденцій розвитку міжнародного туризму є переважання кількості туристів, які подорожують до країн локально-регіональних систем, що географічно знаходяться поруч одна з одною або близько розташованих між собою, у порівнянні з кількістю туристів, які налаштовані на подорожі в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-регіональні системи далекої відстані.</w:t>
      </w:r>
    </w:p>
    <w:p w14:paraId="7020DC8C" w14:textId="77777777" w:rsidR="00C736CF"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sz w:val="28"/>
          <w:szCs w:val="28"/>
          <w:lang w:val="uk-UA" w:eastAsia="en-US"/>
        </w:rPr>
      </w:pPr>
      <w:r w:rsidRPr="005F0419">
        <w:rPr>
          <w:rFonts w:ascii="Times New Roman" w:eastAsia="Calibri" w:hAnsi="Times New Roman" w:cs="Times New Roman"/>
          <w:noProof/>
          <w:sz w:val="28"/>
          <w:szCs w:val="28"/>
          <w:lang w:val="uk-UA"/>
        </w:rPr>
        <w:drawing>
          <wp:inline distT="0" distB="0" distL="0" distR="0" wp14:anchorId="2A6F379A" wp14:editId="24EC649F">
            <wp:extent cx="5655310" cy="2314575"/>
            <wp:effectExtent l="0" t="0" r="2540" b="0"/>
            <wp:docPr id="153" name="Диаграмма 1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7"/>
              </a:graphicData>
            </a:graphic>
          </wp:inline>
        </w:drawing>
      </w:r>
      <w:r w:rsidRPr="005F0419">
        <w:rPr>
          <w:rFonts w:ascii="Times New Roman" w:eastAsia="Calibri" w:hAnsi="Times New Roman" w:cs="Times New Roman"/>
          <w:bCs/>
          <w:sz w:val="28"/>
          <w:szCs w:val="28"/>
          <w:lang w:val="uk-UA" w:eastAsia="en-US"/>
        </w:rPr>
        <w:t>Рис. 19. П</w:t>
      </w:r>
      <w:r w:rsidRPr="005F0419">
        <w:rPr>
          <w:rFonts w:ascii="Times New Roman" w:eastAsia="Calibri" w:hAnsi="Times New Roman" w:cs="Times New Roman"/>
          <w:sz w:val="28"/>
          <w:szCs w:val="28"/>
          <w:lang w:val="uk-UA" w:eastAsia="en-US"/>
        </w:rPr>
        <w:t xml:space="preserve">отенціал міжнародного співробітництва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-регіональних систем з розвиненою та </w:t>
      </w:r>
      <w:proofErr w:type="spellStart"/>
      <w:r w:rsidRPr="005F0419">
        <w:rPr>
          <w:rFonts w:ascii="Times New Roman" w:eastAsia="Calibri" w:hAnsi="Times New Roman" w:cs="Times New Roman"/>
          <w:sz w:val="28"/>
          <w:szCs w:val="28"/>
          <w:lang w:val="uk-UA" w:eastAsia="en-US"/>
        </w:rPr>
        <w:t>слабкорозвиненою</w:t>
      </w:r>
      <w:proofErr w:type="spellEnd"/>
      <w:r w:rsidRPr="005F0419">
        <w:rPr>
          <w:rFonts w:ascii="Times New Roman" w:eastAsia="Calibri" w:hAnsi="Times New Roman" w:cs="Times New Roman"/>
          <w:sz w:val="28"/>
          <w:szCs w:val="28"/>
          <w:lang w:val="uk-UA" w:eastAsia="en-US"/>
        </w:rPr>
        <w:t xml:space="preserve"> </w:t>
      </w:r>
      <w:proofErr w:type="spellStart"/>
      <w:r w:rsidRPr="005F0419">
        <w:rPr>
          <w:rFonts w:ascii="Times New Roman" w:eastAsia="Calibri" w:hAnsi="Times New Roman" w:cs="Times New Roman"/>
          <w:sz w:val="28"/>
          <w:szCs w:val="28"/>
          <w:lang w:val="uk-UA" w:eastAsia="en-US"/>
        </w:rPr>
        <w:t>геоекономікою</w:t>
      </w:r>
      <w:proofErr w:type="spellEnd"/>
      <w:r w:rsidRPr="005F0419">
        <w:rPr>
          <w:rFonts w:ascii="Times New Roman" w:eastAsia="Calibri" w:hAnsi="Times New Roman" w:cs="Times New Roman"/>
          <w:sz w:val="28"/>
          <w:szCs w:val="28"/>
          <w:lang w:val="uk-UA" w:eastAsia="en-US"/>
        </w:rPr>
        <w:t xml:space="preserve"> індустрії туризму </w:t>
      </w:r>
    </w:p>
    <w:p w14:paraId="50D3F3A4" w14:textId="61074CF9" w:rsidR="00662012"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у 2024–2026 рр., млн. осіб</w:t>
      </w:r>
    </w:p>
    <w:p w14:paraId="6E36AFD8" w14:textId="705B3425"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w:t>
      </w:r>
      <w:r w:rsidRPr="005F0419">
        <w:rPr>
          <w:rFonts w:ascii="Times New Roman" w:eastAsia="Calibri" w:hAnsi="Times New Roman" w:cs="Times New Roman"/>
          <w:i/>
          <w:sz w:val="28"/>
          <w:szCs w:val="28"/>
          <w:lang w:val="uk-UA" w:eastAsia="en-US"/>
        </w:rPr>
        <w:t xml:space="preserve"> </w:t>
      </w:r>
      <w:r w:rsidRPr="005F0419">
        <w:rPr>
          <w:rFonts w:ascii="Times New Roman" w:eastAsia="Calibri" w:hAnsi="Times New Roman" w:cs="Times New Roman"/>
          <w:sz w:val="28"/>
          <w:szCs w:val="28"/>
          <w:lang w:val="uk-UA" w:eastAsia="en-US"/>
        </w:rPr>
        <w:t>[56]</w:t>
      </w:r>
      <w:r w:rsidR="00C736CF" w:rsidRPr="005F0419">
        <w:rPr>
          <w:rFonts w:ascii="Times New Roman" w:eastAsia="Calibri" w:hAnsi="Times New Roman" w:cs="Times New Roman"/>
          <w:sz w:val="28"/>
          <w:szCs w:val="28"/>
          <w:lang w:val="uk-UA" w:eastAsia="en-US"/>
        </w:rPr>
        <w:t>.</w:t>
      </w:r>
    </w:p>
    <w:p w14:paraId="75EC672D" w14:textId="77777777" w:rsidR="00C736CF" w:rsidRPr="005F0419" w:rsidRDefault="00C736CF"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p>
    <w:p w14:paraId="4304E66F"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В кризових умовах при частковому спаді попиту на туристичні продукти індустрія туризму перевищує 10% обсягу світової </w:t>
      </w:r>
      <w:proofErr w:type="spellStart"/>
      <w:r w:rsidRPr="005F0419">
        <w:rPr>
          <w:rFonts w:ascii="Times New Roman" w:eastAsia="Calibri" w:hAnsi="Times New Roman" w:cs="Times New Roman"/>
          <w:sz w:val="28"/>
          <w:szCs w:val="28"/>
          <w:lang w:val="uk-UA" w:eastAsia="en-US"/>
        </w:rPr>
        <w:t>геоекономіки</w:t>
      </w:r>
      <w:proofErr w:type="spellEnd"/>
      <w:r w:rsidRPr="005F0419">
        <w:rPr>
          <w:rFonts w:ascii="Times New Roman" w:eastAsia="Calibri" w:hAnsi="Times New Roman" w:cs="Times New Roman"/>
          <w:sz w:val="28"/>
          <w:szCs w:val="28"/>
          <w:lang w:val="uk-UA" w:eastAsia="en-US"/>
        </w:rPr>
        <w:t xml:space="preserve"> у сфері надання послуг. Після обсягів міжнародної торгівлі нафтою та автомобілями індустрія туризму у реалізації потенціалу міжнародного співробітництва посідає третє місце. Тобто, очікується, що до 2026 року щорічні темпи сукупного зростання бізнесу в міжнародному туризмі складуть від 4,1% до 5,3%. Одночасно з цим, сукупна вартість подорожей складе від 1560 до 1642 млн. </w:t>
      </w:r>
      <w:proofErr w:type="spellStart"/>
      <w:r w:rsidRPr="005F0419">
        <w:rPr>
          <w:rFonts w:ascii="Times New Roman" w:eastAsia="Calibri" w:hAnsi="Times New Roman" w:cs="Times New Roman"/>
          <w:sz w:val="28"/>
          <w:szCs w:val="28"/>
          <w:lang w:val="uk-UA" w:eastAsia="en-US"/>
        </w:rPr>
        <w:t>дол</w:t>
      </w:r>
      <w:proofErr w:type="spellEnd"/>
      <w:r w:rsidRPr="005F0419">
        <w:rPr>
          <w:rFonts w:ascii="Times New Roman" w:eastAsia="Calibri" w:hAnsi="Times New Roman" w:cs="Times New Roman"/>
          <w:sz w:val="28"/>
          <w:szCs w:val="28"/>
          <w:lang w:val="uk-UA" w:eastAsia="en-US"/>
        </w:rPr>
        <w:t xml:space="preserve">. США (рис. 19). </w:t>
      </w:r>
    </w:p>
    <w:p w14:paraId="2E08F8A2"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За прогнозом у 2024–2026 роках середній щорічний темп змін індексу міжнародного співробітництва в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-регіональній системі Африки складе 3,3%, Північної та Південної Америки – 4,52%, </w:t>
      </w:r>
      <w:proofErr w:type="spellStart"/>
      <w:r w:rsidRPr="005F0419">
        <w:rPr>
          <w:rFonts w:ascii="Times New Roman" w:eastAsia="Calibri" w:hAnsi="Times New Roman" w:cs="Times New Roman"/>
          <w:sz w:val="28"/>
          <w:szCs w:val="28"/>
          <w:lang w:val="uk-UA" w:eastAsia="en-US"/>
        </w:rPr>
        <w:t>Азійсько</w:t>
      </w:r>
      <w:proofErr w:type="spellEnd"/>
      <w:r w:rsidRPr="005F0419">
        <w:rPr>
          <w:rFonts w:ascii="Times New Roman" w:eastAsia="Calibri" w:hAnsi="Times New Roman" w:cs="Times New Roman"/>
          <w:sz w:val="28"/>
          <w:szCs w:val="28"/>
          <w:lang w:val="uk-UA" w:eastAsia="en-US"/>
        </w:rPr>
        <w:t>-Тихоокеанському регіоні – 5%, Європі – 7,12%, Близького Сходу дорівнюватиме 7,82% (рис. 20).</w:t>
      </w:r>
    </w:p>
    <w:p w14:paraId="29371D32" w14:textId="236A67B3" w:rsidR="00662012"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sz w:val="28"/>
          <w:szCs w:val="28"/>
          <w:lang w:val="uk-UA" w:eastAsia="en-US"/>
        </w:rPr>
      </w:pPr>
      <w:r w:rsidRPr="005F0419">
        <w:rPr>
          <w:rFonts w:ascii="Times New Roman" w:eastAsia="Calibri" w:hAnsi="Times New Roman" w:cs="Times New Roman"/>
          <w:noProof/>
          <w:sz w:val="28"/>
          <w:szCs w:val="28"/>
          <w:lang w:val="uk-UA"/>
        </w:rPr>
        <w:lastRenderedPageBreak/>
        <w:drawing>
          <wp:inline distT="0" distB="0" distL="0" distR="0" wp14:anchorId="07B4D6E1" wp14:editId="0D11E1E5">
            <wp:extent cx="5515610" cy="3756992"/>
            <wp:effectExtent l="0" t="0" r="8890" b="15240"/>
            <wp:docPr id="152" name="Диаграмма 15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8"/>
              </a:graphicData>
            </a:graphic>
          </wp:inline>
        </w:drawing>
      </w:r>
      <w:r w:rsidRPr="005F0419">
        <w:rPr>
          <w:rFonts w:ascii="Times New Roman" w:eastAsia="Calibri" w:hAnsi="Times New Roman" w:cs="Times New Roman"/>
          <w:bCs/>
          <w:sz w:val="28"/>
          <w:szCs w:val="28"/>
          <w:lang w:val="uk-UA" w:eastAsia="en-US"/>
        </w:rPr>
        <w:t xml:space="preserve"> Рис. 20. </w:t>
      </w:r>
      <w:r w:rsidRPr="005F0419">
        <w:rPr>
          <w:rFonts w:ascii="Times New Roman" w:eastAsia="Calibri" w:hAnsi="Times New Roman" w:cs="Times New Roman"/>
          <w:sz w:val="28"/>
          <w:szCs w:val="28"/>
          <w:lang w:val="uk-UA" w:eastAsia="en-US"/>
        </w:rPr>
        <w:t xml:space="preserve">Динаміка індексу міжнародного співробітництва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-регіональних систем з розвиненою </w:t>
      </w:r>
      <w:proofErr w:type="spellStart"/>
      <w:r w:rsidRPr="005F0419">
        <w:rPr>
          <w:rFonts w:ascii="Times New Roman" w:eastAsia="Calibri" w:hAnsi="Times New Roman" w:cs="Times New Roman"/>
          <w:sz w:val="28"/>
          <w:szCs w:val="28"/>
          <w:lang w:val="uk-UA" w:eastAsia="en-US"/>
        </w:rPr>
        <w:t>геоекономікою</w:t>
      </w:r>
      <w:proofErr w:type="spellEnd"/>
      <w:r w:rsidRPr="005F0419">
        <w:rPr>
          <w:rFonts w:ascii="Times New Roman" w:eastAsia="Calibri" w:hAnsi="Times New Roman" w:cs="Times New Roman"/>
          <w:sz w:val="28"/>
          <w:szCs w:val="28"/>
          <w:lang w:val="uk-UA" w:eastAsia="en-US"/>
        </w:rPr>
        <w:t xml:space="preserve"> індустрії туризму у 2024–2026 рр., %</w:t>
      </w:r>
    </w:p>
    <w:p w14:paraId="4267BF6F" w14:textId="093F0D61"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w:t>
      </w:r>
      <w:r w:rsidRPr="005F0419">
        <w:rPr>
          <w:rFonts w:ascii="Times New Roman" w:eastAsia="Calibri" w:hAnsi="Times New Roman" w:cs="Times New Roman"/>
          <w:i/>
          <w:sz w:val="28"/>
          <w:szCs w:val="28"/>
          <w:lang w:val="uk-UA" w:eastAsia="en-US"/>
        </w:rPr>
        <w:t xml:space="preserve"> </w:t>
      </w:r>
      <w:r w:rsidRPr="005F0419">
        <w:rPr>
          <w:rFonts w:ascii="Times New Roman" w:eastAsia="Calibri" w:hAnsi="Times New Roman" w:cs="Times New Roman"/>
          <w:sz w:val="28"/>
          <w:szCs w:val="28"/>
          <w:lang w:val="uk-UA" w:eastAsia="en-US"/>
        </w:rPr>
        <w:t>[50; 56]</w:t>
      </w:r>
      <w:r w:rsidR="00C736CF" w:rsidRPr="005F0419">
        <w:rPr>
          <w:rFonts w:ascii="Times New Roman" w:eastAsia="Calibri" w:hAnsi="Times New Roman" w:cs="Times New Roman"/>
          <w:sz w:val="28"/>
          <w:szCs w:val="28"/>
          <w:lang w:val="uk-UA" w:eastAsia="en-US"/>
        </w:rPr>
        <w:t>.</w:t>
      </w:r>
    </w:p>
    <w:p w14:paraId="2127EEFA"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i/>
          <w:sz w:val="28"/>
          <w:szCs w:val="28"/>
          <w:lang w:val="uk-UA" w:eastAsia="en-US"/>
        </w:rPr>
      </w:pPr>
    </w:p>
    <w:p w14:paraId="1407A4A5"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rPr>
      </w:pPr>
      <w:r w:rsidRPr="005F0419">
        <w:rPr>
          <w:rFonts w:ascii="Times New Roman" w:eastAsia="Calibri" w:hAnsi="Times New Roman" w:cs="Times New Roman"/>
          <w:sz w:val="28"/>
          <w:szCs w:val="28"/>
          <w:lang w:val="uk-UA" w:eastAsia="en-US"/>
        </w:rPr>
        <w:t>В кризових умовах геоекономічного простору, воєнного стану в Україні, демографічної специфіки та структури держави, а також враховуючи внутрішні міграційні процеси (переміщення громадян нашої держави до Західних регіонів (Вінницького, Волинського, Закарпатського, Івано-Франківського, Львівського, Рівненського, Тернопільського, Хмельницького, Чернівецького; і Центральних вітчизняних регіонів: м. Києва, Житомирського, Київського, Кіровоградського, Полтавського, Сумського, Черкаського, Чернігівського), визначено сучасний геоекономічний</w:t>
      </w:r>
      <w:r w:rsidRPr="005F0419">
        <w:rPr>
          <w:rFonts w:ascii="Times New Roman" w:eastAsia="Calibri" w:hAnsi="Times New Roman" w:cs="Times New Roman"/>
          <w:sz w:val="28"/>
          <w:szCs w:val="28"/>
          <w:lang w:val="uk-UA"/>
        </w:rPr>
        <w:t xml:space="preserve"> </w:t>
      </w:r>
      <w:r w:rsidRPr="005F0419">
        <w:rPr>
          <w:rFonts w:ascii="Times New Roman" w:hAnsi="Times New Roman" w:cs="Times New Roman"/>
          <w:sz w:val="28"/>
          <w:szCs w:val="28"/>
          <w:lang w:val="uk-UA"/>
        </w:rPr>
        <w:t xml:space="preserve">простір бізнесу локально-регіональних систем країни, як ядра розвитку потенціалу міжнародного співробітництва </w:t>
      </w:r>
      <w:r w:rsidRPr="005F0419">
        <w:rPr>
          <w:rFonts w:ascii="Times New Roman" w:eastAsia="TimesNewRomanPSMT" w:hAnsi="Times New Roman" w:cs="Times New Roman"/>
          <w:sz w:val="28"/>
          <w:szCs w:val="28"/>
          <w:lang w:val="uk-UA" w:eastAsia="en-US"/>
        </w:rPr>
        <w:t xml:space="preserve">між країнами Європи </w:t>
      </w:r>
      <w:r w:rsidRPr="005F0419">
        <w:rPr>
          <w:rFonts w:ascii="Times New Roman" w:eastAsia="Calibri" w:hAnsi="Times New Roman" w:cs="Times New Roman"/>
          <w:sz w:val="28"/>
          <w:szCs w:val="28"/>
          <w:lang w:val="uk-UA" w:eastAsia="en-US"/>
        </w:rPr>
        <w:t>[56].</w:t>
      </w:r>
      <w:r w:rsidRPr="005F0419">
        <w:rPr>
          <w:rFonts w:ascii="Times New Roman" w:eastAsia="TimesNewRomanPSMT" w:hAnsi="Times New Roman" w:cs="Times New Roman"/>
          <w:sz w:val="28"/>
          <w:szCs w:val="28"/>
          <w:lang w:val="uk-UA" w:eastAsia="en-US"/>
        </w:rPr>
        <w:t xml:space="preserve"> </w:t>
      </w:r>
    </w:p>
    <w:p w14:paraId="04440DC9" w14:textId="77777777" w:rsidR="00662012" w:rsidRPr="005F0419" w:rsidRDefault="00662012" w:rsidP="00662012">
      <w:pPr>
        <w:suppressAutoHyphens/>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TimesNewRomanPSMT" w:hAnsi="Times New Roman" w:cs="Times New Roman"/>
          <w:sz w:val="28"/>
          <w:szCs w:val="28"/>
          <w:lang w:val="uk-UA" w:eastAsia="en-US"/>
        </w:rPr>
        <w:t xml:space="preserve">Здійснено кластеризацію </w:t>
      </w:r>
      <w:proofErr w:type="spellStart"/>
      <w:r w:rsidRPr="005F0419">
        <w:rPr>
          <w:rFonts w:ascii="Times New Roman" w:eastAsia="TimesNewRomanPSMT" w:hAnsi="Times New Roman" w:cs="Times New Roman"/>
          <w:sz w:val="28"/>
          <w:szCs w:val="28"/>
          <w:lang w:val="uk-UA" w:eastAsia="en-US"/>
        </w:rPr>
        <w:t>макро</w:t>
      </w:r>
      <w:proofErr w:type="spellEnd"/>
      <w:r w:rsidRPr="005F0419">
        <w:rPr>
          <w:rFonts w:ascii="Times New Roman" w:eastAsia="TimesNewRomanPSMT" w:hAnsi="Times New Roman" w:cs="Times New Roman"/>
          <w:sz w:val="28"/>
          <w:szCs w:val="28"/>
          <w:lang w:val="uk-UA" w:eastAsia="en-US"/>
        </w:rPr>
        <w:t xml:space="preserve">-регіональних та локально-регіональних систем з позиції динаміки приросту залучення прямих іноземних інвестицій країн Європи в розвиток індустрії туризму вітчизняних </w:t>
      </w:r>
      <w:r w:rsidRPr="005F0419">
        <w:rPr>
          <w:rFonts w:ascii="Times New Roman" w:eastAsia="Calibri" w:hAnsi="Times New Roman" w:cs="Times New Roman"/>
          <w:sz w:val="28"/>
          <w:szCs w:val="28"/>
          <w:lang w:val="uk-UA" w:eastAsia="en-US"/>
        </w:rPr>
        <w:t>Західних і Центральних регіонів (</w:t>
      </w:r>
      <w:r w:rsidRPr="005F0419">
        <w:rPr>
          <w:rFonts w:ascii="Times New Roman" w:eastAsia="TimesNewRomanPSMT" w:hAnsi="Times New Roman" w:cs="Times New Roman"/>
          <w:sz w:val="28"/>
          <w:szCs w:val="28"/>
          <w:lang w:val="uk-UA" w:eastAsia="en-US"/>
        </w:rPr>
        <w:t xml:space="preserve">схожі за створенням комплексного туристичного продукту). Також за </w:t>
      </w:r>
      <w:r w:rsidRPr="005F0419">
        <w:rPr>
          <w:rFonts w:ascii="Times New Roman" w:eastAsia="TimesNewRomanPSMT" w:hAnsi="Times New Roman" w:cs="Times New Roman"/>
          <w:sz w:val="28"/>
          <w:szCs w:val="28"/>
          <w:lang w:val="uk-UA" w:eastAsia="en-US"/>
        </w:rPr>
        <w:lastRenderedPageBreak/>
        <w:t xml:space="preserve">розрахунками побудовано економічну модель міжнародного співробітництва на основі двосторонніх туристичних потоків. </w:t>
      </w:r>
      <w:r w:rsidRPr="005F0419">
        <w:rPr>
          <w:rFonts w:ascii="Times New Roman" w:eastAsia="Calibri" w:hAnsi="Times New Roman" w:cs="Times New Roman"/>
          <w:sz w:val="28"/>
          <w:szCs w:val="28"/>
          <w:lang w:val="uk-UA" w:eastAsia="en-US"/>
        </w:rPr>
        <w:t xml:space="preserve">Алгоритмом кластеризації є метод повних </w:t>
      </w:r>
      <w:proofErr w:type="spellStart"/>
      <w:r w:rsidRPr="005F0419">
        <w:rPr>
          <w:rFonts w:ascii="Times New Roman" w:eastAsia="Calibri" w:hAnsi="Times New Roman" w:cs="Times New Roman"/>
          <w:sz w:val="28"/>
          <w:szCs w:val="28"/>
          <w:lang w:val="uk-UA" w:eastAsia="en-US"/>
        </w:rPr>
        <w:t>зв’язків</w:t>
      </w:r>
      <w:proofErr w:type="spellEnd"/>
      <w:r w:rsidRPr="005F0419">
        <w:rPr>
          <w:rFonts w:ascii="Times New Roman" w:eastAsia="Calibri" w:hAnsi="Times New Roman" w:cs="Times New Roman"/>
          <w:sz w:val="28"/>
          <w:szCs w:val="28"/>
          <w:lang w:val="uk-UA" w:eastAsia="en-US"/>
        </w:rPr>
        <w:t xml:space="preserve"> – включає нові об’єкти з заданими відстанями [11; 40] (табл. 1).</w:t>
      </w:r>
    </w:p>
    <w:p w14:paraId="744419EC" w14:textId="73A37A47" w:rsidR="00C736CF" w:rsidRPr="005F0419" w:rsidRDefault="00662012" w:rsidP="00C736CF">
      <w:pPr>
        <w:suppressAutoHyphens/>
        <w:spacing w:after="0" w:line="360" w:lineRule="auto"/>
        <w:ind w:firstLine="720"/>
        <w:jc w:val="right"/>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Таблиця 1</w:t>
      </w:r>
    </w:p>
    <w:p w14:paraId="1D7CE8D9" w14:textId="4D2735B4" w:rsidR="00662012" w:rsidRPr="005F0419" w:rsidRDefault="00662012" w:rsidP="00662012">
      <w:pPr>
        <w:suppressAutoHyphens/>
        <w:spacing w:after="0" w:line="360" w:lineRule="auto"/>
        <w:ind w:firstLine="720"/>
        <w:jc w:val="center"/>
        <w:rPr>
          <w:rFonts w:ascii="Times New Roman" w:hAnsi="Times New Roman" w:cs="Times New Roman"/>
          <w:sz w:val="28"/>
          <w:szCs w:val="28"/>
          <w:lang w:val="uk-UA"/>
        </w:rPr>
      </w:pPr>
      <w:r w:rsidRPr="005F0419">
        <w:rPr>
          <w:rFonts w:ascii="Times New Roman" w:eastAsia="Calibri" w:hAnsi="Times New Roman" w:cs="Times New Roman"/>
          <w:sz w:val="28"/>
          <w:szCs w:val="28"/>
          <w:lang w:val="uk-UA" w:eastAsia="en-US"/>
        </w:rPr>
        <w:t xml:space="preserve">Структура </w:t>
      </w:r>
      <w:r w:rsidRPr="005F0419">
        <w:rPr>
          <w:rFonts w:ascii="Times New Roman" w:hAnsi="Times New Roman" w:cs="Times New Roman"/>
          <w:sz w:val="28"/>
          <w:szCs w:val="28"/>
          <w:lang w:val="uk-UA"/>
        </w:rPr>
        <w:t xml:space="preserve">туристичних кластерів </w:t>
      </w:r>
      <w:proofErr w:type="spellStart"/>
      <w:r w:rsidRPr="005F0419">
        <w:rPr>
          <w:rFonts w:ascii="Times New Roman" w:hAnsi="Times New Roman" w:cs="Times New Roman"/>
          <w:sz w:val="28"/>
          <w:szCs w:val="28"/>
          <w:lang w:val="uk-UA"/>
        </w:rPr>
        <w:t>макро-регіональих</w:t>
      </w:r>
      <w:proofErr w:type="spellEnd"/>
      <w:r w:rsidRPr="005F0419">
        <w:rPr>
          <w:rFonts w:ascii="Times New Roman" w:hAnsi="Times New Roman" w:cs="Times New Roman"/>
          <w:sz w:val="28"/>
          <w:szCs w:val="28"/>
          <w:lang w:val="uk-UA"/>
        </w:rPr>
        <w:t xml:space="preserve"> систем Європи </w:t>
      </w:r>
    </w:p>
    <w:p w14:paraId="5BFD8C25" w14:textId="77777777" w:rsidR="00662012"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sz w:val="28"/>
          <w:szCs w:val="28"/>
          <w:lang w:val="uk-UA" w:eastAsia="en-US"/>
        </w:rPr>
      </w:pPr>
      <w:r w:rsidRPr="005F0419">
        <w:rPr>
          <w:rFonts w:ascii="Times New Roman" w:hAnsi="Times New Roman" w:cs="Times New Roman"/>
          <w:sz w:val="28"/>
          <w:szCs w:val="28"/>
          <w:lang w:val="uk-UA"/>
        </w:rPr>
        <w:t>та локально-регіональні системи України</w:t>
      </w:r>
      <w:r w:rsidRPr="005F0419">
        <w:rPr>
          <w:rFonts w:ascii="Times New Roman" w:eastAsia="Calibri" w:hAnsi="Times New Roman" w:cs="Times New Roman"/>
          <w:sz w:val="28"/>
          <w:szCs w:val="28"/>
          <w:lang w:val="uk-UA" w:eastAsia="en-US"/>
        </w:rPr>
        <w:t xml:space="preserve"> (за методом </w:t>
      </w:r>
      <w:proofErr w:type="spellStart"/>
      <w:r w:rsidRPr="005F0419">
        <w:rPr>
          <w:rFonts w:ascii="Times New Roman" w:eastAsia="Calibri" w:hAnsi="Times New Roman" w:cs="Times New Roman"/>
          <w:sz w:val="28"/>
          <w:szCs w:val="28"/>
          <w:lang w:val="uk-UA" w:eastAsia="en-US"/>
        </w:rPr>
        <w:t>Уорда</w:t>
      </w:r>
      <w:proofErr w:type="spellEnd"/>
      <w:r w:rsidRPr="005F0419">
        <w:rPr>
          <w:rFonts w:ascii="Times New Roman" w:eastAsia="Calibri" w:hAnsi="Times New Roman" w:cs="Times New Roman"/>
          <w:sz w:val="28"/>
          <w:szCs w:val="28"/>
          <w:lang w:val="uk-UA" w:eastAsia="en-US"/>
        </w:rPr>
        <w:t>)</w:t>
      </w:r>
    </w:p>
    <w:tbl>
      <w:tblPr>
        <w:tblW w:w="96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954"/>
        <w:gridCol w:w="417"/>
        <w:gridCol w:w="426"/>
        <w:gridCol w:w="433"/>
        <w:gridCol w:w="425"/>
        <w:gridCol w:w="425"/>
        <w:gridCol w:w="426"/>
        <w:gridCol w:w="425"/>
      </w:tblGrid>
      <w:tr w:rsidR="00662012" w:rsidRPr="005F0419" w14:paraId="698EC47E" w14:textId="77777777" w:rsidTr="006C0FEA">
        <w:tc>
          <w:tcPr>
            <w:tcW w:w="709" w:type="dxa"/>
            <w:vMerge w:val="restart"/>
            <w:vAlign w:val="center"/>
          </w:tcPr>
          <w:p w14:paraId="28F653F0"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Клас-тер</w:t>
            </w:r>
          </w:p>
        </w:tc>
        <w:tc>
          <w:tcPr>
            <w:tcW w:w="5954" w:type="dxa"/>
            <w:vMerge w:val="restart"/>
            <w:shd w:val="clear" w:color="auto" w:fill="auto"/>
            <w:vAlign w:val="center"/>
          </w:tcPr>
          <w:p w14:paraId="0CFEF8A1" w14:textId="77777777" w:rsidR="00662012" w:rsidRPr="005F0419" w:rsidRDefault="00662012" w:rsidP="00C736CF">
            <w:pPr>
              <w:suppressAutoHyphens/>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Туристичні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-регіональні системи Європи та локально-регіональні системи України</w:t>
            </w:r>
          </w:p>
        </w:tc>
        <w:tc>
          <w:tcPr>
            <w:tcW w:w="2977" w:type="dxa"/>
            <w:gridSpan w:val="7"/>
            <w:shd w:val="clear" w:color="auto" w:fill="auto"/>
            <w:vAlign w:val="center"/>
          </w:tcPr>
          <w:p w14:paraId="2C94F52F" w14:textId="77777777" w:rsidR="00662012" w:rsidRPr="005F0419" w:rsidRDefault="00662012" w:rsidP="00C736CF">
            <w:pPr>
              <w:suppressAutoHyphens/>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Порядок об’єднання (відстані немонотонні)</w:t>
            </w:r>
          </w:p>
        </w:tc>
      </w:tr>
      <w:tr w:rsidR="00662012" w:rsidRPr="005F0419" w14:paraId="49F7A513" w14:textId="77777777" w:rsidTr="006C0FEA">
        <w:tc>
          <w:tcPr>
            <w:tcW w:w="709" w:type="dxa"/>
            <w:vMerge/>
            <w:vAlign w:val="center"/>
          </w:tcPr>
          <w:p w14:paraId="25150D5C"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5954" w:type="dxa"/>
            <w:vMerge/>
            <w:shd w:val="clear" w:color="auto" w:fill="auto"/>
            <w:vAlign w:val="center"/>
          </w:tcPr>
          <w:p w14:paraId="33AE585E" w14:textId="77777777" w:rsidR="00662012" w:rsidRPr="005F0419" w:rsidRDefault="00662012" w:rsidP="00C736CF">
            <w:pPr>
              <w:suppressAutoHyphens/>
              <w:spacing w:after="0" w:line="360" w:lineRule="auto"/>
              <w:jc w:val="center"/>
              <w:rPr>
                <w:rFonts w:ascii="Times New Roman" w:hAnsi="Times New Roman" w:cs="Times New Roman"/>
                <w:sz w:val="28"/>
                <w:szCs w:val="28"/>
                <w:lang w:val="uk-UA"/>
              </w:rPr>
            </w:pPr>
          </w:p>
        </w:tc>
        <w:tc>
          <w:tcPr>
            <w:tcW w:w="417" w:type="dxa"/>
            <w:shd w:val="clear" w:color="auto" w:fill="auto"/>
            <w:vAlign w:val="center"/>
          </w:tcPr>
          <w:p w14:paraId="4280CEBD" w14:textId="77777777" w:rsidR="00662012" w:rsidRPr="005F0419" w:rsidRDefault="00662012" w:rsidP="00C736CF">
            <w:pPr>
              <w:suppressAutoHyphens/>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1</w:t>
            </w:r>
          </w:p>
        </w:tc>
        <w:tc>
          <w:tcPr>
            <w:tcW w:w="426" w:type="dxa"/>
            <w:shd w:val="clear" w:color="auto" w:fill="auto"/>
            <w:vAlign w:val="center"/>
          </w:tcPr>
          <w:p w14:paraId="6287F22A" w14:textId="77777777" w:rsidR="00662012" w:rsidRPr="005F0419" w:rsidRDefault="00662012" w:rsidP="00C736CF">
            <w:pPr>
              <w:suppressAutoHyphens/>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2</w:t>
            </w:r>
          </w:p>
        </w:tc>
        <w:tc>
          <w:tcPr>
            <w:tcW w:w="433" w:type="dxa"/>
            <w:shd w:val="clear" w:color="auto" w:fill="auto"/>
            <w:vAlign w:val="center"/>
          </w:tcPr>
          <w:p w14:paraId="1462165E" w14:textId="77777777" w:rsidR="00662012" w:rsidRPr="005F0419" w:rsidRDefault="00662012" w:rsidP="00C736CF">
            <w:pPr>
              <w:suppressAutoHyphens/>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3</w:t>
            </w:r>
          </w:p>
        </w:tc>
        <w:tc>
          <w:tcPr>
            <w:tcW w:w="425" w:type="dxa"/>
            <w:shd w:val="clear" w:color="auto" w:fill="auto"/>
            <w:vAlign w:val="center"/>
          </w:tcPr>
          <w:p w14:paraId="1200D736" w14:textId="77777777" w:rsidR="00662012" w:rsidRPr="005F0419" w:rsidRDefault="00662012" w:rsidP="00C736CF">
            <w:pPr>
              <w:suppressAutoHyphens/>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4</w:t>
            </w:r>
          </w:p>
        </w:tc>
        <w:tc>
          <w:tcPr>
            <w:tcW w:w="425" w:type="dxa"/>
            <w:shd w:val="clear" w:color="auto" w:fill="auto"/>
            <w:vAlign w:val="center"/>
          </w:tcPr>
          <w:p w14:paraId="454CFBE6" w14:textId="77777777" w:rsidR="00662012" w:rsidRPr="005F0419" w:rsidRDefault="00662012" w:rsidP="00C736CF">
            <w:pPr>
              <w:suppressAutoHyphens/>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5</w:t>
            </w:r>
          </w:p>
        </w:tc>
        <w:tc>
          <w:tcPr>
            <w:tcW w:w="426" w:type="dxa"/>
            <w:shd w:val="clear" w:color="auto" w:fill="auto"/>
            <w:vAlign w:val="center"/>
          </w:tcPr>
          <w:p w14:paraId="356872C2" w14:textId="77777777" w:rsidR="00662012" w:rsidRPr="005F0419" w:rsidRDefault="00662012" w:rsidP="00C736CF">
            <w:pPr>
              <w:suppressAutoHyphens/>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6</w:t>
            </w:r>
          </w:p>
        </w:tc>
        <w:tc>
          <w:tcPr>
            <w:tcW w:w="425" w:type="dxa"/>
            <w:shd w:val="clear" w:color="auto" w:fill="auto"/>
            <w:vAlign w:val="center"/>
          </w:tcPr>
          <w:p w14:paraId="03074BE8" w14:textId="77777777" w:rsidR="00662012" w:rsidRPr="005F0419" w:rsidRDefault="00662012" w:rsidP="00C736CF">
            <w:pPr>
              <w:suppressAutoHyphens/>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7</w:t>
            </w:r>
          </w:p>
        </w:tc>
      </w:tr>
      <w:tr w:rsidR="00662012" w:rsidRPr="005F0419" w14:paraId="112D431F" w14:textId="77777777" w:rsidTr="006C0FEA">
        <w:tc>
          <w:tcPr>
            <w:tcW w:w="709" w:type="dxa"/>
            <w:vAlign w:val="center"/>
          </w:tcPr>
          <w:p w14:paraId="3C84A0AC"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К1</w:t>
            </w:r>
          </w:p>
        </w:tc>
        <w:tc>
          <w:tcPr>
            <w:tcW w:w="5954" w:type="dxa"/>
            <w:shd w:val="clear" w:color="auto" w:fill="auto"/>
            <w:vAlign w:val="center"/>
          </w:tcPr>
          <w:p w14:paraId="4714BE00"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Великобританія, Нідерланди, Франція, м. </w:t>
            </w:r>
            <w:hyperlink r:id="rId439" w:tooltip="Київ" w:history="1">
              <w:r w:rsidRPr="005F0419">
                <w:rPr>
                  <w:rStyle w:val="a6"/>
                  <w:rFonts w:ascii="Times New Roman" w:eastAsia="Calibri" w:hAnsi="Times New Roman" w:cs="Times New Roman"/>
                  <w:color w:val="auto"/>
                  <w:sz w:val="28"/>
                  <w:szCs w:val="28"/>
                  <w:u w:val="none"/>
                  <w:lang w:val="uk-UA"/>
                </w:rPr>
                <w:t>Київ</w:t>
              </w:r>
            </w:hyperlink>
            <w:r w:rsidRPr="005F0419">
              <w:rPr>
                <w:rFonts w:ascii="Times New Roman" w:hAnsi="Times New Roman" w:cs="Times New Roman"/>
                <w:sz w:val="28"/>
                <w:szCs w:val="28"/>
                <w:lang w:val="uk-UA"/>
              </w:rPr>
              <w:t xml:space="preserve">, </w:t>
            </w:r>
            <w:hyperlink r:id="rId440" w:tooltip="Житомирська область" w:history="1">
              <w:r w:rsidRPr="005F0419">
                <w:rPr>
                  <w:rStyle w:val="a6"/>
                  <w:rFonts w:ascii="Times New Roman" w:eastAsia="Calibri" w:hAnsi="Times New Roman" w:cs="Times New Roman"/>
                  <w:color w:val="auto"/>
                  <w:sz w:val="28"/>
                  <w:szCs w:val="28"/>
                  <w:u w:val="none"/>
                  <w:lang w:val="uk-UA"/>
                </w:rPr>
                <w:t>Житомирський</w:t>
              </w:r>
            </w:hyperlink>
            <w:r w:rsidRPr="005F0419">
              <w:rPr>
                <w:rFonts w:ascii="Times New Roman" w:hAnsi="Times New Roman" w:cs="Times New Roman"/>
                <w:sz w:val="28"/>
                <w:szCs w:val="28"/>
                <w:lang w:val="uk-UA"/>
              </w:rPr>
              <w:t xml:space="preserve">, </w:t>
            </w:r>
            <w:hyperlink r:id="rId441" w:tooltip="Київська область" w:history="1">
              <w:r w:rsidRPr="005F0419">
                <w:rPr>
                  <w:rStyle w:val="a6"/>
                  <w:rFonts w:ascii="Times New Roman" w:eastAsia="Calibri" w:hAnsi="Times New Roman" w:cs="Times New Roman"/>
                  <w:color w:val="auto"/>
                  <w:sz w:val="28"/>
                  <w:szCs w:val="28"/>
                  <w:u w:val="none"/>
                  <w:lang w:val="uk-UA"/>
                </w:rPr>
                <w:t>Київський</w:t>
              </w:r>
            </w:hyperlink>
          </w:p>
        </w:tc>
        <w:tc>
          <w:tcPr>
            <w:tcW w:w="417" w:type="dxa"/>
            <w:vMerge w:val="restart"/>
            <w:shd w:val="clear" w:color="auto" w:fill="auto"/>
            <w:vAlign w:val="center"/>
          </w:tcPr>
          <w:p w14:paraId="01C9E5D6" w14:textId="286144CD" w:rsidR="00662012" w:rsidRPr="005F0419" w:rsidRDefault="00662012" w:rsidP="00C736CF">
            <w:pPr>
              <w:suppressAutoHyphens/>
              <w:spacing w:after="0" w:line="360" w:lineRule="auto"/>
              <w:rPr>
                <w:rFonts w:ascii="Times New Roman" w:hAnsi="Times New Roman" w:cs="Times New Roman"/>
                <w:sz w:val="28"/>
                <w:szCs w:val="28"/>
                <w:lang w:val="uk-UA"/>
              </w:rPr>
            </w:pPr>
            <w:r w:rsidRPr="005F0419">
              <w:rPr>
                <w:rFonts w:ascii="Times New Roman" w:hAnsi="Times New Roman" w:cs="Times New Roman"/>
                <w:noProof/>
                <w:sz w:val="28"/>
                <w:szCs w:val="28"/>
                <w:lang w:val="uk-UA"/>
              </w:rPr>
              <mc:AlternateContent>
                <mc:Choice Requires="wpg">
                  <w:drawing>
                    <wp:anchor distT="0" distB="0" distL="114300" distR="114300" simplePos="0" relativeHeight="251697152" behindDoc="0" locked="0" layoutInCell="1" allowOverlap="1" wp14:anchorId="7D2107FA" wp14:editId="7BEEC891">
                      <wp:simplePos x="0" y="0"/>
                      <wp:positionH relativeFrom="column">
                        <wp:posOffset>-52705</wp:posOffset>
                      </wp:positionH>
                      <wp:positionV relativeFrom="paragraph">
                        <wp:posOffset>38735</wp:posOffset>
                      </wp:positionV>
                      <wp:extent cx="1853565" cy="2063115"/>
                      <wp:effectExtent l="0" t="19050" r="32385" b="32385"/>
                      <wp:wrapNone/>
                      <wp:docPr id="166" name="Группа 1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53565" cy="2063115"/>
                                <a:chOff x="5695" y="10056"/>
                                <a:chExt cx="5046" cy="3024"/>
                              </a:xfrm>
                            </wpg:grpSpPr>
                            <wps:wsp>
                              <wps:cNvPr id="167" name=" 675"/>
                              <wps:cNvCnPr>
                                <a:cxnSpLocks/>
                              </wps:cNvCnPr>
                              <wps:spPr bwMode="auto">
                                <a:xfrm flipH="1">
                                  <a:off x="9340" y="11871"/>
                                  <a:ext cx="1" cy="312"/>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68" name=" 679"/>
                              <wps:cNvCnPr>
                                <a:cxnSpLocks/>
                              </wps:cNvCnPr>
                              <wps:spPr bwMode="auto">
                                <a:xfrm>
                                  <a:off x="10740" y="12421"/>
                                  <a:ext cx="1" cy="659"/>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cNvPr id="169" name=" 691"/>
                              <wpg:cNvGrpSpPr>
                                <a:grpSpLocks/>
                              </wpg:cNvGrpSpPr>
                              <wpg:grpSpPr bwMode="auto">
                                <a:xfrm>
                                  <a:off x="5695" y="10056"/>
                                  <a:ext cx="5045" cy="3024"/>
                                  <a:chOff x="5695" y="10056"/>
                                  <a:chExt cx="5045" cy="3024"/>
                                </a:xfrm>
                              </wpg:grpSpPr>
                              <wps:wsp>
                                <wps:cNvPr id="170" name=" 671"/>
                                <wps:cNvCnPr>
                                  <a:cxnSpLocks/>
                                </wps:cNvCnPr>
                                <wps:spPr bwMode="auto">
                                  <a:xfrm>
                                    <a:off x="7940" y="11260"/>
                                    <a:ext cx="2160"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cNvPr id="171" name=" 690"/>
                                <wpg:cNvGrpSpPr>
                                  <a:grpSpLocks/>
                                </wpg:cNvGrpSpPr>
                                <wpg:grpSpPr bwMode="auto">
                                  <a:xfrm>
                                    <a:off x="5695" y="10056"/>
                                    <a:ext cx="5045" cy="3024"/>
                                    <a:chOff x="5695" y="10056"/>
                                    <a:chExt cx="5045" cy="3024"/>
                                  </a:xfrm>
                                </wpg:grpSpPr>
                                <wps:wsp>
                                  <wps:cNvPr id="172" name=" 663"/>
                                  <wps:cNvCnPr>
                                    <a:cxnSpLocks/>
                                  </wps:cNvCnPr>
                                  <wps:spPr bwMode="auto">
                                    <a:xfrm>
                                      <a:off x="8680" y="11680"/>
                                      <a:ext cx="660"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3" name=" 664"/>
                                  <wps:cNvCnPr>
                                    <a:cxnSpLocks/>
                                  </wps:cNvCnPr>
                                  <wps:spPr bwMode="auto">
                                    <a:xfrm>
                                      <a:off x="6460" y="10212"/>
                                      <a:ext cx="1480"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4" name=" 665"/>
                                  <wps:cNvCnPr>
                                    <a:cxnSpLocks/>
                                  </wps:cNvCnPr>
                                  <wps:spPr bwMode="auto">
                                    <a:xfrm>
                                      <a:off x="5695" y="10056"/>
                                      <a:ext cx="765"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5" name=" 666"/>
                                  <wps:cNvCnPr>
                                    <a:cxnSpLocks/>
                                  </wps:cNvCnPr>
                                  <wps:spPr bwMode="auto">
                                    <a:xfrm>
                                      <a:off x="6460" y="10056"/>
                                      <a:ext cx="0" cy="415"/>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6" name=" 667"/>
                                  <wps:cNvCnPr>
                                    <a:cxnSpLocks/>
                                  </wps:cNvCnPr>
                                  <wps:spPr bwMode="auto">
                                    <a:xfrm>
                                      <a:off x="5707" y="10471"/>
                                      <a:ext cx="1514"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7" name=" 668"/>
                                  <wps:cNvCnPr>
                                    <a:cxnSpLocks/>
                                  </wps:cNvCnPr>
                                  <wps:spPr bwMode="auto">
                                    <a:xfrm>
                                      <a:off x="10100" y="10470"/>
                                      <a:ext cx="1" cy="79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8" name=" 669"/>
                                  <wps:cNvCnPr>
                                    <a:cxnSpLocks/>
                                  </wps:cNvCnPr>
                                  <wps:spPr bwMode="auto">
                                    <a:xfrm>
                                      <a:off x="7221" y="10720"/>
                                      <a:ext cx="706" cy="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0" name=" 670"/>
                                  <wps:cNvCnPr>
                                    <a:cxnSpLocks/>
                                  </wps:cNvCnPr>
                                  <wps:spPr bwMode="auto">
                                    <a:xfrm>
                                      <a:off x="7927" y="10212"/>
                                      <a:ext cx="0" cy="508"/>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1" name=" 672"/>
                                  <wps:cNvCnPr>
                                    <a:cxnSpLocks/>
                                  </wps:cNvCnPr>
                                  <wps:spPr bwMode="auto">
                                    <a:xfrm>
                                      <a:off x="5707" y="10980"/>
                                      <a:ext cx="2233"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2" name=" 673"/>
                                  <wps:cNvCnPr>
                                    <a:cxnSpLocks/>
                                  </wps:cNvCnPr>
                                  <wps:spPr bwMode="auto">
                                    <a:xfrm>
                                      <a:off x="5695" y="11870"/>
                                      <a:ext cx="3645" cy="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3" name=" 674"/>
                                  <wps:cNvCnPr>
                                    <a:cxnSpLocks/>
                                  </wps:cNvCnPr>
                                  <wps:spPr bwMode="auto">
                                    <a:xfrm>
                                      <a:off x="8679" y="11440"/>
                                      <a:ext cx="1" cy="43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4" name=" 676"/>
                                  <wps:cNvCnPr>
                                    <a:cxnSpLocks/>
                                  </wps:cNvCnPr>
                                  <wps:spPr bwMode="auto">
                                    <a:xfrm flipV="1">
                                      <a:off x="5708" y="12181"/>
                                      <a:ext cx="4393" cy="2"/>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5" name=" 677"/>
                                  <wps:cNvCnPr>
                                    <a:cxnSpLocks/>
                                  </wps:cNvCnPr>
                                  <wps:spPr bwMode="auto">
                                    <a:xfrm>
                                      <a:off x="5695" y="13080"/>
                                      <a:ext cx="5045"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6" name=" 678"/>
                                  <wps:cNvCnPr>
                                    <a:cxnSpLocks/>
                                  </wps:cNvCnPr>
                                  <wps:spPr bwMode="auto">
                                    <a:xfrm>
                                      <a:off x="5695" y="12544"/>
                                      <a:ext cx="4385" cy="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7" name=" 680"/>
                                  <wps:cNvCnPr>
                                    <a:cxnSpLocks/>
                                  </wps:cNvCnPr>
                                  <wps:spPr bwMode="auto">
                                    <a:xfrm>
                                      <a:off x="10100" y="12420"/>
                                      <a:ext cx="640" cy="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8" name=" 681"/>
                                  <wps:cNvCnPr>
                                    <a:cxnSpLocks/>
                                  </wps:cNvCnPr>
                                  <wps:spPr bwMode="auto">
                                    <a:xfrm>
                                      <a:off x="10460" y="10868"/>
                                      <a:ext cx="0" cy="1552"/>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89" name=" 682"/>
                                  <wps:cNvCnPr>
                                    <a:cxnSpLocks/>
                                  </wps:cNvCnPr>
                                  <wps:spPr bwMode="auto">
                                    <a:xfrm>
                                      <a:off x="5695" y="11420"/>
                                      <a:ext cx="2971"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0" name=" 683"/>
                                  <wps:cNvCnPr>
                                    <a:cxnSpLocks/>
                                  </wps:cNvCnPr>
                                  <wps:spPr bwMode="auto">
                                    <a:xfrm>
                                      <a:off x="7927" y="10980"/>
                                      <a:ext cx="13" cy="46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91" name=" 684"/>
                                  <wps:cNvCnPr>
                                    <a:cxnSpLocks/>
                                  </wps:cNvCnPr>
                                  <wps:spPr bwMode="auto">
                                    <a:xfrm>
                                      <a:off x="7940" y="10470"/>
                                      <a:ext cx="2160"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05309056" name=" 685"/>
                                  <wps:cNvCnPr>
                                    <a:cxnSpLocks/>
                                  </wps:cNvCnPr>
                                  <wps:spPr bwMode="auto">
                                    <a:xfrm>
                                      <a:off x="9340" y="11260"/>
                                      <a:ext cx="1" cy="42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05309057" name=" 686"/>
                                  <wps:cNvCnPr>
                                    <a:cxnSpLocks/>
                                  </wps:cNvCnPr>
                                  <wps:spPr bwMode="auto">
                                    <a:xfrm>
                                      <a:off x="9341" y="12020"/>
                                      <a:ext cx="1119" cy="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05309058" name=" 687"/>
                                  <wps:cNvCnPr>
                                    <a:cxnSpLocks/>
                                  </wps:cNvCnPr>
                                  <wps:spPr bwMode="auto">
                                    <a:xfrm>
                                      <a:off x="10080" y="10868"/>
                                      <a:ext cx="380" cy="0"/>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05309059" name=" 688"/>
                                  <wps:cNvCnPr>
                                    <a:cxnSpLocks/>
                                  </wps:cNvCnPr>
                                  <wps:spPr bwMode="auto">
                                    <a:xfrm flipV="1">
                                      <a:off x="10080" y="12183"/>
                                      <a:ext cx="0" cy="361"/>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705309060" name=" 689"/>
                                  <wps:cNvCnPr>
                                    <a:cxnSpLocks/>
                                  </wps:cNvCnPr>
                                  <wps:spPr bwMode="auto">
                                    <a:xfrm>
                                      <a:off x="7221" y="10452"/>
                                      <a:ext cx="0" cy="508"/>
                                    </a:xfrm>
                                    <a:prstGeom prst="straightConnector1">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grpSp>
                            </wpg:grpSp>
                          </wpg:wgp>
                        </a:graphicData>
                      </a:graphic>
                      <wp14:sizeRelH relativeFrom="page">
                        <wp14:pctWidth>0</wp14:pctWidth>
                      </wp14:sizeRelH>
                      <wp14:sizeRelV relativeFrom="page">
                        <wp14:pctHeight>0</wp14:pctHeight>
                      </wp14:sizeRelV>
                    </wp:anchor>
                  </w:drawing>
                </mc:Choice>
                <mc:Fallback>
                  <w:pict>
                    <v:group w14:anchorId="43E7A30A" id="Группа 166" o:spid="_x0000_s1026" style="position:absolute;margin-left:-4.15pt;margin-top:3.05pt;width:145.95pt;height:162.45pt;z-index:251697152" coordorigin="5695,10056" coordsize="5046,3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">
                      <v:shape id=" 675" o:spid="_x0000_s1027" type="#_x0000_t32" style="position:absolute;left:9340;top:11871;width:1;height:3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" strokeweight="2.25pt">
                        <o:lock v:ext="edit" shapetype="f"/>
                      </v:shape>
                      <v:shape id=" 679" o:spid="_x0000_s1028" type="#_x0000_t32" style="position:absolute;left:10740;top:12421;width:1;height:6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" strokeweight="2.25pt">
                        <o:lock v:ext="edit" shapetype="f"/>
                      </v:shape>
                      <v:group id=" 691" o:spid="_x0000_s1029" style="position:absolute;left:5695;top:10056;width:5045;height:3024" coordorigin="5695,10056" coordsize="5045,3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shape id=" 671" o:spid="_x0000_s1030" type="#_x0000_t32" style="position:absolute;left:7940;top:11260;width:21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" strokeweight="2.25pt">
                          <o:lock v:ext="edit" shapetype="f"/>
                        </v:shape>
                        <v:group id=" 690" o:spid="_x0000_s1031" style="position:absolute;left:5695;top:10056;width:5045;height:3024" coordorigin="5695,10056" coordsize="5045,3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">
                          <v:shape id=" 663" o:spid="_x0000_s1032" type="#_x0000_t32" style="position:absolute;left:8680;top:11680;width:6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" strokeweight="2.25pt">
                            <o:lock v:ext="edit" shapetype="f"/>
                          </v:shape>
                          <v:shape id=" 664" o:spid="_x0000_s1033" type="#_x0000_t32" style="position:absolute;left:6460;top:10212;width:14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" strokeweight="2.25pt">
                            <o:lock v:ext="edit" shapetype="f"/>
                          </v:shape>
                          <v:shape id=" 665" o:spid="_x0000_s1034" type="#_x0000_t32" style="position:absolute;left:5695;top:10056;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" strokeweight="2.25pt">
                            <o:lock v:ext="edit" shapetype="f"/>
                          </v:shape>
                          <v:shape id=" 666" o:spid="_x0000_s1035" type="#_x0000_t32" style="position:absolute;left:6460;top:10056;width:0;height:4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" strokeweight="2.25pt">
                            <o:lock v:ext="edit" shapetype="f"/>
                          </v:shape>
                          <v:shape id=" 667" o:spid="_x0000_s1036" type="#_x0000_t32" style="position:absolute;left:5707;top:10471;width:15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" strokeweight="2.25pt">
                            <o:lock v:ext="edit" shapetype="f"/>
                          </v:shape>
                          <v:shape id=" 668" o:spid="_x0000_s1037" type="#_x0000_t32" style="position:absolute;left:10100;top:10470;width:1;height:7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" strokeweight="2.25pt">
                            <o:lock v:ext="edit" shapetype="f"/>
                          </v:shape>
                          <v:shape id=" 669" o:spid="_x0000_s1038" type="#_x0000_t32" style="position:absolute;left:7221;top:10720;width:706;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" strokeweight="2.25pt">
                            <o:lock v:ext="edit" shapetype="f"/>
                          </v:shape>
                          <v:shape id=" 670" o:spid="_x0000_s1039" type="#_x0000_t32" style="position:absolute;left:7927;top:10212;width:0;height:5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" strokeweight="2.25pt">
                            <o:lock v:ext="edit" shapetype="f"/>
                          </v:shape>
                          <v:shape id=" 672" o:spid="_x0000_s1040" type="#_x0000_t32" style="position:absolute;left:5707;top:10980;width:22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" strokeweight="2.25pt">
                            <o:lock v:ext="edit" shapetype="f"/>
                          </v:shape>
                          <v:shape id=" 673" o:spid="_x0000_s1041" type="#_x0000_t32" style="position:absolute;left:5695;top:11870;width:3645;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" strokeweight="2.25pt">
                            <o:lock v:ext="edit" shapetype="f"/>
                          </v:shape>
                          <v:shape id=" 674" o:spid="_x0000_s1042" type="#_x0000_t32" style="position:absolute;left:8679;top:11440;width:1;height:4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" strokeweight="2.25pt">
                            <o:lock v:ext="edit" shapetype="f"/>
                          </v:shape>
                          <v:shape id=" 676" o:spid="_x0000_s1043" type="#_x0000_t32" style="position:absolute;left:5708;top:12181;width:4393;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" strokeweight="2.25pt">
                            <o:lock v:ext="edit" shapetype="f"/>
                          </v:shape>
                          <v:shape id=" 677" o:spid="_x0000_s1044" type="#_x0000_t32" style="position:absolute;left:5695;top:13080;width:50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" strokeweight="2.25pt">
                            <o:lock v:ext="edit" shapetype="f"/>
                          </v:shape>
                          <v:shape id=" 678" o:spid="_x0000_s1045" type="#_x0000_t32" style="position:absolute;left:5695;top:12544;width:4385;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" strokeweight="2.25pt">
                            <o:lock v:ext="edit" shapetype="f"/>
                          </v:shape>
                          <v:shape id=" 680" o:spid="_x0000_s1046" type="#_x0000_t32" style="position:absolute;left:10100;top:12420;width:640;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" strokeweight="2.25pt">
                            <o:lock v:ext="edit" shapetype="f"/>
                          </v:shape>
                          <v:shape id=" 681" o:spid="_x0000_s1047" type="#_x0000_t32" style="position:absolute;left:10460;top:10868;width:0;height:15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" strokeweight="2.25pt">
                            <o:lock v:ext="edit" shapetype="f"/>
                          </v:shape>
                          <v:shape id=" 682" o:spid="_x0000_s1048" type="#_x0000_t32" style="position:absolute;left:5695;top:11420;width:297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" strokeweight="2.25pt">
                            <o:lock v:ext="edit" shapetype="f"/>
                          </v:shape>
                          <v:shape id=" 683" o:spid="_x0000_s1049" type="#_x0000_t32" style="position:absolute;left:7927;top:10980;width:13;height:4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" strokeweight="2.25pt">
                            <o:lock v:ext="edit" shapetype="f"/>
                          </v:shape>
                          <v:shape id=" 684" o:spid="_x0000_s1050" type="#_x0000_t32" style="position:absolute;left:7940;top:10470;width:21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" strokeweight="2.25pt">
                            <o:lock v:ext="edit" shapetype="f"/>
                          </v:shape>
                          <v:shape id=" 685" o:spid="_x0000_s1051" type="#_x0000_t32" style="position:absolute;left:9340;top:11260;width:1;height:4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" strokeweight="2.25pt">
                            <o:lock v:ext="edit" shapetype="f"/>
                          </v:shape>
                          <v:shape id=" 686" o:spid="_x0000_s1052" type="#_x0000_t32" style="position:absolute;left:9341;top:12020;width:1119;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" strokeweight="2.25pt">
                            <o:lock v:ext="edit" shapetype="f"/>
                          </v:shape>
                          <v:shape id=" 687" o:spid="_x0000_s1053" type="#_x0000_t32" style="position:absolute;left:10080;top:10868;width:3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" strokeweight="2.25pt">
                            <o:lock v:ext="edit" shapetype="f"/>
                          </v:shape>
                          <v:shape id=" 688" o:spid="_x0000_s1054" type="#_x0000_t32" style="position:absolute;left:10080;top:12183;width:0;height:36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" strokeweight="2.25pt">
                            <o:lock v:ext="edit" shapetype="f"/>
                          </v:shape>
                          <v:shape id=" 689" o:spid="_x0000_s1055" type="#_x0000_t32" style="position:absolute;left:7221;top:10452;width:0;height:5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" strokeweight="2.25pt">
                            <o:lock v:ext="edit" shapetype="f"/>
                          </v:shape>
                        </v:group>
                      </v:group>
                    </v:group>
                  </w:pict>
                </mc:Fallback>
              </mc:AlternateContent>
            </w:r>
          </w:p>
        </w:tc>
        <w:tc>
          <w:tcPr>
            <w:tcW w:w="426" w:type="dxa"/>
            <w:vMerge w:val="restart"/>
            <w:shd w:val="clear" w:color="auto" w:fill="auto"/>
            <w:vAlign w:val="center"/>
          </w:tcPr>
          <w:p w14:paraId="3983026F"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33" w:type="dxa"/>
            <w:vMerge w:val="restart"/>
            <w:shd w:val="clear" w:color="auto" w:fill="auto"/>
            <w:vAlign w:val="center"/>
          </w:tcPr>
          <w:p w14:paraId="72011EEF"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val="restart"/>
            <w:shd w:val="clear" w:color="auto" w:fill="auto"/>
            <w:vAlign w:val="center"/>
          </w:tcPr>
          <w:p w14:paraId="300CBA06"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val="restart"/>
            <w:shd w:val="clear" w:color="auto" w:fill="auto"/>
            <w:vAlign w:val="center"/>
          </w:tcPr>
          <w:p w14:paraId="7349541D"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val="restart"/>
            <w:shd w:val="clear" w:color="auto" w:fill="auto"/>
            <w:vAlign w:val="center"/>
          </w:tcPr>
          <w:p w14:paraId="5F2CD7DE"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val="restart"/>
            <w:shd w:val="clear" w:color="auto" w:fill="auto"/>
            <w:vAlign w:val="center"/>
          </w:tcPr>
          <w:p w14:paraId="566238E3"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r>
      <w:tr w:rsidR="00662012" w:rsidRPr="00EE578D" w14:paraId="025CCEB3" w14:textId="77777777" w:rsidTr="006C0FEA">
        <w:tc>
          <w:tcPr>
            <w:tcW w:w="709" w:type="dxa"/>
            <w:vAlign w:val="center"/>
          </w:tcPr>
          <w:p w14:paraId="1074A9E5"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К2</w:t>
            </w:r>
          </w:p>
        </w:tc>
        <w:tc>
          <w:tcPr>
            <w:tcW w:w="5954" w:type="dxa"/>
            <w:shd w:val="clear" w:color="auto" w:fill="auto"/>
            <w:vAlign w:val="center"/>
          </w:tcPr>
          <w:p w14:paraId="66A6816B"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Іспанія, Італія, Німеччина, </w:t>
            </w:r>
            <w:hyperlink r:id="rId442" w:tooltip="Черкаська область" w:history="1">
              <w:r w:rsidRPr="005F0419">
                <w:rPr>
                  <w:rStyle w:val="a6"/>
                  <w:rFonts w:ascii="Times New Roman" w:eastAsia="Calibri" w:hAnsi="Times New Roman" w:cs="Times New Roman"/>
                  <w:color w:val="auto"/>
                  <w:sz w:val="28"/>
                  <w:szCs w:val="28"/>
                  <w:u w:val="none"/>
                  <w:lang w:val="uk-UA"/>
                </w:rPr>
                <w:t>Черкаський</w:t>
              </w:r>
            </w:hyperlink>
            <w:r w:rsidRPr="005F0419">
              <w:rPr>
                <w:rFonts w:ascii="Times New Roman" w:hAnsi="Times New Roman" w:cs="Times New Roman"/>
                <w:sz w:val="28"/>
                <w:szCs w:val="28"/>
                <w:lang w:val="uk-UA"/>
              </w:rPr>
              <w:t xml:space="preserve">, </w:t>
            </w:r>
            <w:hyperlink r:id="rId443" w:tooltip="Чернігівська область" w:history="1">
              <w:r w:rsidRPr="005F0419">
                <w:rPr>
                  <w:rStyle w:val="a6"/>
                  <w:rFonts w:ascii="Times New Roman" w:eastAsia="Calibri" w:hAnsi="Times New Roman" w:cs="Times New Roman"/>
                  <w:color w:val="auto"/>
                  <w:sz w:val="28"/>
                  <w:szCs w:val="28"/>
                  <w:u w:val="none"/>
                  <w:lang w:val="uk-UA"/>
                </w:rPr>
                <w:t>Чернігівський</w:t>
              </w:r>
            </w:hyperlink>
          </w:p>
        </w:tc>
        <w:tc>
          <w:tcPr>
            <w:tcW w:w="417" w:type="dxa"/>
            <w:vMerge/>
            <w:shd w:val="clear" w:color="auto" w:fill="auto"/>
            <w:vAlign w:val="center"/>
          </w:tcPr>
          <w:p w14:paraId="1CBFCDCD"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0546E27B"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33" w:type="dxa"/>
            <w:vMerge/>
            <w:shd w:val="clear" w:color="auto" w:fill="auto"/>
            <w:vAlign w:val="center"/>
          </w:tcPr>
          <w:p w14:paraId="0B6B3438"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2ABF1047"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7EE035A7"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7A773AE8"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4B1BBE35"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r>
      <w:tr w:rsidR="00662012" w:rsidRPr="00EE578D" w14:paraId="6B9CA630" w14:textId="77777777" w:rsidTr="006C0FEA">
        <w:tc>
          <w:tcPr>
            <w:tcW w:w="709" w:type="dxa"/>
            <w:vAlign w:val="center"/>
          </w:tcPr>
          <w:p w14:paraId="3D725B88"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К3</w:t>
            </w:r>
          </w:p>
        </w:tc>
        <w:tc>
          <w:tcPr>
            <w:tcW w:w="5954" w:type="dxa"/>
            <w:shd w:val="clear" w:color="auto" w:fill="auto"/>
            <w:vAlign w:val="center"/>
          </w:tcPr>
          <w:p w14:paraId="672E3437"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Ірландія, Люксембург, </w:t>
            </w:r>
            <w:hyperlink r:id="rId444" w:tooltip="Івано-Франківська область" w:history="1">
              <w:r w:rsidRPr="005F0419">
                <w:rPr>
                  <w:rStyle w:val="a6"/>
                  <w:rFonts w:ascii="Times New Roman" w:eastAsia="Calibri" w:hAnsi="Times New Roman" w:cs="Times New Roman"/>
                  <w:color w:val="auto"/>
                  <w:sz w:val="28"/>
                  <w:szCs w:val="28"/>
                  <w:u w:val="none"/>
                  <w:lang w:val="uk-UA"/>
                </w:rPr>
                <w:t>Івано-Франківський</w:t>
              </w:r>
            </w:hyperlink>
            <w:r w:rsidRPr="005F0419">
              <w:rPr>
                <w:rFonts w:ascii="Times New Roman" w:hAnsi="Times New Roman" w:cs="Times New Roman"/>
                <w:sz w:val="28"/>
                <w:szCs w:val="28"/>
                <w:lang w:val="uk-UA"/>
              </w:rPr>
              <w:t xml:space="preserve">, </w:t>
            </w:r>
            <w:hyperlink r:id="rId445" w:tooltip="Львівська область" w:history="1">
              <w:r w:rsidRPr="005F0419">
                <w:rPr>
                  <w:rStyle w:val="a6"/>
                  <w:rFonts w:ascii="Times New Roman" w:eastAsia="Calibri" w:hAnsi="Times New Roman" w:cs="Times New Roman"/>
                  <w:color w:val="auto"/>
                  <w:sz w:val="28"/>
                  <w:szCs w:val="28"/>
                  <w:u w:val="none"/>
                  <w:lang w:val="uk-UA"/>
                </w:rPr>
                <w:t>Львівський</w:t>
              </w:r>
            </w:hyperlink>
            <w:r w:rsidRPr="005F0419">
              <w:rPr>
                <w:rFonts w:ascii="Times New Roman" w:hAnsi="Times New Roman" w:cs="Times New Roman"/>
                <w:sz w:val="28"/>
                <w:szCs w:val="28"/>
                <w:lang w:val="uk-UA"/>
              </w:rPr>
              <w:t xml:space="preserve">, </w:t>
            </w:r>
            <w:hyperlink r:id="rId446" w:tooltip="Тернопільська область" w:history="1">
              <w:r w:rsidRPr="005F0419">
                <w:rPr>
                  <w:rStyle w:val="a6"/>
                  <w:rFonts w:ascii="Times New Roman" w:eastAsia="Calibri" w:hAnsi="Times New Roman" w:cs="Times New Roman"/>
                  <w:color w:val="auto"/>
                  <w:sz w:val="28"/>
                  <w:szCs w:val="28"/>
                  <w:u w:val="none"/>
                  <w:lang w:val="uk-UA"/>
                </w:rPr>
                <w:t>Тернопільський</w:t>
              </w:r>
            </w:hyperlink>
          </w:p>
        </w:tc>
        <w:tc>
          <w:tcPr>
            <w:tcW w:w="417" w:type="dxa"/>
            <w:vMerge/>
            <w:shd w:val="clear" w:color="auto" w:fill="auto"/>
            <w:vAlign w:val="center"/>
          </w:tcPr>
          <w:p w14:paraId="72962195"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049337C9"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33" w:type="dxa"/>
            <w:vMerge/>
            <w:shd w:val="clear" w:color="auto" w:fill="auto"/>
            <w:vAlign w:val="center"/>
          </w:tcPr>
          <w:p w14:paraId="1ECFC7CE"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2430DCA4"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018D38E7"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21CCA7AC"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43493C57"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r>
      <w:tr w:rsidR="00662012" w:rsidRPr="00EE578D" w14:paraId="6F118D2C" w14:textId="77777777" w:rsidTr="006C0FEA">
        <w:tc>
          <w:tcPr>
            <w:tcW w:w="709" w:type="dxa"/>
            <w:vAlign w:val="center"/>
          </w:tcPr>
          <w:p w14:paraId="73A07A04" w14:textId="77777777" w:rsidR="00662012" w:rsidRPr="005F0419" w:rsidRDefault="00662012" w:rsidP="00C736CF">
            <w:pPr>
              <w:suppressAutoHyphens/>
              <w:autoSpaceDE w:val="0"/>
              <w:autoSpaceDN w:val="0"/>
              <w:adjustRightInd w:val="0"/>
              <w:spacing w:after="0" w:line="360" w:lineRule="auto"/>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К4</w:t>
            </w:r>
          </w:p>
        </w:tc>
        <w:tc>
          <w:tcPr>
            <w:tcW w:w="5954" w:type="dxa"/>
            <w:shd w:val="clear" w:color="auto" w:fill="auto"/>
            <w:vAlign w:val="center"/>
          </w:tcPr>
          <w:p w14:paraId="6E75F1F2" w14:textId="77777777" w:rsidR="00662012" w:rsidRPr="005F0419" w:rsidRDefault="00662012" w:rsidP="00C736CF">
            <w:pPr>
              <w:suppressAutoHyphens/>
              <w:autoSpaceDE w:val="0"/>
              <w:autoSpaceDN w:val="0"/>
              <w:adjustRightInd w:val="0"/>
              <w:spacing w:after="0" w:line="360" w:lineRule="auto"/>
              <w:rPr>
                <w:rFonts w:ascii="Times New Roman" w:hAnsi="Times New Roman" w:cs="Times New Roman"/>
                <w:sz w:val="28"/>
                <w:szCs w:val="28"/>
                <w:lang w:val="uk-UA"/>
              </w:rPr>
            </w:pPr>
            <w:r w:rsidRPr="005F0419">
              <w:rPr>
                <w:rFonts w:ascii="Times New Roman" w:eastAsia="Calibri" w:hAnsi="Times New Roman" w:cs="Times New Roman"/>
                <w:sz w:val="28"/>
                <w:szCs w:val="28"/>
                <w:lang w:val="uk-UA" w:eastAsia="en-US"/>
              </w:rPr>
              <w:t xml:space="preserve">Австрія, Греція, Данія, Португалія, Фінляндія, Швеція, </w:t>
            </w:r>
            <w:hyperlink r:id="rId447" w:tooltip="Кіровоградська область" w:history="1">
              <w:r w:rsidRPr="005F0419">
                <w:rPr>
                  <w:rStyle w:val="a6"/>
                  <w:rFonts w:ascii="Times New Roman" w:eastAsia="Calibri" w:hAnsi="Times New Roman" w:cs="Times New Roman"/>
                  <w:color w:val="auto"/>
                  <w:sz w:val="28"/>
                  <w:szCs w:val="28"/>
                  <w:u w:val="none"/>
                  <w:lang w:val="uk-UA"/>
                </w:rPr>
                <w:t>Кіровоградський</w:t>
              </w:r>
            </w:hyperlink>
            <w:r w:rsidRPr="005F0419">
              <w:rPr>
                <w:rFonts w:ascii="Times New Roman" w:hAnsi="Times New Roman" w:cs="Times New Roman"/>
                <w:sz w:val="28"/>
                <w:szCs w:val="28"/>
                <w:lang w:val="uk-UA"/>
              </w:rPr>
              <w:t xml:space="preserve">, </w:t>
            </w:r>
            <w:hyperlink r:id="rId448" w:tooltip="Полтавська область" w:history="1">
              <w:r w:rsidRPr="005F0419">
                <w:rPr>
                  <w:rStyle w:val="a6"/>
                  <w:rFonts w:ascii="Times New Roman" w:eastAsia="Calibri" w:hAnsi="Times New Roman" w:cs="Times New Roman"/>
                  <w:color w:val="auto"/>
                  <w:sz w:val="28"/>
                  <w:szCs w:val="28"/>
                  <w:u w:val="none"/>
                  <w:lang w:val="uk-UA"/>
                </w:rPr>
                <w:t>Полтавський</w:t>
              </w:r>
            </w:hyperlink>
            <w:r w:rsidRPr="005F0419">
              <w:rPr>
                <w:rFonts w:ascii="Times New Roman" w:hAnsi="Times New Roman" w:cs="Times New Roman"/>
                <w:sz w:val="28"/>
                <w:szCs w:val="28"/>
                <w:lang w:val="uk-UA"/>
              </w:rPr>
              <w:t xml:space="preserve">, </w:t>
            </w:r>
            <w:hyperlink r:id="rId449" w:tooltip="Сумська область" w:history="1">
              <w:r w:rsidRPr="005F0419">
                <w:rPr>
                  <w:rStyle w:val="a6"/>
                  <w:rFonts w:ascii="Times New Roman" w:eastAsia="Calibri" w:hAnsi="Times New Roman" w:cs="Times New Roman"/>
                  <w:color w:val="auto"/>
                  <w:sz w:val="28"/>
                  <w:szCs w:val="28"/>
                  <w:u w:val="none"/>
                  <w:lang w:val="uk-UA"/>
                </w:rPr>
                <w:t>Сумський</w:t>
              </w:r>
            </w:hyperlink>
          </w:p>
        </w:tc>
        <w:tc>
          <w:tcPr>
            <w:tcW w:w="417" w:type="dxa"/>
            <w:vMerge/>
            <w:shd w:val="clear" w:color="auto" w:fill="auto"/>
            <w:vAlign w:val="center"/>
          </w:tcPr>
          <w:p w14:paraId="3DCFD2EA"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68DB3A8A"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33" w:type="dxa"/>
            <w:vMerge/>
            <w:shd w:val="clear" w:color="auto" w:fill="auto"/>
            <w:vAlign w:val="center"/>
          </w:tcPr>
          <w:p w14:paraId="3D61B0AD"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67C3AFF1"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59419B3F"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44EDB2E7"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6DF51AC9"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r>
      <w:tr w:rsidR="00662012" w:rsidRPr="005F0419" w14:paraId="0B5F5A75" w14:textId="77777777" w:rsidTr="006C0FEA">
        <w:tc>
          <w:tcPr>
            <w:tcW w:w="709" w:type="dxa"/>
            <w:vAlign w:val="center"/>
          </w:tcPr>
          <w:p w14:paraId="0F61D071" w14:textId="77777777" w:rsidR="00662012" w:rsidRPr="005F0419" w:rsidRDefault="00662012" w:rsidP="00C736CF">
            <w:pPr>
              <w:suppressAutoHyphens/>
              <w:spacing w:after="0" w:line="360" w:lineRule="auto"/>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К5</w:t>
            </w:r>
          </w:p>
        </w:tc>
        <w:tc>
          <w:tcPr>
            <w:tcW w:w="5954" w:type="dxa"/>
            <w:shd w:val="clear" w:color="auto" w:fill="auto"/>
            <w:vAlign w:val="center"/>
          </w:tcPr>
          <w:p w14:paraId="3686317A"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r w:rsidRPr="005F0419">
              <w:rPr>
                <w:rFonts w:ascii="Times New Roman" w:eastAsia="Calibri" w:hAnsi="Times New Roman" w:cs="Times New Roman"/>
                <w:sz w:val="28"/>
                <w:szCs w:val="28"/>
                <w:lang w:val="uk-UA" w:eastAsia="en-US"/>
              </w:rPr>
              <w:t xml:space="preserve">Латвія, Литва, Естонія, </w:t>
            </w:r>
            <w:hyperlink r:id="rId450" w:tooltip="Вінницька область" w:history="1">
              <w:r w:rsidRPr="005F0419">
                <w:rPr>
                  <w:rStyle w:val="a6"/>
                  <w:rFonts w:ascii="Times New Roman" w:eastAsia="Calibri" w:hAnsi="Times New Roman" w:cs="Times New Roman"/>
                  <w:color w:val="auto"/>
                  <w:sz w:val="28"/>
                  <w:szCs w:val="28"/>
                  <w:u w:val="none"/>
                  <w:lang w:val="uk-UA"/>
                </w:rPr>
                <w:t>Вінницький</w:t>
              </w:r>
            </w:hyperlink>
            <w:r w:rsidRPr="005F0419">
              <w:rPr>
                <w:rFonts w:ascii="Times New Roman" w:hAnsi="Times New Roman" w:cs="Times New Roman"/>
                <w:sz w:val="28"/>
                <w:szCs w:val="28"/>
                <w:lang w:val="uk-UA"/>
              </w:rPr>
              <w:t xml:space="preserve">, </w:t>
            </w:r>
            <w:hyperlink r:id="rId451" w:tooltip="Чернівецька область" w:history="1">
              <w:r w:rsidRPr="005F0419">
                <w:rPr>
                  <w:rStyle w:val="a6"/>
                  <w:rFonts w:ascii="Times New Roman" w:eastAsia="Calibri" w:hAnsi="Times New Roman" w:cs="Times New Roman"/>
                  <w:color w:val="auto"/>
                  <w:sz w:val="28"/>
                  <w:szCs w:val="28"/>
                  <w:u w:val="none"/>
                  <w:lang w:val="uk-UA"/>
                </w:rPr>
                <w:t>Чернівецький</w:t>
              </w:r>
            </w:hyperlink>
          </w:p>
        </w:tc>
        <w:tc>
          <w:tcPr>
            <w:tcW w:w="417" w:type="dxa"/>
            <w:vMerge/>
            <w:shd w:val="clear" w:color="auto" w:fill="auto"/>
            <w:vAlign w:val="center"/>
          </w:tcPr>
          <w:p w14:paraId="5524F886"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065F1968"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33" w:type="dxa"/>
            <w:vMerge/>
            <w:shd w:val="clear" w:color="auto" w:fill="auto"/>
            <w:vAlign w:val="center"/>
          </w:tcPr>
          <w:p w14:paraId="095E4D67"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01CC18C0"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0DDE374C"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20FC2545"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042E9D90"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r>
      <w:tr w:rsidR="00662012" w:rsidRPr="005F0419" w14:paraId="1A4FC5A3" w14:textId="77777777" w:rsidTr="006C0FEA">
        <w:tc>
          <w:tcPr>
            <w:tcW w:w="709" w:type="dxa"/>
            <w:vAlign w:val="center"/>
          </w:tcPr>
          <w:p w14:paraId="641DF65F" w14:textId="77777777" w:rsidR="00662012" w:rsidRPr="005F0419" w:rsidRDefault="00662012" w:rsidP="00C736CF">
            <w:pPr>
              <w:suppressAutoHyphens/>
              <w:spacing w:after="0" w:line="360" w:lineRule="auto"/>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К6</w:t>
            </w:r>
          </w:p>
        </w:tc>
        <w:tc>
          <w:tcPr>
            <w:tcW w:w="5954" w:type="dxa"/>
            <w:shd w:val="clear" w:color="auto" w:fill="auto"/>
            <w:vAlign w:val="center"/>
          </w:tcPr>
          <w:p w14:paraId="6C81795E"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r w:rsidRPr="005F0419">
              <w:rPr>
                <w:rFonts w:ascii="Times New Roman" w:eastAsia="Calibri" w:hAnsi="Times New Roman" w:cs="Times New Roman"/>
                <w:sz w:val="28"/>
                <w:szCs w:val="28"/>
                <w:lang w:val="uk-UA" w:eastAsia="en-US"/>
              </w:rPr>
              <w:t xml:space="preserve">Бельгія, Болгарія, Польща, Румунія, </w:t>
            </w:r>
            <w:hyperlink r:id="rId452" w:tooltip="Волинська область" w:history="1">
              <w:r w:rsidRPr="005F0419">
                <w:rPr>
                  <w:rStyle w:val="a6"/>
                  <w:rFonts w:ascii="Times New Roman" w:eastAsia="Calibri" w:hAnsi="Times New Roman" w:cs="Times New Roman"/>
                  <w:color w:val="auto"/>
                  <w:sz w:val="28"/>
                  <w:szCs w:val="28"/>
                  <w:u w:val="none"/>
                  <w:lang w:val="uk-UA"/>
                </w:rPr>
                <w:t>Волинський</w:t>
              </w:r>
            </w:hyperlink>
            <w:r w:rsidRPr="005F0419">
              <w:rPr>
                <w:rFonts w:ascii="Times New Roman" w:hAnsi="Times New Roman" w:cs="Times New Roman"/>
                <w:sz w:val="28"/>
                <w:szCs w:val="28"/>
                <w:lang w:val="uk-UA"/>
              </w:rPr>
              <w:t xml:space="preserve">, </w:t>
            </w:r>
            <w:hyperlink r:id="rId453" w:tooltip="Закарпатська область" w:history="1">
              <w:r w:rsidRPr="005F0419">
                <w:rPr>
                  <w:rStyle w:val="a6"/>
                  <w:rFonts w:ascii="Times New Roman" w:eastAsia="Calibri" w:hAnsi="Times New Roman" w:cs="Times New Roman"/>
                  <w:color w:val="auto"/>
                  <w:sz w:val="28"/>
                  <w:szCs w:val="28"/>
                  <w:u w:val="none"/>
                  <w:lang w:val="uk-UA"/>
                </w:rPr>
                <w:t>Закарпатський</w:t>
              </w:r>
            </w:hyperlink>
          </w:p>
        </w:tc>
        <w:tc>
          <w:tcPr>
            <w:tcW w:w="417" w:type="dxa"/>
            <w:vMerge/>
            <w:shd w:val="clear" w:color="auto" w:fill="auto"/>
            <w:vAlign w:val="center"/>
          </w:tcPr>
          <w:p w14:paraId="3E1A09B4"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07F3104A"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33" w:type="dxa"/>
            <w:vMerge/>
            <w:shd w:val="clear" w:color="auto" w:fill="auto"/>
            <w:vAlign w:val="center"/>
          </w:tcPr>
          <w:p w14:paraId="12C4AED1"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1E7349CA"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47E29742"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5AD1A6C0"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37F7038B"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r>
      <w:tr w:rsidR="00662012" w:rsidRPr="005F0419" w14:paraId="6D6921BE" w14:textId="77777777" w:rsidTr="006C0FEA">
        <w:tc>
          <w:tcPr>
            <w:tcW w:w="709" w:type="dxa"/>
            <w:vAlign w:val="center"/>
          </w:tcPr>
          <w:p w14:paraId="015DC567" w14:textId="77777777" w:rsidR="00662012" w:rsidRPr="005F0419" w:rsidRDefault="00662012" w:rsidP="00C736CF">
            <w:pPr>
              <w:suppressAutoHyphens/>
              <w:autoSpaceDE w:val="0"/>
              <w:autoSpaceDN w:val="0"/>
              <w:adjustRightInd w:val="0"/>
              <w:spacing w:after="0" w:line="360" w:lineRule="auto"/>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К7</w:t>
            </w:r>
          </w:p>
        </w:tc>
        <w:tc>
          <w:tcPr>
            <w:tcW w:w="5954" w:type="dxa"/>
            <w:shd w:val="clear" w:color="auto" w:fill="auto"/>
            <w:vAlign w:val="center"/>
          </w:tcPr>
          <w:p w14:paraId="056AA2F7" w14:textId="77777777" w:rsidR="00662012" w:rsidRPr="005F0419" w:rsidRDefault="00662012" w:rsidP="00C736CF">
            <w:pPr>
              <w:suppressAutoHyphens/>
              <w:autoSpaceDE w:val="0"/>
              <w:autoSpaceDN w:val="0"/>
              <w:adjustRightInd w:val="0"/>
              <w:spacing w:after="0" w:line="360" w:lineRule="auto"/>
              <w:rPr>
                <w:rFonts w:ascii="Times New Roman" w:hAnsi="Times New Roman" w:cs="Times New Roman"/>
                <w:sz w:val="28"/>
                <w:szCs w:val="28"/>
                <w:lang w:val="uk-UA"/>
              </w:rPr>
            </w:pPr>
            <w:r w:rsidRPr="005F0419">
              <w:rPr>
                <w:rFonts w:ascii="Times New Roman" w:eastAsia="Calibri" w:hAnsi="Times New Roman" w:cs="Times New Roman"/>
                <w:sz w:val="28"/>
                <w:szCs w:val="28"/>
                <w:lang w:val="uk-UA" w:eastAsia="en-US"/>
              </w:rPr>
              <w:t xml:space="preserve">Словаччина, Словенія, Угорщина, Хорватія, Чехія, </w:t>
            </w:r>
            <w:hyperlink r:id="rId454" w:tooltip="Рівненська область" w:history="1">
              <w:r w:rsidRPr="005F0419">
                <w:rPr>
                  <w:rStyle w:val="a6"/>
                  <w:rFonts w:ascii="Times New Roman" w:eastAsia="Calibri" w:hAnsi="Times New Roman" w:cs="Times New Roman"/>
                  <w:color w:val="auto"/>
                  <w:sz w:val="28"/>
                  <w:szCs w:val="28"/>
                  <w:u w:val="none"/>
                  <w:lang w:val="uk-UA"/>
                </w:rPr>
                <w:t>Рівненський</w:t>
              </w:r>
            </w:hyperlink>
            <w:r w:rsidRPr="005F0419">
              <w:rPr>
                <w:rFonts w:ascii="Times New Roman" w:hAnsi="Times New Roman" w:cs="Times New Roman"/>
                <w:sz w:val="28"/>
                <w:szCs w:val="28"/>
                <w:lang w:val="uk-UA"/>
              </w:rPr>
              <w:t xml:space="preserve">, </w:t>
            </w:r>
            <w:hyperlink r:id="rId455" w:tooltip="Хмельницька область" w:history="1">
              <w:r w:rsidRPr="005F0419">
                <w:rPr>
                  <w:rStyle w:val="a6"/>
                  <w:rFonts w:ascii="Times New Roman" w:eastAsia="Calibri" w:hAnsi="Times New Roman" w:cs="Times New Roman"/>
                  <w:color w:val="auto"/>
                  <w:sz w:val="28"/>
                  <w:szCs w:val="28"/>
                  <w:u w:val="none"/>
                  <w:lang w:val="uk-UA"/>
                </w:rPr>
                <w:t>Хмельницький</w:t>
              </w:r>
            </w:hyperlink>
          </w:p>
        </w:tc>
        <w:tc>
          <w:tcPr>
            <w:tcW w:w="417" w:type="dxa"/>
            <w:vMerge/>
            <w:shd w:val="clear" w:color="auto" w:fill="auto"/>
            <w:vAlign w:val="center"/>
          </w:tcPr>
          <w:p w14:paraId="66FA8717"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341D6CE2"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33" w:type="dxa"/>
            <w:vMerge/>
            <w:shd w:val="clear" w:color="auto" w:fill="auto"/>
            <w:vAlign w:val="center"/>
          </w:tcPr>
          <w:p w14:paraId="67E6E76D"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20492BD3"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3222EE5B"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6" w:type="dxa"/>
            <w:vMerge/>
            <w:shd w:val="clear" w:color="auto" w:fill="auto"/>
            <w:vAlign w:val="center"/>
          </w:tcPr>
          <w:p w14:paraId="011EF573"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c>
          <w:tcPr>
            <w:tcW w:w="425" w:type="dxa"/>
            <w:vMerge/>
            <w:shd w:val="clear" w:color="auto" w:fill="auto"/>
            <w:vAlign w:val="center"/>
          </w:tcPr>
          <w:p w14:paraId="1BBAEED5" w14:textId="77777777" w:rsidR="00662012" w:rsidRPr="005F0419" w:rsidRDefault="00662012" w:rsidP="00C736CF">
            <w:pPr>
              <w:suppressAutoHyphens/>
              <w:spacing w:after="0" w:line="360" w:lineRule="auto"/>
              <w:rPr>
                <w:rFonts w:ascii="Times New Roman" w:hAnsi="Times New Roman" w:cs="Times New Roman"/>
                <w:sz w:val="28"/>
                <w:szCs w:val="28"/>
                <w:lang w:val="uk-UA"/>
              </w:rPr>
            </w:pPr>
          </w:p>
        </w:tc>
      </w:tr>
    </w:tbl>
    <w:p w14:paraId="75405C7C" w14:textId="5A71740E"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w:t>
      </w:r>
      <w:r w:rsidRPr="005F0419">
        <w:rPr>
          <w:rFonts w:ascii="Times New Roman" w:eastAsia="Calibri" w:hAnsi="Times New Roman" w:cs="Times New Roman"/>
          <w:i/>
          <w:sz w:val="28"/>
          <w:szCs w:val="28"/>
          <w:lang w:val="uk-UA" w:eastAsia="en-US"/>
        </w:rPr>
        <w:t xml:space="preserve"> </w:t>
      </w:r>
      <w:r w:rsidRPr="005F0419">
        <w:rPr>
          <w:rFonts w:ascii="Times New Roman" w:eastAsia="Calibri" w:hAnsi="Times New Roman" w:cs="Times New Roman"/>
          <w:sz w:val="28"/>
          <w:szCs w:val="28"/>
          <w:lang w:val="uk-UA" w:eastAsia="en-US"/>
        </w:rPr>
        <w:t>[11; 40; 56–58]</w:t>
      </w:r>
      <w:r w:rsidR="00C736CF" w:rsidRPr="005F0419">
        <w:rPr>
          <w:rFonts w:ascii="Times New Roman" w:eastAsia="Calibri" w:hAnsi="Times New Roman" w:cs="Times New Roman"/>
          <w:sz w:val="28"/>
          <w:szCs w:val="28"/>
          <w:lang w:val="uk-UA" w:eastAsia="en-US"/>
        </w:rPr>
        <w:t>.</w:t>
      </w:r>
    </w:p>
    <w:p w14:paraId="4128FD34"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p>
    <w:p w14:paraId="5C868CFB"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При цьому, зазначено, що евклідові відстані між кластерами дорівнюють 1, що свідчить саме про об’єктивність кількості обраних кластерів (рис. 21).</w:t>
      </w:r>
    </w:p>
    <w:p w14:paraId="30DB51E6" w14:textId="6A78B2C7" w:rsidR="00662012" w:rsidRPr="005F0419" w:rsidRDefault="00662012" w:rsidP="00662012">
      <w:pPr>
        <w:suppressAutoHyphens/>
        <w:autoSpaceDE w:val="0"/>
        <w:autoSpaceDN w:val="0"/>
        <w:adjustRightInd w:val="0"/>
        <w:spacing w:after="0" w:line="360" w:lineRule="auto"/>
        <w:ind w:firstLine="720"/>
        <w:jc w:val="center"/>
        <w:rPr>
          <w:rFonts w:ascii="Times New Roman" w:hAnsi="Times New Roman" w:cs="Times New Roman"/>
          <w:bCs/>
          <w:sz w:val="28"/>
          <w:szCs w:val="28"/>
          <w:lang w:val="uk-UA"/>
        </w:rPr>
      </w:pPr>
      <w:r w:rsidRPr="005F0419">
        <w:rPr>
          <w:rFonts w:ascii="Times New Roman" w:eastAsia="Calibri" w:hAnsi="Times New Roman" w:cs="Times New Roman"/>
          <w:noProof/>
          <w:sz w:val="28"/>
          <w:szCs w:val="28"/>
          <w:lang w:val="uk-UA"/>
        </w:rPr>
        <w:lastRenderedPageBreak/>
        <w:drawing>
          <wp:inline distT="0" distB="0" distL="0" distR="0" wp14:anchorId="3FA4379A" wp14:editId="13E22723">
            <wp:extent cx="5585460" cy="3071192"/>
            <wp:effectExtent l="0" t="0" r="0" b="0"/>
            <wp:docPr id="151" name="Диаграмма 15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6"/>
              </a:graphicData>
            </a:graphic>
          </wp:inline>
        </w:drawing>
      </w:r>
      <w:r w:rsidRPr="005F0419">
        <w:rPr>
          <w:rFonts w:ascii="Times New Roman" w:hAnsi="Times New Roman" w:cs="Times New Roman"/>
          <w:sz w:val="28"/>
          <w:szCs w:val="28"/>
          <w:lang w:val="uk-UA"/>
        </w:rPr>
        <w:t>Рис. 21. Евклідова відстань в і</w:t>
      </w:r>
      <w:r w:rsidRPr="005F0419">
        <w:rPr>
          <w:rFonts w:ascii="Times New Roman" w:hAnsi="Times New Roman" w:cs="Times New Roman"/>
          <w:bCs/>
          <w:sz w:val="28"/>
          <w:szCs w:val="28"/>
          <w:lang w:val="uk-UA"/>
        </w:rPr>
        <w:t>єрархічній кластеризації туристичних локально-регіональних систем України</w:t>
      </w:r>
      <w:r w:rsidRPr="005F0419">
        <w:rPr>
          <w:rFonts w:ascii="Times New Roman" w:hAnsi="Times New Roman" w:cs="Times New Roman"/>
          <w:sz w:val="28"/>
          <w:szCs w:val="28"/>
          <w:lang w:val="uk-UA"/>
        </w:rPr>
        <w:t xml:space="preserve"> та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-регіональних систем країн Європи</w:t>
      </w:r>
    </w:p>
    <w:p w14:paraId="68E1C0CA" w14:textId="4D7E1128"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w:t>
      </w:r>
      <w:r w:rsidRPr="005F0419">
        <w:rPr>
          <w:rFonts w:ascii="Times New Roman" w:eastAsia="Calibri" w:hAnsi="Times New Roman" w:cs="Times New Roman"/>
          <w:i/>
          <w:sz w:val="28"/>
          <w:szCs w:val="28"/>
          <w:lang w:val="uk-UA" w:eastAsia="en-US"/>
        </w:rPr>
        <w:t xml:space="preserve"> </w:t>
      </w:r>
      <w:r w:rsidRPr="005F0419">
        <w:rPr>
          <w:rFonts w:ascii="Times New Roman" w:eastAsia="Calibri" w:hAnsi="Times New Roman" w:cs="Times New Roman"/>
          <w:sz w:val="28"/>
          <w:szCs w:val="28"/>
          <w:lang w:val="uk-UA" w:eastAsia="en-US"/>
        </w:rPr>
        <w:t>[40]</w:t>
      </w:r>
      <w:r w:rsidR="00C736CF" w:rsidRPr="005F0419">
        <w:rPr>
          <w:rFonts w:ascii="Times New Roman" w:eastAsia="Calibri" w:hAnsi="Times New Roman" w:cs="Times New Roman"/>
          <w:sz w:val="28"/>
          <w:szCs w:val="28"/>
          <w:lang w:val="uk-UA" w:eastAsia="en-US"/>
        </w:rPr>
        <w:t>.</w:t>
      </w:r>
    </w:p>
    <w:p w14:paraId="37ADF63A"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p>
    <w:p w14:paraId="27CBD7AD" w14:textId="4850A1EB"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 xml:space="preserve">На рис. 22 подано розподіл кластерів за середнім значенням індикаторів інтегрального індексу міжнародного співробітництва локально-регіональних систем України та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-регіональних систем країн Європи (див. формулу 9).</w:t>
      </w:r>
    </w:p>
    <w:p w14:paraId="521DE20F"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Результати розрахунків та їх застосування свідчать про те, що за рівнем сприятливого геоекономічного середовища чітко виокремлюються кластери 3 і 7, їх значення на 52,1% та 42,7% перевищують середню величину індикатора</w:t>
      </w:r>
      <w:r w:rsidRPr="005F0419">
        <w:rPr>
          <w:rFonts w:ascii="Times New Roman" w:eastAsia="Calibri" w:hAnsi="Times New Roman" w:cs="Times New Roman"/>
          <w:noProof/>
          <w:sz w:val="28"/>
          <w:szCs w:val="28"/>
          <w:lang w:val="uk-UA"/>
        </w:rPr>
        <w:t>. Високий рівень</w:t>
      </w:r>
      <w:r w:rsidRPr="005F0419">
        <w:rPr>
          <w:rFonts w:ascii="Times New Roman" w:eastAsia="Calibri" w:hAnsi="Times New Roman" w:cs="Times New Roman"/>
          <w:sz w:val="28"/>
          <w:szCs w:val="28"/>
          <w:lang w:val="uk-UA" w:eastAsia="en-US"/>
        </w:rPr>
        <w:t xml:space="preserve"> розвитку міжнародного співробітництва в індустрії туризму є характерним для кластеру 3 (10,4%), кластеру 4 (23,3%) та кластеру 7 (43,7%).</w:t>
      </w:r>
    </w:p>
    <w:p w14:paraId="0A497E26" w14:textId="77777777" w:rsidR="00C736CF"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pacing w:val="-2"/>
          <w:sz w:val="28"/>
          <w:szCs w:val="28"/>
          <w:lang w:val="uk-UA" w:eastAsia="en-US"/>
        </w:rPr>
      </w:pPr>
      <w:r w:rsidRPr="005F0419">
        <w:rPr>
          <w:rFonts w:ascii="Times New Roman" w:eastAsia="Calibri" w:hAnsi="Times New Roman" w:cs="Times New Roman"/>
          <w:sz w:val="28"/>
          <w:szCs w:val="28"/>
          <w:lang w:val="uk-UA" w:eastAsia="en-US"/>
        </w:rPr>
        <w:t xml:space="preserve">Результати співробітництва між вітчизняними локально-регіональними системами та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-регіональними системами країн Європи визнано, як кращі; вони визначені на рівень розвитку туристичної інфраструктури в кластерах 2, 5 та 6 – перевищення середнього значення на 65,1%, 69,1% та 64,2% відповідно. За рівнем двосторонніх туристичних потоків виокремлено кластер 2 (38,3%) та кластер 3 (38,1%). </w:t>
      </w:r>
      <w:proofErr w:type="spellStart"/>
      <w:r w:rsidRPr="005F0419">
        <w:rPr>
          <w:rFonts w:ascii="Times New Roman" w:eastAsia="Calibri" w:hAnsi="Times New Roman" w:cs="Times New Roman"/>
          <w:spacing w:val="-2"/>
          <w:sz w:val="28"/>
          <w:szCs w:val="28"/>
          <w:lang w:val="uk-UA" w:eastAsia="en-US"/>
        </w:rPr>
        <w:t>Макро</w:t>
      </w:r>
      <w:proofErr w:type="spellEnd"/>
      <w:r w:rsidRPr="005F0419">
        <w:rPr>
          <w:rFonts w:ascii="Times New Roman" w:eastAsia="Calibri" w:hAnsi="Times New Roman" w:cs="Times New Roman"/>
          <w:spacing w:val="-2"/>
          <w:sz w:val="28"/>
          <w:szCs w:val="28"/>
          <w:lang w:val="uk-UA" w:eastAsia="en-US"/>
        </w:rPr>
        <w:t xml:space="preserve">-регіональні системи Європи: кластеру 2, кластеру 3, кластеру 4 та кластеру 6 (перевищення середнього значення серед сукупності </w:t>
      </w:r>
      <w:r w:rsidRPr="005F0419">
        <w:rPr>
          <w:rFonts w:ascii="Times New Roman" w:eastAsia="Calibri" w:hAnsi="Times New Roman" w:cs="Times New Roman"/>
          <w:spacing w:val="-2"/>
          <w:sz w:val="28"/>
          <w:szCs w:val="28"/>
          <w:lang w:val="uk-UA" w:eastAsia="en-US"/>
        </w:rPr>
        <w:lastRenderedPageBreak/>
        <w:t xml:space="preserve">туристичних об’єднань в геоекономічному просторі на 6,2%, 31,4%, 7,2%, 22,1% відповідно), співпадають за рівнем привабливості природно-культурних ресурсів в локально-регіональних системах України. </w:t>
      </w:r>
    </w:p>
    <w:p w14:paraId="25030B64" w14:textId="77777777" w:rsidR="00C736CF" w:rsidRPr="005F0419" w:rsidRDefault="00C736CF" w:rsidP="00C736CF">
      <w:pPr>
        <w:suppressAutoHyphens/>
        <w:autoSpaceDE w:val="0"/>
        <w:autoSpaceDN w:val="0"/>
        <w:adjustRightInd w:val="0"/>
        <w:spacing w:after="0" w:line="360" w:lineRule="auto"/>
        <w:ind w:firstLine="720"/>
        <w:jc w:val="center"/>
        <w:rPr>
          <w:rFonts w:ascii="Times New Roman" w:hAnsi="Times New Roman" w:cs="Times New Roman"/>
          <w:sz w:val="28"/>
          <w:szCs w:val="28"/>
          <w:lang w:val="uk-UA"/>
        </w:rPr>
      </w:pPr>
      <w:r w:rsidRPr="005F0419">
        <w:rPr>
          <w:rFonts w:ascii="Times New Roman" w:eastAsia="Calibri" w:hAnsi="Times New Roman" w:cs="Times New Roman"/>
          <w:noProof/>
          <w:sz w:val="28"/>
          <w:szCs w:val="28"/>
          <w:lang w:val="uk-UA"/>
        </w:rPr>
        <w:drawing>
          <wp:inline distT="0" distB="0" distL="0" distR="0" wp14:anchorId="1834B2C8" wp14:editId="1BEFEA08">
            <wp:extent cx="5466080" cy="4273826"/>
            <wp:effectExtent l="0" t="0" r="0" b="0"/>
            <wp:docPr id="150" name="Диаграмма 15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7"/>
              </a:graphicData>
            </a:graphic>
          </wp:inline>
        </w:drawing>
      </w:r>
      <w:r w:rsidRPr="005F0419">
        <w:rPr>
          <w:rFonts w:ascii="Times New Roman" w:hAnsi="Times New Roman" w:cs="Times New Roman"/>
          <w:sz w:val="28"/>
          <w:szCs w:val="28"/>
          <w:lang w:val="uk-UA"/>
        </w:rPr>
        <w:t xml:space="preserve">Рис. 22. Розподіл кластерів за середнім значенням індикаторів інтегрального індексу міжнародного співробітництва туристичних локально-регіональних систем України та </w:t>
      </w:r>
      <w:proofErr w:type="spellStart"/>
      <w:r w:rsidRPr="005F0419">
        <w:rPr>
          <w:rFonts w:ascii="Times New Roman" w:hAnsi="Times New Roman" w:cs="Times New Roman"/>
          <w:sz w:val="28"/>
          <w:szCs w:val="28"/>
          <w:lang w:val="uk-UA"/>
        </w:rPr>
        <w:t>макро</w:t>
      </w:r>
      <w:proofErr w:type="spellEnd"/>
      <w:r w:rsidRPr="005F0419">
        <w:rPr>
          <w:rFonts w:ascii="Times New Roman" w:hAnsi="Times New Roman" w:cs="Times New Roman"/>
          <w:sz w:val="28"/>
          <w:szCs w:val="28"/>
          <w:lang w:val="uk-UA"/>
        </w:rPr>
        <w:t>-регіональних систем країн Європи</w:t>
      </w:r>
    </w:p>
    <w:p w14:paraId="00D8CCC8" w14:textId="77777777" w:rsidR="00C736CF" w:rsidRPr="005F0419" w:rsidRDefault="00C736CF" w:rsidP="00C736CF">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w:t>
      </w:r>
      <w:r w:rsidRPr="005F0419">
        <w:rPr>
          <w:rFonts w:ascii="Times New Roman" w:eastAsia="Calibri" w:hAnsi="Times New Roman" w:cs="Times New Roman"/>
          <w:i/>
          <w:sz w:val="28"/>
          <w:szCs w:val="28"/>
          <w:lang w:val="uk-UA" w:eastAsia="en-US"/>
        </w:rPr>
        <w:t xml:space="preserve"> </w:t>
      </w:r>
      <w:r w:rsidRPr="005F0419">
        <w:rPr>
          <w:rFonts w:ascii="Times New Roman" w:eastAsia="Calibri" w:hAnsi="Times New Roman" w:cs="Times New Roman"/>
          <w:sz w:val="28"/>
          <w:szCs w:val="28"/>
          <w:lang w:val="uk-UA" w:eastAsia="en-US"/>
        </w:rPr>
        <w:t>[40].</w:t>
      </w:r>
    </w:p>
    <w:p w14:paraId="6BD35223" w14:textId="77777777" w:rsidR="00C736CF" w:rsidRPr="005F0419" w:rsidRDefault="00C736CF" w:rsidP="00662012">
      <w:pPr>
        <w:suppressAutoHyphens/>
        <w:autoSpaceDE w:val="0"/>
        <w:autoSpaceDN w:val="0"/>
        <w:adjustRightInd w:val="0"/>
        <w:spacing w:after="0" w:line="360" w:lineRule="auto"/>
        <w:ind w:firstLine="720"/>
        <w:jc w:val="both"/>
        <w:rPr>
          <w:rFonts w:ascii="Times New Roman" w:eastAsia="Calibri" w:hAnsi="Times New Roman" w:cs="Times New Roman"/>
          <w:spacing w:val="-2"/>
          <w:sz w:val="28"/>
          <w:szCs w:val="28"/>
          <w:lang w:val="uk-UA" w:eastAsia="en-US"/>
        </w:rPr>
      </w:pPr>
    </w:p>
    <w:p w14:paraId="5FAB943B" w14:textId="57BC3F40"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pacing w:val="-2"/>
          <w:sz w:val="28"/>
          <w:szCs w:val="28"/>
          <w:lang w:val="uk-UA" w:eastAsia="en-US"/>
        </w:rPr>
        <w:t xml:space="preserve">Високий рівень залучення прямих іноземних інвестицій країн Європи на розвиток локально-регіональних систем України демонструють кластери 1, 3 та 7 – перевищення середнього значення на 51,6%, 47% та 31,7% відповідно. В даних кластерах збільшується частка обсягу ВРП на душу населення від залучення ПІІ на 17,92%, 26,8% та 13,3%. Збільшити рівень доходів суб’єктів індустрії туризму у кластері 2 (перевищення середнього значення на 24,4%), кластері 3 (22,8%) та кластері 4 (15,9%) дозволяє розвиток міжнародного співробітництва локально-регіональних систем України. В даних кластерах зростання податкових </w:t>
      </w:r>
      <w:r w:rsidRPr="005F0419">
        <w:rPr>
          <w:rFonts w:ascii="Times New Roman" w:eastAsia="Calibri" w:hAnsi="Times New Roman" w:cs="Times New Roman"/>
          <w:spacing w:val="-2"/>
          <w:sz w:val="28"/>
          <w:szCs w:val="28"/>
          <w:lang w:val="uk-UA" w:eastAsia="en-US"/>
        </w:rPr>
        <w:lastRenderedPageBreak/>
        <w:t xml:space="preserve">надходжень від індустрії туризму в державному бюджеті країн більше середнього значення на 21,5%, 21,4% та 20,6% відповідно. Експорт сукупного комплексного продукту у ВРП локально-регіональних систем України збільшується в кластерах 2, 4 та 5 – в середньому на 28,2%, 21,4% та 30,2% відповідно. В кластерах 2 (32,1%), кластері 3 (40,9%) та кластері 4 (42,7%) зростає інтенсивний приріст вартості робочої сили в індустрії туризму локально-регіональних систем України в кризових умовах геоекономічного простору. </w:t>
      </w:r>
    </w:p>
    <w:p w14:paraId="54627379"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bCs/>
          <w:sz w:val="28"/>
          <w:szCs w:val="28"/>
          <w:lang w:val="uk-UA" w:eastAsia="en-US"/>
        </w:rPr>
        <w:t>Інтегральний</w:t>
      </w:r>
      <w:r w:rsidRPr="005F0419">
        <w:rPr>
          <w:rFonts w:ascii="Times New Roman" w:eastAsia="Calibri" w:hAnsi="Times New Roman" w:cs="Times New Roman"/>
          <w:sz w:val="28"/>
          <w:szCs w:val="28"/>
          <w:lang w:val="uk-UA" w:eastAsia="en-US"/>
        </w:rPr>
        <w:t xml:space="preserve"> індекс реалізації потенціалу міжнародного співробітництва локально-регіональних систем індустрії туризму України й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 xml:space="preserve">-регіональних систем країн Європи в періоді 2024–2026 років представлено на рис. 23. </w:t>
      </w:r>
    </w:p>
    <w:p w14:paraId="5FF4D334" w14:textId="4C5F508E" w:rsidR="00662012" w:rsidRPr="005F0419" w:rsidRDefault="00662012" w:rsidP="00662012">
      <w:pPr>
        <w:suppressAutoHyphens/>
        <w:autoSpaceDE w:val="0"/>
        <w:autoSpaceDN w:val="0"/>
        <w:adjustRightInd w:val="0"/>
        <w:spacing w:after="0" w:line="360" w:lineRule="auto"/>
        <w:ind w:firstLine="720"/>
        <w:jc w:val="center"/>
        <w:rPr>
          <w:rFonts w:ascii="Times New Roman" w:eastAsia="Calibri" w:hAnsi="Times New Roman" w:cs="Times New Roman"/>
          <w:sz w:val="28"/>
          <w:szCs w:val="28"/>
          <w:lang w:val="uk-UA" w:eastAsia="en-US"/>
        </w:rPr>
      </w:pPr>
      <w:r w:rsidRPr="005F0419">
        <w:rPr>
          <w:rFonts w:ascii="Times New Roman" w:eastAsia="Calibri" w:hAnsi="Times New Roman" w:cs="Times New Roman"/>
          <w:noProof/>
          <w:sz w:val="28"/>
          <w:szCs w:val="28"/>
          <w:lang w:val="uk-UA"/>
        </w:rPr>
        <w:drawing>
          <wp:inline distT="0" distB="0" distL="0" distR="0" wp14:anchorId="07FEEF12" wp14:editId="011548F0">
            <wp:extent cx="5685155" cy="4810539"/>
            <wp:effectExtent l="0" t="0" r="0" b="0"/>
            <wp:docPr id="149" name="Диаграмма 1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8"/>
              </a:graphicData>
            </a:graphic>
          </wp:inline>
        </w:drawing>
      </w:r>
      <w:r w:rsidRPr="005F0419">
        <w:rPr>
          <w:rFonts w:ascii="Times New Roman" w:eastAsia="Calibri" w:hAnsi="Times New Roman" w:cs="Times New Roman"/>
          <w:bCs/>
          <w:sz w:val="28"/>
          <w:szCs w:val="28"/>
          <w:lang w:val="uk-UA" w:eastAsia="en-US"/>
        </w:rPr>
        <w:t>Рис. 23. Інтегральний</w:t>
      </w:r>
      <w:r w:rsidRPr="005F0419">
        <w:rPr>
          <w:rFonts w:ascii="Times New Roman" w:eastAsia="Calibri" w:hAnsi="Times New Roman" w:cs="Times New Roman"/>
          <w:sz w:val="28"/>
          <w:szCs w:val="28"/>
          <w:lang w:val="uk-UA" w:eastAsia="en-US"/>
        </w:rPr>
        <w:t xml:space="preserve"> індекс реалізації потенціалу міжнародного співробітництва локально-регіональних систем української індустрії туризму т</w:t>
      </w:r>
      <w:r w:rsidR="00C736CF" w:rsidRPr="005F0419">
        <w:rPr>
          <w:rFonts w:ascii="Times New Roman" w:eastAsia="Calibri" w:hAnsi="Times New Roman" w:cs="Times New Roman"/>
          <w:sz w:val="28"/>
          <w:szCs w:val="28"/>
          <w:lang w:val="uk-UA" w:eastAsia="en-US"/>
        </w:rPr>
        <w:t xml:space="preserve">а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-регіональних систем країн Європи у 2024–2026 рр., %</w:t>
      </w:r>
    </w:p>
    <w:p w14:paraId="4E576175" w14:textId="289BD6B6"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t>Джерело: побудовано автором за</w:t>
      </w:r>
      <w:r w:rsidRPr="005F0419">
        <w:rPr>
          <w:rFonts w:ascii="Times New Roman" w:eastAsia="Calibri" w:hAnsi="Times New Roman" w:cs="Times New Roman"/>
          <w:i/>
          <w:sz w:val="28"/>
          <w:szCs w:val="28"/>
          <w:lang w:val="uk-UA" w:eastAsia="en-US"/>
        </w:rPr>
        <w:t xml:space="preserve"> </w:t>
      </w:r>
      <w:r w:rsidRPr="005F0419">
        <w:rPr>
          <w:rFonts w:ascii="Times New Roman" w:eastAsia="Calibri" w:hAnsi="Times New Roman" w:cs="Times New Roman"/>
          <w:sz w:val="28"/>
          <w:szCs w:val="28"/>
          <w:lang w:val="uk-UA" w:eastAsia="en-US"/>
        </w:rPr>
        <w:t>[40]</w:t>
      </w:r>
      <w:r w:rsidR="00C736CF" w:rsidRPr="005F0419">
        <w:rPr>
          <w:rFonts w:ascii="Times New Roman" w:eastAsia="Calibri" w:hAnsi="Times New Roman" w:cs="Times New Roman"/>
          <w:sz w:val="28"/>
          <w:szCs w:val="28"/>
          <w:lang w:val="uk-UA" w:eastAsia="en-US"/>
        </w:rPr>
        <w:t>.</w:t>
      </w:r>
    </w:p>
    <w:p w14:paraId="5E9105FD" w14:textId="77777777" w:rsidR="00662012" w:rsidRPr="005F0419" w:rsidRDefault="00662012" w:rsidP="00662012">
      <w:pPr>
        <w:suppressAutoHyphens/>
        <w:autoSpaceDE w:val="0"/>
        <w:autoSpaceDN w:val="0"/>
        <w:adjustRightInd w:val="0"/>
        <w:spacing w:after="0" w:line="360" w:lineRule="auto"/>
        <w:ind w:firstLine="720"/>
        <w:jc w:val="both"/>
        <w:rPr>
          <w:rFonts w:ascii="Times New Roman" w:eastAsia="Calibri" w:hAnsi="Times New Roman" w:cs="Times New Roman"/>
          <w:sz w:val="28"/>
          <w:szCs w:val="28"/>
          <w:lang w:val="uk-UA" w:eastAsia="en-US"/>
        </w:rPr>
      </w:pPr>
      <w:r w:rsidRPr="005F0419">
        <w:rPr>
          <w:rFonts w:ascii="Times New Roman" w:eastAsia="Calibri" w:hAnsi="Times New Roman" w:cs="Times New Roman"/>
          <w:sz w:val="28"/>
          <w:szCs w:val="28"/>
          <w:lang w:val="uk-UA" w:eastAsia="en-US"/>
        </w:rPr>
        <w:lastRenderedPageBreak/>
        <w:t xml:space="preserve">Відповідно до прогнозів рівень міжнародного співробітництва локально-регіональних систем України і </w:t>
      </w:r>
      <w:proofErr w:type="spellStart"/>
      <w:r w:rsidRPr="005F0419">
        <w:rPr>
          <w:rFonts w:ascii="Times New Roman" w:eastAsia="Calibri" w:hAnsi="Times New Roman" w:cs="Times New Roman"/>
          <w:sz w:val="28"/>
          <w:szCs w:val="28"/>
          <w:lang w:val="uk-UA" w:eastAsia="en-US"/>
        </w:rPr>
        <w:t>макро</w:t>
      </w:r>
      <w:proofErr w:type="spellEnd"/>
      <w:r w:rsidRPr="005F0419">
        <w:rPr>
          <w:rFonts w:ascii="Times New Roman" w:eastAsia="Calibri" w:hAnsi="Times New Roman" w:cs="Times New Roman"/>
          <w:sz w:val="28"/>
          <w:szCs w:val="28"/>
          <w:lang w:val="uk-UA" w:eastAsia="en-US"/>
        </w:rPr>
        <w:t>-регіональних систем Європи у 2024–2026 рр. зросте: кластер 1 (зростання на 22,4%), кластер 2 (27,6%), кластер 3 (61,6%), кластер 4 (50,8%), кластер 5 (69,1%), кластер 6 (30,6%), кластер 7 (34,2%).</w:t>
      </w:r>
    </w:p>
    <w:p w14:paraId="0464D7F4"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Взагалі, зміцнення позицій вітчизняної індустрії туризму можливе за умов: </w:t>
      </w:r>
    </w:p>
    <w:p w14:paraId="5D4ADEA2"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1) зростання іміджу локально-регіональних систем; </w:t>
      </w:r>
    </w:p>
    <w:p w14:paraId="2206C67E"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2) створення національного конкурентоспроможного комплексного туристичного продукту; </w:t>
      </w:r>
    </w:p>
    <w:p w14:paraId="18B7ED70" w14:textId="1C4BC665"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3) вирішення нагальних проблем оперативного забезпечення безпеки перебування іноземних громадян в Україні; </w:t>
      </w:r>
    </w:p>
    <w:p w14:paraId="19942440"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4) формування безпечного середовища для вітчизняних та іноземних мандрівників, а також безпекового простору індустрії туризму країни у стратегічній перспективі; </w:t>
      </w:r>
    </w:p>
    <w:p w14:paraId="1121D73F"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5) затвердження дострокової стратегії та реалізація політики стійкого геоекономічного розвитку; </w:t>
      </w:r>
    </w:p>
    <w:p w14:paraId="13B9653C"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6) використання інформаційних технологій та міжнародного цифрового простору для просування комплексного туристичного продукту країни; </w:t>
      </w:r>
    </w:p>
    <w:p w14:paraId="65033F33"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7) задоволення потреб всіх споживачів шляхом розробки інноваційних технологій обслуговування; </w:t>
      </w:r>
    </w:p>
    <w:p w14:paraId="335E58AA"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8) покращення національної транспортної інфраструктури, сполучень, доріг, прискорення руху транспортних засобів пересування людей та вантажів; </w:t>
      </w:r>
    </w:p>
    <w:p w14:paraId="4BCC057F"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9) забезпечення захисту прав споживачів та правова підтримка законних інтересів в суді; </w:t>
      </w:r>
    </w:p>
    <w:p w14:paraId="0F13B23D"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10) вдосконалення менеджменту та маркетингу зовнішньоекономічної діяльності в індустрії туризму; </w:t>
      </w:r>
    </w:p>
    <w:p w14:paraId="5D91AAE3"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11) втілення принципів корпоративної соціальної відповідальності у туристичному бізнесі; </w:t>
      </w:r>
    </w:p>
    <w:p w14:paraId="4A88CFBA" w14:textId="77777777" w:rsidR="00C736CF"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 xml:space="preserve">12) реалізація принципів відповідального ставлення до природних та культурних ресурсів; </w:t>
      </w:r>
    </w:p>
    <w:p w14:paraId="7C9FA90D" w14:textId="3855B18A" w:rsidR="00662012" w:rsidRPr="005F0419" w:rsidRDefault="00662012" w:rsidP="00662012">
      <w:pPr>
        <w:suppressAutoHyphens/>
        <w:spacing w:after="0" w:line="360" w:lineRule="auto"/>
        <w:ind w:firstLine="720"/>
        <w:jc w:val="both"/>
        <w:rPr>
          <w:rFonts w:ascii="Times New Roman" w:hAnsi="Times New Roman" w:cs="Times New Roman"/>
          <w:spacing w:val="-2"/>
          <w:sz w:val="28"/>
          <w:szCs w:val="28"/>
          <w:lang w:val="uk-UA"/>
        </w:rPr>
      </w:pPr>
      <w:r w:rsidRPr="005F0419">
        <w:rPr>
          <w:rFonts w:ascii="Times New Roman" w:hAnsi="Times New Roman" w:cs="Times New Roman"/>
          <w:spacing w:val="-2"/>
          <w:sz w:val="28"/>
          <w:szCs w:val="28"/>
          <w:lang w:val="uk-UA"/>
        </w:rPr>
        <w:t>13) забезпечення захисту наземних екосистем та біорізноманіття тощо.</w:t>
      </w:r>
    </w:p>
    <w:p w14:paraId="14255861" w14:textId="77777777" w:rsidR="00662012" w:rsidRPr="005F0419" w:rsidRDefault="00662012" w:rsidP="00662012">
      <w:pPr>
        <w:suppressAutoHyphens/>
        <w:autoSpaceDE w:val="0"/>
        <w:autoSpaceDN w:val="0"/>
        <w:adjustRightInd w:val="0"/>
        <w:spacing w:after="0" w:line="360" w:lineRule="auto"/>
        <w:ind w:firstLine="720"/>
        <w:jc w:val="both"/>
        <w:rPr>
          <w:rStyle w:val="rynqvb"/>
          <w:rFonts w:ascii="Times New Roman" w:eastAsia="Calibri" w:hAnsi="Times New Roman" w:cs="Times New Roman"/>
          <w:sz w:val="28"/>
          <w:szCs w:val="28"/>
          <w:lang w:val="uk-UA"/>
        </w:rPr>
      </w:pPr>
      <w:r w:rsidRPr="005F0419">
        <w:rPr>
          <w:rStyle w:val="rynqvb"/>
          <w:rFonts w:ascii="Times New Roman" w:eastAsia="Calibri" w:hAnsi="Times New Roman" w:cs="Times New Roman"/>
          <w:sz w:val="28"/>
          <w:szCs w:val="28"/>
          <w:lang w:val="uk-UA"/>
        </w:rPr>
        <w:lastRenderedPageBreak/>
        <w:t xml:space="preserve">Стратегічні перспективи розвитку індустрії туризму України в контексті геополітичних подій в умовах кризи і у посткризовому періоді слід пов’язувати з ефективним партнерством з країнами Європейського Союзу </w:t>
      </w:r>
      <w:r w:rsidRPr="005F0419">
        <w:rPr>
          <w:rFonts w:ascii="Times New Roman" w:eastAsia="Calibri" w:hAnsi="Times New Roman" w:cs="Times New Roman"/>
          <w:sz w:val="28"/>
          <w:szCs w:val="28"/>
          <w:lang w:val="uk-UA" w:eastAsia="en-US"/>
        </w:rPr>
        <w:t>[59]</w:t>
      </w:r>
      <w:r w:rsidRPr="005F0419">
        <w:rPr>
          <w:rStyle w:val="rynqvb"/>
          <w:rFonts w:ascii="Times New Roman" w:eastAsia="Calibri" w:hAnsi="Times New Roman" w:cs="Times New Roman"/>
          <w:sz w:val="28"/>
          <w:szCs w:val="28"/>
          <w:lang w:val="uk-UA"/>
        </w:rPr>
        <w:t>. При цьому є сенс врахувати наступне: можливість просування національного комплексного туристичного продукту на європейський ринок за тісної співпраці з компаніями країн ЄС;</w:t>
      </w:r>
      <w:r w:rsidRPr="005F0419">
        <w:rPr>
          <w:rStyle w:val="hwtze"/>
          <w:rFonts w:ascii="Times New Roman" w:eastAsia="Calibri" w:hAnsi="Times New Roman" w:cs="Times New Roman"/>
          <w:sz w:val="28"/>
          <w:szCs w:val="28"/>
          <w:lang w:val="uk-UA"/>
        </w:rPr>
        <w:t xml:space="preserve"> формування сприятливого цифрового простору для споживачів та </w:t>
      </w:r>
      <w:r w:rsidRPr="005F0419">
        <w:rPr>
          <w:rStyle w:val="rynqvb"/>
          <w:rFonts w:ascii="Times New Roman" w:eastAsia="Calibri" w:hAnsi="Times New Roman" w:cs="Times New Roman"/>
          <w:sz w:val="28"/>
          <w:szCs w:val="28"/>
          <w:lang w:val="uk-UA"/>
        </w:rPr>
        <w:t>підприємств індустрії туризму; створення дружнього клімату та інформаційно-комунікаційного середовища для співпраці; прокладання транснаціональних мереж й коридорів для залучення більшої кількості міжнародних мандрівників; запровадження передового світового досвіду організації туристичного бізнесу;</w:t>
      </w:r>
      <w:r w:rsidRPr="005F0419">
        <w:rPr>
          <w:rStyle w:val="hwtze"/>
          <w:rFonts w:ascii="Times New Roman" w:eastAsia="Calibri" w:hAnsi="Times New Roman" w:cs="Times New Roman"/>
          <w:sz w:val="28"/>
          <w:szCs w:val="28"/>
          <w:lang w:val="uk-UA"/>
        </w:rPr>
        <w:t xml:space="preserve"> </w:t>
      </w:r>
      <w:r w:rsidRPr="005F0419">
        <w:rPr>
          <w:rStyle w:val="rynqvb"/>
          <w:rFonts w:ascii="Times New Roman" w:eastAsia="Calibri" w:hAnsi="Times New Roman" w:cs="Times New Roman"/>
          <w:sz w:val="28"/>
          <w:szCs w:val="28"/>
          <w:lang w:val="uk-UA"/>
        </w:rPr>
        <w:t>посилення євроінтеграційних процесів в країні.</w:t>
      </w:r>
      <w:r w:rsidRPr="005F0419">
        <w:rPr>
          <w:rStyle w:val="hwtze"/>
          <w:rFonts w:ascii="Times New Roman" w:eastAsia="Calibri" w:hAnsi="Times New Roman" w:cs="Times New Roman"/>
          <w:sz w:val="28"/>
          <w:szCs w:val="28"/>
          <w:lang w:val="uk-UA"/>
        </w:rPr>
        <w:t xml:space="preserve"> </w:t>
      </w:r>
      <w:r w:rsidRPr="005F0419">
        <w:rPr>
          <w:rStyle w:val="rynqvb"/>
          <w:rFonts w:ascii="Times New Roman" w:eastAsia="Calibri" w:hAnsi="Times New Roman" w:cs="Times New Roman"/>
          <w:sz w:val="28"/>
          <w:szCs w:val="28"/>
          <w:lang w:val="uk-UA"/>
        </w:rPr>
        <w:t>Транскордонне співробітництво з європейськими країнами-сусідами є перспективним стратегічним напрямком для реалізації концепції сприятливого, ефективного та безпечного туристичного відпочинку.</w:t>
      </w:r>
      <w:r w:rsidRPr="005F0419">
        <w:rPr>
          <w:rStyle w:val="hwtze"/>
          <w:rFonts w:ascii="Times New Roman" w:eastAsia="Calibri" w:hAnsi="Times New Roman" w:cs="Times New Roman"/>
          <w:sz w:val="28"/>
          <w:szCs w:val="28"/>
          <w:lang w:val="uk-UA"/>
        </w:rPr>
        <w:t xml:space="preserve"> Відновлення стратегічного потенціалу України і його </w:t>
      </w:r>
      <w:r w:rsidRPr="005F0419">
        <w:rPr>
          <w:rStyle w:val="rynqvb"/>
          <w:rFonts w:ascii="Times New Roman" w:eastAsia="Calibri" w:hAnsi="Times New Roman" w:cs="Times New Roman"/>
          <w:sz w:val="28"/>
          <w:szCs w:val="28"/>
          <w:lang w:val="uk-UA"/>
        </w:rPr>
        <w:t>перспективи розвитку є обґрунтованими відносно зміцнення туристичного співробітництва з країнами Близького Сходу та Азії.</w:t>
      </w:r>
      <w:r w:rsidRPr="005F0419">
        <w:rPr>
          <w:rStyle w:val="hwtze"/>
          <w:rFonts w:ascii="Times New Roman" w:eastAsia="Calibri" w:hAnsi="Times New Roman" w:cs="Times New Roman"/>
          <w:sz w:val="28"/>
          <w:szCs w:val="28"/>
          <w:lang w:val="uk-UA"/>
        </w:rPr>
        <w:t xml:space="preserve"> Тут </w:t>
      </w:r>
      <w:r w:rsidRPr="005F0419">
        <w:rPr>
          <w:rStyle w:val="rynqvb"/>
          <w:rFonts w:ascii="Times New Roman" w:eastAsia="Calibri" w:hAnsi="Times New Roman" w:cs="Times New Roman"/>
          <w:sz w:val="28"/>
          <w:szCs w:val="28"/>
          <w:lang w:val="uk-UA"/>
        </w:rPr>
        <w:t>важливо спростити візові формальності з окремими країнами або групою країн.</w:t>
      </w:r>
      <w:r w:rsidRPr="005F0419">
        <w:rPr>
          <w:rStyle w:val="hwtze"/>
          <w:rFonts w:ascii="Times New Roman" w:eastAsia="Calibri" w:hAnsi="Times New Roman" w:cs="Times New Roman"/>
          <w:sz w:val="28"/>
          <w:szCs w:val="28"/>
          <w:lang w:val="uk-UA"/>
        </w:rPr>
        <w:t xml:space="preserve"> </w:t>
      </w:r>
      <w:r w:rsidRPr="005F0419">
        <w:rPr>
          <w:rStyle w:val="rynqvb"/>
          <w:rFonts w:ascii="Times New Roman" w:eastAsia="Calibri" w:hAnsi="Times New Roman" w:cs="Times New Roman"/>
          <w:sz w:val="28"/>
          <w:szCs w:val="28"/>
          <w:lang w:val="uk-UA"/>
        </w:rPr>
        <w:t xml:space="preserve">Полегшення процедури в’їзду в країну та отримання віз сприятиме зростанню обсягів міжнародних </w:t>
      </w:r>
      <w:proofErr w:type="spellStart"/>
      <w:r w:rsidRPr="005F0419">
        <w:rPr>
          <w:rStyle w:val="rynqvb"/>
          <w:rFonts w:ascii="Times New Roman" w:eastAsia="Calibri" w:hAnsi="Times New Roman" w:cs="Times New Roman"/>
          <w:sz w:val="28"/>
          <w:szCs w:val="28"/>
          <w:lang w:val="uk-UA"/>
        </w:rPr>
        <w:t>прибуттів</w:t>
      </w:r>
      <w:proofErr w:type="spellEnd"/>
      <w:r w:rsidRPr="005F0419">
        <w:rPr>
          <w:rStyle w:val="rynqvb"/>
          <w:rFonts w:ascii="Times New Roman" w:eastAsia="Calibri" w:hAnsi="Times New Roman" w:cs="Times New Roman"/>
          <w:sz w:val="28"/>
          <w:szCs w:val="28"/>
          <w:lang w:val="uk-UA"/>
        </w:rPr>
        <w:t xml:space="preserve"> в Україну.</w:t>
      </w:r>
    </w:p>
    <w:p w14:paraId="60A6932A" w14:textId="77777777" w:rsidR="00C736CF" w:rsidRPr="005F0419" w:rsidRDefault="00662012" w:rsidP="00C736CF">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r w:rsidRPr="005F0419">
        <w:rPr>
          <w:rStyle w:val="rynqvb"/>
          <w:rFonts w:ascii="Times New Roman" w:eastAsia="Calibri" w:hAnsi="Times New Roman" w:cs="Times New Roman"/>
          <w:sz w:val="28"/>
          <w:szCs w:val="28"/>
          <w:lang w:val="uk-UA"/>
        </w:rPr>
        <w:t xml:space="preserve">Слід звернути увагу на той факт, що має значний потенціал </w:t>
      </w:r>
      <w:r w:rsidRPr="005F0419">
        <w:rPr>
          <w:rFonts w:ascii="Times New Roman" w:hAnsi="Times New Roman" w:cs="Times New Roman"/>
          <w:spacing w:val="-2"/>
          <w:sz w:val="28"/>
          <w:szCs w:val="28"/>
          <w:lang w:val="uk-UA"/>
        </w:rPr>
        <w:t xml:space="preserve">створення в локально-регіональних системах України систем стратегічного управління щодо </w:t>
      </w:r>
      <w:r w:rsidRPr="005F0419">
        <w:rPr>
          <w:rFonts w:ascii="Times New Roman" w:eastAsia="TimesNewRomanPSMT" w:hAnsi="Times New Roman" w:cs="Times New Roman"/>
          <w:sz w:val="28"/>
          <w:szCs w:val="28"/>
          <w:lang w:val="uk-UA" w:eastAsia="en-US"/>
        </w:rPr>
        <w:t xml:space="preserve">раціонального розподілу-використання залучених прямих іноземних інвестицій від партнерів </w:t>
      </w:r>
      <w:proofErr w:type="spellStart"/>
      <w:r w:rsidRPr="005F0419">
        <w:rPr>
          <w:rFonts w:ascii="Times New Roman" w:eastAsia="TimesNewRomanPSMT" w:hAnsi="Times New Roman" w:cs="Times New Roman"/>
          <w:sz w:val="28"/>
          <w:szCs w:val="28"/>
          <w:lang w:val="uk-UA" w:eastAsia="en-US"/>
        </w:rPr>
        <w:t>макро</w:t>
      </w:r>
      <w:proofErr w:type="spellEnd"/>
      <w:r w:rsidRPr="005F0419">
        <w:rPr>
          <w:rFonts w:ascii="Times New Roman" w:eastAsia="TimesNewRomanPSMT" w:hAnsi="Times New Roman" w:cs="Times New Roman"/>
          <w:sz w:val="28"/>
          <w:szCs w:val="28"/>
          <w:lang w:val="uk-UA" w:eastAsia="en-US"/>
        </w:rPr>
        <w:t>-регіональних туристичних систем Європейського Союзу. Зазначений потенціал може бути використаний</w:t>
      </w:r>
      <w:r w:rsidRPr="005F0419">
        <w:rPr>
          <w:rFonts w:ascii="Times New Roman" w:hAnsi="Times New Roman" w:cs="Times New Roman"/>
          <w:spacing w:val="-2"/>
          <w:sz w:val="28"/>
          <w:szCs w:val="28"/>
          <w:lang w:val="uk-UA"/>
        </w:rPr>
        <w:t xml:space="preserve"> </w:t>
      </w:r>
      <w:r w:rsidRPr="005F0419">
        <w:rPr>
          <w:rFonts w:ascii="Times New Roman" w:eastAsia="TimesNewRomanPSMT" w:hAnsi="Times New Roman" w:cs="Times New Roman"/>
          <w:sz w:val="28"/>
          <w:szCs w:val="28"/>
          <w:lang w:val="uk-UA" w:eastAsia="en-US"/>
        </w:rPr>
        <w:t xml:space="preserve">для підвищення продуктивності праці, прискорення темпів економічного розвитку індустрії туризму, посилення імпульсу зростання вітчизняної економіки, реалізації потенціалу міжнародного співробітництва України в індустрії туризму країн ЄС з метою зближення з європейськими туристичними фірмами для забезпечення приблизно 4,3 млн. робочих місць, що складе 5% від загальної зайнятості в країні. Крім того, це дозволить збільшити на 21% просування українських туристичних продуктів на міжнародних ринок та збільшити на 19% додану вартість послуг в цих країнах. </w:t>
      </w:r>
      <w:r w:rsidRPr="005F0419">
        <w:rPr>
          <w:rFonts w:ascii="Times New Roman" w:eastAsia="TimesNewRomanPSMT" w:hAnsi="Times New Roman" w:cs="Times New Roman"/>
          <w:sz w:val="28"/>
          <w:szCs w:val="28"/>
          <w:lang w:val="uk-UA" w:eastAsia="en-US"/>
        </w:rPr>
        <w:lastRenderedPageBreak/>
        <w:t>Заб</w:t>
      </w:r>
      <w:r w:rsidRPr="005F0419">
        <w:rPr>
          <w:rFonts w:ascii="Times New Roman" w:hAnsi="Times New Roman" w:cs="Times New Roman"/>
          <w:spacing w:val="-2"/>
          <w:sz w:val="28"/>
          <w:szCs w:val="28"/>
          <w:lang w:val="uk-UA"/>
        </w:rPr>
        <w:t xml:space="preserve">езпечення безпечного рівня функціонування </w:t>
      </w:r>
      <w:proofErr w:type="spellStart"/>
      <w:r w:rsidRPr="005F0419">
        <w:rPr>
          <w:rFonts w:ascii="Times New Roman" w:hAnsi="Times New Roman" w:cs="Times New Roman"/>
          <w:spacing w:val="-2"/>
          <w:sz w:val="28"/>
          <w:szCs w:val="28"/>
          <w:lang w:val="uk-UA"/>
        </w:rPr>
        <w:t>макро</w:t>
      </w:r>
      <w:proofErr w:type="spellEnd"/>
      <w:r w:rsidRPr="005F0419">
        <w:rPr>
          <w:rFonts w:ascii="Times New Roman" w:hAnsi="Times New Roman" w:cs="Times New Roman"/>
          <w:spacing w:val="-2"/>
          <w:sz w:val="28"/>
          <w:szCs w:val="28"/>
          <w:lang w:val="uk-UA"/>
        </w:rPr>
        <w:t>-регіональної туристичної системи України дозволить призупинити падіння попиту на туристичні продукти та прискорити отримання прибутку суб’єктами вітчизняної індустрії туризму.</w:t>
      </w:r>
    </w:p>
    <w:p w14:paraId="52ED4B97" w14:textId="77777777" w:rsidR="00C736CF" w:rsidRPr="005F0419" w:rsidRDefault="00C736CF" w:rsidP="00C736CF">
      <w:pPr>
        <w:suppressAutoHyphens/>
        <w:autoSpaceDE w:val="0"/>
        <w:autoSpaceDN w:val="0"/>
        <w:adjustRightInd w:val="0"/>
        <w:spacing w:after="0" w:line="360" w:lineRule="auto"/>
        <w:ind w:firstLine="720"/>
        <w:jc w:val="both"/>
        <w:rPr>
          <w:rFonts w:ascii="Times New Roman" w:hAnsi="Times New Roman" w:cs="Times New Roman"/>
          <w:spacing w:val="-2"/>
          <w:sz w:val="28"/>
          <w:szCs w:val="28"/>
          <w:lang w:val="uk-UA"/>
        </w:rPr>
      </w:pPr>
    </w:p>
    <w:p w14:paraId="7062CE9A" w14:textId="23993549" w:rsidR="00662012" w:rsidRPr="005F0419" w:rsidRDefault="00662012" w:rsidP="00662012">
      <w:pPr>
        <w:suppressAutoHyphens/>
        <w:autoSpaceDE w:val="0"/>
        <w:autoSpaceDN w:val="0"/>
        <w:adjustRightInd w:val="0"/>
        <w:spacing w:after="0" w:line="360" w:lineRule="auto"/>
        <w:ind w:firstLine="720"/>
        <w:jc w:val="center"/>
        <w:rPr>
          <w:rFonts w:ascii="Times New Roman" w:hAnsi="Times New Roman" w:cs="Times New Roman"/>
          <w:b/>
          <w:bCs/>
          <w:spacing w:val="-2"/>
          <w:sz w:val="28"/>
          <w:szCs w:val="28"/>
          <w:lang w:val="uk-UA"/>
        </w:rPr>
      </w:pPr>
      <w:r w:rsidRPr="005F0419">
        <w:rPr>
          <w:rFonts w:ascii="Times New Roman" w:hAnsi="Times New Roman" w:cs="Times New Roman"/>
          <w:b/>
          <w:bCs/>
          <w:spacing w:val="-2"/>
          <w:sz w:val="28"/>
          <w:szCs w:val="28"/>
          <w:lang w:val="uk-UA"/>
        </w:rPr>
        <w:t xml:space="preserve">Список </w:t>
      </w:r>
      <w:r w:rsidR="00C736CF" w:rsidRPr="005F0419">
        <w:rPr>
          <w:rFonts w:ascii="Times New Roman" w:hAnsi="Times New Roman" w:cs="Times New Roman"/>
          <w:b/>
          <w:bCs/>
          <w:spacing w:val="-2"/>
          <w:sz w:val="28"/>
          <w:szCs w:val="28"/>
          <w:lang w:val="uk-UA"/>
        </w:rPr>
        <w:t>використаних джерел</w:t>
      </w:r>
    </w:p>
    <w:p w14:paraId="199CD060"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 </w:t>
      </w:r>
      <w:proofErr w:type="spellStart"/>
      <w:r w:rsidRPr="005F0419">
        <w:rPr>
          <w:rFonts w:ascii="Times New Roman" w:hAnsi="Times New Roman" w:cs="Times New Roman"/>
          <w:sz w:val="28"/>
          <w:szCs w:val="28"/>
          <w:lang w:val="uk-UA"/>
        </w:rPr>
        <w:t>Das</w:t>
      </w:r>
      <w:proofErr w:type="spellEnd"/>
      <w:r w:rsidRPr="005F0419">
        <w:rPr>
          <w:rFonts w:ascii="Times New Roman" w:hAnsi="Times New Roman" w:cs="Times New Roman"/>
          <w:sz w:val="28"/>
          <w:szCs w:val="28"/>
          <w:lang w:val="uk-UA"/>
        </w:rPr>
        <w:t xml:space="preserve"> D., </w:t>
      </w:r>
      <w:proofErr w:type="spellStart"/>
      <w:r w:rsidRPr="005F0419">
        <w:rPr>
          <w:rFonts w:ascii="Times New Roman" w:hAnsi="Times New Roman" w:cs="Times New Roman"/>
          <w:sz w:val="28"/>
          <w:szCs w:val="28"/>
          <w:lang w:val="uk-UA"/>
        </w:rPr>
        <w:t>Kannadhasan</w:t>
      </w:r>
      <w:proofErr w:type="spellEnd"/>
      <w:r w:rsidRPr="005F0419">
        <w:rPr>
          <w:rFonts w:ascii="Times New Roman" w:hAnsi="Times New Roman" w:cs="Times New Roman"/>
          <w:sz w:val="28"/>
          <w:szCs w:val="28"/>
          <w:lang w:val="uk-UA"/>
        </w:rPr>
        <w:t xml:space="preserve"> M., </w:t>
      </w:r>
      <w:proofErr w:type="spellStart"/>
      <w:r w:rsidRPr="005F0419">
        <w:rPr>
          <w:rFonts w:ascii="Times New Roman" w:hAnsi="Times New Roman" w:cs="Times New Roman"/>
          <w:sz w:val="28"/>
          <w:szCs w:val="28"/>
          <w:lang w:val="uk-UA"/>
        </w:rPr>
        <w:t>Bhattacharyya</w:t>
      </w:r>
      <w:proofErr w:type="spellEnd"/>
      <w:r w:rsidRPr="005F0419">
        <w:rPr>
          <w:rFonts w:ascii="Times New Roman" w:hAnsi="Times New Roman" w:cs="Times New Roman"/>
          <w:sz w:val="28"/>
          <w:szCs w:val="28"/>
          <w:lang w:val="uk-UA"/>
        </w:rPr>
        <w:t xml:space="preserve"> M. </w:t>
      </w:r>
      <w:proofErr w:type="spellStart"/>
      <w:r w:rsidRPr="005F0419">
        <w:rPr>
          <w:rFonts w:ascii="Times New Roman" w:hAnsi="Times New Roman" w:cs="Times New Roman"/>
          <w:sz w:val="28"/>
          <w:szCs w:val="28"/>
          <w:lang w:val="uk-UA"/>
        </w:rPr>
        <w:t>Do</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emerging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stock</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markets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react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international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economic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policy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uncertainty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geopolitical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risk</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financial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stress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alike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North</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American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Journal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Economics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Finance</w:t>
      </w:r>
      <w:proofErr w:type="spellEnd"/>
      <w:r w:rsidRPr="005F0419">
        <w:rPr>
          <w:rFonts w:ascii="Times New Roman" w:hAnsi="Times New Roman" w:cs="Times New Roman"/>
          <w:sz w:val="28"/>
          <w:szCs w:val="28"/>
          <w:lang w:val="uk-UA"/>
        </w:rPr>
        <w:t xml:space="preserve">. 2019. </w:t>
      </w:r>
      <w:proofErr w:type="spellStart"/>
      <w:r w:rsidRPr="005F0419">
        <w:rPr>
          <w:rFonts w:ascii="Times New Roman" w:hAnsi="Times New Roman" w:cs="Times New Roman"/>
          <w:sz w:val="28"/>
          <w:szCs w:val="28"/>
          <w:lang w:val="uk-UA"/>
        </w:rPr>
        <w:t>Vol</w:t>
      </w:r>
      <w:proofErr w:type="spellEnd"/>
      <w:r w:rsidRPr="005F0419">
        <w:rPr>
          <w:rFonts w:ascii="Times New Roman" w:hAnsi="Times New Roman" w:cs="Times New Roman"/>
          <w:sz w:val="28"/>
          <w:szCs w:val="28"/>
          <w:lang w:val="uk-UA"/>
        </w:rPr>
        <w:t>. 48. P. 1–19.</w:t>
      </w:r>
    </w:p>
    <w:p w14:paraId="2FF2B20A"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w:t>
      </w:r>
      <w:proofErr w:type="spellStart"/>
      <w:r w:rsidRPr="005F0419">
        <w:rPr>
          <w:rFonts w:ascii="Times New Roman" w:hAnsi="Times New Roman" w:cs="Times New Roman"/>
          <w:sz w:val="28"/>
          <w:szCs w:val="28"/>
          <w:lang w:val="uk-UA"/>
        </w:rPr>
        <w:t>Đukić</w:t>
      </w:r>
      <w:proofErr w:type="spellEnd"/>
      <w:r w:rsidRPr="005F0419">
        <w:rPr>
          <w:rFonts w:ascii="Times New Roman" w:hAnsi="Times New Roman" w:cs="Times New Roman"/>
          <w:sz w:val="28"/>
          <w:szCs w:val="28"/>
          <w:lang w:val="uk-UA"/>
        </w:rPr>
        <w:t xml:space="preserve"> A, </w:t>
      </w:r>
      <w:proofErr w:type="spellStart"/>
      <w:r w:rsidRPr="005F0419">
        <w:rPr>
          <w:rFonts w:ascii="Times New Roman" w:hAnsi="Times New Roman" w:cs="Times New Roman"/>
          <w:sz w:val="28"/>
          <w:szCs w:val="28"/>
          <w:lang w:val="uk-UA"/>
        </w:rPr>
        <w:t>Jerković</w:t>
      </w:r>
      <w:proofErr w:type="spellEnd"/>
      <w:r w:rsidRPr="005F0419">
        <w:rPr>
          <w:rFonts w:ascii="Times New Roman" w:hAnsi="Times New Roman" w:cs="Times New Roman"/>
          <w:sz w:val="28"/>
          <w:szCs w:val="28"/>
          <w:lang w:val="uk-UA"/>
        </w:rPr>
        <w:t xml:space="preserve"> S. </w:t>
      </w:r>
      <w:proofErr w:type="spellStart"/>
      <w:r w:rsidRPr="005F0419">
        <w:rPr>
          <w:rFonts w:ascii="Times New Roman" w:hAnsi="Times New Roman" w:cs="Times New Roman"/>
          <w:sz w:val="28"/>
          <w:szCs w:val="28"/>
          <w:lang w:val="uk-UA"/>
        </w:rPr>
        <w:t>Geoeconomic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guidelines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development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Model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Dubrovnik</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Journal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Geographical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Institute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Jovan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Cvijic</w:t>
      </w:r>
      <w:proofErr w:type="spellEnd"/>
      <w:r w:rsidRPr="005F0419">
        <w:rPr>
          <w:rFonts w:ascii="Times New Roman" w:hAnsi="Times New Roman" w:cs="Times New Roman"/>
          <w:sz w:val="28"/>
          <w:szCs w:val="28"/>
          <w:lang w:val="uk-UA"/>
        </w:rPr>
        <w:t>. 2007. SASA. P. 193–201.</w:t>
      </w:r>
    </w:p>
    <w:p w14:paraId="0CA50832"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 </w:t>
      </w:r>
      <w:proofErr w:type="spellStart"/>
      <w:r w:rsidRPr="005F0419">
        <w:rPr>
          <w:rFonts w:ascii="Times New Roman" w:hAnsi="Times New Roman" w:cs="Times New Roman"/>
          <w:sz w:val="28"/>
          <w:szCs w:val="28"/>
          <w:lang w:val="uk-UA"/>
        </w:rPr>
        <w:t>Mercille</w:t>
      </w:r>
      <w:proofErr w:type="spellEnd"/>
      <w:r w:rsidRPr="005F0419">
        <w:rPr>
          <w:rFonts w:ascii="Times New Roman" w:hAnsi="Times New Roman" w:cs="Times New Roman"/>
          <w:sz w:val="28"/>
          <w:szCs w:val="28"/>
          <w:lang w:val="uk-UA"/>
        </w:rPr>
        <w:t xml:space="preserve"> J.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radical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geopolitics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US </w:t>
      </w:r>
      <w:proofErr w:type="spellStart"/>
      <w:r w:rsidRPr="005F0419">
        <w:rPr>
          <w:rFonts w:ascii="Times New Roman" w:hAnsi="Times New Roman" w:cs="Times New Roman"/>
          <w:sz w:val="28"/>
          <w:szCs w:val="28"/>
          <w:lang w:val="uk-UA"/>
        </w:rPr>
        <w:t>foreign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policy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Geopolitical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geoeconomic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logics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power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Political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Geography</w:t>
      </w:r>
      <w:proofErr w:type="spellEnd"/>
      <w:r w:rsidRPr="005F0419">
        <w:rPr>
          <w:rFonts w:ascii="Times New Roman" w:hAnsi="Times New Roman" w:cs="Times New Roman"/>
          <w:sz w:val="28"/>
          <w:szCs w:val="28"/>
          <w:lang w:val="uk-UA"/>
        </w:rPr>
        <w:t xml:space="preserve">. 2008. </w:t>
      </w:r>
      <w:proofErr w:type="spellStart"/>
      <w:r w:rsidRPr="005F0419">
        <w:rPr>
          <w:rFonts w:ascii="Times New Roman" w:hAnsi="Times New Roman" w:cs="Times New Roman"/>
          <w:sz w:val="28"/>
          <w:szCs w:val="28"/>
          <w:lang w:val="uk-UA"/>
        </w:rPr>
        <w:t>Vol</w:t>
      </w:r>
      <w:proofErr w:type="spellEnd"/>
      <w:r w:rsidRPr="005F0419">
        <w:rPr>
          <w:rFonts w:ascii="Times New Roman" w:hAnsi="Times New Roman" w:cs="Times New Roman"/>
          <w:sz w:val="28"/>
          <w:szCs w:val="28"/>
          <w:lang w:val="uk-UA"/>
        </w:rPr>
        <w:t>. 27. P. 570–586.</w:t>
      </w:r>
    </w:p>
    <w:p w14:paraId="3238227C"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 </w:t>
      </w:r>
      <w:proofErr w:type="spellStart"/>
      <w:r w:rsidRPr="005F0419">
        <w:rPr>
          <w:rFonts w:ascii="Times New Roman" w:hAnsi="Times New Roman" w:cs="Times New Roman"/>
          <w:sz w:val="28"/>
          <w:szCs w:val="28"/>
          <w:lang w:val="uk-UA"/>
        </w:rPr>
        <w:t>Farsari</w:t>
      </w:r>
      <w:proofErr w:type="spellEnd"/>
      <w:r w:rsidRPr="005F0419">
        <w:rPr>
          <w:rFonts w:ascii="Times New Roman" w:hAnsi="Times New Roman" w:cs="Times New Roman"/>
          <w:sz w:val="28"/>
          <w:szCs w:val="28"/>
          <w:lang w:val="uk-UA"/>
        </w:rPr>
        <w:t xml:space="preserve"> I.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Development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a </w:t>
      </w:r>
      <w:proofErr w:type="spellStart"/>
      <w:r w:rsidRPr="005F0419">
        <w:rPr>
          <w:rFonts w:ascii="Times New Roman" w:hAnsi="Times New Roman" w:cs="Times New Roman"/>
          <w:sz w:val="28"/>
          <w:szCs w:val="28"/>
          <w:lang w:val="uk-UA"/>
        </w:rPr>
        <w:t>Conceptual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Model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Support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Sustainable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Policy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North</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Mediterranean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Destinations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Journal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Hospitality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Marketing</w:t>
      </w:r>
      <w:proofErr w:type="spellEnd"/>
      <w:r w:rsidRPr="005F0419">
        <w:rPr>
          <w:rFonts w:ascii="Times New Roman" w:hAnsi="Times New Roman" w:cs="Times New Roman"/>
          <w:sz w:val="28"/>
          <w:szCs w:val="28"/>
          <w:lang w:val="uk-UA"/>
        </w:rPr>
        <w:t xml:space="preserve"> &amp; </w:t>
      </w:r>
      <w:proofErr w:type="spellStart"/>
      <w:r w:rsidRPr="005F0419">
        <w:rPr>
          <w:rFonts w:ascii="Times New Roman" w:hAnsi="Times New Roman" w:cs="Times New Roman"/>
          <w:sz w:val="28"/>
          <w:szCs w:val="28"/>
          <w:lang w:val="uk-UA"/>
        </w:rPr>
        <w:t>Management</w:t>
      </w:r>
      <w:proofErr w:type="spellEnd"/>
      <w:r w:rsidRPr="005F0419">
        <w:rPr>
          <w:rFonts w:ascii="Times New Roman" w:hAnsi="Times New Roman" w:cs="Times New Roman"/>
          <w:sz w:val="28"/>
          <w:szCs w:val="28"/>
          <w:lang w:val="uk-UA"/>
        </w:rPr>
        <w:t xml:space="preserve">. 2012. </w:t>
      </w:r>
      <w:proofErr w:type="spellStart"/>
      <w:r w:rsidRPr="005F0419">
        <w:rPr>
          <w:rFonts w:ascii="Times New Roman" w:hAnsi="Times New Roman" w:cs="Times New Roman"/>
          <w:sz w:val="28"/>
          <w:szCs w:val="28"/>
          <w:lang w:val="uk-UA"/>
        </w:rPr>
        <w:t>Vol</w:t>
      </w:r>
      <w:proofErr w:type="spellEnd"/>
      <w:r w:rsidRPr="005F0419">
        <w:rPr>
          <w:rFonts w:ascii="Times New Roman" w:hAnsi="Times New Roman" w:cs="Times New Roman"/>
          <w:sz w:val="28"/>
          <w:szCs w:val="28"/>
          <w:lang w:val="uk-UA"/>
        </w:rPr>
        <w:t>. 21 (7). P. 710–738.</w:t>
      </w:r>
    </w:p>
    <w:p w14:paraId="2E8FAAFE"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 </w:t>
      </w:r>
      <w:proofErr w:type="spellStart"/>
      <w:r w:rsidRPr="005F0419">
        <w:rPr>
          <w:rFonts w:ascii="Times New Roman" w:hAnsi="Times New Roman" w:cs="Times New Roman"/>
          <w:sz w:val="28"/>
          <w:szCs w:val="28"/>
          <w:lang w:val="uk-UA"/>
        </w:rPr>
        <w:t>Джі</w:t>
      </w:r>
      <w:proofErr w:type="spellEnd"/>
      <w:r w:rsidRPr="005F0419">
        <w:rPr>
          <w:rFonts w:ascii="Times New Roman" w:hAnsi="Times New Roman" w:cs="Times New Roman"/>
          <w:sz w:val="28"/>
          <w:szCs w:val="28"/>
          <w:lang w:val="uk-UA"/>
        </w:rPr>
        <w:t xml:space="preserve"> Ч. Й., </w:t>
      </w:r>
      <w:proofErr w:type="spellStart"/>
      <w:r w:rsidRPr="005F0419">
        <w:rPr>
          <w:rFonts w:ascii="Times New Roman" w:hAnsi="Times New Roman" w:cs="Times New Roman"/>
          <w:sz w:val="28"/>
          <w:szCs w:val="28"/>
          <w:lang w:val="uk-UA"/>
        </w:rPr>
        <w:t>Файос-Сола</w:t>
      </w:r>
      <w:proofErr w:type="spellEnd"/>
      <w:r w:rsidRPr="005F0419">
        <w:rPr>
          <w:rFonts w:ascii="Times New Roman" w:hAnsi="Times New Roman" w:cs="Times New Roman"/>
          <w:sz w:val="28"/>
          <w:szCs w:val="28"/>
          <w:lang w:val="uk-UA"/>
        </w:rPr>
        <w:t xml:space="preserve"> Е. Міжнародний туризм: глобальна перспектива. Мадрид: Всесвітня туристична організація, 1997.</w:t>
      </w:r>
    </w:p>
    <w:p w14:paraId="589F91BD" w14:textId="417BEAEB"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 </w:t>
      </w:r>
      <w:proofErr w:type="spellStart"/>
      <w:r w:rsidRPr="005F0419">
        <w:rPr>
          <w:rFonts w:ascii="Times New Roman" w:hAnsi="Times New Roman" w:cs="Times New Roman"/>
          <w:sz w:val="28"/>
          <w:szCs w:val="28"/>
          <w:lang w:val="uk-UA"/>
        </w:rPr>
        <w:t>Коккранікал</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Дж</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Кроньє</w:t>
      </w:r>
      <w:proofErr w:type="spellEnd"/>
      <w:r w:rsidRPr="005F0419">
        <w:rPr>
          <w:rFonts w:ascii="Times New Roman" w:hAnsi="Times New Roman" w:cs="Times New Roman"/>
          <w:sz w:val="28"/>
          <w:szCs w:val="28"/>
          <w:lang w:val="uk-UA"/>
        </w:rPr>
        <w:t xml:space="preserve"> П., </w:t>
      </w:r>
      <w:proofErr w:type="spellStart"/>
      <w:r w:rsidRPr="005F0419">
        <w:rPr>
          <w:rFonts w:ascii="Times New Roman" w:hAnsi="Times New Roman" w:cs="Times New Roman"/>
          <w:sz w:val="28"/>
          <w:szCs w:val="28"/>
          <w:lang w:val="uk-UA"/>
        </w:rPr>
        <w:t>Батлер</w:t>
      </w:r>
      <w:proofErr w:type="spellEnd"/>
      <w:r w:rsidRPr="005F0419">
        <w:rPr>
          <w:rFonts w:ascii="Times New Roman" w:hAnsi="Times New Roman" w:cs="Times New Roman"/>
          <w:sz w:val="28"/>
          <w:szCs w:val="28"/>
          <w:lang w:val="uk-UA"/>
        </w:rPr>
        <w:t xml:space="preserve"> Р. Туристична політика та маркетинг напрямків у країнах, що розвиваються: ланцюжок впливу. Планування та розвиток туризму. 2011.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8</w:t>
      </w:r>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(4). С. 359–380.</w:t>
      </w:r>
    </w:p>
    <w:p w14:paraId="7CA6D3BA"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7. </w:t>
      </w:r>
      <w:proofErr w:type="spellStart"/>
      <w:r w:rsidRPr="005F0419">
        <w:rPr>
          <w:rFonts w:ascii="Times New Roman" w:hAnsi="Times New Roman" w:cs="Times New Roman"/>
          <w:sz w:val="28"/>
          <w:szCs w:val="28"/>
          <w:lang w:val="uk-UA"/>
        </w:rPr>
        <w:t>Маккейб</w:t>
      </w:r>
      <w:proofErr w:type="spellEnd"/>
      <w:r w:rsidRPr="005F0419">
        <w:rPr>
          <w:rFonts w:ascii="Times New Roman" w:hAnsi="Times New Roman" w:cs="Times New Roman"/>
          <w:sz w:val="28"/>
          <w:szCs w:val="28"/>
          <w:lang w:val="uk-UA"/>
        </w:rPr>
        <w:t xml:space="preserve"> С., </w:t>
      </w:r>
      <w:proofErr w:type="spellStart"/>
      <w:r w:rsidRPr="005F0419">
        <w:rPr>
          <w:rFonts w:ascii="Times New Roman" w:hAnsi="Times New Roman" w:cs="Times New Roman"/>
          <w:sz w:val="28"/>
          <w:szCs w:val="28"/>
          <w:lang w:val="uk-UA"/>
        </w:rPr>
        <w:t>Міннаерт</w:t>
      </w:r>
      <w:proofErr w:type="spellEnd"/>
      <w:r w:rsidRPr="005F0419">
        <w:rPr>
          <w:rFonts w:ascii="Times New Roman" w:hAnsi="Times New Roman" w:cs="Times New Roman"/>
          <w:sz w:val="28"/>
          <w:szCs w:val="28"/>
          <w:lang w:val="uk-UA"/>
        </w:rPr>
        <w:t xml:space="preserve"> Л., </w:t>
      </w:r>
      <w:proofErr w:type="spellStart"/>
      <w:r w:rsidRPr="005F0419">
        <w:rPr>
          <w:rFonts w:ascii="Times New Roman" w:hAnsi="Times New Roman" w:cs="Times New Roman"/>
          <w:sz w:val="28"/>
          <w:szCs w:val="28"/>
          <w:lang w:val="uk-UA"/>
        </w:rPr>
        <w:t>Дікманн</w:t>
      </w:r>
      <w:proofErr w:type="spellEnd"/>
      <w:r w:rsidRPr="005F0419">
        <w:rPr>
          <w:rFonts w:ascii="Times New Roman" w:hAnsi="Times New Roman" w:cs="Times New Roman"/>
          <w:sz w:val="28"/>
          <w:szCs w:val="28"/>
          <w:lang w:val="uk-UA"/>
        </w:rPr>
        <w:t xml:space="preserve"> А. Соціальний туризм в Європі: теорія і практика. Брістоль, Великобританія; </w:t>
      </w:r>
      <w:proofErr w:type="spellStart"/>
      <w:r w:rsidRPr="005F0419">
        <w:rPr>
          <w:rFonts w:ascii="Times New Roman" w:hAnsi="Times New Roman" w:cs="Times New Roman"/>
          <w:sz w:val="28"/>
          <w:szCs w:val="28"/>
          <w:lang w:val="uk-UA"/>
        </w:rPr>
        <w:t>Буффало</w:t>
      </w:r>
      <w:proofErr w:type="spellEnd"/>
      <w:r w:rsidRPr="005F0419">
        <w:rPr>
          <w:rFonts w:ascii="Times New Roman" w:hAnsi="Times New Roman" w:cs="Times New Roman"/>
          <w:sz w:val="28"/>
          <w:szCs w:val="28"/>
          <w:lang w:val="uk-UA"/>
        </w:rPr>
        <w:t>, Нью-Йорк: Публікації перегляду каналу, 2012.</w:t>
      </w:r>
    </w:p>
    <w:p w14:paraId="27157F22"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8. </w:t>
      </w:r>
      <w:proofErr w:type="spellStart"/>
      <w:r w:rsidRPr="005F0419">
        <w:rPr>
          <w:rFonts w:ascii="Times New Roman" w:hAnsi="Times New Roman" w:cs="Times New Roman"/>
          <w:sz w:val="28"/>
          <w:szCs w:val="28"/>
          <w:lang w:val="uk-UA"/>
        </w:rPr>
        <w:t>Любіцева</w:t>
      </w:r>
      <w:proofErr w:type="spellEnd"/>
      <w:r w:rsidRPr="005F0419">
        <w:rPr>
          <w:rFonts w:ascii="Times New Roman" w:hAnsi="Times New Roman" w:cs="Times New Roman"/>
          <w:sz w:val="28"/>
          <w:szCs w:val="28"/>
          <w:lang w:val="uk-UA"/>
        </w:rPr>
        <w:t xml:space="preserve"> О. О. Ринок туристичних послуг (</w:t>
      </w:r>
      <w:proofErr w:type="spellStart"/>
      <w:r w:rsidRPr="005F0419">
        <w:rPr>
          <w:rFonts w:ascii="Times New Roman" w:hAnsi="Times New Roman" w:cs="Times New Roman"/>
          <w:sz w:val="28"/>
          <w:szCs w:val="28"/>
          <w:lang w:val="uk-UA"/>
        </w:rPr>
        <w:t>геокосмічні</w:t>
      </w:r>
      <w:proofErr w:type="spellEnd"/>
      <w:r w:rsidRPr="005F0419">
        <w:rPr>
          <w:rFonts w:ascii="Times New Roman" w:hAnsi="Times New Roman" w:cs="Times New Roman"/>
          <w:sz w:val="28"/>
          <w:szCs w:val="28"/>
          <w:lang w:val="uk-UA"/>
        </w:rPr>
        <w:t xml:space="preserve"> аспекти). Київ: </w:t>
      </w:r>
      <w:proofErr w:type="spellStart"/>
      <w:r w:rsidRPr="005F0419">
        <w:rPr>
          <w:rFonts w:ascii="Times New Roman" w:hAnsi="Times New Roman" w:cs="Times New Roman"/>
          <w:sz w:val="28"/>
          <w:szCs w:val="28"/>
          <w:lang w:val="uk-UA"/>
        </w:rPr>
        <w:t>Альтерпрес</w:t>
      </w:r>
      <w:proofErr w:type="spellEnd"/>
      <w:r w:rsidRPr="005F0419">
        <w:rPr>
          <w:rFonts w:ascii="Times New Roman" w:hAnsi="Times New Roman" w:cs="Times New Roman"/>
          <w:sz w:val="28"/>
          <w:szCs w:val="28"/>
          <w:lang w:val="uk-UA"/>
        </w:rPr>
        <w:t>, 2002. 255 с.</w:t>
      </w:r>
    </w:p>
    <w:p w14:paraId="7EBAF8DD"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9. </w:t>
      </w:r>
      <w:proofErr w:type="spellStart"/>
      <w:r w:rsidRPr="005F0419">
        <w:rPr>
          <w:rFonts w:ascii="Times New Roman" w:hAnsi="Times New Roman" w:cs="Times New Roman"/>
          <w:sz w:val="28"/>
          <w:szCs w:val="28"/>
          <w:lang w:val="uk-UA"/>
        </w:rPr>
        <w:t>Pompl</w:t>
      </w:r>
      <w:proofErr w:type="spellEnd"/>
      <w:r w:rsidRPr="005F0419">
        <w:rPr>
          <w:rFonts w:ascii="Times New Roman" w:hAnsi="Times New Roman" w:cs="Times New Roman"/>
          <w:sz w:val="28"/>
          <w:szCs w:val="28"/>
          <w:lang w:val="uk-UA"/>
        </w:rPr>
        <w:t xml:space="preserve"> W., </w:t>
      </w:r>
      <w:proofErr w:type="spellStart"/>
      <w:r w:rsidRPr="005F0419">
        <w:rPr>
          <w:rFonts w:ascii="Times New Roman" w:hAnsi="Times New Roman" w:cs="Times New Roman"/>
          <w:sz w:val="28"/>
          <w:szCs w:val="28"/>
          <w:lang w:val="uk-UA"/>
        </w:rPr>
        <w:t>Lavery</w:t>
      </w:r>
      <w:proofErr w:type="spellEnd"/>
      <w:r w:rsidRPr="005F0419">
        <w:rPr>
          <w:rFonts w:ascii="Times New Roman" w:hAnsi="Times New Roman" w:cs="Times New Roman"/>
          <w:sz w:val="28"/>
          <w:szCs w:val="28"/>
          <w:lang w:val="uk-UA"/>
        </w:rPr>
        <w:t xml:space="preserve"> P.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Europe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Structures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Developments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Wallingford</w:t>
      </w:r>
      <w:proofErr w:type="spellEnd"/>
      <w:r w:rsidRPr="005F0419">
        <w:rPr>
          <w:rFonts w:ascii="Times New Roman" w:hAnsi="Times New Roman" w:cs="Times New Roman"/>
          <w:sz w:val="28"/>
          <w:szCs w:val="28"/>
          <w:lang w:val="uk-UA"/>
        </w:rPr>
        <w:t xml:space="preserve">: CAB </w:t>
      </w:r>
      <w:proofErr w:type="spellStart"/>
      <w:r w:rsidRPr="005F0419">
        <w:rPr>
          <w:rFonts w:ascii="Times New Roman" w:hAnsi="Times New Roman" w:cs="Times New Roman"/>
          <w:sz w:val="28"/>
          <w:szCs w:val="28"/>
          <w:lang w:val="uk-UA"/>
        </w:rPr>
        <w:t>International</w:t>
      </w:r>
      <w:proofErr w:type="spellEnd"/>
      <w:r w:rsidRPr="005F0419">
        <w:rPr>
          <w:rFonts w:ascii="Times New Roman" w:hAnsi="Times New Roman" w:cs="Times New Roman"/>
          <w:sz w:val="28"/>
          <w:szCs w:val="28"/>
          <w:lang w:val="uk-UA"/>
        </w:rPr>
        <w:t>, 1993. 230 р.</w:t>
      </w:r>
    </w:p>
    <w:p w14:paraId="65EA3B5B"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10. Прем Н. Д. Міжнародний туризм: нові виклики та перспективи на майбутнє. Ташкент: </w:t>
      </w:r>
      <w:proofErr w:type="spellStart"/>
      <w:r w:rsidRPr="005F0419">
        <w:rPr>
          <w:rFonts w:ascii="Times New Roman" w:hAnsi="Times New Roman" w:cs="Times New Roman"/>
          <w:sz w:val="28"/>
          <w:szCs w:val="28"/>
          <w:lang w:val="uk-UA"/>
        </w:rPr>
        <w:t>Канішка</w:t>
      </w:r>
      <w:proofErr w:type="spellEnd"/>
      <w:r w:rsidRPr="005F0419">
        <w:rPr>
          <w:rFonts w:ascii="Times New Roman" w:hAnsi="Times New Roman" w:cs="Times New Roman"/>
          <w:sz w:val="28"/>
          <w:szCs w:val="28"/>
          <w:lang w:val="uk-UA"/>
        </w:rPr>
        <w:t>, 2000. 152 с.</w:t>
      </w:r>
    </w:p>
    <w:p w14:paraId="65F402AC"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11. </w:t>
      </w:r>
      <w:proofErr w:type="spellStart"/>
      <w:r w:rsidRPr="005F0419">
        <w:rPr>
          <w:rFonts w:ascii="Times New Roman" w:hAnsi="Times New Roman" w:cs="Times New Roman"/>
          <w:sz w:val="28"/>
          <w:szCs w:val="28"/>
          <w:lang w:val="uk-UA"/>
        </w:rPr>
        <w:t>Trusova</w:t>
      </w:r>
      <w:proofErr w:type="spellEnd"/>
      <w:r w:rsidRPr="005F0419">
        <w:rPr>
          <w:rFonts w:ascii="Times New Roman" w:hAnsi="Times New Roman" w:cs="Times New Roman"/>
          <w:sz w:val="28"/>
          <w:szCs w:val="28"/>
          <w:lang w:val="uk-UA"/>
        </w:rPr>
        <w:t xml:space="preserve"> N. V., </w:t>
      </w:r>
      <w:proofErr w:type="spellStart"/>
      <w:r w:rsidRPr="005F0419">
        <w:rPr>
          <w:rFonts w:ascii="Times New Roman" w:hAnsi="Times New Roman" w:cs="Times New Roman"/>
          <w:sz w:val="28"/>
          <w:szCs w:val="28"/>
          <w:lang w:val="uk-UA"/>
        </w:rPr>
        <w:t>Cherniavska</w:t>
      </w:r>
      <w:proofErr w:type="spellEnd"/>
      <w:r w:rsidRPr="005F0419">
        <w:rPr>
          <w:rFonts w:ascii="Times New Roman" w:hAnsi="Times New Roman" w:cs="Times New Roman"/>
          <w:sz w:val="28"/>
          <w:szCs w:val="28"/>
          <w:lang w:val="uk-UA"/>
        </w:rPr>
        <w:t xml:space="preserve"> T. A., </w:t>
      </w:r>
      <w:proofErr w:type="spellStart"/>
      <w:r w:rsidRPr="005F0419">
        <w:rPr>
          <w:rFonts w:ascii="Times New Roman" w:hAnsi="Times New Roman" w:cs="Times New Roman"/>
          <w:sz w:val="28"/>
          <w:szCs w:val="28"/>
          <w:lang w:val="uk-UA"/>
        </w:rPr>
        <w:t>Pasieka</w:t>
      </w:r>
      <w:proofErr w:type="spellEnd"/>
      <w:r w:rsidRPr="005F0419">
        <w:rPr>
          <w:rFonts w:ascii="Times New Roman" w:hAnsi="Times New Roman" w:cs="Times New Roman"/>
          <w:sz w:val="28"/>
          <w:szCs w:val="28"/>
          <w:lang w:val="uk-UA"/>
        </w:rPr>
        <w:t xml:space="preserve"> S. R., </w:t>
      </w:r>
      <w:proofErr w:type="spellStart"/>
      <w:r w:rsidRPr="005F0419">
        <w:rPr>
          <w:rFonts w:ascii="Times New Roman" w:hAnsi="Times New Roman" w:cs="Times New Roman"/>
          <w:sz w:val="28"/>
          <w:szCs w:val="28"/>
          <w:lang w:val="uk-UA"/>
        </w:rPr>
        <w:t>Hranovska</w:t>
      </w:r>
      <w:proofErr w:type="spellEnd"/>
      <w:r w:rsidRPr="005F0419">
        <w:rPr>
          <w:rFonts w:ascii="Times New Roman" w:hAnsi="Times New Roman" w:cs="Times New Roman"/>
          <w:sz w:val="28"/>
          <w:szCs w:val="28"/>
          <w:lang w:val="uk-UA"/>
        </w:rPr>
        <w:t xml:space="preserve"> V. </w:t>
      </w:r>
      <w:proofErr w:type="spellStart"/>
      <w:r w:rsidRPr="005F0419">
        <w:rPr>
          <w:rFonts w:ascii="Times New Roman" w:hAnsi="Times New Roman" w:cs="Times New Roman"/>
          <w:sz w:val="28"/>
          <w:szCs w:val="28"/>
          <w:lang w:val="uk-UA"/>
        </w:rPr>
        <w:t>Hr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Prystemskyi</w:t>
      </w:r>
      <w:proofErr w:type="spellEnd"/>
      <w:r w:rsidRPr="005F0419">
        <w:rPr>
          <w:rFonts w:ascii="Times New Roman" w:hAnsi="Times New Roman" w:cs="Times New Roman"/>
          <w:sz w:val="28"/>
          <w:szCs w:val="28"/>
          <w:lang w:val="uk-UA"/>
        </w:rPr>
        <w:t xml:space="preserve"> O. S., </w:t>
      </w:r>
      <w:proofErr w:type="spellStart"/>
      <w:r w:rsidRPr="005F0419">
        <w:rPr>
          <w:rFonts w:ascii="Times New Roman" w:hAnsi="Times New Roman" w:cs="Times New Roman"/>
          <w:sz w:val="28"/>
          <w:szCs w:val="28"/>
          <w:lang w:val="uk-UA"/>
        </w:rPr>
        <w:t>Demko</w:t>
      </w:r>
      <w:proofErr w:type="spellEnd"/>
      <w:r w:rsidRPr="005F0419">
        <w:rPr>
          <w:rFonts w:ascii="Times New Roman" w:hAnsi="Times New Roman" w:cs="Times New Roman"/>
          <w:sz w:val="28"/>
          <w:szCs w:val="28"/>
          <w:lang w:val="uk-UA"/>
        </w:rPr>
        <w:t xml:space="preserve"> V. S. </w:t>
      </w:r>
      <w:proofErr w:type="spellStart"/>
      <w:r w:rsidRPr="005F0419">
        <w:rPr>
          <w:rFonts w:ascii="Times New Roman" w:hAnsi="Times New Roman" w:cs="Times New Roman"/>
          <w:sz w:val="28"/>
          <w:szCs w:val="28"/>
          <w:lang w:val="uk-UA"/>
        </w:rPr>
        <w:t>Innovative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clustering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region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context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increasing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competitive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positions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enterprises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recreational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destination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GeoJournal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Geosite</w:t>
      </w:r>
      <w:proofErr w:type="spellEnd"/>
      <w:r w:rsidRPr="005F0419">
        <w:rPr>
          <w:rFonts w:ascii="Times New Roman" w:hAnsi="Times New Roman" w:cs="Times New Roman"/>
          <w:sz w:val="28"/>
          <w:szCs w:val="28"/>
          <w:lang w:val="uk-UA"/>
        </w:rPr>
        <w:t xml:space="preserve">. 2020. </w:t>
      </w:r>
      <w:proofErr w:type="spellStart"/>
      <w:r w:rsidRPr="005F0419">
        <w:rPr>
          <w:rFonts w:ascii="Times New Roman" w:hAnsi="Times New Roman" w:cs="Times New Roman"/>
          <w:sz w:val="28"/>
          <w:szCs w:val="28"/>
          <w:lang w:val="uk-UA"/>
        </w:rPr>
        <w:t>Vol</w:t>
      </w:r>
      <w:proofErr w:type="spellEnd"/>
      <w:r w:rsidRPr="005F0419">
        <w:rPr>
          <w:rFonts w:ascii="Times New Roman" w:hAnsi="Times New Roman" w:cs="Times New Roman"/>
          <w:sz w:val="28"/>
          <w:szCs w:val="28"/>
          <w:lang w:val="uk-UA"/>
        </w:rPr>
        <w:t>. 33(3). Р. 1126–1134.</w:t>
      </w:r>
    </w:p>
    <w:p w14:paraId="5D1780E9"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12. Бондаренко Д. Геополітика Центральної та Східної Європи і Перша світова війна. </w:t>
      </w:r>
      <w:proofErr w:type="spellStart"/>
      <w:r w:rsidRPr="005F0419">
        <w:rPr>
          <w:rFonts w:ascii="Times New Roman" w:hAnsi="Times New Roman" w:cs="Times New Roman"/>
          <w:sz w:val="28"/>
          <w:szCs w:val="28"/>
          <w:lang w:val="uk-UA"/>
        </w:rPr>
        <w:t>Revista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Română</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Studii</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Eurasiatice</w:t>
      </w:r>
      <w:proofErr w:type="spellEnd"/>
      <w:r w:rsidRPr="005F0419">
        <w:rPr>
          <w:rFonts w:ascii="Times New Roman" w:hAnsi="Times New Roman" w:cs="Times New Roman"/>
          <w:sz w:val="28"/>
          <w:szCs w:val="28"/>
          <w:lang w:val="uk-UA"/>
        </w:rPr>
        <w:t>. 2022. Т. XVIII(1-2). С. 65–84.</w:t>
      </w:r>
    </w:p>
    <w:p w14:paraId="69B95138" w14:textId="5162419C"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13. </w:t>
      </w:r>
      <w:proofErr w:type="spellStart"/>
      <w:r w:rsidRPr="005F0419">
        <w:rPr>
          <w:rFonts w:ascii="Times New Roman" w:hAnsi="Times New Roman" w:cs="Times New Roman"/>
          <w:sz w:val="28"/>
          <w:szCs w:val="28"/>
          <w:lang w:val="uk-UA"/>
        </w:rPr>
        <w:t>Мірела</w:t>
      </w:r>
      <w:proofErr w:type="spellEnd"/>
      <w:r w:rsidRPr="005F0419">
        <w:rPr>
          <w:rFonts w:ascii="Times New Roman" w:hAnsi="Times New Roman" w:cs="Times New Roman"/>
          <w:sz w:val="28"/>
          <w:szCs w:val="28"/>
          <w:lang w:val="uk-UA"/>
        </w:rPr>
        <w:t xml:space="preserve"> М. Геополітичні аспекти розвитку міжнародного туризму в Україні. Геополітика України: історія і сучасність. 2016. В. 2</w:t>
      </w:r>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(17). С. 257–273.</w:t>
      </w:r>
    </w:p>
    <w:p w14:paraId="056DC4BD"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14. Ткачук Л. М. Сучасна геополітична ситуація як чинник розвитку регіонального туризму. Регіональна політика: політико-правові засади, містобудування, територіальне планування, архітектура. 2019.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2(5). С. 169-173.</w:t>
      </w:r>
    </w:p>
    <w:p w14:paraId="5F212FA5" w14:textId="59C0B811"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15. </w:t>
      </w:r>
      <w:proofErr w:type="spellStart"/>
      <w:r w:rsidRPr="005F0419">
        <w:rPr>
          <w:rFonts w:ascii="Times New Roman" w:hAnsi="Times New Roman" w:cs="Times New Roman"/>
          <w:sz w:val="28"/>
          <w:szCs w:val="28"/>
          <w:lang w:val="uk-UA"/>
        </w:rPr>
        <w:t>Смаль</w:t>
      </w:r>
      <w:proofErr w:type="spellEnd"/>
      <w:r w:rsidRPr="005F0419">
        <w:rPr>
          <w:rFonts w:ascii="Times New Roman" w:hAnsi="Times New Roman" w:cs="Times New Roman"/>
          <w:sz w:val="28"/>
          <w:szCs w:val="28"/>
          <w:lang w:val="uk-UA"/>
        </w:rPr>
        <w:t xml:space="preserve"> І.В. Геополітичний фактор у розвитку міжнародного туризму. 2007. </w:t>
      </w:r>
      <w:hyperlink r:id="rId459" w:history="1">
        <w:r w:rsidR="00022351" w:rsidRPr="005F0419">
          <w:rPr>
            <w:rStyle w:val="a6"/>
            <w:rFonts w:ascii="Times New Roman" w:hAnsi="Times New Roman" w:cs="Times New Roman"/>
            <w:color w:val="auto"/>
            <w:sz w:val="28"/>
            <w:szCs w:val="28"/>
            <w:lang w:val="uk-UA"/>
          </w:rPr>
          <w:t>URL:http://ekhsuir.kspu.edu/bitstream/handle/</w:t>
        </w:r>
      </w:hyperlink>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26.01.2024).</w:t>
      </w:r>
    </w:p>
    <w:p w14:paraId="172DB47F"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16. </w:t>
      </w:r>
      <w:proofErr w:type="spellStart"/>
      <w:r w:rsidRPr="005F0419">
        <w:rPr>
          <w:rFonts w:ascii="Times New Roman" w:hAnsi="Times New Roman" w:cs="Times New Roman"/>
          <w:sz w:val="28"/>
          <w:szCs w:val="28"/>
          <w:lang w:val="uk-UA"/>
        </w:rPr>
        <w:t>Вегеш</w:t>
      </w:r>
      <w:proofErr w:type="spellEnd"/>
      <w:r w:rsidRPr="005F0419">
        <w:rPr>
          <w:rFonts w:ascii="Times New Roman" w:hAnsi="Times New Roman" w:cs="Times New Roman"/>
          <w:sz w:val="28"/>
          <w:szCs w:val="28"/>
          <w:lang w:val="uk-UA"/>
        </w:rPr>
        <w:t xml:space="preserve"> М., </w:t>
      </w:r>
      <w:proofErr w:type="spellStart"/>
      <w:r w:rsidRPr="005F0419">
        <w:rPr>
          <w:rFonts w:ascii="Times New Roman" w:hAnsi="Times New Roman" w:cs="Times New Roman"/>
          <w:sz w:val="28"/>
          <w:szCs w:val="28"/>
          <w:lang w:val="uk-UA"/>
        </w:rPr>
        <w:t>Палінчак</w:t>
      </w:r>
      <w:proofErr w:type="spellEnd"/>
      <w:r w:rsidRPr="005F0419">
        <w:rPr>
          <w:rFonts w:ascii="Times New Roman" w:hAnsi="Times New Roman" w:cs="Times New Roman"/>
          <w:sz w:val="28"/>
          <w:szCs w:val="28"/>
          <w:lang w:val="uk-UA"/>
        </w:rPr>
        <w:t xml:space="preserve"> М., </w:t>
      </w:r>
      <w:proofErr w:type="spellStart"/>
      <w:r w:rsidRPr="005F0419">
        <w:rPr>
          <w:rFonts w:ascii="Times New Roman" w:hAnsi="Times New Roman" w:cs="Times New Roman"/>
          <w:sz w:val="28"/>
          <w:szCs w:val="28"/>
          <w:lang w:val="uk-UA"/>
        </w:rPr>
        <w:t>Холонік</w:t>
      </w:r>
      <w:proofErr w:type="spellEnd"/>
      <w:r w:rsidRPr="005F0419">
        <w:rPr>
          <w:rFonts w:ascii="Times New Roman" w:hAnsi="Times New Roman" w:cs="Times New Roman"/>
          <w:sz w:val="28"/>
          <w:szCs w:val="28"/>
          <w:lang w:val="uk-UA"/>
        </w:rPr>
        <w:t xml:space="preserve"> Я. Геополітика: Україна, Європа, світ (соціально-політичний погляд). Київ: </w:t>
      </w:r>
      <w:proofErr w:type="spellStart"/>
      <w:r w:rsidRPr="005F0419">
        <w:rPr>
          <w:rFonts w:ascii="Times New Roman" w:hAnsi="Times New Roman" w:cs="Times New Roman"/>
          <w:sz w:val="28"/>
          <w:szCs w:val="28"/>
          <w:lang w:val="uk-UA"/>
        </w:rPr>
        <w:t>Фейрмонт</w:t>
      </w:r>
      <w:proofErr w:type="spellEnd"/>
      <w:r w:rsidRPr="005F0419">
        <w:rPr>
          <w:rFonts w:ascii="Times New Roman" w:hAnsi="Times New Roman" w:cs="Times New Roman"/>
          <w:sz w:val="28"/>
          <w:szCs w:val="28"/>
          <w:lang w:val="uk-UA"/>
        </w:rPr>
        <w:t>, 2020. 306 с.</w:t>
      </w:r>
    </w:p>
    <w:p w14:paraId="4F7220A9" w14:textId="12D10135"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17. </w:t>
      </w:r>
      <w:proofErr w:type="spellStart"/>
      <w:r w:rsidRPr="005F0419">
        <w:rPr>
          <w:rFonts w:ascii="Times New Roman" w:hAnsi="Times New Roman" w:cs="Times New Roman"/>
          <w:sz w:val="28"/>
          <w:szCs w:val="28"/>
          <w:lang w:val="uk-UA"/>
        </w:rPr>
        <w:t>Букас</w:t>
      </w:r>
      <w:proofErr w:type="spellEnd"/>
      <w:r w:rsidRPr="005F0419">
        <w:rPr>
          <w:rFonts w:ascii="Times New Roman" w:hAnsi="Times New Roman" w:cs="Times New Roman"/>
          <w:sz w:val="28"/>
          <w:szCs w:val="28"/>
          <w:lang w:val="uk-UA"/>
        </w:rPr>
        <w:t xml:space="preserve"> Н., </w:t>
      </w:r>
      <w:proofErr w:type="spellStart"/>
      <w:r w:rsidRPr="005F0419">
        <w:rPr>
          <w:rFonts w:ascii="Times New Roman" w:hAnsi="Times New Roman" w:cs="Times New Roman"/>
          <w:sz w:val="28"/>
          <w:szCs w:val="28"/>
          <w:lang w:val="uk-UA"/>
        </w:rPr>
        <w:t>Зіакас</w:t>
      </w:r>
      <w:proofErr w:type="spellEnd"/>
      <w:r w:rsidRPr="005F0419">
        <w:rPr>
          <w:rFonts w:ascii="Times New Roman" w:hAnsi="Times New Roman" w:cs="Times New Roman"/>
          <w:sz w:val="28"/>
          <w:szCs w:val="28"/>
          <w:lang w:val="uk-UA"/>
        </w:rPr>
        <w:t xml:space="preserve"> В. Погляд теорії хаосу на кризу </w:t>
      </w:r>
      <w:proofErr w:type="spellStart"/>
      <w:r w:rsidRPr="005F0419">
        <w:rPr>
          <w:rFonts w:ascii="Times New Roman" w:hAnsi="Times New Roman" w:cs="Times New Roman"/>
          <w:sz w:val="28"/>
          <w:szCs w:val="28"/>
          <w:lang w:val="uk-UA"/>
        </w:rPr>
        <w:t>дестинації</w:t>
      </w:r>
      <w:proofErr w:type="spellEnd"/>
      <w:r w:rsidRPr="005F0419">
        <w:rPr>
          <w:rFonts w:ascii="Times New Roman" w:hAnsi="Times New Roman" w:cs="Times New Roman"/>
          <w:sz w:val="28"/>
          <w:szCs w:val="28"/>
          <w:lang w:val="uk-UA"/>
        </w:rPr>
        <w:t xml:space="preserve"> та сталий розвиток туризму на островах: приклад Кіпру. Планування та розвиток туризму. 2014. Вип.11</w:t>
      </w:r>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 С. 191–209.</w:t>
      </w:r>
    </w:p>
    <w:p w14:paraId="685BD9E5"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18. </w:t>
      </w:r>
      <w:proofErr w:type="spellStart"/>
      <w:r w:rsidRPr="005F0419">
        <w:rPr>
          <w:rFonts w:ascii="Times New Roman" w:hAnsi="Times New Roman" w:cs="Times New Roman"/>
          <w:sz w:val="28"/>
          <w:szCs w:val="28"/>
          <w:lang w:val="uk-UA"/>
        </w:rPr>
        <w:t>Каусевич</w:t>
      </w:r>
      <w:proofErr w:type="spellEnd"/>
      <w:r w:rsidRPr="005F0419">
        <w:rPr>
          <w:rFonts w:ascii="Times New Roman" w:hAnsi="Times New Roman" w:cs="Times New Roman"/>
          <w:sz w:val="28"/>
          <w:szCs w:val="28"/>
          <w:lang w:val="uk-UA"/>
        </w:rPr>
        <w:t xml:space="preserve"> С., </w:t>
      </w:r>
      <w:proofErr w:type="spellStart"/>
      <w:r w:rsidRPr="005F0419">
        <w:rPr>
          <w:rFonts w:ascii="Times New Roman" w:hAnsi="Times New Roman" w:cs="Times New Roman"/>
          <w:sz w:val="28"/>
          <w:szCs w:val="28"/>
          <w:lang w:val="uk-UA"/>
        </w:rPr>
        <w:t>Лінч</w:t>
      </w:r>
      <w:proofErr w:type="spellEnd"/>
      <w:r w:rsidRPr="005F0419">
        <w:rPr>
          <w:rFonts w:ascii="Times New Roman" w:hAnsi="Times New Roman" w:cs="Times New Roman"/>
          <w:sz w:val="28"/>
          <w:szCs w:val="28"/>
          <w:lang w:val="uk-UA"/>
        </w:rPr>
        <w:t xml:space="preserve"> П. Політична (не)стабільність та її вплив на розвиток туризму. Управління туризмом. 2013.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34. С. 145–157.</w:t>
      </w:r>
    </w:p>
    <w:p w14:paraId="26C3129D"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19. Хол Д., Сміт М., </w:t>
      </w:r>
      <w:proofErr w:type="spellStart"/>
      <w:r w:rsidRPr="005F0419">
        <w:rPr>
          <w:rFonts w:ascii="Times New Roman" w:hAnsi="Times New Roman" w:cs="Times New Roman"/>
          <w:sz w:val="28"/>
          <w:szCs w:val="28"/>
          <w:lang w:val="uk-UA"/>
        </w:rPr>
        <w:t>Марцишевська</w:t>
      </w:r>
      <w:proofErr w:type="spellEnd"/>
      <w:r w:rsidRPr="005F0419">
        <w:rPr>
          <w:rFonts w:ascii="Times New Roman" w:hAnsi="Times New Roman" w:cs="Times New Roman"/>
          <w:sz w:val="28"/>
          <w:szCs w:val="28"/>
          <w:lang w:val="uk-UA"/>
        </w:rPr>
        <w:t xml:space="preserve"> Б. Туризм у Новій Європі: виклики та можливості розширення ЄС. </w:t>
      </w:r>
      <w:proofErr w:type="spellStart"/>
      <w:r w:rsidRPr="005F0419">
        <w:rPr>
          <w:rFonts w:ascii="Times New Roman" w:hAnsi="Times New Roman" w:cs="Times New Roman"/>
          <w:sz w:val="28"/>
          <w:szCs w:val="28"/>
          <w:lang w:val="uk-UA"/>
        </w:rPr>
        <w:t>Воллінгфорд</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Оксфордшир</w:t>
      </w:r>
      <w:proofErr w:type="spellEnd"/>
      <w:r w:rsidRPr="005F0419">
        <w:rPr>
          <w:rFonts w:ascii="Times New Roman" w:hAnsi="Times New Roman" w:cs="Times New Roman"/>
          <w:sz w:val="28"/>
          <w:szCs w:val="28"/>
          <w:lang w:val="uk-UA"/>
        </w:rPr>
        <w:t xml:space="preserve">; Бостон, Массачусетс: CABI </w:t>
      </w:r>
      <w:proofErr w:type="spellStart"/>
      <w:r w:rsidRPr="005F0419">
        <w:rPr>
          <w:rFonts w:ascii="Times New Roman" w:hAnsi="Times New Roman" w:cs="Times New Roman"/>
          <w:sz w:val="28"/>
          <w:szCs w:val="28"/>
          <w:lang w:val="uk-UA"/>
        </w:rPr>
        <w:t>CABI</w:t>
      </w:r>
      <w:proofErr w:type="spellEnd"/>
      <w:r w:rsidRPr="005F0419">
        <w:rPr>
          <w:rFonts w:ascii="Times New Roman" w:hAnsi="Times New Roman" w:cs="Times New Roman"/>
          <w:sz w:val="28"/>
          <w:szCs w:val="28"/>
          <w:lang w:val="uk-UA"/>
        </w:rPr>
        <w:t>, 2006.</w:t>
      </w:r>
    </w:p>
    <w:p w14:paraId="24ADE482"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20. Чен К. К. Система підтримки прийняття рішень щодо розвитку туризму: системно-динамічний підхід. Журнал комп'ютерних інформаційних систем. 2004.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45 (1). С. 104–112.</w:t>
      </w:r>
    </w:p>
    <w:p w14:paraId="3E24100A" w14:textId="3E064D51"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21. </w:t>
      </w:r>
      <w:proofErr w:type="spellStart"/>
      <w:r w:rsidRPr="005F0419">
        <w:rPr>
          <w:rFonts w:ascii="Times New Roman" w:hAnsi="Times New Roman" w:cs="Times New Roman"/>
          <w:sz w:val="28"/>
          <w:szCs w:val="28"/>
          <w:lang w:val="uk-UA"/>
        </w:rPr>
        <w:t>Іваніш</w:t>
      </w:r>
      <w:proofErr w:type="spellEnd"/>
      <w:r w:rsidRPr="005F0419">
        <w:rPr>
          <w:rFonts w:ascii="Times New Roman" w:hAnsi="Times New Roman" w:cs="Times New Roman"/>
          <w:sz w:val="28"/>
          <w:szCs w:val="28"/>
          <w:lang w:val="uk-UA"/>
        </w:rPr>
        <w:t xml:space="preserve"> М. Загальна модель розвитку малого підприємництва в туристичних напрямках Хорватії. Туризм і готельний менеджмент. 2011.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17</w:t>
      </w:r>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(2). С. 231–250.</w:t>
      </w:r>
    </w:p>
    <w:p w14:paraId="08882E0C" w14:textId="646CD3CD"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22. </w:t>
      </w:r>
      <w:proofErr w:type="spellStart"/>
      <w:r w:rsidRPr="005F0419">
        <w:rPr>
          <w:rFonts w:ascii="Times New Roman" w:hAnsi="Times New Roman" w:cs="Times New Roman"/>
          <w:sz w:val="28"/>
          <w:szCs w:val="28"/>
          <w:lang w:val="uk-UA"/>
        </w:rPr>
        <w:t>Камхаджі</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Дж</w:t>
      </w:r>
      <w:proofErr w:type="spellEnd"/>
      <w:r w:rsidRPr="005F0419">
        <w:rPr>
          <w:rFonts w:ascii="Times New Roman" w:hAnsi="Times New Roman" w:cs="Times New Roman"/>
          <w:sz w:val="28"/>
          <w:szCs w:val="28"/>
          <w:lang w:val="uk-UA"/>
        </w:rPr>
        <w:t xml:space="preserve">. К. Криза, навчання та зміни політики в Європейському Союзі. Європейська публічна політика. 2016.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24</w:t>
      </w:r>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(10). С. 714–734.</w:t>
      </w:r>
    </w:p>
    <w:p w14:paraId="6B5B30BD"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23. </w:t>
      </w:r>
      <w:hyperlink r:id="rId460" w:history="1">
        <w:proofErr w:type="spellStart"/>
        <w:r w:rsidRPr="005F0419">
          <w:rPr>
            <w:rStyle w:val="typography-modulelvnit"/>
            <w:rFonts w:ascii="Times New Roman" w:eastAsia="Calibri" w:hAnsi="Times New Roman" w:cs="Times New Roman"/>
            <w:sz w:val="28"/>
            <w:szCs w:val="28"/>
            <w:bdr w:val="none" w:sz="0" w:space="0" w:color="auto" w:frame="1"/>
            <w:lang w:val="uk-UA"/>
          </w:rPr>
          <w:t>Trusova</w:t>
        </w:r>
        <w:proofErr w:type="spellEnd"/>
        <w:r w:rsidRPr="005F0419">
          <w:rPr>
            <w:rStyle w:val="typography-modulelvnit"/>
            <w:rFonts w:ascii="Times New Roman" w:eastAsia="Calibri" w:hAnsi="Times New Roman" w:cs="Times New Roman"/>
            <w:sz w:val="28"/>
            <w:szCs w:val="28"/>
            <w:bdr w:val="none" w:sz="0" w:space="0" w:color="auto" w:frame="1"/>
            <w:lang w:val="uk-UA"/>
          </w:rPr>
          <w:t>, N.</w:t>
        </w:r>
      </w:hyperlink>
      <w:r w:rsidRPr="005F0419">
        <w:rPr>
          <w:rFonts w:ascii="Times New Roman" w:hAnsi="Times New Roman" w:cs="Times New Roman"/>
          <w:sz w:val="28"/>
          <w:szCs w:val="28"/>
          <w:shd w:val="clear" w:color="auto" w:fill="FFFFFF"/>
          <w:lang w:val="uk-UA"/>
        </w:rPr>
        <w:t>, </w:t>
      </w:r>
      <w:proofErr w:type="spellStart"/>
      <w:r w:rsidR="007468C1">
        <w:fldChar w:fldCharType="begin"/>
      </w:r>
      <w:r w:rsidR="007468C1" w:rsidRPr="00EE578D">
        <w:rPr>
          <w:lang w:val="en-US"/>
        </w:rPr>
        <w:instrText xml:space="preserve"> HYPERLINK "https://www.scopus.com/authid/detail.uri?authorId=58162314500" </w:instrText>
      </w:r>
      <w:r w:rsidR="007468C1">
        <w:fldChar w:fldCharType="separate"/>
      </w:r>
      <w:r w:rsidRPr="005F0419">
        <w:rPr>
          <w:rStyle w:val="typography-modulelvnit"/>
          <w:rFonts w:ascii="Times New Roman" w:eastAsia="Calibri" w:hAnsi="Times New Roman" w:cs="Times New Roman"/>
          <w:sz w:val="28"/>
          <w:szCs w:val="28"/>
          <w:bdr w:val="none" w:sz="0" w:space="0" w:color="auto" w:frame="1"/>
          <w:lang w:val="uk-UA"/>
        </w:rPr>
        <w:t>Tsviliy</w:t>
      </w:r>
      <w:proofErr w:type="spellEnd"/>
      <w:r w:rsidRPr="005F0419">
        <w:rPr>
          <w:rStyle w:val="typography-modulelvnit"/>
          <w:rFonts w:ascii="Times New Roman" w:eastAsia="Calibri" w:hAnsi="Times New Roman" w:cs="Times New Roman"/>
          <w:sz w:val="28"/>
          <w:szCs w:val="28"/>
          <w:bdr w:val="none" w:sz="0" w:space="0" w:color="auto" w:frame="1"/>
          <w:lang w:val="uk-UA"/>
        </w:rPr>
        <w:t>, S.</w:t>
      </w:r>
      <w:r w:rsidR="007468C1">
        <w:rPr>
          <w:rStyle w:val="typography-modulelvnit"/>
          <w:rFonts w:ascii="Times New Roman" w:eastAsia="Calibri" w:hAnsi="Times New Roman" w:cs="Times New Roman"/>
          <w:sz w:val="28"/>
          <w:szCs w:val="28"/>
          <w:bdr w:val="none" w:sz="0" w:space="0" w:color="auto" w:frame="1"/>
          <w:lang w:val="uk-UA"/>
        </w:rPr>
        <w:fldChar w:fldCharType="end"/>
      </w:r>
      <w:r w:rsidRPr="005F0419">
        <w:rPr>
          <w:rFonts w:ascii="Times New Roman" w:hAnsi="Times New Roman" w:cs="Times New Roman"/>
          <w:sz w:val="28"/>
          <w:szCs w:val="28"/>
          <w:shd w:val="clear" w:color="auto" w:fill="FFFFFF"/>
          <w:lang w:val="uk-UA"/>
        </w:rPr>
        <w:t>, </w:t>
      </w:r>
      <w:hyperlink r:id="rId461" w:history="1">
        <w:proofErr w:type="spellStart"/>
        <w:r w:rsidRPr="005F0419">
          <w:rPr>
            <w:rStyle w:val="typography-modulelvnit"/>
            <w:rFonts w:ascii="Times New Roman" w:eastAsia="Calibri" w:hAnsi="Times New Roman" w:cs="Times New Roman"/>
            <w:sz w:val="28"/>
            <w:szCs w:val="28"/>
            <w:bdr w:val="none" w:sz="0" w:space="0" w:color="auto" w:frame="1"/>
            <w:lang w:val="uk-UA"/>
          </w:rPr>
          <w:t>Mykhailyk</w:t>
        </w:r>
        <w:proofErr w:type="spellEnd"/>
        <w:r w:rsidRPr="005F0419">
          <w:rPr>
            <w:rStyle w:val="typography-modulelvnit"/>
            <w:rFonts w:ascii="Times New Roman" w:eastAsia="Calibri" w:hAnsi="Times New Roman" w:cs="Times New Roman"/>
            <w:sz w:val="28"/>
            <w:szCs w:val="28"/>
            <w:bdr w:val="none" w:sz="0" w:space="0" w:color="auto" w:frame="1"/>
            <w:lang w:val="uk-UA"/>
          </w:rPr>
          <w:t>, D.</w:t>
        </w:r>
      </w:hyperlink>
      <w:r w:rsidRPr="005F0419">
        <w:rPr>
          <w:rFonts w:ascii="Times New Roman" w:hAnsi="Times New Roman" w:cs="Times New Roman"/>
          <w:sz w:val="28"/>
          <w:szCs w:val="28"/>
          <w:shd w:val="clear" w:color="auto" w:fill="FFFFFF"/>
          <w:lang w:val="uk-UA"/>
        </w:rPr>
        <w:t>, </w:t>
      </w:r>
      <w:proofErr w:type="spellStart"/>
      <w:r w:rsidR="007468C1">
        <w:fldChar w:fldCharType="begin"/>
      </w:r>
      <w:r w:rsidR="007468C1" w:rsidRPr="00EE578D">
        <w:rPr>
          <w:lang w:val="en-US"/>
        </w:rPr>
        <w:instrText xml:space="preserve"> HYPERLINK "https://www.scopus.com/authid/detail.uri?authorId=5721963173</w:instrText>
      </w:r>
      <w:r w:rsidR="007468C1" w:rsidRPr="00EE578D">
        <w:rPr>
          <w:lang w:val="en-US"/>
        </w:rPr>
        <w:instrText xml:space="preserve">9" </w:instrText>
      </w:r>
      <w:r w:rsidR="007468C1">
        <w:fldChar w:fldCharType="separate"/>
      </w:r>
      <w:r w:rsidRPr="005F0419">
        <w:rPr>
          <w:rStyle w:val="typography-modulelvnit"/>
          <w:rFonts w:ascii="Times New Roman" w:eastAsia="Calibri" w:hAnsi="Times New Roman" w:cs="Times New Roman"/>
          <w:sz w:val="28"/>
          <w:szCs w:val="28"/>
          <w:bdr w:val="none" w:sz="0" w:space="0" w:color="auto" w:frame="1"/>
          <w:lang w:val="uk-UA"/>
        </w:rPr>
        <w:t>Ogloblina</w:t>
      </w:r>
      <w:proofErr w:type="spellEnd"/>
      <w:r w:rsidRPr="005F0419">
        <w:rPr>
          <w:rStyle w:val="typography-modulelvnit"/>
          <w:rFonts w:ascii="Times New Roman" w:eastAsia="Calibri" w:hAnsi="Times New Roman" w:cs="Times New Roman"/>
          <w:sz w:val="28"/>
          <w:szCs w:val="28"/>
          <w:bdr w:val="none" w:sz="0" w:space="0" w:color="auto" w:frame="1"/>
          <w:lang w:val="uk-UA"/>
        </w:rPr>
        <w:t>, V.</w:t>
      </w:r>
      <w:r w:rsidR="007468C1">
        <w:rPr>
          <w:rStyle w:val="typography-modulelvnit"/>
          <w:rFonts w:ascii="Times New Roman" w:eastAsia="Calibri" w:hAnsi="Times New Roman" w:cs="Times New Roman"/>
          <w:sz w:val="28"/>
          <w:szCs w:val="28"/>
          <w:bdr w:val="none" w:sz="0" w:space="0" w:color="auto" w:frame="1"/>
          <w:lang w:val="uk-UA"/>
        </w:rPr>
        <w:fldChar w:fldCharType="end"/>
      </w:r>
      <w:r w:rsidRPr="005F0419">
        <w:rPr>
          <w:rFonts w:ascii="Times New Roman" w:hAnsi="Times New Roman" w:cs="Times New Roman"/>
          <w:sz w:val="28"/>
          <w:szCs w:val="28"/>
          <w:shd w:val="clear" w:color="auto" w:fill="FFFFFF"/>
          <w:lang w:val="uk-UA"/>
        </w:rPr>
        <w:t>, </w:t>
      </w:r>
      <w:proofErr w:type="spellStart"/>
      <w:r w:rsidR="007468C1">
        <w:fldChar w:fldCharType="begin"/>
      </w:r>
      <w:r w:rsidR="007468C1" w:rsidRPr="00EE578D">
        <w:rPr>
          <w:lang w:val="en-US"/>
        </w:rPr>
        <w:instrText xml:space="preserve"> HYPERLINK "https://www.scopus.com/authid/detail.uri?authorId=57205495181" </w:instrText>
      </w:r>
      <w:r w:rsidR="007468C1">
        <w:fldChar w:fldCharType="separate"/>
      </w:r>
      <w:r w:rsidRPr="005F0419">
        <w:rPr>
          <w:rStyle w:val="typography-modulelvnit"/>
          <w:rFonts w:ascii="Times New Roman" w:eastAsia="Calibri" w:hAnsi="Times New Roman" w:cs="Times New Roman"/>
          <w:sz w:val="28"/>
          <w:szCs w:val="28"/>
          <w:bdr w:val="none" w:sz="0" w:space="0" w:color="auto" w:frame="1"/>
          <w:lang w:val="uk-UA"/>
        </w:rPr>
        <w:t>Marusei</w:t>
      </w:r>
      <w:proofErr w:type="spellEnd"/>
      <w:r w:rsidRPr="005F0419">
        <w:rPr>
          <w:rStyle w:val="typography-modulelvnit"/>
          <w:rFonts w:ascii="Times New Roman" w:eastAsia="Calibri" w:hAnsi="Times New Roman" w:cs="Times New Roman"/>
          <w:sz w:val="28"/>
          <w:szCs w:val="28"/>
          <w:bdr w:val="none" w:sz="0" w:space="0" w:color="auto" w:frame="1"/>
          <w:lang w:val="uk-UA"/>
        </w:rPr>
        <w:t>, T.</w:t>
      </w:r>
      <w:r w:rsidR="007468C1">
        <w:rPr>
          <w:rStyle w:val="typography-modulelvnit"/>
          <w:rFonts w:ascii="Times New Roman" w:eastAsia="Calibri" w:hAnsi="Times New Roman" w:cs="Times New Roman"/>
          <w:sz w:val="28"/>
          <w:szCs w:val="28"/>
          <w:bdr w:val="none" w:sz="0" w:space="0" w:color="auto" w:frame="1"/>
          <w:lang w:val="uk-UA"/>
        </w:rPr>
        <w:fldChar w:fldCharType="end"/>
      </w:r>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Innovative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Incentives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Industry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Period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Post-Conflict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Reconstruction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Ukraine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Review</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Economics</w:t>
      </w:r>
      <w:proofErr w:type="spellEnd"/>
      <w:r w:rsidRPr="005F0419">
        <w:rPr>
          <w:rFonts w:ascii="Times New Roman" w:hAnsi="Times New Roman" w:cs="Times New Roman"/>
          <w:sz w:val="28"/>
          <w:szCs w:val="28"/>
          <w:lang w:val="uk-UA"/>
        </w:rPr>
        <w:t xml:space="preserve"> &amp; </w:t>
      </w:r>
      <w:proofErr w:type="spellStart"/>
      <w:r w:rsidRPr="005F0419">
        <w:rPr>
          <w:rFonts w:ascii="Times New Roman" w:hAnsi="Times New Roman" w:cs="Times New Roman"/>
          <w:sz w:val="28"/>
          <w:szCs w:val="28"/>
          <w:lang w:val="uk-UA"/>
        </w:rPr>
        <w:t>Finance</w:t>
      </w:r>
      <w:proofErr w:type="spellEnd"/>
      <w:r w:rsidRPr="005F0419">
        <w:rPr>
          <w:rFonts w:ascii="Times New Roman" w:hAnsi="Times New Roman" w:cs="Times New Roman"/>
          <w:sz w:val="28"/>
          <w:szCs w:val="28"/>
          <w:lang w:val="uk-UA"/>
        </w:rPr>
        <w:t xml:space="preserve">. 2022. №20. 1237-1248. </w:t>
      </w:r>
    </w:p>
    <w:p w14:paraId="2469AD36"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24. </w:t>
      </w:r>
      <w:proofErr w:type="spellStart"/>
      <w:r w:rsidRPr="005F0419">
        <w:rPr>
          <w:rFonts w:ascii="Times New Roman" w:hAnsi="Times New Roman" w:cs="Times New Roman"/>
          <w:sz w:val="28"/>
          <w:szCs w:val="28"/>
          <w:lang w:val="uk-UA"/>
        </w:rPr>
        <w:t>Trusova</w:t>
      </w:r>
      <w:proofErr w:type="spellEnd"/>
      <w:r w:rsidRPr="005F0419">
        <w:rPr>
          <w:rFonts w:ascii="Times New Roman" w:hAnsi="Times New Roman" w:cs="Times New Roman"/>
          <w:sz w:val="28"/>
          <w:szCs w:val="28"/>
          <w:lang w:val="uk-UA"/>
        </w:rPr>
        <w:t xml:space="preserve"> N., </w:t>
      </w:r>
      <w:proofErr w:type="spellStart"/>
      <w:r w:rsidRPr="005F0419">
        <w:rPr>
          <w:rFonts w:ascii="Times New Roman" w:hAnsi="Times New Roman" w:cs="Times New Roman"/>
          <w:sz w:val="28"/>
          <w:szCs w:val="28"/>
          <w:lang w:val="uk-UA"/>
        </w:rPr>
        <w:t>Tsviliy</w:t>
      </w:r>
      <w:proofErr w:type="spellEnd"/>
      <w:r w:rsidRPr="005F0419">
        <w:rPr>
          <w:rFonts w:ascii="Times New Roman" w:hAnsi="Times New Roman" w:cs="Times New Roman"/>
          <w:sz w:val="28"/>
          <w:szCs w:val="28"/>
          <w:lang w:val="uk-UA"/>
        </w:rPr>
        <w:t xml:space="preserve"> S., </w:t>
      </w:r>
      <w:proofErr w:type="spellStart"/>
      <w:r w:rsidRPr="005F0419">
        <w:rPr>
          <w:rFonts w:ascii="Times New Roman" w:hAnsi="Times New Roman" w:cs="Times New Roman"/>
          <w:sz w:val="28"/>
          <w:szCs w:val="28"/>
          <w:lang w:val="uk-UA"/>
        </w:rPr>
        <w:t>Gurova</w:t>
      </w:r>
      <w:proofErr w:type="spellEnd"/>
      <w:r w:rsidRPr="005F0419">
        <w:rPr>
          <w:rFonts w:ascii="Times New Roman" w:hAnsi="Times New Roman" w:cs="Times New Roman"/>
          <w:sz w:val="28"/>
          <w:szCs w:val="28"/>
          <w:lang w:val="uk-UA"/>
        </w:rPr>
        <w:t xml:space="preserve"> D., </w:t>
      </w:r>
      <w:proofErr w:type="spellStart"/>
      <w:r w:rsidRPr="005F0419">
        <w:rPr>
          <w:rFonts w:ascii="Times New Roman" w:hAnsi="Times New Roman" w:cs="Times New Roman"/>
          <w:sz w:val="28"/>
          <w:szCs w:val="28"/>
          <w:lang w:val="uk-UA"/>
        </w:rPr>
        <w:t>Demko</w:t>
      </w:r>
      <w:proofErr w:type="spellEnd"/>
      <w:r w:rsidRPr="005F0419">
        <w:rPr>
          <w:rFonts w:ascii="Times New Roman" w:hAnsi="Times New Roman" w:cs="Times New Roman"/>
          <w:sz w:val="28"/>
          <w:szCs w:val="28"/>
          <w:lang w:val="uk-UA"/>
        </w:rPr>
        <w:t xml:space="preserve"> V., </w:t>
      </w:r>
      <w:proofErr w:type="spellStart"/>
      <w:r w:rsidRPr="005F0419">
        <w:rPr>
          <w:rFonts w:ascii="Times New Roman" w:hAnsi="Times New Roman" w:cs="Times New Roman"/>
          <w:sz w:val="28"/>
          <w:szCs w:val="28"/>
          <w:lang w:val="uk-UA"/>
        </w:rPr>
        <w:t>Samsonova</w:t>
      </w:r>
      <w:proofErr w:type="spellEnd"/>
      <w:r w:rsidRPr="005F0419">
        <w:rPr>
          <w:rFonts w:ascii="Times New Roman" w:hAnsi="Times New Roman" w:cs="Times New Roman"/>
          <w:sz w:val="28"/>
          <w:szCs w:val="28"/>
          <w:lang w:val="uk-UA"/>
        </w:rPr>
        <w:t xml:space="preserve"> V. </w:t>
      </w:r>
      <w:proofErr w:type="spellStart"/>
      <w:r w:rsidRPr="005F0419">
        <w:rPr>
          <w:rFonts w:ascii="Times New Roman" w:hAnsi="Times New Roman" w:cs="Times New Roman"/>
          <w:sz w:val="28"/>
          <w:szCs w:val="28"/>
          <w:lang w:val="uk-UA"/>
        </w:rPr>
        <w:t>Budget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Instruments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for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Stimulating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Development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Investment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Potential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Industry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Ukraine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Economic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Affairs</w:t>
      </w:r>
      <w:proofErr w:type="spellEnd"/>
      <w:r w:rsidRPr="005F0419">
        <w:rPr>
          <w:rFonts w:ascii="Times New Roman" w:hAnsi="Times New Roman" w:cs="Times New Roman"/>
          <w:sz w:val="28"/>
          <w:szCs w:val="28"/>
          <w:lang w:val="uk-UA"/>
        </w:rPr>
        <w:t xml:space="preserve">. 2023. </w:t>
      </w:r>
      <w:proofErr w:type="spellStart"/>
      <w:r w:rsidRPr="005F0419">
        <w:rPr>
          <w:rFonts w:ascii="Times New Roman" w:hAnsi="Times New Roman" w:cs="Times New Roman"/>
          <w:sz w:val="28"/>
          <w:szCs w:val="28"/>
          <w:lang w:val="uk-UA"/>
        </w:rPr>
        <w:t>Vol</w:t>
      </w:r>
      <w:proofErr w:type="spellEnd"/>
      <w:r w:rsidRPr="005F0419">
        <w:rPr>
          <w:rFonts w:ascii="Times New Roman" w:hAnsi="Times New Roman" w:cs="Times New Roman"/>
          <w:sz w:val="28"/>
          <w:szCs w:val="28"/>
          <w:lang w:val="uk-UA"/>
        </w:rPr>
        <w:t>. 68. № 01s. Р. 253-269.</w:t>
      </w:r>
    </w:p>
    <w:p w14:paraId="0526AF7C"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25. </w:t>
      </w:r>
      <w:proofErr w:type="spellStart"/>
      <w:r w:rsidRPr="005F0419">
        <w:rPr>
          <w:rFonts w:ascii="Times New Roman" w:hAnsi="Times New Roman" w:cs="Times New Roman"/>
          <w:sz w:val="28"/>
          <w:szCs w:val="28"/>
          <w:lang w:val="uk-UA"/>
        </w:rPr>
        <w:t>Trusova</w:t>
      </w:r>
      <w:proofErr w:type="spellEnd"/>
      <w:r w:rsidRPr="005F0419">
        <w:rPr>
          <w:rFonts w:ascii="Times New Roman" w:hAnsi="Times New Roman" w:cs="Times New Roman"/>
          <w:sz w:val="28"/>
          <w:szCs w:val="28"/>
          <w:lang w:val="uk-UA"/>
        </w:rPr>
        <w:t xml:space="preserve"> N., </w:t>
      </w:r>
      <w:proofErr w:type="spellStart"/>
      <w:r w:rsidRPr="005F0419">
        <w:rPr>
          <w:rFonts w:ascii="Times New Roman" w:hAnsi="Times New Roman" w:cs="Times New Roman"/>
          <w:sz w:val="28"/>
          <w:szCs w:val="28"/>
          <w:lang w:val="uk-UA"/>
        </w:rPr>
        <w:t>Krasnodied</w:t>
      </w:r>
      <w:proofErr w:type="spellEnd"/>
      <w:r w:rsidRPr="005F0419">
        <w:rPr>
          <w:rFonts w:ascii="Times New Roman" w:hAnsi="Times New Roman" w:cs="Times New Roman"/>
          <w:sz w:val="28"/>
          <w:szCs w:val="28"/>
          <w:lang w:val="uk-UA"/>
        </w:rPr>
        <w:t xml:space="preserve"> T., </w:t>
      </w:r>
      <w:proofErr w:type="spellStart"/>
      <w:r w:rsidRPr="005F0419">
        <w:rPr>
          <w:rFonts w:ascii="Times New Roman" w:hAnsi="Times New Roman" w:cs="Times New Roman"/>
          <w:sz w:val="28"/>
          <w:szCs w:val="28"/>
          <w:lang w:val="uk-UA"/>
        </w:rPr>
        <w:t>Demko</w:t>
      </w:r>
      <w:proofErr w:type="spellEnd"/>
      <w:r w:rsidRPr="005F0419">
        <w:rPr>
          <w:rFonts w:ascii="Times New Roman" w:hAnsi="Times New Roman" w:cs="Times New Roman"/>
          <w:sz w:val="28"/>
          <w:szCs w:val="28"/>
          <w:lang w:val="uk-UA"/>
        </w:rPr>
        <w:t xml:space="preserve"> V., </w:t>
      </w:r>
      <w:proofErr w:type="spellStart"/>
      <w:r w:rsidRPr="005F0419">
        <w:rPr>
          <w:rFonts w:ascii="Times New Roman" w:hAnsi="Times New Roman" w:cs="Times New Roman"/>
          <w:sz w:val="28"/>
          <w:szCs w:val="28"/>
          <w:lang w:val="uk-UA"/>
        </w:rPr>
        <w:t>Zakharchenko</w:t>
      </w:r>
      <w:proofErr w:type="spellEnd"/>
      <w:r w:rsidRPr="005F0419">
        <w:rPr>
          <w:rFonts w:ascii="Times New Roman" w:hAnsi="Times New Roman" w:cs="Times New Roman"/>
          <w:sz w:val="28"/>
          <w:szCs w:val="28"/>
          <w:lang w:val="uk-UA"/>
        </w:rPr>
        <w:t xml:space="preserve"> O., </w:t>
      </w:r>
      <w:proofErr w:type="spellStart"/>
      <w:r w:rsidRPr="005F0419">
        <w:rPr>
          <w:rFonts w:ascii="Times New Roman" w:hAnsi="Times New Roman" w:cs="Times New Roman"/>
          <w:sz w:val="28"/>
          <w:szCs w:val="28"/>
          <w:lang w:val="uk-UA"/>
        </w:rPr>
        <w:t>Morozova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Ya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Katsemir</w:t>
      </w:r>
      <w:proofErr w:type="spellEnd"/>
      <w:r w:rsidRPr="005F0419">
        <w:rPr>
          <w:rFonts w:ascii="Times New Roman" w:hAnsi="Times New Roman" w:cs="Times New Roman"/>
          <w:sz w:val="28"/>
          <w:szCs w:val="28"/>
          <w:lang w:val="uk-UA"/>
        </w:rPr>
        <w:t xml:space="preserve"> O. </w:t>
      </w:r>
      <w:proofErr w:type="spellStart"/>
      <w:r w:rsidRPr="005F0419">
        <w:rPr>
          <w:rFonts w:ascii="Times New Roman" w:hAnsi="Times New Roman" w:cs="Times New Roman"/>
          <w:sz w:val="28"/>
          <w:szCs w:val="28"/>
          <w:lang w:val="uk-UA"/>
        </w:rPr>
        <w:t>Guarantee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safe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innovative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development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industry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Ukraine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GeoJournal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Geosites</w:t>
      </w:r>
      <w:proofErr w:type="spellEnd"/>
      <w:r w:rsidRPr="005F0419">
        <w:rPr>
          <w:rFonts w:ascii="Times New Roman" w:hAnsi="Times New Roman" w:cs="Times New Roman"/>
          <w:sz w:val="28"/>
          <w:szCs w:val="28"/>
          <w:lang w:val="uk-UA"/>
        </w:rPr>
        <w:t xml:space="preserve">. 2022. </w:t>
      </w:r>
      <w:proofErr w:type="spellStart"/>
      <w:r w:rsidRPr="005F0419">
        <w:rPr>
          <w:rFonts w:ascii="Times New Roman" w:hAnsi="Times New Roman" w:cs="Times New Roman"/>
          <w:sz w:val="28"/>
          <w:szCs w:val="28"/>
          <w:lang w:val="uk-UA"/>
        </w:rPr>
        <w:t>Vol</w:t>
      </w:r>
      <w:proofErr w:type="spellEnd"/>
      <w:r w:rsidRPr="005F0419">
        <w:rPr>
          <w:rFonts w:ascii="Times New Roman" w:hAnsi="Times New Roman" w:cs="Times New Roman"/>
          <w:sz w:val="28"/>
          <w:szCs w:val="28"/>
          <w:lang w:val="uk-UA"/>
        </w:rPr>
        <w:t>. 41(2). Р. 422-432.</w:t>
      </w:r>
    </w:p>
    <w:p w14:paraId="3826EABC" w14:textId="2C73756E"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26. </w:t>
      </w:r>
      <w:proofErr w:type="spellStart"/>
      <w:r w:rsidRPr="005F0419">
        <w:rPr>
          <w:rFonts w:ascii="Times New Roman" w:hAnsi="Times New Roman" w:cs="Times New Roman"/>
          <w:sz w:val="28"/>
          <w:szCs w:val="28"/>
          <w:lang w:val="uk-UA"/>
        </w:rPr>
        <w:t>Парфіненко</w:t>
      </w:r>
      <w:proofErr w:type="spellEnd"/>
      <w:r w:rsidRPr="005F0419">
        <w:rPr>
          <w:rFonts w:ascii="Times New Roman" w:hAnsi="Times New Roman" w:cs="Times New Roman"/>
          <w:sz w:val="28"/>
          <w:szCs w:val="28"/>
          <w:lang w:val="uk-UA"/>
        </w:rPr>
        <w:t xml:space="preserve"> А. Ю. Міжнародний туризм в Україні: геополітичні аспекти глобального явища. Актуальні проблеми міжнародних відносин. 2015.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126</w:t>
      </w:r>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(1). С. 12–23.</w:t>
      </w:r>
    </w:p>
    <w:p w14:paraId="4807FB19" w14:textId="77777777" w:rsidR="00662012" w:rsidRPr="005F0419" w:rsidRDefault="00662012" w:rsidP="00662012">
      <w:pPr>
        <w:spacing w:after="0" w:line="360" w:lineRule="auto"/>
        <w:ind w:firstLine="720"/>
        <w:jc w:val="both"/>
        <w:rPr>
          <w:rStyle w:val="rynqvb"/>
          <w:rFonts w:ascii="Times New Roman" w:eastAsia="Calibri" w:hAnsi="Times New Roman" w:cs="Times New Roman"/>
          <w:sz w:val="28"/>
          <w:szCs w:val="28"/>
          <w:lang w:val="uk-UA"/>
        </w:rPr>
      </w:pPr>
      <w:r w:rsidRPr="005F0419">
        <w:rPr>
          <w:rStyle w:val="rynqvb"/>
          <w:rFonts w:ascii="Times New Roman" w:eastAsia="Calibri" w:hAnsi="Times New Roman" w:cs="Times New Roman"/>
          <w:sz w:val="28"/>
          <w:szCs w:val="28"/>
          <w:lang w:val="uk-UA"/>
        </w:rPr>
        <w:t xml:space="preserve">27. </w:t>
      </w:r>
      <w:proofErr w:type="spellStart"/>
      <w:r w:rsidRPr="005F0419">
        <w:rPr>
          <w:rStyle w:val="rynqvb"/>
          <w:rFonts w:ascii="Times New Roman" w:eastAsia="Calibri" w:hAnsi="Times New Roman" w:cs="Times New Roman"/>
          <w:sz w:val="28"/>
          <w:szCs w:val="28"/>
          <w:lang w:val="uk-UA"/>
        </w:rPr>
        <w:t>Ignatieva</w:t>
      </w:r>
      <w:proofErr w:type="spellEnd"/>
      <w:r w:rsidRPr="005F0419">
        <w:rPr>
          <w:rStyle w:val="rynqvb"/>
          <w:rFonts w:ascii="Times New Roman" w:eastAsia="Calibri" w:hAnsi="Times New Roman" w:cs="Times New Roman"/>
          <w:sz w:val="28"/>
          <w:szCs w:val="28"/>
          <w:lang w:val="uk-UA"/>
        </w:rPr>
        <w:t xml:space="preserve"> I. F.</w:t>
      </w:r>
      <w:r w:rsidRPr="005F0419">
        <w:rPr>
          <w:rStyle w:val="hwtze"/>
          <w:rFonts w:ascii="Times New Roman" w:eastAsia="Calibri" w:hAnsi="Times New Roman" w:cs="Times New Roman"/>
          <w:sz w:val="28"/>
          <w:szCs w:val="28"/>
          <w:lang w:val="uk-UA"/>
        </w:rPr>
        <w:t xml:space="preserve"> </w:t>
      </w:r>
      <w:r w:rsidRPr="005F0419">
        <w:rPr>
          <w:rStyle w:val="rynqvb"/>
          <w:rFonts w:ascii="Times New Roman" w:eastAsia="Calibri" w:hAnsi="Times New Roman" w:cs="Times New Roman"/>
          <w:sz w:val="28"/>
          <w:szCs w:val="28"/>
          <w:lang w:val="uk-UA"/>
        </w:rPr>
        <w:t xml:space="preserve">Dynamics </w:t>
      </w:r>
      <w:proofErr w:type="spellStart"/>
      <w:r w:rsidRPr="005F0419">
        <w:rPr>
          <w:rStyle w:val="rynqvb"/>
          <w:rFonts w:ascii="Times New Roman" w:eastAsia="Calibri" w:hAnsi="Times New Roman" w:cs="Times New Roman"/>
          <w:sz w:val="28"/>
          <w:szCs w:val="28"/>
          <w:lang w:val="uk-UA"/>
        </w:rPr>
        <w:t>of</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world</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tourist</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flows</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in</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the</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geopolitical</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aspect</w:t>
      </w:r>
      <w:proofErr w:type="spellEnd"/>
      <w:r w:rsidRPr="005F0419">
        <w:rPr>
          <w:rStyle w:val="rynqvb"/>
          <w:rFonts w:ascii="Times New Roman" w:eastAsia="Calibri" w:hAnsi="Times New Roman" w:cs="Times New Roman"/>
          <w:sz w:val="28"/>
          <w:szCs w:val="28"/>
          <w:lang w:val="uk-UA"/>
        </w:rPr>
        <w:t>.</w:t>
      </w:r>
      <w:r w:rsidRPr="005F0419">
        <w:rPr>
          <w:rStyle w:val="hwtze"/>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Bulletin</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of</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the</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National</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Academy</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of</w:t>
      </w:r>
      <w:proofErr w:type="spellEnd"/>
      <w:r w:rsidRPr="005F0419">
        <w:rPr>
          <w:rStyle w:val="rynqvb"/>
          <w:rFonts w:ascii="Times New Roman" w:eastAsia="Calibri" w:hAnsi="Times New Roman" w:cs="Times New Roman"/>
          <w:sz w:val="28"/>
          <w:szCs w:val="28"/>
          <w:lang w:val="uk-UA"/>
        </w:rPr>
        <w:t xml:space="preserve"> </w:t>
      </w:r>
      <w:proofErr w:type="spellStart"/>
      <w:r w:rsidRPr="005F0419">
        <w:rPr>
          <w:rStyle w:val="rynqvb"/>
          <w:rFonts w:ascii="Times New Roman" w:eastAsia="Calibri" w:hAnsi="Times New Roman" w:cs="Times New Roman"/>
          <w:sz w:val="28"/>
          <w:szCs w:val="28"/>
          <w:lang w:val="uk-UA"/>
        </w:rPr>
        <w:t>Tourism</w:t>
      </w:r>
      <w:proofErr w:type="spellEnd"/>
      <w:r w:rsidRPr="005F0419">
        <w:rPr>
          <w:rStyle w:val="rynqvb"/>
          <w:rFonts w:ascii="Times New Roman" w:eastAsia="Calibri" w:hAnsi="Times New Roman" w:cs="Times New Roman"/>
          <w:sz w:val="28"/>
          <w:szCs w:val="28"/>
          <w:lang w:val="uk-UA"/>
        </w:rPr>
        <w:t>. 2011. №2. P. 12–15.</w:t>
      </w:r>
    </w:p>
    <w:p w14:paraId="7538CEE3"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28. Гончаренко Н. І., Скляренко Я. І. Теоретико-методологічні основи дослідження туристичної політики Європейського Союзу. Вісник Харківського національного університету імені В.Н. Каразіна. Серія «Міжнародні відносини. Економіка. Туризм». 2017. № 6. С. 161–166.</w:t>
      </w:r>
    </w:p>
    <w:p w14:paraId="1F65CE62"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29. Калініна Л. Є. Державна політика у сфері туризму: туристично-рекреаційні спеціальні економічні зони. Туризм: право та економіка. 2006. № 5. С. 23–27.</w:t>
      </w:r>
    </w:p>
    <w:p w14:paraId="1FAB3914"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30. </w:t>
      </w:r>
      <w:proofErr w:type="spellStart"/>
      <w:r w:rsidRPr="005F0419">
        <w:rPr>
          <w:rFonts w:ascii="Times New Roman" w:hAnsi="Times New Roman" w:cs="Times New Roman"/>
          <w:sz w:val="28"/>
          <w:szCs w:val="28"/>
          <w:lang w:val="uk-UA"/>
        </w:rPr>
        <w:t>Selin</w:t>
      </w:r>
      <w:proofErr w:type="spellEnd"/>
      <w:r w:rsidRPr="005F0419">
        <w:rPr>
          <w:rFonts w:ascii="Times New Roman" w:hAnsi="Times New Roman" w:cs="Times New Roman"/>
          <w:sz w:val="28"/>
          <w:szCs w:val="28"/>
          <w:lang w:val="uk-UA"/>
        </w:rPr>
        <w:t xml:space="preserve"> S. </w:t>
      </w:r>
      <w:proofErr w:type="spellStart"/>
      <w:r w:rsidRPr="005F0419">
        <w:rPr>
          <w:rFonts w:ascii="Times New Roman" w:hAnsi="Times New Roman" w:cs="Times New Roman"/>
          <w:sz w:val="28"/>
          <w:szCs w:val="28"/>
          <w:lang w:val="uk-UA"/>
        </w:rPr>
        <w:t>Developing</w:t>
      </w:r>
      <w:proofErr w:type="spellEnd"/>
      <w:r w:rsidRPr="005F0419">
        <w:rPr>
          <w:rFonts w:ascii="Times New Roman" w:hAnsi="Times New Roman" w:cs="Times New Roman"/>
          <w:sz w:val="28"/>
          <w:szCs w:val="28"/>
          <w:lang w:val="uk-UA"/>
        </w:rPr>
        <w:t xml:space="preserve"> a </w:t>
      </w:r>
      <w:proofErr w:type="spellStart"/>
      <w:r w:rsidRPr="005F0419">
        <w:rPr>
          <w:rFonts w:ascii="Times New Roman" w:hAnsi="Times New Roman" w:cs="Times New Roman"/>
          <w:sz w:val="28"/>
          <w:szCs w:val="28"/>
          <w:lang w:val="uk-UA"/>
        </w:rPr>
        <w:t>typology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sustainable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partnerships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Journal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Sustainable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1999. №7(3). P. 260–273.</w:t>
      </w:r>
    </w:p>
    <w:p w14:paraId="06B985F1"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31. </w:t>
      </w:r>
      <w:proofErr w:type="spellStart"/>
      <w:r w:rsidRPr="005F0419">
        <w:rPr>
          <w:rFonts w:ascii="Times New Roman" w:hAnsi="Times New Roman" w:cs="Times New Roman"/>
          <w:sz w:val="28"/>
          <w:szCs w:val="28"/>
          <w:lang w:val="uk-UA"/>
        </w:rPr>
        <w:t>Cunha</w:t>
      </w:r>
      <w:proofErr w:type="spellEnd"/>
      <w:r w:rsidRPr="005F0419">
        <w:rPr>
          <w:rFonts w:ascii="Times New Roman" w:hAnsi="Times New Roman" w:cs="Times New Roman"/>
          <w:sz w:val="28"/>
          <w:szCs w:val="28"/>
          <w:lang w:val="uk-UA"/>
        </w:rPr>
        <w:t xml:space="preserve"> J.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Cluster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Competitiveness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Sustainability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Proposal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for</w:t>
      </w:r>
      <w:proofErr w:type="spellEnd"/>
      <w:r w:rsidRPr="005F0419">
        <w:rPr>
          <w:rFonts w:ascii="Times New Roman" w:hAnsi="Times New Roman" w:cs="Times New Roman"/>
          <w:sz w:val="28"/>
          <w:szCs w:val="28"/>
          <w:lang w:val="uk-UA"/>
        </w:rPr>
        <w:t xml:space="preserve"> a </w:t>
      </w:r>
      <w:proofErr w:type="spellStart"/>
      <w:r w:rsidRPr="005F0419">
        <w:rPr>
          <w:rFonts w:ascii="Times New Roman" w:hAnsi="Times New Roman" w:cs="Times New Roman"/>
          <w:sz w:val="28"/>
          <w:szCs w:val="28"/>
          <w:lang w:val="uk-UA"/>
        </w:rPr>
        <w:t>Systemic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Model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Measure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Impact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Local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Development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Brazilian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Administration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Review</w:t>
      </w:r>
      <w:proofErr w:type="spellEnd"/>
      <w:r w:rsidRPr="005F0419">
        <w:rPr>
          <w:rFonts w:ascii="Times New Roman" w:hAnsi="Times New Roman" w:cs="Times New Roman"/>
          <w:sz w:val="28"/>
          <w:szCs w:val="28"/>
          <w:lang w:val="uk-UA"/>
        </w:rPr>
        <w:t>. 2005. №2(2). P. 47–62.</w:t>
      </w:r>
    </w:p>
    <w:p w14:paraId="16542194"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32. </w:t>
      </w:r>
      <w:proofErr w:type="spellStart"/>
      <w:r w:rsidRPr="005F0419">
        <w:rPr>
          <w:rFonts w:ascii="Times New Roman" w:hAnsi="Times New Roman" w:cs="Times New Roman"/>
          <w:sz w:val="28"/>
          <w:szCs w:val="28"/>
          <w:lang w:val="uk-UA"/>
        </w:rPr>
        <w:t>Carlisle</w:t>
      </w:r>
      <w:proofErr w:type="spellEnd"/>
      <w:r w:rsidRPr="005F0419">
        <w:rPr>
          <w:rFonts w:ascii="Times New Roman" w:hAnsi="Times New Roman" w:cs="Times New Roman"/>
          <w:sz w:val="28"/>
          <w:szCs w:val="28"/>
          <w:lang w:val="uk-UA"/>
        </w:rPr>
        <w:t xml:space="preserve"> S., </w:t>
      </w:r>
      <w:proofErr w:type="spellStart"/>
      <w:r w:rsidRPr="005F0419">
        <w:rPr>
          <w:rFonts w:ascii="Times New Roman" w:hAnsi="Times New Roman" w:cs="Times New Roman"/>
          <w:sz w:val="28"/>
          <w:szCs w:val="28"/>
          <w:lang w:val="uk-UA"/>
        </w:rPr>
        <w:t>Johansen</w:t>
      </w:r>
      <w:proofErr w:type="spellEnd"/>
      <w:r w:rsidRPr="005F0419">
        <w:rPr>
          <w:rFonts w:ascii="Times New Roman" w:hAnsi="Times New Roman" w:cs="Times New Roman"/>
          <w:sz w:val="28"/>
          <w:szCs w:val="28"/>
          <w:lang w:val="uk-UA"/>
        </w:rPr>
        <w:t xml:space="preserve"> A., </w:t>
      </w:r>
      <w:proofErr w:type="spellStart"/>
      <w:r w:rsidRPr="005F0419">
        <w:rPr>
          <w:rFonts w:ascii="Times New Roman" w:hAnsi="Times New Roman" w:cs="Times New Roman"/>
          <w:sz w:val="28"/>
          <w:szCs w:val="28"/>
          <w:lang w:val="uk-UA"/>
        </w:rPr>
        <w:t>Kunc</w:t>
      </w:r>
      <w:proofErr w:type="spellEnd"/>
      <w:r w:rsidRPr="005F0419">
        <w:rPr>
          <w:rFonts w:ascii="Times New Roman" w:hAnsi="Times New Roman" w:cs="Times New Roman"/>
          <w:sz w:val="28"/>
          <w:szCs w:val="28"/>
          <w:lang w:val="uk-UA"/>
        </w:rPr>
        <w:t xml:space="preserve"> M. </w:t>
      </w:r>
      <w:proofErr w:type="spellStart"/>
      <w:r w:rsidRPr="005F0419">
        <w:rPr>
          <w:rFonts w:ascii="Times New Roman" w:hAnsi="Times New Roman" w:cs="Times New Roman"/>
          <w:sz w:val="28"/>
          <w:szCs w:val="28"/>
          <w:lang w:val="uk-UA"/>
        </w:rPr>
        <w:t>Strategic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foresight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for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coastal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urban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market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complexity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case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Bournemouth</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Management</w:t>
      </w:r>
      <w:proofErr w:type="spellEnd"/>
      <w:r w:rsidRPr="005F0419">
        <w:rPr>
          <w:rFonts w:ascii="Times New Roman" w:hAnsi="Times New Roman" w:cs="Times New Roman"/>
          <w:sz w:val="28"/>
          <w:szCs w:val="28"/>
          <w:lang w:val="uk-UA"/>
        </w:rPr>
        <w:t>. 2016. №54. P. 81–95.</w:t>
      </w:r>
    </w:p>
    <w:p w14:paraId="3498F8FE"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33. </w:t>
      </w:r>
      <w:proofErr w:type="spellStart"/>
      <w:r w:rsidRPr="005F0419">
        <w:rPr>
          <w:rFonts w:ascii="Times New Roman" w:hAnsi="Times New Roman" w:cs="Times New Roman"/>
          <w:sz w:val="28"/>
          <w:szCs w:val="28"/>
          <w:lang w:val="uk-UA"/>
        </w:rPr>
        <w:t>Sklyarenko</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Ya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Khanova</w:t>
      </w:r>
      <w:proofErr w:type="spellEnd"/>
      <w:r w:rsidRPr="005F0419">
        <w:rPr>
          <w:rFonts w:ascii="Times New Roman" w:hAnsi="Times New Roman" w:cs="Times New Roman"/>
          <w:sz w:val="28"/>
          <w:szCs w:val="28"/>
          <w:lang w:val="uk-UA"/>
        </w:rPr>
        <w:t xml:space="preserve"> О. </w:t>
      </w:r>
      <w:proofErr w:type="spellStart"/>
      <w:r w:rsidRPr="005F0419">
        <w:rPr>
          <w:rFonts w:ascii="Times New Roman" w:hAnsi="Times New Roman" w:cs="Times New Roman"/>
          <w:sz w:val="28"/>
          <w:szCs w:val="28"/>
          <w:lang w:val="uk-UA"/>
        </w:rPr>
        <w:t>Analysis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factors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influence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development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area</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European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Union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Technology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audit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production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reserves</w:t>
      </w:r>
      <w:proofErr w:type="spellEnd"/>
      <w:r w:rsidRPr="005F0419">
        <w:rPr>
          <w:rFonts w:ascii="Times New Roman" w:hAnsi="Times New Roman" w:cs="Times New Roman"/>
          <w:sz w:val="28"/>
          <w:szCs w:val="28"/>
          <w:lang w:val="uk-UA"/>
        </w:rPr>
        <w:t>. 2018. №5(43). P. 9–14.</w:t>
      </w:r>
    </w:p>
    <w:p w14:paraId="6B94F406"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bookmarkStart w:id="22" w:name="_Hlk135042358"/>
      <w:r w:rsidRPr="005F0419">
        <w:rPr>
          <w:rFonts w:ascii="Times New Roman" w:hAnsi="Times New Roman" w:cs="Times New Roman"/>
          <w:sz w:val="28"/>
          <w:szCs w:val="28"/>
          <w:lang w:val="uk-UA"/>
        </w:rPr>
        <w:t xml:space="preserve">34. </w:t>
      </w:r>
      <w:proofErr w:type="spellStart"/>
      <w:r w:rsidRPr="005F0419">
        <w:rPr>
          <w:rFonts w:ascii="Times New Roman" w:hAnsi="Times New Roman" w:cs="Times New Roman"/>
          <w:sz w:val="28"/>
          <w:szCs w:val="28"/>
          <w:lang w:val="uk-UA"/>
        </w:rPr>
        <w:t>Kamkhaji</w:t>
      </w:r>
      <w:proofErr w:type="spellEnd"/>
      <w:r w:rsidRPr="005F0419">
        <w:rPr>
          <w:rFonts w:ascii="Times New Roman" w:hAnsi="Times New Roman" w:cs="Times New Roman"/>
          <w:sz w:val="28"/>
          <w:szCs w:val="28"/>
          <w:lang w:val="uk-UA"/>
        </w:rPr>
        <w:t xml:space="preserve"> J. C</w:t>
      </w:r>
      <w:bookmarkEnd w:id="22"/>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Crisis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learning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policy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change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European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Union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European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Public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Policy</w:t>
      </w:r>
      <w:proofErr w:type="spellEnd"/>
      <w:r w:rsidRPr="005F0419">
        <w:rPr>
          <w:rFonts w:ascii="Times New Roman" w:hAnsi="Times New Roman" w:cs="Times New Roman"/>
          <w:sz w:val="28"/>
          <w:szCs w:val="28"/>
          <w:lang w:val="uk-UA"/>
        </w:rPr>
        <w:t>. 2016. №24(10), P.  714–734.</w:t>
      </w:r>
    </w:p>
    <w:p w14:paraId="4C627C85"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35. </w:t>
      </w:r>
      <w:bookmarkStart w:id="23" w:name="_Hlk135042385"/>
      <w:proofErr w:type="spellStart"/>
      <w:r w:rsidRPr="005F0419">
        <w:rPr>
          <w:rFonts w:ascii="Times New Roman" w:hAnsi="Times New Roman" w:cs="Times New Roman"/>
          <w:sz w:val="28"/>
          <w:szCs w:val="28"/>
          <w:lang w:val="uk-UA"/>
        </w:rPr>
        <w:t>Matsuka</w:t>
      </w:r>
      <w:proofErr w:type="spellEnd"/>
      <w:r w:rsidRPr="005F0419">
        <w:rPr>
          <w:rFonts w:ascii="Times New Roman" w:hAnsi="Times New Roman" w:cs="Times New Roman"/>
          <w:sz w:val="28"/>
          <w:szCs w:val="28"/>
          <w:lang w:val="uk-UA"/>
        </w:rPr>
        <w:t xml:space="preserve"> V.M</w:t>
      </w:r>
      <w:bookmarkEnd w:id="23"/>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Assessment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Ukraine's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competitiveness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world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market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Bulletin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Mariupol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State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University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Series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Economy</w:t>
      </w:r>
      <w:proofErr w:type="spellEnd"/>
      <w:r w:rsidRPr="005F0419">
        <w:rPr>
          <w:rFonts w:ascii="Times New Roman" w:hAnsi="Times New Roman" w:cs="Times New Roman"/>
          <w:sz w:val="28"/>
          <w:szCs w:val="28"/>
          <w:lang w:val="uk-UA"/>
        </w:rPr>
        <w:t>. 2018. №16. P. 93-102.</w:t>
      </w:r>
      <w:bookmarkStart w:id="24" w:name="_Hlk135042443"/>
    </w:p>
    <w:p w14:paraId="794FDB58" w14:textId="6A8932EC"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36. </w:t>
      </w:r>
      <w:proofErr w:type="spellStart"/>
      <w:r w:rsidRPr="005F0419">
        <w:rPr>
          <w:rFonts w:ascii="Times New Roman" w:hAnsi="Times New Roman" w:cs="Times New Roman"/>
          <w:sz w:val="28"/>
          <w:szCs w:val="28"/>
          <w:lang w:val="uk-UA"/>
        </w:rPr>
        <w:t>Kozmenko</w:t>
      </w:r>
      <w:proofErr w:type="spellEnd"/>
      <w:r w:rsidRPr="005F0419">
        <w:rPr>
          <w:rFonts w:ascii="Times New Roman" w:hAnsi="Times New Roman" w:cs="Times New Roman"/>
          <w:sz w:val="28"/>
          <w:szCs w:val="28"/>
          <w:lang w:val="uk-UA"/>
        </w:rPr>
        <w:t xml:space="preserve"> O</w:t>
      </w:r>
      <w:bookmarkEnd w:id="24"/>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Analysis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countries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investment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attractiveness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field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industry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Investment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Management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Financial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Innovations</w:t>
      </w:r>
      <w:proofErr w:type="spellEnd"/>
      <w:r w:rsidRPr="005F0419">
        <w:rPr>
          <w:rFonts w:ascii="Times New Roman" w:hAnsi="Times New Roman" w:cs="Times New Roman"/>
          <w:sz w:val="28"/>
          <w:szCs w:val="28"/>
          <w:lang w:val="uk-UA"/>
        </w:rPr>
        <w:t>, 2015. №12</w:t>
      </w:r>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(3-1). P. 56–63.</w:t>
      </w:r>
    </w:p>
    <w:p w14:paraId="079EC7CB"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37. </w:t>
      </w:r>
      <w:bookmarkStart w:id="25" w:name="_Hlk135042581"/>
      <w:proofErr w:type="spellStart"/>
      <w:r w:rsidRPr="005F0419">
        <w:rPr>
          <w:rFonts w:ascii="Times New Roman" w:hAnsi="Times New Roman" w:cs="Times New Roman"/>
          <w:sz w:val="28"/>
          <w:szCs w:val="28"/>
          <w:lang w:val="uk-UA"/>
        </w:rPr>
        <w:t>United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Nations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Statistics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Division</w:t>
      </w:r>
      <w:bookmarkEnd w:id="25"/>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Satellite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Account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Recommended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Methodological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Framework</w:t>
      </w:r>
      <w:proofErr w:type="spellEnd"/>
      <w:r w:rsidRPr="005F0419">
        <w:rPr>
          <w:rFonts w:ascii="Times New Roman" w:hAnsi="Times New Roman" w:cs="Times New Roman"/>
          <w:sz w:val="28"/>
          <w:szCs w:val="28"/>
          <w:lang w:val="uk-UA"/>
        </w:rPr>
        <w:t xml:space="preserve">. 2008. URL : </w:t>
      </w:r>
      <w:hyperlink r:id="rId462" w:history="1">
        <w:r w:rsidRPr="005F0419">
          <w:rPr>
            <w:rStyle w:val="a6"/>
            <w:rFonts w:ascii="Times New Roman" w:eastAsia="Calibri" w:hAnsi="Times New Roman" w:cs="Times New Roman"/>
            <w:color w:val="auto"/>
            <w:sz w:val="28"/>
            <w:szCs w:val="28"/>
            <w:lang w:val="uk-UA"/>
          </w:rPr>
          <w:t>https://www.unstats.un.org/unsd/publication/Series/F</w:t>
        </w:r>
      </w:hyperlink>
      <w:r w:rsidRPr="005F0419">
        <w:rPr>
          <w:rStyle w:val="a6"/>
          <w:rFonts w:ascii="Times New Roman" w:eastAsia="Calibri" w:hAnsi="Times New Roman" w:cs="Times New Roman"/>
          <w:color w:val="auto"/>
          <w:sz w:val="28"/>
          <w:szCs w:val="28"/>
          <w:lang w:val="uk-UA"/>
        </w:rPr>
        <w:t xml:space="preserve"> </w:t>
      </w:r>
      <w:r w:rsidRPr="005F0419">
        <w:rPr>
          <w:rFonts w:ascii="Times New Roman" w:hAnsi="Times New Roman" w:cs="Times New Roman"/>
          <w:sz w:val="28"/>
          <w:szCs w:val="28"/>
          <w:lang w:val="uk-UA"/>
        </w:rPr>
        <w:t>(дата звернення 15.01.2024).</w:t>
      </w:r>
    </w:p>
    <w:p w14:paraId="71635DEE"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38. </w:t>
      </w:r>
      <w:bookmarkStart w:id="26" w:name="_Hlk135042991"/>
      <w:bookmarkStart w:id="27" w:name="_Hlk135043260"/>
      <w:proofErr w:type="spellStart"/>
      <w:r w:rsidRPr="005F0419">
        <w:rPr>
          <w:rFonts w:ascii="Times New Roman" w:hAnsi="Times New Roman" w:cs="Times New Roman"/>
          <w:sz w:val="28"/>
          <w:szCs w:val="28"/>
          <w:lang w:val="uk-UA"/>
        </w:rPr>
        <w:t>Sedarati</w:t>
      </w:r>
      <w:bookmarkEnd w:id="26"/>
      <w:bookmarkEnd w:id="27"/>
      <w:proofErr w:type="spellEnd"/>
      <w:r w:rsidRPr="005F0419">
        <w:rPr>
          <w:rFonts w:ascii="Times New Roman" w:hAnsi="Times New Roman" w:cs="Times New Roman"/>
          <w:sz w:val="28"/>
          <w:szCs w:val="28"/>
          <w:lang w:val="uk-UA"/>
        </w:rPr>
        <w:t xml:space="preserve"> P., </w:t>
      </w:r>
      <w:proofErr w:type="spellStart"/>
      <w:r w:rsidRPr="005F0419">
        <w:rPr>
          <w:rFonts w:ascii="Times New Roman" w:hAnsi="Times New Roman" w:cs="Times New Roman"/>
          <w:sz w:val="28"/>
          <w:szCs w:val="28"/>
          <w:lang w:val="uk-UA"/>
        </w:rPr>
        <w:t>Santos</w:t>
      </w:r>
      <w:proofErr w:type="spellEnd"/>
      <w:r w:rsidRPr="005F0419">
        <w:rPr>
          <w:rFonts w:ascii="Times New Roman" w:hAnsi="Times New Roman" w:cs="Times New Roman"/>
          <w:sz w:val="28"/>
          <w:szCs w:val="28"/>
          <w:lang w:val="uk-UA"/>
        </w:rPr>
        <w:t xml:space="preserve"> S., </w:t>
      </w:r>
      <w:proofErr w:type="spellStart"/>
      <w:r w:rsidRPr="005F0419">
        <w:rPr>
          <w:rFonts w:ascii="Times New Roman" w:hAnsi="Times New Roman" w:cs="Times New Roman"/>
          <w:sz w:val="28"/>
          <w:szCs w:val="28"/>
          <w:lang w:val="uk-UA"/>
        </w:rPr>
        <w:t>Pintassilgo</w:t>
      </w:r>
      <w:proofErr w:type="spellEnd"/>
      <w:r w:rsidRPr="005F0419">
        <w:rPr>
          <w:rFonts w:ascii="Times New Roman" w:hAnsi="Times New Roman" w:cs="Times New Roman"/>
          <w:sz w:val="28"/>
          <w:szCs w:val="28"/>
          <w:lang w:val="uk-UA"/>
        </w:rPr>
        <w:t xml:space="preserve">, P. </w:t>
      </w:r>
      <w:proofErr w:type="spellStart"/>
      <w:r w:rsidRPr="005F0419">
        <w:rPr>
          <w:rFonts w:ascii="Times New Roman" w:hAnsi="Times New Roman" w:cs="Times New Roman"/>
          <w:sz w:val="28"/>
          <w:szCs w:val="28"/>
          <w:lang w:val="uk-UA"/>
        </w:rPr>
        <w:t>System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dynamics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planning</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development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Planning</w:t>
      </w:r>
      <w:proofErr w:type="spellEnd"/>
      <w:r w:rsidRPr="005F0419">
        <w:rPr>
          <w:rFonts w:ascii="Times New Roman" w:hAnsi="Times New Roman" w:cs="Times New Roman"/>
          <w:sz w:val="28"/>
          <w:szCs w:val="28"/>
          <w:lang w:val="uk-UA"/>
        </w:rPr>
        <w:t xml:space="preserve"> &amp; </w:t>
      </w:r>
      <w:proofErr w:type="spellStart"/>
      <w:r w:rsidRPr="005F0419">
        <w:rPr>
          <w:rFonts w:ascii="Times New Roman" w:hAnsi="Times New Roman" w:cs="Times New Roman"/>
          <w:sz w:val="28"/>
          <w:szCs w:val="28"/>
          <w:lang w:val="uk-UA"/>
        </w:rPr>
        <w:t>Development</w:t>
      </w:r>
      <w:proofErr w:type="spellEnd"/>
      <w:r w:rsidRPr="005F0419">
        <w:rPr>
          <w:rFonts w:ascii="Times New Roman" w:hAnsi="Times New Roman" w:cs="Times New Roman"/>
          <w:sz w:val="28"/>
          <w:szCs w:val="28"/>
          <w:lang w:val="uk-UA"/>
        </w:rPr>
        <w:t>. 2018. P. 1–25.</w:t>
      </w:r>
    </w:p>
    <w:p w14:paraId="0C177398"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bookmarkStart w:id="28" w:name="_Hlk135044320"/>
      <w:r w:rsidRPr="005F0419">
        <w:rPr>
          <w:rFonts w:ascii="Times New Roman" w:hAnsi="Times New Roman" w:cs="Times New Roman"/>
          <w:sz w:val="28"/>
          <w:szCs w:val="28"/>
          <w:lang w:val="uk-UA"/>
        </w:rPr>
        <w:t xml:space="preserve">39. </w:t>
      </w:r>
      <w:proofErr w:type="spellStart"/>
      <w:r w:rsidRPr="005F0419">
        <w:rPr>
          <w:rFonts w:ascii="Times New Roman" w:hAnsi="Times New Roman" w:cs="Times New Roman"/>
          <w:sz w:val="28"/>
          <w:szCs w:val="28"/>
          <w:lang w:val="uk-UA"/>
        </w:rPr>
        <w:t>Tourist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streams</w:t>
      </w:r>
      <w:proofErr w:type="spellEnd"/>
      <w:r w:rsidRPr="005F0419">
        <w:rPr>
          <w:rFonts w:ascii="Times New Roman" w:hAnsi="Times New Roman" w:cs="Times New Roman"/>
          <w:sz w:val="28"/>
          <w:szCs w:val="28"/>
          <w:lang w:val="uk-UA"/>
        </w:rPr>
        <w:t xml:space="preserve"> 1999-2020. 2023</w:t>
      </w:r>
      <w:bookmarkEnd w:id="28"/>
      <w:r w:rsidRPr="005F0419">
        <w:rPr>
          <w:rFonts w:ascii="Times New Roman" w:hAnsi="Times New Roman" w:cs="Times New Roman"/>
          <w:sz w:val="28"/>
          <w:szCs w:val="28"/>
          <w:lang w:val="uk-UA"/>
        </w:rPr>
        <w:t xml:space="preserve">. URL: </w:t>
      </w:r>
      <w:hyperlink r:id="rId463" w:history="1">
        <w:r w:rsidRPr="005F0419">
          <w:rPr>
            <w:rStyle w:val="a6"/>
            <w:rFonts w:ascii="Times New Roman" w:eastAsia="Calibri" w:hAnsi="Times New Roman" w:cs="Times New Roman"/>
            <w:color w:val="auto"/>
            <w:sz w:val="28"/>
            <w:szCs w:val="28"/>
            <w:lang w:val="uk-UA"/>
          </w:rPr>
          <w:t>http://www.ukrstat.gov.ua/operativ/operativ2007/tyr/tyr_u/potoki2006_u.htm</w:t>
        </w:r>
      </w:hyperlink>
      <w:r w:rsidRPr="005F0419">
        <w:rPr>
          <w:rStyle w:val="a6"/>
          <w:rFonts w:ascii="Times New Roman" w:eastAsia="Calibri" w:hAnsi="Times New Roman" w:cs="Times New Roman"/>
          <w:color w:val="auto"/>
          <w:sz w:val="28"/>
          <w:szCs w:val="28"/>
          <w:lang w:val="uk-UA"/>
        </w:rPr>
        <w:t xml:space="preserve"> </w:t>
      </w:r>
      <w:r w:rsidRPr="005F0419">
        <w:rPr>
          <w:rFonts w:ascii="Times New Roman" w:hAnsi="Times New Roman" w:cs="Times New Roman"/>
          <w:sz w:val="28"/>
          <w:szCs w:val="28"/>
          <w:lang w:val="uk-UA"/>
        </w:rPr>
        <w:t>(дата звернення 21.01.2024).</w:t>
      </w:r>
    </w:p>
    <w:p w14:paraId="7ABA32B5"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40. </w:t>
      </w:r>
      <w:proofErr w:type="spellStart"/>
      <w:r w:rsidRPr="005F0419">
        <w:rPr>
          <w:rFonts w:ascii="Times New Roman" w:hAnsi="Times New Roman" w:cs="Times New Roman"/>
          <w:sz w:val="28"/>
          <w:szCs w:val="28"/>
          <w:lang w:val="uk-UA"/>
        </w:rPr>
        <w:t>Tsviliy</w:t>
      </w:r>
      <w:proofErr w:type="spellEnd"/>
      <w:r w:rsidRPr="005F0419">
        <w:rPr>
          <w:rFonts w:ascii="Times New Roman" w:hAnsi="Times New Roman" w:cs="Times New Roman"/>
          <w:sz w:val="28"/>
          <w:szCs w:val="28"/>
          <w:lang w:val="uk-UA"/>
        </w:rPr>
        <w:t xml:space="preserve"> S.M., </w:t>
      </w:r>
      <w:proofErr w:type="spellStart"/>
      <w:r w:rsidRPr="005F0419">
        <w:rPr>
          <w:rFonts w:ascii="Times New Roman" w:hAnsi="Times New Roman" w:cs="Times New Roman"/>
          <w:sz w:val="28"/>
          <w:szCs w:val="28"/>
          <w:lang w:val="uk-UA"/>
        </w:rPr>
        <w:t>Ogloblina</w:t>
      </w:r>
      <w:proofErr w:type="spellEnd"/>
      <w:r w:rsidRPr="005F0419">
        <w:rPr>
          <w:rFonts w:ascii="Times New Roman" w:hAnsi="Times New Roman" w:cs="Times New Roman"/>
          <w:sz w:val="28"/>
          <w:szCs w:val="28"/>
          <w:lang w:val="uk-UA"/>
        </w:rPr>
        <w:t xml:space="preserve"> V.O., </w:t>
      </w:r>
      <w:proofErr w:type="spellStart"/>
      <w:r w:rsidRPr="005F0419">
        <w:rPr>
          <w:rFonts w:ascii="Times New Roman" w:hAnsi="Times New Roman" w:cs="Times New Roman"/>
          <w:sz w:val="28"/>
          <w:szCs w:val="28"/>
          <w:lang w:val="uk-UA"/>
        </w:rPr>
        <w:t>Demko</w:t>
      </w:r>
      <w:proofErr w:type="spellEnd"/>
      <w:r w:rsidRPr="005F0419">
        <w:rPr>
          <w:rFonts w:ascii="Times New Roman" w:hAnsi="Times New Roman" w:cs="Times New Roman"/>
          <w:sz w:val="28"/>
          <w:szCs w:val="28"/>
          <w:lang w:val="uk-UA"/>
        </w:rPr>
        <w:t xml:space="preserve"> V.S., </w:t>
      </w:r>
      <w:proofErr w:type="spellStart"/>
      <w:r w:rsidRPr="005F0419">
        <w:rPr>
          <w:rFonts w:ascii="Times New Roman" w:hAnsi="Times New Roman" w:cs="Times New Roman"/>
          <w:sz w:val="28"/>
          <w:szCs w:val="28"/>
          <w:lang w:val="uk-UA"/>
        </w:rPr>
        <w:t>Pavliuk</w:t>
      </w:r>
      <w:proofErr w:type="spellEnd"/>
      <w:r w:rsidRPr="005F0419">
        <w:rPr>
          <w:rFonts w:ascii="Times New Roman" w:hAnsi="Times New Roman" w:cs="Times New Roman"/>
          <w:sz w:val="28"/>
          <w:szCs w:val="28"/>
          <w:lang w:val="uk-UA"/>
        </w:rPr>
        <w:t xml:space="preserve"> A.A., </w:t>
      </w:r>
      <w:proofErr w:type="spellStart"/>
      <w:r w:rsidRPr="005F0419">
        <w:rPr>
          <w:rFonts w:ascii="Times New Roman" w:hAnsi="Times New Roman" w:cs="Times New Roman"/>
          <w:sz w:val="28"/>
          <w:szCs w:val="28"/>
          <w:lang w:val="uk-UA"/>
        </w:rPr>
        <w:t>Pisetskyi</w:t>
      </w:r>
      <w:proofErr w:type="spellEnd"/>
      <w:r w:rsidRPr="005F0419">
        <w:rPr>
          <w:rFonts w:ascii="Times New Roman" w:hAnsi="Times New Roman" w:cs="Times New Roman"/>
          <w:sz w:val="28"/>
          <w:szCs w:val="28"/>
          <w:lang w:val="uk-UA"/>
        </w:rPr>
        <w:t xml:space="preserve"> M.M. </w:t>
      </w:r>
      <w:proofErr w:type="spellStart"/>
      <w:r w:rsidRPr="005F0419">
        <w:rPr>
          <w:rFonts w:ascii="Times New Roman" w:hAnsi="Times New Roman" w:cs="Times New Roman"/>
          <w:sz w:val="28"/>
          <w:szCs w:val="28"/>
          <w:lang w:val="uk-UA"/>
        </w:rPr>
        <w:t>Potential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international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cooperation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Ukraine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geoeconomic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space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industry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GeoJournal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of</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Geosites</w:t>
      </w:r>
      <w:proofErr w:type="spellEnd"/>
      <w:r w:rsidRPr="005F0419">
        <w:rPr>
          <w:rFonts w:ascii="Times New Roman" w:hAnsi="Times New Roman" w:cs="Times New Roman"/>
          <w:sz w:val="28"/>
          <w:szCs w:val="28"/>
          <w:lang w:val="uk-UA"/>
        </w:rPr>
        <w:t xml:space="preserve">. 2023. №49(3). </w:t>
      </w:r>
      <w:proofErr w:type="spellStart"/>
      <w:r w:rsidRPr="005F0419">
        <w:rPr>
          <w:rFonts w:ascii="Times New Roman" w:hAnsi="Times New Roman" w:cs="Times New Roman"/>
          <w:sz w:val="28"/>
          <w:szCs w:val="28"/>
          <w:lang w:val="uk-UA"/>
        </w:rPr>
        <w:t>Pp</w:t>
      </w:r>
      <w:proofErr w:type="spellEnd"/>
      <w:r w:rsidRPr="005F0419">
        <w:rPr>
          <w:rFonts w:ascii="Times New Roman" w:hAnsi="Times New Roman" w:cs="Times New Roman"/>
          <w:sz w:val="28"/>
          <w:szCs w:val="28"/>
          <w:lang w:val="uk-UA"/>
        </w:rPr>
        <w:t>. 946–961.</w:t>
      </w:r>
    </w:p>
    <w:p w14:paraId="54383533"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bookmarkStart w:id="29" w:name="_Hlk135043738"/>
      <w:r w:rsidRPr="005F0419">
        <w:rPr>
          <w:rFonts w:ascii="Times New Roman" w:hAnsi="Times New Roman" w:cs="Times New Roman"/>
          <w:sz w:val="28"/>
          <w:szCs w:val="28"/>
          <w:lang w:val="uk-UA"/>
        </w:rPr>
        <w:t xml:space="preserve">41. UNWTO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Dashboard</w:t>
      </w:r>
      <w:proofErr w:type="spellEnd"/>
      <w:r w:rsidRPr="005F0419">
        <w:rPr>
          <w:rFonts w:ascii="Times New Roman" w:hAnsi="Times New Roman" w:cs="Times New Roman"/>
          <w:sz w:val="28"/>
          <w:szCs w:val="28"/>
          <w:lang w:val="uk-UA"/>
        </w:rPr>
        <w:t>.</w:t>
      </w:r>
      <w:bookmarkEnd w:id="29"/>
      <w:r w:rsidRPr="005F0419">
        <w:rPr>
          <w:rFonts w:ascii="Times New Roman" w:hAnsi="Times New Roman" w:cs="Times New Roman"/>
          <w:sz w:val="28"/>
          <w:szCs w:val="28"/>
          <w:lang w:val="uk-UA"/>
        </w:rPr>
        <w:t xml:space="preserve"> UNWTO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Dashboard</w:t>
      </w:r>
      <w:proofErr w:type="spellEnd"/>
      <w:r w:rsidRPr="005F0419">
        <w:rPr>
          <w:rFonts w:ascii="Times New Roman" w:hAnsi="Times New Roman" w:cs="Times New Roman"/>
          <w:sz w:val="28"/>
          <w:szCs w:val="28"/>
          <w:lang w:val="uk-UA"/>
        </w:rPr>
        <w:t xml:space="preserve"> – </w:t>
      </w:r>
      <w:proofErr w:type="spellStart"/>
      <w:r w:rsidRPr="005F0419">
        <w:rPr>
          <w:rFonts w:ascii="Times New Roman" w:hAnsi="Times New Roman" w:cs="Times New Roman"/>
          <w:sz w:val="28"/>
          <w:szCs w:val="28"/>
          <w:lang w:val="uk-UA"/>
        </w:rPr>
        <w:t>Insights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key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performance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indicators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for</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inbound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outbound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global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regional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lastRenderedPageBreak/>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national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levels</w:t>
      </w:r>
      <w:proofErr w:type="spellEnd"/>
      <w:r w:rsidRPr="005F0419">
        <w:rPr>
          <w:rFonts w:ascii="Times New Roman" w:hAnsi="Times New Roman" w:cs="Times New Roman"/>
          <w:sz w:val="28"/>
          <w:szCs w:val="28"/>
          <w:lang w:val="uk-UA"/>
        </w:rPr>
        <w:t xml:space="preserve">. 2023. URL:  </w:t>
      </w:r>
      <w:hyperlink r:id="rId464" w:history="1">
        <w:r w:rsidRPr="005F0419">
          <w:rPr>
            <w:rStyle w:val="a6"/>
            <w:rFonts w:ascii="Times New Roman" w:eastAsia="Calibri" w:hAnsi="Times New Roman" w:cs="Times New Roman"/>
            <w:color w:val="auto"/>
            <w:sz w:val="28"/>
            <w:szCs w:val="28"/>
            <w:lang w:val="uk-UA"/>
          </w:rPr>
          <w:t>https://www.unwto.org/unwto-tourism-dashboard</w:t>
        </w:r>
      </w:hyperlink>
      <w:r w:rsidRPr="005F0419">
        <w:rPr>
          <w:rStyle w:val="a6"/>
          <w:rFonts w:ascii="Times New Roman" w:eastAsia="Calibri" w:hAnsi="Times New Roman" w:cs="Times New Roman"/>
          <w:color w:val="auto"/>
          <w:sz w:val="28"/>
          <w:szCs w:val="28"/>
          <w:lang w:val="uk-UA"/>
        </w:rPr>
        <w:t xml:space="preserve"> </w:t>
      </w:r>
      <w:r w:rsidRPr="005F0419">
        <w:rPr>
          <w:rFonts w:ascii="Times New Roman" w:hAnsi="Times New Roman" w:cs="Times New Roman"/>
          <w:sz w:val="28"/>
          <w:szCs w:val="28"/>
          <w:lang w:val="uk-UA"/>
        </w:rPr>
        <w:t>(дата звернення 25.01.2024).</w:t>
      </w:r>
    </w:p>
    <w:p w14:paraId="0B5DD1A7" w14:textId="64A35F3A"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42. Розмір податків суб'єктів туристичної діяльності. URL: </w:t>
      </w:r>
      <w:hyperlink r:id="rId465" w:history="1">
        <w:r w:rsidR="00022351" w:rsidRPr="005F0419">
          <w:rPr>
            <w:rStyle w:val="a6"/>
            <w:rFonts w:ascii="Times New Roman" w:hAnsi="Times New Roman" w:cs="Times New Roman"/>
            <w:color w:val="auto"/>
            <w:sz w:val="28"/>
            <w:szCs w:val="28"/>
            <w:lang w:val="uk-UA"/>
          </w:rPr>
          <w:t>https://visitukraine.today/blog/1789/</w:t>
        </w:r>
      </w:hyperlink>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22.01.2024).</w:t>
      </w:r>
    </w:p>
    <w:p w14:paraId="2940AB44" w14:textId="7CD8C94C"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43. Туристичний портал України. URL: </w:t>
      </w:r>
      <w:hyperlink r:id="rId466" w:history="1">
        <w:r w:rsidR="00022351" w:rsidRPr="005F0419">
          <w:rPr>
            <w:rStyle w:val="a6"/>
            <w:rFonts w:ascii="Times New Roman" w:hAnsi="Times New Roman" w:cs="Times New Roman"/>
            <w:color w:val="auto"/>
            <w:sz w:val="28"/>
            <w:szCs w:val="28"/>
            <w:lang w:val="uk-UA"/>
          </w:rPr>
          <w:t>http://www.stejka.com/ukr</w:t>
        </w:r>
      </w:hyperlink>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22.01.2024).</w:t>
      </w:r>
    </w:p>
    <w:p w14:paraId="30F72100" w14:textId="7B56534B"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44. Міжнародний туризм, витрати. URL: </w:t>
      </w:r>
      <w:hyperlink r:id="rId467" w:history="1">
        <w:r w:rsidR="00022351" w:rsidRPr="005F0419">
          <w:rPr>
            <w:rStyle w:val="a6"/>
            <w:rFonts w:ascii="Times New Roman" w:hAnsi="Times New Roman" w:cs="Times New Roman"/>
            <w:color w:val="auto"/>
            <w:sz w:val="28"/>
            <w:szCs w:val="28"/>
            <w:lang w:val="uk-UA"/>
          </w:rPr>
          <w:t>https://data.worldbank.org/indicator/ST.INT.XPND</w:t>
        </w:r>
      </w:hyperlink>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(дата звернення 9.01.2024). </w:t>
      </w:r>
    </w:p>
    <w:p w14:paraId="13B9D9EA" w14:textId="00070A33"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45. Міжнародний туризм, витрати на пасажирський транспорт. URL: </w:t>
      </w:r>
      <w:hyperlink r:id="rId468" w:history="1">
        <w:r w:rsidR="00022351" w:rsidRPr="005F0419">
          <w:rPr>
            <w:rStyle w:val="a6"/>
            <w:rFonts w:ascii="Times New Roman" w:hAnsi="Times New Roman" w:cs="Times New Roman"/>
            <w:color w:val="auto"/>
            <w:sz w:val="28"/>
            <w:szCs w:val="28"/>
            <w:lang w:val="uk-UA"/>
          </w:rPr>
          <w:t>https://data.worldbank.org/indicator/ST.INT.TRNX.CD</w:t>
        </w:r>
      </w:hyperlink>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(дата звернення 9.01.2024). </w:t>
      </w:r>
    </w:p>
    <w:p w14:paraId="5BE9A279" w14:textId="46469C41"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46. Міжнародний туризм, витрати на предмети подорожей. URL: </w:t>
      </w:r>
      <w:hyperlink r:id="rId469" w:history="1">
        <w:r w:rsidR="00022351" w:rsidRPr="005F0419">
          <w:rPr>
            <w:rStyle w:val="a6"/>
            <w:rFonts w:ascii="Times New Roman" w:hAnsi="Times New Roman" w:cs="Times New Roman"/>
            <w:color w:val="auto"/>
            <w:sz w:val="28"/>
            <w:szCs w:val="28"/>
            <w:lang w:val="uk-UA"/>
          </w:rPr>
          <w:t>https://data.worldbank.org/indicator/ST.INT.TVLX.CD</w:t>
        </w:r>
      </w:hyperlink>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(дата звернення 9.01.2024). </w:t>
      </w:r>
    </w:p>
    <w:p w14:paraId="2D0AEC33" w14:textId="14E9CA5E"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47. Міжнародний туризм, надходження. URL: </w:t>
      </w:r>
      <w:hyperlink r:id="rId470" w:history="1">
        <w:r w:rsidR="00022351" w:rsidRPr="005F0419">
          <w:rPr>
            <w:rStyle w:val="a6"/>
            <w:rFonts w:ascii="Times New Roman" w:hAnsi="Times New Roman" w:cs="Times New Roman"/>
            <w:color w:val="auto"/>
            <w:sz w:val="28"/>
            <w:szCs w:val="28"/>
            <w:lang w:val="uk-UA"/>
          </w:rPr>
          <w:t>https://data.worldbank.org/indicator/ST.INT.RCPT.XP</w:t>
        </w:r>
      </w:hyperlink>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9.01.2024).</w:t>
      </w:r>
    </w:p>
    <w:p w14:paraId="17143E1E" w14:textId="239568BA"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48. Інформаційна панель даних з туризму ЮНВТО. URL: </w:t>
      </w:r>
      <w:hyperlink r:id="rId471" w:history="1">
        <w:r w:rsidR="00022351" w:rsidRPr="005F0419">
          <w:rPr>
            <w:rStyle w:val="a6"/>
            <w:rFonts w:ascii="Times New Roman" w:hAnsi="Times New Roman" w:cs="Times New Roman"/>
            <w:color w:val="auto"/>
            <w:sz w:val="28"/>
            <w:szCs w:val="28"/>
            <w:lang w:val="uk-UA"/>
          </w:rPr>
          <w:t>https://www.unwto.org/tourism-data/unwtotourism-dashboard</w:t>
        </w:r>
      </w:hyperlink>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 xml:space="preserve">(дата звернення 9.01.2024). </w:t>
      </w:r>
    </w:p>
    <w:p w14:paraId="7E9FB35A" w14:textId="2950496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49. UNWTO. Барометр світового туризму, 20(5), 2022. С. 1-5. URL: </w:t>
      </w:r>
      <w:hyperlink r:id="rId472" w:history="1">
        <w:r w:rsidR="00022351" w:rsidRPr="005F0419">
          <w:rPr>
            <w:rStyle w:val="a6"/>
            <w:rFonts w:ascii="Times New Roman" w:hAnsi="Times New Roman" w:cs="Times New Roman"/>
            <w:color w:val="auto"/>
            <w:sz w:val="28"/>
            <w:szCs w:val="28"/>
            <w:lang w:val="uk-UA"/>
          </w:rPr>
          <w:t>https://webunwto.s3.eu-west1.amazonaws.com/s3fs-public/2022</w:t>
        </w:r>
      </w:hyperlink>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9.01.2024).</w:t>
      </w:r>
    </w:p>
    <w:p w14:paraId="4FB07536" w14:textId="3780A690"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50. </w:t>
      </w:r>
      <w:proofErr w:type="spellStart"/>
      <w:r w:rsidRPr="005F0419">
        <w:rPr>
          <w:rFonts w:ascii="Times New Roman" w:hAnsi="Times New Roman" w:cs="Times New Roman"/>
          <w:sz w:val="28"/>
          <w:szCs w:val="28"/>
          <w:lang w:val="uk-UA"/>
        </w:rPr>
        <w:t>The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Travel</w:t>
      </w:r>
      <w:proofErr w:type="spellEnd"/>
      <w:r w:rsidRPr="005F0419">
        <w:rPr>
          <w:rFonts w:ascii="Times New Roman" w:hAnsi="Times New Roman" w:cs="Times New Roman"/>
          <w:sz w:val="28"/>
          <w:szCs w:val="28"/>
          <w:lang w:val="uk-UA"/>
        </w:rPr>
        <w:t xml:space="preserve"> &amp;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Competitiveness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Report</w:t>
      </w:r>
      <w:proofErr w:type="spellEnd"/>
      <w:r w:rsidRPr="005F0419">
        <w:rPr>
          <w:rFonts w:ascii="Times New Roman" w:hAnsi="Times New Roman" w:cs="Times New Roman"/>
          <w:sz w:val="28"/>
          <w:szCs w:val="28"/>
          <w:lang w:val="uk-UA"/>
        </w:rPr>
        <w:t xml:space="preserve">. 2021. URL: </w:t>
      </w:r>
      <w:hyperlink r:id="rId473" w:history="1">
        <w:r w:rsidR="00022351" w:rsidRPr="005F0419">
          <w:rPr>
            <w:rStyle w:val="a6"/>
            <w:rFonts w:ascii="Times New Roman" w:hAnsi="Times New Roman" w:cs="Times New Roman"/>
            <w:color w:val="auto"/>
            <w:sz w:val="28"/>
            <w:szCs w:val="28"/>
            <w:lang w:val="uk-UA"/>
          </w:rPr>
          <w:t>https://www.bloomconsulting.com/journal/bloom-consulting-international-data-partner-for-the-2021-travel-tourism-competitivenessreport-ttcr-for-the-world-economic</w:t>
        </w:r>
      </w:hyperlink>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24.01.2024).</w:t>
      </w:r>
    </w:p>
    <w:p w14:paraId="3F8D79A6"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51. Григоренко Т. М. Формування франчайзингових роздрібних торговельних мереж. Формування ринкових відносин в Україні. 2010.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xml:space="preserve">. 12(115). С. 147–153. </w:t>
      </w:r>
    </w:p>
    <w:p w14:paraId="3180B7C3" w14:textId="4C30E980"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52. Гусєв Ю. В. Формування стратегій розвитку підприємництва на основі франчайзингу. Формування ринкових відносин в Україні. 2010.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9</w:t>
      </w:r>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(112). С. 181–184.</w:t>
      </w:r>
    </w:p>
    <w:p w14:paraId="3216813E"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53. Пивоваров М. Г. Франчайзинг та перспективи його розвитку в Україні. Держава та регіони. Серія: Економіка та підприємництво. 2007. № 2. С. 192–195.</w:t>
      </w:r>
    </w:p>
    <w:p w14:paraId="2468F35A"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54. </w:t>
      </w:r>
      <w:proofErr w:type="spellStart"/>
      <w:r w:rsidRPr="005F0419">
        <w:rPr>
          <w:rFonts w:ascii="Times New Roman" w:hAnsi="Times New Roman" w:cs="Times New Roman"/>
          <w:sz w:val="28"/>
          <w:szCs w:val="28"/>
          <w:lang w:val="uk-UA"/>
        </w:rPr>
        <w:t>Ногачевський</w:t>
      </w:r>
      <w:proofErr w:type="spellEnd"/>
      <w:r w:rsidRPr="005F0419">
        <w:rPr>
          <w:rFonts w:ascii="Times New Roman" w:hAnsi="Times New Roman" w:cs="Times New Roman"/>
          <w:sz w:val="28"/>
          <w:szCs w:val="28"/>
          <w:lang w:val="uk-UA"/>
        </w:rPr>
        <w:t xml:space="preserve"> О. Ф. Франчайзинг в Україні: вибір та придбання франшиз. Актуальні проблеми економіки. 2010. Т. 12. С. 63–69.</w:t>
      </w:r>
    </w:p>
    <w:p w14:paraId="694C96A4"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55. </w:t>
      </w:r>
      <w:proofErr w:type="spellStart"/>
      <w:r w:rsidRPr="005F0419">
        <w:rPr>
          <w:rFonts w:ascii="Times New Roman" w:hAnsi="Times New Roman" w:cs="Times New Roman"/>
          <w:sz w:val="28"/>
          <w:szCs w:val="28"/>
          <w:lang w:val="uk-UA"/>
        </w:rPr>
        <w:t>Магомедова</w:t>
      </w:r>
      <w:proofErr w:type="spellEnd"/>
      <w:r w:rsidRPr="005F0419">
        <w:rPr>
          <w:rFonts w:ascii="Times New Roman" w:hAnsi="Times New Roman" w:cs="Times New Roman"/>
          <w:sz w:val="28"/>
          <w:szCs w:val="28"/>
          <w:lang w:val="uk-UA"/>
        </w:rPr>
        <w:t xml:space="preserve"> А. М. Франчайзинг в Україні: проблеми теорії та практики. Формування ринкових відносин в Україні. 2011.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11. С. 52–56.</w:t>
      </w:r>
    </w:p>
    <w:p w14:paraId="3A3BEE57" w14:textId="3A75970F"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56. </w:t>
      </w:r>
      <w:proofErr w:type="spellStart"/>
      <w:r w:rsidRPr="005F0419">
        <w:rPr>
          <w:rFonts w:ascii="Times New Roman" w:hAnsi="Times New Roman" w:cs="Times New Roman"/>
          <w:sz w:val="28"/>
          <w:szCs w:val="28"/>
          <w:lang w:val="uk-UA"/>
        </w:rPr>
        <w:t>United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Nations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Statistics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Division</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Satellite</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Account</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Recommended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Methodological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Framework</w:t>
      </w:r>
      <w:proofErr w:type="spellEnd"/>
      <w:r w:rsidRPr="005F0419">
        <w:rPr>
          <w:rFonts w:ascii="Times New Roman" w:hAnsi="Times New Roman" w:cs="Times New Roman"/>
          <w:sz w:val="28"/>
          <w:szCs w:val="28"/>
          <w:lang w:val="uk-UA"/>
        </w:rPr>
        <w:t xml:space="preserve">. 2008. URL: </w:t>
      </w:r>
      <w:hyperlink r:id="rId474" w:history="1">
        <w:r w:rsidR="00022351" w:rsidRPr="005F0419">
          <w:rPr>
            <w:rStyle w:val="a6"/>
            <w:rFonts w:ascii="Times New Roman" w:hAnsi="Times New Roman" w:cs="Times New Roman"/>
            <w:color w:val="auto"/>
            <w:sz w:val="28"/>
            <w:szCs w:val="28"/>
            <w:lang w:val="uk-UA"/>
          </w:rPr>
          <w:t>https://www.unstats.un.org/unsd/publication/Series/F</w:t>
        </w:r>
      </w:hyperlink>
      <w:r w:rsidR="00022351"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(дата звернення 15.01.2024).</w:t>
      </w:r>
    </w:p>
    <w:p w14:paraId="28335480"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57. Демко В.С., </w:t>
      </w:r>
      <w:proofErr w:type="spellStart"/>
      <w:r w:rsidRPr="005F0419">
        <w:rPr>
          <w:rFonts w:ascii="Times New Roman" w:hAnsi="Times New Roman" w:cs="Times New Roman"/>
          <w:sz w:val="28"/>
          <w:szCs w:val="28"/>
          <w:lang w:val="uk-UA"/>
        </w:rPr>
        <w:t>Свиноус</w:t>
      </w:r>
      <w:proofErr w:type="spellEnd"/>
      <w:r w:rsidRPr="005F0419">
        <w:rPr>
          <w:rFonts w:ascii="Times New Roman" w:hAnsi="Times New Roman" w:cs="Times New Roman"/>
          <w:sz w:val="28"/>
          <w:szCs w:val="28"/>
          <w:lang w:val="uk-UA"/>
        </w:rPr>
        <w:t xml:space="preserve"> І.В. Потенціал міжнародного співробітництва України в геоекономічному просторі туристичної галузі. Збірник наукових праць ТДАТУ імені Дмитра Моторного (економічні науки). №2(48). 2023. С. 38–50.</w:t>
      </w:r>
    </w:p>
    <w:p w14:paraId="543D849F"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58. Демко В.С., </w:t>
      </w:r>
      <w:proofErr w:type="spellStart"/>
      <w:r w:rsidRPr="005F0419">
        <w:rPr>
          <w:rFonts w:ascii="Times New Roman" w:hAnsi="Times New Roman" w:cs="Times New Roman"/>
          <w:sz w:val="28"/>
          <w:szCs w:val="28"/>
          <w:lang w:val="uk-UA"/>
        </w:rPr>
        <w:t>Свиноус</w:t>
      </w:r>
      <w:proofErr w:type="spellEnd"/>
      <w:r w:rsidRPr="005F0419">
        <w:rPr>
          <w:rFonts w:ascii="Times New Roman" w:hAnsi="Times New Roman" w:cs="Times New Roman"/>
          <w:sz w:val="28"/>
          <w:szCs w:val="28"/>
          <w:lang w:val="uk-UA"/>
        </w:rPr>
        <w:t xml:space="preserve"> І.В. Макроекономічний аналіз туристичного потенціалу України в міжнародному співробітництві. Збірник наукових праць ТДАТУ імені Дмитра Моторного (економічні науки). №3(49). 2023. С. 40–51.</w:t>
      </w:r>
    </w:p>
    <w:p w14:paraId="5715A499"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59. </w:t>
      </w:r>
      <w:proofErr w:type="spellStart"/>
      <w:r w:rsidRPr="005F0419">
        <w:rPr>
          <w:rFonts w:ascii="Times New Roman" w:hAnsi="Times New Roman" w:cs="Times New Roman"/>
          <w:sz w:val="28"/>
          <w:szCs w:val="28"/>
          <w:shd w:val="clear" w:color="auto" w:fill="FFFFFF"/>
          <w:lang w:val="uk-UA"/>
        </w:rPr>
        <w:t>Charkina</w:t>
      </w:r>
      <w:proofErr w:type="spellEnd"/>
      <w:r w:rsidRPr="005F0419">
        <w:rPr>
          <w:rFonts w:ascii="Times New Roman" w:hAnsi="Times New Roman" w:cs="Times New Roman"/>
          <w:sz w:val="28"/>
          <w:szCs w:val="28"/>
          <w:shd w:val="clear" w:color="auto" w:fill="FFFFFF"/>
          <w:lang w:val="uk-UA"/>
        </w:rPr>
        <w:t xml:space="preserve"> T., </w:t>
      </w:r>
      <w:proofErr w:type="spellStart"/>
      <w:r w:rsidRPr="005F0419">
        <w:rPr>
          <w:rFonts w:ascii="Times New Roman" w:hAnsi="Times New Roman" w:cs="Times New Roman"/>
          <w:sz w:val="28"/>
          <w:szCs w:val="28"/>
          <w:shd w:val="clear" w:color="auto" w:fill="FFFFFF"/>
          <w:lang w:val="uk-UA"/>
        </w:rPr>
        <w:t>Pikulina</w:t>
      </w:r>
      <w:proofErr w:type="spellEnd"/>
      <w:r w:rsidRPr="005F0419">
        <w:rPr>
          <w:rFonts w:ascii="Times New Roman" w:hAnsi="Times New Roman" w:cs="Times New Roman"/>
          <w:sz w:val="28"/>
          <w:szCs w:val="28"/>
          <w:shd w:val="clear" w:color="auto" w:fill="FFFFFF"/>
          <w:lang w:val="uk-UA"/>
        </w:rPr>
        <w:t xml:space="preserve"> O., </w:t>
      </w:r>
      <w:proofErr w:type="spellStart"/>
      <w:r w:rsidRPr="005F0419">
        <w:rPr>
          <w:rFonts w:ascii="Times New Roman" w:hAnsi="Times New Roman" w:cs="Times New Roman"/>
          <w:sz w:val="28"/>
          <w:szCs w:val="28"/>
          <w:shd w:val="clear" w:color="auto" w:fill="FFFFFF"/>
          <w:lang w:val="uk-UA"/>
        </w:rPr>
        <w:t>Zadoja</w:t>
      </w:r>
      <w:proofErr w:type="spellEnd"/>
      <w:r w:rsidRPr="005F0419">
        <w:rPr>
          <w:rFonts w:ascii="Times New Roman" w:hAnsi="Times New Roman" w:cs="Times New Roman"/>
          <w:sz w:val="28"/>
          <w:szCs w:val="28"/>
          <w:shd w:val="clear" w:color="auto" w:fill="FFFFFF"/>
          <w:lang w:val="uk-UA"/>
        </w:rPr>
        <w:t xml:space="preserve"> V., </w:t>
      </w:r>
      <w:proofErr w:type="spellStart"/>
      <w:r w:rsidRPr="005F0419">
        <w:rPr>
          <w:rFonts w:ascii="Times New Roman" w:hAnsi="Times New Roman" w:cs="Times New Roman"/>
          <w:sz w:val="28"/>
          <w:szCs w:val="28"/>
          <w:shd w:val="clear" w:color="auto" w:fill="FFFFFF"/>
          <w:lang w:val="uk-UA"/>
        </w:rPr>
        <w:t>Tsviliy</w:t>
      </w:r>
      <w:proofErr w:type="spellEnd"/>
      <w:r w:rsidRPr="005F0419">
        <w:rPr>
          <w:rFonts w:ascii="Times New Roman" w:hAnsi="Times New Roman" w:cs="Times New Roman"/>
          <w:sz w:val="28"/>
          <w:szCs w:val="28"/>
          <w:shd w:val="clear" w:color="auto" w:fill="FFFFFF"/>
          <w:lang w:val="uk-UA"/>
        </w:rPr>
        <w:t xml:space="preserve"> S. </w:t>
      </w:r>
      <w:proofErr w:type="spellStart"/>
      <w:r w:rsidRPr="005F0419">
        <w:rPr>
          <w:rFonts w:ascii="Times New Roman" w:hAnsi="Times New Roman" w:cs="Times New Roman"/>
          <w:sz w:val="28"/>
          <w:szCs w:val="28"/>
          <w:shd w:val="clear" w:color="auto" w:fill="FFFFFF"/>
          <w:lang w:val="uk-UA"/>
        </w:rPr>
        <w:t>Improvement</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of</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the</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tourism</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industry</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management</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due</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to</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introduction</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of</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new</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trends</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and</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types</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of</w:t>
      </w:r>
      <w:proofErr w:type="spellEnd"/>
      <w:r w:rsidRPr="005F0419">
        <w:rPr>
          <w:rFonts w:ascii="Times New Roman" w:hAnsi="Times New Roman" w:cs="Times New Roman"/>
          <w:sz w:val="28"/>
          <w:szCs w:val="28"/>
          <w:shd w:val="clear" w:color="auto" w:fill="FFFFFF"/>
          <w:lang w:val="uk-UA"/>
        </w:rPr>
        <w:t xml:space="preserve"> </w:t>
      </w:r>
      <w:proofErr w:type="spellStart"/>
      <w:r w:rsidRPr="005F0419">
        <w:rPr>
          <w:rFonts w:ascii="Times New Roman" w:hAnsi="Times New Roman" w:cs="Times New Roman"/>
          <w:sz w:val="28"/>
          <w:szCs w:val="28"/>
          <w:shd w:val="clear" w:color="auto" w:fill="FFFFFF"/>
          <w:lang w:val="uk-UA"/>
        </w:rPr>
        <w:t>tourism</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Philosophy</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economics</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and</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low</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review</w:t>
      </w:r>
      <w:proofErr w:type="spellEnd"/>
      <w:r w:rsidRPr="005F0419">
        <w:rPr>
          <w:rFonts w:ascii="Times New Roman" w:hAnsi="Times New Roman" w:cs="Times New Roman"/>
          <w:sz w:val="28"/>
          <w:szCs w:val="28"/>
          <w:lang w:val="uk-UA"/>
        </w:rPr>
        <w:t xml:space="preserve"> : </w:t>
      </w:r>
      <w:proofErr w:type="spellStart"/>
      <w:r w:rsidRPr="005F0419">
        <w:rPr>
          <w:rFonts w:ascii="Times New Roman" w:hAnsi="Times New Roman" w:cs="Times New Roman"/>
          <w:sz w:val="28"/>
          <w:szCs w:val="28"/>
          <w:lang w:val="uk-UA"/>
        </w:rPr>
        <w:t>Scientific</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Journal</w:t>
      </w:r>
      <w:proofErr w:type="spellEnd"/>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Dnipro</w:t>
      </w:r>
      <w:proofErr w:type="spellEnd"/>
      <w:r w:rsidRPr="005F0419">
        <w:rPr>
          <w:rFonts w:ascii="Times New Roman" w:hAnsi="Times New Roman" w:cs="Times New Roman"/>
          <w:sz w:val="28"/>
          <w:szCs w:val="28"/>
          <w:lang w:val="uk-UA"/>
        </w:rPr>
        <w:t xml:space="preserve"> : DSUIA, 2022. </w:t>
      </w:r>
      <w:proofErr w:type="spellStart"/>
      <w:r w:rsidRPr="005F0419">
        <w:rPr>
          <w:rFonts w:ascii="Times New Roman" w:hAnsi="Times New Roman" w:cs="Times New Roman"/>
          <w:sz w:val="28"/>
          <w:szCs w:val="28"/>
          <w:lang w:val="uk-UA"/>
        </w:rPr>
        <w:t>Volume</w:t>
      </w:r>
      <w:proofErr w:type="spellEnd"/>
      <w:r w:rsidRPr="005F0419">
        <w:rPr>
          <w:rFonts w:ascii="Times New Roman" w:hAnsi="Times New Roman" w:cs="Times New Roman"/>
          <w:sz w:val="28"/>
          <w:szCs w:val="28"/>
          <w:lang w:val="uk-UA"/>
        </w:rPr>
        <w:t xml:space="preserve"> 2, </w:t>
      </w:r>
      <w:proofErr w:type="spellStart"/>
      <w:r w:rsidRPr="005F0419">
        <w:rPr>
          <w:rFonts w:ascii="Times New Roman" w:hAnsi="Times New Roman" w:cs="Times New Roman"/>
          <w:sz w:val="28"/>
          <w:szCs w:val="28"/>
          <w:lang w:val="uk-UA"/>
        </w:rPr>
        <w:t>no</w:t>
      </w:r>
      <w:proofErr w:type="spellEnd"/>
      <w:r w:rsidRPr="005F0419">
        <w:rPr>
          <w:rFonts w:ascii="Times New Roman" w:hAnsi="Times New Roman" w:cs="Times New Roman"/>
          <w:sz w:val="28"/>
          <w:szCs w:val="28"/>
          <w:lang w:val="uk-UA"/>
        </w:rPr>
        <w:t xml:space="preserve">. 1. </w:t>
      </w:r>
      <w:proofErr w:type="spellStart"/>
      <w:r w:rsidRPr="005F0419">
        <w:rPr>
          <w:rFonts w:ascii="Times New Roman" w:hAnsi="Times New Roman" w:cs="Times New Roman"/>
          <w:sz w:val="28"/>
          <w:szCs w:val="28"/>
          <w:lang w:val="uk-UA"/>
        </w:rPr>
        <w:t>Pp</w:t>
      </w:r>
      <w:proofErr w:type="spellEnd"/>
      <w:r w:rsidRPr="005F0419">
        <w:rPr>
          <w:rFonts w:ascii="Times New Roman" w:hAnsi="Times New Roman" w:cs="Times New Roman"/>
          <w:sz w:val="28"/>
          <w:szCs w:val="28"/>
          <w:lang w:val="uk-UA"/>
        </w:rPr>
        <w:t>. 108–117.</w:t>
      </w:r>
    </w:p>
    <w:p w14:paraId="74585D71" w14:textId="66246ECD" w:rsidR="00662012" w:rsidRPr="005F0419" w:rsidRDefault="00662012" w:rsidP="00662012">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60. </w:t>
      </w:r>
      <w:proofErr w:type="spellStart"/>
      <w:r w:rsidRPr="005F0419">
        <w:rPr>
          <w:rFonts w:ascii="Times New Roman" w:hAnsi="Times New Roman" w:cs="Times New Roman"/>
          <w:sz w:val="28"/>
          <w:szCs w:val="28"/>
          <w:shd w:val="clear" w:color="auto" w:fill="FFFFFF"/>
          <w:lang w:val="uk-UA"/>
        </w:rPr>
        <w:t>Кукліна</w:t>
      </w:r>
      <w:proofErr w:type="spellEnd"/>
      <w:r w:rsidRPr="005F0419">
        <w:rPr>
          <w:rFonts w:ascii="Times New Roman" w:hAnsi="Times New Roman" w:cs="Times New Roman"/>
          <w:sz w:val="28"/>
          <w:szCs w:val="28"/>
          <w:shd w:val="clear" w:color="auto" w:fill="FFFFFF"/>
          <w:lang w:val="uk-UA"/>
        </w:rPr>
        <w:t xml:space="preserve"> Т.С., </w:t>
      </w:r>
      <w:r w:rsidRPr="005F0419">
        <w:rPr>
          <w:rFonts w:ascii="Times New Roman" w:hAnsi="Times New Roman" w:cs="Times New Roman"/>
          <w:sz w:val="28"/>
          <w:szCs w:val="28"/>
          <w:lang w:val="uk-UA"/>
        </w:rPr>
        <w:t xml:space="preserve">Цвілий С.М., Журавльова С.М. Загальні тенденції розвитку світового туризму: від </w:t>
      </w:r>
      <w:proofErr w:type="spellStart"/>
      <w:r w:rsidRPr="005F0419">
        <w:rPr>
          <w:rFonts w:ascii="Times New Roman" w:hAnsi="Times New Roman" w:cs="Times New Roman"/>
          <w:sz w:val="28"/>
          <w:szCs w:val="28"/>
          <w:lang w:val="uk-UA"/>
        </w:rPr>
        <w:t>коронавірусу</w:t>
      </w:r>
      <w:proofErr w:type="spellEnd"/>
      <w:r w:rsidRPr="005F0419">
        <w:rPr>
          <w:rFonts w:ascii="Times New Roman" w:hAnsi="Times New Roman" w:cs="Times New Roman"/>
          <w:sz w:val="28"/>
          <w:szCs w:val="28"/>
          <w:lang w:val="uk-UA"/>
        </w:rPr>
        <w:t xml:space="preserve"> до військової агресії. Підприємництво та інновації. Науковий журнал. Київ : ПВНЗ «Міжнародний університет фінансів»</w:t>
      </w:r>
      <w:r w:rsidR="00022351" w:rsidRPr="005F0419">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Одеса : ВД «</w:t>
      </w:r>
      <w:proofErr w:type="spellStart"/>
      <w:r w:rsidRPr="005F0419">
        <w:rPr>
          <w:rFonts w:ascii="Times New Roman" w:hAnsi="Times New Roman" w:cs="Times New Roman"/>
          <w:sz w:val="28"/>
          <w:szCs w:val="28"/>
          <w:lang w:val="uk-UA"/>
        </w:rPr>
        <w:t>Гельветика</w:t>
      </w:r>
      <w:proofErr w:type="spellEnd"/>
      <w:r w:rsidRPr="005F0419">
        <w:rPr>
          <w:rFonts w:ascii="Times New Roman" w:hAnsi="Times New Roman" w:cs="Times New Roman"/>
          <w:sz w:val="28"/>
          <w:szCs w:val="28"/>
          <w:lang w:val="uk-UA"/>
        </w:rPr>
        <w:t xml:space="preserve">», 2022. </w:t>
      </w:r>
      <w:proofErr w:type="spellStart"/>
      <w:r w:rsidRPr="005F0419">
        <w:rPr>
          <w:rFonts w:ascii="Times New Roman" w:hAnsi="Times New Roman" w:cs="Times New Roman"/>
          <w:sz w:val="28"/>
          <w:szCs w:val="28"/>
          <w:lang w:val="uk-UA"/>
        </w:rPr>
        <w:t>Вип</w:t>
      </w:r>
      <w:proofErr w:type="spellEnd"/>
      <w:r w:rsidRPr="005F0419">
        <w:rPr>
          <w:rFonts w:ascii="Times New Roman" w:hAnsi="Times New Roman" w:cs="Times New Roman"/>
          <w:sz w:val="28"/>
          <w:szCs w:val="28"/>
          <w:lang w:val="uk-UA"/>
        </w:rPr>
        <w:t>. 23. С. 12–15.</w:t>
      </w:r>
    </w:p>
    <w:p w14:paraId="7C8A374F" w14:textId="08CDAA89" w:rsidR="00662012" w:rsidRPr="005F0419" w:rsidRDefault="00662012" w:rsidP="00662012">
      <w:pPr>
        <w:spacing w:after="0" w:line="360" w:lineRule="auto"/>
        <w:ind w:firstLine="720"/>
        <w:jc w:val="both"/>
        <w:rPr>
          <w:rFonts w:ascii="Times New Roman" w:hAnsi="Times New Roman" w:cs="Times New Roman"/>
          <w:sz w:val="28"/>
          <w:szCs w:val="28"/>
          <w:lang w:val="uk-UA"/>
        </w:rPr>
      </w:pPr>
    </w:p>
    <w:p w14:paraId="5513F7D9" w14:textId="16B7EC58" w:rsidR="00C736CF" w:rsidRPr="005F0419" w:rsidRDefault="00C736CF" w:rsidP="00662012">
      <w:pPr>
        <w:spacing w:after="0" w:line="360" w:lineRule="auto"/>
        <w:ind w:firstLine="720"/>
        <w:jc w:val="both"/>
        <w:rPr>
          <w:rFonts w:ascii="Times New Roman" w:hAnsi="Times New Roman" w:cs="Times New Roman"/>
          <w:i/>
          <w:iCs/>
          <w:sz w:val="28"/>
          <w:szCs w:val="28"/>
          <w:lang w:val="uk-UA"/>
        </w:rPr>
      </w:pPr>
      <w:r w:rsidRPr="005F0419">
        <w:rPr>
          <w:rFonts w:ascii="Times New Roman" w:hAnsi="Times New Roman" w:cs="Times New Roman"/>
          <w:b/>
          <w:bCs/>
          <w:i/>
          <w:iCs/>
          <w:sz w:val="28"/>
          <w:szCs w:val="28"/>
          <w:lang w:val="uk-UA"/>
        </w:rPr>
        <w:t>Ключові слова:</w:t>
      </w:r>
      <w:r w:rsidRPr="005F0419">
        <w:rPr>
          <w:rFonts w:ascii="Times New Roman" w:hAnsi="Times New Roman" w:cs="Times New Roman"/>
          <w:i/>
          <w:iCs/>
          <w:sz w:val="28"/>
          <w:szCs w:val="28"/>
          <w:lang w:val="uk-UA"/>
        </w:rPr>
        <w:t xml:space="preserve"> індустрія туризму, геоекономічний простір, стратегія, криза, відновлення, потенціал, міжнародне співробітництво, туристичний ринок.</w:t>
      </w:r>
    </w:p>
    <w:p w14:paraId="1094AEBC" w14:textId="77777777" w:rsidR="00C736CF" w:rsidRPr="005F0419" w:rsidRDefault="00C736CF" w:rsidP="00662012">
      <w:pPr>
        <w:spacing w:after="0" w:line="360" w:lineRule="auto"/>
        <w:ind w:firstLine="720"/>
        <w:jc w:val="both"/>
        <w:rPr>
          <w:rFonts w:ascii="Times New Roman" w:hAnsi="Times New Roman" w:cs="Times New Roman"/>
          <w:sz w:val="28"/>
          <w:szCs w:val="28"/>
          <w:lang w:val="uk-UA"/>
        </w:rPr>
      </w:pPr>
    </w:p>
    <w:p w14:paraId="36056A59" w14:textId="77777777" w:rsidR="00C736CF" w:rsidRPr="005F0419" w:rsidRDefault="00C736CF" w:rsidP="00C14BDE">
      <w:pPr>
        <w:pStyle w:val="1"/>
        <w:numPr>
          <w:ilvl w:val="0"/>
          <w:numId w:val="0"/>
        </w:numPr>
        <w:spacing w:before="0" w:beforeAutospacing="0" w:after="0" w:afterAutospacing="0" w:line="360" w:lineRule="auto"/>
        <w:rPr>
          <w:sz w:val="28"/>
          <w:szCs w:val="28"/>
          <w:lang w:val="uk-UA"/>
        </w:rPr>
      </w:pPr>
      <w:bookmarkStart w:id="30" w:name="_Toc152783787"/>
      <w:bookmarkStart w:id="31" w:name="_Hlk156036913"/>
      <w:bookmarkStart w:id="32" w:name="_Hlk160025265"/>
    </w:p>
    <w:p w14:paraId="7924EDAC" w14:textId="77777777" w:rsidR="00022351" w:rsidRPr="005F0419" w:rsidRDefault="00022351" w:rsidP="007466A8">
      <w:pPr>
        <w:pStyle w:val="Default"/>
        <w:pageBreakBefore/>
        <w:widowControl w:val="0"/>
        <w:spacing w:line="360" w:lineRule="auto"/>
        <w:ind w:firstLine="720"/>
        <w:jc w:val="center"/>
        <w:rPr>
          <w:b/>
          <w:bCs/>
          <w:caps/>
          <w:color w:val="auto"/>
          <w:sz w:val="28"/>
          <w:szCs w:val="28"/>
          <w:lang w:val="uk-UA"/>
        </w:rPr>
      </w:pPr>
      <w:r w:rsidRPr="005F0419">
        <w:rPr>
          <w:b/>
          <w:bCs/>
          <w:color w:val="auto"/>
          <w:sz w:val="28"/>
          <w:szCs w:val="28"/>
          <w:lang w:val="uk-UA"/>
        </w:rPr>
        <w:lastRenderedPageBreak/>
        <w:t xml:space="preserve">Розділ 3. </w:t>
      </w:r>
      <w:r w:rsidRPr="005F0419">
        <w:rPr>
          <w:b/>
          <w:bCs/>
          <w:caps/>
          <w:color w:val="auto"/>
          <w:sz w:val="28"/>
          <w:szCs w:val="28"/>
          <w:lang w:val="uk-UA"/>
        </w:rPr>
        <w:t>Цифрові рішення в реалізації управління зеленими інноваціями</w:t>
      </w:r>
    </w:p>
    <w:p w14:paraId="6CC65E33" w14:textId="77777777" w:rsidR="00022351" w:rsidRPr="005F0419" w:rsidRDefault="00022351" w:rsidP="00C736CF">
      <w:pPr>
        <w:pStyle w:val="1"/>
        <w:numPr>
          <w:ilvl w:val="0"/>
          <w:numId w:val="0"/>
        </w:numPr>
        <w:spacing w:before="0" w:beforeAutospacing="0" w:after="0" w:afterAutospacing="0" w:line="360" w:lineRule="auto"/>
        <w:jc w:val="center"/>
        <w:rPr>
          <w:sz w:val="28"/>
          <w:szCs w:val="28"/>
          <w:lang w:val="uk-UA"/>
        </w:rPr>
      </w:pPr>
    </w:p>
    <w:p w14:paraId="7A830F2A" w14:textId="77777777" w:rsidR="00022351" w:rsidRPr="005F0419" w:rsidRDefault="00022351" w:rsidP="00C736CF">
      <w:pPr>
        <w:pStyle w:val="1"/>
        <w:numPr>
          <w:ilvl w:val="0"/>
          <w:numId w:val="0"/>
        </w:numPr>
        <w:spacing w:before="0" w:beforeAutospacing="0" w:after="0" w:afterAutospacing="0" w:line="360" w:lineRule="auto"/>
        <w:jc w:val="center"/>
        <w:rPr>
          <w:sz w:val="28"/>
          <w:szCs w:val="28"/>
          <w:lang w:val="uk-UA"/>
        </w:rPr>
      </w:pPr>
    </w:p>
    <w:p w14:paraId="3B1E6099" w14:textId="5E4CDF69" w:rsidR="00C14BDE" w:rsidRPr="005F0419" w:rsidRDefault="00C14BDE" w:rsidP="00C736CF">
      <w:pPr>
        <w:pStyle w:val="1"/>
        <w:numPr>
          <w:ilvl w:val="0"/>
          <w:numId w:val="0"/>
        </w:numPr>
        <w:spacing w:before="0" w:beforeAutospacing="0" w:after="0" w:afterAutospacing="0" w:line="360" w:lineRule="auto"/>
        <w:jc w:val="center"/>
        <w:rPr>
          <w:sz w:val="28"/>
          <w:szCs w:val="28"/>
          <w:lang w:val="uk-UA"/>
        </w:rPr>
      </w:pPr>
      <w:r w:rsidRPr="005F0419">
        <w:rPr>
          <w:sz w:val="28"/>
          <w:szCs w:val="28"/>
          <w:lang w:val="uk-UA"/>
        </w:rPr>
        <w:t>ПРОГРАМНА СИСТЕМА ВИЗНАЧЕННЯ НАЙБІЛЬШ ОПТИМАЛЬНОГО ВІДНОВЛЮВАНОГО ДЖЕРЕЛА ЕНЕРГІЇ ДЛЯ ЗАДАНОЇ ТЕРИТОРІЇ</w:t>
      </w:r>
      <w:bookmarkEnd w:id="30"/>
    </w:p>
    <w:p w14:paraId="4623B3E2" w14:textId="62B8BECA" w:rsidR="00022351" w:rsidRPr="005F0419" w:rsidRDefault="00022351" w:rsidP="00C736CF">
      <w:pPr>
        <w:pStyle w:val="1"/>
        <w:numPr>
          <w:ilvl w:val="0"/>
          <w:numId w:val="0"/>
        </w:numPr>
        <w:spacing w:before="0" w:beforeAutospacing="0" w:after="0" w:afterAutospacing="0" w:line="360" w:lineRule="auto"/>
        <w:jc w:val="center"/>
        <w:rPr>
          <w:sz w:val="28"/>
          <w:szCs w:val="28"/>
          <w:lang w:val="uk-UA"/>
        </w:rPr>
      </w:pPr>
    </w:p>
    <w:p w14:paraId="647C357B" w14:textId="0C1C9152" w:rsidR="00022351" w:rsidRPr="005F0419" w:rsidRDefault="00022351" w:rsidP="00C736CF">
      <w:pPr>
        <w:pStyle w:val="1"/>
        <w:numPr>
          <w:ilvl w:val="0"/>
          <w:numId w:val="0"/>
        </w:numPr>
        <w:spacing w:before="0" w:beforeAutospacing="0" w:after="0" w:afterAutospacing="0" w:line="360" w:lineRule="auto"/>
        <w:jc w:val="center"/>
        <w:rPr>
          <w:sz w:val="28"/>
          <w:szCs w:val="28"/>
          <w:lang w:val="uk-UA"/>
        </w:rPr>
      </w:pPr>
      <w:proofErr w:type="spellStart"/>
      <w:r w:rsidRPr="005F0419">
        <w:rPr>
          <w:i/>
          <w:iCs/>
          <w:sz w:val="28"/>
          <w:szCs w:val="28"/>
          <w:lang w:val="uk-UA"/>
        </w:rPr>
        <w:t>Сегеда</w:t>
      </w:r>
      <w:proofErr w:type="spellEnd"/>
      <w:r w:rsidRPr="005F0419">
        <w:rPr>
          <w:i/>
          <w:iCs/>
          <w:sz w:val="28"/>
          <w:szCs w:val="28"/>
          <w:lang w:val="uk-UA"/>
        </w:rPr>
        <w:t xml:space="preserve"> Ірина Василівна</w:t>
      </w:r>
    </w:p>
    <w:bookmarkEnd w:id="31"/>
    <w:bookmarkEnd w:id="32"/>
    <w:p w14:paraId="7654D191" w14:textId="77777777" w:rsidR="00C14BDE" w:rsidRPr="005F0419" w:rsidRDefault="00C14BDE" w:rsidP="00C14BDE">
      <w:pPr>
        <w:spacing w:after="0" w:line="360" w:lineRule="auto"/>
        <w:ind w:firstLine="720"/>
        <w:rPr>
          <w:rFonts w:ascii="Times New Roman" w:hAnsi="Times New Roman" w:cs="Times New Roman"/>
          <w:sz w:val="28"/>
          <w:szCs w:val="28"/>
          <w:lang w:val="uk-UA"/>
        </w:rPr>
      </w:pPr>
    </w:p>
    <w:p w14:paraId="2EF88D94"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Енергетична безпека – це пріоритет для України під час та після завершення війни, яку розв’язала </w:t>
      </w:r>
      <w:proofErr w:type="spellStart"/>
      <w:r w:rsidRPr="005F0419">
        <w:rPr>
          <w:rFonts w:ascii="Times New Roman" w:hAnsi="Times New Roman" w:cs="Times New Roman"/>
          <w:sz w:val="28"/>
          <w:szCs w:val="28"/>
          <w:lang w:val="uk-UA"/>
        </w:rPr>
        <w:t>росія</w:t>
      </w:r>
      <w:proofErr w:type="spellEnd"/>
      <w:r w:rsidRPr="005F0419">
        <w:rPr>
          <w:rFonts w:ascii="Times New Roman" w:hAnsi="Times New Roman" w:cs="Times New Roman"/>
          <w:sz w:val="28"/>
          <w:szCs w:val="28"/>
          <w:lang w:val="uk-UA"/>
        </w:rPr>
        <w:t xml:space="preserve">. Адже ця війна – це, в тому числі, масовані атаки на енергетичну інфраструктуру, атомний тероризм і пошкодження понад половини всієї енергосистеми держави. Один із ключових способів гарантувати Україні безпеку  –  розвивати відновлювані джерела енергії [1].  </w:t>
      </w:r>
    </w:p>
    <w:p w14:paraId="105C41CF"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Задача визначення відновлюваного джерела енергії для забезпечення заданої території є дуже комплексною та має складні аспекти, що вимагають індивідуального аналізу та оцінки для кожного конкретного випадку. Підходи до вирішення цієї задачі мають бути відповідно адаптовані під умови, що характеризують конкретну територію, ураховуючи різноманітні аспекти, такі як локальний клімат, рельєф, доступні ресурси тощо [2].  </w:t>
      </w:r>
    </w:p>
    <w:p w14:paraId="3E5549E9"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Метою роботи</w:t>
      </w:r>
      <w:r w:rsidRPr="005F0419">
        <w:rPr>
          <w:rFonts w:ascii="Times New Roman" w:hAnsi="Times New Roman" w:cs="Times New Roman"/>
          <w:b/>
          <w:sz w:val="28"/>
          <w:szCs w:val="28"/>
          <w:lang w:val="uk-UA"/>
        </w:rPr>
        <w:t xml:space="preserve"> </w:t>
      </w:r>
      <w:r w:rsidRPr="005F0419">
        <w:rPr>
          <w:rFonts w:ascii="Times New Roman" w:hAnsi="Times New Roman" w:cs="Times New Roman"/>
          <w:sz w:val="28"/>
          <w:szCs w:val="28"/>
          <w:lang w:val="uk-UA"/>
        </w:rPr>
        <w:t>є створення програмної системи для визначення найбільш оптимальних відновлюваних джерел енергії (ВДЕ) для певної території, що враховує невизначеність у виборі ВДЕ.</w:t>
      </w:r>
    </w:p>
    <w:p w14:paraId="690153D2"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Основні завдання дослідження:</w:t>
      </w:r>
    </w:p>
    <w:p w14:paraId="72F999DE" w14:textId="77777777" w:rsidR="00C14BDE" w:rsidRPr="005F0419" w:rsidRDefault="00C14BDE" w:rsidP="006D1666">
      <w:pPr>
        <w:numPr>
          <w:ilvl w:val="0"/>
          <w:numId w:val="11"/>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провести аналіз методів і алгоритмів вирішення задач в умовах невизначеності; </w:t>
      </w:r>
    </w:p>
    <w:p w14:paraId="6C90E024" w14:textId="77777777" w:rsidR="00C14BDE" w:rsidRPr="005F0419" w:rsidRDefault="00C14BDE" w:rsidP="006D1666">
      <w:pPr>
        <w:numPr>
          <w:ilvl w:val="0"/>
          <w:numId w:val="11"/>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звести задачу до багатокритеріальної задачі вибору відновлюваних джерел енергії;</w:t>
      </w:r>
    </w:p>
    <w:p w14:paraId="0CF3C715" w14:textId="77777777" w:rsidR="00C14BDE" w:rsidRPr="005F0419" w:rsidRDefault="00C14BDE" w:rsidP="006D1666">
      <w:pPr>
        <w:numPr>
          <w:ilvl w:val="0"/>
          <w:numId w:val="11"/>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реалізувати алгоритми для визначення відновлюваного джерела енергії; </w:t>
      </w:r>
    </w:p>
    <w:p w14:paraId="7F2929CC" w14:textId="77777777" w:rsidR="00C14BDE" w:rsidRPr="005F0419" w:rsidRDefault="00C14BDE" w:rsidP="006D1666">
      <w:pPr>
        <w:numPr>
          <w:ilvl w:val="0"/>
          <w:numId w:val="11"/>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розробити легку в розгортанні і масштабуванні систему.</w:t>
      </w:r>
    </w:p>
    <w:p w14:paraId="693567A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будь-якій роботі важливою є розробка алгоритмів і добре продуманий покроковий процес реалізації. Процес побудови системи для визначення відновлюваного джерела енергії для заданої території складається з трьох основних етапів. Це реалізація алгоритму Монте-Карло для врахування умов невизначеності, зведення рішення до задачі багатокритеріального вибору та рішення цієї задачі. </w:t>
      </w:r>
    </w:p>
    <w:p w14:paraId="40D644EA"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визначення найбільш оптимального типу ВДЕ для заданої території застосовують різні методи імітаційного моделювання, у тому числі і метод Монте-Карло. Цей метод особливо корисний, коли існує багато змінних, які впливають на результат, і коли ймовірності цих змінних є невизначеними. Для вибору оптимального джерела енергії можна змоделювати різні сценарії за допомогою методу Монте-Карло та оцінити їх наслідки. Імітаційне моделювання методом Монте-Карло дозволяє спроектувати математичну модель для проекту з невизначеними значеннями параметрів [3]. Враховуючи імовірнісне розподілення параметрів проекту, а також кореляцію параметрів можна отримати розподіл ВДЕ для території. Оцінка ефективності різних джерел відновлюваної енергії може бути складною через безліч змінних, таких як місце розташування, кліматичні умови, економічні фактори та інші. Метод Монте-Карло створює додаткову можливість щодо оцінки ризику з допомогою того, що уможливлює створення випадкових сценаріїв.</w:t>
      </w:r>
    </w:p>
    <w:p w14:paraId="771E9747"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Метод Монте-Карло використовує різні розподіли ймовірностей для обчислення невизначених факторів. Імовірнісні розподіли відповідають різним припущенням. Таким чином, різна природа даних має різну ймовірність щодо різних сум. Нижче наведено поширені типи розподілу ймовірностей, які можна змоделювати методом Монте-Карло.</w:t>
      </w:r>
    </w:p>
    <w:p w14:paraId="6B9E6990" w14:textId="77777777" w:rsidR="00C14BDE" w:rsidRPr="005F0419" w:rsidRDefault="00C14BDE" w:rsidP="00C713B7">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Нормальний розподіл, також відомий як дзвонова крива, має симетричну форму дзвона і представляє більшість реальних подій. Імовірність випадкового </w:t>
      </w:r>
      <w:r w:rsidRPr="005F0419">
        <w:rPr>
          <w:rFonts w:ascii="Times New Roman" w:hAnsi="Times New Roman" w:cs="Times New Roman"/>
          <w:sz w:val="28"/>
          <w:szCs w:val="28"/>
          <w:lang w:val="uk-UA"/>
        </w:rPr>
        <w:lastRenderedPageBreak/>
        <w:t xml:space="preserve">значення висока на медіані і значно зменшується у напрямку до обох кінців </w:t>
      </w:r>
      <w:proofErr w:type="spellStart"/>
      <w:r w:rsidRPr="005F0419">
        <w:rPr>
          <w:rFonts w:ascii="Times New Roman" w:hAnsi="Times New Roman" w:cs="Times New Roman"/>
          <w:sz w:val="28"/>
          <w:szCs w:val="28"/>
          <w:lang w:val="uk-UA"/>
        </w:rPr>
        <w:t>дзвоноподібної</w:t>
      </w:r>
      <w:proofErr w:type="spellEnd"/>
      <w:r w:rsidRPr="005F0419">
        <w:rPr>
          <w:rFonts w:ascii="Times New Roman" w:hAnsi="Times New Roman" w:cs="Times New Roman"/>
          <w:sz w:val="28"/>
          <w:szCs w:val="28"/>
          <w:lang w:val="uk-UA"/>
        </w:rPr>
        <w:t xml:space="preserve"> кривої. Одна з основних особливостей цього закону полягає в тому, що він є граничним, до якого наближаються інші закони розподілу. У теорії надійності цей закон використовується для опису поступових відмов, коли розподіл часу безвідмовної роботи спочатку має низьку щільність, потім досягає максимального значення і далі знижується. Нормальний закон розподілу застосовується тоді, коли на зміну випадковій величині впливають багато приблизно рівнозначних чинників. Цей закон описується функцією щільності ймовірності [4]:</w:t>
      </w:r>
    </w:p>
    <w:p w14:paraId="3744B35F" w14:textId="77777777" w:rsidR="00C14BDE" w:rsidRPr="005F0419" w:rsidRDefault="00C14BDE" w:rsidP="00C14BDE">
      <w:pPr>
        <w:pStyle w:val="a4"/>
        <w:spacing w:after="0" w:line="360" w:lineRule="auto"/>
        <w:ind w:left="0" w:firstLine="720"/>
        <w:jc w:val="center"/>
        <w:rPr>
          <w:rFonts w:ascii="Times New Roman" w:hAnsi="Times New Roman" w:cs="Times New Roman"/>
          <w:sz w:val="28"/>
          <w:szCs w:val="28"/>
          <w:lang w:val="uk-UA"/>
        </w:rPr>
      </w:pPr>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α,μ, σ</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σ</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2π</m:t>
                </m:r>
              </m:e>
            </m:rad>
          </m:den>
        </m:f>
        <m:r>
          <m:rPr>
            <m:sty m:val="p"/>
          </m:rPr>
          <w:rPr>
            <w:rFonts w:ascii="Cambria Math" w:hAnsi="Cambria Math" w:cs="Times New Roman"/>
            <w:sz w:val="28"/>
            <w:szCs w:val="28"/>
            <w:lang w:val="uk-UA"/>
          </w:rPr>
          <m:t>exp⁡</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(α-μ)</m:t>
                </m:r>
              </m:e>
              <m:sup>
                <m:r>
                  <w:rPr>
                    <w:rFonts w:ascii="Cambria Math" w:hAnsi="Cambria Math" w:cs="Times New Roman"/>
                    <w:sz w:val="28"/>
                    <w:szCs w:val="28"/>
                    <w:lang w:val="uk-UA"/>
                  </w:rPr>
                  <m:t>2</m:t>
                </m:r>
              </m:sup>
            </m:sSup>
          </m:num>
          <m:den>
            <m:r>
              <w:rPr>
                <w:rFonts w:ascii="Cambria Math" w:hAnsi="Cambria Math" w:cs="Times New Roman"/>
                <w:sz w:val="28"/>
                <w:szCs w:val="28"/>
                <w:lang w:val="uk-UA"/>
              </w:rPr>
              <m:t>2</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 xml:space="preserve"> σ</m:t>
                </m:r>
              </m:e>
              <m:sup>
                <m:r>
                  <w:rPr>
                    <w:rFonts w:ascii="Cambria Math" w:hAnsi="Cambria Math" w:cs="Times New Roman"/>
                    <w:sz w:val="28"/>
                    <w:szCs w:val="28"/>
                    <w:lang w:val="uk-UA"/>
                  </w:rPr>
                  <m:t>2</m:t>
                </m:r>
              </m:sup>
            </m:sSup>
          </m:den>
        </m:f>
        <m:r>
          <w:rPr>
            <w:rFonts w:ascii="Cambria Math" w:hAnsi="Cambria Math" w:cs="Times New Roman"/>
            <w:sz w:val="28"/>
            <w:szCs w:val="28"/>
            <w:lang w:val="uk-UA"/>
          </w:rPr>
          <m:t>)</m:t>
        </m:r>
      </m:oMath>
      <w:r w:rsidRPr="005F0419">
        <w:rPr>
          <w:rFonts w:ascii="Times New Roman" w:hAnsi="Times New Roman" w:cs="Times New Roman"/>
          <w:sz w:val="28"/>
          <w:szCs w:val="28"/>
          <w:lang w:val="uk-UA"/>
        </w:rPr>
        <w:t>,</w:t>
      </w:r>
    </w:p>
    <w:p w14:paraId="61A2194E" w14:textId="77777777" w:rsidR="00C14BDE" w:rsidRPr="005F0419" w:rsidRDefault="00C14BDE" w:rsidP="00C14BDE">
      <w:pPr>
        <w:pStyle w:val="a4"/>
        <w:spacing w:after="0" w:line="360" w:lineRule="auto"/>
        <w:ind w:left="0"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m:oMath>
        <m:r>
          <w:rPr>
            <w:rFonts w:ascii="Cambria Math" w:hAnsi="Cambria Math" w:cs="Times New Roman"/>
            <w:sz w:val="28"/>
            <w:szCs w:val="28"/>
            <w:lang w:val="uk-UA"/>
          </w:rPr>
          <m:t>μ</m:t>
        </m:r>
      </m:oMath>
      <w:r w:rsidRPr="005F0419">
        <w:rPr>
          <w:rFonts w:ascii="Times New Roman" w:hAnsi="Times New Roman" w:cs="Times New Roman"/>
          <w:sz w:val="28"/>
          <w:szCs w:val="28"/>
          <w:lang w:val="uk-UA"/>
        </w:rPr>
        <w:t xml:space="preserve"> – математичне сподівання,</w:t>
      </w:r>
    </w:p>
    <w:p w14:paraId="22B19E5A" w14:textId="77777777" w:rsidR="00C14BDE" w:rsidRPr="005F0419" w:rsidRDefault="007468C1" w:rsidP="00C14BDE">
      <w:pPr>
        <w:pStyle w:val="a4"/>
        <w:spacing w:after="0" w:line="360" w:lineRule="auto"/>
        <w:ind w:left="0" w:firstLine="720"/>
        <w:rPr>
          <w:rFonts w:ascii="Times New Roman" w:hAnsi="Times New Roman" w:cs="Times New Roman"/>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 xml:space="preserve"> σ</m:t>
            </m:r>
          </m:e>
          <m:sup>
            <m:r>
              <w:rPr>
                <w:rFonts w:ascii="Cambria Math" w:hAnsi="Cambria Math" w:cs="Times New Roman"/>
                <w:sz w:val="28"/>
                <w:szCs w:val="28"/>
                <w:lang w:val="uk-UA"/>
              </w:rPr>
              <m:t>2</m:t>
            </m:r>
          </m:sup>
        </m:sSup>
      </m:oMath>
      <w:r w:rsidR="00C14BDE" w:rsidRPr="005F0419">
        <w:rPr>
          <w:rFonts w:ascii="Times New Roman" w:hAnsi="Times New Roman" w:cs="Times New Roman"/>
          <w:sz w:val="28"/>
          <w:szCs w:val="28"/>
          <w:lang w:val="uk-UA"/>
        </w:rPr>
        <w:t xml:space="preserve"> – дисперсія випадкової величини,</w:t>
      </w:r>
    </w:p>
    <w:p w14:paraId="1314B472" w14:textId="77777777" w:rsidR="00C14BDE" w:rsidRPr="005F0419" w:rsidRDefault="00C14BDE" w:rsidP="00C14BDE">
      <w:pPr>
        <w:pStyle w:val="a4"/>
        <w:spacing w:after="0" w:line="360" w:lineRule="auto"/>
        <w:ind w:left="0"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Параметр </w:t>
      </w:r>
      <m:oMath>
        <m:r>
          <w:rPr>
            <w:rFonts w:ascii="Cambria Math" w:hAnsi="Cambria Math" w:cs="Times New Roman"/>
            <w:sz w:val="28"/>
            <w:szCs w:val="28"/>
            <w:lang w:val="uk-UA"/>
          </w:rPr>
          <m:t>σ</m:t>
        </m:r>
      </m:oMath>
      <w:r w:rsidRPr="005F0419">
        <w:rPr>
          <w:rFonts w:ascii="Times New Roman" w:hAnsi="Times New Roman" w:cs="Times New Roman"/>
          <w:sz w:val="28"/>
          <w:szCs w:val="28"/>
          <w:lang w:val="uk-UA"/>
        </w:rPr>
        <w:t xml:space="preserve"> також відомий як стандартне відхилення. Розподіл </w:t>
      </w:r>
      <m:oMath>
        <m:r>
          <w:rPr>
            <w:rFonts w:ascii="Cambria Math" w:hAnsi="Cambria Math" w:cs="Times New Roman"/>
            <w:sz w:val="28"/>
            <w:szCs w:val="28"/>
            <w:lang w:val="uk-UA"/>
          </w:rPr>
          <m:t>μ</m:t>
        </m:r>
      </m:oMath>
      <w:r w:rsidRPr="005F0419">
        <w:rPr>
          <w:rFonts w:ascii="Times New Roman" w:hAnsi="Times New Roman" w:cs="Times New Roman"/>
          <w:sz w:val="28"/>
          <w:szCs w:val="28"/>
          <w:lang w:val="uk-UA"/>
        </w:rPr>
        <w:t xml:space="preserve"> = 0 а</w:t>
      </w:r>
    </w:p>
    <w:p w14:paraId="4B691819" w14:textId="77777777" w:rsidR="00C713B7" w:rsidRDefault="00C14BDE" w:rsidP="00C713B7">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 xml:space="preserve"> σ</m:t>
            </m:r>
          </m:e>
          <m:sup>
            <m:r>
              <w:rPr>
                <w:rFonts w:ascii="Cambria Math" w:hAnsi="Cambria Math" w:cs="Times New Roman"/>
                <w:sz w:val="28"/>
                <w:szCs w:val="28"/>
                <w:lang w:val="uk-UA"/>
              </w:rPr>
              <m:t>2</m:t>
            </m:r>
          </m:sup>
        </m:sSup>
      </m:oMath>
      <w:r w:rsidRPr="005F0419">
        <w:rPr>
          <w:rFonts w:ascii="Times New Roman" w:hAnsi="Times New Roman" w:cs="Times New Roman"/>
          <w:sz w:val="28"/>
          <w:szCs w:val="28"/>
          <w:lang w:val="uk-UA"/>
        </w:rPr>
        <w:t xml:space="preserve">=1 називають стандартним нормальним розподілом. </w:t>
      </w:r>
    </w:p>
    <w:p w14:paraId="1C5B3369" w14:textId="19CE574B" w:rsidR="00C14BDE" w:rsidRPr="005F0419" w:rsidRDefault="00C14BDE" w:rsidP="00C713B7">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Центральна гранична теорема стверджує, що нормальний розподіл виникає у випадку, коли випадкова величина є сумою великої кількості незалежних випадкових величин. Кожна з цих випадкових величин відіграє незначну роль у формуванні цієї загальної суми. На рисунку1 зображена крива яка відповідає нормальному розподілу.</w:t>
      </w:r>
    </w:p>
    <w:p w14:paraId="6DE27DB1" w14:textId="77777777" w:rsidR="00C14BDE" w:rsidRPr="005F0419" w:rsidRDefault="00C14BDE" w:rsidP="00C14BDE">
      <w:pPr>
        <w:pStyle w:val="a4"/>
        <w:spacing w:after="0" w:line="360" w:lineRule="auto"/>
        <w:ind w:left="0"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64809770" wp14:editId="343E9A13">
            <wp:extent cx="4429125" cy="2724150"/>
            <wp:effectExtent l="0" t="0" r="9525"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5">
                      <a:extLst>
                        <a:ext uri="{28A0092B-C50C-407E-A947-70E740481C1C}">
                          <a14:useLocalDpi xmlns:a14="http://schemas.microsoft.com/office/drawing/2010/main" val="0"/>
                        </a:ext>
                      </a:extLst>
                    </a:blip>
                    <a:srcRect/>
                    <a:stretch>
                      <a:fillRect/>
                    </a:stretch>
                  </pic:blipFill>
                  <pic:spPr bwMode="auto">
                    <a:xfrm>
                      <a:off x="0" y="0"/>
                      <a:ext cx="4429125" cy="2724150"/>
                    </a:xfrm>
                    <a:prstGeom prst="rect">
                      <a:avLst/>
                    </a:prstGeom>
                    <a:noFill/>
                    <a:ln>
                      <a:noFill/>
                    </a:ln>
                  </pic:spPr>
                </pic:pic>
              </a:graphicData>
            </a:graphic>
          </wp:inline>
        </w:drawing>
      </w:r>
    </w:p>
    <w:p w14:paraId="24FCE1F1" w14:textId="6C6C1C8B" w:rsidR="00C14BDE" w:rsidRPr="005F0419" w:rsidRDefault="00C14BDE" w:rsidP="00C14BDE">
      <w:pPr>
        <w:pStyle w:val="a4"/>
        <w:spacing w:after="0" w:line="360" w:lineRule="auto"/>
        <w:ind w:left="0"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sidR="00C713B7">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1</w:t>
      </w:r>
      <w:r w:rsidR="00C713B7">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Нормальний розподіл</w:t>
      </w:r>
    </w:p>
    <w:p w14:paraId="53ACF8C9" w14:textId="77777777" w:rsidR="00C713B7" w:rsidRPr="005F0419" w:rsidRDefault="00C713B7" w:rsidP="00C713B7">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Рівномірний розподіл у теорії ймовірностей є неперервним розподілом, де ймовірність будь-якого інтервалу залежить виключно від його довжини. Рівномірний розподіл означає статистичне уявлення випадкових величин з ймовірністю.  При побудові графіка рівномірно розподілені змінні відображаються у вигляді горизонтальної прямої, що проходить через діапазон допустимих значень. </w:t>
      </w:r>
    </w:p>
    <w:p w14:paraId="1474B119"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Говорять, що випадкова величина має рівномірний неперервний розподіл на інтервалі [</w:t>
      </w:r>
      <w:proofErr w:type="spellStart"/>
      <w:r w:rsidRPr="005F0419">
        <w:rPr>
          <w:rFonts w:ascii="Times New Roman" w:hAnsi="Times New Roman" w:cs="Times New Roman"/>
          <w:sz w:val="28"/>
          <w:szCs w:val="28"/>
          <w:lang w:val="uk-UA"/>
        </w:rPr>
        <w:t>a,b</w:t>
      </w:r>
      <w:proofErr w:type="spellEnd"/>
      <w:r w:rsidRPr="005F0419">
        <w:rPr>
          <w:rFonts w:ascii="Times New Roman" w:hAnsi="Times New Roman" w:cs="Times New Roman"/>
          <w:sz w:val="28"/>
          <w:szCs w:val="28"/>
          <w:lang w:val="uk-UA"/>
        </w:rPr>
        <w:t xml:space="preserve">], де </w:t>
      </w:r>
      <m:oMath>
        <m:r>
          <w:rPr>
            <w:rFonts w:ascii="Cambria Math" w:hAnsi="Cambria Math" w:cs="Times New Roman"/>
            <w:sz w:val="28"/>
            <w:szCs w:val="28"/>
            <w:lang w:val="uk-UA"/>
          </w:rPr>
          <m:t>a, b ∈ R</m:t>
        </m:r>
      </m:oMath>
      <w:r w:rsidRPr="005F0419">
        <w:rPr>
          <w:rFonts w:ascii="Times New Roman" w:hAnsi="Times New Roman" w:cs="Times New Roman"/>
          <w:sz w:val="28"/>
          <w:szCs w:val="28"/>
          <w:lang w:val="uk-UA"/>
        </w:rPr>
        <w:t xml:space="preserve">, якщо функція щільності </w:t>
      </w:r>
      <m:oMath>
        <m:r>
          <w:rPr>
            <w:rFonts w:ascii="Cambria Math" w:hAnsi="Cambria Math" w:cs="Times New Roman"/>
            <w:sz w:val="28"/>
            <w:szCs w:val="28"/>
            <w:lang w:val="uk-UA"/>
          </w:rPr>
          <m:t>f(x)</m:t>
        </m:r>
      </m:oMath>
      <w:r w:rsidRPr="005F0419">
        <w:rPr>
          <w:rFonts w:ascii="Times New Roman" w:hAnsi="Times New Roman" w:cs="Times New Roman"/>
          <w:sz w:val="28"/>
          <w:szCs w:val="28"/>
          <w:lang w:val="uk-UA"/>
        </w:rPr>
        <w:t xml:space="preserve"> має такий вигляд:</w:t>
      </w:r>
    </w:p>
    <w:p w14:paraId="5BBAB7B0"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m:oMathPara>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2"/>
                        <m:mcJc m:val="center"/>
                      </m:mcPr>
                    </m:mc>
                  </m:mcs>
                  <m:ctrlPr>
                    <w:rPr>
                      <w:rFonts w:ascii="Cambria Math" w:hAnsi="Cambria Math" w:cs="Times New Roman"/>
                      <w:i/>
                      <w:sz w:val="28"/>
                      <w:szCs w:val="28"/>
                      <w:lang w:val="uk-UA"/>
                    </w:rPr>
                  </m:ctrlPr>
                </m:mPr>
                <m:mr>
                  <m:e>
                    <m:m>
                      <m:mPr>
                        <m:mcs>
                          <m:mc>
                            <m:mcPr>
                              <m:count m:val="1"/>
                              <m:mcJc m:val="center"/>
                            </m:mcPr>
                          </m:mc>
                        </m:mcs>
                        <m:ctrlPr>
                          <w:rPr>
                            <w:rFonts w:ascii="Cambria Math" w:hAnsi="Cambria Math" w:cs="Times New Roman"/>
                            <w:i/>
                            <w:sz w:val="28"/>
                            <w:szCs w:val="28"/>
                            <w:lang w:val="uk-UA"/>
                          </w:rPr>
                        </m:ctrlPr>
                      </m:mPr>
                      <m:mr>
                        <m:e>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b-a</m:t>
                              </m:r>
                            </m:den>
                          </m:f>
                        </m:e>
                      </m:mr>
                      <m:mr>
                        <m:e>
                          <m:r>
                            <w:rPr>
                              <w:rFonts w:ascii="Cambria Math" w:hAnsi="Cambria Math" w:cs="Times New Roman"/>
                              <w:sz w:val="28"/>
                              <w:szCs w:val="28"/>
                              <w:lang w:val="uk-UA"/>
                            </w:rPr>
                            <m:t>0,</m:t>
                          </m:r>
                        </m:e>
                      </m:mr>
                    </m:m>
                    <m:r>
                      <w:rPr>
                        <w:rFonts w:ascii="Cambria Math" w:hAnsi="Cambria Math" w:cs="Times New Roman"/>
                        <w:sz w:val="28"/>
                        <w:szCs w:val="28"/>
                        <w:lang w:val="uk-UA"/>
                      </w:rPr>
                      <m:t>,</m:t>
                    </m:r>
                  </m:e>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x∈[a,b]</m:t>
                          </m:r>
                        </m:e>
                      </m:mr>
                      <m:mr>
                        <m:e>
                          <m:r>
                            <w:rPr>
                              <w:rFonts w:ascii="Cambria Math" w:hAnsi="Cambria Math" w:cs="Times New Roman"/>
                              <w:sz w:val="28"/>
                              <w:szCs w:val="28"/>
                              <w:lang w:val="uk-UA"/>
                            </w:rPr>
                            <m:t>x ∉[a,b]</m:t>
                          </m:r>
                        </m:e>
                      </m:mr>
                    </m:m>
                  </m:e>
                </m:mr>
              </m:m>
            </m:e>
          </m:d>
        </m:oMath>
      </m:oMathPara>
    </w:p>
    <w:p w14:paraId="2525D034"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Це позначається як </w:t>
      </w:r>
      <m:oMath>
        <m:r>
          <w:rPr>
            <w:rFonts w:ascii="Cambria Math" w:hAnsi="Cambria Math" w:cs="Times New Roman"/>
            <w:sz w:val="28"/>
            <w:szCs w:val="28"/>
            <w:lang w:val="uk-UA"/>
          </w:rPr>
          <m:t>X ∼ U[a, b].</m:t>
        </m:r>
      </m:oMath>
      <w:r w:rsidRPr="005F0419">
        <w:rPr>
          <w:rFonts w:ascii="Times New Roman" w:hAnsi="Times New Roman" w:cs="Times New Roman"/>
          <w:sz w:val="28"/>
          <w:szCs w:val="28"/>
          <w:lang w:val="uk-UA"/>
        </w:rPr>
        <w:t xml:space="preserve"> Іноді значення щільності в граничних точках x=a і x=b змінюють на інші, наприклад, 1/2(b-a). Оскільки інтеграл Лебега від щільності не залежить від її поведінки на множинах нульової міри, ці зміни не впливають на обчислення ймовірностей, пов'язаних із цим розподілом. Рівномірний розподіл зображено на рисунку 2.</w:t>
      </w:r>
    </w:p>
    <w:p w14:paraId="430ACC1A" w14:textId="77777777"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60A9A471" wp14:editId="67165F36">
            <wp:extent cx="2695575" cy="1885950"/>
            <wp:effectExtent l="0" t="0" r="9525" b="0"/>
            <wp:docPr id="126" name="Рисунок 126" descr="Функція розподілу імовірностей для рівномірного розподілу із використанням конвенції максимуму в точках переход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Функція розподілу імовірностей для рівномірного розподілу із використанням конвенції максимуму в точках переходу."/>
                    <pic:cNvPicPr>
                      <a:picLocks noChangeAspect="1" noChangeArrowheads="1"/>
                    </pic:cNvPicPr>
                  </pic:nvPicPr>
                  <pic:blipFill>
                    <a:blip r:embed="rId476">
                      <a:extLst>
                        <a:ext uri="{28A0092B-C50C-407E-A947-70E740481C1C}">
                          <a14:useLocalDpi xmlns:a14="http://schemas.microsoft.com/office/drawing/2010/main" val="0"/>
                        </a:ext>
                      </a:extLst>
                    </a:blip>
                    <a:srcRect/>
                    <a:stretch>
                      <a:fillRect/>
                    </a:stretch>
                  </pic:blipFill>
                  <pic:spPr bwMode="auto">
                    <a:xfrm>
                      <a:off x="0" y="0"/>
                      <a:ext cx="2712609" cy="1897868"/>
                    </a:xfrm>
                    <a:prstGeom prst="rect">
                      <a:avLst/>
                    </a:prstGeom>
                    <a:noFill/>
                    <a:ln>
                      <a:noFill/>
                    </a:ln>
                  </pic:spPr>
                </pic:pic>
              </a:graphicData>
            </a:graphic>
          </wp:inline>
        </w:drawing>
      </w:r>
    </w:p>
    <w:p w14:paraId="1044E5B4" w14:textId="2064A77E"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sidR="00C713B7">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2</w:t>
      </w:r>
      <w:r w:rsidR="00C713B7">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Рівномірний розподіл</w:t>
      </w:r>
    </w:p>
    <w:p w14:paraId="014C9765" w14:textId="77777777" w:rsidR="00C713B7" w:rsidRDefault="00C713B7" w:rsidP="00C713B7">
      <w:pPr>
        <w:pStyle w:val="a4"/>
        <w:spacing w:after="0" w:line="360" w:lineRule="auto"/>
        <w:ind w:left="0" w:firstLine="720"/>
        <w:jc w:val="both"/>
        <w:rPr>
          <w:rFonts w:ascii="Times New Roman" w:hAnsi="Times New Roman" w:cs="Times New Roman"/>
          <w:sz w:val="28"/>
          <w:szCs w:val="28"/>
          <w:lang w:val="uk-UA"/>
        </w:rPr>
      </w:pPr>
    </w:p>
    <w:p w14:paraId="3E2CDF37" w14:textId="507A5CF2" w:rsidR="00C14BDE" w:rsidRPr="005F0419" w:rsidRDefault="00C14BDE" w:rsidP="00C713B7">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Трикутний розподіл використовує для подання випадкових величин мінімальні, максимальні та найімовірніші значення. Його ймовірність досягає максимуму при найбільш ймовірному значенні. Якщо безперервні дані симетричні, групуються навколо математичного очікування і існують обмеження на дані, то краще за все вони описуються трикутним розподілом (рис. 3).</w:t>
      </w:r>
    </w:p>
    <w:p w14:paraId="5A7C1CFE"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bCs/>
          <w:sz w:val="28"/>
          <w:szCs w:val="28"/>
          <w:lang w:val="uk-UA"/>
        </w:rPr>
        <w:lastRenderedPageBreak/>
        <w:t>Трикутний розподіл</w:t>
      </w:r>
      <w:r w:rsidRPr="005F0419">
        <w:rPr>
          <w:rFonts w:ascii="Times New Roman" w:hAnsi="Times New Roman" w:cs="Times New Roman"/>
          <w:sz w:val="28"/>
          <w:szCs w:val="28"/>
          <w:lang w:val="uk-UA"/>
        </w:rPr>
        <w:t> використовується для моделювання випадкової величини в умовах нестачі даних, тобто коли точний закон невідомий. Параметри часто визначаються шляхом експертного опитування.</w:t>
      </w:r>
    </w:p>
    <w:p w14:paraId="1BBAA497" w14:textId="77777777"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604F847D" wp14:editId="659AA27F">
            <wp:extent cx="3081655" cy="1695450"/>
            <wp:effectExtent l="0" t="0" r="4445" b="0"/>
            <wp:docPr id="127" name="Рисунок 127" descr="http://idea.caseware.com.ua/wp-content/uploads/2020/0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http://idea.caseware.com.ua/wp-content/uploads/2020/08/2.png"/>
                    <pic:cNvPicPr>
                      <a:picLocks noChangeAspect="1" noChangeArrowheads="1"/>
                    </pic:cNvPicPr>
                  </pic:nvPicPr>
                  <pic:blipFill>
                    <a:blip r:embed="rId477">
                      <a:extLst>
                        <a:ext uri="{28A0092B-C50C-407E-A947-70E740481C1C}">
                          <a14:useLocalDpi xmlns:a14="http://schemas.microsoft.com/office/drawing/2010/main" val="0"/>
                        </a:ext>
                      </a:extLst>
                    </a:blip>
                    <a:srcRect/>
                    <a:stretch>
                      <a:fillRect/>
                    </a:stretch>
                  </pic:blipFill>
                  <pic:spPr bwMode="auto">
                    <a:xfrm>
                      <a:off x="0" y="0"/>
                      <a:ext cx="3086806" cy="1698284"/>
                    </a:xfrm>
                    <a:prstGeom prst="rect">
                      <a:avLst/>
                    </a:prstGeom>
                    <a:noFill/>
                    <a:ln>
                      <a:noFill/>
                    </a:ln>
                  </pic:spPr>
                </pic:pic>
              </a:graphicData>
            </a:graphic>
          </wp:inline>
        </w:drawing>
      </w:r>
    </w:p>
    <w:p w14:paraId="6248E795" w14:textId="3E772082"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sidR="00C713B7">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3</w:t>
      </w:r>
      <w:r w:rsidR="00C713B7">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Трикутний розподіл</w:t>
      </w:r>
    </w:p>
    <w:p w14:paraId="1E60F833" w14:textId="77777777" w:rsidR="00C713B7" w:rsidRDefault="00C713B7" w:rsidP="00C14BDE">
      <w:pPr>
        <w:spacing w:after="0" w:line="360" w:lineRule="auto"/>
        <w:ind w:firstLine="720"/>
        <w:jc w:val="both"/>
        <w:rPr>
          <w:rFonts w:ascii="Times New Roman" w:hAnsi="Times New Roman" w:cs="Times New Roman"/>
          <w:sz w:val="28"/>
          <w:szCs w:val="28"/>
          <w:lang w:val="uk-UA"/>
        </w:rPr>
      </w:pPr>
    </w:p>
    <w:p w14:paraId="21E917D9" w14:textId="7B26E660"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Методи Монте-Карло допомагають у вирішенні складних завдань, а також в експериментальних дослідженнях. Вони можуть імітувати випадкові події у реальних системах, що дозволяє аналізувати різні сценарії та стратегії управління.</w:t>
      </w:r>
    </w:p>
    <w:p w14:paraId="064495B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Приведемо приклад роботи методу для випадку, коли задача здається цілком детермінованою. Розглянемо ситуацію, коли потрібно обчислити визначений інтеграл певної функції на заданому інтервалі.</w:t>
      </w:r>
    </w:p>
    <w:p w14:paraId="10300B3C" w14:textId="77777777" w:rsidR="00C14BDE" w:rsidRPr="005F0419" w:rsidRDefault="00C14BDE" w:rsidP="00C14BDE">
      <w:pPr>
        <w:spacing w:after="0" w:line="360" w:lineRule="auto"/>
        <w:ind w:firstLine="720"/>
        <w:jc w:val="center"/>
        <w:rPr>
          <w:rFonts w:ascii="Times New Roman" w:hAnsi="Times New Roman" w:cs="Times New Roman"/>
          <w:sz w:val="28"/>
          <w:szCs w:val="28"/>
          <w:lang w:val="uk-UA"/>
        </w:rPr>
      </w:pPr>
      <m:oMath>
        <m:r>
          <w:rPr>
            <w:rFonts w:ascii="Cambria Math" w:hAnsi="Cambria Math" w:cs="Times New Roman"/>
            <w:sz w:val="28"/>
            <w:szCs w:val="28"/>
            <w:lang w:val="uk-UA"/>
          </w:rPr>
          <m:t xml:space="preserve">I= </m:t>
        </m:r>
        <m:nary>
          <m:naryPr>
            <m:limLoc m:val="subSup"/>
            <m:ctrlPr>
              <w:rPr>
                <w:rFonts w:ascii="Cambria Math" w:hAnsi="Cambria Math" w:cs="Times New Roman"/>
                <w:i/>
                <w:sz w:val="28"/>
                <w:szCs w:val="28"/>
                <w:lang w:val="uk-UA"/>
              </w:rPr>
            </m:ctrlPr>
          </m:naryPr>
          <m:sub>
            <m:r>
              <w:rPr>
                <w:rFonts w:ascii="Cambria Math" w:hAnsi="Cambria Math" w:cs="Times New Roman"/>
                <w:sz w:val="28"/>
                <w:szCs w:val="28"/>
                <w:lang w:val="uk-UA"/>
              </w:rPr>
              <m:t>0</m:t>
            </m:r>
          </m:sub>
          <m:sup>
            <m:r>
              <w:rPr>
                <w:rFonts w:ascii="Cambria Math" w:hAnsi="Cambria Math" w:cs="Times New Roman"/>
                <w:sz w:val="28"/>
                <w:szCs w:val="28"/>
                <w:lang w:val="uk-UA"/>
              </w:rPr>
              <m:t>1</m:t>
            </m:r>
          </m:sup>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 xml:space="preserve"> dx</m:t>
            </m:r>
          </m:e>
        </m:nary>
      </m:oMath>
      <w:r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t>(1)</w:t>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r w:rsidRPr="005F0419">
        <w:rPr>
          <w:rFonts w:ascii="Times New Roman" w:hAnsi="Times New Roman" w:cs="Times New Roman"/>
          <w:sz w:val="28"/>
          <w:szCs w:val="28"/>
          <w:lang w:val="uk-UA"/>
        </w:rPr>
        <w:tab/>
      </w:r>
    </w:p>
    <w:p w14:paraId="1E2BC568"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m:oMathPara>
        <m:oMathParaPr>
          <m:jc m:val="left"/>
        </m:oMathParaPr>
        <m:oMath>
          <m:r>
            <w:rPr>
              <w:rFonts w:ascii="Cambria Math" w:hAnsi="Cambria Math" w:cs="Times New Roman"/>
              <w:sz w:val="28"/>
              <w:szCs w:val="28"/>
              <w:lang w:val="uk-UA"/>
            </w:rPr>
            <m:t>де 0 ≤f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≤1 при 0 ≤x ≤1</m:t>
          </m:r>
        </m:oMath>
      </m:oMathPara>
    </w:p>
    <w:p w14:paraId="1040DAA3"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 рисунку 4 проілюстровано обчислення визначеного інтеграла методом Монте-Карло.</w:t>
      </w:r>
    </w:p>
    <w:p w14:paraId="4280B626" w14:textId="77777777"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7858E256" wp14:editId="04EFF548">
            <wp:extent cx="2781300" cy="1838325"/>
            <wp:effectExtent l="0" t="0" r="0" b="9525"/>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8"/>
                    <a:stretch>
                      <a:fillRect/>
                    </a:stretch>
                  </pic:blipFill>
                  <pic:spPr>
                    <a:xfrm>
                      <a:off x="0" y="0"/>
                      <a:ext cx="2781300" cy="1838325"/>
                    </a:xfrm>
                    <a:prstGeom prst="rect">
                      <a:avLst/>
                    </a:prstGeom>
                  </pic:spPr>
                </pic:pic>
              </a:graphicData>
            </a:graphic>
          </wp:inline>
        </w:drawing>
      </w:r>
    </w:p>
    <w:p w14:paraId="5ED89FE7" w14:textId="3798BA03"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sidR="00C713B7">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4</w:t>
      </w:r>
      <w:r w:rsidR="00C713B7">
        <w:rPr>
          <w:rFonts w:ascii="Times New Roman" w:hAnsi="Times New Roman" w:cs="Times New Roman"/>
          <w:sz w:val="28"/>
          <w:szCs w:val="28"/>
          <w:lang w:val="uk-UA"/>
        </w:rPr>
        <w:t>.</w:t>
      </w:r>
      <w:r w:rsidRPr="005F0419">
        <w:rPr>
          <w:rFonts w:ascii="Times New Roman" w:eastAsiaTheme="minorHAnsi" w:hAnsi="Times New Roman" w:cs="Times New Roman"/>
          <w:sz w:val="28"/>
          <w:szCs w:val="28"/>
          <w:lang w:val="uk-UA" w:eastAsia="en-US"/>
        </w:rPr>
        <w:t xml:space="preserve"> </w:t>
      </w:r>
      <w:r w:rsidRPr="005F0419">
        <w:rPr>
          <w:rFonts w:ascii="Times New Roman" w:hAnsi="Times New Roman" w:cs="Times New Roman"/>
          <w:sz w:val="28"/>
          <w:szCs w:val="28"/>
          <w:lang w:val="uk-UA"/>
        </w:rPr>
        <w:t>Обчислення визначеного інтеграла методом Монте- Карло</w:t>
      </w:r>
    </w:p>
    <w:p w14:paraId="377B416D"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Обчислимо площу І фігури що заштрихована на рисунку 4 і обмежена кривою </w:t>
      </w:r>
      <m:oMath>
        <m:r>
          <w:rPr>
            <w:rFonts w:ascii="Cambria Math" w:hAnsi="Cambria Math" w:cs="Times New Roman"/>
            <w:sz w:val="28"/>
            <w:szCs w:val="28"/>
            <w:lang w:val="uk-UA"/>
          </w:rPr>
          <m:t>y=f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 xml:space="preserve"> і прямими x=0, x=1</m:t>
        </m:r>
      </m:oMath>
      <w:r w:rsidRPr="005F0419">
        <w:rPr>
          <w:rFonts w:ascii="Times New Roman" w:hAnsi="Times New Roman" w:cs="Times New Roman"/>
          <w:sz w:val="28"/>
          <w:szCs w:val="28"/>
          <w:lang w:val="uk-UA"/>
        </w:rPr>
        <w:t>.</w:t>
      </w:r>
    </w:p>
    <w:p w14:paraId="0E89CAA4"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Уявіть собі симетричну десятигранну дзиґу з цифрами від 0 до 9. Після підкидання ми можемо очікувати, що на верхній грані з'явиться будь-яка з десяти цифр з рівною ймовірністю: від 0 до 1. Розглянемо два k-бітових числа </w:t>
      </w:r>
      <m:oMath>
        <m:r>
          <w:rPr>
            <w:rFonts w:ascii="Cambria Math" w:hAnsi="Cambria Math" w:cs="Times New Roman"/>
            <w:sz w:val="28"/>
            <w:szCs w:val="28"/>
            <w:lang w:val="uk-UA"/>
          </w:rPr>
          <m:t>ε і μ</m:t>
        </m:r>
      </m:oMath>
      <w:r w:rsidRPr="005F0419">
        <w:rPr>
          <w:rFonts w:ascii="Times New Roman" w:hAnsi="Times New Roman" w:cs="Times New Roman"/>
          <w:sz w:val="28"/>
          <w:szCs w:val="28"/>
          <w:lang w:val="uk-UA"/>
        </w:rPr>
        <w:t xml:space="preserve">. Підкинувши дзиґу кілька разів, ви отримаєте серію чисел, які утворюють десяткове число. Повторення цього експерименту дає число. Наприклад, якщо k = 5 і під час підкидання монети випали числа 0, 3, 7, 0, 5, то шукане число дорівнює 0,03705. Точка з координатами </w:t>
      </w:r>
      <m:oMath>
        <m:r>
          <w:rPr>
            <w:rFonts w:ascii="Cambria Math" w:hAnsi="Cambria Math" w:cs="Times New Roman"/>
            <w:sz w:val="28"/>
            <w:szCs w:val="28"/>
            <w:lang w:val="uk-UA"/>
          </w:rPr>
          <m:t>М(ε,μ)</m:t>
        </m:r>
      </m:oMath>
      <w:r w:rsidRPr="005F0419">
        <w:rPr>
          <w:rFonts w:ascii="Times New Roman" w:hAnsi="Times New Roman" w:cs="Times New Roman"/>
          <w:sz w:val="28"/>
          <w:szCs w:val="28"/>
          <w:lang w:val="uk-UA"/>
        </w:rPr>
        <w:t xml:space="preserve"> називається випадковою точкою, а метод її генерації - підкиданням монети. Ймовірність потрапляння випадкової точки на заштриховану область дорівнює відношенню п</w:t>
      </w:r>
      <w:proofErr w:type="spellStart"/>
      <w:r w:rsidRPr="005F0419">
        <w:rPr>
          <w:rFonts w:ascii="Times New Roman" w:hAnsi="Times New Roman" w:cs="Times New Roman"/>
          <w:sz w:val="28"/>
          <w:szCs w:val="28"/>
          <w:lang w:val="uk-UA"/>
        </w:rPr>
        <w:t>лощі</w:t>
      </w:r>
      <w:proofErr w:type="spellEnd"/>
      <w:r w:rsidRPr="005F0419">
        <w:rPr>
          <w:rFonts w:ascii="Times New Roman" w:hAnsi="Times New Roman" w:cs="Times New Roman"/>
          <w:sz w:val="28"/>
          <w:szCs w:val="28"/>
          <w:lang w:val="uk-UA"/>
        </w:rPr>
        <w:t xml:space="preserve"> цієї фігури (інтеграл I) до площі квадрата і дорівнює 1. Таким чином, ймовірність потрапляння випадкової точки в заштриховану область дорівнює значенню шуканого інтеграла. Отже, завдання обчислення інтеграла можна звести до знаходження ймовірності, яку можна оцінити статистичними методами, використовуючи відносні частоти. Випадковим чином розмістивши n точок на квадраті і перевіривши умову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r>
              <w:rPr>
                <w:rFonts w:ascii="Cambria Math" w:hAnsi="Cambria Math" w:cs="Times New Roman"/>
                <w:sz w:val="28"/>
                <w:szCs w:val="28"/>
                <w:lang w:val="uk-UA"/>
              </w:rPr>
              <m:t>i</m:t>
            </m:r>
          </m:sub>
        </m:sSub>
        <m:r>
          <w:rPr>
            <w:rFonts w:ascii="Cambria Math" w:hAnsi="Cambria Math" w:cs="Times New Roman"/>
            <w:sz w:val="28"/>
            <w:szCs w:val="28"/>
            <w:lang w:val="uk-UA"/>
          </w:rPr>
          <m:t>&lt;f(</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ε</m:t>
            </m:r>
          </m:e>
          <m:sub>
            <m:r>
              <w:rPr>
                <w:rFonts w:ascii="Cambria Math" w:hAnsi="Cambria Math" w:cs="Times New Roman"/>
                <w:sz w:val="28"/>
                <w:szCs w:val="28"/>
                <w:lang w:val="uk-UA"/>
              </w:rPr>
              <m:t>i</m:t>
            </m:r>
          </m:sub>
        </m:sSub>
        <m:r>
          <w:rPr>
            <w:rFonts w:ascii="Cambria Math" w:hAnsi="Cambria Math" w:cs="Times New Roman"/>
            <w:sz w:val="28"/>
            <w:szCs w:val="28"/>
            <w:lang w:val="uk-UA"/>
          </w:rPr>
          <m:t>)</m:t>
        </m:r>
      </m:oMath>
      <w:r w:rsidRPr="005F0419">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ab/>
        <w:t xml:space="preserve">можна визначити, скільки з m точок задовольняють цій умові. Відносна частота потрапляння точок у заштриховану область дорівнює </w:t>
      </w:r>
      <m:oMath>
        <m:r>
          <w:rPr>
            <w:rFonts w:ascii="Cambria Math" w:hAnsi="Cambria Math" w:cs="Times New Roman"/>
            <w:sz w:val="28"/>
            <w:szCs w:val="28"/>
            <w:lang w:val="uk-UA"/>
          </w:rPr>
          <m:t>n/m</m:t>
        </m:r>
      </m:oMath>
      <w:r w:rsidRPr="005F0419">
        <w:rPr>
          <w:rFonts w:ascii="Times New Roman" w:hAnsi="Times New Roman" w:cs="Times New Roman"/>
          <w:sz w:val="28"/>
          <w:szCs w:val="28"/>
          <w:lang w:val="uk-UA"/>
        </w:rPr>
        <w:t xml:space="preserve">. Згідно з теоремою Бернуллі, ймовірність p прямує до p при </w:t>
      </w:r>
      <m:oMath>
        <m:r>
          <w:rPr>
            <w:rFonts w:ascii="Cambria Math" w:hAnsi="Cambria Math" w:cs="Times New Roman"/>
            <w:sz w:val="28"/>
            <w:szCs w:val="28"/>
            <w:lang w:val="uk-UA"/>
          </w:rPr>
          <m:t>n → ∞.</m:t>
        </m:r>
      </m:oMath>
      <w:r w:rsidRPr="005F0419">
        <w:rPr>
          <w:rFonts w:ascii="Times New Roman" w:hAnsi="Times New Roman" w:cs="Times New Roman"/>
          <w:sz w:val="28"/>
          <w:szCs w:val="28"/>
          <w:lang w:val="uk-UA"/>
        </w:rPr>
        <w:t xml:space="preserve"> Отже,</w:t>
      </w:r>
      <m:oMath>
        <m:r>
          <w:rPr>
            <w:rFonts w:ascii="Cambria Math" w:hAnsi="Cambria Math" w:cs="Times New Roman"/>
            <w:sz w:val="28"/>
            <w:szCs w:val="28"/>
            <w:lang w:val="uk-UA"/>
          </w:rPr>
          <m:t xml:space="preserve"> n/m</m:t>
        </m:r>
      </m:oMath>
      <w:r w:rsidRPr="005F0419">
        <w:rPr>
          <w:rFonts w:ascii="Times New Roman" w:hAnsi="Times New Roman" w:cs="Times New Roman"/>
          <w:sz w:val="28"/>
          <w:szCs w:val="28"/>
          <w:lang w:val="uk-UA"/>
        </w:rPr>
        <w:t xml:space="preserve"> є наближеним значенням шуканого інтеграла. Метод Монте-Карло підходить для багатовимірних задач, оскільки кількість ітерацій n, необхідних для досягнення заданої точності, не залежить від кратності інтегралів.</w:t>
      </w:r>
    </w:p>
    <w:p w14:paraId="572FB97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Отже, навіть у випадку цілком детермінованих задач, метод Монте-Карло може бути використаний для наближеного обчислення визначених інтегралів, зокрема шляхом статистичних методів, що базуються на випадковому виборі точок та оцінці їхніх значень функції.</w:t>
      </w:r>
    </w:p>
    <w:p w14:paraId="5CEAD36F"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Даний метод є потужним інструментом для вирішення задач, які включають невизначеність та стохастичні фактори, такі як погодні умови, сезонні зміни, технічні проблеми та відсутність даних. У контексті визначення </w:t>
      </w:r>
      <w:r w:rsidRPr="005F0419">
        <w:rPr>
          <w:rFonts w:ascii="Times New Roman" w:hAnsi="Times New Roman" w:cs="Times New Roman"/>
          <w:sz w:val="28"/>
          <w:szCs w:val="28"/>
          <w:lang w:val="uk-UA"/>
        </w:rPr>
        <w:lastRenderedPageBreak/>
        <w:t xml:space="preserve">найбільш оптимальних джерел енергії для певної території, цей метод може бути використаний для імітації різних сценаріїв виробництва енергії з урахуванням </w:t>
      </w:r>
      <w:proofErr w:type="spellStart"/>
      <w:r w:rsidRPr="005F0419">
        <w:rPr>
          <w:rFonts w:ascii="Times New Roman" w:hAnsi="Times New Roman" w:cs="Times New Roman"/>
          <w:sz w:val="28"/>
          <w:szCs w:val="28"/>
          <w:lang w:val="uk-UA"/>
        </w:rPr>
        <w:t>невизначеностей</w:t>
      </w:r>
      <w:proofErr w:type="spellEnd"/>
      <w:r w:rsidRPr="005F0419">
        <w:rPr>
          <w:rFonts w:ascii="Times New Roman" w:hAnsi="Times New Roman" w:cs="Times New Roman"/>
          <w:sz w:val="28"/>
          <w:szCs w:val="28"/>
          <w:lang w:val="uk-UA"/>
        </w:rPr>
        <w:t xml:space="preserve"> та факторів впливу. Алгоритм використання методу Монте-Карло який було реалізовано для цієї задачі: </w:t>
      </w:r>
    </w:p>
    <w:p w14:paraId="37BE34EC" w14:textId="77777777" w:rsidR="00C14BDE" w:rsidRPr="005F0419" w:rsidRDefault="00C14BDE" w:rsidP="006D1666">
      <w:pPr>
        <w:numPr>
          <w:ilvl w:val="0"/>
          <w:numId w:val="12"/>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Збирання даних: Спочатку було зібрані доступні дані про кожне з можливих джерел відновлюваної енергії (сонячна, вітрова, геотермальна, гідро, біомаса) для даної території. Це включає середні показники продуктивності, базуючись на метеорологічній інформації та інформації з різних підтверджених джерел щодо ефективності запропонованих ВДЕ для даної території яку ми отримуємо за допомогою API. </w:t>
      </w:r>
    </w:p>
    <w:p w14:paraId="17011548" w14:textId="77777777" w:rsidR="00C14BDE" w:rsidRPr="005F0419" w:rsidRDefault="00C14BDE" w:rsidP="006D1666">
      <w:pPr>
        <w:numPr>
          <w:ilvl w:val="0"/>
          <w:numId w:val="12"/>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Встановлення базових оцінок: Користувач повинен встановити початкові оцінки для кожного джерела відновлюваної енергії, враховуючи їхню відносну ефективність та прийнятність відносно встановлених факторів для обраної території.</w:t>
      </w:r>
    </w:p>
    <w:p w14:paraId="1F9A32F1" w14:textId="77777777" w:rsidR="00C14BDE" w:rsidRPr="005F0419" w:rsidRDefault="00C14BDE" w:rsidP="006D1666">
      <w:pPr>
        <w:numPr>
          <w:ilvl w:val="0"/>
          <w:numId w:val="12"/>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Моделювання Монте-Карло:</w:t>
      </w:r>
    </w:p>
    <w:p w14:paraId="79A0FB79"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a. Для кожного сценарію випадкових подій, включаючи погоду, сезонність і технічні проблеми, обчислюється оцінка для кожного джерела на основі базових оцінок користувача і параметрів розподілу для кожного з виду ВДЕ.</w:t>
      </w:r>
    </w:p>
    <w:p w14:paraId="2FDC4C71"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b. Повторюємо цей крок багато разів (наприклад, тисячі або більше разів), щоб створити велику кількість </w:t>
      </w:r>
      <w:proofErr w:type="spellStart"/>
      <w:r w:rsidRPr="005F0419">
        <w:rPr>
          <w:rFonts w:ascii="Times New Roman" w:hAnsi="Times New Roman" w:cs="Times New Roman"/>
          <w:sz w:val="28"/>
          <w:szCs w:val="28"/>
          <w:lang w:val="uk-UA"/>
        </w:rPr>
        <w:t>симуляційних</w:t>
      </w:r>
      <w:proofErr w:type="spellEnd"/>
      <w:r w:rsidRPr="005F0419">
        <w:rPr>
          <w:rFonts w:ascii="Times New Roman" w:hAnsi="Times New Roman" w:cs="Times New Roman"/>
          <w:sz w:val="28"/>
          <w:szCs w:val="28"/>
          <w:lang w:val="uk-UA"/>
        </w:rPr>
        <w:t xml:space="preserve"> сценаріїв [5].</w:t>
      </w:r>
    </w:p>
    <w:p w14:paraId="316D4BB7"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Також слід виокремити ряд переваг які надає цей метод [6]:</w:t>
      </w:r>
    </w:p>
    <w:p w14:paraId="48FE7BF4" w14:textId="77777777" w:rsidR="00C14BDE" w:rsidRPr="005F0419" w:rsidRDefault="00C14BDE" w:rsidP="00C14BDE">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Простота сприйняття результатів аналізу;</w:t>
      </w:r>
    </w:p>
    <w:p w14:paraId="65E61CA0" w14:textId="77777777" w:rsidR="00C14BDE" w:rsidRPr="005F0419" w:rsidRDefault="00C14BDE" w:rsidP="006D1666">
      <w:pPr>
        <w:pStyle w:val="a4"/>
        <w:widowControl w:val="0"/>
        <w:numPr>
          <w:ilvl w:val="0"/>
          <w:numId w:val="13"/>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Можливість адаптації методу до будь-якого розподілу вхідних даних, включаючи емпіричні розподіли, побудовані на основі спостережень за відповідними системами;</w:t>
      </w:r>
    </w:p>
    <w:p w14:paraId="47E50FEC" w14:textId="77777777" w:rsidR="00C14BDE" w:rsidRPr="005F0419" w:rsidRDefault="00C14BDE" w:rsidP="006D1666">
      <w:pPr>
        <w:pStyle w:val="a4"/>
        <w:widowControl w:val="0"/>
        <w:numPr>
          <w:ilvl w:val="0"/>
          <w:numId w:val="13"/>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Можливість обліку будь-яких взаємодії та взаємозв'язків, включаючи такі тонкі як умовні залежності;</w:t>
      </w:r>
    </w:p>
    <w:p w14:paraId="39A0BCDB" w14:textId="77777777" w:rsidR="00C14BDE" w:rsidRPr="005F0419" w:rsidRDefault="00C14BDE" w:rsidP="006D1666">
      <w:pPr>
        <w:pStyle w:val="a4"/>
        <w:widowControl w:val="0"/>
        <w:numPr>
          <w:ilvl w:val="0"/>
          <w:numId w:val="13"/>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Можливість застосування аналізу чутливості для ідентифікації сильних та слабких впливів;</w:t>
      </w:r>
    </w:p>
    <w:p w14:paraId="6679FB84" w14:textId="77777777" w:rsidR="00C14BDE" w:rsidRPr="005F0419" w:rsidRDefault="00C14BDE" w:rsidP="006D1666">
      <w:pPr>
        <w:pStyle w:val="a4"/>
        <w:widowControl w:val="0"/>
        <w:numPr>
          <w:ilvl w:val="0"/>
          <w:numId w:val="13"/>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Допустимість застосування ефективних моделей дослідження </w:t>
      </w:r>
      <w:r w:rsidRPr="005F0419">
        <w:rPr>
          <w:rFonts w:ascii="Times New Roman" w:hAnsi="Times New Roman" w:cs="Times New Roman"/>
          <w:sz w:val="28"/>
          <w:szCs w:val="28"/>
          <w:lang w:val="uk-UA"/>
        </w:rPr>
        <w:lastRenderedPageBreak/>
        <w:t>багатокомпонентних систем, таких як мережа Петрі;</w:t>
      </w:r>
    </w:p>
    <w:p w14:paraId="70B2EE9C" w14:textId="77777777" w:rsidR="00C14BDE" w:rsidRPr="005F0419" w:rsidRDefault="00C14BDE" w:rsidP="006D1666">
      <w:pPr>
        <w:pStyle w:val="a4"/>
        <w:widowControl w:val="0"/>
        <w:numPr>
          <w:ilvl w:val="0"/>
          <w:numId w:val="13"/>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Точність результатів у рамках заданих змінних;</w:t>
      </w:r>
    </w:p>
    <w:p w14:paraId="1B78D9F3" w14:textId="77777777" w:rsidR="00C14BDE" w:rsidRPr="005F0419" w:rsidRDefault="00C14BDE" w:rsidP="006D1666">
      <w:pPr>
        <w:pStyle w:val="a4"/>
        <w:widowControl w:val="0"/>
        <w:numPr>
          <w:ilvl w:val="0"/>
          <w:numId w:val="13"/>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Доступність програмного забезпечення методу.</w:t>
      </w:r>
    </w:p>
    <w:p w14:paraId="064DFBC0"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Задача багатокритеріального вибору передбачає оцінку рішень за декількома критеріями. Ці критерії включатимуть: ресурсний потенціал, ефективність технологій, економічну вигоду, соціальний вплив та </w:t>
      </w:r>
      <w:proofErr w:type="spellStart"/>
      <w:r w:rsidRPr="005F0419">
        <w:rPr>
          <w:rFonts w:ascii="Times New Roman" w:hAnsi="Times New Roman" w:cs="Times New Roman"/>
          <w:sz w:val="28"/>
          <w:szCs w:val="28"/>
          <w:lang w:val="uk-UA"/>
        </w:rPr>
        <w:t>регуляторно</w:t>
      </w:r>
      <w:proofErr w:type="spellEnd"/>
      <w:r w:rsidRPr="005F0419">
        <w:rPr>
          <w:rFonts w:ascii="Times New Roman" w:hAnsi="Times New Roman" w:cs="Times New Roman"/>
          <w:sz w:val="28"/>
          <w:szCs w:val="28"/>
          <w:lang w:val="uk-UA"/>
        </w:rPr>
        <w:t xml:space="preserve">-правовий стан. Ми реалізуємо свою аналогію методу </w:t>
      </w:r>
      <w:proofErr w:type="spellStart"/>
      <w:r w:rsidRPr="005F0419">
        <w:rPr>
          <w:rFonts w:ascii="Times New Roman" w:hAnsi="Times New Roman" w:cs="Times New Roman"/>
          <w:sz w:val="28"/>
          <w:szCs w:val="28"/>
          <w:lang w:val="uk-UA"/>
        </w:rPr>
        <w:t>бутстреп</w:t>
      </w:r>
      <w:proofErr w:type="spellEnd"/>
      <w:r w:rsidRPr="005F0419">
        <w:rPr>
          <w:rFonts w:ascii="Times New Roman" w:hAnsi="Times New Roman" w:cs="Times New Roman"/>
          <w:sz w:val="28"/>
          <w:szCs w:val="28"/>
          <w:lang w:val="uk-UA"/>
        </w:rPr>
        <w:t xml:space="preserve"> для даної задачі [7]. Для цього створимо багато вибірок (реплік), які є вибірками з повтореннями із оригінального набору даних. Кожна репліка генерується шляхом випадкового вибору елементів з оригінального набору даних, отриманих після моделювання методом Монте-Карло замість </w:t>
      </w:r>
      <w:proofErr w:type="spellStart"/>
      <w:r w:rsidRPr="005F0419">
        <w:rPr>
          <w:rFonts w:ascii="Times New Roman" w:hAnsi="Times New Roman" w:cs="Times New Roman"/>
          <w:sz w:val="28"/>
          <w:szCs w:val="28"/>
          <w:lang w:val="uk-UA"/>
        </w:rPr>
        <w:t>рандомізації</w:t>
      </w:r>
      <w:proofErr w:type="spellEnd"/>
      <w:r w:rsidRPr="005F0419">
        <w:rPr>
          <w:rFonts w:ascii="Times New Roman" w:hAnsi="Times New Roman" w:cs="Times New Roman"/>
          <w:sz w:val="28"/>
          <w:szCs w:val="28"/>
          <w:lang w:val="uk-UA"/>
        </w:rPr>
        <w:t xml:space="preserve"> чи змін.</w:t>
      </w:r>
    </w:p>
    <w:p w14:paraId="712B528E" w14:textId="77777777" w:rsidR="00C713B7" w:rsidRDefault="00C14BDE" w:rsidP="00C713B7">
      <w:pPr>
        <w:pStyle w:val="20"/>
        <w:keepNext w:val="0"/>
        <w:keepLines w:val="0"/>
        <w:numPr>
          <w:ilvl w:val="0"/>
          <w:numId w:val="0"/>
        </w:numPr>
        <w:spacing w:before="0" w:line="360" w:lineRule="auto"/>
        <w:ind w:firstLine="720"/>
        <w:jc w:val="both"/>
        <w:rPr>
          <w:rFonts w:ascii="Times New Roman" w:hAnsi="Times New Roman" w:cs="Times New Roman"/>
          <w:color w:val="auto"/>
          <w:sz w:val="28"/>
          <w:szCs w:val="28"/>
          <w:lang w:val="uk-UA"/>
        </w:rPr>
      </w:pPr>
      <w:bookmarkStart w:id="33" w:name="_Toc152783790"/>
      <w:r w:rsidRPr="005F0419">
        <w:rPr>
          <w:rFonts w:ascii="Times New Roman" w:hAnsi="Times New Roman" w:cs="Times New Roman"/>
          <w:bCs/>
          <w:color w:val="auto"/>
          <w:sz w:val="28"/>
          <w:szCs w:val="28"/>
          <w:lang w:val="uk-UA"/>
        </w:rPr>
        <w:t>Вирішення багатокритеріальної задачі методом лінійної згортки</w:t>
      </w:r>
      <w:bookmarkEnd w:id="33"/>
      <w:r w:rsidRPr="005F0419">
        <w:rPr>
          <w:rFonts w:ascii="Times New Roman" w:hAnsi="Times New Roman" w:cs="Times New Roman"/>
          <w:bCs/>
          <w:color w:val="auto"/>
          <w:sz w:val="28"/>
          <w:szCs w:val="28"/>
          <w:lang w:val="uk-UA"/>
        </w:rPr>
        <w:t xml:space="preserve">. </w:t>
      </w:r>
      <w:r w:rsidRPr="005F0419">
        <w:rPr>
          <w:rFonts w:ascii="Times New Roman" w:hAnsi="Times New Roman" w:cs="Times New Roman"/>
          <w:color w:val="auto"/>
          <w:sz w:val="28"/>
          <w:szCs w:val="28"/>
          <w:lang w:val="uk-UA"/>
        </w:rPr>
        <w:t>Після проведеного аналізу було вирішено використовувати алгоритм адитивної (лінійної) згортки, що не зменшує кількість альтернатив і не дає одному з критеріїв повного контролю над результатом. Це робить отриману упорядкованість більш прийнятною для користувачів. Виходячи з математичної моделі для лінійної згортки, можна відмітити два основні елементи: ваговий коефіцієнт (</w:t>
      </w:r>
      <m:oMath>
        <m:sSub>
          <m:sSubPr>
            <m:ctrlPr>
              <w:rPr>
                <w:rFonts w:ascii="Cambria Math" w:hAnsi="Cambria Math" w:cs="Times New Roman"/>
                <w:i/>
                <w:color w:val="auto"/>
                <w:sz w:val="28"/>
                <w:szCs w:val="28"/>
                <w:lang w:val="uk-UA"/>
              </w:rPr>
            </m:ctrlPr>
          </m:sSubPr>
          <m:e>
            <m:r>
              <w:rPr>
                <w:rFonts w:ascii="Cambria Math" w:hAnsi="Cambria Math" w:cs="Times New Roman"/>
                <w:color w:val="auto"/>
                <w:sz w:val="28"/>
                <w:szCs w:val="28"/>
                <w:lang w:val="uk-UA"/>
              </w:rPr>
              <m:t>a</m:t>
            </m:r>
          </m:e>
          <m:sub>
            <m:r>
              <w:rPr>
                <w:rFonts w:ascii="Cambria Math" w:hAnsi="Cambria Math" w:cs="Times New Roman"/>
                <w:color w:val="auto"/>
                <w:sz w:val="28"/>
                <w:szCs w:val="28"/>
                <w:lang w:val="uk-UA"/>
              </w:rPr>
              <m:t>i</m:t>
            </m:r>
          </m:sub>
        </m:sSub>
      </m:oMath>
      <w:r w:rsidRPr="005F0419">
        <w:rPr>
          <w:rFonts w:ascii="Times New Roman" w:hAnsi="Times New Roman" w:cs="Times New Roman"/>
          <w:color w:val="auto"/>
          <w:sz w:val="28"/>
          <w:szCs w:val="28"/>
          <w:lang w:val="uk-UA"/>
        </w:rPr>
        <w:t>) та значення критерію (</w:t>
      </w:r>
      <m:oMath>
        <m:sSub>
          <m:sSubPr>
            <m:ctrlPr>
              <w:rPr>
                <w:rFonts w:ascii="Cambria Math" w:hAnsi="Cambria Math" w:cs="Times New Roman"/>
                <w:i/>
                <w:color w:val="auto"/>
                <w:sz w:val="28"/>
                <w:szCs w:val="28"/>
                <w:lang w:val="uk-UA"/>
              </w:rPr>
            </m:ctrlPr>
          </m:sSubPr>
          <m:e>
            <m:r>
              <w:rPr>
                <w:rFonts w:ascii="Cambria Math" w:hAnsi="Cambria Math" w:cs="Times New Roman"/>
                <w:color w:val="auto"/>
                <w:sz w:val="28"/>
                <w:szCs w:val="28"/>
                <w:lang w:val="uk-UA"/>
              </w:rPr>
              <m:t>f</m:t>
            </m:r>
          </m:e>
          <m:sub>
            <m:r>
              <w:rPr>
                <w:rFonts w:ascii="Cambria Math" w:hAnsi="Cambria Math" w:cs="Times New Roman"/>
                <w:color w:val="auto"/>
                <w:sz w:val="28"/>
                <w:szCs w:val="28"/>
                <w:lang w:val="uk-UA"/>
              </w:rPr>
              <m:t>i</m:t>
            </m:r>
          </m:sub>
        </m:sSub>
      </m:oMath>
      <w:r w:rsidRPr="005F0419">
        <w:rPr>
          <w:rFonts w:ascii="Times New Roman" w:hAnsi="Times New Roman" w:cs="Times New Roman"/>
          <w:color w:val="auto"/>
          <w:sz w:val="28"/>
          <w:szCs w:val="28"/>
          <w:lang w:val="uk-UA"/>
        </w:rPr>
        <w:t>(</w:t>
      </w:r>
      <w:r w:rsidRPr="005F0419">
        <w:rPr>
          <w:rFonts w:ascii="Cambria Math" w:hAnsi="Cambria Math" w:cs="Cambria Math"/>
          <w:color w:val="auto"/>
          <w:sz w:val="28"/>
          <w:szCs w:val="28"/>
          <w:lang w:val="uk-UA"/>
        </w:rPr>
        <w:t>𝑥</w:t>
      </w:r>
      <w:r w:rsidRPr="005F0419">
        <w:rPr>
          <w:rFonts w:ascii="Times New Roman" w:hAnsi="Times New Roman" w:cs="Times New Roman"/>
          <w:color w:val="auto"/>
          <w:sz w:val="28"/>
          <w:szCs w:val="28"/>
          <w:lang w:val="uk-UA"/>
        </w:rPr>
        <w:t>)), зокрема нормалізоване значення. Таким чином, алгоритм складається з трьох кроків: нормалізації критеріїв, визначення вагових коефіцієнтів за їх пріоритетністю та застосування самого методу лінійної згортки. Для користувача метод згортки вимагає лише визначення експертних оцінок при наявності такої експертної групи, що допомагає персоналізувати результати з урахуванням його потреб, хоча якщо така група відсутня це не впливає на роботу програми тому що розроблено алгоритм для визначення ваг без експертної групи.</w:t>
      </w:r>
      <w:bookmarkStart w:id="34" w:name="_Toc152783791"/>
    </w:p>
    <w:p w14:paraId="69414649" w14:textId="7833AAC5" w:rsidR="00C14BDE" w:rsidRPr="005F0419" w:rsidRDefault="00C14BDE" w:rsidP="00C713B7">
      <w:pPr>
        <w:pStyle w:val="20"/>
        <w:keepNext w:val="0"/>
        <w:keepLines w:val="0"/>
        <w:numPr>
          <w:ilvl w:val="0"/>
          <w:numId w:val="0"/>
        </w:numPr>
        <w:spacing w:before="0" w:line="360" w:lineRule="auto"/>
        <w:ind w:firstLine="720"/>
        <w:jc w:val="both"/>
        <w:rPr>
          <w:rFonts w:ascii="Times New Roman" w:hAnsi="Times New Roman" w:cs="Times New Roman"/>
          <w:color w:val="auto"/>
          <w:sz w:val="28"/>
          <w:szCs w:val="28"/>
          <w:lang w:val="uk-UA"/>
        </w:rPr>
      </w:pPr>
      <w:r w:rsidRPr="005F0419">
        <w:rPr>
          <w:rFonts w:ascii="Times New Roman" w:hAnsi="Times New Roman" w:cs="Times New Roman"/>
          <w:color w:val="auto"/>
          <w:sz w:val="28"/>
          <w:szCs w:val="28"/>
          <w:lang w:val="uk-UA"/>
        </w:rPr>
        <w:t>Нормалізація критеріїв</w:t>
      </w:r>
      <w:bookmarkEnd w:id="34"/>
      <w:r w:rsidRPr="005F0419">
        <w:rPr>
          <w:rFonts w:ascii="Times New Roman" w:hAnsi="Times New Roman" w:cs="Times New Roman"/>
          <w:color w:val="auto"/>
          <w:sz w:val="28"/>
          <w:szCs w:val="28"/>
          <w:lang w:val="uk-UA"/>
        </w:rPr>
        <w:t xml:space="preserve">. Один з ключових етапів у формалізації процесу прийняття рішень [8] полягає в узгодженні критеріїв, що застосовуються у задачах з багатьма параметрами. Часто ці критерії мають різні одиниці вимірювання та шкали значень. Наприклад, одні можуть бути числовими, представлені в тисячах гривень, як вартість ВДЕ, інші - якісно визначені, а треті </w:t>
      </w:r>
      <w:r w:rsidRPr="005F0419">
        <w:rPr>
          <w:rFonts w:ascii="Times New Roman" w:hAnsi="Times New Roman" w:cs="Times New Roman"/>
          <w:color w:val="auto"/>
          <w:sz w:val="28"/>
          <w:szCs w:val="28"/>
          <w:lang w:val="uk-UA"/>
        </w:rPr>
        <w:lastRenderedPageBreak/>
        <w:t>можуть бути виражені у відсотках. Проте багато принципів оптимальності, таких як лінійна згортка, застосовні тільки у випадку, коли всі критерії мають однакові шкали вимірювання. Це призводить до необхідності нормалізації критеріїв, тобто перетворення їх до спільної шкали з однаковим діапазоном значень, частіше за все з використанням безрозмірної шкали від 0 до 1.</w:t>
      </w:r>
      <m:oMath>
        <m:r>
          <w:rPr>
            <w:rFonts w:ascii="Cambria Math" w:hAnsi="Cambria Math" w:cs="Times New Roman"/>
            <w:color w:val="auto"/>
            <w:sz w:val="28"/>
            <w:szCs w:val="28"/>
            <w:lang w:val="uk-UA"/>
          </w:rPr>
          <m:t xml:space="preserve"> </m:t>
        </m:r>
      </m:oMath>
    </w:p>
    <w:p w14:paraId="083259C8"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Існує багато способів нормалізації відповідно до умов конкретної задачі. Усі ці методи можна умовно розділити на ті, що спрямовані на максимізацію (</w:t>
      </w:r>
      <m:oMath>
        <m:r>
          <w:rPr>
            <w:rFonts w:ascii="Cambria Math" w:hAnsi="Cambria Math" w:cs="Times New Roman"/>
            <w:sz w:val="28"/>
            <w:szCs w:val="28"/>
            <w:lang w:val="uk-UA"/>
          </w:rPr>
          <m:t>fmax '</m:t>
        </m:r>
      </m:oMath>
      <w:r w:rsidRPr="005F0419">
        <w:rPr>
          <w:rFonts w:ascii="Times New Roman" w:hAnsi="Times New Roman" w:cs="Times New Roman"/>
          <w:sz w:val="28"/>
          <w:szCs w:val="28"/>
          <w:lang w:val="uk-UA"/>
        </w:rPr>
        <w:t>) і ті, що спрямовані на мінімізацію (</w:t>
      </w:r>
      <m:oMath>
        <m:r>
          <w:rPr>
            <w:rFonts w:ascii="Cambria Math" w:hAnsi="Cambria Math" w:cs="Times New Roman"/>
            <w:sz w:val="28"/>
            <w:szCs w:val="28"/>
            <w:lang w:val="uk-UA"/>
          </w:rPr>
          <m:t>fmin '</m:t>
        </m:r>
      </m:oMath>
      <w:r w:rsidRPr="005F0419">
        <w:rPr>
          <w:rFonts w:ascii="Times New Roman" w:hAnsi="Times New Roman" w:cs="Times New Roman"/>
          <w:sz w:val="28"/>
          <w:szCs w:val="28"/>
          <w:lang w:val="uk-UA"/>
        </w:rPr>
        <w:t xml:space="preserve">) значень критеріїв. Часом вирішальним є отримання максимального значення критерію, а в інших випадках – навпаки. Це призводить до виникнення різноманітних значень для кожного критерію, які потім об'єднуються адитивним згортанням для перетворення часткових критеріїв у </w:t>
      </w:r>
      <w:proofErr w:type="spellStart"/>
      <w:r w:rsidRPr="005F0419">
        <w:rPr>
          <w:rFonts w:ascii="Times New Roman" w:hAnsi="Times New Roman" w:cs="Times New Roman"/>
          <w:sz w:val="28"/>
          <w:szCs w:val="28"/>
          <w:lang w:val="uk-UA"/>
        </w:rPr>
        <w:t>суперкритерій</w:t>
      </w:r>
      <w:proofErr w:type="spellEnd"/>
      <w:r w:rsidRPr="005F0419">
        <w:rPr>
          <w:rFonts w:ascii="Times New Roman" w:hAnsi="Times New Roman" w:cs="Times New Roman"/>
          <w:sz w:val="28"/>
          <w:szCs w:val="28"/>
          <w:lang w:val="uk-UA"/>
        </w:rPr>
        <w:t>.</w:t>
      </w:r>
    </w:p>
    <w:p w14:paraId="0EAAF96B"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Давайте розглянемо декілька найпоширеніших методів нормалізації [9]:</w:t>
      </w:r>
    </w:p>
    <w:p w14:paraId="502F3458" w14:textId="77777777" w:rsidR="00C14BDE" w:rsidRPr="005F0419" w:rsidRDefault="00C14BDE" w:rsidP="00C713B7">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Порівняльна або відносна нормалізація - це метод, який використовується для приведення даних до спільної шкали, де ідеальні (еталонні) значення критерію визначаються як максимальне або мінімальне значення цього критерію у вибірці. </w:t>
      </w:r>
    </w:p>
    <w:p w14:paraId="3DF7EFD5"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Para>
        <m:oMath>
          <m:sSubSup>
            <m:sSubSupPr>
              <m:ctrlPr>
                <w:rPr>
                  <w:rFonts w:ascii="Cambria Math" w:hAnsi="Cambria Math" w:cs="Times New Roman"/>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max</m:t>
              </m:r>
            </m:sub>
            <m:sup>
              <m:r>
                <m:rPr>
                  <m:sty m:val="p"/>
                </m:rPr>
                <w:rPr>
                  <w:rFonts w:ascii="Cambria Math" w:hAnsi="Cambria Math" w:cs="Times New Roman"/>
                  <w:sz w:val="28"/>
                  <w:szCs w:val="28"/>
                  <w:lang w:val="uk-UA"/>
                </w:rPr>
                <m:t>'</m:t>
              </m:r>
            </m:sup>
          </m:sSubSup>
          <m:r>
            <m:rPr>
              <m:sty m:val="p"/>
            </m:rPr>
            <w:rPr>
              <w:rFonts w:ascii="Cambria Math" w:hAnsi="Cambria Math" w:cs="Times New Roman"/>
              <w:sz w:val="28"/>
              <w:szCs w:val="28"/>
              <w:lang w:val="uk-UA"/>
            </w:rPr>
            <m:t xml:space="preserve">= </m:t>
          </m:r>
          <m:f>
            <m:fPr>
              <m:ctrlPr>
                <w:rPr>
                  <w:rFonts w:ascii="Cambria Math" w:hAnsi="Cambria Math" w:cs="Times New Roman"/>
                  <w:sz w:val="28"/>
                  <w:szCs w:val="28"/>
                  <w:lang w:val="uk-UA"/>
                </w:rPr>
              </m:ctrlPr>
            </m:fPr>
            <m:num>
              <m:sSub>
                <m:sSubPr>
                  <m:ctrlPr>
                    <w:rPr>
                      <w:rFonts w:ascii="Cambria Math" w:hAnsi="Cambria Math" w:cs="Times New Roman"/>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d>
                <m:dPr>
                  <m:ctrlPr>
                    <w:rPr>
                      <w:rFonts w:ascii="Cambria Math" w:hAnsi="Cambria Math" w:cs="Times New Roman"/>
                      <w:sz w:val="28"/>
                      <w:szCs w:val="28"/>
                      <w:lang w:val="uk-UA"/>
                    </w:rPr>
                  </m:ctrlPr>
                </m:dPr>
                <m:e>
                  <m:r>
                    <w:rPr>
                      <w:rFonts w:ascii="Cambria Math" w:hAnsi="Cambria Math" w:cs="Times New Roman"/>
                      <w:sz w:val="28"/>
                      <w:szCs w:val="28"/>
                      <w:lang w:val="uk-UA"/>
                    </w:rPr>
                    <m:t>x</m:t>
                  </m:r>
                </m:e>
              </m:d>
            </m:num>
            <m:den>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max</m:t>
                  </m:r>
                </m:fName>
                <m:e>
                  <m:r>
                    <w:rPr>
                      <w:rFonts w:ascii="Cambria Math" w:hAnsi="Cambria Math" w:cs="Times New Roman"/>
                      <w:sz w:val="28"/>
                      <w:szCs w:val="28"/>
                      <w:lang w:val="uk-UA"/>
                    </w:rPr>
                    <m:t>f</m:t>
                  </m:r>
                  <m:r>
                    <m:rPr>
                      <m:sty m:val="p"/>
                    </m:rPr>
                    <w:rPr>
                      <w:rFonts w:ascii="Cambria Math" w:hAnsi="Cambria Math" w:cs="Times New Roman"/>
                      <w:sz w:val="28"/>
                      <w:szCs w:val="28"/>
                      <w:lang w:val="uk-UA"/>
                    </w:rPr>
                    <m:t>(</m:t>
                  </m:r>
                  <m:r>
                    <w:rPr>
                      <w:rFonts w:ascii="Cambria Math" w:hAnsi="Cambria Math" w:cs="Times New Roman"/>
                      <w:sz w:val="28"/>
                      <w:szCs w:val="28"/>
                      <w:lang w:val="uk-UA"/>
                    </w:rPr>
                    <m:t>x</m:t>
                  </m:r>
                  <m:r>
                    <m:rPr>
                      <m:sty m:val="p"/>
                    </m:rPr>
                    <w:rPr>
                      <w:rFonts w:ascii="Cambria Math" w:hAnsi="Cambria Math" w:cs="Times New Roman"/>
                      <w:sz w:val="28"/>
                      <w:szCs w:val="28"/>
                      <w:lang w:val="uk-UA"/>
                    </w:rPr>
                    <m:t>)</m:t>
                  </m:r>
                </m:e>
              </m:func>
            </m:den>
          </m:f>
        </m:oMath>
      </m:oMathPara>
    </w:p>
    <w:p w14:paraId="6BB88C60"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Sup>
          <m:sSubSupPr>
            <m:ctrlPr>
              <w:rPr>
                <w:rFonts w:ascii="Cambria Math" w:hAnsi="Cambria Math" w:cs="Times New Roman"/>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min</m:t>
            </m:r>
          </m:sub>
          <m:sup>
            <m:r>
              <m:rPr>
                <m:sty m:val="p"/>
              </m:rPr>
              <w:rPr>
                <w:rFonts w:ascii="Cambria Math" w:hAnsi="Cambria Math" w:cs="Times New Roman"/>
                <w:sz w:val="28"/>
                <w:szCs w:val="28"/>
                <w:lang w:val="uk-UA"/>
              </w:rPr>
              <m:t>'</m:t>
            </m:r>
          </m:sup>
        </m:sSubSup>
        <m:r>
          <m:rPr>
            <m:sty m:val="p"/>
          </m:rPr>
          <w:rPr>
            <w:rFonts w:ascii="Cambria Math" w:hAnsi="Cambria Math" w:cs="Times New Roman"/>
            <w:sz w:val="28"/>
            <w:szCs w:val="28"/>
            <w:lang w:val="uk-UA"/>
          </w:rPr>
          <m:t xml:space="preserve">= </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min⁡f(</m:t>
            </m:r>
            <m:r>
              <w:rPr>
                <w:rFonts w:ascii="Cambria Math" w:hAnsi="Cambria Math" w:cs="Times New Roman"/>
                <w:sz w:val="28"/>
                <w:szCs w:val="28"/>
                <w:lang w:val="uk-UA"/>
              </w:rPr>
              <m:t>x</m:t>
            </m:r>
            <m:r>
              <m:rPr>
                <m:sty m:val="p"/>
              </m:rPr>
              <w:rPr>
                <w:rFonts w:ascii="Cambria Math" w:hAnsi="Cambria Math" w:cs="Times New Roman"/>
                <w:sz w:val="28"/>
                <w:szCs w:val="28"/>
                <w:lang w:val="uk-UA"/>
              </w:rPr>
              <m:t>)</m:t>
            </m:r>
          </m:num>
          <m:den>
            <m:sSub>
              <m:sSubPr>
                <m:ctrlPr>
                  <w:rPr>
                    <w:rFonts w:ascii="Cambria Math" w:hAnsi="Cambria Math" w:cs="Times New Roman"/>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d>
              <m:dPr>
                <m:ctrlPr>
                  <w:rPr>
                    <w:rFonts w:ascii="Cambria Math" w:hAnsi="Cambria Math" w:cs="Times New Roman"/>
                    <w:sz w:val="28"/>
                    <w:szCs w:val="28"/>
                    <w:lang w:val="uk-UA"/>
                  </w:rPr>
                </m:ctrlPr>
              </m:dPr>
              <m:e>
                <m:r>
                  <w:rPr>
                    <w:rFonts w:ascii="Cambria Math" w:hAnsi="Cambria Math" w:cs="Times New Roman"/>
                    <w:sz w:val="28"/>
                    <w:szCs w:val="28"/>
                    <w:lang w:val="uk-UA"/>
                  </w:rPr>
                  <m:t>x</m:t>
                </m:r>
              </m:e>
            </m:d>
          </m:den>
        </m:f>
      </m:oMath>
      <w:r w:rsidR="00C14BDE" w:rsidRPr="005F0419">
        <w:rPr>
          <w:rFonts w:ascii="Times New Roman" w:hAnsi="Times New Roman" w:cs="Times New Roman"/>
          <w:sz w:val="28"/>
          <w:szCs w:val="28"/>
          <w:lang w:val="uk-UA"/>
        </w:rPr>
        <w:t>,</w:t>
      </w:r>
    </w:p>
    <w:p w14:paraId="21EE4274"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5F0419">
        <w:rPr>
          <w:rFonts w:ascii="Times New Roman" w:hAnsi="Times New Roman" w:cs="Times New Roman"/>
          <w:sz w:val="28"/>
          <w:szCs w:val="28"/>
          <w:lang w:val="uk-UA"/>
        </w:rPr>
        <w:t xml:space="preserve"> – значення критерію для конкретної альтернативи,</w:t>
      </w:r>
    </w:p>
    <w:p w14:paraId="4C780E1E"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max</w:t>
      </w:r>
      <w:proofErr w:type="spellEnd"/>
      <w:r w:rsidRPr="005F0419">
        <w:rPr>
          <w:rFonts w:ascii="Cambria Math" w:hAnsi="Cambria Math" w:cs="Cambria Math"/>
          <w:sz w:val="28"/>
          <w:szCs w:val="28"/>
          <w:lang w:val="uk-UA"/>
        </w:rPr>
        <w:t>𝑓</w:t>
      </w:r>
      <w:r w:rsidRPr="005F0419">
        <w:rPr>
          <w:rFonts w:ascii="Times New Roman" w:hAnsi="Times New Roman" w:cs="Times New Roman"/>
          <w:sz w:val="28"/>
          <w:szCs w:val="28"/>
          <w:lang w:val="uk-UA"/>
        </w:rPr>
        <w:t>(</w:t>
      </w:r>
      <w:r w:rsidRPr="005F0419">
        <w:rPr>
          <w:rFonts w:ascii="Cambria Math" w:hAnsi="Cambria Math" w:cs="Cambria Math"/>
          <w:sz w:val="28"/>
          <w:szCs w:val="28"/>
          <w:lang w:val="uk-UA"/>
        </w:rPr>
        <w:t>𝑥</w:t>
      </w:r>
      <w:r w:rsidRPr="005F0419">
        <w:rPr>
          <w:rFonts w:ascii="Times New Roman" w:hAnsi="Times New Roman" w:cs="Times New Roman"/>
          <w:sz w:val="28"/>
          <w:szCs w:val="28"/>
          <w:lang w:val="uk-UA"/>
        </w:rPr>
        <w:t>) – максимальне значення критерію у вибірці</w:t>
      </w:r>
    </w:p>
    <w:p w14:paraId="34C274A8" w14:textId="77777777" w:rsidR="00C14BDE" w:rsidRPr="005F0419" w:rsidRDefault="00C14BDE" w:rsidP="00C713B7">
      <w:pPr>
        <w:pStyle w:val="a4"/>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Природна нормалізація, що є комбінацією методів абсолютної та відносної нормалізації, використовується для перетворення елемента шляхом порівняння його значення з мінімальним та максимальним значеннями параметра вибірки.</w:t>
      </w:r>
    </w:p>
    <w:p w14:paraId="2302301E" w14:textId="77777777" w:rsidR="00C14BDE" w:rsidRPr="005F0419" w:rsidRDefault="007468C1" w:rsidP="00C14BDE">
      <w:pPr>
        <w:pStyle w:val="a4"/>
        <w:spacing w:after="0" w:line="360" w:lineRule="auto"/>
        <w:ind w:left="0" w:firstLine="720"/>
        <w:jc w:val="center"/>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max</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min</m:t>
                </m:r>
              </m:fName>
              <m:e>
                <m:r>
                  <w:rPr>
                    <w:rFonts w:ascii="Cambria Math" w:hAnsi="Cambria Math" w:cs="Times New Roman"/>
                    <w:sz w:val="28"/>
                    <w:szCs w:val="28"/>
                    <w:lang w:val="uk-UA"/>
                  </w:rPr>
                  <m:t>f(x)</m:t>
                </m:r>
              </m:e>
            </m:func>
          </m:num>
          <m:den>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max</m:t>
                </m:r>
              </m:fName>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 xml:space="preserve">- </m:t>
                </m:r>
              </m:e>
            </m:func>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min</m:t>
                </m:r>
              </m:fName>
              <m:e>
                <m:r>
                  <w:rPr>
                    <w:rFonts w:ascii="Cambria Math" w:hAnsi="Cambria Math" w:cs="Times New Roman"/>
                    <w:sz w:val="28"/>
                    <w:szCs w:val="28"/>
                    <w:lang w:val="uk-UA"/>
                  </w:rPr>
                  <m:t>f(x)</m:t>
                </m:r>
              </m:e>
            </m:func>
          </m:den>
        </m:f>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(2)</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r>
    </w:p>
    <w:p w14:paraId="25FCB5A2"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min</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maxf(x)-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num>
          <m:den>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max</m:t>
                </m:r>
              </m:fName>
              <m:e>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r>
                  <w:rPr>
                    <w:rFonts w:ascii="Cambria Math" w:hAnsi="Cambria Math" w:cs="Times New Roman"/>
                    <w:sz w:val="28"/>
                    <w:szCs w:val="28"/>
                    <w:lang w:val="uk-UA"/>
                  </w:rPr>
                  <m:t xml:space="preserve">- </m:t>
                </m:r>
              </m:e>
            </m:func>
            <m:r>
              <m:rPr>
                <m:sty m:val="p"/>
              </m:rPr>
              <w:rPr>
                <w:rFonts w:ascii="Cambria Math" w:hAnsi="Cambria Math" w:cs="Times New Roman"/>
                <w:sz w:val="28"/>
                <w:szCs w:val="28"/>
                <w:lang w:val="uk-UA"/>
              </w:rPr>
              <m:t>min⁡f</m:t>
            </m:r>
            <m:r>
              <w:rPr>
                <w:rFonts w:ascii="Cambria Math" w:hAnsi="Cambria Math" w:cs="Times New Roman"/>
                <w:sz w:val="28"/>
                <w:szCs w:val="28"/>
                <w:lang w:val="uk-UA"/>
              </w:rPr>
              <m:t>(x)</m:t>
            </m:r>
          </m:den>
        </m:f>
      </m:oMath>
      <w:r w:rsidR="00C14BDE" w:rsidRPr="005F0419">
        <w:rPr>
          <w:rFonts w:ascii="Times New Roman" w:hAnsi="Times New Roman" w:cs="Times New Roman"/>
          <w:sz w:val="28"/>
          <w:szCs w:val="28"/>
          <w:lang w:val="uk-UA"/>
        </w:rPr>
        <w:t>,</w:t>
      </w:r>
      <w:r w:rsidR="00C14BDE" w:rsidRPr="005F0419">
        <w:rPr>
          <w:rFonts w:ascii="Times New Roman" w:hAnsi="Times New Roman" w:cs="Times New Roman"/>
          <w:sz w:val="28"/>
          <w:szCs w:val="28"/>
          <w:lang w:val="uk-UA"/>
        </w:rPr>
        <w:tab/>
        <w:t>(3)</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r>
    </w:p>
    <w:p w14:paraId="6AD0CD4F"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5F0419">
        <w:rPr>
          <w:rFonts w:ascii="Times New Roman" w:hAnsi="Times New Roman" w:cs="Times New Roman"/>
          <w:sz w:val="28"/>
          <w:szCs w:val="28"/>
          <w:lang w:val="uk-UA"/>
        </w:rPr>
        <w:t xml:space="preserve"> – значення критерію для конкретної альтернативи,</w:t>
      </w:r>
    </w:p>
    <w:p w14:paraId="6761382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lastRenderedPageBreak/>
        <w:t>max</w:t>
      </w:r>
      <w:proofErr w:type="spellEnd"/>
      <w:r w:rsidRPr="005F0419">
        <w:rPr>
          <w:rFonts w:ascii="Cambria Math" w:hAnsi="Cambria Math" w:cs="Cambria Math"/>
          <w:sz w:val="28"/>
          <w:szCs w:val="28"/>
          <w:lang w:val="uk-UA"/>
        </w:rPr>
        <w:t>𝑓</w:t>
      </w:r>
      <w:r w:rsidRPr="005F0419">
        <w:rPr>
          <w:rFonts w:ascii="Times New Roman" w:hAnsi="Times New Roman" w:cs="Times New Roman"/>
          <w:sz w:val="28"/>
          <w:szCs w:val="28"/>
          <w:lang w:val="uk-UA"/>
        </w:rPr>
        <w:t>(</w:t>
      </w:r>
      <w:r w:rsidRPr="005F0419">
        <w:rPr>
          <w:rFonts w:ascii="Cambria Math" w:hAnsi="Cambria Math" w:cs="Cambria Math"/>
          <w:sz w:val="28"/>
          <w:szCs w:val="28"/>
          <w:lang w:val="uk-UA"/>
        </w:rPr>
        <w:t>𝑥</w:t>
      </w:r>
      <w:r w:rsidRPr="005F0419">
        <w:rPr>
          <w:rFonts w:ascii="Times New Roman" w:hAnsi="Times New Roman" w:cs="Times New Roman"/>
          <w:sz w:val="28"/>
          <w:szCs w:val="28"/>
          <w:lang w:val="uk-UA"/>
        </w:rPr>
        <w:t>) – максимальне значення критерію у вибірці,</w:t>
      </w:r>
    </w:p>
    <w:p w14:paraId="17B3EBBD"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min</w:t>
      </w:r>
      <w:proofErr w:type="spellEnd"/>
      <w:r w:rsidRPr="005F0419">
        <w:rPr>
          <w:rFonts w:ascii="Cambria Math" w:hAnsi="Cambria Math" w:cs="Cambria Math"/>
          <w:sz w:val="28"/>
          <w:szCs w:val="28"/>
          <w:lang w:val="uk-UA"/>
        </w:rPr>
        <w:t>𝑓</w:t>
      </w:r>
      <w:r w:rsidRPr="005F0419">
        <w:rPr>
          <w:rFonts w:ascii="Times New Roman" w:hAnsi="Times New Roman" w:cs="Times New Roman"/>
          <w:sz w:val="28"/>
          <w:szCs w:val="28"/>
          <w:lang w:val="uk-UA"/>
        </w:rPr>
        <w:t>(</w:t>
      </w:r>
      <w:r w:rsidRPr="005F0419">
        <w:rPr>
          <w:rFonts w:ascii="Cambria Math" w:hAnsi="Cambria Math" w:cs="Cambria Math"/>
          <w:sz w:val="28"/>
          <w:szCs w:val="28"/>
          <w:lang w:val="uk-UA"/>
        </w:rPr>
        <w:t>𝑥</w:t>
      </w:r>
      <w:r w:rsidRPr="005F0419">
        <w:rPr>
          <w:rFonts w:ascii="Times New Roman" w:hAnsi="Times New Roman" w:cs="Times New Roman"/>
          <w:sz w:val="28"/>
          <w:szCs w:val="28"/>
          <w:lang w:val="uk-UA"/>
        </w:rPr>
        <w:t>) – мінімальне значення критерію вибірки.</w:t>
      </w:r>
    </w:p>
    <w:p w14:paraId="6C6774A5"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Нормалізація усереднення відображає відносний внесок критерію в загальний показник шляхом визначення співвідношення значення критерію до суми усіх критеріїв.</w:t>
      </w:r>
    </w:p>
    <w:p w14:paraId="57F2C69D" w14:textId="77777777" w:rsidR="00C14BDE" w:rsidRPr="005F0419" w:rsidRDefault="007468C1" w:rsidP="00C14BDE">
      <w:pPr>
        <w:spacing w:after="0" w:line="360" w:lineRule="auto"/>
        <w:ind w:firstLine="720"/>
        <w:jc w:val="both"/>
        <w:rPr>
          <w:rFonts w:ascii="Times New Roman" w:hAnsi="Times New Roman" w:cs="Times New Roman"/>
          <w:sz w:val="28"/>
          <w:szCs w:val="28"/>
          <w:lang w:val="uk-UA"/>
        </w:rPr>
      </w:pPr>
      <m:oMathPara>
        <m:oMath>
          <m:sSubSup>
            <m:sSubSupPr>
              <m:ctrlPr>
                <w:rPr>
                  <w:rFonts w:ascii="Cambria Math" w:hAnsi="Cambria Math" w:cs="Times New Roman"/>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max</m:t>
              </m:r>
            </m:sub>
            <m:sup>
              <m:r>
                <m:rPr>
                  <m:sty m:val="p"/>
                </m:rPr>
                <w:rPr>
                  <w:rFonts w:ascii="Cambria Math" w:hAnsi="Cambria Math" w:cs="Times New Roman"/>
                  <w:sz w:val="28"/>
                  <w:szCs w:val="28"/>
                  <w:lang w:val="uk-UA"/>
                </w:rPr>
                <m:t>'</m:t>
              </m:r>
            </m:sup>
          </m:sSubSup>
          <m:r>
            <m:rPr>
              <m:sty m:val="p"/>
            </m:rPr>
            <w:rPr>
              <w:rFonts w:ascii="Cambria Math" w:hAnsi="Cambria Math" w:cs="Times New Roman"/>
              <w:sz w:val="28"/>
              <w:szCs w:val="28"/>
              <w:lang w:val="uk-UA"/>
            </w:rPr>
            <m:t xml:space="preserve">= </m:t>
          </m:r>
          <m:f>
            <m:fPr>
              <m:ctrlPr>
                <w:rPr>
                  <w:rFonts w:ascii="Cambria Math" w:hAnsi="Cambria Math" w:cs="Times New Roman"/>
                  <w:sz w:val="28"/>
                  <w:szCs w:val="28"/>
                  <w:lang w:val="uk-UA"/>
                </w:rPr>
              </m:ctrlPr>
            </m:fPr>
            <m:num>
              <m:sSub>
                <m:sSubPr>
                  <m:ctrlPr>
                    <w:rPr>
                      <w:rFonts w:ascii="Cambria Math" w:hAnsi="Cambria Math" w:cs="Times New Roman"/>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d>
                <m:dPr>
                  <m:ctrlPr>
                    <w:rPr>
                      <w:rFonts w:ascii="Cambria Math" w:hAnsi="Cambria Math" w:cs="Times New Roman"/>
                      <w:sz w:val="28"/>
                      <w:szCs w:val="28"/>
                      <w:lang w:val="uk-UA"/>
                    </w:rPr>
                  </m:ctrlPr>
                </m:dPr>
                <m:e>
                  <m:r>
                    <w:rPr>
                      <w:rFonts w:ascii="Cambria Math" w:hAnsi="Cambria Math" w:cs="Times New Roman"/>
                      <w:sz w:val="28"/>
                      <w:szCs w:val="28"/>
                      <w:lang w:val="uk-UA"/>
                    </w:rPr>
                    <m:t>x</m:t>
                  </m:r>
                </m:e>
              </m:d>
            </m:num>
            <m:den>
              <m:nary>
                <m:naryPr>
                  <m:chr m:val="∑"/>
                  <m:limLoc m:val="subSup"/>
                  <m:supHide m:val="1"/>
                  <m:ctrlPr>
                    <w:rPr>
                      <w:rFonts w:ascii="Cambria Math" w:hAnsi="Cambria Math" w:cs="Times New Roman"/>
                      <w:sz w:val="28"/>
                      <w:szCs w:val="28"/>
                      <w:lang w:val="uk-UA"/>
                    </w:rPr>
                  </m:ctrlPr>
                </m:naryPr>
                <m:sub>
                  <m:r>
                    <w:rPr>
                      <w:rFonts w:ascii="Cambria Math" w:hAnsi="Cambria Math" w:cs="Times New Roman"/>
                      <w:sz w:val="28"/>
                      <w:szCs w:val="28"/>
                      <w:lang w:val="uk-UA"/>
                    </w:rPr>
                    <m:t>j</m:t>
                  </m:r>
                </m:sub>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x</m:t>
                  </m:r>
                  <m:r>
                    <m:rPr>
                      <m:sty m:val="p"/>
                    </m:rPr>
                    <w:rPr>
                      <w:rFonts w:ascii="Cambria Math" w:hAnsi="Cambria Math" w:cs="Times New Roman"/>
                      <w:sz w:val="28"/>
                      <w:szCs w:val="28"/>
                      <w:lang w:val="uk-UA"/>
                    </w:rPr>
                    <m:t>)</m:t>
                  </m:r>
                </m:e>
              </m:nary>
            </m:den>
          </m:f>
        </m:oMath>
      </m:oMathPara>
    </w:p>
    <w:p w14:paraId="17BA6BCD"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Sup>
          <m:sSubSupPr>
            <m:ctrlPr>
              <w:rPr>
                <w:rFonts w:ascii="Cambria Math" w:hAnsi="Cambria Math" w:cs="Times New Roman"/>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min</m:t>
            </m:r>
          </m:sub>
          <m:sup>
            <m:r>
              <m:rPr>
                <m:sty m:val="p"/>
              </m:rPr>
              <w:rPr>
                <w:rFonts w:ascii="Cambria Math" w:hAnsi="Cambria Math" w:cs="Times New Roman"/>
                <w:sz w:val="28"/>
                <w:szCs w:val="28"/>
                <w:lang w:val="uk-UA"/>
              </w:rPr>
              <m:t>'</m:t>
            </m:r>
          </m:sup>
        </m:sSubSup>
        <m:r>
          <m:rPr>
            <m:sty m:val="p"/>
          </m:rPr>
          <w:rPr>
            <w:rFonts w:ascii="Cambria Math" w:hAnsi="Cambria Math" w:cs="Times New Roman"/>
            <w:sz w:val="28"/>
            <w:szCs w:val="28"/>
            <w:lang w:val="uk-UA"/>
          </w:rPr>
          <m:t xml:space="preserve">= </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d>
              <m:dPr>
                <m:ctrlPr>
                  <w:rPr>
                    <w:rFonts w:ascii="Cambria Math" w:hAnsi="Cambria Math" w:cs="Times New Roman"/>
                    <w:sz w:val="28"/>
                    <w:szCs w:val="28"/>
                    <w:lang w:val="uk-UA"/>
                  </w:rPr>
                </m:ctrlPr>
              </m:dPr>
              <m:e>
                <m:r>
                  <w:rPr>
                    <w:rFonts w:ascii="Cambria Math" w:hAnsi="Cambria Math" w:cs="Times New Roman"/>
                    <w:sz w:val="28"/>
                    <w:szCs w:val="28"/>
                    <w:lang w:val="uk-UA"/>
                  </w:rPr>
                  <m:t>x</m:t>
                </m:r>
              </m:e>
            </m:d>
          </m:num>
          <m:den>
            <m:nary>
              <m:naryPr>
                <m:chr m:val="∑"/>
                <m:limLoc m:val="subSup"/>
                <m:supHide m:val="1"/>
                <m:ctrlPr>
                  <w:rPr>
                    <w:rFonts w:ascii="Cambria Math" w:hAnsi="Cambria Math" w:cs="Times New Roman"/>
                    <w:sz w:val="28"/>
                    <w:szCs w:val="28"/>
                    <w:lang w:val="uk-UA"/>
                  </w:rPr>
                </m:ctrlPr>
              </m:naryPr>
              <m:sub>
                <m:r>
                  <w:rPr>
                    <w:rFonts w:ascii="Cambria Math" w:hAnsi="Cambria Math" w:cs="Times New Roman"/>
                    <w:sz w:val="28"/>
                    <w:szCs w:val="28"/>
                    <w:lang w:val="uk-UA"/>
                  </w:rPr>
                  <m:t>j</m:t>
                </m:r>
              </m:sub>
              <m:sup/>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m:t>
                        </m:r>
                      </m:num>
                      <m:den>
                        <m:r>
                          <w:rPr>
                            <w:rFonts w:ascii="Cambria Math" w:hAnsi="Cambria Math" w:cs="Times New Roman"/>
                            <w:sz w:val="28"/>
                            <w:szCs w:val="28"/>
                            <w:lang w:val="uk-UA"/>
                          </w:rPr>
                          <m:t>f</m:t>
                        </m:r>
                      </m:den>
                    </m:f>
                  </m:e>
                  <m:sub>
                    <m:r>
                      <w:rPr>
                        <w:rFonts w:ascii="Cambria Math" w:hAnsi="Cambria Math" w:cs="Times New Roman"/>
                        <w:sz w:val="28"/>
                        <w:szCs w:val="28"/>
                        <w:lang w:val="uk-UA"/>
                      </w:rPr>
                      <m:t>j</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x</m:t>
                </m:r>
                <m:r>
                  <m:rPr>
                    <m:sty m:val="p"/>
                  </m:rPr>
                  <w:rPr>
                    <w:rFonts w:ascii="Cambria Math" w:hAnsi="Cambria Math" w:cs="Times New Roman"/>
                    <w:sz w:val="28"/>
                    <w:szCs w:val="28"/>
                    <w:lang w:val="uk-UA"/>
                  </w:rPr>
                  <m:t>))</m:t>
                </m:r>
              </m:e>
            </m:nary>
          </m:den>
        </m:f>
      </m:oMath>
      <w:r w:rsidR="00C14BDE" w:rsidRPr="005F0419">
        <w:rPr>
          <w:rFonts w:ascii="Times New Roman" w:hAnsi="Times New Roman" w:cs="Times New Roman"/>
          <w:sz w:val="28"/>
          <w:szCs w:val="28"/>
          <w:lang w:val="uk-UA"/>
        </w:rPr>
        <w:t>,</w:t>
      </w:r>
    </w:p>
    <w:p w14:paraId="65C64720" w14:textId="6DB608C2"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oMath>
      <w:r w:rsidRPr="005F0419">
        <w:rPr>
          <w:rFonts w:ascii="Times New Roman" w:hAnsi="Times New Roman" w:cs="Times New Roman"/>
          <w:sz w:val="28"/>
          <w:szCs w:val="28"/>
          <w:lang w:val="uk-UA"/>
        </w:rPr>
        <w:t xml:space="preserve"> </w:t>
      </w:r>
      <w:r w:rsidR="00C713B7">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представляє собою значення критерію для конкретної альтернативи,</w:t>
      </w:r>
    </w:p>
    <w:p w14:paraId="02A3848D" w14:textId="5C08D4F8" w:rsidR="00C14BDE" w:rsidRPr="005F0419" w:rsidRDefault="007468C1" w:rsidP="00C14BDE">
      <w:pPr>
        <w:spacing w:after="0" w:line="360" w:lineRule="auto"/>
        <w:ind w:firstLine="720"/>
        <w:jc w:val="both"/>
        <w:rPr>
          <w:rFonts w:ascii="Times New Roman" w:hAnsi="Times New Roman" w:cs="Times New Roman"/>
          <w:sz w:val="28"/>
          <w:szCs w:val="28"/>
          <w:lang w:val="uk-UA"/>
        </w:rPr>
      </w:pPr>
      <m:oMath>
        <m:nary>
          <m:naryPr>
            <m:chr m:val="∑"/>
            <m:limLoc m:val="subSup"/>
            <m:supHide m:val="1"/>
            <m:ctrlPr>
              <w:rPr>
                <w:rFonts w:ascii="Cambria Math" w:hAnsi="Cambria Math" w:cs="Times New Roman"/>
                <w:i/>
                <w:sz w:val="28"/>
                <w:szCs w:val="28"/>
                <w:lang w:val="uk-UA"/>
              </w:rPr>
            </m:ctrlPr>
          </m:naryPr>
          <m:sub>
            <m:r>
              <w:rPr>
                <w:rFonts w:ascii="Cambria Math" w:hAnsi="Cambria Math" w:cs="Times New Roman"/>
                <w:sz w:val="28"/>
                <w:szCs w:val="28"/>
                <w:lang w:val="uk-UA"/>
              </w:rPr>
              <m:t>j</m:t>
            </m:r>
          </m: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m:t>
                </m:r>
              </m:sup>
            </m:sSup>
          </m:e>
        </m:nary>
      </m:oMath>
      <w:r w:rsidR="00C713B7">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 xml:space="preserve"> вказує на суму всіх значень критеріїв.</w:t>
      </w:r>
    </w:p>
    <w:p w14:paraId="5620B43E" w14:textId="5D3D221D" w:rsidR="00C14BDE" w:rsidRPr="005F0419" w:rsidRDefault="00C14BDE" w:rsidP="00C14BDE">
      <w:pPr>
        <w:pStyle w:val="a4"/>
        <w:spacing w:after="0" w:line="360" w:lineRule="auto"/>
        <w:ind w:left="0"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Векторна нормалізація полягає у відношенні значення критерію до значення відстані вектор</w:t>
      </w:r>
      <w:r w:rsidR="00C713B7">
        <w:rPr>
          <w:rFonts w:ascii="Times New Roman" w:hAnsi="Times New Roman" w:cs="Times New Roman"/>
          <w:sz w:val="28"/>
          <w:szCs w:val="28"/>
          <w:lang w:val="uk-UA"/>
        </w:rPr>
        <w:t>у</w:t>
      </w:r>
      <w:r w:rsidRPr="005F0419">
        <w:rPr>
          <w:rFonts w:ascii="Times New Roman" w:hAnsi="Times New Roman" w:cs="Times New Roman"/>
          <w:sz w:val="28"/>
          <w:szCs w:val="28"/>
          <w:lang w:val="uk-UA"/>
        </w:rPr>
        <w:t xml:space="preserve">, отриманого як сума квадратів усіх значень векторів: </w:t>
      </w:r>
    </w:p>
    <w:p w14:paraId="3FAF9002" w14:textId="77777777" w:rsidR="00C14BDE" w:rsidRPr="005F0419" w:rsidRDefault="007468C1" w:rsidP="00C14BDE">
      <w:pPr>
        <w:pStyle w:val="a4"/>
        <w:spacing w:after="0" w:line="360" w:lineRule="auto"/>
        <w:ind w:left="0" w:firstLine="720"/>
        <w:rPr>
          <w:rFonts w:ascii="Times New Roman" w:hAnsi="Times New Roman" w:cs="Times New Roman"/>
          <w:sz w:val="28"/>
          <w:szCs w:val="28"/>
          <w:lang w:val="uk-UA"/>
        </w:rPr>
      </w:pPr>
      <m:oMathPara>
        <m:oMathParaPr>
          <m:jc m:val="center"/>
        </m:oMathParaP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max</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num>
            <m:den>
              <m:rad>
                <m:radPr>
                  <m:degHide m:val="1"/>
                  <m:ctrlPr>
                    <w:rPr>
                      <w:rFonts w:ascii="Cambria Math" w:hAnsi="Cambria Math" w:cs="Times New Roman"/>
                      <w:i/>
                      <w:sz w:val="28"/>
                      <w:szCs w:val="28"/>
                      <w:lang w:val="uk-UA"/>
                    </w:rPr>
                  </m:ctrlPr>
                </m:radPr>
                <m:deg/>
                <m:e>
                  <m:nary>
                    <m:naryPr>
                      <m:chr m:val="∑"/>
                      <m:limLoc m:val="subSup"/>
                      <m:supHide m:val="1"/>
                      <m:ctrlPr>
                        <w:rPr>
                          <w:rFonts w:ascii="Cambria Math" w:hAnsi="Cambria Math" w:cs="Times New Roman"/>
                          <w:i/>
                          <w:sz w:val="28"/>
                          <w:szCs w:val="28"/>
                          <w:lang w:val="uk-UA"/>
                        </w:rPr>
                      </m:ctrlPr>
                    </m:naryPr>
                    <m:sub>
                      <m:r>
                        <w:rPr>
                          <w:rFonts w:ascii="Cambria Math" w:hAnsi="Cambria Math" w:cs="Times New Roman"/>
                          <w:sz w:val="28"/>
                          <w:szCs w:val="28"/>
                          <w:lang w:val="uk-UA"/>
                        </w:rPr>
                        <m:t>j</m:t>
                      </m:r>
                    </m:sub>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j</m:t>
                          </m:r>
                        </m:sub>
                        <m:sup>
                          <m:r>
                            <w:rPr>
                              <w:rFonts w:ascii="Cambria Math" w:hAnsi="Cambria Math" w:cs="Times New Roman"/>
                              <w:sz w:val="28"/>
                              <w:szCs w:val="28"/>
                              <w:lang w:val="uk-UA"/>
                            </w:rPr>
                            <m:t>2</m:t>
                          </m:r>
                        </m:sup>
                      </m:sSubSup>
                      <m:r>
                        <w:rPr>
                          <w:rFonts w:ascii="Cambria Math" w:hAnsi="Cambria Math" w:cs="Times New Roman"/>
                          <w:sz w:val="28"/>
                          <w:szCs w:val="28"/>
                          <w:lang w:val="uk-UA"/>
                        </w:rPr>
                        <m:t>(x)</m:t>
                      </m:r>
                    </m:e>
                  </m:nary>
                </m:e>
              </m:rad>
            </m:den>
          </m:f>
        </m:oMath>
      </m:oMathPara>
    </w:p>
    <w:p w14:paraId="4D347345" w14:textId="77777777" w:rsidR="00C14BDE" w:rsidRPr="005F0419" w:rsidRDefault="007468C1" w:rsidP="00C14BDE">
      <w:pPr>
        <w:pStyle w:val="a4"/>
        <w:spacing w:after="0" w:line="360" w:lineRule="auto"/>
        <w:ind w:left="0" w:firstLine="720"/>
        <w:jc w:val="center"/>
        <w:rPr>
          <w:rFonts w:ascii="Times New Roman" w:hAnsi="Times New Roman" w:cs="Times New Roman"/>
          <w:sz w:val="28"/>
          <w:szCs w:val="28"/>
          <w:lang w:val="uk-UA"/>
        </w:rPr>
      </w:pPr>
      <m:oMathPara>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min</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=1- </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j</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x</m:t>
                  </m:r>
                </m:e>
              </m:d>
            </m:num>
            <m:den>
              <m:rad>
                <m:radPr>
                  <m:degHide m:val="1"/>
                  <m:ctrlPr>
                    <w:rPr>
                      <w:rFonts w:ascii="Cambria Math" w:hAnsi="Cambria Math" w:cs="Times New Roman"/>
                      <w:i/>
                      <w:sz w:val="28"/>
                      <w:szCs w:val="28"/>
                      <w:lang w:val="uk-UA"/>
                    </w:rPr>
                  </m:ctrlPr>
                </m:radPr>
                <m:deg/>
                <m:e>
                  <m:nary>
                    <m:naryPr>
                      <m:chr m:val="∑"/>
                      <m:limLoc m:val="subSup"/>
                      <m:supHide m:val="1"/>
                      <m:ctrlPr>
                        <w:rPr>
                          <w:rFonts w:ascii="Cambria Math" w:hAnsi="Cambria Math" w:cs="Times New Roman"/>
                          <w:i/>
                          <w:sz w:val="28"/>
                          <w:szCs w:val="28"/>
                          <w:lang w:val="uk-UA"/>
                        </w:rPr>
                      </m:ctrlPr>
                    </m:naryPr>
                    <m:sub>
                      <m:r>
                        <w:rPr>
                          <w:rFonts w:ascii="Cambria Math" w:hAnsi="Cambria Math" w:cs="Times New Roman"/>
                          <w:sz w:val="28"/>
                          <w:szCs w:val="28"/>
                          <w:lang w:val="uk-UA"/>
                        </w:rPr>
                        <m:t>j</m:t>
                      </m:r>
                    </m:sub>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f</m:t>
                          </m:r>
                        </m:e>
                        <m:sub>
                          <m:r>
                            <w:rPr>
                              <w:rFonts w:ascii="Cambria Math" w:hAnsi="Cambria Math" w:cs="Times New Roman"/>
                              <w:sz w:val="28"/>
                              <w:szCs w:val="28"/>
                              <w:lang w:val="uk-UA"/>
                            </w:rPr>
                            <m:t>j</m:t>
                          </m:r>
                        </m:sub>
                        <m:sup>
                          <m:r>
                            <w:rPr>
                              <w:rFonts w:ascii="Cambria Math" w:hAnsi="Cambria Math" w:cs="Times New Roman"/>
                              <w:sz w:val="28"/>
                              <w:szCs w:val="28"/>
                              <w:lang w:val="uk-UA"/>
                            </w:rPr>
                            <m:t>2</m:t>
                          </m:r>
                        </m:sup>
                      </m:sSubSup>
                      <m:r>
                        <w:rPr>
                          <w:rFonts w:ascii="Cambria Math" w:hAnsi="Cambria Math" w:cs="Times New Roman"/>
                          <w:sz w:val="28"/>
                          <w:szCs w:val="28"/>
                          <w:lang w:val="uk-UA"/>
                        </w:rPr>
                        <m:t>(x)</m:t>
                      </m:r>
                    </m:e>
                  </m:nary>
                </m:e>
              </m:rad>
            </m:den>
          </m:f>
        </m:oMath>
      </m:oMathPara>
    </w:p>
    <w:p w14:paraId="06A37E89" w14:textId="35F3AD1D" w:rsidR="00C14BDE" w:rsidRPr="005F0419" w:rsidRDefault="00C14BDE" w:rsidP="00C713B7">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Кожен із цих методів нормалізації може бути використаний для перетворення критеріїв до єдиної шкали для подальшого порівняння. Однак у даному випадку обрано природну нормалізацію (за формулами 2 та 3), оскільки вона дозволяє значенням критеріїв знаходитися в межах від 0 до 1 та рівномірно розподіляти їх. Цей підхід базується на наявних максимальних та мінімальних значеннях у вибірці, охоплюючи весь діапазон значень альтернатив.</w:t>
      </w:r>
      <w:r w:rsidR="00C713B7">
        <w:rPr>
          <w:rFonts w:ascii="Times New Roman" w:hAnsi="Times New Roman" w:cs="Times New Roman"/>
          <w:sz w:val="28"/>
          <w:szCs w:val="28"/>
          <w:lang w:val="uk-UA"/>
        </w:rPr>
        <w:t xml:space="preserve"> </w:t>
      </w:r>
      <w:bookmarkStart w:id="35" w:name="_Toc152783792"/>
      <w:r w:rsidRPr="005F0419">
        <w:rPr>
          <w:rFonts w:ascii="Times New Roman" w:hAnsi="Times New Roman" w:cs="Times New Roman"/>
          <w:sz w:val="28"/>
          <w:szCs w:val="28"/>
          <w:lang w:val="uk-UA"/>
        </w:rPr>
        <w:t>Визначення вагових коефіцієнтів</w:t>
      </w:r>
      <w:bookmarkEnd w:id="35"/>
      <w:r w:rsidRPr="005F0419">
        <w:rPr>
          <w:rFonts w:ascii="Times New Roman" w:hAnsi="Times New Roman" w:cs="Times New Roman"/>
          <w:sz w:val="28"/>
          <w:szCs w:val="28"/>
          <w:lang w:val="uk-UA"/>
        </w:rPr>
        <w:t>. В найпростіших сценаріях вагові коефіцієнти визначаються як математичне очікування відношення вихідного ефекту, внесеного окремим показником. Проте більш об'єктивним є пошук миттєвих інтегральних значень для вагових коефіцієнтів, оскільки це підвищує ймовірність точної оцінки, що отримана використанням цих коефіцієнтів.</w:t>
      </w:r>
    </w:p>
    <w:p w14:paraId="493A0B9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У практиці оцінювання вагові коефіцієнти часто визначаються експертами. Однак часто виникають обмеження або навіть неможливість їх використання.</w:t>
      </w:r>
    </w:p>
    <w:p w14:paraId="52DB4DB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Експертний метод (ЕМ) визначення значень вагових коефіцієнтів характеристик базується на принципі, коли вагомість кожної характеристики встановлюється як середнє значення, визначене групою експертів. Зазвичай ЕМ використовується у випадках, коли важко чи неможливо використати об'єктивні методи, або коли останні надають менш точні результати або пов'язані з великими витратами. Для подальшого вирішення багатокритеріальної задачі нам потрібно визначити вагові коефіцієнти відносно експертних оцінок для кожного типу ВДЕ.</w:t>
      </w:r>
    </w:p>
    <w:p w14:paraId="42411F40"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Більшість таких завдань рекомендується виконувати експертами. Експертна оцінка в певній мірі відображає погляди споживачів, що не можна отримати іншими методами. Проте суб'єктивність, яка є перевагою ЕМ, одночасно стає причиною його критики.</w:t>
      </w:r>
    </w:p>
    <w:p w14:paraId="5758B5D0"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Ця двозначність в оцінці ЕМ вимагає покращення ефективності та достовірності методу. Аналогічно вимірюванням, коли якість результатів підвищується завдяки збільшенню обсягу спостережень та умов вимірювання, пропонується підвищити якість ЕМ за рахунок залучення нової додаткової інформації та збільшення об'єму експериментальних даних.</w:t>
      </w:r>
    </w:p>
    <w:p w14:paraId="0143C50F"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Отже, це може призвести до складнощів та збільшення витрат, що свідчить про нестачу ефективності запропонованих заходів. Серед інших недоліків ЕМ можна відзначити надмірну довірливість до суб'єктивних оцінок та принцип "я сам все знаю"; низька кваліфікація експертів через значні витрати на їхню підготовку; нечітке формулювання завдань та відсутність вірної початкової інформації; неправильна організація обміну інформацією; обмежене застосування експертних процедур для економії коштів; можливість порушення принципу транзитивності через використання порядкової шкали; конформізм та кон'юнктурність у думках експертів. Однак дослідження даного питання показує -  експертні методи з участю досвідчених фахівців дають достатньо точні та відтворювані оцінки. Експерименти свідчать, що за правильної методики </w:t>
      </w:r>
      <w:r w:rsidRPr="005F0419">
        <w:rPr>
          <w:rFonts w:ascii="Times New Roman" w:hAnsi="Times New Roman" w:cs="Times New Roman"/>
          <w:sz w:val="28"/>
          <w:szCs w:val="28"/>
          <w:lang w:val="uk-UA"/>
        </w:rPr>
        <w:lastRenderedPageBreak/>
        <w:t>похибка результатів становить 5-10%. Результати, отримані у різних експериментальних групах, можуть показувати високу, стабільну в часі та відтворювану оцінку від експерта до експерта.</w:t>
      </w:r>
    </w:p>
    <w:p w14:paraId="1FEB716C"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При виборі методу для визначення вагових коефіцієнтів розглядались наступні методи:</w:t>
      </w:r>
    </w:p>
    <w:p w14:paraId="266AECB7"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i/>
          <w:sz w:val="28"/>
          <w:szCs w:val="28"/>
          <w:lang w:val="uk-UA"/>
        </w:rPr>
        <w:t>Метод аналізу ієрархій</w:t>
      </w:r>
      <w:r w:rsidRPr="005F0419">
        <w:rPr>
          <w:rFonts w:ascii="Times New Roman" w:hAnsi="Times New Roman" w:cs="Times New Roman"/>
          <w:sz w:val="28"/>
          <w:szCs w:val="28"/>
          <w:lang w:val="uk-UA"/>
        </w:rPr>
        <w:t xml:space="preserve">. Метод аналізу ієрархій (МАІ) часто використовують для отримання вагових коефіцієнтів. Ідея полягає у побудові матриць парних порівнянь для показників, включених у різні групи за змістом. Матриця парних порівнянь є квадратною, назад симетричною матрицею, на головній діагоналі якої стоять одиниці. Значення під головною діагоналлю утворюються шляхом розподілу відповідних значень над головною діагоналлю та навпаки. Кожен показник, розташований у рядку порівнюється з усіма показниками, зазначеними в стовпцях матриці. Значення елементів матриці від 1 до 9 відображають дев'ять ступенів важливості одного критерію порівняно з іншим, причому п'ять значень є основними (1,3,5,7,9) та чотири - проміжними значеннями (2,4,6,8). Елементів матриці </w:t>
      </w:r>
      <w:r w:rsidRPr="005F0419">
        <w:rPr>
          <w:rFonts w:ascii="Cambria Math" w:hAnsi="Cambria Math" w:cs="Cambria Math"/>
          <w:sz w:val="28"/>
          <w:szCs w:val="28"/>
          <w:lang w:val="uk-UA"/>
        </w:rPr>
        <w:t>𝑎𝑖𝑗</w:t>
      </w:r>
      <w:r w:rsidRPr="005F0419">
        <w:rPr>
          <w:rFonts w:ascii="Times New Roman" w:hAnsi="Times New Roman" w:cs="Times New Roman"/>
          <w:sz w:val="28"/>
          <w:szCs w:val="28"/>
          <w:lang w:val="uk-UA"/>
        </w:rPr>
        <w:t xml:space="preserve"> присвоюються значення за наступним принципом:</w:t>
      </w:r>
    </w:p>
    <w:p w14:paraId="6F07FB76" w14:textId="77777777" w:rsidR="00C14BDE" w:rsidRPr="005F0419" w:rsidRDefault="00C14BDE" w:rsidP="00C14BDE">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1 – якщо показники мають однакову значимість,</w:t>
      </w:r>
    </w:p>
    <w:p w14:paraId="2046D14C" w14:textId="77777777" w:rsidR="00C14BDE" w:rsidRPr="005F0419" w:rsidRDefault="00C14BDE" w:rsidP="00C14BDE">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 – якщо показник у рядку </w:t>
      </w:r>
      <w:r w:rsidRPr="005F0419">
        <w:rPr>
          <w:rFonts w:ascii="Cambria Math" w:hAnsi="Cambria Math" w:cs="Cambria Math"/>
          <w:sz w:val="28"/>
          <w:szCs w:val="28"/>
          <w:lang w:val="uk-UA"/>
        </w:rPr>
        <w:t>𝑖</w:t>
      </w:r>
      <w:r w:rsidRPr="005F0419">
        <w:rPr>
          <w:rFonts w:ascii="Times New Roman" w:hAnsi="Times New Roman" w:cs="Times New Roman"/>
          <w:sz w:val="28"/>
          <w:szCs w:val="28"/>
          <w:lang w:val="uk-UA"/>
        </w:rPr>
        <w:t xml:space="preserve"> трохи кращий за фактор у стовпці </w:t>
      </w:r>
      <w:r w:rsidRPr="005F0419">
        <w:rPr>
          <w:rFonts w:ascii="Cambria Math" w:hAnsi="Cambria Math" w:cs="Cambria Math"/>
          <w:sz w:val="28"/>
          <w:szCs w:val="28"/>
          <w:lang w:val="uk-UA"/>
        </w:rPr>
        <w:t>𝑗</w:t>
      </w:r>
      <w:r w:rsidRPr="005F0419">
        <w:rPr>
          <w:rFonts w:ascii="Times New Roman" w:hAnsi="Times New Roman" w:cs="Times New Roman"/>
          <w:sz w:val="28"/>
          <w:szCs w:val="28"/>
          <w:lang w:val="uk-UA"/>
        </w:rPr>
        <w:t>,</w:t>
      </w:r>
    </w:p>
    <w:p w14:paraId="57D8105F" w14:textId="77777777" w:rsidR="00C14BDE" w:rsidRPr="005F0419" w:rsidRDefault="00C14BDE" w:rsidP="00C14BDE">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5 – якщо фактор у рядку </w:t>
      </w:r>
      <w:r w:rsidRPr="005F0419">
        <w:rPr>
          <w:rFonts w:ascii="Cambria Math" w:hAnsi="Cambria Math" w:cs="Cambria Math"/>
          <w:sz w:val="28"/>
          <w:szCs w:val="28"/>
          <w:lang w:val="uk-UA"/>
        </w:rPr>
        <w:t>𝑖</w:t>
      </w:r>
      <w:r w:rsidRPr="005F0419">
        <w:rPr>
          <w:rFonts w:ascii="Times New Roman" w:hAnsi="Times New Roman" w:cs="Times New Roman"/>
          <w:sz w:val="28"/>
          <w:szCs w:val="28"/>
          <w:lang w:val="uk-UA"/>
        </w:rPr>
        <w:t xml:space="preserve"> середньо кращий за фактор у стовпці </w:t>
      </w:r>
      <w:r w:rsidRPr="005F0419">
        <w:rPr>
          <w:rFonts w:ascii="Cambria Math" w:hAnsi="Cambria Math" w:cs="Cambria Math"/>
          <w:sz w:val="28"/>
          <w:szCs w:val="28"/>
          <w:lang w:val="uk-UA"/>
        </w:rPr>
        <w:t>𝑗</w:t>
      </w:r>
      <w:r w:rsidRPr="005F0419">
        <w:rPr>
          <w:rFonts w:ascii="Times New Roman" w:hAnsi="Times New Roman" w:cs="Times New Roman"/>
          <w:sz w:val="28"/>
          <w:szCs w:val="28"/>
          <w:lang w:val="uk-UA"/>
        </w:rPr>
        <w:t>,</w:t>
      </w:r>
    </w:p>
    <w:p w14:paraId="16F8FC75" w14:textId="77777777" w:rsidR="00C14BDE" w:rsidRPr="005F0419" w:rsidRDefault="00C14BDE" w:rsidP="00C14BDE">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7 – якщо фактор у рядку </w:t>
      </w:r>
      <w:r w:rsidRPr="005F0419">
        <w:rPr>
          <w:rFonts w:ascii="Cambria Math" w:hAnsi="Cambria Math" w:cs="Cambria Math"/>
          <w:sz w:val="28"/>
          <w:szCs w:val="28"/>
          <w:lang w:val="uk-UA"/>
        </w:rPr>
        <w:t>𝑖</w:t>
      </w:r>
      <w:r w:rsidRPr="005F0419">
        <w:rPr>
          <w:rFonts w:ascii="Times New Roman" w:hAnsi="Times New Roman" w:cs="Times New Roman"/>
          <w:sz w:val="28"/>
          <w:szCs w:val="28"/>
          <w:lang w:val="uk-UA"/>
        </w:rPr>
        <w:t xml:space="preserve"> значно кращий за фактор у стовпці </w:t>
      </w:r>
      <w:r w:rsidRPr="005F0419">
        <w:rPr>
          <w:rFonts w:ascii="Cambria Math" w:hAnsi="Cambria Math" w:cs="Cambria Math"/>
          <w:sz w:val="28"/>
          <w:szCs w:val="28"/>
          <w:lang w:val="uk-UA"/>
        </w:rPr>
        <w:t>𝑗</w:t>
      </w:r>
      <w:r w:rsidRPr="005F0419">
        <w:rPr>
          <w:rFonts w:ascii="Times New Roman" w:hAnsi="Times New Roman" w:cs="Times New Roman"/>
          <w:sz w:val="28"/>
          <w:szCs w:val="28"/>
          <w:lang w:val="uk-UA"/>
        </w:rPr>
        <w:t>,</w:t>
      </w:r>
    </w:p>
    <w:p w14:paraId="68F9D637" w14:textId="77777777" w:rsidR="00C14BDE" w:rsidRPr="005F0419" w:rsidRDefault="00C14BDE" w:rsidP="00C14BDE">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9 – якщо фактор у рядку </w:t>
      </w:r>
      <w:r w:rsidRPr="005F0419">
        <w:rPr>
          <w:rFonts w:ascii="Cambria Math" w:hAnsi="Cambria Math" w:cs="Cambria Math"/>
          <w:sz w:val="28"/>
          <w:szCs w:val="28"/>
          <w:lang w:val="uk-UA"/>
        </w:rPr>
        <w:t>𝑖</w:t>
      </w:r>
      <w:r w:rsidRPr="005F0419">
        <w:rPr>
          <w:rFonts w:ascii="Times New Roman" w:hAnsi="Times New Roman" w:cs="Times New Roman"/>
          <w:sz w:val="28"/>
          <w:szCs w:val="28"/>
          <w:lang w:val="uk-UA"/>
        </w:rPr>
        <w:t xml:space="preserve"> повністю домінує фактор у стовпці </w:t>
      </w:r>
      <w:r w:rsidRPr="005F0419">
        <w:rPr>
          <w:rFonts w:ascii="Cambria Math" w:hAnsi="Cambria Math" w:cs="Cambria Math"/>
          <w:sz w:val="28"/>
          <w:szCs w:val="28"/>
          <w:lang w:val="uk-UA"/>
        </w:rPr>
        <w:t>𝑗</w:t>
      </w:r>
      <w:r w:rsidRPr="005F0419">
        <w:rPr>
          <w:rFonts w:ascii="Times New Roman" w:hAnsi="Times New Roman" w:cs="Times New Roman"/>
          <w:sz w:val="28"/>
          <w:szCs w:val="28"/>
          <w:lang w:val="uk-UA"/>
        </w:rPr>
        <w:t>.</w:t>
      </w:r>
    </w:p>
    <w:p w14:paraId="539BE148"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випадку, коли критерій, що розглядається, є не більш, а менш важливим, ніж той, з яким його порівнюють, таке співвідношення описується також за допомогою дев'яти ступенів порівняння, але представлених оберненими величинами значень: 1, 1/2, 1/3, ..., 1/9. Наприклад, нехай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oMath>
      <w:r w:rsidRPr="005F0419">
        <w:rPr>
          <w:rFonts w:ascii="Times New Roman" w:hAnsi="Times New Roman" w:cs="Times New Roman"/>
          <w:sz w:val="28"/>
          <w:szCs w:val="28"/>
          <w:lang w:val="uk-UA"/>
        </w:rPr>
        <w:t xml:space="preserve"> - ресурсна потенціальність;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oMath>
      <w:r w:rsidRPr="005F0419">
        <w:rPr>
          <w:rFonts w:ascii="Times New Roman" w:hAnsi="Times New Roman" w:cs="Times New Roman"/>
          <w:sz w:val="28"/>
          <w:szCs w:val="28"/>
          <w:lang w:val="uk-UA"/>
        </w:rPr>
        <w:t xml:space="preserve">  - ефективність технологій;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m:t>
            </m:r>
          </m:sub>
        </m:sSub>
      </m:oMath>
      <w:r w:rsidRPr="005F0419">
        <w:rPr>
          <w:rFonts w:ascii="Times New Roman" w:hAnsi="Times New Roman" w:cs="Times New Roman"/>
          <w:sz w:val="28"/>
          <w:szCs w:val="28"/>
          <w:lang w:val="uk-UA"/>
        </w:rPr>
        <w:t xml:space="preserve">  - економічна вигода,</w:t>
      </w:r>
      <m:oMath>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4</m:t>
            </m:r>
          </m:sub>
        </m:sSub>
        <m:r>
          <w:rPr>
            <w:rFonts w:ascii="Cambria Math" w:hAnsi="Cambria Math" w:cs="Times New Roman"/>
            <w:sz w:val="28"/>
            <w:szCs w:val="28"/>
            <w:lang w:val="uk-UA"/>
          </w:rPr>
          <m:t xml:space="preserve">- </m:t>
        </m:r>
        <m:r>
          <m:rPr>
            <m:sty m:val="p"/>
          </m:rPr>
          <w:rPr>
            <w:rFonts w:ascii="Cambria Math" w:hAnsi="Cambria Math" w:cs="Times New Roman"/>
            <w:sz w:val="28"/>
            <w:szCs w:val="28"/>
            <w:lang w:val="uk-UA"/>
          </w:rPr>
          <m:t>соціальний вплив</m:t>
        </m:r>
      </m:oMath>
      <w:r w:rsidRPr="005F0419">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5</m:t>
            </m:r>
          </m:sub>
        </m:sSub>
        <m:r>
          <w:rPr>
            <w:rFonts w:ascii="Cambria Math" w:hAnsi="Cambria Math" w:cs="Times New Roman"/>
            <w:sz w:val="28"/>
            <w:szCs w:val="28"/>
            <w:lang w:val="uk-UA"/>
          </w:rPr>
          <m:t>-</m:t>
        </m:r>
        <m:r>
          <m:rPr>
            <m:sty m:val="p"/>
          </m:rPr>
          <w:rPr>
            <w:rFonts w:ascii="Cambria Math" w:hAnsi="Cambria Math" w:cs="Times New Roman"/>
            <w:sz w:val="28"/>
            <w:szCs w:val="28"/>
            <w:lang w:val="uk-UA"/>
          </w:rPr>
          <m:t>правова та регуляторна ситуація</m:t>
        </m:r>
      </m:oMath>
      <w:r w:rsidRPr="005F0419">
        <w:rPr>
          <w:rFonts w:ascii="Times New Roman" w:hAnsi="Times New Roman" w:cs="Times New Roman"/>
          <w:sz w:val="28"/>
          <w:szCs w:val="28"/>
          <w:lang w:val="uk-UA"/>
        </w:rPr>
        <w:t>.  Матриця парних порівнянь може мати вигляд:</w:t>
      </w:r>
    </w:p>
    <w:p w14:paraId="1E1E772D"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
    <w:p w14:paraId="11CEC208"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m:oMathPara>
        <m:oMath>
          <m:r>
            <w:rPr>
              <w:rFonts w:ascii="Cambria Math" w:hAnsi="Cambria Math" w:cs="Times New Roman"/>
              <w:sz w:val="28"/>
              <w:szCs w:val="28"/>
              <w:lang w:val="uk-UA"/>
            </w:rPr>
            <w:lastRenderedPageBreak/>
            <m:t xml:space="preserve">А= </m:t>
          </m:r>
          <m:d>
            <m:dPr>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2</m:t>
                    </m:r>
                  </m:e>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1/3</m:t>
                          </m:r>
                        </m:e>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1/5</m:t>
                                </m:r>
                              </m:e>
                              <m:e>
                                <m:r>
                                  <w:rPr>
                                    <w:rFonts w:ascii="Cambria Math" w:hAnsi="Cambria Math" w:cs="Times New Roman"/>
                                    <w:sz w:val="28"/>
                                    <w:szCs w:val="28"/>
                                    <w:lang w:val="uk-UA"/>
                                  </w:rPr>
                                  <m:t>1/7</m:t>
                                </m:r>
                              </m:e>
                            </m:mr>
                          </m:m>
                        </m:e>
                      </m:mr>
                    </m:m>
                  </m:e>
                </m:mr>
                <m:mr>
                  <m:e>
                    <m:r>
                      <w:rPr>
                        <w:rFonts w:ascii="Cambria Math" w:hAnsi="Cambria Math" w:cs="Times New Roman"/>
                        <w:sz w:val="28"/>
                        <w:szCs w:val="28"/>
                        <w:lang w:val="uk-UA"/>
                      </w:rPr>
                      <m:t>1/2</m:t>
                    </m:r>
                  </m:e>
                  <m:e>
                    <m:r>
                      <w:rPr>
                        <w:rFonts w:ascii="Cambria Math" w:hAnsi="Cambria Math" w:cs="Times New Roman"/>
                        <w:sz w:val="28"/>
                        <w:szCs w:val="28"/>
                        <w:lang w:val="uk-UA"/>
                      </w:rPr>
                      <m:t>1</m:t>
                    </m:r>
                  </m:e>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1/6</m:t>
                          </m:r>
                        </m:e>
                        <m:e>
                          <m:m>
                            <m:mPr>
                              <m:mcs>
                                <m:mc>
                                  <m:mcPr>
                                    <m:count m:val="2"/>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1/9</m:t>
                                </m:r>
                              </m:e>
                              <m:e>
                                <m:r>
                                  <w:rPr>
                                    <w:rFonts w:ascii="Cambria Math" w:hAnsi="Cambria Math" w:cs="Times New Roman"/>
                                    <w:sz w:val="28"/>
                                    <w:szCs w:val="28"/>
                                    <w:lang w:val="uk-UA"/>
                                  </w:rPr>
                                  <m:t>1/9</m:t>
                                </m:r>
                              </m:e>
                            </m:mr>
                          </m:m>
                        </m:e>
                      </m:mr>
                    </m:m>
                  </m:e>
                </m:mr>
                <m:m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3</m:t>
                          </m:r>
                        </m:e>
                      </m:mr>
                      <m:mr>
                        <m:e>
                          <m:r>
                            <w:rPr>
                              <w:rFonts w:ascii="Cambria Math" w:hAnsi="Cambria Math" w:cs="Times New Roman"/>
                              <w:sz w:val="28"/>
                              <w:szCs w:val="28"/>
                              <w:lang w:val="uk-UA"/>
                            </w:rPr>
                            <m:t>5</m:t>
                          </m:r>
                        </m:e>
                      </m:mr>
                      <m:mr>
                        <m:e>
                          <m:r>
                            <w:rPr>
                              <w:rFonts w:ascii="Cambria Math" w:hAnsi="Cambria Math" w:cs="Times New Roman"/>
                              <w:sz w:val="28"/>
                              <w:szCs w:val="28"/>
                              <w:lang w:val="uk-UA"/>
                            </w:rPr>
                            <m:t>7</m:t>
                          </m:r>
                        </m:e>
                      </m:mr>
                    </m:m>
                  </m:e>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6</m:t>
                          </m:r>
                        </m:e>
                      </m:mr>
                      <m:mr>
                        <m:e>
                          <m:r>
                            <w:rPr>
                              <w:rFonts w:ascii="Cambria Math" w:hAnsi="Cambria Math" w:cs="Times New Roman"/>
                              <w:sz w:val="28"/>
                              <w:szCs w:val="28"/>
                              <w:lang w:val="uk-UA"/>
                            </w:rPr>
                            <m:t>9</m:t>
                          </m:r>
                        </m:e>
                      </m:mr>
                      <m:mr>
                        <m:e>
                          <m:r>
                            <w:rPr>
                              <w:rFonts w:ascii="Cambria Math" w:hAnsi="Cambria Math" w:cs="Times New Roman"/>
                              <w:sz w:val="28"/>
                              <w:szCs w:val="28"/>
                              <w:lang w:val="uk-UA"/>
                            </w:rPr>
                            <m:t>9</m:t>
                          </m:r>
                        </m:e>
                      </m:mr>
                    </m:m>
                  </m:e>
                  <m:e>
                    <m:m>
                      <m:mPr>
                        <m:mcs>
                          <m:mc>
                            <m:mcPr>
                              <m:count m:val="2"/>
                              <m:mcJc m:val="center"/>
                            </m:mcPr>
                          </m:mc>
                        </m:mcs>
                        <m:ctrlPr>
                          <w:rPr>
                            <w:rFonts w:ascii="Cambria Math" w:hAnsi="Cambria Math" w:cs="Times New Roman"/>
                            <w:i/>
                            <w:sz w:val="28"/>
                            <w:szCs w:val="28"/>
                            <w:lang w:val="uk-UA"/>
                          </w:rPr>
                        </m:ctrlPr>
                      </m:mPr>
                      <m:m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mr>
                            <m:mr>
                              <m:e>
                                <m:r>
                                  <w:rPr>
                                    <w:rFonts w:ascii="Cambria Math" w:hAnsi="Cambria Math" w:cs="Times New Roman"/>
                                    <w:sz w:val="28"/>
                                    <w:szCs w:val="28"/>
                                    <w:lang w:val="uk-UA"/>
                                  </w:rPr>
                                  <m:t>2</m:t>
                                </m:r>
                              </m:e>
                            </m:mr>
                            <m:mr>
                              <m:e>
                                <m:r>
                                  <w:rPr>
                                    <w:rFonts w:ascii="Cambria Math" w:hAnsi="Cambria Math" w:cs="Times New Roman"/>
                                    <w:sz w:val="28"/>
                                    <w:szCs w:val="28"/>
                                    <w:lang w:val="uk-UA"/>
                                  </w:rPr>
                                  <m:t>2</m:t>
                                </m:r>
                              </m:e>
                            </m:mr>
                          </m:m>
                        </m:e>
                        <m:e>
                          <m:m>
                            <m:mPr>
                              <m:mcs>
                                <m:mc>
                                  <m:mcPr>
                                    <m:count m:val="2"/>
                                    <m:mcJc m:val="center"/>
                                  </m:mcPr>
                                </m:mc>
                              </m:mcs>
                              <m:ctrlPr>
                                <w:rPr>
                                  <w:rFonts w:ascii="Cambria Math" w:hAnsi="Cambria Math" w:cs="Times New Roman"/>
                                  <w:i/>
                                  <w:sz w:val="28"/>
                                  <w:szCs w:val="28"/>
                                  <w:lang w:val="uk-UA"/>
                                </w:rPr>
                              </m:ctrlPr>
                            </m:mPr>
                            <m:m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1/2</m:t>
                                      </m:r>
                                    </m:e>
                                  </m:mr>
                                  <m:mr>
                                    <m:e>
                                      <m:r>
                                        <w:rPr>
                                          <w:rFonts w:ascii="Cambria Math" w:hAnsi="Cambria Math" w:cs="Times New Roman"/>
                                          <w:sz w:val="28"/>
                                          <w:szCs w:val="28"/>
                                          <w:lang w:val="uk-UA"/>
                                        </w:rPr>
                                        <m:t>1</m:t>
                                      </m:r>
                                    </m:e>
                                  </m:mr>
                                  <m:mr>
                                    <m:e>
                                      <m:r>
                                        <w:rPr>
                                          <w:rFonts w:ascii="Cambria Math" w:hAnsi="Cambria Math" w:cs="Times New Roman"/>
                                          <w:sz w:val="28"/>
                                          <w:szCs w:val="28"/>
                                          <w:lang w:val="uk-UA"/>
                                        </w:rPr>
                                        <m:t>2</m:t>
                                      </m:r>
                                    </m:e>
                                  </m:mr>
                                </m:m>
                              </m:e>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1/2</m:t>
                                      </m:r>
                                    </m:e>
                                  </m:mr>
                                  <m:mr>
                                    <m:e>
                                      <m:r>
                                        <w:rPr>
                                          <w:rFonts w:ascii="Cambria Math" w:hAnsi="Cambria Math" w:cs="Times New Roman"/>
                                          <w:sz w:val="28"/>
                                          <w:szCs w:val="28"/>
                                          <w:lang w:val="uk-UA"/>
                                        </w:rPr>
                                        <m:t>1/2</m:t>
                                      </m:r>
                                    </m:e>
                                  </m:mr>
                                  <m:mr>
                                    <m:e>
                                      <m:r>
                                        <w:rPr>
                                          <w:rFonts w:ascii="Cambria Math" w:hAnsi="Cambria Math" w:cs="Times New Roman"/>
                                          <w:sz w:val="28"/>
                                          <w:szCs w:val="28"/>
                                          <w:lang w:val="uk-UA"/>
                                        </w:rPr>
                                        <m:t>1</m:t>
                                      </m:r>
                                    </m:e>
                                  </m:mr>
                                </m:m>
                              </m:e>
                            </m:mr>
                          </m:m>
                        </m:e>
                      </m:mr>
                    </m:m>
                  </m:e>
                </m:mr>
              </m:m>
            </m:e>
          </m:d>
        </m:oMath>
      </m:oMathPara>
    </w:p>
    <w:p w14:paraId="43F667BA"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Коли матриця парних порівнянь побудована, її нормалізують: ділять елементи кожного стовпця на суму всіх елементів цього стовпця. Середні елементи рядків нормалізованих матриць дають відповідні відносні ваги показників.</w:t>
      </w:r>
    </w:p>
    <w:p w14:paraId="5EF61499"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Нормалізована матриця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n</m:t>
            </m:r>
          </m:sub>
        </m:sSub>
      </m:oMath>
      <w:r w:rsidRPr="005F0419">
        <w:rPr>
          <w:rFonts w:ascii="Times New Roman" w:hAnsi="Times New Roman" w:cs="Times New Roman"/>
          <w:sz w:val="28"/>
          <w:szCs w:val="28"/>
          <w:lang w:val="uk-UA"/>
        </w:rPr>
        <w:t xml:space="preserve"> та відносні ваги показників будуть наступними:</w:t>
      </w:r>
    </w:p>
    <w:p w14:paraId="71466162" w14:textId="77777777" w:rsidR="00C14BDE" w:rsidRPr="005F0419" w:rsidRDefault="007468C1" w:rsidP="00C14BDE">
      <w:pPr>
        <w:spacing w:after="0" w:line="360" w:lineRule="auto"/>
        <w:ind w:firstLine="72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n</m:t>
              </m:r>
            </m:sub>
          </m:sSub>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0,061</m:t>
                    </m:r>
                  </m:e>
                  <m:e>
                    <m:r>
                      <w:rPr>
                        <w:rFonts w:ascii="Cambria Math" w:hAnsi="Cambria Math" w:cs="Times New Roman"/>
                        <w:sz w:val="28"/>
                        <w:szCs w:val="28"/>
                        <w:lang w:val="uk-UA"/>
                      </w:rPr>
                      <m:t>0,074</m:t>
                    </m:r>
                  </m:e>
                  <m:e>
                    <m:r>
                      <m:rPr>
                        <m:sty m:val="p"/>
                      </m:rPr>
                      <w:rPr>
                        <w:rFonts w:ascii="Cambria Math" w:hAnsi="Cambria Math" w:cs="Times New Roman"/>
                        <w:sz w:val="28"/>
                        <w:szCs w:val="28"/>
                        <w:lang w:val="uk-UA"/>
                      </w:rPr>
                      <m:t>0,061    0,052     0,063</m:t>
                    </m:r>
                  </m:e>
                </m:mr>
                <m:mr>
                  <m:e>
                    <m:r>
                      <w:rPr>
                        <w:rFonts w:ascii="Cambria Math" w:hAnsi="Cambria Math" w:cs="Times New Roman"/>
                        <w:sz w:val="28"/>
                        <w:szCs w:val="28"/>
                        <w:lang w:val="uk-UA"/>
                      </w:rPr>
                      <m:t>0,030</m:t>
                    </m:r>
                  </m:e>
                  <m:e>
                    <m:r>
                      <w:rPr>
                        <w:rFonts w:ascii="Cambria Math" w:hAnsi="Cambria Math" w:cs="Times New Roman"/>
                        <w:sz w:val="28"/>
                        <w:szCs w:val="28"/>
                        <w:lang w:val="uk-UA"/>
                      </w:rPr>
                      <m:t>0,037</m:t>
                    </m:r>
                  </m:e>
                  <m:e>
                    <m:r>
                      <m:rPr>
                        <m:sty m:val="p"/>
                      </m:rPr>
                      <w:rPr>
                        <w:rFonts w:ascii="Cambria Math" w:hAnsi="Cambria Math" w:cs="Times New Roman"/>
                        <w:sz w:val="28"/>
                        <w:szCs w:val="28"/>
                        <w:lang w:val="uk-UA"/>
                      </w:rPr>
                      <m:t>0,030    0,029     0,049</m:t>
                    </m:r>
                  </m:e>
                </m:mr>
                <m:m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0,182</m:t>
                          </m:r>
                        </m:e>
                      </m:mr>
                      <m:mr>
                        <m:e>
                          <m:r>
                            <w:rPr>
                              <w:rFonts w:ascii="Cambria Math" w:hAnsi="Cambria Math" w:cs="Times New Roman"/>
                              <w:sz w:val="28"/>
                              <w:szCs w:val="28"/>
                              <w:lang w:val="uk-UA"/>
                            </w:rPr>
                            <m:t>0,303</m:t>
                          </m:r>
                        </m:e>
                      </m:mr>
                      <m:mr>
                        <m:e>
                          <m:r>
                            <w:rPr>
                              <w:rFonts w:ascii="Cambria Math" w:hAnsi="Cambria Math" w:cs="Times New Roman"/>
                              <w:sz w:val="28"/>
                              <w:szCs w:val="28"/>
                              <w:lang w:val="uk-UA"/>
                            </w:rPr>
                            <m:t>0,424</m:t>
                          </m:r>
                        </m:e>
                      </m:mr>
                    </m:m>
                  </m:e>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0,222</m:t>
                          </m:r>
                        </m:e>
                      </m:mr>
                      <m:mr>
                        <m:e>
                          <m:r>
                            <w:rPr>
                              <w:rFonts w:ascii="Cambria Math" w:hAnsi="Cambria Math" w:cs="Times New Roman"/>
                              <w:sz w:val="28"/>
                              <w:szCs w:val="28"/>
                              <w:lang w:val="uk-UA"/>
                            </w:rPr>
                            <m:t>0,333</m:t>
                          </m:r>
                        </m:e>
                      </m:mr>
                      <m:mr>
                        <m:e>
                          <m:r>
                            <w:rPr>
                              <w:rFonts w:ascii="Cambria Math" w:hAnsi="Cambria Math" w:cs="Times New Roman"/>
                              <w:sz w:val="28"/>
                              <w:szCs w:val="28"/>
                              <w:lang w:val="uk-UA"/>
                            </w:rPr>
                            <m:t>0,333</m:t>
                          </m:r>
                        </m:e>
                      </m:mr>
                    </m:m>
                  </m:e>
                  <m:e>
                    <m:m>
                      <m:mPr>
                        <m:mcs>
                          <m:mc>
                            <m:mcPr>
                              <m:count m:val="2"/>
                              <m:mcJc m:val="center"/>
                            </m:mcPr>
                          </m:mc>
                        </m:mcs>
                        <m:ctrlPr>
                          <w:rPr>
                            <w:rFonts w:ascii="Cambria Math" w:hAnsi="Cambria Math" w:cs="Times New Roman"/>
                            <w:i/>
                            <w:sz w:val="28"/>
                            <w:szCs w:val="28"/>
                            <w:lang w:val="uk-UA"/>
                          </w:rPr>
                        </m:ctrlPr>
                      </m:mPr>
                      <m:m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0,182</m:t>
                                </m:r>
                              </m:e>
                            </m:mr>
                            <m:mr>
                              <m:e>
                                <m:r>
                                  <w:rPr>
                                    <w:rFonts w:ascii="Cambria Math" w:hAnsi="Cambria Math" w:cs="Times New Roman"/>
                                    <w:sz w:val="28"/>
                                    <w:szCs w:val="28"/>
                                    <w:lang w:val="uk-UA"/>
                                  </w:rPr>
                                  <m:t>0,364</m:t>
                                </m:r>
                              </m:e>
                            </m:mr>
                            <m:mr>
                              <m:e>
                                <m:r>
                                  <w:rPr>
                                    <w:rFonts w:ascii="Cambria Math" w:hAnsi="Cambria Math" w:cs="Times New Roman"/>
                                    <w:sz w:val="28"/>
                                    <w:szCs w:val="28"/>
                                    <w:lang w:val="uk-UA"/>
                                  </w:rPr>
                                  <m:t>0,364</m:t>
                                </m:r>
                              </m:e>
                            </m:mr>
                          </m:m>
                        </m:e>
                        <m:e>
                          <m:m>
                            <m:mPr>
                              <m:mcs>
                                <m:mc>
                                  <m:mcPr>
                                    <m:count m:val="2"/>
                                    <m:mcJc m:val="center"/>
                                  </m:mcPr>
                                </m:mc>
                              </m:mcs>
                              <m:ctrlPr>
                                <w:rPr>
                                  <w:rFonts w:ascii="Cambria Math" w:hAnsi="Cambria Math" w:cs="Times New Roman"/>
                                  <w:i/>
                                  <w:sz w:val="28"/>
                                  <w:szCs w:val="28"/>
                                  <w:lang w:val="uk-UA"/>
                                </w:rPr>
                              </m:ctrlPr>
                            </m:mPr>
                            <m:m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0,131</m:t>
                                      </m:r>
                                    </m:e>
                                  </m:mr>
                                  <m:mr>
                                    <m:e>
                                      <m:r>
                                        <w:rPr>
                                          <w:rFonts w:ascii="Cambria Math" w:hAnsi="Cambria Math" w:cs="Times New Roman"/>
                                          <w:sz w:val="28"/>
                                          <w:szCs w:val="28"/>
                                          <w:lang w:val="uk-UA"/>
                                        </w:rPr>
                                        <m:t>0,262</m:t>
                                      </m:r>
                                    </m:e>
                                  </m:mr>
                                  <m:mr>
                                    <m:e>
                                      <m:r>
                                        <w:rPr>
                                          <w:rFonts w:ascii="Cambria Math" w:hAnsi="Cambria Math" w:cs="Times New Roman"/>
                                          <w:sz w:val="28"/>
                                          <w:szCs w:val="28"/>
                                          <w:lang w:val="uk-UA"/>
                                        </w:rPr>
                                        <m:t>0,525</m:t>
                                      </m:r>
                                    </m:e>
                                  </m:mr>
                                </m:m>
                              </m:e>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0,222</m:t>
                                      </m:r>
                                    </m:e>
                                  </m:mr>
                                  <m:mr>
                                    <m:e>
                                      <m:r>
                                        <w:rPr>
                                          <w:rFonts w:ascii="Cambria Math" w:hAnsi="Cambria Math" w:cs="Times New Roman"/>
                                          <w:sz w:val="28"/>
                                          <w:szCs w:val="28"/>
                                          <w:lang w:val="uk-UA"/>
                                        </w:rPr>
                                        <m:t>0,222</m:t>
                                      </m:r>
                                    </m:e>
                                  </m:mr>
                                  <m:mr>
                                    <m:e>
                                      <m:r>
                                        <w:rPr>
                                          <w:rFonts w:ascii="Cambria Math" w:hAnsi="Cambria Math" w:cs="Times New Roman"/>
                                          <w:sz w:val="28"/>
                                          <w:szCs w:val="28"/>
                                          <w:lang w:val="uk-UA"/>
                                        </w:rPr>
                                        <m:t>0,444</m:t>
                                      </m:r>
                                    </m:e>
                                  </m:mr>
                                </m:m>
                              </m:e>
                            </m:mr>
                          </m:m>
                        </m:e>
                      </m:mr>
                    </m:m>
                  </m:e>
                </m:mr>
              </m:m>
            </m:e>
          </m:d>
        </m:oMath>
      </m:oMathPara>
    </w:p>
    <w:p w14:paraId="3412DEDE" w14:textId="77777777" w:rsidR="00C14BDE" w:rsidRPr="005F0419" w:rsidRDefault="007468C1" w:rsidP="00C14BDE">
      <w:pPr>
        <w:spacing w:after="0" w:line="360" w:lineRule="auto"/>
        <w:ind w:firstLine="72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1</m:t>
              </m:r>
            </m:sub>
          </m:sSub>
          <m:r>
            <w:rPr>
              <w:rFonts w:ascii="Cambria Math" w:hAnsi="Cambria Math" w:cs="Times New Roman"/>
              <w:sz w:val="28"/>
              <w:szCs w:val="28"/>
              <w:lang w:val="uk-UA"/>
            </w:rPr>
            <m:t>=0,062</m:t>
          </m:r>
        </m:oMath>
      </m:oMathPara>
    </w:p>
    <w:p w14:paraId="52FCC4A3" w14:textId="77777777" w:rsidR="00C14BDE" w:rsidRPr="005F0419" w:rsidRDefault="007468C1" w:rsidP="00C14BDE">
      <w:pPr>
        <w:spacing w:after="0" w:line="360" w:lineRule="auto"/>
        <w:ind w:firstLine="72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2</m:t>
              </m:r>
            </m:sub>
          </m:sSub>
          <m:r>
            <w:rPr>
              <w:rFonts w:ascii="Cambria Math" w:hAnsi="Cambria Math" w:cs="Times New Roman"/>
              <w:sz w:val="28"/>
              <w:szCs w:val="28"/>
              <w:lang w:val="uk-UA"/>
            </w:rPr>
            <m:t>=0,035</m:t>
          </m:r>
        </m:oMath>
      </m:oMathPara>
    </w:p>
    <w:p w14:paraId="461080D3" w14:textId="77777777" w:rsidR="00C14BDE" w:rsidRPr="005F0419" w:rsidRDefault="007468C1" w:rsidP="00C14BDE">
      <w:pPr>
        <w:spacing w:after="0" w:line="360" w:lineRule="auto"/>
        <w:ind w:firstLine="72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3</m:t>
              </m:r>
            </m:sub>
          </m:sSub>
          <m:r>
            <w:rPr>
              <w:rFonts w:ascii="Cambria Math" w:hAnsi="Cambria Math" w:cs="Times New Roman"/>
              <w:sz w:val="28"/>
              <w:szCs w:val="28"/>
              <w:lang w:val="uk-UA"/>
            </w:rPr>
            <m:t>=0,035</m:t>
          </m:r>
        </m:oMath>
      </m:oMathPara>
    </w:p>
    <w:p w14:paraId="022AEFCE" w14:textId="77777777" w:rsidR="00C14BDE" w:rsidRPr="005F0419" w:rsidRDefault="007468C1" w:rsidP="00C14BDE">
      <w:pPr>
        <w:spacing w:after="0" w:line="360" w:lineRule="auto"/>
        <w:ind w:firstLine="72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4</m:t>
              </m:r>
            </m:sub>
          </m:sSub>
          <m:r>
            <w:rPr>
              <w:rFonts w:ascii="Cambria Math" w:hAnsi="Cambria Math" w:cs="Times New Roman"/>
              <w:sz w:val="28"/>
              <w:szCs w:val="28"/>
              <w:lang w:val="uk-UA"/>
            </w:rPr>
            <m:t>=0,297</m:t>
          </m:r>
        </m:oMath>
      </m:oMathPara>
    </w:p>
    <w:p w14:paraId="443E5A72" w14:textId="77777777" w:rsidR="00C14BDE" w:rsidRPr="005F0419" w:rsidRDefault="007468C1" w:rsidP="00C14BDE">
      <w:pPr>
        <w:spacing w:after="0" w:line="360" w:lineRule="auto"/>
        <w:ind w:firstLine="72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5</m:t>
              </m:r>
            </m:sub>
          </m:sSub>
          <m:r>
            <w:rPr>
              <w:rFonts w:ascii="Cambria Math" w:hAnsi="Cambria Math" w:cs="Times New Roman"/>
              <w:sz w:val="28"/>
              <w:szCs w:val="28"/>
              <w:lang w:val="uk-UA"/>
            </w:rPr>
            <m:t>=0,418</m:t>
          </m:r>
        </m:oMath>
      </m:oMathPara>
    </w:p>
    <w:p w14:paraId="2720B27E"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При заповненні матриці парних порівнянь експертом можуть бути допущені похибки визначення відносної важливості показників Для визначення ступеня коректності даних у заповненої матриці використовують поняття міри узгодженості. Узгодженість позитивної обернено симетричної матриці еквівалентна вимогі рівності її максимального значення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λ</m:t>
            </m:r>
          </m:e>
          <m:sub>
            <m:r>
              <w:rPr>
                <w:rFonts w:ascii="Cambria Math" w:hAnsi="Cambria Math" w:cs="Times New Roman"/>
                <w:sz w:val="28"/>
                <w:szCs w:val="28"/>
                <w:lang w:val="uk-UA"/>
              </w:rPr>
              <m:t>max</m:t>
            </m:r>
          </m:sub>
        </m:sSub>
      </m:oMath>
      <w:r w:rsidRPr="005F0419">
        <w:rPr>
          <w:rFonts w:ascii="Times New Roman" w:hAnsi="Times New Roman" w:cs="Times New Roman"/>
          <w:sz w:val="28"/>
          <w:szCs w:val="28"/>
          <w:lang w:val="uk-UA"/>
        </w:rPr>
        <w:t xml:space="preserve"> порядку матриці n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λ</m:t>
            </m:r>
          </m:e>
          <m:sub>
            <m:r>
              <w:rPr>
                <w:rFonts w:ascii="Cambria Math" w:hAnsi="Cambria Math" w:cs="Times New Roman"/>
                <w:sz w:val="28"/>
                <w:szCs w:val="28"/>
                <w:lang w:val="uk-UA"/>
              </w:rPr>
              <m:t>max</m:t>
            </m:r>
          </m:sub>
        </m:sSub>
      </m:oMath>
      <w:r w:rsidRPr="005F0419">
        <w:rPr>
          <w:rFonts w:ascii="Times New Roman" w:hAnsi="Times New Roman" w:cs="Times New Roman"/>
          <w:sz w:val="28"/>
          <w:szCs w:val="28"/>
          <w:lang w:val="uk-UA"/>
        </w:rPr>
        <w:t xml:space="preserve"> ≥ </w:t>
      </w:r>
      <w:r w:rsidRPr="005F0419">
        <w:rPr>
          <w:rFonts w:ascii="Cambria Math" w:hAnsi="Cambria Math" w:cs="Cambria Math"/>
          <w:sz w:val="28"/>
          <w:szCs w:val="28"/>
          <w:lang w:val="uk-UA"/>
        </w:rPr>
        <w:t>𝑛</w:t>
      </w:r>
      <w:r w:rsidRPr="005F0419">
        <w:rPr>
          <w:rFonts w:ascii="Times New Roman" w:hAnsi="Times New Roman" w:cs="Times New Roman"/>
          <w:sz w:val="28"/>
          <w:szCs w:val="28"/>
          <w:lang w:val="uk-UA"/>
        </w:rPr>
        <w:t xml:space="preserve">). Щоб отримати наближене значення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λ</m:t>
            </m:r>
          </m:e>
          <m:sub>
            <m:r>
              <w:rPr>
                <w:rFonts w:ascii="Cambria Math" w:hAnsi="Cambria Math" w:cs="Times New Roman"/>
                <w:sz w:val="28"/>
                <w:szCs w:val="28"/>
                <w:lang w:val="uk-UA"/>
              </w:rPr>
              <m:t>max</m:t>
            </m:r>
          </m:sub>
        </m:sSub>
      </m:oMath>
      <w:r w:rsidRPr="005F0419">
        <w:rPr>
          <w:rFonts w:ascii="Times New Roman" w:hAnsi="Times New Roman" w:cs="Times New Roman"/>
          <w:sz w:val="28"/>
          <w:szCs w:val="28"/>
          <w:lang w:val="uk-UA"/>
        </w:rPr>
        <w:t xml:space="preserve"> можна скористатися наступним алгоритмом:</w:t>
      </w:r>
    </w:p>
    <w:p w14:paraId="2C6C458B"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 помножити матрицю парних порівнянь праворуч на вектор отриманих відносних ваг: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A</m:t>
            </m:r>
          </m:e>
          <m:sub>
            <m:r>
              <w:rPr>
                <w:rFonts w:ascii="Cambria Math" w:hAnsi="Cambria Math" w:cs="Times New Roman"/>
                <w:sz w:val="28"/>
                <w:szCs w:val="28"/>
                <w:lang w:val="uk-UA"/>
              </w:rPr>
              <m:t>w</m:t>
            </m:r>
          </m:sub>
        </m:sSub>
      </m:oMath>
      <w:r w:rsidRPr="005F0419">
        <w:rPr>
          <w:rFonts w:ascii="Times New Roman" w:hAnsi="Times New Roman" w:cs="Times New Roman"/>
          <w:sz w:val="28"/>
          <w:szCs w:val="28"/>
          <w:lang w:val="uk-UA"/>
        </w:rPr>
        <w:t xml:space="preserve"> = </w:t>
      </w:r>
      <w:r w:rsidRPr="005F0419">
        <w:rPr>
          <w:rFonts w:ascii="Cambria Math" w:hAnsi="Cambria Math" w:cs="Cambria Math"/>
          <w:sz w:val="28"/>
          <w:szCs w:val="28"/>
          <w:lang w:val="uk-UA"/>
        </w:rPr>
        <w:t>𝑃</w:t>
      </w:r>
      <w:r w:rsidRPr="005F0419">
        <w:rPr>
          <w:rFonts w:ascii="Times New Roman" w:hAnsi="Times New Roman" w:cs="Times New Roman"/>
          <w:sz w:val="28"/>
          <w:szCs w:val="28"/>
          <w:lang w:val="uk-UA"/>
        </w:rPr>
        <w:t>;</w:t>
      </w:r>
    </w:p>
    <w:p w14:paraId="50B4C10F"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розділити 1-у компоненту </w:t>
      </w:r>
      <w:proofErr w:type="spellStart"/>
      <w:r w:rsidRPr="005F0419">
        <w:rPr>
          <w:rFonts w:ascii="Times New Roman" w:hAnsi="Times New Roman" w:cs="Times New Roman"/>
          <w:sz w:val="28"/>
          <w:szCs w:val="28"/>
          <w:lang w:val="uk-UA"/>
        </w:rPr>
        <w:t>вектора</w:t>
      </w:r>
      <w:proofErr w:type="spellEnd"/>
      <w:r w:rsidRPr="005F0419">
        <w:rPr>
          <w:rFonts w:ascii="Times New Roman" w:hAnsi="Times New Roman" w:cs="Times New Roman"/>
          <w:sz w:val="28"/>
          <w:szCs w:val="28"/>
          <w:lang w:val="uk-UA"/>
        </w:rPr>
        <w:t xml:space="preserve"> Р на 1-у компоненту </w:t>
      </w:r>
      <w:proofErr w:type="spellStart"/>
      <w:r w:rsidRPr="005F0419">
        <w:rPr>
          <w:rFonts w:ascii="Times New Roman" w:hAnsi="Times New Roman" w:cs="Times New Roman"/>
          <w:sz w:val="28"/>
          <w:szCs w:val="28"/>
          <w:lang w:val="uk-UA"/>
        </w:rPr>
        <w:t>вектора</w:t>
      </w:r>
      <w:proofErr w:type="spellEnd"/>
      <w:r w:rsidRPr="005F0419">
        <w:rPr>
          <w:rFonts w:ascii="Times New Roman" w:hAnsi="Times New Roman" w:cs="Times New Roman"/>
          <w:sz w:val="28"/>
          <w:szCs w:val="28"/>
          <w:lang w:val="uk-UA"/>
        </w:rPr>
        <w:t xml:space="preserve"> відносних ваг, 2-му компоненту </w:t>
      </w:r>
      <w:proofErr w:type="spellStart"/>
      <w:r w:rsidRPr="005F0419">
        <w:rPr>
          <w:rFonts w:ascii="Times New Roman" w:hAnsi="Times New Roman" w:cs="Times New Roman"/>
          <w:sz w:val="28"/>
          <w:szCs w:val="28"/>
          <w:lang w:val="uk-UA"/>
        </w:rPr>
        <w:t>вектора</w:t>
      </w:r>
      <w:proofErr w:type="spellEnd"/>
      <w:r w:rsidRPr="005F0419">
        <w:rPr>
          <w:rFonts w:ascii="Times New Roman" w:hAnsi="Times New Roman" w:cs="Times New Roman"/>
          <w:sz w:val="28"/>
          <w:szCs w:val="28"/>
          <w:lang w:val="uk-UA"/>
        </w:rPr>
        <w:t xml:space="preserve"> Р – на 2-му компоненту </w:t>
      </w:r>
      <w:proofErr w:type="spellStart"/>
      <w:r w:rsidRPr="005F0419">
        <w:rPr>
          <w:rFonts w:ascii="Times New Roman" w:hAnsi="Times New Roman" w:cs="Times New Roman"/>
          <w:sz w:val="28"/>
          <w:szCs w:val="28"/>
          <w:lang w:val="uk-UA"/>
        </w:rPr>
        <w:t>вектора</w:t>
      </w:r>
      <w:proofErr w:type="spellEnd"/>
      <w:r w:rsidRPr="005F0419">
        <w:rPr>
          <w:rFonts w:ascii="Times New Roman" w:hAnsi="Times New Roman" w:cs="Times New Roman"/>
          <w:sz w:val="28"/>
          <w:szCs w:val="28"/>
          <w:lang w:val="uk-UA"/>
        </w:rPr>
        <w:t xml:space="preserve"> ваг і </w:t>
      </w:r>
      <w:proofErr w:type="spellStart"/>
      <w:r w:rsidRPr="005F0419">
        <w:rPr>
          <w:rFonts w:ascii="Times New Roman" w:hAnsi="Times New Roman" w:cs="Times New Roman"/>
          <w:sz w:val="28"/>
          <w:szCs w:val="28"/>
          <w:lang w:val="uk-UA"/>
        </w:rPr>
        <w:t>т.д</w:t>
      </w:r>
      <w:proofErr w:type="spellEnd"/>
      <w:r w:rsidRPr="005F0419">
        <w:rPr>
          <w:rFonts w:ascii="Times New Roman" w:hAnsi="Times New Roman" w:cs="Times New Roman"/>
          <w:sz w:val="28"/>
          <w:szCs w:val="28"/>
          <w:lang w:val="uk-UA"/>
        </w:rPr>
        <w:t xml:space="preserve">., отримаємо новий вектор </w:t>
      </w:r>
      <m:oMath>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m:t>P</m:t>
            </m:r>
            <m:ctrlPr>
              <w:rPr>
                <w:rFonts w:ascii="Cambria Math" w:hAnsi="Cambria Math" w:cs="Times New Roman"/>
                <w:sz w:val="28"/>
                <w:szCs w:val="28"/>
                <w:lang w:val="uk-UA"/>
              </w:rPr>
            </m:ctrlP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P</m:t>
                </m:r>
              </m:e>
              <m:sub>
                <m:r>
                  <w:rPr>
                    <w:rFonts w:ascii="Cambria Math" w:hAnsi="Cambria Math" w:cs="Times New Roman"/>
                    <w:sz w:val="28"/>
                    <w:szCs w:val="28"/>
                    <w:lang w:val="uk-UA"/>
                  </w:rPr>
                  <m:t>i</m:t>
                </m:r>
              </m:sub>
            </m:sSub>
          </m:num>
          <m:den>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v</m:t>
                </m:r>
              </m:e>
              <m:sub>
                <m:r>
                  <w:rPr>
                    <w:rFonts w:ascii="Cambria Math" w:hAnsi="Cambria Math" w:cs="Times New Roman"/>
                    <w:sz w:val="28"/>
                    <w:szCs w:val="28"/>
                    <w:lang w:val="uk-UA"/>
                  </w:rPr>
                  <m:t>i</m:t>
                </m:r>
              </m:sub>
            </m:sSub>
          </m:den>
        </m:f>
        <m:r>
          <w:rPr>
            <w:rFonts w:ascii="Cambria Math" w:hAnsi="Cambria Math" w:cs="Times New Roman"/>
            <w:sz w:val="28"/>
            <w:szCs w:val="28"/>
            <w:lang w:val="uk-UA"/>
          </w:rPr>
          <m:t xml:space="preserve">; </m:t>
        </m:r>
      </m:oMath>
    </w:p>
    <w:p w14:paraId="415F34F1"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3) середнє значення компонента нового </w:t>
      </w:r>
      <w:proofErr w:type="spellStart"/>
      <w:r w:rsidRPr="005F0419">
        <w:rPr>
          <w:rFonts w:ascii="Times New Roman" w:hAnsi="Times New Roman" w:cs="Times New Roman"/>
          <w:sz w:val="28"/>
          <w:szCs w:val="28"/>
          <w:lang w:val="uk-UA"/>
        </w:rPr>
        <w:t>вектора</w:t>
      </w:r>
      <w:proofErr w:type="spellEnd"/>
      <w:r w:rsidRPr="005F0419">
        <w:rPr>
          <w:rFonts w:ascii="Times New Roman" w:hAnsi="Times New Roman" w:cs="Times New Roman"/>
          <w:sz w:val="28"/>
          <w:szCs w:val="28"/>
          <w:lang w:val="uk-UA"/>
        </w:rPr>
        <w:t xml:space="preserve"> буде наближеним значенням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λ</m:t>
            </m:r>
          </m:e>
          <m:sub>
            <m:r>
              <w:rPr>
                <w:rFonts w:ascii="Cambria Math" w:hAnsi="Cambria Math" w:cs="Times New Roman"/>
                <w:sz w:val="28"/>
                <w:szCs w:val="28"/>
                <w:lang w:val="uk-UA"/>
              </w:rPr>
              <m:t>max</m:t>
            </m:r>
          </m:sub>
        </m:sSub>
      </m:oMath>
      <w:r w:rsidRPr="005F0419">
        <w:rPr>
          <w:rFonts w:ascii="Times New Roman" w:hAnsi="Times New Roman" w:cs="Times New Roman"/>
          <w:sz w:val="28"/>
          <w:szCs w:val="28"/>
          <w:lang w:val="uk-UA"/>
        </w:rPr>
        <w:t xml:space="preserve">: </w:t>
      </w:r>
    </w:p>
    <w:p w14:paraId="7C7EC8E1"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λ</m:t>
            </m:r>
          </m:e>
          <m:sub>
            <m:r>
              <w:rPr>
                <w:rFonts w:ascii="Cambria Math" w:hAnsi="Cambria Math" w:cs="Times New Roman"/>
                <w:sz w:val="28"/>
                <w:szCs w:val="28"/>
                <w:lang w:val="uk-UA"/>
              </w:rPr>
              <m:t>max</m:t>
            </m:r>
          </m:sub>
        </m:sSub>
      </m:oMath>
      <w:r w:rsidR="00C14BDE" w:rsidRPr="005F0419">
        <w:rPr>
          <w:rFonts w:ascii="Times New Roman" w:hAnsi="Times New Roman" w:cs="Times New Roman"/>
          <w:sz w:val="28"/>
          <w:szCs w:val="28"/>
          <w:lang w:val="uk-UA"/>
        </w:rPr>
        <w:t xml:space="preserve">  ≈ </w:t>
      </w:r>
      <m:oMath>
        <m:nary>
          <m:naryPr>
            <m:chr m:val="∑"/>
            <m:limLoc m:val="undOvr"/>
            <m:subHide m:val="1"/>
            <m:supHide m:val="1"/>
            <m:ctrlPr>
              <w:rPr>
                <w:rFonts w:ascii="Cambria Math" w:hAnsi="Cambria Math" w:cs="Times New Roman"/>
                <w:i/>
                <w:sz w:val="28"/>
                <w:szCs w:val="28"/>
                <w:lang w:val="uk-UA"/>
              </w:rPr>
            </m:ctrlPr>
          </m:naryPr>
          <m:sub/>
          <m:sup/>
          <m:e>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i</m:t>
                    </m:r>
                  </m:sub>
                </m:sSub>
                <m:r>
                  <w:rPr>
                    <w:rFonts w:ascii="Cambria Math" w:hAnsi="Cambria Math" w:cs="Times New Roman"/>
                    <w:sz w:val="28"/>
                    <w:szCs w:val="28"/>
                    <w:lang w:val="uk-UA"/>
                  </w:rPr>
                  <m:t>'</m:t>
                </m:r>
              </m:num>
              <m:den>
                <m:r>
                  <w:rPr>
                    <w:rFonts w:ascii="Cambria Math" w:hAnsi="Cambria Math" w:cs="Times New Roman"/>
                    <w:sz w:val="28"/>
                    <w:szCs w:val="28"/>
                    <w:lang w:val="uk-UA"/>
                  </w:rPr>
                  <m:t>n</m:t>
                </m:r>
              </m:den>
            </m:f>
          </m:e>
        </m:nary>
      </m:oMath>
    </w:p>
    <w:p w14:paraId="26ED5CF2"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Чим ближче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λ</m:t>
            </m:r>
          </m:e>
          <m:sub>
            <m:r>
              <w:rPr>
                <w:rFonts w:ascii="Cambria Math" w:hAnsi="Cambria Math" w:cs="Times New Roman"/>
                <w:sz w:val="28"/>
                <w:szCs w:val="28"/>
                <w:lang w:val="uk-UA"/>
              </w:rPr>
              <m:t>max</m:t>
            </m:r>
          </m:sub>
        </m:sSub>
      </m:oMath>
      <w:r w:rsidRPr="005F0419">
        <w:rPr>
          <w:rFonts w:ascii="Times New Roman" w:hAnsi="Times New Roman" w:cs="Times New Roman"/>
          <w:sz w:val="28"/>
          <w:szCs w:val="28"/>
          <w:lang w:val="uk-UA"/>
        </w:rPr>
        <w:t xml:space="preserve"> до n, тим більше узгоджено матрицю. Відхилення від узгодженості висловлюють індексом чи коефіцієнтом узгодженості Cl = </w:t>
      </w:r>
      <m:oMath>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λ</m:t>
                </m:r>
              </m:e>
              <m:sub>
                <m:r>
                  <w:rPr>
                    <w:rFonts w:ascii="Cambria Math" w:hAnsi="Cambria Math" w:cs="Times New Roman"/>
                    <w:sz w:val="28"/>
                    <w:szCs w:val="28"/>
                    <w:lang w:val="uk-UA"/>
                  </w:rPr>
                  <m:t>max</m:t>
                </m:r>
              </m:sub>
            </m:sSub>
            <m:r>
              <w:rPr>
                <w:rFonts w:ascii="Cambria Math" w:hAnsi="Cambria Math" w:cs="Times New Roman"/>
                <w:sz w:val="28"/>
                <w:szCs w:val="28"/>
                <w:lang w:val="uk-UA"/>
              </w:rPr>
              <m:t>-n</m:t>
            </m:r>
          </m:num>
          <m:den>
            <m:r>
              <w:rPr>
                <w:rFonts w:ascii="Cambria Math" w:hAnsi="Cambria Math" w:cs="Times New Roman"/>
                <w:sz w:val="28"/>
                <w:szCs w:val="28"/>
                <w:lang w:val="uk-UA"/>
              </w:rPr>
              <m:t>n-1</m:t>
            </m:r>
          </m:den>
        </m:f>
      </m:oMath>
      <w:r w:rsidRPr="005F0419">
        <w:rPr>
          <w:rFonts w:ascii="Times New Roman" w:hAnsi="Times New Roman" w:cs="Times New Roman"/>
          <w:sz w:val="28"/>
          <w:szCs w:val="28"/>
          <w:lang w:val="uk-UA"/>
        </w:rPr>
        <w:t xml:space="preserve">  </w:t>
      </w:r>
    </w:p>
    <w:p w14:paraId="7B137778"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Індекс узгодженості згенерованої випадковим чином за шкалою від 1 до 9 назад симетричної матриці з відповідними зворотними величинами елементів називають випадковим індексом (стохастичним коефіцієнтом узгодженості)</w:t>
      </w:r>
    </w:p>
    <w:p w14:paraId="34DB2257"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Cambria Math" w:hAnsi="Cambria Math" w:cs="Cambria Math"/>
          <w:sz w:val="28"/>
          <w:szCs w:val="28"/>
          <w:lang w:val="uk-UA"/>
        </w:rPr>
        <w:t>𝑅𝐼</w:t>
      </w:r>
      <w:r w:rsidRPr="005F0419">
        <w:rPr>
          <w:rFonts w:ascii="Times New Roman" w:hAnsi="Times New Roman" w:cs="Times New Roman"/>
          <w:sz w:val="28"/>
          <w:szCs w:val="28"/>
          <w:lang w:val="uk-UA"/>
        </w:rPr>
        <w:t xml:space="preserve"> = </w:t>
      </w:r>
      <m:oMath>
        <m:f>
          <m:fPr>
            <m:ctrlPr>
              <w:rPr>
                <w:rFonts w:ascii="Cambria Math" w:hAnsi="Cambria Math" w:cs="Times New Roman"/>
                <w:sz w:val="28"/>
                <w:szCs w:val="28"/>
                <w:lang w:val="uk-UA"/>
              </w:rPr>
            </m:ctrlPr>
          </m:fPr>
          <m:num>
            <m:r>
              <w:rPr>
                <w:rFonts w:ascii="Cambria Math" w:hAnsi="Cambria Math" w:cs="Times New Roman"/>
                <w:sz w:val="28"/>
                <w:szCs w:val="28"/>
                <w:lang w:val="uk-UA"/>
              </w:rPr>
              <m:t>1,98(n-2)</m:t>
            </m:r>
            <m:ctrlPr>
              <w:rPr>
                <w:rFonts w:ascii="Cambria Math" w:hAnsi="Cambria Math" w:cs="Times New Roman"/>
                <w:i/>
                <w:sz w:val="28"/>
                <w:szCs w:val="28"/>
                <w:lang w:val="uk-UA"/>
              </w:rPr>
            </m:ctrlPr>
          </m:num>
          <m:den>
            <m:r>
              <w:rPr>
                <w:rFonts w:ascii="Cambria Math" w:hAnsi="Cambria Math" w:cs="Times New Roman"/>
                <w:sz w:val="28"/>
                <w:szCs w:val="28"/>
                <w:lang w:val="uk-UA"/>
              </w:rPr>
              <m:t>n</m:t>
            </m:r>
          </m:den>
        </m:f>
        <m:r>
          <m:rPr>
            <m:sty m:val="p"/>
          </m:rPr>
          <w:rPr>
            <w:rFonts w:ascii="Cambria Math" w:hAnsi="Cambria Math" w:cs="Times New Roman"/>
            <w:sz w:val="28"/>
            <w:szCs w:val="28"/>
            <w:lang w:val="uk-UA"/>
          </w:rPr>
          <m:t xml:space="preserve">  </m:t>
        </m:r>
        <m:r>
          <w:rPr>
            <w:rFonts w:ascii="Cambria Math" w:hAnsi="Cambria Math" w:cs="Times New Roman"/>
            <w:sz w:val="28"/>
            <w:szCs w:val="28"/>
            <w:lang w:val="uk-UA"/>
          </w:rPr>
          <m:t xml:space="preserve"> </m:t>
        </m:r>
      </m:oMath>
      <w:r w:rsidRPr="005F0419">
        <w:rPr>
          <w:rFonts w:ascii="Times New Roman" w:hAnsi="Times New Roman" w:cs="Times New Roman"/>
          <w:sz w:val="28"/>
          <w:szCs w:val="28"/>
          <w:lang w:val="uk-UA"/>
        </w:rPr>
        <w:t xml:space="preserve">[10]. Відношення індексу узгодженості до випадкового індексу називають ставленням узгодженості: </w:t>
      </w:r>
      <w:r w:rsidRPr="005F0419">
        <w:rPr>
          <w:rFonts w:ascii="Cambria Math" w:hAnsi="Cambria Math" w:cs="Cambria Math"/>
          <w:sz w:val="28"/>
          <w:szCs w:val="28"/>
          <w:lang w:val="uk-UA"/>
        </w:rPr>
        <w:t>𝐶𝑅</w:t>
      </w:r>
      <w:r w:rsidRPr="005F0419">
        <w:rPr>
          <w:rFonts w:ascii="Times New Roman" w:hAnsi="Times New Roman" w:cs="Times New Roman"/>
          <w:sz w:val="28"/>
          <w:szCs w:val="28"/>
          <w:lang w:val="uk-UA"/>
        </w:rPr>
        <w:t xml:space="preserve"> = </w:t>
      </w:r>
      <w:r w:rsidRPr="005F0419">
        <w:rPr>
          <w:rFonts w:ascii="Cambria Math" w:hAnsi="Cambria Math" w:cs="Cambria Math"/>
          <w:sz w:val="28"/>
          <w:szCs w:val="28"/>
          <w:lang w:val="uk-UA"/>
        </w:rPr>
        <w:t>𝐶𝐼</w:t>
      </w:r>
      <w:r w:rsidRPr="005F0419">
        <w:rPr>
          <w:rFonts w:ascii="Times New Roman" w:hAnsi="Times New Roman" w:cs="Times New Roman"/>
          <w:sz w:val="28"/>
          <w:szCs w:val="28"/>
          <w:lang w:val="uk-UA"/>
        </w:rPr>
        <w:t>/</w:t>
      </w:r>
      <w:r w:rsidRPr="005F0419">
        <w:rPr>
          <w:rFonts w:ascii="Cambria Math" w:hAnsi="Cambria Math" w:cs="Cambria Math"/>
          <w:sz w:val="28"/>
          <w:szCs w:val="28"/>
          <w:lang w:val="uk-UA"/>
        </w:rPr>
        <w:t>𝑅𝐼</w:t>
      </w:r>
      <w:r w:rsidRPr="005F0419">
        <w:rPr>
          <w:rFonts w:ascii="Times New Roman" w:hAnsi="Times New Roman" w:cs="Times New Roman"/>
          <w:sz w:val="28"/>
          <w:szCs w:val="28"/>
          <w:lang w:val="uk-UA"/>
        </w:rPr>
        <w:t xml:space="preserve">. Якщо </w:t>
      </w:r>
      <w:r w:rsidRPr="005F0419">
        <w:rPr>
          <w:rFonts w:ascii="Cambria Math" w:hAnsi="Cambria Math" w:cs="Cambria Math"/>
          <w:sz w:val="28"/>
          <w:szCs w:val="28"/>
          <w:lang w:val="uk-UA"/>
        </w:rPr>
        <w:t>𝐶𝑅</w:t>
      </w:r>
      <w:r w:rsidRPr="005F0419">
        <w:rPr>
          <w:rFonts w:ascii="Times New Roman" w:hAnsi="Times New Roman" w:cs="Times New Roman"/>
          <w:sz w:val="28"/>
          <w:szCs w:val="28"/>
          <w:lang w:val="uk-UA"/>
        </w:rPr>
        <w:t xml:space="preserve"> ≤ 0,1, то рівень неузгодженості матриці порівнянь є прийнятним, якщо </w:t>
      </w:r>
      <w:r w:rsidRPr="005F0419">
        <w:rPr>
          <w:rFonts w:ascii="Cambria Math" w:hAnsi="Cambria Math" w:cs="Cambria Math"/>
          <w:sz w:val="28"/>
          <w:szCs w:val="28"/>
          <w:lang w:val="uk-UA"/>
        </w:rPr>
        <w:t>𝐶𝑅</w:t>
      </w:r>
      <w:r w:rsidRPr="005F0419">
        <w:rPr>
          <w:rFonts w:ascii="Times New Roman" w:hAnsi="Times New Roman" w:cs="Times New Roman"/>
          <w:sz w:val="28"/>
          <w:szCs w:val="28"/>
          <w:lang w:val="uk-UA"/>
        </w:rPr>
        <w:t xml:space="preserve"> &gt; 0,1, рівень неузгодженості матриці порівнянь високий.</w:t>
      </w:r>
    </w:p>
    <w:p w14:paraId="55C1453C"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Розрахуємо рівень узгодженості для побудованої матриці парних порівнянь: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m:t>λ</m:t>
            </m:r>
          </m:e>
          <m:sub>
            <m:r>
              <w:rPr>
                <w:rFonts w:ascii="Cambria Math" w:hAnsi="Cambria Math" w:cs="Times New Roman"/>
                <w:sz w:val="28"/>
                <w:szCs w:val="28"/>
                <w:lang w:val="uk-UA"/>
              </w:rPr>
              <m:t>max</m:t>
            </m:r>
          </m:sub>
        </m:sSub>
      </m:oMath>
      <w:r w:rsidRPr="005F0419">
        <w:rPr>
          <w:rFonts w:ascii="Times New Roman" w:hAnsi="Times New Roman" w:cs="Times New Roman"/>
          <w:sz w:val="28"/>
          <w:szCs w:val="28"/>
          <w:lang w:val="uk-UA"/>
        </w:rPr>
        <w:t xml:space="preserve"> = 5,061, </w:t>
      </w:r>
      <w:r w:rsidRPr="005F0419">
        <w:rPr>
          <w:rFonts w:ascii="Cambria Math" w:hAnsi="Cambria Math" w:cs="Cambria Math"/>
          <w:sz w:val="28"/>
          <w:szCs w:val="28"/>
          <w:lang w:val="uk-UA"/>
        </w:rPr>
        <w:t>𝐶𝐼</w:t>
      </w:r>
      <w:r w:rsidRPr="005F0419">
        <w:rPr>
          <w:rFonts w:ascii="Times New Roman" w:hAnsi="Times New Roman" w:cs="Times New Roman"/>
          <w:sz w:val="28"/>
          <w:szCs w:val="28"/>
          <w:lang w:val="uk-UA"/>
        </w:rPr>
        <w:t xml:space="preserve"> =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5,061-5</m:t>
            </m:r>
          </m:num>
          <m:den>
            <m:r>
              <w:rPr>
                <w:rFonts w:ascii="Cambria Math" w:hAnsi="Cambria Math" w:cs="Times New Roman"/>
                <w:sz w:val="28"/>
                <w:szCs w:val="28"/>
                <w:lang w:val="uk-UA"/>
              </w:rPr>
              <m:t>4</m:t>
            </m:r>
          </m:den>
        </m:f>
        <m:r>
          <w:rPr>
            <w:rFonts w:ascii="Cambria Math" w:hAnsi="Cambria Math" w:cs="Times New Roman"/>
            <w:sz w:val="28"/>
            <w:szCs w:val="28"/>
            <w:lang w:val="uk-UA"/>
          </w:rPr>
          <m:t xml:space="preserve"> </m:t>
        </m:r>
      </m:oMath>
      <w:r w:rsidRPr="005F0419">
        <w:rPr>
          <w:rFonts w:ascii="Times New Roman" w:hAnsi="Times New Roman" w:cs="Times New Roman"/>
          <w:sz w:val="28"/>
          <w:szCs w:val="28"/>
          <w:lang w:val="uk-UA"/>
        </w:rPr>
        <w:t xml:space="preserve"> = 0,015, </w:t>
      </w:r>
      <w:r w:rsidRPr="005F0419">
        <w:rPr>
          <w:rFonts w:ascii="Cambria Math" w:hAnsi="Cambria Math" w:cs="Cambria Math"/>
          <w:sz w:val="28"/>
          <w:szCs w:val="28"/>
          <w:lang w:val="uk-UA"/>
        </w:rPr>
        <w:t>𝑅𝐼</w:t>
      </w:r>
      <w:r w:rsidRPr="005F0419">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1,98*3</m:t>
            </m:r>
          </m:num>
          <m:den>
            <m:r>
              <w:rPr>
                <w:rFonts w:ascii="Cambria Math" w:hAnsi="Cambria Math" w:cs="Times New Roman"/>
                <w:sz w:val="28"/>
                <w:szCs w:val="28"/>
                <w:lang w:val="uk-UA"/>
              </w:rPr>
              <m:t>5</m:t>
            </m:r>
          </m:den>
        </m:f>
        <m:r>
          <w:rPr>
            <w:rFonts w:ascii="Cambria Math" w:hAnsi="Cambria Math" w:cs="Times New Roman"/>
            <w:sz w:val="28"/>
            <w:szCs w:val="28"/>
            <w:lang w:val="uk-UA"/>
          </w:rPr>
          <m:t xml:space="preserve"> </m:t>
        </m:r>
      </m:oMath>
      <w:r w:rsidRPr="005F0419">
        <w:rPr>
          <w:rFonts w:ascii="Times New Roman" w:hAnsi="Times New Roman" w:cs="Times New Roman"/>
          <w:sz w:val="28"/>
          <w:szCs w:val="28"/>
          <w:lang w:val="uk-UA"/>
        </w:rPr>
        <w:t xml:space="preserve"> = 1,188, </w:t>
      </w:r>
      <w:r w:rsidRPr="005F0419">
        <w:rPr>
          <w:rFonts w:ascii="Cambria Math" w:hAnsi="Cambria Math" w:cs="Cambria Math"/>
          <w:sz w:val="28"/>
          <w:szCs w:val="28"/>
          <w:lang w:val="uk-UA"/>
        </w:rPr>
        <w:t>𝐶𝑅</w:t>
      </w:r>
      <w:r w:rsidRPr="005F0419">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0,015</m:t>
            </m:r>
          </m:num>
          <m:den>
            <m:r>
              <w:rPr>
                <w:rFonts w:ascii="Cambria Math" w:hAnsi="Cambria Math" w:cs="Times New Roman"/>
                <w:sz w:val="28"/>
                <w:szCs w:val="28"/>
                <w:lang w:val="uk-UA"/>
              </w:rPr>
              <m:t>1,188</m:t>
            </m:r>
          </m:den>
        </m:f>
        <m:r>
          <w:rPr>
            <w:rFonts w:ascii="Cambria Math" w:hAnsi="Cambria Math" w:cs="Times New Roman"/>
            <w:sz w:val="28"/>
            <w:szCs w:val="28"/>
            <w:lang w:val="uk-UA"/>
          </w:rPr>
          <m:t xml:space="preserve"> </m:t>
        </m:r>
      </m:oMath>
      <w:r w:rsidRPr="005F0419">
        <w:rPr>
          <w:rFonts w:ascii="Times New Roman" w:hAnsi="Times New Roman" w:cs="Times New Roman"/>
          <w:sz w:val="28"/>
          <w:szCs w:val="28"/>
          <w:lang w:val="uk-UA"/>
        </w:rPr>
        <w:t xml:space="preserve"> = 0,013 &lt;0,1. Отже, матриця парних порівнянь узгоджено, та отримані вагові коефіцієнти можуть бути використані при побудові інтегрального показника.</w:t>
      </w:r>
    </w:p>
    <w:p w14:paraId="728A02A2"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Таким чином, МАІ може бути використаний для визначення вагових коефіцієнтів для вибору ВДЕ. Якщо порівняти МАІ із попередніми трьома методами, то треба відзначити, що: не треба збирати та опитувати експертів, не обов'язково знати конкретні значення показників та вагові коефіцієнти можна використовувати у розрахунках для різних часових інтервалів. Але, треба конкретно відповісти на запитання у скільки разів один показник важливіший за інший, щоб побудувати матрицю парних порівнянь, треба перевіряти її узгодженість, хоча і тут існують підходи щодо спрощення цієї процедури.</w:t>
      </w:r>
    </w:p>
    <w:p w14:paraId="3393FA03"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Метод </w:t>
      </w:r>
      <w:proofErr w:type="spellStart"/>
      <w:r w:rsidRPr="005F0419">
        <w:rPr>
          <w:rFonts w:ascii="Times New Roman" w:hAnsi="Times New Roman" w:cs="Times New Roman"/>
          <w:sz w:val="28"/>
          <w:szCs w:val="28"/>
          <w:lang w:val="uk-UA"/>
        </w:rPr>
        <w:t>рандомізованих</w:t>
      </w:r>
      <w:proofErr w:type="spellEnd"/>
      <w:r w:rsidRPr="005F0419">
        <w:rPr>
          <w:rFonts w:ascii="Times New Roman" w:hAnsi="Times New Roman" w:cs="Times New Roman"/>
          <w:sz w:val="28"/>
          <w:szCs w:val="28"/>
          <w:lang w:val="uk-UA"/>
        </w:rPr>
        <w:t xml:space="preserve"> зведених показників</w:t>
      </w:r>
      <w:r w:rsidRPr="005F0419">
        <w:rPr>
          <w:rFonts w:ascii="Times New Roman" w:hAnsi="Times New Roman" w:cs="Times New Roman"/>
          <w:i/>
          <w:sz w:val="28"/>
          <w:szCs w:val="28"/>
          <w:lang w:val="uk-UA"/>
        </w:rPr>
        <w:t xml:space="preserve"> </w:t>
      </w:r>
      <w:r w:rsidRPr="005F0419">
        <w:rPr>
          <w:rFonts w:ascii="Times New Roman" w:hAnsi="Times New Roman" w:cs="Times New Roman"/>
          <w:sz w:val="28"/>
          <w:szCs w:val="28"/>
          <w:lang w:val="uk-UA"/>
        </w:rPr>
        <w:t>(МРЗП)</w:t>
      </w:r>
      <w:r w:rsidRPr="005F0419">
        <w:rPr>
          <w:rFonts w:ascii="Times New Roman" w:hAnsi="Times New Roman" w:cs="Times New Roman"/>
          <w:i/>
          <w:sz w:val="28"/>
          <w:szCs w:val="28"/>
          <w:lang w:val="uk-UA"/>
        </w:rPr>
        <w:t>.</w:t>
      </w:r>
      <w:r w:rsidRPr="005F0419">
        <w:rPr>
          <w:rFonts w:ascii="Times New Roman" w:hAnsi="Times New Roman" w:cs="Times New Roman"/>
          <w:sz w:val="28"/>
          <w:szCs w:val="28"/>
          <w:lang w:val="uk-UA"/>
        </w:rPr>
        <w:t xml:space="preserve"> Будується дискретна модель невизначеності завдання вагових коефіцієнтів, в якій передбачається, що кожен із цих коефіцієнтів вимірюється з точністю до кінцевого кроку ℎ = 1/</w:t>
      </w:r>
      <w:r w:rsidRPr="005F0419">
        <w:rPr>
          <w:rFonts w:ascii="Cambria Math" w:hAnsi="Cambria Math" w:cs="Cambria Math"/>
          <w:sz w:val="28"/>
          <w:szCs w:val="28"/>
          <w:lang w:val="uk-UA"/>
        </w:rPr>
        <w:t>𝑛</w:t>
      </w:r>
      <w:r w:rsidRPr="005F0419">
        <w:rPr>
          <w:rFonts w:ascii="Times New Roman" w:hAnsi="Times New Roman" w:cs="Times New Roman"/>
          <w:sz w:val="28"/>
          <w:szCs w:val="28"/>
          <w:lang w:val="uk-UA"/>
        </w:rPr>
        <w:t xml:space="preserve">, що </w:t>
      </w:r>
      <w:r w:rsidRPr="005F0419">
        <w:rPr>
          <w:rFonts w:ascii="Times New Roman" w:hAnsi="Times New Roman" w:cs="Times New Roman"/>
          <w:sz w:val="28"/>
          <w:szCs w:val="28"/>
          <w:lang w:val="uk-UA"/>
        </w:rPr>
        <w:lastRenderedPageBreak/>
        <w:t xml:space="preserve">визначається натуральним числом </w:t>
      </w:r>
      <w:r w:rsidRPr="005F0419">
        <w:rPr>
          <w:rFonts w:ascii="Cambria Math" w:hAnsi="Cambria Math" w:cs="Cambria Math"/>
          <w:sz w:val="28"/>
          <w:szCs w:val="28"/>
          <w:lang w:val="uk-UA"/>
        </w:rPr>
        <w:t>𝑛</w:t>
      </w:r>
      <w:r w:rsidRPr="005F0419">
        <w:rPr>
          <w:rFonts w:ascii="Times New Roman" w:hAnsi="Times New Roman" w:cs="Times New Roman"/>
          <w:sz w:val="28"/>
          <w:szCs w:val="28"/>
          <w:lang w:val="uk-UA"/>
        </w:rPr>
        <w:t xml:space="preserve"> &gt; 1. Таким чином, вагові коефіцієнти можуть набувати лише дискретних значень: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v</m:t>
            </m:r>
          </m:e>
          <m:sub>
            <m:r>
              <m:rPr>
                <m:sty m:val="p"/>
              </m:rPr>
              <w:rPr>
                <w:rFonts w:ascii="Cambria Math" w:hAnsi="Cambria Math" w:cs="Times New Roman"/>
                <w:sz w:val="28"/>
                <w:szCs w:val="28"/>
                <w:lang w:val="uk-UA"/>
              </w:rPr>
              <m:t>i</m:t>
            </m:r>
          </m:sub>
        </m:sSub>
        <m:r>
          <w:rPr>
            <w:rFonts w:ascii="Cambria Math" w:hAnsi="Cambria Math" w:cs="Times New Roman"/>
            <w:sz w:val="28"/>
            <w:szCs w:val="28"/>
            <w:lang w:val="uk-UA"/>
          </w:rPr>
          <m:t xml:space="preserve"> ∈v</m:t>
        </m:r>
        <m:d>
          <m:dPr>
            <m:ctrlPr>
              <w:rPr>
                <w:rFonts w:ascii="Cambria Math" w:hAnsi="Cambria Math" w:cs="Times New Roman"/>
                <w:i/>
                <w:sz w:val="28"/>
                <w:szCs w:val="28"/>
                <w:lang w:val="uk-UA"/>
              </w:rPr>
            </m:ctrlPr>
          </m:dPr>
          <m:e>
            <m:r>
              <w:rPr>
                <w:rFonts w:ascii="Cambria Math" w:hAnsi="Cambria Math" w:cs="Times New Roman"/>
                <w:sz w:val="28"/>
                <w:szCs w:val="28"/>
                <w:lang w:val="uk-UA"/>
              </w:rPr>
              <m:t>n</m:t>
            </m:r>
          </m:e>
        </m:d>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m:t>
                </m:r>
              </m:num>
              <m:den>
                <m:r>
                  <w:rPr>
                    <w:rFonts w:ascii="Cambria Math" w:hAnsi="Cambria Math" w:cs="Times New Roman"/>
                    <w:sz w:val="28"/>
                    <w:szCs w:val="28"/>
                    <w:lang w:val="uk-UA"/>
                  </w:rPr>
                  <m:t>n</m:t>
                </m:r>
              </m:den>
            </m:f>
            <m:r>
              <w:rPr>
                <w:rFonts w:ascii="Cambria Math" w:hAnsi="Cambria Math" w:cs="Times New Roman"/>
                <w:sz w:val="28"/>
                <w:szCs w:val="28"/>
                <w:lang w:val="uk-UA"/>
              </w:rPr>
              <m:t>, …,</m:t>
            </m:r>
            <m:f>
              <m:fPr>
                <m:ctrlPr>
                  <w:rPr>
                    <w:rFonts w:ascii="Cambria Math" w:hAnsi="Cambria Math" w:cs="Times New Roman"/>
                    <w:i/>
                    <w:sz w:val="28"/>
                    <w:szCs w:val="28"/>
                    <w:lang w:val="uk-UA"/>
                  </w:rPr>
                </m:ctrlPr>
              </m:fPr>
              <m:num>
                <m:r>
                  <w:rPr>
                    <w:rFonts w:ascii="Cambria Math" w:hAnsi="Cambria Math" w:cs="Times New Roman"/>
                    <w:sz w:val="28"/>
                    <w:szCs w:val="28"/>
                    <w:lang w:val="uk-UA"/>
                  </w:rPr>
                  <m:t>n-1</m:t>
                </m:r>
              </m:num>
              <m:den>
                <m:r>
                  <w:rPr>
                    <w:rFonts w:ascii="Cambria Math" w:hAnsi="Cambria Math" w:cs="Times New Roman"/>
                    <w:sz w:val="28"/>
                    <w:szCs w:val="28"/>
                    <w:lang w:val="uk-UA"/>
                  </w:rPr>
                  <m:t>n</m:t>
                </m:r>
              </m:den>
            </m:f>
            <m:r>
              <w:rPr>
                <w:rFonts w:ascii="Cambria Math" w:hAnsi="Cambria Math" w:cs="Times New Roman"/>
                <w:sz w:val="28"/>
                <w:szCs w:val="28"/>
                <w:lang w:val="uk-UA"/>
              </w:rPr>
              <m:t>, 1</m:t>
            </m:r>
          </m:e>
        </m:d>
        <m:r>
          <w:rPr>
            <w:rFonts w:ascii="Cambria Math" w:hAnsi="Cambria Math" w:cs="Times New Roman"/>
            <w:sz w:val="28"/>
            <w:szCs w:val="28"/>
            <w:lang w:val="uk-UA"/>
          </w:rPr>
          <m:t>.</m:t>
        </m:r>
      </m:oMath>
    </w:p>
    <w:p w14:paraId="4EEB13FD"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Тоді множина усіх можливих векторів вагових коефіцієнтів:</w:t>
      </w:r>
    </w:p>
    <w:p w14:paraId="2B6AB504" w14:textId="77777777" w:rsidR="00C14BDE" w:rsidRPr="005F0419" w:rsidRDefault="00C14BDE" w:rsidP="00C14BDE">
      <w:pPr>
        <w:spacing w:after="0" w:line="360" w:lineRule="auto"/>
        <w:ind w:firstLine="720"/>
        <w:jc w:val="center"/>
        <w:rPr>
          <w:rFonts w:ascii="Times New Roman" w:hAnsi="Times New Roman" w:cs="Times New Roman"/>
          <w:sz w:val="28"/>
          <w:szCs w:val="28"/>
          <w:lang w:val="uk-UA"/>
        </w:rPr>
      </w:pPr>
      <m:oMathPara>
        <m:oMath>
          <m:r>
            <w:rPr>
              <w:rFonts w:ascii="Cambria Math" w:hAnsi="Cambria Math" w:cs="Times New Roman"/>
              <w:sz w:val="28"/>
              <w:szCs w:val="28"/>
              <w:lang w:val="uk-UA"/>
            </w:rPr>
            <m:t>V</m:t>
          </m:r>
          <m:d>
            <m:dPr>
              <m:ctrlPr>
                <w:rPr>
                  <w:rFonts w:ascii="Cambria Math" w:hAnsi="Cambria Math" w:cs="Times New Roman"/>
                  <w:i/>
                  <w:sz w:val="28"/>
                  <w:szCs w:val="28"/>
                  <w:lang w:val="uk-UA"/>
                </w:rPr>
              </m:ctrlPr>
            </m:dPr>
            <m:e>
              <m:r>
                <w:rPr>
                  <w:rFonts w:ascii="Cambria Math" w:hAnsi="Cambria Math" w:cs="Times New Roman"/>
                  <w:sz w:val="28"/>
                  <w:szCs w:val="28"/>
                  <w:lang w:val="uk-UA"/>
                </w:rPr>
                <m:t>m,n</m:t>
              </m:r>
            </m:e>
          </m:d>
          <m:r>
            <w:rPr>
              <w:rFonts w:ascii="Cambria Math" w:hAnsi="Cambria Math" w:cs="Times New Roman"/>
              <w:sz w:val="28"/>
              <w:szCs w:val="28"/>
              <w:lang w:val="uk-UA"/>
            </w:rPr>
            <m:t>=</m:t>
          </m:r>
          <m:d>
            <m:dPr>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n+m-1</m:t>
                    </m:r>
                  </m:e>
                </m:mr>
                <m:mr>
                  <m:e>
                    <m:r>
                      <w:rPr>
                        <w:rFonts w:ascii="Cambria Math" w:hAnsi="Cambria Math" w:cs="Times New Roman"/>
                        <w:sz w:val="28"/>
                        <w:szCs w:val="28"/>
                        <w:lang w:val="uk-UA"/>
                      </w:rPr>
                      <m:t>n</m:t>
                    </m:r>
                  </m:e>
                </m:mr>
              </m:m>
            </m:e>
          </m:d>
          <m:r>
            <w:rPr>
              <w:rFonts w:ascii="Cambria Math" w:hAnsi="Cambria Math" w:cs="Times New Roman"/>
              <w:sz w:val="28"/>
              <w:szCs w:val="28"/>
              <w:lang w:val="uk-UA"/>
            </w:rPr>
            <m:t>=</m:t>
          </m:r>
          <m:d>
            <m:dPr>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n+m-1</m:t>
                    </m:r>
                  </m:e>
                </m:mr>
                <m:mr>
                  <m:e>
                    <m:r>
                      <w:rPr>
                        <w:rFonts w:ascii="Cambria Math" w:hAnsi="Cambria Math" w:cs="Times New Roman"/>
                        <w:sz w:val="28"/>
                        <w:szCs w:val="28"/>
                        <w:lang w:val="uk-UA"/>
                      </w:rPr>
                      <m:t>m-1</m:t>
                    </m:r>
                  </m:e>
                </m:mr>
              </m:m>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d>
                <m:dPr>
                  <m:ctrlPr>
                    <w:rPr>
                      <w:rFonts w:ascii="Cambria Math" w:hAnsi="Cambria Math" w:cs="Times New Roman"/>
                      <w:i/>
                      <w:sz w:val="28"/>
                      <w:szCs w:val="28"/>
                      <w:lang w:val="uk-UA"/>
                    </w:rPr>
                  </m:ctrlPr>
                </m:dPr>
                <m:e>
                  <m:r>
                    <w:rPr>
                      <w:rFonts w:ascii="Cambria Math" w:hAnsi="Cambria Math" w:cs="Times New Roman"/>
                      <w:sz w:val="28"/>
                      <w:szCs w:val="28"/>
                      <w:lang w:val="uk-UA"/>
                    </w:rPr>
                    <m:t>n+m-1</m:t>
                  </m:r>
                </m:e>
              </m:d>
              <m:r>
                <w:rPr>
                  <w:rFonts w:ascii="Cambria Math" w:hAnsi="Cambria Math" w:cs="Times New Roman"/>
                  <w:sz w:val="28"/>
                  <w:szCs w:val="28"/>
                  <w:lang w:val="uk-UA"/>
                </w:rPr>
                <m:t>!</m:t>
              </m:r>
            </m:num>
            <m:den>
              <m:r>
                <w:rPr>
                  <w:rFonts w:ascii="Cambria Math" w:hAnsi="Cambria Math" w:cs="Times New Roman"/>
                  <w:sz w:val="28"/>
                  <w:szCs w:val="28"/>
                  <w:lang w:val="uk-UA"/>
                </w:rPr>
                <m:t>n!</m:t>
              </m:r>
              <m:d>
                <m:dPr>
                  <m:ctrlPr>
                    <w:rPr>
                      <w:rFonts w:ascii="Cambria Math" w:hAnsi="Cambria Math" w:cs="Times New Roman"/>
                      <w:i/>
                      <w:sz w:val="28"/>
                      <w:szCs w:val="28"/>
                      <w:lang w:val="uk-UA"/>
                    </w:rPr>
                  </m:ctrlPr>
                </m:dPr>
                <m:e>
                  <m:r>
                    <w:rPr>
                      <w:rFonts w:ascii="Cambria Math" w:hAnsi="Cambria Math" w:cs="Times New Roman"/>
                      <w:sz w:val="28"/>
                      <w:szCs w:val="28"/>
                      <w:lang w:val="uk-UA"/>
                    </w:rPr>
                    <m:t>m-1</m:t>
                  </m:r>
                </m:e>
              </m:d>
              <m:r>
                <w:rPr>
                  <w:rFonts w:ascii="Cambria Math" w:hAnsi="Cambria Math" w:cs="Times New Roman"/>
                  <w:sz w:val="28"/>
                  <w:szCs w:val="28"/>
                  <w:lang w:val="uk-UA"/>
                </w:rPr>
                <m:t>!</m:t>
              </m:r>
            </m:den>
          </m:f>
          <m:r>
            <w:rPr>
              <w:rFonts w:ascii="Cambria Math" w:hAnsi="Cambria Math" w:cs="Times New Roman"/>
              <w:sz w:val="28"/>
              <w:szCs w:val="28"/>
              <w:lang w:val="uk-UA"/>
            </w:rPr>
            <m:t>,</m:t>
          </m:r>
        </m:oMath>
      </m:oMathPara>
    </w:p>
    <w:p w14:paraId="37AF27B4"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Невизначеність вибору конкретного </w:t>
      </w:r>
      <w:proofErr w:type="spellStart"/>
      <w:r w:rsidRPr="005F0419">
        <w:rPr>
          <w:rFonts w:ascii="Times New Roman" w:hAnsi="Times New Roman" w:cs="Times New Roman"/>
          <w:sz w:val="28"/>
          <w:szCs w:val="28"/>
          <w:lang w:val="uk-UA"/>
        </w:rPr>
        <w:t>вектора</w:t>
      </w:r>
      <w:proofErr w:type="spellEnd"/>
      <w:r w:rsidRPr="005F0419">
        <w:rPr>
          <w:rFonts w:ascii="Times New Roman" w:hAnsi="Times New Roman" w:cs="Times New Roman"/>
          <w:sz w:val="28"/>
          <w:szCs w:val="28"/>
          <w:lang w:val="uk-UA"/>
        </w:rPr>
        <w:t xml:space="preserve"> вагових коефіцієнтів </w:t>
      </w:r>
      <m:oMath>
        <m:r>
          <w:rPr>
            <w:rFonts w:ascii="Cambria Math" w:hAnsi="Cambria Math" w:cs="Times New Roman"/>
            <w:sz w:val="28"/>
            <w:szCs w:val="28"/>
            <w:lang w:val="uk-UA"/>
          </w:rPr>
          <m:t>w(t)</m:t>
        </m:r>
      </m:oMath>
      <w:r w:rsidRPr="005F0419">
        <w:rPr>
          <w:rFonts w:ascii="Times New Roman" w:hAnsi="Times New Roman" w:cs="Times New Roman"/>
          <w:sz w:val="28"/>
          <w:szCs w:val="28"/>
          <w:lang w:val="uk-UA"/>
        </w:rPr>
        <w:t xml:space="preserve"> з безлічі всіх можливих векторів вагових коефіцієнтів </w:t>
      </w:r>
      <m:oMath>
        <m:r>
          <w:rPr>
            <w:rFonts w:ascii="Cambria Math" w:hAnsi="Cambria Math" w:cs="Times New Roman"/>
            <w:sz w:val="28"/>
            <w:szCs w:val="28"/>
            <w:lang w:val="uk-UA"/>
          </w:rPr>
          <m:t>W(m, n)</m:t>
        </m:r>
      </m:oMath>
      <w:r w:rsidRPr="005F0419">
        <w:rPr>
          <w:rFonts w:ascii="Times New Roman" w:hAnsi="Times New Roman" w:cs="Times New Roman"/>
          <w:sz w:val="28"/>
          <w:szCs w:val="28"/>
          <w:lang w:val="uk-UA"/>
        </w:rPr>
        <w:t xml:space="preserve"> рандомізується за допомогою випадкового індексу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t</m:t>
            </m:r>
          </m:e>
        </m:acc>
      </m:oMath>
      <w:r w:rsidRPr="005F0419">
        <w:rPr>
          <w:rFonts w:ascii="Times New Roman" w:hAnsi="Times New Roman" w:cs="Times New Roman"/>
          <w:sz w:val="28"/>
          <w:szCs w:val="28"/>
          <w:lang w:val="uk-UA"/>
        </w:rPr>
        <w:t>, рівномірно розподіленого на безлічі</w:t>
      </w:r>
      <m:oMath>
        <m:r>
          <w:rPr>
            <w:rFonts w:ascii="Cambria Math" w:hAnsi="Cambria Math" w:cs="Times New Roman"/>
            <w:sz w:val="28"/>
            <w:szCs w:val="28"/>
            <w:lang w:val="uk-UA"/>
          </w:rPr>
          <m:t xml:space="preserve"> T</m:t>
        </m:r>
        <m:d>
          <m:dPr>
            <m:ctrlPr>
              <w:rPr>
                <w:rFonts w:ascii="Cambria Math" w:hAnsi="Cambria Math" w:cs="Times New Roman"/>
                <w:i/>
                <w:sz w:val="28"/>
                <w:szCs w:val="28"/>
                <w:lang w:val="uk-UA"/>
              </w:rPr>
            </m:ctrlPr>
          </m:dPr>
          <m:e>
            <m:r>
              <w:rPr>
                <w:rFonts w:ascii="Cambria Math" w:hAnsi="Cambria Math" w:cs="Times New Roman"/>
                <w:sz w:val="28"/>
                <w:szCs w:val="28"/>
                <w:lang w:val="uk-UA"/>
              </w:rPr>
              <m:t>m, n</m:t>
            </m:r>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1, … , N</m:t>
            </m:r>
            <m:d>
              <m:dPr>
                <m:ctrlPr>
                  <w:rPr>
                    <w:rFonts w:ascii="Cambria Math" w:hAnsi="Cambria Math" w:cs="Times New Roman"/>
                    <w:i/>
                    <w:sz w:val="28"/>
                    <w:szCs w:val="28"/>
                    <w:lang w:val="uk-UA"/>
                  </w:rPr>
                </m:ctrlPr>
              </m:dPr>
              <m:e>
                <m:r>
                  <w:rPr>
                    <w:rFonts w:ascii="Cambria Math" w:hAnsi="Cambria Math" w:cs="Times New Roman"/>
                    <w:sz w:val="28"/>
                    <w:szCs w:val="28"/>
                    <w:lang w:val="uk-UA"/>
                  </w:rPr>
                  <m:t>m, n</m:t>
                </m:r>
              </m:e>
            </m:d>
          </m:e>
        </m:d>
        <m:r>
          <w:rPr>
            <w:rFonts w:ascii="Cambria Math" w:hAnsi="Cambria Math" w:cs="Times New Roman"/>
            <w:sz w:val="28"/>
            <w:szCs w:val="28"/>
            <w:lang w:val="uk-UA"/>
          </w:rPr>
          <m:t>.</m:t>
        </m:r>
      </m:oMath>
    </w:p>
    <w:p w14:paraId="559308A5"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 результаті виходить </w:t>
      </w:r>
      <w:proofErr w:type="spellStart"/>
      <w:r w:rsidRPr="005F0419">
        <w:rPr>
          <w:rFonts w:ascii="Times New Roman" w:hAnsi="Times New Roman" w:cs="Times New Roman"/>
          <w:sz w:val="28"/>
          <w:szCs w:val="28"/>
          <w:lang w:val="uk-UA"/>
        </w:rPr>
        <w:t>рандомізований</w:t>
      </w:r>
      <w:proofErr w:type="spellEnd"/>
      <w:r w:rsidRPr="005F0419">
        <w:rPr>
          <w:rFonts w:ascii="Times New Roman" w:hAnsi="Times New Roman" w:cs="Times New Roman"/>
          <w:sz w:val="28"/>
          <w:szCs w:val="28"/>
          <w:lang w:val="uk-UA"/>
        </w:rPr>
        <w:t xml:space="preserve"> вектор вагових коефіцієнтів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 xml:space="preserve">v </m:t>
            </m:r>
          </m:e>
        </m:ac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1</m:t>
            </m:r>
          </m:sub>
        </m:sSub>
        <m:r>
          <w:rPr>
            <w:rFonts w:ascii="Cambria Math" w:hAnsi="Cambria Math" w:cs="Times New Roman"/>
            <w:sz w:val="28"/>
            <w:szCs w:val="28"/>
            <w:lang w:val="uk-UA"/>
          </w:rPr>
          <m:t>, …,</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m</m:t>
            </m:r>
          </m:sub>
        </m:sSub>
        <m:r>
          <w:rPr>
            <w:rFonts w:ascii="Cambria Math" w:hAnsi="Cambria Math" w:cs="Times New Roman"/>
            <w:sz w:val="28"/>
            <w:szCs w:val="28"/>
            <w:lang w:val="uk-UA"/>
          </w:rPr>
          <m:t>)</m:t>
        </m:r>
      </m:oMath>
      <w:r w:rsidRPr="005F0419">
        <w:rPr>
          <w:rFonts w:ascii="Times New Roman" w:hAnsi="Times New Roman" w:cs="Times New Roman"/>
          <w:sz w:val="28"/>
          <w:szCs w:val="28"/>
          <w:lang w:val="uk-UA"/>
        </w:rPr>
        <w:t xml:space="preserve">, індукований випадковим індексом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t</m:t>
            </m:r>
          </m:e>
        </m:acc>
      </m:oMath>
      <w:r w:rsidRPr="005F0419">
        <w:rPr>
          <w:rFonts w:ascii="Times New Roman" w:hAnsi="Times New Roman" w:cs="Times New Roman"/>
          <w:sz w:val="28"/>
          <w:szCs w:val="28"/>
          <w:lang w:val="uk-UA"/>
        </w:rPr>
        <w:t xml:space="preserve"> по формулі: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 xml:space="preserve">v </m:t>
            </m:r>
          </m:e>
        </m:acc>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1</m:t>
                </m:r>
              </m:sub>
            </m:sSub>
            <m:r>
              <w:rPr>
                <w:rFonts w:ascii="Cambria Math" w:hAnsi="Cambria Math" w:cs="Times New Roman"/>
                <w:sz w:val="28"/>
                <w:szCs w:val="28"/>
                <w:lang w:val="uk-UA"/>
              </w:rPr>
              <m:t>, …,</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m</m:t>
                </m:r>
              </m:sub>
            </m:sSub>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v</m:t>
            </m:r>
          </m:e>
          <m:sup>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t</m:t>
                </m:r>
              </m:e>
            </m:acc>
            <m:r>
              <w:rPr>
                <w:rFonts w:ascii="Cambria Math" w:hAnsi="Cambria Math" w:cs="Times New Roman"/>
                <w:sz w:val="28"/>
                <w:szCs w:val="28"/>
                <w:lang w:val="uk-UA"/>
              </w:rPr>
              <m:t>)</m:t>
            </m:r>
          </m:sup>
        </m:s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v</m:t>
            </m:r>
          </m:e>
          <m:sub>
            <m:r>
              <w:rPr>
                <w:rFonts w:ascii="Cambria Math" w:hAnsi="Cambria Math" w:cs="Times New Roman"/>
                <w:sz w:val="28"/>
                <w:szCs w:val="28"/>
                <w:lang w:val="uk-UA"/>
              </w:rPr>
              <m:t>1</m:t>
            </m:r>
          </m:sub>
          <m:sup>
            <m:d>
              <m:dPr>
                <m:ctrlPr>
                  <w:rPr>
                    <w:rFonts w:ascii="Cambria Math" w:hAnsi="Cambria Math" w:cs="Times New Roman"/>
                    <w:i/>
                    <w:sz w:val="28"/>
                    <w:szCs w:val="28"/>
                    <w:lang w:val="uk-UA"/>
                  </w:rPr>
                </m:ctrlPr>
              </m:d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t</m:t>
                    </m:r>
                  </m:e>
                </m:acc>
              </m:e>
            </m:d>
          </m:sup>
        </m:sSubSup>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v</m:t>
            </m:r>
          </m:e>
          <m:sub>
            <m:r>
              <w:rPr>
                <w:rFonts w:ascii="Cambria Math" w:hAnsi="Cambria Math" w:cs="Times New Roman"/>
                <w:sz w:val="28"/>
                <w:szCs w:val="28"/>
                <w:lang w:val="uk-UA"/>
              </w:rPr>
              <m:t>m</m:t>
            </m:r>
          </m:sub>
          <m:sup>
            <m:d>
              <m:dPr>
                <m:ctrlPr>
                  <w:rPr>
                    <w:rFonts w:ascii="Cambria Math" w:hAnsi="Cambria Math" w:cs="Times New Roman"/>
                    <w:i/>
                    <w:sz w:val="28"/>
                    <w:szCs w:val="28"/>
                    <w:lang w:val="uk-UA"/>
                  </w:rPr>
                </m:ctrlPr>
              </m:d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t</m:t>
                    </m:r>
                  </m:e>
                </m:acc>
              </m:e>
            </m:d>
          </m:sup>
        </m:sSubSup>
        <m:r>
          <w:rPr>
            <w:rFonts w:ascii="Cambria Math" w:hAnsi="Cambria Math" w:cs="Times New Roman"/>
            <w:sz w:val="28"/>
            <w:szCs w:val="28"/>
            <w:lang w:val="uk-UA"/>
          </w:rPr>
          <m:t>)</m:t>
        </m:r>
      </m:oMath>
      <w:r w:rsidRPr="005F0419">
        <w:rPr>
          <w:rFonts w:ascii="Times New Roman" w:hAnsi="Times New Roman" w:cs="Times New Roman"/>
          <w:sz w:val="28"/>
          <w:szCs w:val="28"/>
          <w:lang w:val="uk-UA"/>
        </w:rPr>
        <w:t xml:space="preserve"> і рівномірно розподілений на множині </w:t>
      </w:r>
      <m:oMath>
        <m:r>
          <w:rPr>
            <w:rFonts w:ascii="Cambria Math" w:hAnsi="Cambria Math" w:cs="Times New Roman"/>
            <w:sz w:val="28"/>
            <w:szCs w:val="28"/>
            <w:lang w:val="uk-UA"/>
          </w:rPr>
          <m:t>V(m,n).</m:t>
        </m:r>
      </m:oMath>
    </w:p>
    <w:p w14:paraId="04BF7D22"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При цьому математичне очікування </w:t>
      </w:r>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r>
          <w:rPr>
            <w:rFonts w:ascii="Cambria Math" w:hAnsi="Cambria Math" w:cs="Times New Roman"/>
            <w:sz w:val="28"/>
            <w:szCs w:val="28"/>
            <w:lang w:val="uk-UA"/>
          </w:rPr>
          <m:t>=M</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oMath>
      <w:r w:rsidRPr="005F0419">
        <w:rPr>
          <w:rFonts w:ascii="Times New Roman" w:hAnsi="Times New Roman" w:cs="Times New Roman"/>
          <w:sz w:val="28"/>
          <w:szCs w:val="28"/>
          <w:lang w:val="uk-UA"/>
        </w:rPr>
        <w:t xml:space="preserve"> і стандартне відхилення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e>
        </m:rad>
        <m:r>
          <w:rPr>
            <w:rFonts w:ascii="Cambria Math" w:hAnsi="Cambria Math" w:cs="Times New Roman"/>
            <w:sz w:val="28"/>
            <w:szCs w:val="28"/>
            <w:lang w:val="uk-UA"/>
          </w:rPr>
          <m:t xml:space="preserve"> (D</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oMath>
      <w:r w:rsidRPr="005F0419">
        <w:rPr>
          <w:rFonts w:ascii="Times New Roman" w:hAnsi="Times New Roman" w:cs="Times New Roman"/>
          <w:sz w:val="28"/>
          <w:szCs w:val="28"/>
          <w:lang w:val="uk-UA"/>
        </w:rPr>
        <w:t xml:space="preserve"> – дисперсія випадкової величини </w:t>
      </w:r>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r>
          <w:rPr>
            <w:rFonts w:ascii="Cambria Math" w:hAnsi="Cambria Math" w:cs="Times New Roman"/>
            <w:sz w:val="28"/>
            <w:szCs w:val="28"/>
            <w:lang w:val="uk-UA"/>
          </w:rPr>
          <m:t>)</m:t>
        </m:r>
      </m:oMath>
      <w:r w:rsidRPr="005F0419">
        <w:rPr>
          <w:rFonts w:ascii="Times New Roman" w:hAnsi="Times New Roman" w:cs="Times New Roman"/>
          <w:sz w:val="28"/>
          <w:szCs w:val="28"/>
          <w:lang w:val="uk-UA"/>
        </w:rPr>
        <w:t xml:space="preserve"> і-го рандомізованого вагового коефіцієнта:</w:t>
      </w:r>
    </w:p>
    <w:p w14:paraId="41303700" w14:textId="77777777" w:rsidR="00C14BDE" w:rsidRPr="005F0419" w:rsidRDefault="007468C1" w:rsidP="00C14BDE">
      <w:pPr>
        <w:spacing w:after="0" w:line="360" w:lineRule="auto"/>
        <w:ind w:firstLine="720"/>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r>
            <w:rPr>
              <w:rFonts w:ascii="Cambria Math" w:hAnsi="Cambria Math" w:cs="Times New Roman"/>
              <w:sz w:val="28"/>
              <w:szCs w:val="28"/>
              <w:lang w:val="uk-UA"/>
            </w:rPr>
            <m:t>= M</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
                <m:dPr>
                  <m:ctrlPr>
                    <w:rPr>
                      <w:rFonts w:ascii="Cambria Math" w:hAnsi="Cambria Math" w:cs="Times New Roman"/>
                      <w:i/>
                      <w:sz w:val="28"/>
                      <w:szCs w:val="28"/>
                      <w:lang w:val="uk-UA"/>
                    </w:rPr>
                  </m:ctrlPr>
                </m:dPr>
                <m:e>
                  <m:r>
                    <w:rPr>
                      <w:rFonts w:ascii="Cambria Math" w:hAnsi="Cambria Math" w:cs="Times New Roman"/>
                      <w:sz w:val="28"/>
                      <w:szCs w:val="28"/>
                      <w:lang w:val="uk-UA"/>
                    </w:rPr>
                    <m:t>m,n</m:t>
                  </m:r>
                </m:e>
              </m:d>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t=1</m:t>
              </m:r>
            </m:sub>
            <m:sup>
              <m:r>
                <w:rPr>
                  <w:rFonts w:ascii="Cambria Math" w:hAnsi="Cambria Math" w:cs="Times New Roman"/>
                  <w:sz w:val="28"/>
                  <w:szCs w:val="28"/>
                  <w:lang w:val="uk-UA"/>
                </w:rPr>
                <m:t>N</m:t>
              </m:r>
              <m:d>
                <m:dPr>
                  <m:ctrlPr>
                    <w:rPr>
                      <w:rFonts w:ascii="Cambria Math" w:hAnsi="Cambria Math" w:cs="Times New Roman"/>
                      <w:i/>
                      <w:sz w:val="28"/>
                      <w:szCs w:val="28"/>
                      <w:lang w:val="uk-UA"/>
                    </w:rPr>
                  </m:ctrlPr>
                </m:dPr>
                <m:e>
                  <m:r>
                    <w:rPr>
                      <w:rFonts w:ascii="Cambria Math" w:hAnsi="Cambria Math" w:cs="Times New Roman"/>
                      <w:sz w:val="28"/>
                      <w:szCs w:val="28"/>
                      <w:lang w:val="uk-UA"/>
                    </w:rPr>
                    <m:t>m,n</m:t>
                  </m:r>
                </m:e>
              </m:d>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v</m:t>
                  </m:r>
                </m:e>
                <m:sub>
                  <m:r>
                    <w:rPr>
                      <w:rFonts w:ascii="Cambria Math" w:hAnsi="Cambria Math" w:cs="Times New Roman"/>
                      <w:sz w:val="28"/>
                      <w:szCs w:val="28"/>
                      <w:lang w:val="uk-UA"/>
                    </w:rPr>
                    <m:t>i</m:t>
                  </m:r>
                </m:sub>
                <m:sup>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sup>
              </m:sSubSup>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m</m:t>
                  </m:r>
                </m:den>
              </m:f>
              <m:r>
                <w:rPr>
                  <w:rFonts w:ascii="Cambria Math" w:hAnsi="Cambria Math" w:cs="Times New Roman"/>
                  <w:sz w:val="28"/>
                  <w:szCs w:val="28"/>
                  <w:lang w:val="uk-UA"/>
                </w:rPr>
                <m:t>,</m:t>
              </m:r>
            </m:e>
          </m:nary>
        </m:oMath>
      </m:oMathPara>
    </w:p>
    <w:p w14:paraId="71BAD6EF"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m:oMathPara>
        <m:oMath>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e>
          </m:rad>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
                    <m:dPr>
                      <m:ctrlPr>
                        <w:rPr>
                          <w:rFonts w:ascii="Cambria Math" w:hAnsi="Cambria Math" w:cs="Times New Roman"/>
                          <w:i/>
                          <w:sz w:val="28"/>
                          <w:szCs w:val="28"/>
                          <w:lang w:val="uk-UA"/>
                        </w:rPr>
                      </m:ctrlPr>
                    </m:dPr>
                    <m:e>
                      <m:r>
                        <w:rPr>
                          <w:rFonts w:ascii="Cambria Math" w:hAnsi="Cambria Math" w:cs="Times New Roman"/>
                          <w:sz w:val="28"/>
                          <w:szCs w:val="28"/>
                          <w:lang w:val="uk-UA"/>
                        </w:rPr>
                        <m:t>m,n</m:t>
                      </m:r>
                    </m:e>
                  </m:d>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t=1</m:t>
                  </m:r>
                </m:sub>
                <m:sup>
                  <m:r>
                    <w:rPr>
                      <w:rFonts w:ascii="Cambria Math" w:hAnsi="Cambria Math" w:cs="Times New Roman"/>
                      <w:sz w:val="28"/>
                      <w:szCs w:val="28"/>
                      <w:lang w:val="uk-UA"/>
                    </w:rPr>
                    <m:t>N</m:t>
                  </m:r>
                  <m:d>
                    <m:dPr>
                      <m:ctrlPr>
                        <w:rPr>
                          <w:rFonts w:ascii="Cambria Math" w:hAnsi="Cambria Math" w:cs="Times New Roman"/>
                          <w:i/>
                          <w:sz w:val="28"/>
                          <w:szCs w:val="28"/>
                          <w:lang w:val="uk-UA"/>
                        </w:rPr>
                      </m:ctrlPr>
                    </m:dPr>
                    <m:e>
                      <m:r>
                        <w:rPr>
                          <w:rFonts w:ascii="Cambria Math" w:hAnsi="Cambria Math" w:cs="Times New Roman"/>
                          <w:sz w:val="28"/>
                          <w:szCs w:val="28"/>
                          <w:lang w:val="uk-UA"/>
                        </w:rPr>
                        <m:t>m,n</m:t>
                      </m:r>
                    </m:e>
                  </m:d>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(v</m:t>
                      </m:r>
                    </m:e>
                    <m:sub>
                      <m:r>
                        <w:rPr>
                          <w:rFonts w:ascii="Cambria Math" w:hAnsi="Cambria Math" w:cs="Times New Roman"/>
                          <w:sz w:val="28"/>
                          <w:szCs w:val="28"/>
                          <w:lang w:val="uk-UA"/>
                        </w:rPr>
                        <m:t>i</m:t>
                      </m:r>
                    </m:sub>
                    <m:sup>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e>
                    <m:sup>
                      <m:r>
                        <w:rPr>
                          <w:rFonts w:ascii="Cambria Math" w:hAnsi="Cambria Math" w:cs="Times New Roman"/>
                          <w:sz w:val="28"/>
                          <w:szCs w:val="28"/>
                          <w:lang w:val="uk-UA"/>
                        </w:rPr>
                        <m:t>2</m:t>
                      </m:r>
                    </m:sup>
                  </m:sSup>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m-1</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m</m:t>
                              </m:r>
                            </m:e>
                            <m:sup>
                              <m:r>
                                <w:rPr>
                                  <w:rFonts w:ascii="Cambria Math" w:hAnsi="Cambria Math" w:cs="Times New Roman"/>
                                  <w:sz w:val="28"/>
                                  <w:szCs w:val="28"/>
                                  <w:lang w:val="uk-UA"/>
                                </w:rPr>
                                <m:t>2</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m+1</m:t>
                              </m:r>
                            </m:e>
                          </m:d>
                        </m:den>
                      </m:f>
                    </m:e>
                  </m:ra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m-1</m:t>
                      </m:r>
                    </m:num>
                    <m:den>
                      <m:r>
                        <w:rPr>
                          <w:rFonts w:ascii="Cambria Math" w:hAnsi="Cambria Math" w:cs="Times New Roman"/>
                          <w:sz w:val="28"/>
                          <w:szCs w:val="28"/>
                          <w:lang w:val="uk-UA"/>
                        </w:rPr>
                        <m:t>m(m+1)</m:t>
                      </m:r>
                    </m:den>
                  </m:f>
                  <m:r>
                    <w:rPr>
                      <w:rFonts w:ascii="Cambria Math" w:hAnsi="Cambria Math" w:cs="Times New Roman"/>
                      <w:sz w:val="28"/>
                      <w:szCs w:val="28"/>
                      <w:lang w:val="uk-UA"/>
                    </w:rPr>
                    <m:t>,</m:t>
                  </m:r>
                </m:e>
              </m:nary>
            </m:e>
          </m:rad>
        </m:oMath>
      </m:oMathPara>
    </w:p>
    <w:p w14:paraId="27D48A28"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є оцінками вагових коефіцієнтів та мірою їх точності, відповідно.</w:t>
      </w:r>
    </w:p>
    <w:p w14:paraId="1FC4F9C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Наприклад, якщо є три показники (</w:t>
      </w:r>
      <w:r w:rsidRPr="005F0419">
        <w:rPr>
          <w:rFonts w:ascii="Cambria Math" w:hAnsi="Cambria Math" w:cs="Cambria Math"/>
          <w:sz w:val="28"/>
          <w:szCs w:val="28"/>
          <w:lang w:val="uk-UA"/>
        </w:rPr>
        <w:t>𝑚</w:t>
      </w:r>
      <w:r w:rsidRPr="005F0419">
        <w:rPr>
          <w:rFonts w:ascii="Times New Roman" w:hAnsi="Times New Roman" w:cs="Times New Roman"/>
          <w:sz w:val="28"/>
          <w:szCs w:val="28"/>
          <w:lang w:val="uk-UA"/>
        </w:rPr>
        <w:t xml:space="preserve"> = 3), обраний крок ℎ = 0,2 (</w:t>
      </w:r>
      <w:r w:rsidRPr="005F0419">
        <w:rPr>
          <w:rFonts w:ascii="Cambria Math" w:hAnsi="Cambria Math" w:cs="Cambria Math"/>
          <w:sz w:val="28"/>
          <w:szCs w:val="28"/>
          <w:lang w:val="uk-UA"/>
        </w:rPr>
        <w:t>𝑛</w:t>
      </w:r>
      <w:r w:rsidRPr="005F0419">
        <w:rPr>
          <w:rFonts w:ascii="Times New Roman" w:hAnsi="Times New Roman" w:cs="Times New Roman"/>
          <w:sz w:val="28"/>
          <w:szCs w:val="28"/>
          <w:lang w:val="uk-UA"/>
        </w:rPr>
        <w:t xml:space="preserve"> = 5), множина V(3,5) всіх можливих векторів вагових коефіцієнтів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v</m:t>
            </m:r>
          </m:e>
          <m:sup>
            <m:r>
              <w:rPr>
                <w:rFonts w:ascii="Cambria Math" w:hAnsi="Cambria Math" w:cs="Times New Roman"/>
                <w:sz w:val="28"/>
                <w:szCs w:val="28"/>
                <w:lang w:val="uk-UA"/>
              </w:rPr>
              <m:t>(t)</m:t>
            </m:r>
          </m:sup>
        </m:s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v</m:t>
            </m:r>
          </m:e>
          <m:sub>
            <m:r>
              <w:rPr>
                <w:rFonts w:ascii="Cambria Math" w:hAnsi="Cambria Math" w:cs="Times New Roman"/>
                <w:sz w:val="28"/>
                <w:szCs w:val="28"/>
                <w:lang w:val="uk-UA"/>
              </w:rPr>
              <m:t>1</m:t>
            </m:r>
          </m:sub>
          <m:sup>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v</m:t>
            </m:r>
          </m:e>
          <m:sub>
            <m:r>
              <w:rPr>
                <w:rFonts w:ascii="Cambria Math" w:hAnsi="Cambria Math" w:cs="Times New Roman"/>
                <w:sz w:val="28"/>
                <w:szCs w:val="28"/>
                <w:lang w:val="uk-UA"/>
              </w:rPr>
              <m:t>2</m:t>
            </m:r>
          </m:sub>
          <m:sup>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sup>
        </m:sSubSup>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v</m:t>
            </m:r>
          </m:e>
          <m:sub>
            <m:r>
              <w:rPr>
                <w:rFonts w:ascii="Cambria Math" w:hAnsi="Cambria Math" w:cs="Times New Roman"/>
                <w:sz w:val="28"/>
                <w:szCs w:val="28"/>
                <w:lang w:val="uk-UA"/>
              </w:rPr>
              <m:t>3</m:t>
            </m:r>
          </m:sub>
          <m:sup>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sup>
        </m:sSubSup>
        <m:r>
          <w:rPr>
            <w:rFonts w:ascii="Cambria Math" w:hAnsi="Cambria Math" w:cs="Times New Roman"/>
            <w:sz w:val="28"/>
            <w:szCs w:val="28"/>
            <w:lang w:val="uk-UA"/>
          </w:rPr>
          <m:t>)</m:t>
        </m:r>
      </m:oMath>
      <w:r w:rsidRPr="005F0419">
        <w:rPr>
          <w:rFonts w:ascii="Times New Roman" w:hAnsi="Times New Roman" w:cs="Times New Roman"/>
          <w:sz w:val="28"/>
          <w:szCs w:val="28"/>
          <w:lang w:val="uk-UA"/>
        </w:rPr>
        <w:t xml:space="preserve"> складається з </w:t>
      </w:r>
      <w:r w:rsidRPr="005F0419">
        <w:rPr>
          <w:rFonts w:ascii="Cambria Math" w:hAnsi="Cambria Math" w:cs="Cambria Math"/>
          <w:sz w:val="28"/>
          <w:szCs w:val="28"/>
          <w:lang w:val="uk-UA"/>
        </w:rPr>
        <w:t>𝑁</w:t>
      </w:r>
      <w:r w:rsidRPr="005F0419">
        <w:rPr>
          <w:rFonts w:ascii="Times New Roman" w:hAnsi="Times New Roman" w:cs="Times New Roman"/>
          <w:sz w:val="28"/>
          <w:szCs w:val="28"/>
          <w:lang w:val="uk-UA"/>
        </w:rPr>
        <w:t xml:space="preserve">(3,5) = 21 елемента. Отримані при цьому математичні очікування </w:t>
      </w:r>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≈0,333 </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≈0,298, i=1,2,3</m:t>
            </m:r>
          </m:e>
        </m:d>
        <m:r>
          <w:rPr>
            <w:rFonts w:ascii="Cambria Math" w:hAnsi="Cambria Math" w:cs="Times New Roman"/>
            <w:sz w:val="28"/>
            <w:szCs w:val="28"/>
            <w:lang w:val="uk-UA"/>
          </w:rPr>
          <m:t xml:space="preserve"> </m:t>
        </m:r>
      </m:oMath>
      <w:r w:rsidRPr="005F0419">
        <w:rPr>
          <w:rFonts w:ascii="Times New Roman" w:hAnsi="Times New Roman" w:cs="Times New Roman"/>
          <w:sz w:val="28"/>
          <w:szCs w:val="28"/>
          <w:lang w:val="uk-UA"/>
        </w:rPr>
        <w:t>інтерпретуються як оцінки вагових коефіцієнтів для випадку повної відсутності інформації про їх допустимі значення.</w:t>
      </w:r>
    </w:p>
    <w:p w14:paraId="62AEE137"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Результат підтверджує використання рівних значень вагових коефіцієнтів за умов повної невизначеності. Якщо припустити, що ми маємо деяку інформацію щодо значущості кожного показника, то ця інформація може бути подана у вигляді:</w:t>
      </w:r>
    </w:p>
    <w:p w14:paraId="6A02F556" w14:textId="6044FA4A"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 Системи </w:t>
      </w:r>
      <w:proofErr w:type="spellStart"/>
      <w:r w:rsidRPr="005F0419">
        <w:rPr>
          <w:rFonts w:ascii="Times New Roman" w:hAnsi="Times New Roman" w:cs="Times New Roman"/>
          <w:sz w:val="28"/>
          <w:szCs w:val="28"/>
          <w:lang w:val="uk-UA"/>
        </w:rPr>
        <w:t>рівностей</w:t>
      </w:r>
      <w:proofErr w:type="spellEnd"/>
      <w:r w:rsidRPr="005F0419">
        <w:rPr>
          <w:rFonts w:ascii="Times New Roman" w:hAnsi="Times New Roman" w:cs="Times New Roman"/>
          <w:sz w:val="28"/>
          <w:szCs w:val="28"/>
          <w:lang w:val="uk-UA"/>
        </w:rPr>
        <w:t xml:space="preserve"> та </w:t>
      </w:r>
      <w:proofErr w:type="spellStart"/>
      <w:r w:rsidRPr="005F0419">
        <w:rPr>
          <w:rFonts w:ascii="Times New Roman" w:hAnsi="Times New Roman" w:cs="Times New Roman"/>
          <w:sz w:val="28"/>
          <w:szCs w:val="28"/>
          <w:lang w:val="uk-UA"/>
        </w:rPr>
        <w:t>нерівностей</w:t>
      </w:r>
      <w:proofErr w:type="spellEnd"/>
      <w:r w:rsidR="00C713B7">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w:t>
      </w:r>
    </w:p>
    <w:p w14:paraId="0E8AD5D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m:oMathPara>
        <m:oMath>
          <m:r>
            <w:rPr>
              <w:rFonts w:ascii="Cambria Math" w:hAnsi="Cambria Math" w:cs="Times New Roman"/>
              <w:sz w:val="28"/>
              <w:szCs w:val="28"/>
              <w:lang w:val="uk-UA"/>
            </w:rPr>
            <m:t>V(m, n, 1)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r</m:t>
              </m:r>
            </m:sub>
          </m:sSub>
          <m:r>
            <w:rPr>
              <w:rFonts w:ascii="Cambria Math" w:hAnsi="Cambria Math" w:cs="Times New Roman"/>
              <w:sz w:val="28"/>
              <w:szCs w:val="28"/>
              <w:lang w:val="uk-UA"/>
            </w:rPr>
            <m:t xml:space="preserve"> &gt;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s</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p</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q</m:t>
              </m:r>
            </m:sub>
          </m:sSub>
          <m:r>
            <w:rPr>
              <w:rFonts w:ascii="Cambria Math" w:hAnsi="Cambria Math" w:cs="Times New Roman"/>
              <w:sz w:val="28"/>
              <w:szCs w:val="28"/>
              <w:lang w:val="uk-UA"/>
            </w:rPr>
            <m:t>, … }.</m:t>
          </m:r>
        </m:oMath>
      </m:oMathPara>
    </w:p>
    <w:p w14:paraId="7F3A344D"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Така інформація називається ординальною (порядковою) інформацією.</w:t>
      </w:r>
    </w:p>
    <w:p w14:paraId="76F56BB3" w14:textId="5142D108"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Системи </w:t>
      </w:r>
      <w:proofErr w:type="spellStart"/>
      <w:r w:rsidRPr="005F0419">
        <w:rPr>
          <w:rFonts w:ascii="Times New Roman" w:hAnsi="Times New Roman" w:cs="Times New Roman"/>
          <w:sz w:val="28"/>
          <w:szCs w:val="28"/>
          <w:lang w:val="uk-UA"/>
        </w:rPr>
        <w:t>нерівностей</w:t>
      </w:r>
      <w:proofErr w:type="spellEnd"/>
      <w:r w:rsidRPr="005F0419">
        <w:rPr>
          <w:rFonts w:ascii="Times New Roman" w:hAnsi="Times New Roman" w:cs="Times New Roman"/>
          <w:sz w:val="28"/>
          <w:szCs w:val="28"/>
          <w:lang w:val="uk-UA"/>
        </w:rPr>
        <w:t>, що задають діапазон зміни вагових коефіцієнтів</w:t>
      </w:r>
      <w:r w:rsidR="00C713B7">
        <w:rPr>
          <w:rFonts w:ascii="Times New Roman" w:hAnsi="Times New Roman" w:cs="Times New Roman"/>
          <w:sz w:val="28"/>
          <w:szCs w:val="28"/>
          <w:lang w:val="uk-UA"/>
        </w:rPr>
        <w:t>:</w:t>
      </w:r>
    </w:p>
    <w:p w14:paraId="4031AA70"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m:oMathPara>
        <m:oMathParaPr>
          <m:jc m:val="center"/>
        </m:oMathParaPr>
        <m:oMath>
          <m:r>
            <w:rPr>
              <w:rFonts w:ascii="Cambria Math" w:hAnsi="Cambria Math" w:cs="Times New Roman"/>
              <w:sz w:val="28"/>
              <w:szCs w:val="28"/>
              <w:lang w:val="uk-UA"/>
            </w:rPr>
            <m:t>V(m, n, 2)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i = </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1,m</m:t>
              </m:r>
            </m:e>
          </m:acc>
          <m:r>
            <w:rPr>
              <w:rFonts w:ascii="Cambria Math" w:hAnsi="Cambria Math" w:cs="Times New Roman"/>
              <w:sz w:val="28"/>
              <w:szCs w:val="28"/>
              <w:lang w:val="uk-UA"/>
            </w:rPr>
            <m:t>}.</m:t>
          </m:r>
        </m:oMath>
      </m:oMathPara>
    </w:p>
    <w:p w14:paraId="4C6460A1"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Така інформація називається інтервальною (неточною) інформацією.</w:t>
      </w:r>
    </w:p>
    <w:p w14:paraId="41DBE771" w14:textId="0B5A0C2E"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3. Систем, що поєднують ординальну та інтервальну інформацію</w:t>
      </w:r>
      <w:r w:rsidR="00C713B7">
        <w:rPr>
          <w:rFonts w:ascii="Times New Roman" w:hAnsi="Times New Roman" w:cs="Times New Roman"/>
          <w:sz w:val="28"/>
          <w:szCs w:val="28"/>
          <w:lang w:val="uk-UA"/>
        </w:rPr>
        <w:t>:</w:t>
      </w:r>
    </w:p>
    <w:p w14:paraId="2C4AA38F"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V</w:t>
      </w:r>
      <m:oMath>
        <m:r>
          <w:rPr>
            <w:rFonts w:ascii="Cambria Math" w:hAnsi="Cambria Math" w:cs="Times New Roman"/>
            <w:sz w:val="28"/>
            <w:szCs w:val="28"/>
            <w:lang w:val="uk-UA"/>
          </w:rPr>
          <m:t>(m, n, 3) = V(m, n, 1) ∩ V(m, n, 2).</m:t>
        </m:r>
      </m:oMath>
    </w:p>
    <w:p w14:paraId="46715FB1"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Така інформація називається нечисловою (ординальною), неточною (інтервальною) та неповною інформацією (</w:t>
      </w:r>
      <w:proofErr w:type="spellStart"/>
      <w:r w:rsidRPr="005F0419">
        <w:rPr>
          <w:rFonts w:ascii="Times New Roman" w:hAnsi="Times New Roman" w:cs="Times New Roman"/>
          <w:sz w:val="28"/>
          <w:szCs w:val="28"/>
          <w:lang w:val="uk-UA"/>
        </w:rPr>
        <w:t>ннн</w:t>
      </w:r>
      <w:proofErr w:type="spellEnd"/>
      <w:r w:rsidRPr="005F0419">
        <w:rPr>
          <w:rFonts w:ascii="Times New Roman" w:hAnsi="Times New Roman" w:cs="Times New Roman"/>
          <w:sz w:val="28"/>
          <w:szCs w:val="28"/>
          <w:lang w:val="uk-UA"/>
        </w:rPr>
        <w:t>-інформацією).</w:t>
      </w:r>
    </w:p>
    <w:p w14:paraId="0670F2BB" w14:textId="1CB341E6"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Розглянемо перший випадок. Нехай щодо трьох показників відомо, що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3</m:t>
            </m:r>
          </m:sub>
        </m:sSub>
      </m:oMath>
      <w:r w:rsidRPr="005F0419">
        <w:rPr>
          <w:rFonts w:ascii="Times New Roman" w:hAnsi="Times New Roman" w:cs="Times New Roman"/>
          <w:sz w:val="28"/>
          <w:szCs w:val="28"/>
          <w:lang w:val="uk-UA"/>
        </w:rPr>
        <w:t xml:space="preserve"> &gt;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1</m:t>
            </m:r>
          </m:sub>
        </m:sSub>
      </m:oMath>
      <w:r w:rsidRPr="005F0419">
        <w:rPr>
          <w:rFonts w:ascii="Times New Roman" w:hAnsi="Times New Roman" w:cs="Times New Roman"/>
          <w:sz w:val="28"/>
          <w:szCs w:val="28"/>
          <w:lang w:val="uk-UA"/>
        </w:rPr>
        <w:t xml:space="preserve">&gt;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2</m:t>
            </m:r>
          </m:sub>
        </m:sSub>
      </m:oMath>
      <w:r w:rsidRPr="005F0419">
        <w:rPr>
          <w:rFonts w:ascii="Times New Roman" w:hAnsi="Times New Roman" w:cs="Times New Roman"/>
          <w:sz w:val="28"/>
          <w:szCs w:val="28"/>
          <w:lang w:val="uk-UA"/>
        </w:rPr>
        <w:t>. У рамках дискретної моделі для різних значень кроку отримаємо значення вагових коефіцієнтів (</w:t>
      </w:r>
      <w:r w:rsidR="00C713B7">
        <w:rPr>
          <w:rFonts w:ascii="Times New Roman" w:hAnsi="Times New Roman" w:cs="Times New Roman"/>
          <w:sz w:val="28"/>
          <w:szCs w:val="28"/>
          <w:lang w:val="uk-UA"/>
        </w:rPr>
        <w:t>т</w:t>
      </w:r>
      <w:r w:rsidRPr="005F0419">
        <w:rPr>
          <w:rFonts w:ascii="Times New Roman" w:hAnsi="Times New Roman" w:cs="Times New Roman"/>
          <w:sz w:val="28"/>
          <w:szCs w:val="28"/>
          <w:lang w:val="uk-UA"/>
        </w:rPr>
        <w:t>абл</w:t>
      </w:r>
      <w:r w:rsidR="00C713B7">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1).</w:t>
      </w:r>
    </w:p>
    <w:p w14:paraId="5A05CFCF" w14:textId="77777777" w:rsidR="00C713B7" w:rsidRDefault="00C14BDE" w:rsidP="00C713B7">
      <w:pPr>
        <w:spacing w:after="0" w:line="360" w:lineRule="auto"/>
        <w:ind w:firstLine="720"/>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Таблиця 1</w:t>
      </w:r>
    </w:p>
    <w:p w14:paraId="013A8167" w14:textId="2F20CD01"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Вагові коефіцієнти при ординальній інформації</w:t>
      </w:r>
    </w:p>
    <w:tbl>
      <w:tblPr>
        <w:tblStyle w:val="ab"/>
        <w:tblW w:w="0" w:type="auto"/>
        <w:tblLook w:val="04A0" w:firstRow="1" w:lastRow="0" w:firstColumn="1" w:lastColumn="0" w:noHBand="0" w:noVBand="1"/>
      </w:tblPr>
      <w:tblGrid>
        <w:gridCol w:w="1101"/>
        <w:gridCol w:w="976"/>
        <w:gridCol w:w="1264"/>
        <w:gridCol w:w="1076"/>
        <w:gridCol w:w="1327"/>
        <w:gridCol w:w="1345"/>
        <w:gridCol w:w="1308"/>
        <w:gridCol w:w="1231"/>
      </w:tblGrid>
      <w:tr w:rsidR="00C14BDE" w:rsidRPr="00C713B7" w14:paraId="721CB4A2" w14:textId="77777777" w:rsidTr="002279C5">
        <w:tc>
          <w:tcPr>
            <w:tcW w:w="1109" w:type="dxa"/>
            <w:vMerge w:val="restart"/>
            <w:vAlign w:val="center"/>
          </w:tcPr>
          <w:p w14:paraId="3C82F57B" w14:textId="77777777" w:rsidR="00C14BDE" w:rsidRPr="00C713B7" w:rsidRDefault="00C14BDE" w:rsidP="00C713B7">
            <w:pPr>
              <w:spacing w:after="0" w:line="360" w:lineRule="auto"/>
              <w:jc w:val="center"/>
              <w:rPr>
                <w:rFonts w:ascii="Times New Roman" w:hAnsi="Times New Roman" w:cs="Times New Roman"/>
                <w:sz w:val="28"/>
                <w:szCs w:val="28"/>
                <w:lang w:val="uk-UA"/>
              </w:rPr>
            </w:pPr>
            <w:proofErr w:type="spellStart"/>
            <w:r w:rsidRPr="00C713B7">
              <w:rPr>
                <w:rFonts w:ascii="Times New Roman" w:hAnsi="Times New Roman" w:cs="Times New Roman"/>
                <w:sz w:val="28"/>
                <w:szCs w:val="28"/>
                <w:lang w:val="uk-UA"/>
              </w:rPr>
              <w:t>Крок,h</w:t>
            </w:r>
            <w:proofErr w:type="spellEnd"/>
          </w:p>
        </w:tc>
        <w:tc>
          <w:tcPr>
            <w:tcW w:w="1013" w:type="dxa"/>
            <w:vMerge w:val="restart"/>
            <w:vAlign w:val="center"/>
          </w:tcPr>
          <w:p w14:paraId="071037D8"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n = 1/h</w:t>
            </w:r>
          </w:p>
        </w:tc>
        <w:tc>
          <w:tcPr>
            <w:tcW w:w="3759" w:type="dxa"/>
            <w:gridSpan w:val="3"/>
            <w:vAlign w:val="center"/>
          </w:tcPr>
          <w:p w14:paraId="143B1557"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Вагові коефіцієнти</w:t>
            </w:r>
          </w:p>
        </w:tc>
        <w:tc>
          <w:tcPr>
            <w:tcW w:w="4030" w:type="dxa"/>
            <w:gridSpan w:val="3"/>
            <w:vAlign w:val="center"/>
          </w:tcPr>
          <w:p w14:paraId="39AE631A"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Стандартні відхилення</w:t>
            </w:r>
          </w:p>
        </w:tc>
      </w:tr>
      <w:tr w:rsidR="00C14BDE" w:rsidRPr="00C713B7" w14:paraId="2A63DBAE" w14:textId="77777777" w:rsidTr="002279C5">
        <w:tc>
          <w:tcPr>
            <w:tcW w:w="1109" w:type="dxa"/>
            <w:vMerge/>
            <w:vAlign w:val="center"/>
          </w:tcPr>
          <w:p w14:paraId="524AA309" w14:textId="77777777" w:rsidR="00C14BDE" w:rsidRPr="00C713B7" w:rsidRDefault="00C14BDE" w:rsidP="00C713B7">
            <w:pPr>
              <w:spacing w:after="0" w:line="360" w:lineRule="auto"/>
              <w:jc w:val="center"/>
              <w:rPr>
                <w:rFonts w:ascii="Times New Roman" w:hAnsi="Times New Roman" w:cs="Times New Roman"/>
                <w:sz w:val="28"/>
                <w:szCs w:val="28"/>
                <w:lang w:val="uk-UA"/>
              </w:rPr>
            </w:pPr>
          </w:p>
        </w:tc>
        <w:tc>
          <w:tcPr>
            <w:tcW w:w="1013" w:type="dxa"/>
            <w:vMerge/>
            <w:vAlign w:val="center"/>
          </w:tcPr>
          <w:p w14:paraId="145D7799" w14:textId="77777777" w:rsidR="00C14BDE" w:rsidRPr="00C713B7" w:rsidRDefault="00C14BDE" w:rsidP="00C713B7">
            <w:pPr>
              <w:spacing w:after="0" w:line="360" w:lineRule="auto"/>
              <w:jc w:val="center"/>
              <w:rPr>
                <w:rFonts w:ascii="Times New Roman" w:hAnsi="Times New Roman" w:cs="Times New Roman"/>
                <w:sz w:val="28"/>
                <w:szCs w:val="28"/>
                <w:lang w:val="uk-UA"/>
              </w:rPr>
            </w:pPr>
          </w:p>
        </w:tc>
        <w:tc>
          <w:tcPr>
            <w:tcW w:w="1309" w:type="dxa"/>
            <w:vAlign w:val="center"/>
          </w:tcPr>
          <w:p w14:paraId="60C1EE90" w14:textId="77777777" w:rsidR="00C14BDE" w:rsidRPr="00C713B7" w:rsidRDefault="007468C1" w:rsidP="00C713B7">
            <w:pPr>
              <w:spacing w:after="0" w:line="360"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1</m:t>
                    </m:r>
                  </m:sub>
                </m:sSub>
              </m:oMath>
            </m:oMathPara>
          </w:p>
        </w:tc>
        <w:tc>
          <w:tcPr>
            <w:tcW w:w="1086" w:type="dxa"/>
            <w:vAlign w:val="center"/>
          </w:tcPr>
          <w:p w14:paraId="0AE9FD2E" w14:textId="77777777" w:rsidR="00C14BDE" w:rsidRPr="00C713B7" w:rsidRDefault="007468C1" w:rsidP="00C713B7">
            <w:pPr>
              <w:spacing w:after="0" w:line="360"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2</m:t>
                    </m:r>
                  </m:sub>
                </m:sSub>
              </m:oMath>
            </m:oMathPara>
          </w:p>
        </w:tc>
        <w:tc>
          <w:tcPr>
            <w:tcW w:w="1364" w:type="dxa"/>
            <w:vAlign w:val="center"/>
          </w:tcPr>
          <w:p w14:paraId="4DA292A5" w14:textId="77777777" w:rsidR="00C14BDE" w:rsidRPr="00C713B7" w:rsidRDefault="007468C1" w:rsidP="00C713B7">
            <w:pPr>
              <w:spacing w:after="0" w:line="360"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3</m:t>
                    </m:r>
                  </m:sub>
                </m:sSub>
              </m:oMath>
            </m:oMathPara>
          </w:p>
        </w:tc>
        <w:tc>
          <w:tcPr>
            <w:tcW w:w="1399" w:type="dxa"/>
            <w:vAlign w:val="center"/>
          </w:tcPr>
          <w:p w14:paraId="70E0A1F9" w14:textId="77777777" w:rsidR="00C14BDE" w:rsidRPr="00C713B7" w:rsidRDefault="007468C1" w:rsidP="00C713B7">
            <w:pPr>
              <w:spacing w:after="0" w:line="360"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oMath>
            </m:oMathPara>
          </w:p>
        </w:tc>
        <w:tc>
          <w:tcPr>
            <w:tcW w:w="1358" w:type="dxa"/>
            <w:vAlign w:val="center"/>
          </w:tcPr>
          <w:p w14:paraId="74B2CC15" w14:textId="77777777" w:rsidR="00C14BDE" w:rsidRPr="00C713B7" w:rsidRDefault="007468C1" w:rsidP="00C713B7">
            <w:pPr>
              <w:spacing w:after="0" w:line="360"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oMath>
            </m:oMathPara>
          </w:p>
        </w:tc>
        <w:tc>
          <w:tcPr>
            <w:tcW w:w="1273" w:type="dxa"/>
            <w:vAlign w:val="center"/>
          </w:tcPr>
          <w:p w14:paraId="0A4C40F0" w14:textId="77777777" w:rsidR="00C14BDE" w:rsidRPr="00C713B7" w:rsidRDefault="007468C1" w:rsidP="00C713B7">
            <w:pPr>
              <w:spacing w:after="0" w:line="360"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3</m:t>
                    </m:r>
                  </m:sub>
                </m:sSub>
              </m:oMath>
            </m:oMathPara>
          </w:p>
        </w:tc>
      </w:tr>
      <w:tr w:rsidR="00C14BDE" w:rsidRPr="00C713B7" w14:paraId="1F531A9B" w14:textId="77777777" w:rsidTr="002279C5">
        <w:tc>
          <w:tcPr>
            <w:tcW w:w="1109" w:type="dxa"/>
            <w:vAlign w:val="center"/>
          </w:tcPr>
          <w:p w14:paraId="53EF674B"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0,2</w:t>
            </w:r>
          </w:p>
        </w:tc>
        <w:tc>
          <w:tcPr>
            <w:tcW w:w="1013" w:type="dxa"/>
            <w:vAlign w:val="center"/>
          </w:tcPr>
          <w:p w14:paraId="225A9438"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5</w:t>
            </w:r>
          </w:p>
        </w:tc>
        <w:tc>
          <w:tcPr>
            <w:tcW w:w="1309" w:type="dxa"/>
            <w:vAlign w:val="center"/>
          </w:tcPr>
          <w:p w14:paraId="07F4F85F"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0,3</w:t>
            </w:r>
          </w:p>
        </w:tc>
        <w:tc>
          <w:tcPr>
            <w:tcW w:w="1086" w:type="dxa"/>
            <w:vAlign w:val="center"/>
          </w:tcPr>
          <w:p w14:paraId="5BE907B0"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w:t>
            </w:r>
          </w:p>
        </w:tc>
        <w:tc>
          <w:tcPr>
            <w:tcW w:w="1364" w:type="dxa"/>
            <w:vAlign w:val="center"/>
          </w:tcPr>
          <w:p w14:paraId="15D8C71A"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0,7</w:t>
            </w:r>
          </w:p>
        </w:tc>
        <w:tc>
          <w:tcPr>
            <w:tcW w:w="1399" w:type="dxa"/>
            <w:vAlign w:val="center"/>
          </w:tcPr>
          <w:p w14:paraId="385AF3F5"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0,1</w:t>
            </w:r>
          </w:p>
        </w:tc>
        <w:tc>
          <w:tcPr>
            <w:tcW w:w="1358" w:type="dxa"/>
            <w:vAlign w:val="center"/>
          </w:tcPr>
          <w:p w14:paraId="144DCABC"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w:t>
            </w:r>
          </w:p>
        </w:tc>
        <w:tc>
          <w:tcPr>
            <w:tcW w:w="1273" w:type="dxa"/>
            <w:vAlign w:val="center"/>
          </w:tcPr>
          <w:p w14:paraId="076741C7"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0,1</w:t>
            </w:r>
          </w:p>
        </w:tc>
      </w:tr>
      <w:tr w:rsidR="00C14BDE" w:rsidRPr="00C713B7" w14:paraId="00FF16EC" w14:textId="77777777" w:rsidTr="002279C5">
        <w:tc>
          <w:tcPr>
            <w:tcW w:w="1109" w:type="dxa"/>
            <w:vAlign w:val="center"/>
          </w:tcPr>
          <w:p w14:paraId="52305F55"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0,1</w:t>
            </w:r>
          </w:p>
        </w:tc>
        <w:tc>
          <w:tcPr>
            <w:tcW w:w="1013" w:type="dxa"/>
            <w:vAlign w:val="center"/>
          </w:tcPr>
          <w:p w14:paraId="24C63478"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10</w:t>
            </w:r>
          </w:p>
        </w:tc>
        <w:tc>
          <w:tcPr>
            <w:tcW w:w="1309" w:type="dxa"/>
            <w:vAlign w:val="center"/>
          </w:tcPr>
          <w:p w14:paraId="62D7AB58"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0,275</w:t>
            </w:r>
          </w:p>
        </w:tc>
        <w:tc>
          <w:tcPr>
            <w:tcW w:w="1086" w:type="dxa"/>
            <w:vAlign w:val="center"/>
          </w:tcPr>
          <w:p w14:paraId="06D54150"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0,0625</w:t>
            </w:r>
          </w:p>
        </w:tc>
        <w:tc>
          <w:tcPr>
            <w:tcW w:w="1364" w:type="dxa"/>
            <w:vAlign w:val="center"/>
          </w:tcPr>
          <w:p w14:paraId="3E375495"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0,6625</w:t>
            </w:r>
          </w:p>
        </w:tc>
        <w:tc>
          <w:tcPr>
            <w:tcW w:w="1399" w:type="dxa"/>
            <w:vAlign w:val="center"/>
          </w:tcPr>
          <w:p w14:paraId="6BB4ACA5"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0,097</w:t>
            </w:r>
          </w:p>
        </w:tc>
        <w:tc>
          <w:tcPr>
            <w:tcW w:w="1358" w:type="dxa"/>
            <w:vAlign w:val="center"/>
          </w:tcPr>
          <w:p w14:paraId="0D5031F3"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0,069</w:t>
            </w:r>
          </w:p>
        </w:tc>
        <w:tc>
          <w:tcPr>
            <w:tcW w:w="1273" w:type="dxa"/>
            <w:vAlign w:val="center"/>
          </w:tcPr>
          <w:p w14:paraId="5899026E"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0,132</w:t>
            </w:r>
          </w:p>
        </w:tc>
      </w:tr>
      <w:tr w:rsidR="00C14BDE" w:rsidRPr="00C713B7" w14:paraId="2D3253F1" w14:textId="77777777" w:rsidTr="002279C5">
        <w:tc>
          <w:tcPr>
            <w:tcW w:w="1109" w:type="dxa"/>
            <w:vAlign w:val="center"/>
          </w:tcPr>
          <w:p w14:paraId="551F10DC"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0,05</w:t>
            </w:r>
          </w:p>
        </w:tc>
        <w:tc>
          <w:tcPr>
            <w:tcW w:w="1013" w:type="dxa"/>
            <w:vAlign w:val="center"/>
          </w:tcPr>
          <w:p w14:paraId="23D69972"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20</w:t>
            </w:r>
          </w:p>
        </w:tc>
        <w:tc>
          <w:tcPr>
            <w:tcW w:w="1309" w:type="dxa"/>
            <w:vAlign w:val="center"/>
          </w:tcPr>
          <w:p w14:paraId="7AC98154"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0,277</w:t>
            </w:r>
          </w:p>
        </w:tc>
        <w:tc>
          <w:tcPr>
            <w:tcW w:w="1086" w:type="dxa"/>
            <w:vAlign w:val="center"/>
          </w:tcPr>
          <w:p w14:paraId="1F736855"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0,086</w:t>
            </w:r>
          </w:p>
        </w:tc>
        <w:tc>
          <w:tcPr>
            <w:tcW w:w="1364" w:type="dxa"/>
            <w:vAlign w:val="center"/>
          </w:tcPr>
          <w:p w14:paraId="29763F40"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0,636</w:t>
            </w:r>
          </w:p>
        </w:tc>
        <w:tc>
          <w:tcPr>
            <w:tcW w:w="1399" w:type="dxa"/>
            <w:vAlign w:val="center"/>
          </w:tcPr>
          <w:p w14:paraId="386540D5"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0,102</w:t>
            </w:r>
          </w:p>
        </w:tc>
        <w:tc>
          <w:tcPr>
            <w:tcW w:w="1358" w:type="dxa"/>
            <w:vAlign w:val="center"/>
          </w:tcPr>
          <w:p w14:paraId="1F750944"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0,076</w:t>
            </w:r>
          </w:p>
        </w:tc>
        <w:tc>
          <w:tcPr>
            <w:tcW w:w="1273" w:type="dxa"/>
            <w:vAlign w:val="center"/>
          </w:tcPr>
          <w:p w14:paraId="67F14008"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0,139</w:t>
            </w:r>
          </w:p>
        </w:tc>
      </w:tr>
      <w:tr w:rsidR="00C14BDE" w:rsidRPr="00C713B7" w14:paraId="6D35A3BB" w14:textId="77777777" w:rsidTr="002279C5">
        <w:tc>
          <w:tcPr>
            <w:tcW w:w="1109" w:type="dxa"/>
            <w:vAlign w:val="center"/>
          </w:tcPr>
          <w:p w14:paraId="7ECB00A4"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0,01</w:t>
            </w:r>
          </w:p>
        </w:tc>
        <w:tc>
          <w:tcPr>
            <w:tcW w:w="1013" w:type="dxa"/>
            <w:vAlign w:val="center"/>
          </w:tcPr>
          <w:p w14:paraId="4CE48758"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100</w:t>
            </w:r>
          </w:p>
        </w:tc>
        <w:tc>
          <w:tcPr>
            <w:tcW w:w="1309" w:type="dxa"/>
            <w:vAlign w:val="center"/>
          </w:tcPr>
          <w:p w14:paraId="762906DE"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0,278</w:t>
            </w:r>
          </w:p>
        </w:tc>
        <w:tc>
          <w:tcPr>
            <w:tcW w:w="1086" w:type="dxa"/>
            <w:vAlign w:val="center"/>
          </w:tcPr>
          <w:p w14:paraId="1EF972EE"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0,106</w:t>
            </w:r>
          </w:p>
        </w:tc>
        <w:tc>
          <w:tcPr>
            <w:tcW w:w="1364" w:type="dxa"/>
            <w:vAlign w:val="center"/>
          </w:tcPr>
          <w:p w14:paraId="62BAC6BC"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0,615</w:t>
            </w:r>
          </w:p>
        </w:tc>
        <w:tc>
          <w:tcPr>
            <w:tcW w:w="1399" w:type="dxa"/>
            <w:vAlign w:val="center"/>
          </w:tcPr>
          <w:p w14:paraId="326715EE"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0,103</w:t>
            </w:r>
          </w:p>
        </w:tc>
        <w:tc>
          <w:tcPr>
            <w:tcW w:w="1358" w:type="dxa"/>
            <w:vAlign w:val="center"/>
          </w:tcPr>
          <w:p w14:paraId="37C11A10"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0,078</w:t>
            </w:r>
          </w:p>
        </w:tc>
        <w:tc>
          <w:tcPr>
            <w:tcW w:w="1273" w:type="dxa"/>
            <w:vAlign w:val="center"/>
          </w:tcPr>
          <w:p w14:paraId="0611A00C" w14:textId="77777777" w:rsidR="00C14BDE" w:rsidRPr="00C713B7" w:rsidRDefault="00C14BDE" w:rsidP="00C713B7">
            <w:pPr>
              <w:spacing w:after="0" w:line="360" w:lineRule="auto"/>
              <w:jc w:val="center"/>
              <w:rPr>
                <w:rFonts w:ascii="Times New Roman" w:hAnsi="Times New Roman" w:cs="Times New Roman"/>
                <w:sz w:val="28"/>
                <w:szCs w:val="28"/>
                <w:lang w:val="uk-UA"/>
              </w:rPr>
            </w:pPr>
            <w:r w:rsidRPr="00C713B7">
              <w:rPr>
                <w:rFonts w:ascii="Times New Roman" w:hAnsi="Times New Roman" w:cs="Times New Roman"/>
                <w:sz w:val="28"/>
                <w:szCs w:val="28"/>
                <w:lang w:val="uk-UA"/>
              </w:rPr>
              <w:t>0,140</w:t>
            </w:r>
          </w:p>
        </w:tc>
      </w:tr>
    </w:tbl>
    <w:p w14:paraId="3DD71FB1"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
    <w:p w14:paraId="00E78C5E" w14:textId="43AA3894"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Як очевидно з </w:t>
      </w:r>
      <w:r w:rsidR="00C713B7">
        <w:rPr>
          <w:rFonts w:ascii="Times New Roman" w:hAnsi="Times New Roman" w:cs="Times New Roman"/>
          <w:sz w:val="28"/>
          <w:szCs w:val="28"/>
          <w:lang w:val="uk-UA"/>
        </w:rPr>
        <w:t>т</w:t>
      </w:r>
      <w:r w:rsidRPr="005F0419">
        <w:rPr>
          <w:rFonts w:ascii="Times New Roman" w:hAnsi="Times New Roman" w:cs="Times New Roman"/>
          <w:sz w:val="28"/>
          <w:szCs w:val="28"/>
          <w:lang w:val="uk-UA"/>
        </w:rPr>
        <w:t>аблиці 1</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значення вагових коефіцієнтів залежить від обраного кроку. Більш того, вибір цього кроку повинен враховувати кількість вагових коефіцієнтів, що визначаються, оскільки, наприклад, для </w:t>
      </w:r>
      <w:r w:rsidRPr="005F0419">
        <w:rPr>
          <w:rFonts w:ascii="Cambria Math" w:hAnsi="Cambria Math" w:cs="Cambria Math"/>
          <w:sz w:val="28"/>
          <w:szCs w:val="28"/>
          <w:lang w:val="uk-UA"/>
        </w:rPr>
        <w:t>𝑚</w:t>
      </w:r>
      <w:r w:rsidRPr="005F0419">
        <w:rPr>
          <w:rFonts w:ascii="Times New Roman" w:hAnsi="Times New Roman" w:cs="Times New Roman"/>
          <w:sz w:val="28"/>
          <w:szCs w:val="28"/>
          <w:lang w:val="uk-UA"/>
        </w:rPr>
        <w:t xml:space="preserve"> = 3 та </w:t>
      </w:r>
      <w:r w:rsidRPr="005F0419">
        <w:rPr>
          <w:rFonts w:ascii="Cambria Math" w:hAnsi="Cambria Math" w:cs="Cambria Math"/>
          <w:sz w:val="28"/>
          <w:szCs w:val="28"/>
          <w:lang w:val="uk-UA"/>
        </w:rPr>
        <w:t>𝑛</w:t>
      </w:r>
      <w:r w:rsidRPr="005F0419">
        <w:rPr>
          <w:rFonts w:ascii="Times New Roman" w:hAnsi="Times New Roman" w:cs="Times New Roman"/>
          <w:sz w:val="28"/>
          <w:szCs w:val="28"/>
          <w:lang w:val="uk-UA"/>
        </w:rPr>
        <w:t xml:space="preserve"> = 5 </w:t>
      </w:r>
      <w:r w:rsidRPr="005F0419">
        <w:rPr>
          <w:rFonts w:ascii="Times New Roman" w:hAnsi="Times New Roman" w:cs="Times New Roman"/>
          <w:sz w:val="28"/>
          <w:szCs w:val="28"/>
          <w:lang w:val="uk-UA"/>
        </w:rPr>
        <w:lastRenderedPageBreak/>
        <w:t xml:space="preserve">не існує набору всіх ненульових вагових коефіцієнтів, для </w:t>
      </w:r>
      <w:r w:rsidRPr="005F0419">
        <w:rPr>
          <w:rFonts w:ascii="Cambria Math" w:hAnsi="Cambria Math" w:cs="Cambria Math"/>
          <w:sz w:val="28"/>
          <w:szCs w:val="28"/>
          <w:lang w:val="uk-UA"/>
        </w:rPr>
        <w:t>𝑚</w:t>
      </w:r>
      <w:r w:rsidRPr="005F0419">
        <w:rPr>
          <w:rFonts w:ascii="Times New Roman" w:hAnsi="Times New Roman" w:cs="Times New Roman"/>
          <w:sz w:val="28"/>
          <w:szCs w:val="28"/>
          <w:lang w:val="uk-UA"/>
        </w:rPr>
        <w:t xml:space="preserve"> = 4 такі ненульові варіанти з'являються лише за  n ≥ 11 і </w:t>
      </w:r>
      <w:proofErr w:type="spellStart"/>
      <w:r w:rsidRPr="005F0419">
        <w:rPr>
          <w:rFonts w:ascii="Times New Roman" w:hAnsi="Times New Roman" w:cs="Times New Roman"/>
          <w:sz w:val="28"/>
          <w:szCs w:val="28"/>
          <w:lang w:val="uk-UA"/>
        </w:rPr>
        <w:t>т.д</w:t>
      </w:r>
      <w:proofErr w:type="spellEnd"/>
      <w:r w:rsidRPr="005F0419">
        <w:rPr>
          <w:rFonts w:ascii="Times New Roman" w:hAnsi="Times New Roman" w:cs="Times New Roman"/>
          <w:sz w:val="28"/>
          <w:szCs w:val="28"/>
          <w:lang w:val="uk-UA"/>
        </w:rPr>
        <w:t xml:space="preserve">. У разі інтервальної інформації задаються інтервали попередньо необхідно узгодити з нормуючим співвідношенням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m</m:t>
            </m:r>
          </m:sub>
        </m:sSub>
        <m:r>
          <w:rPr>
            <w:rFonts w:ascii="Cambria Math" w:hAnsi="Cambria Math" w:cs="Times New Roman"/>
            <w:sz w:val="28"/>
            <w:szCs w:val="28"/>
            <w:lang w:val="uk-UA"/>
          </w:rPr>
          <m:t>=1:</m:t>
        </m:r>
      </m:oMath>
    </w:p>
    <w:p w14:paraId="4E009511" w14:textId="77777777" w:rsidR="00C14BDE" w:rsidRPr="005F0419" w:rsidRDefault="00C14BDE" w:rsidP="00C14BDE">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Оскільки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0≤</m:t>
            </m:r>
            <m:r>
              <w:rPr>
                <w:rFonts w:ascii="Cambria Math" w:hAnsi="Cambria Math" w:cs="Times New Roman"/>
                <w:sz w:val="28"/>
                <w:szCs w:val="28"/>
                <w:lang w:val="uk-UA"/>
              </w:rPr>
              <m:t>a</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 </m:t>
        </m:r>
        <m:r>
          <w:rPr>
            <w:rFonts w:ascii="Cambria Math" w:hAnsi="Cambria Math" w:cs="Times New Roman"/>
            <w:sz w:val="28"/>
            <w:szCs w:val="28"/>
            <w:lang w:val="uk-UA"/>
          </w:rPr>
          <m:t>i</m:t>
        </m:r>
        <m:r>
          <m:rPr>
            <m:sty m:val="p"/>
          </m:rPr>
          <w:rPr>
            <w:rFonts w:ascii="Cambria Math" w:hAnsi="Cambria Math" w:cs="Times New Roman"/>
            <w:sz w:val="28"/>
            <w:szCs w:val="28"/>
            <w:lang w:val="uk-UA"/>
          </w:rPr>
          <m:t xml:space="preserve"> </m:t>
        </m:r>
        <m:acc>
          <m:accPr>
            <m:chr m:val="⃗"/>
            <m:ctrlPr>
              <w:rPr>
                <w:rFonts w:ascii="Cambria Math" w:hAnsi="Cambria Math" w:cs="Times New Roman"/>
                <w:sz w:val="28"/>
                <w:szCs w:val="28"/>
                <w:lang w:val="uk-UA"/>
              </w:rPr>
            </m:ctrlPr>
          </m:accPr>
          <m:e>
            <m:r>
              <m:rPr>
                <m:sty m:val="p"/>
              </m:rPr>
              <w:rPr>
                <w:rFonts w:ascii="Cambria Math" w:hAnsi="Cambria Math" w:cs="Times New Roman"/>
                <w:sz w:val="28"/>
                <w:szCs w:val="28"/>
                <w:lang w:val="uk-UA"/>
              </w:rPr>
              <m:t>1,</m:t>
            </m:r>
            <m:r>
              <w:rPr>
                <w:rFonts w:ascii="Cambria Math" w:hAnsi="Cambria Math" w:cs="Times New Roman"/>
                <w:sz w:val="28"/>
                <w:szCs w:val="28"/>
                <w:lang w:val="uk-UA"/>
              </w:rPr>
              <m:t>m</m:t>
            </m:r>
          </m:e>
        </m:acc>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a</m:t>
            </m:r>
          </m:e>
          <m:sub>
            <m:r>
              <m:rPr>
                <m:sty m:val="p"/>
              </m:rPr>
              <w:rPr>
                <w:rFonts w:ascii="Cambria Math" w:hAnsi="Cambria Math" w:cs="Times New Roman"/>
                <w:sz w:val="28"/>
                <w:szCs w:val="28"/>
                <w:lang w:val="uk-UA"/>
              </w:rPr>
              <m:t>1</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m</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a</m:t>
        </m:r>
        <m:r>
          <m:rPr>
            <m:sty m:val="p"/>
          </m:rPr>
          <w:rPr>
            <w:rFonts w:ascii="Cambria Math" w:hAnsi="Cambria Math" w:cs="Times New Roman"/>
            <w:sz w:val="28"/>
            <w:szCs w:val="28"/>
            <w:lang w:val="uk-UA"/>
          </w:rPr>
          <m:t>≤1, то</m:t>
        </m:r>
      </m:oMath>
    </w:p>
    <w:p w14:paraId="0E345921" w14:textId="77777777" w:rsidR="00C14BDE" w:rsidRPr="005F0419" w:rsidRDefault="007468C1" w:rsidP="00C14BDE">
      <w:pPr>
        <w:spacing w:after="0" w:line="360" w:lineRule="auto"/>
        <w:ind w:firstLine="720"/>
        <w:rPr>
          <w:rFonts w:ascii="Times New Roman" w:hAnsi="Times New Roman" w:cs="Times New Roman"/>
          <w:sz w:val="28"/>
          <w:szCs w:val="28"/>
          <w:lang w:val="uk-UA"/>
        </w:rPr>
      </w:pPr>
      <m:oMathPara>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=1- </m:t>
          </m:r>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k</m:t>
              </m:r>
              <m:r>
                <m:rPr>
                  <m:sty m:val="p"/>
                </m:rPr>
                <w:rPr>
                  <w:rFonts w:ascii="Cambria Math" w:hAnsi="Cambria Math" w:cs="Times New Roman"/>
                  <w:sz w:val="28"/>
                  <w:szCs w:val="28"/>
                  <w:lang w:val="uk-UA"/>
                </w:rPr>
                <m:t>=1</m:t>
              </m:r>
            </m:sub>
            <m:sup>
              <m:r>
                <w:rPr>
                  <w:rFonts w:ascii="Cambria Math" w:hAnsi="Cambria Math" w:cs="Times New Roman"/>
                  <w:sz w:val="28"/>
                  <w:szCs w:val="28"/>
                  <w:lang w:val="uk-UA"/>
                </w:rPr>
                <m:t>i</m:t>
              </m:r>
              <m:r>
                <m:rPr>
                  <m:sty m:val="p"/>
                </m:rPr>
                <w:rPr>
                  <w:rFonts w:ascii="Cambria Math" w:hAnsi="Cambria Math" w:cs="Times New Roman"/>
                  <w:sz w:val="28"/>
                  <w:szCs w:val="28"/>
                  <w:lang w:val="uk-UA"/>
                </w:rPr>
                <m:t>-1</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k</m:t>
                  </m:r>
                </m:sub>
              </m:sSub>
              <m:r>
                <m:rPr>
                  <m:sty m:val="p"/>
                </m:rPr>
                <w:rPr>
                  <w:rFonts w:ascii="Cambria Math" w:hAnsi="Cambria Math" w:cs="Times New Roman"/>
                  <w:sz w:val="28"/>
                  <w:szCs w:val="28"/>
                  <w:lang w:val="uk-UA"/>
                </w:rPr>
                <m:t xml:space="preserve">- </m:t>
              </m:r>
            </m:e>
          </m:nary>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l</m:t>
              </m:r>
              <m:r>
                <m:rPr>
                  <m:sty m:val="p"/>
                </m:rPr>
                <w:rPr>
                  <w:rFonts w:ascii="Cambria Math" w:hAnsi="Cambria Math" w:cs="Times New Roman"/>
                  <w:sz w:val="28"/>
                  <w:szCs w:val="28"/>
                  <w:lang w:val="uk-UA"/>
                </w:rPr>
                <m:t>=</m:t>
              </m:r>
              <m:r>
                <w:rPr>
                  <w:rFonts w:ascii="Cambria Math" w:hAnsi="Cambria Math" w:cs="Times New Roman"/>
                  <w:sz w:val="28"/>
                  <w:szCs w:val="28"/>
                  <w:lang w:val="uk-UA"/>
                </w:rPr>
                <m:t>i</m:t>
              </m:r>
              <m:r>
                <m:rPr>
                  <m:sty m:val="p"/>
                </m:rPr>
                <w:rPr>
                  <w:rFonts w:ascii="Cambria Math" w:hAnsi="Cambria Math" w:cs="Times New Roman"/>
                  <w:sz w:val="28"/>
                  <w:szCs w:val="28"/>
                  <w:lang w:val="uk-UA"/>
                </w:rPr>
                <m:t>+1</m:t>
              </m:r>
            </m:sub>
            <m:sup>
              <m:r>
                <w:rPr>
                  <w:rFonts w:ascii="Cambria Math" w:hAnsi="Cambria Math" w:cs="Times New Roman"/>
                  <w:sz w:val="28"/>
                  <w:szCs w:val="28"/>
                  <w:lang w:val="uk-UA"/>
                </w:rPr>
                <m:t>m</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l</m:t>
                  </m:r>
                </m:sub>
              </m:sSub>
              <m:r>
                <m:rPr>
                  <m:sty m:val="p"/>
                </m:rPr>
                <w:rPr>
                  <w:rFonts w:ascii="Cambria Math" w:hAnsi="Cambria Math" w:cs="Times New Roman"/>
                  <w:sz w:val="28"/>
                  <w:szCs w:val="28"/>
                  <w:lang w:val="uk-UA"/>
                </w:rPr>
                <m:t xml:space="preserve">≤1- </m:t>
              </m:r>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k</m:t>
                  </m:r>
                  <m:r>
                    <m:rPr>
                      <m:sty m:val="p"/>
                    </m:rPr>
                    <w:rPr>
                      <w:rFonts w:ascii="Cambria Math" w:hAnsi="Cambria Math" w:cs="Times New Roman"/>
                      <w:sz w:val="28"/>
                      <w:szCs w:val="28"/>
                      <w:lang w:val="uk-UA"/>
                    </w:rPr>
                    <m:t>=1</m:t>
                  </m:r>
                </m:sub>
                <m:sup>
                  <m:r>
                    <w:rPr>
                      <w:rFonts w:ascii="Cambria Math" w:hAnsi="Cambria Math" w:cs="Times New Roman"/>
                      <w:sz w:val="28"/>
                      <w:szCs w:val="28"/>
                      <w:lang w:val="uk-UA"/>
                    </w:rPr>
                    <m:t>i</m:t>
                  </m:r>
                  <m:r>
                    <m:rPr>
                      <m:sty m:val="p"/>
                    </m:rPr>
                    <w:rPr>
                      <w:rFonts w:ascii="Cambria Math" w:hAnsi="Cambria Math" w:cs="Times New Roman"/>
                      <w:sz w:val="28"/>
                      <w:szCs w:val="28"/>
                      <w:lang w:val="uk-UA"/>
                    </w:rPr>
                    <m:t>-1</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m:rPr>
                      <m:sty m:val="p"/>
                    </m:rPr>
                    <w:rPr>
                      <w:rFonts w:ascii="Cambria Math" w:hAnsi="Cambria Math" w:cs="Times New Roman"/>
                      <w:sz w:val="28"/>
                      <w:szCs w:val="28"/>
                      <w:lang w:val="uk-UA"/>
                    </w:rPr>
                    <m:t>-</m:t>
                  </m:r>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l</m:t>
                      </m:r>
                      <m:r>
                        <m:rPr>
                          <m:sty m:val="p"/>
                        </m:rPr>
                        <w:rPr>
                          <w:rFonts w:ascii="Cambria Math" w:hAnsi="Cambria Math" w:cs="Times New Roman"/>
                          <w:sz w:val="28"/>
                          <w:szCs w:val="28"/>
                          <w:lang w:val="uk-UA"/>
                        </w:rPr>
                        <m:t>=</m:t>
                      </m:r>
                      <m:r>
                        <w:rPr>
                          <w:rFonts w:ascii="Cambria Math" w:hAnsi="Cambria Math" w:cs="Times New Roman"/>
                          <w:sz w:val="28"/>
                          <w:szCs w:val="28"/>
                          <w:lang w:val="uk-UA"/>
                        </w:rPr>
                        <m:t>i</m:t>
                      </m:r>
                      <m:r>
                        <m:rPr>
                          <m:sty m:val="p"/>
                        </m:rPr>
                        <w:rPr>
                          <w:rFonts w:ascii="Cambria Math" w:hAnsi="Cambria Math" w:cs="Times New Roman"/>
                          <w:sz w:val="28"/>
                          <w:szCs w:val="28"/>
                          <w:lang w:val="uk-UA"/>
                        </w:rPr>
                        <m:t>+1</m:t>
                      </m:r>
                    </m:sub>
                    <m:sup>
                      <m:r>
                        <w:rPr>
                          <w:rFonts w:ascii="Cambria Math" w:hAnsi="Cambria Math" w:cs="Times New Roman"/>
                          <w:sz w:val="28"/>
                          <w:szCs w:val="28"/>
                          <w:lang w:val="uk-UA"/>
                        </w:rPr>
                        <m:t>m</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l</m:t>
                          </m:r>
                        </m:sub>
                      </m:sSub>
                      <m:r>
                        <m:rPr>
                          <m:sty m:val="p"/>
                        </m:rPr>
                        <w:rPr>
                          <w:rFonts w:ascii="Cambria Math" w:hAnsi="Cambria Math" w:cs="Times New Roman"/>
                          <w:sz w:val="28"/>
                          <w:szCs w:val="28"/>
                          <w:lang w:val="uk-UA"/>
                        </w:rPr>
                        <m:t>=1+</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 </m:t>
                      </m:r>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k</m:t>
                          </m:r>
                          <m:r>
                            <m:rPr>
                              <m:sty m:val="p"/>
                            </m:rPr>
                            <w:rPr>
                              <w:rFonts w:ascii="Cambria Math" w:hAnsi="Cambria Math" w:cs="Times New Roman"/>
                              <w:sz w:val="28"/>
                              <w:szCs w:val="28"/>
                              <w:lang w:val="uk-UA"/>
                            </w:rPr>
                            <m:t>=1</m:t>
                          </m:r>
                        </m:sub>
                        <m:sup>
                          <m:r>
                            <w:rPr>
                              <w:rFonts w:ascii="Cambria Math" w:hAnsi="Cambria Math" w:cs="Times New Roman"/>
                              <w:sz w:val="28"/>
                              <w:szCs w:val="28"/>
                              <w:lang w:val="uk-UA"/>
                            </w:rPr>
                            <m:t>m</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k</m:t>
                              </m:r>
                            </m:sub>
                          </m:sSub>
                          <m:r>
                            <m:rPr>
                              <m:sty m:val="p"/>
                            </m:rPr>
                            <w:rPr>
                              <w:rFonts w:ascii="Cambria Math" w:hAnsi="Cambria Math" w:cs="Times New Roman"/>
                              <w:sz w:val="28"/>
                              <w:szCs w:val="28"/>
                              <w:lang w:val="uk-UA"/>
                            </w:rPr>
                            <m:t xml:space="preserve">= </m:t>
                          </m:r>
                        </m:e>
                      </m:nary>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1-</m:t>
                          </m:r>
                          <m:r>
                            <w:rPr>
                              <w:rFonts w:ascii="Cambria Math" w:hAnsi="Cambria Math" w:cs="Times New Roman"/>
                              <w:sz w:val="28"/>
                              <w:szCs w:val="28"/>
                              <w:lang w:val="uk-UA"/>
                            </w:rPr>
                            <m:t>a</m:t>
                          </m:r>
                        </m:e>
                      </m:d>
                      <m:r>
                        <m:rPr>
                          <m:sty m:val="p"/>
                        </m:rPr>
                        <w:rPr>
                          <w:rFonts w:ascii="Cambria Math" w:hAnsi="Cambria Math" w:cs="Times New Roman"/>
                          <w:sz w:val="28"/>
                          <w:szCs w:val="28"/>
                          <w:lang w:val="uk-UA"/>
                        </w:rPr>
                        <m:t>;</m:t>
                      </m:r>
                    </m:e>
                  </m:nary>
                  <m:r>
                    <m:rPr>
                      <m:sty m:val="p"/>
                    </m:rPr>
                    <w:rPr>
                      <w:rFonts w:ascii="Cambria Math" w:hAnsi="Cambria Math" w:cs="Times New Roman"/>
                      <w:sz w:val="28"/>
                      <w:szCs w:val="28"/>
                      <w:lang w:val="uk-UA"/>
                    </w:rPr>
                    <m:t xml:space="preserve"> </m:t>
                  </m:r>
                </m:e>
              </m:nary>
              <m:r>
                <m:rPr>
                  <m:sty m:val="p"/>
                </m:rPr>
                <w:rPr>
                  <w:rFonts w:ascii="Cambria Math" w:hAnsi="Cambria Math" w:cs="Times New Roman"/>
                  <w:sz w:val="28"/>
                  <w:szCs w:val="28"/>
                  <w:lang w:val="uk-UA"/>
                </w:rPr>
                <m:t xml:space="preserve"> </m:t>
              </m:r>
            </m:e>
          </m:nary>
        </m:oMath>
      </m:oMathPara>
    </w:p>
    <w:p w14:paraId="094C0721" w14:textId="77777777" w:rsidR="00C14BDE" w:rsidRPr="005F0419" w:rsidRDefault="00C14BDE" w:rsidP="00C14BDE">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Оскільки </w:t>
      </w:r>
      <m:oMath>
        <m:sSub>
          <m:sSubPr>
            <m:ctrlPr>
              <w:rPr>
                <w:rFonts w:ascii="Cambria Math" w:hAnsi="Cambria Math" w:cs="Times New Roman"/>
                <w:sz w:val="28"/>
                <w:szCs w:val="28"/>
                <w:lang w:val="uk-UA"/>
              </w:rPr>
            </m:ctrlPr>
          </m:sSubPr>
          <m:e>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b</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≤1, </m:t>
        </m:r>
        <m:r>
          <w:rPr>
            <w:rFonts w:ascii="Cambria Math" w:hAnsi="Cambria Math" w:cs="Times New Roman"/>
            <w:sz w:val="28"/>
            <w:szCs w:val="28"/>
            <w:lang w:val="uk-UA"/>
          </w:rPr>
          <m:t>i</m:t>
        </m:r>
        <m:r>
          <m:rPr>
            <m:sty m:val="p"/>
          </m:rPr>
          <w:rPr>
            <w:rFonts w:ascii="Cambria Math" w:hAnsi="Cambria Math" w:cs="Times New Roman"/>
            <w:sz w:val="28"/>
            <w:szCs w:val="28"/>
            <w:lang w:val="uk-UA"/>
          </w:rPr>
          <m:t xml:space="preserve"> </m:t>
        </m:r>
        <m:acc>
          <m:accPr>
            <m:chr m:val="⃗"/>
            <m:ctrlPr>
              <w:rPr>
                <w:rFonts w:ascii="Cambria Math" w:hAnsi="Cambria Math" w:cs="Times New Roman"/>
                <w:sz w:val="28"/>
                <w:szCs w:val="28"/>
                <w:lang w:val="uk-UA"/>
              </w:rPr>
            </m:ctrlPr>
          </m:accPr>
          <m:e>
            <m:r>
              <m:rPr>
                <m:sty m:val="p"/>
              </m:rPr>
              <w:rPr>
                <w:rFonts w:ascii="Cambria Math" w:hAnsi="Cambria Math" w:cs="Times New Roman"/>
                <w:sz w:val="28"/>
                <w:szCs w:val="28"/>
                <w:lang w:val="uk-UA"/>
              </w:rPr>
              <m:t>1,</m:t>
            </m:r>
            <m:r>
              <w:rPr>
                <w:rFonts w:ascii="Cambria Math" w:hAnsi="Cambria Math" w:cs="Times New Roman"/>
                <w:sz w:val="28"/>
                <w:szCs w:val="28"/>
                <w:lang w:val="uk-UA"/>
              </w:rPr>
              <m:t>m</m:t>
            </m:r>
          </m:e>
        </m:acc>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m:rPr>
                <m:sty m:val="p"/>
              </m:rPr>
              <w:rPr>
                <w:rFonts w:ascii="Cambria Math" w:hAnsi="Cambria Math" w:cs="Times New Roman"/>
                <w:sz w:val="28"/>
                <w:szCs w:val="28"/>
                <w:lang w:val="uk-UA"/>
              </w:rPr>
              <m:t>1</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m</m:t>
            </m:r>
          </m:sub>
        </m:sSub>
        <m:r>
          <m:rPr>
            <m:sty m:val="p"/>
          </m:rPr>
          <w:rPr>
            <w:rFonts w:ascii="Cambria Math" w:hAnsi="Cambria Math" w:cs="Times New Roman"/>
            <w:sz w:val="28"/>
            <w:szCs w:val="28"/>
            <w:lang w:val="uk-UA"/>
          </w:rPr>
          <m:t>=</m:t>
        </m:r>
        <m:r>
          <w:rPr>
            <w:rFonts w:ascii="Cambria Math" w:hAnsi="Cambria Math" w:cs="Times New Roman"/>
            <w:sz w:val="28"/>
            <w:szCs w:val="28"/>
            <w:lang w:val="uk-UA"/>
          </w:rPr>
          <m:t>b</m:t>
        </m:r>
        <m:r>
          <m:rPr>
            <m:sty m:val="p"/>
          </m:rPr>
          <w:rPr>
            <w:rFonts w:ascii="Cambria Math" w:hAnsi="Cambria Math" w:cs="Times New Roman"/>
            <w:sz w:val="28"/>
            <w:szCs w:val="28"/>
            <w:lang w:val="uk-UA"/>
          </w:rPr>
          <m:t>≥1, то</m:t>
        </m:r>
      </m:oMath>
    </w:p>
    <w:p w14:paraId="38AAF6D5" w14:textId="77777777" w:rsidR="00C14BDE" w:rsidRPr="005F0419" w:rsidRDefault="007468C1" w:rsidP="00C14BDE">
      <w:pPr>
        <w:spacing w:after="0" w:line="360" w:lineRule="auto"/>
        <w:ind w:firstLine="720"/>
        <w:rPr>
          <w:rFonts w:ascii="Times New Roman" w:hAnsi="Times New Roman" w:cs="Times New Roman"/>
          <w:sz w:val="28"/>
          <w:szCs w:val="28"/>
          <w:lang w:val="uk-UA"/>
        </w:rPr>
      </w:pPr>
      <m:oMathPara>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=1- </m:t>
          </m:r>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k</m:t>
              </m:r>
              <m:r>
                <m:rPr>
                  <m:sty m:val="p"/>
                </m:rPr>
                <w:rPr>
                  <w:rFonts w:ascii="Cambria Math" w:hAnsi="Cambria Math" w:cs="Times New Roman"/>
                  <w:sz w:val="28"/>
                  <w:szCs w:val="28"/>
                  <w:lang w:val="uk-UA"/>
                </w:rPr>
                <m:t>=1</m:t>
              </m:r>
            </m:sub>
            <m:sup>
              <m:r>
                <w:rPr>
                  <w:rFonts w:ascii="Cambria Math" w:hAnsi="Cambria Math" w:cs="Times New Roman"/>
                  <w:sz w:val="28"/>
                  <w:szCs w:val="28"/>
                  <w:lang w:val="uk-UA"/>
                </w:rPr>
                <m:t>i</m:t>
              </m:r>
              <m:r>
                <m:rPr>
                  <m:sty m:val="p"/>
                </m:rPr>
                <w:rPr>
                  <w:rFonts w:ascii="Cambria Math" w:hAnsi="Cambria Math" w:cs="Times New Roman"/>
                  <w:sz w:val="28"/>
                  <w:szCs w:val="28"/>
                  <w:lang w:val="uk-UA"/>
                </w:rPr>
                <m:t>-1</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k</m:t>
                  </m:r>
                </m:sub>
              </m:sSub>
              <m:r>
                <m:rPr>
                  <m:sty m:val="p"/>
                </m:rPr>
                <w:rPr>
                  <w:rFonts w:ascii="Cambria Math" w:hAnsi="Cambria Math" w:cs="Times New Roman"/>
                  <w:sz w:val="28"/>
                  <w:szCs w:val="28"/>
                  <w:lang w:val="uk-UA"/>
                </w:rPr>
                <m:t xml:space="preserve">- </m:t>
              </m:r>
            </m:e>
          </m:nary>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l</m:t>
              </m:r>
              <m:r>
                <m:rPr>
                  <m:sty m:val="p"/>
                </m:rPr>
                <w:rPr>
                  <w:rFonts w:ascii="Cambria Math" w:hAnsi="Cambria Math" w:cs="Times New Roman"/>
                  <w:sz w:val="28"/>
                  <w:szCs w:val="28"/>
                  <w:lang w:val="uk-UA"/>
                </w:rPr>
                <m:t>=</m:t>
              </m:r>
              <m:r>
                <w:rPr>
                  <w:rFonts w:ascii="Cambria Math" w:hAnsi="Cambria Math" w:cs="Times New Roman"/>
                  <w:sz w:val="28"/>
                  <w:szCs w:val="28"/>
                  <w:lang w:val="uk-UA"/>
                </w:rPr>
                <m:t>i</m:t>
              </m:r>
              <m:r>
                <m:rPr>
                  <m:sty m:val="p"/>
                </m:rPr>
                <w:rPr>
                  <w:rFonts w:ascii="Cambria Math" w:hAnsi="Cambria Math" w:cs="Times New Roman"/>
                  <w:sz w:val="28"/>
                  <w:szCs w:val="28"/>
                  <w:lang w:val="uk-UA"/>
                </w:rPr>
                <m:t>+1</m:t>
              </m:r>
            </m:sub>
            <m:sup>
              <m:r>
                <w:rPr>
                  <w:rFonts w:ascii="Cambria Math" w:hAnsi="Cambria Math" w:cs="Times New Roman"/>
                  <w:sz w:val="28"/>
                  <w:szCs w:val="28"/>
                  <w:lang w:val="uk-UA"/>
                </w:rPr>
                <m:t>m</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l</m:t>
                  </m:r>
                </m:sub>
              </m:sSub>
              <m:r>
                <m:rPr>
                  <m:sty m:val="p"/>
                </m:rPr>
                <w:rPr>
                  <w:rFonts w:ascii="Cambria Math" w:hAnsi="Cambria Math" w:cs="Times New Roman"/>
                  <w:sz w:val="28"/>
                  <w:szCs w:val="28"/>
                  <w:lang w:val="uk-UA"/>
                </w:rPr>
                <m:t xml:space="preserve">≤1- </m:t>
              </m:r>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k</m:t>
                  </m:r>
                  <m:r>
                    <m:rPr>
                      <m:sty m:val="p"/>
                    </m:rPr>
                    <w:rPr>
                      <w:rFonts w:ascii="Cambria Math" w:hAnsi="Cambria Math" w:cs="Times New Roman"/>
                      <w:sz w:val="28"/>
                      <w:szCs w:val="28"/>
                      <w:lang w:val="uk-UA"/>
                    </w:rPr>
                    <m:t>=1</m:t>
                  </m:r>
                </m:sub>
                <m:sup>
                  <m:r>
                    <w:rPr>
                      <w:rFonts w:ascii="Cambria Math" w:hAnsi="Cambria Math" w:cs="Times New Roman"/>
                      <w:sz w:val="28"/>
                      <w:szCs w:val="28"/>
                      <w:lang w:val="uk-UA"/>
                    </w:rPr>
                    <m:t>i</m:t>
                  </m:r>
                  <m:r>
                    <m:rPr>
                      <m:sty m:val="p"/>
                    </m:rPr>
                    <w:rPr>
                      <w:rFonts w:ascii="Cambria Math" w:hAnsi="Cambria Math" w:cs="Times New Roman"/>
                      <w:sz w:val="28"/>
                      <w:szCs w:val="28"/>
                      <w:lang w:val="uk-UA"/>
                    </w:rPr>
                    <m:t>-1</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r>
                    <m:rPr>
                      <m:sty m:val="p"/>
                    </m:rPr>
                    <w:rPr>
                      <w:rFonts w:ascii="Cambria Math" w:hAnsi="Cambria Math" w:cs="Times New Roman"/>
                      <w:sz w:val="28"/>
                      <w:szCs w:val="28"/>
                      <w:lang w:val="uk-UA"/>
                    </w:rPr>
                    <m:t>-</m:t>
                  </m:r>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l</m:t>
                      </m:r>
                      <m:r>
                        <m:rPr>
                          <m:sty m:val="p"/>
                        </m:rPr>
                        <w:rPr>
                          <w:rFonts w:ascii="Cambria Math" w:hAnsi="Cambria Math" w:cs="Times New Roman"/>
                          <w:sz w:val="28"/>
                          <w:szCs w:val="28"/>
                          <w:lang w:val="uk-UA"/>
                        </w:rPr>
                        <m:t>=</m:t>
                      </m:r>
                      <m:r>
                        <w:rPr>
                          <w:rFonts w:ascii="Cambria Math" w:hAnsi="Cambria Math" w:cs="Times New Roman"/>
                          <w:sz w:val="28"/>
                          <w:szCs w:val="28"/>
                          <w:lang w:val="uk-UA"/>
                        </w:rPr>
                        <m:t>i</m:t>
                      </m:r>
                      <m:r>
                        <m:rPr>
                          <m:sty m:val="p"/>
                        </m:rPr>
                        <w:rPr>
                          <w:rFonts w:ascii="Cambria Math" w:hAnsi="Cambria Math" w:cs="Times New Roman"/>
                          <w:sz w:val="28"/>
                          <w:szCs w:val="28"/>
                          <w:lang w:val="uk-UA"/>
                        </w:rPr>
                        <m:t>+1</m:t>
                      </m:r>
                    </m:sub>
                    <m:sup>
                      <m:r>
                        <w:rPr>
                          <w:rFonts w:ascii="Cambria Math" w:hAnsi="Cambria Math" w:cs="Times New Roman"/>
                          <w:sz w:val="28"/>
                          <w:szCs w:val="28"/>
                          <w:lang w:val="uk-UA"/>
                        </w:rPr>
                        <m:t>m</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l</m:t>
                          </m:r>
                        </m:sub>
                      </m:sSub>
                      <m:r>
                        <m:rPr>
                          <m:sty m:val="p"/>
                        </m:rPr>
                        <w:rPr>
                          <w:rFonts w:ascii="Cambria Math" w:hAnsi="Cambria Math" w:cs="Times New Roman"/>
                          <w:sz w:val="28"/>
                          <w:szCs w:val="28"/>
                          <w:lang w:val="uk-UA"/>
                        </w:rPr>
                        <m:t>=1+</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 </m:t>
                      </m:r>
                      <m:nary>
                        <m:naryPr>
                          <m:chr m:val="∑"/>
                          <m:limLoc m:val="undOvr"/>
                          <m:ctrlPr>
                            <w:rPr>
                              <w:rFonts w:ascii="Cambria Math" w:hAnsi="Cambria Math" w:cs="Times New Roman"/>
                              <w:sz w:val="28"/>
                              <w:szCs w:val="28"/>
                              <w:lang w:val="uk-UA"/>
                            </w:rPr>
                          </m:ctrlPr>
                        </m:naryPr>
                        <m:sub>
                          <m:r>
                            <w:rPr>
                              <w:rFonts w:ascii="Cambria Math" w:hAnsi="Cambria Math" w:cs="Times New Roman"/>
                              <w:sz w:val="28"/>
                              <w:szCs w:val="28"/>
                              <w:lang w:val="uk-UA"/>
                            </w:rPr>
                            <m:t>k</m:t>
                          </m:r>
                          <m:r>
                            <m:rPr>
                              <m:sty m:val="p"/>
                            </m:rPr>
                            <w:rPr>
                              <w:rFonts w:ascii="Cambria Math" w:hAnsi="Cambria Math" w:cs="Times New Roman"/>
                              <w:sz w:val="28"/>
                              <w:szCs w:val="28"/>
                              <w:lang w:val="uk-UA"/>
                            </w:rPr>
                            <m:t>=1</m:t>
                          </m:r>
                        </m:sub>
                        <m:sup>
                          <m:r>
                            <w:rPr>
                              <w:rFonts w:ascii="Cambria Math" w:hAnsi="Cambria Math" w:cs="Times New Roman"/>
                              <w:sz w:val="28"/>
                              <w:szCs w:val="28"/>
                              <w:lang w:val="uk-UA"/>
                            </w:rPr>
                            <m:t>m</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k</m:t>
                              </m:r>
                            </m:sub>
                          </m:sSub>
                          <m:r>
                            <m:rPr>
                              <m:sty m:val="p"/>
                            </m:rPr>
                            <w:rPr>
                              <w:rFonts w:ascii="Cambria Math" w:hAnsi="Cambria Math" w:cs="Times New Roman"/>
                              <w:sz w:val="28"/>
                              <w:szCs w:val="28"/>
                              <w:lang w:val="uk-UA"/>
                            </w:rPr>
                            <m:t xml:space="preserve">= </m:t>
                          </m:r>
                        </m:e>
                      </m:nary>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r>
                        <m:rPr>
                          <m:sty m:val="p"/>
                        </m:rPr>
                        <w:rPr>
                          <w:rFonts w:ascii="Cambria Math" w:hAnsi="Cambria Math" w:cs="Times New Roman"/>
                          <w:sz w:val="28"/>
                          <w:szCs w:val="28"/>
                          <w:lang w:val="uk-UA"/>
                        </w:rPr>
                        <m:t>-</m:t>
                      </m:r>
                      <m:d>
                        <m:dPr>
                          <m:ctrlPr>
                            <w:rPr>
                              <w:rFonts w:ascii="Cambria Math" w:hAnsi="Cambria Math" w:cs="Times New Roman"/>
                              <w:sz w:val="28"/>
                              <w:szCs w:val="28"/>
                              <w:lang w:val="uk-UA"/>
                            </w:rPr>
                          </m:ctrlPr>
                        </m:dPr>
                        <m:e>
                          <m:r>
                            <m:rPr>
                              <m:sty m:val="p"/>
                            </m:rPr>
                            <w:rPr>
                              <w:rFonts w:ascii="Cambria Math" w:hAnsi="Cambria Math" w:cs="Times New Roman"/>
                              <w:sz w:val="28"/>
                              <w:szCs w:val="28"/>
                              <w:lang w:val="uk-UA"/>
                            </w:rPr>
                            <m:t xml:space="preserve">b-1 </m:t>
                          </m:r>
                        </m:e>
                      </m:d>
                      <m:r>
                        <m:rPr>
                          <m:sty m:val="p"/>
                        </m:rPr>
                        <w:rPr>
                          <w:rFonts w:ascii="Cambria Math" w:hAnsi="Cambria Math" w:cs="Times New Roman"/>
                          <w:sz w:val="28"/>
                          <w:szCs w:val="28"/>
                          <w:lang w:val="uk-UA"/>
                        </w:rPr>
                        <m:t>;</m:t>
                      </m:r>
                    </m:e>
                  </m:nary>
                  <m:r>
                    <m:rPr>
                      <m:sty m:val="p"/>
                    </m:rPr>
                    <w:rPr>
                      <w:rFonts w:ascii="Cambria Math" w:hAnsi="Cambria Math" w:cs="Times New Roman"/>
                      <w:sz w:val="28"/>
                      <w:szCs w:val="28"/>
                      <w:lang w:val="uk-UA"/>
                    </w:rPr>
                    <m:t xml:space="preserve"> </m:t>
                  </m:r>
                </m:e>
              </m:nary>
              <m:r>
                <m:rPr>
                  <m:sty m:val="p"/>
                </m:rPr>
                <w:rPr>
                  <w:rFonts w:ascii="Cambria Math" w:hAnsi="Cambria Math" w:cs="Times New Roman"/>
                  <w:sz w:val="28"/>
                  <w:szCs w:val="28"/>
                  <w:lang w:val="uk-UA"/>
                </w:rPr>
                <m:t xml:space="preserve"> </m:t>
              </m:r>
            </m:e>
          </m:nary>
        </m:oMath>
      </m:oMathPara>
    </w:p>
    <w:p w14:paraId="11CC0A32" w14:textId="77777777" w:rsidR="00C14BDE" w:rsidRPr="005F0419" w:rsidRDefault="00C14BDE" w:rsidP="00C14BDE">
      <w:pPr>
        <w:spacing w:after="0" w:line="360" w:lineRule="auto"/>
        <w:ind w:firstLine="720"/>
        <w:rPr>
          <w:rFonts w:ascii="Times New Roman" w:hAnsi="Times New Roman" w:cs="Times New Roman"/>
          <w:sz w:val="28"/>
          <w:szCs w:val="28"/>
          <w:lang w:val="uk-UA"/>
        </w:rPr>
      </w:pPr>
    </w:p>
    <w:p w14:paraId="5BAFD83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Таким чином, узгоджена інтервальна інформація подається у вигляді [11]:</w:t>
      </w:r>
    </w:p>
    <w:p w14:paraId="0406645D"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m:oMathPara>
        <m:oMath>
          <m:r>
            <w:rPr>
              <w:rFonts w:ascii="Cambria Math" w:hAnsi="Cambria Math" w:cs="Times New Roman"/>
              <w:sz w:val="28"/>
              <w:szCs w:val="28"/>
              <w:lang w:val="uk-UA"/>
            </w:rPr>
            <m:t>V(m, n, 2) = {max{0,</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 (b - 1)} ≤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 min{1,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 (1 - a)},i = </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1,m</m:t>
              </m:r>
            </m:e>
          </m:acc>
          <m:r>
            <w:rPr>
              <w:rFonts w:ascii="Cambria Math" w:hAnsi="Cambria Math" w:cs="Times New Roman"/>
              <w:sz w:val="28"/>
              <w:szCs w:val="28"/>
              <w:lang w:val="uk-UA"/>
            </w:rPr>
            <m:t>}.</m:t>
          </m:r>
        </m:oMath>
      </m:oMathPara>
    </w:p>
    <w:p w14:paraId="044507F9"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Нехай, наприклад, </w:t>
      </w:r>
      <m:oMath>
        <m:r>
          <w:rPr>
            <w:rFonts w:ascii="Cambria Math" w:hAnsi="Cambria Math" w:cs="Times New Roman"/>
            <w:sz w:val="28"/>
            <w:szCs w:val="28"/>
            <w:lang w:val="uk-UA"/>
          </w:rPr>
          <m:t xml:space="preserve">V(3,20,2) = {0,2 ≤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 0,5; 0,05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0,3; 0,5 ≤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 ≤ 1 },</m:t>
        </m:r>
      </m:oMath>
      <w:r w:rsidRPr="005F0419">
        <w:rPr>
          <w:rFonts w:ascii="Times New Roman" w:hAnsi="Times New Roman" w:cs="Times New Roman"/>
          <w:sz w:val="28"/>
          <w:szCs w:val="28"/>
          <w:lang w:val="uk-UA"/>
        </w:rPr>
        <w:t xml:space="preserve"> тоді після узгодження интервали приймуть вигляд:</w:t>
      </w:r>
    </w:p>
    <w:p w14:paraId="674F9A2C"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m:oMathPara>
        <m:oMath>
          <m:r>
            <w:rPr>
              <w:rFonts w:ascii="Cambria Math" w:hAnsi="Cambria Math" w:cs="Times New Roman"/>
              <w:sz w:val="28"/>
              <w:szCs w:val="28"/>
              <w:lang w:val="uk-UA"/>
            </w:rPr>
            <m:t xml:space="preserve">(3,20,2) = {0,2 ≤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 0,45; 0,05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 0,3; 0,5 ≤ </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 ≤ 0,75 }</m:t>
          </m:r>
        </m:oMath>
      </m:oMathPara>
    </w:p>
    <w:p w14:paraId="73DA6518" w14:textId="74494B5F"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Використовуючи формули для математичного очікування та стандартного відхилення</w:t>
      </w:r>
      <w:r w:rsidR="00D62720">
        <w:rPr>
          <w:rFonts w:ascii="Times New Roman" w:hAnsi="Times New Roman" w:cs="Times New Roman"/>
          <w:sz w:val="28"/>
          <w:szCs w:val="28"/>
          <w:lang w:val="uk-UA"/>
        </w:rPr>
        <w:t>:</w:t>
      </w:r>
    </w:p>
    <w:p w14:paraId="1C654521" w14:textId="77777777" w:rsidR="00C14BDE" w:rsidRPr="005F0419" w:rsidRDefault="007468C1" w:rsidP="00C14BDE">
      <w:pPr>
        <w:spacing w:after="0" w:line="360" w:lineRule="auto"/>
        <w:ind w:firstLine="720"/>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2</m:t>
            </m:r>
          </m:e>
        </m:d>
        <m:r>
          <w:rPr>
            <w:rFonts w:ascii="Cambria Math" w:hAnsi="Cambria Math" w:cs="Times New Roman"/>
            <w:sz w:val="28"/>
            <w:szCs w:val="28"/>
            <w:lang w:val="uk-UA"/>
          </w:rPr>
          <m:t>= M</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2</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N(m,n,2)</m:t>
            </m:r>
          </m:den>
        </m:f>
        <m:r>
          <w:rPr>
            <w:rFonts w:ascii="Cambria Math" w:hAnsi="Cambria Math" w:cs="Times New Roman"/>
            <w:sz w:val="28"/>
            <w:szCs w:val="28"/>
            <w:lang w:val="uk-UA"/>
          </w:rPr>
          <m:t xml:space="preserve"> </m:t>
        </m:r>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t=1</m:t>
            </m:r>
          </m:sub>
          <m:sup>
            <m:r>
              <w:rPr>
                <w:rFonts w:ascii="Cambria Math" w:hAnsi="Cambria Math" w:cs="Times New Roman"/>
                <w:sz w:val="28"/>
                <w:szCs w:val="28"/>
                <w:lang w:val="uk-UA"/>
              </w:rPr>
              <m:t>N(m,n,2)</m:t>
            </m:r>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v</m:t>
                </m:r>
              </m:e>
              <m:sub>
                <m:r>
                  <w:rPr>
                    <w:rFonts w:ascii="Cambria Math" w:hAnsi="Cambria Math" w:cs="Times New Roman"/>
                    <w:sz w:val="28"/>
                    <w:szCs w:val="28"/>
                    <w:lang w:val="uk-UA"/>
                  </w:rPr>
                  <m:t>i</m:t>
                </m:r>
              </m:sub>
              <m:sup>
                <m:r>
                  <w:rPr>
                    <w:rFonts w:ascii="Cambria Math" w:hAnsi="Cambria Math" w:cs="Times New Roman"/>
                    <w:sz w:val="28"/>
                    <w:szCs w:val="28"/>
                    <w:lang w:val="uk-UA"/>
                  </w:rPr>
                  <m:t>t</m:t>
                </m:r>
              </m:sup>
            </m:sSubSup>
          </m:e>
        </m:nary>
      </m:oMath>
      <w:r w:rsidR="00C14BDE" w:rsidRPr="005F0419">
        <w:rPr>
          <w:rFonts w:ascii="Times New Roman" w:hAnsi="Times New Roman" w:cs="Times New Roman"/>
          <w:sz w:val="28"/>
          <w:szCs w:val="28"/>
          <w:lang w:val="uk-UA"/>
        </w:rPr>
        <w:t>,</w:t>
      </w:r>
    </w:p>
    <w:p w14:paraId="7419BCC1" w14:textId="77777777" w:rsidR="00C14BDE" w:rsidRPr="005F0419" w:rsidRDefault="007468C1" w:rsidP="00C14BDE">
      <w:pPr>
        <w:spacing w:after="0" w:line="360" w:lineRule="auto"/>
        <w:ind w:firstLine="720"/>
        <w:jc w:val="both"/>
        <w:rPr>
          <w:rFonts w:ascii="Times New Roman" w:hAnsi="Times New Roman" w:cs="Times New Roman"/>
          <w:i/>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i</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2</m:t>
            </m:r>
          </m:e>
        </m:d>
        <m:r>
          <w:rPr>
            <w:rFonts w:ascii="Cambria Math" w:hAnsi="Cambria Math" w:cs="Times New Roman"/>
            <w:sz w:val="28"/>
            <w:szCs w:val="28"/>
            <w:lang w:val="uk-UA"/>
          </w:rPr>
          <m:t xml:space="preserve">= </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D</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r>
              <w:rPr>
                <w:rFonts w:ascii="Cambria Math" w:hAnsi="Cambria Math" w:cs="Times New Roman"/>
                <w:sz w:val="28"/>
                <w:szCs w:val="28"/>
                <w:lang w:val="uk-UA"/>
              </w:rPr>
              <m:t>(2)</m:t>
            </m:r>
          </m:e>
        </m:rad>
        <m:r>
          <w:rPr>
            <w:rFonts w:ascii="Cambria Math" w:hAnsi="Cambria Math" w:cs="Times New Roman"/>
            <w:sz w:val="28"/>
            <w:szCs w:val="28"/>
            <w:lang w:val="uk-UA"/>
          </w:rPr>
          <m:t>=</m:t>
        </m:r>
        <m:rad>
          <m:radPr>
            <m:degHide m:val="1"/>
            <m:ctrlPr>
              <w:rPr>
                <w:rFonts w:ascii="Cambria Math" w:hAnsi="Cambria Math" w:cs="Times New Roman"/>
                <w:i/>
                <w:sz w:val="28"/>
                <w:szCs w:val="28"/>
                <w:lang w:val="uk-UA"/>
              </w:rPr>
            </m:ctrlPr>
          </m:radPr>
          <m:deg/>
          <m:e>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
                  <m:dPr>
                    <m:ctrlPr>
                      <w:rPr>
                        <w:rFonts w:ascii="Cambria Math" w:hAnsi="Cambria Math" w:cs="Times New Roman"/>
                        <w:i/>
                        <w:sz w:val="28"/>
                        <w:szCs w:val="28"/>
                        <w:lang w:val="uk-UA"/>
                      </w:rPr>
                    </m:ctrlPr>
                  </m:dPr>
                  <m:e>
                    <m:r>
                      <w:rPr>
                        <w:rFonts w:ascii="Cambria Math" w:hAnsi="Cambria Math" w:cs="Times New Roman"/>
                        <w:sz w:val="28"/>
                        <w:szCs w:val="28"/>
                        <w:lang w:val="uk-UA"/>
                      </w:rPr>
                      <m:t>m,n,2</m:t>
                    </m:r>
                  </m:e>
                </m:d>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t=1</m:t>
                </m:r>
              </m:sub>
              <m:sup>
                <m:r>
                  <w:rPr>
                    <w:rFonts w:ascii="Cambria Math" w:hAnsi="Cambria Math" w:cs="Times New Roman"/>
                    <w:sz w:val="28"/>
                    <w:szCs w:val="28"/>
                    <w:lang w:val="uk-UA"/>
                  </w:rPr>
                  <m:t>N</m:t>
                </m:r>
                <m:d>
                  <m:dPr>
                    <m:ctrlPr>
                      <w:rPr>
                        <w:rFonts w:ascii="Cambria Math" w:hAnsi="Cambria Math" w:cs="Times New Roman"/>
                        <w:i/>
                        <w:sz w:val="28"/>
                        <w:szCs w:val="28"/>
                        <w:lang w:val="uk-UA"/>
                      </w:rPr>
                    </m:ctrlPr>
                  </m:dPr>
                  <m:e>
                    <m:r>
                      <w:rPr>
                        <w:rFonts w:ascii="Cambria Math" w:hAnsi="Cambria Math" w:cs="Times New Roman"/>
                        <w:sz w:val="28"/>
                        <w:szCs w:val="28"/>
                        <w:lang w:val="uk-UA"/>
                      </w:rPr>
                      <m:t>m,n,2</m:t>
                    </m:r>
                  </m:e>
                </m:d>
              </m:sup>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(v</m:t>
                    </m:r>
                  </m:e>
                  <m:sub>
                    <m:r>
                      <w:rPr>
                        <w:rFonts w:ascii="Cambria Math" w:hAnsi="Cambria Math" w:cs="Times New Roman"/>
                        <w:sz w:val="28"/>
                        <w:szCs w:val="28"/>
                        <w:lang w:val="uk-UA"/>
                      </w:rPr>
                      <m:t>i</m:t>
                    </m:r>
                  </m:sub>
                  <m:sup>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e>
                  <m:sub>
                    <m:r>
                      <w:rPr>
                        <w:rFonts w:ascii="Cambria Math" w:hAnsi="Cambria Math" w:cs="Times New Roman"/>
                        <w:sz w:val="28"/>
                        <w:szCs w:val="28"/>
                        <w:lang w:val="uk-UA"/>
                      </w:rPr>
                      <m:t>i</m:t>
                    </m:r>
                  </m:sub>
                </m:sSub>
                <m:r>
                  <w:rPr>
                    <w:rFonts w:ascii="Cambria Math" w:hAnsi="Cambria Math" w:cs="Times New Roman"/>
                    <w:sz w:val="28"/>
                    <w:szCs w:val="28"/>
                    <w:lang w:val="uk-UA"/>
                  </w:rPr>
                  <m:t>(2)</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m:t>
                    </m:r>
                  </m:e>
                  <m:sup>
                    <m:r>
                      <w:rPr>
                        <w:rFonts w:ascii="Cambria Math" w:hAnsi="Cambria Math" w:cs="Times New Roman"/>
                        <w:sz w:val="28"/>
                        <w:szCs w:val="28"/>
                        <w:lang w:val="uk-UA"/>
                      </w:rPr>
                      <m:t>2</m:t>
                    </m:r>
                  </m:sup>
                </m:sSup>
                <m:r>
                  <w:rPr>
                    <w:rFonts w:ascii="Cambria Math" w:hAnsi="Cambria Math" w:cs="Times New Roman"/>
                    <w:sz w:val="28"/>
                    <w:szCs w:val="28"/>
                    <w:lang w:val="uk-UA"/>
                  </w:rPr>
                  <m:t>,</m:t>
                </m:r>
              </m:e>
            </m:nary>
          </m:e>
        </m:rad>
      </m:oMath>
      <w:r w:rsidR="00C14BDE" w:rsidRPr="005F0419">
        <w:rPr>
          <w:rFonts w:ascii="Times New Roman" w:hAnsi="Times New Roman" w:cs="Times New Roman"/>
          <w:i/>
          <w:sz w:val="28"/>
          <w:szCs w:val="28"/>
          <w:lang w:val="uk-UA"/>
        </w:rPr>
        <w:t xml:space="preserve"> </w:t>
      </w:r>
    </w:p>
    <w:p w14:paraId="1A6B3A0B"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Отримаємо шукані </w:t>
      </w:r>
      <w:proofErr w:type="spellStart"/>
      <w:r w:rsidRPr="005F0419">
        <w:rPr>
          <w:rFonts w:ascii="Times New Roman" w:hAnsi="Times New Roman" w:cs="Times New Roman"/>
          <w:sz w:val="28"/>
          <w:szCs w:val="28"/>
          <w:lang w:val="uk-UA"/>
        </w:rPr>
        <w:t>оцінкі</w:t>
      </w:r>
      <w:proofErr w:type="spellEnd"/>
      <w:r w:rsidRPr="005F0419">
        <w:rPr>
          <w:rFonts w:ascii="Times New Roman" w:hAnsi="Times New Roman" w:cs="Times New Roman"/>
          <w:sz w:val="28"/>
          <w:szCs w:val="28"/>
          <w:lang w:val="uk-UA"/>
        </w:rPr>
        <w:t xml:space="preserve"> вагових коефіцієнтів і їх стандартне відхилення</w:t>
      </w:r>
    </w:p>
    <w:p w14:paraId="1E9E6A4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d>
          <m:dPr>
            <m:ctrlPr>
              <w:rPr>
                <w:rFonts w:ascii="Cambria Math" w:hAnsi="Cambria Math" w:cs="Times New Roman"/>
                <w:i/>
                <w:sz w:val="28"/>
                <w:szCs w:val="28"/>
                <w:lang w:val="uk-UA"/>
              </w:rPr>
            </m:ctrlPr>
          </m:dPr>
          <m:e>
            <m:r>
              <w:rPr>
                <w:rFonts w:ascii="Cambria Math" w:hAnsi="Cambria Math" w:cs="Times New Roman"/>
                <w:sz w:val="28"/>
                <w:szCs w:val="28"/>
                <w:lang w:val="uk-UA"/>
              </w:rPr>
              <m:t>2</m:t>
            </m:r>
          </m:e>
        </m:d>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0,238;0,134;0,583</m:t>
            </m:r>
          </m:e>
        </m:d>
      </m:oMath>
      <w:r w:rsidRPr="005F0419">
        <w:rPr>
          <w:rFonts w:ascii="Times New Roman" w:hAnsi="Times New Roman" w:cs="Times New Roman"/>
          <w:sz w:val="28"/>
          <w:szCs w:val="28"/>
          <w:lang w:val="uk-UA"/>
        </w:rPr>
        <w:t xml:space="preserve"> і s(2) = (0,075; 0,075; 0,075).</w:t>
      </w:r>
    </w:p>
    <w:p w14:paraId="3E5FD4B3"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 xml:space="preserve">Тепер до наявної інтервальної інформації </w:t>
      </w:r>
      <w:proofErr w:type="spellStart"/>
      <w:r w:rsidRPr="005F0419">
        <w:rPr>
          <w:rFonts w:ascii="Times New Roman" w:hAnsi="Times New Roman" w:cs="Times New Roman"/>
          <w:sz w:val="28"/>
          <w:szCs w:val="28"/>
          <w:lang w:val="uk-UA"/>
        </w:rPr>
        <w:t>додамо</w:t>
      </w:r>
      <w:proofErr w:type="spellEnd"/>
      <w:r w:rsidRPr="005F0419">
        <w:rPr>
          <w:rFonts w:ascii="Times New Roman" w:hAnsi="Times New Roman" w:cs="Times New Roman"/>
          <w:sz w:val="28"/>
          <w:szCs w:val="28"/>
          <w:lang w:val="uk-UA"/>
        </w:rPr>
        <w:t xml:space="preserve"> ординальну інформацію, тобто, наприклад, </w:t>
      </w:r>
      <m:oMath>
        <m:r>
          <w:rPr>
            <w:rFonts w:ascii="Cambria Math" w:hAnsi="Cambria Math" w:cs="Times New Roman"/>
            <w:sz w:val="28"/>
            <w:szCs w:val="28"/>
            <w:lang w:val="uk-UA"/>
          </w:rPr>
          <m:t>V(3,20,3) = V(3,20,1) ∩ V(3,20,2) =</m:t>
        </m:r>
      </m:oMath>
      <w:r w:rsidRPr="005F0419">
        <w:rPr>
          <w:rFonts w:ascii="Times New Roman" w:hAnsi="Times New Roman" w:cs="Times New Roman"/>
          <w:sz w:val="28"/>
          <w:szCs w:val="28"/>
          <w:lang w:val="uk-UA"/>
        </w:rPr>
        <w:t xml:space="preserve"> </w:t>
      </w:r>
    </w:p>
    <w:p w14:paraId="7D6FA5A0"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&gt;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&gt;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2</m:t>
            </m:r>
          </m:sub>
        </m:sSub>
        <m:r>
          <w:rPr>
            <w:rFonts w:ascii="Cambria Math" w:hAnsi="Cambria Math" w:cs="Times New Roman"/>
            <w:sz w:val="28"/>
            <w:szCs w:val="28"/>
            <w:lang w:val="uk-UA"/>
          </w:rPr>
          <m:t>} ∩</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 xml:space="preserve">0,2≤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≤0,45;0,05≤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≤0,3;0,5≤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3</m:t>
                </m:r>
              </m:sub>
            </m:sSub>
            <m:r>
              <w:rPr>
                <w:rFonts w:ascii="Cambria Math" w:hAnsi="Cambria Math" w:cs="Times New Roman"/>
                <w:sz w:val="28"/>
                <w:szCs w:val="28"/>
                <w:lang w:val="uk-UA"/>
              </w:rPr>
              <m:t>≤0,75</m:t>
            </m:r>
          </m:e>
        </m:d>
        <m:r>
          <w:rPr>
            <w:rFonts w:ascii="Cambria Math" w:hAnsi="Cambria Math" w:cs="Times New Roman"/>
            <w:sz w:val="28"/>
            <w:szCs w:val="28"/>
            <w:lang w:val="uk-UA"/>
          </w:rPr>
          <m:t>.</m:t>
        </m:r>
      </m:oMath>
    </w:p>
    <w:p w14:paraId="3F31D9B8"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Значення вагових коефіцієнтів та міри їх точності зміняться таким чином: </w:t>
      </w:r>
    </w:p>
    <w:p w14:paraId="5C675E18" w14:textId="61FEBAC3" w:rsidR="00D62720" w:rsidRDefault="007468C1" w:rsidP="00D62720">
      <w:pPr>
        <w:spacing w:after="0" w:line="360" w:lineRule="auto"/>
        <w:ind w:firstLine="720"/>
        <w:jc w:val="center"/>
        <w:rPr>
          <w:rFonts w:ascii="Times New Roman" w:hAnsi="Times New Roman" w:cs="Times New Roman"/>
          <w:sz w:val="28"/>
          <w:szCs w:val="28"/>
          <w:lang w:val="uk-UA"/>
        </w:rPr>
      </w:pP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v</m:t>
            </m:r>
          </m:e>
        </m:acc>
        <m:r>
          <w:rPr>
            <w:rFonts w:ascii="Cambria Math" w:hAnsi="Cambria Math" w:cs="Times New Roman"/>
            <w:sz w:val="28"/>
            <w:szCs w:val="28"/>
            <w:lang w:val="uk-UA"/>
          </w:rPr>
          <m:t>(3)</m:t>
        </m:r>
      </m:oMath>
      <w:r w:rsidR="00C14BDE" w:rsidRPr="005F0419">
        <w:rPr>
          <w:rFonts w:ascii="Times New Roman" w:hAnsi="Times New Roman" w:cs="Times New Roman"/>
          <w:sz w:val="28"/>
          <w:szCs w:val="28"/>
          <w:lang w:val="uk-UA"/>
        </w:rPr>
        <w:t xml:space="preserve"> =(0,3; 0,106; 0,594) та </w:t>
      </w:r>
      <w:r w:rsidR="00C14BDE" w:rsidRPr="005F0419">
        <w:rPr>
          <w:rFonts w:ascii="Cambria Math" w:hAnsi="Cambria Math" w:cs="Cambria Math"/>
          <w:sz w:val="28"/>
          <w:szCs w:val="28"/>
          <w:lang w:val="uk-UA"/>
        </w:rPr>
        <w:t>𝑠</w:t>
      </w:r>
      <w:r w:rsidR="00C14BDE" w:rsidRPr="005F0419">
        <w:rPr>
          <w:rFonts w:ascii="Times New Roman" w:hAnsi="Times New Roman" w:cs="Times New Roman"/>
          <w:sz w:val="28"/>
          <w:szCs w:val="28"/>
          <w:lang w:val="uk-UA"/>
        </w:rPr>
        <w:t>(3) = (0,073; 0,051; 0,076).</w:t>
      </w:r>
    </w:p>
    <w:p w14:paraId="767A4593" w14:textId="3ADD71E6"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Визначення вагових коефіцієнтів за допомогою МРЗП має гарне теоретичне обґрунтування [12], не вимагає залучення експертів та знання числових значень показників, проте для визначення </w:t>
      </w:r>
      <w:proofErr w:type="spellStart"/>
      <w:r w:rsidRPr="005F0419">
        <w:rPr>
          <w:rFonts w:ascii="Times New Roman" w:hAnsi="Times New Roman" w:cs="Times New Roman"/>
          <w:sz w:val="28"/>
          <w:szCs w:val="28"/>
          <w:lang w:val="uk-UA"/>
        </w:rPr>
        <w:t>вектора</w:t>
      </w:r>
      <w:proofErr w:type="spellEnd"/>
      <w:r w:rsidRPr="005F0419">
        <w:rPr>
          <w:rFonts w:ascii="Times New Roman" w:hAnsi="Times New Roman" w:cs="Times New Roman"/>
          <w:sz w:val="28"/>
          <w:szCs w:val="28"/>
          <w:lang w:val="uk-UA"/>
        </w:rPr>
        <w:t xml:space="preserve"> вагових коефіцієнтів потрібна програмна реалізація методу, що здійснює перебір допустимих наборів вагових коефіцієнтів, що не є простим завданням. Крім того, необхідно встановити залежність дискретного кроку від кількості аналізованих показників.</w:t>
      </w:r>
    </w:p>
    <w:p w14:paraId="03EE18EC" w14:textId="77777777" w:rsidR="00D62720" w:rsidRDefault="00C14BDE" w:rsidP="00D62720">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виборі опцій важливим є врахування набору даних, де деякі критерії мають переважне значення перед іншими. Ця інформація допомагає людині обрати найбільш підходящий варіант, порівнюючи всі вхідні параметри. Аналогічно, така інформація є важливою для системи визначення найбільш оптимальної території. Проаналізувавши представлені методи визначення вагових коефіцієнтів прийнято рішення використати два з них, а саме метод аналізу ієрархій (МАІ) у випадку коли користувач матиме свою власну експертну групу на яку покладається та метод </w:t>
      </w:r>
      <w:proofErr w:type="spellStart"/>
      <w:r w:rsidRPr="005F0419">
        <w:rPr>
          <w:rFonts w:ascii="Times New Roman" w:hAnsi="Times New Roman" w:cs="Times New Roman"/>
          <w:sz w:val="28"/>
          <w:szCs w:val="28"/>
          <w:lang w:val="uk-UA"/>
        </w:rPr>
        <w:t>рандимізованих</w:t>
      </w:r>
      <w:proofErr w:type="spellEnd"/>
      <w:r w:rsidRPr="005F0419">
        <w:rPr>
          <w:rFonts w:ascii="Times New Roman" w:hAnsi="Times New Roman" w:cs="Times New Roman"/>
          <w:sz w:val="28"/>
          <w:szCs w:val="28"/>
          <w:lang w:val="uk-UA"/>
        </w:rPr>
        <w:t xml:space="preserve">  зведених показників для випадку коли користувач покладається на запрограмований варіант визначення ваг. Отже, визначивши методи нормалізації критеріїв та перетворення пріоритетів, переходимо до наступного етапу </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згортки.</w:t>
      </w:r>
      <w:r w:rsidR="00D62720">
        <w:rPr>
          <w:rFonts w:ascii="Times New Roman" w:hAnsi="Times New Roman" w:cs="Times New Roman"/>
          <w:sz w:val="28"/>
          <w:szCs w:val="28"/>
          <w:lang w:val="uk-UA"/>
        </w:rPr>
        <w:t xml:space="preserve"> </w:t>
      </w:r>
      <w:bookmarkStart w:id="36" w:name="_Toc152783793"/>
    </w:p>
    <w:p w14:paraId="712ED4BD" w14:textId="0719CD85" w:rsidR="00C14BDE" w:rsidRPr="005F0419" w:rsidRDefault="00C14BDE" w:rsidP="00D62720">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Метод лінійної згортки</w:t>
      </w:r>
      <w:bookmarkEnd w:id="36"/>
      <w:r w:rsidRPr="005F0419">
        <w:rPr>
          <w:rFonts w:ascii="Times New Roman" w:hAnsi="Times New Roman" w:cs="Times New Roman"/>
          <w:sz w:val="28"/>
          <w:szCs w:val="28"/>
          <w:lang w:val="uk-UA"/>
        </w:rPr>
        <w:t>. Враховуючи переваги та недоліки розглянутих раніше методів, для вирішення багатокритеріальної задачі вибору альтернативних джерел енергії було обрано метод лінійної згортки, оскільки він є найпростішим у застосуванні і в той же час дуже об'єктивним. Наведемо приклад застосування цього методу для наступної задачі, де вирішується задача оптимального вибору джерела альтернативної енергії серед наступних:</w:t>
      </w:r>
    </w:p>
    <w:p w14:paraId="2CA4464E" w14:textId="77777777" w:rsidR="00C14BDE" w:rsidRPr="005F0419" w:rsidRDefault="00C14BDE" w:rsidP="006D1666">
      <w:pPr>
        <w:pStyle w:val="a4"/>
        <w:widowControl w:val="0"/>
        <w:numPr>
          <w:ilvl w:val="0"/>
          <w:numId w:val="15"/>
        </w:numPr>
        <w:tabs>
          <w:tab w:val="left" w:pos="993"/>
        </w:tabs>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Сонячна батарея (для її представлення введемо змінну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oMath>
      <w:r w:rsidRPr="005F0419">
        <w:rPr>
          <w:rFonts w:ascii="Times New Roman" w:hAnsi="Times New Roman" w:cs="Times New Roman"/>
          <w:sz w:val="28"/>
          <w:szCs w:val="28"/>
          <w:lang w:val="uk-UA"/>
        </w:rPr>
        <w:t>)</w:t>
      </w:r>
    </w:p>
    <w:p w14:paraId="3529EAB0" w14:textId="77777777" w:rsidR="00C14BDE" w:rsidRPr="005F0419" w:rsidRDefault="00C14BDE" w:rsidP="006D1666">
      <w:pPr>
        <w:pStyle w:val="a4"/>
        <w:widowControl w:val="0"/>
        <w:numPr>
          <w:ilvl w:val="0"/>
          <w:numId w:val="15"/>
        </w:numPr>
        <w:tabs>
          <w:tab w:val="left" w:pos="993"/>
        </w:tabs>
        <w:spacing w:after="0" w:line="360" w:lineRule="auto"/>
        <w:ind w:left="0" w:firstLine="720"/>
        <w:jc w:val="both"/>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Вітрогенератор</w:t>
      </w:r>
      <w:proofErr w:type="spellEnd"/>
      <w:r w:rsidRPr="005F0419">
        <w:rPr>
          <w:rFonts w:ascii="Times New Roman" w:hAnsi="Times New Roman" w:cs="Times New Roman"/>
          <w:sz w:val="28"/>
          <w:szCs w:val="28"/>
          <w:lang w:val="uk-UA"/>
        </w:rPr>
        <w:t xml:space="preserve"> (змінна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oMath>
      <w:r w:rsidRPr="005F0419">
        <w:rPr>
          <w:rFonts w:ascii="Times New Roman" w:hAnsi="Times New Roman" w:cs="Times New Roman"/>
          <w:sz w:val="28"/>
          <w:szCs w:val="28"/>
          <w:lang w:val="uk-UA"/>
        </w:rPr>
        <w:t>)</w:t>
      </w:r>
    </w:p>
    <w:p w14:paraId="241D3F4D" w14:textId="77777777" w:rsidR="00C14BDE" w:rsidRPr="005F0419" w:rsidRDefault="00C14BDE" w:rsidP="006D1666">
      <w:pPr>
        <w:pStyle w:val="a4"/>
        <w:widowControl w:val="0"/>
        <w:numPr>
          <w:ilvl w:val="0"/>
          <w:numId w:val="15"/>
        </w:numPr>
        <w:tabs>
          <w:tab w:val="left" w:pos="993"/>
        </w:tabs>
        <w:spacing w:after="0" w:line="360" w:lineRule="auto"/>
        <w:ind w:left="0" w:firstLine="720"/>
        <w:jc w:val="both"/>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lastRenderedPageBreak/>
        <w:t>Гідрокінетичний</w:t>
      </w:r>
      <w:proofErr w:type="spellEnd"/>
      <w:r w:rsidRPr="005F0419">
        <w:rPr>
          <w:rFonts w:ascii="Times New Roman" w:hAnsi="Times New Roman" w:cs="Times New Roman"/>
          <w:sz w:val="28"/>
          <w:szCs w:val="28"/>
          <w:lang w:val="uk-UA"/>
        </w:rPr>
        <w:t xml:space="preserve"> генератор (змінна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m:t>
            </m:r>
          </m:sub>
        </m:sSub>
      </m:oMath>
      <w:r w:rsidRPr="005F0419">
        <w:rPr>
          <w:rFonts w:ascii="Times New Roman" w:hAnsi="Times New Roman" w:cs="Times New Roman"/>
          <w:sz w:val="28"/>
          <w:szCs w:val="28"/>
          <w:lang w:val="uk-UA"/>
        </w:rPr>
        <w:t>)</w:t>
      </w:r>
    </w:p>
    <w:p w14:paraId="11122CE4"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критеріїв оптимального вибору обрано наступні:</w:t>
      </w:r>
    </w:p>
    <w:p w14:paraId="0150D7FC"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1. Критерій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m:t>
            </m:r>
          </m:sub>
        </m:sSub>
      </m:oMath>
      <w:r w:rsidRPr="005F0419">
        <w:rPr>
          <w:rFonts w:ascii="Times New Roman" w:hAnsi="Times New Roman" w:cs="Times New Roman"/>
          <w:sz w:val="28"/>
          <w:szCs w:val="28"/>
          <w:lang w:val="uk-UA"/>
        </w:rPr>
        <w:t>- кліматичні умови (наприклад, розглядаються варіанти з низькою с</w:t>
      </w:r>
      <w:proofErr w:type="spellStart"/>
      <w:r w:rsidRPr="005F0419">
        <w:rPr>
          <w:rFonts w:ascii="Times New Roman" w:hAnsi="Times New Roman" w:cs="Times New Roman"/>
          <w:sz w:val="28"/>
          <w:szCs w:val="28"/>
          <w:lang w:val="uk-UA"/>
        </w:rPr>
        <w:t>онячною</w:t>
      </w:r>
      <w:proofErr w:type="spellEnd"/>
      <w:r w:rsidRPr="005F0419">
        <w:rPr>
          <w:rFonts w:ascii="Times New Roman" w:hAnsi="Times New Roman" w:cs="Times New Roman"/>
          <w:sz w:val="28"/>
          <w:szCs w:val="28"/>
          <w:lang w:val="uk-UA"/>
        </w:rPr>
        <w:t xml:space="preserve"> потужністю та достатньою вітровою потужністю); </w:t>
      </w:r>
    </w:p>
    <w:p w14:paraId="157A9805"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2. Критерій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2</m:t>
            </m:r>
          </m:sub>
        </m:sSub>
      </m:oMath>
      <w:r w:rsidRPr="005F0419">
        <w:rPr>
          <w:rFonts w:ascii="Times New Roman" w:hAnsi="Times New Roman" w:cs="Times New Roman"/>
          <w:sz w:val="28"/>
          <w:szCs w:val="28"/>
          <w:lang w:val="uk-UA"/>
        </w:rPr>
        <w:t xml:space="preserve"> - надійність джерела енергії; </w:t>
      </w:r>
    </w:p>
    <w:p w14:paraId="1B26B782"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3. Критерій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3</m:t>
            </m:r>
          </m:sub>
        </m:sSub>
      </m:oMath>
      <w:r w:rsidRPr="005F0419">
        <w:rPr>
          <w:rFonts w:ascii="Times New Roman" w:hAnsi="Times New Roman" w:cs="Times New Roman"/>
          <w:sz w:val="28"/>
          <w:szCs w:val="28"/>
          <w:lang w:val="uk-UA"/>
        </w:rPr>
        <w:t>- вартість кВт-год енергії, виробленої джерелом енергії.</w:t>
      </w:r>
    </w:p>
    <w:p w14:paraId="375AC457"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Метод передбачає отримання двох згорток: </w:t>
      </w:r>
    </w:p>
    <w:p w14:paraId="302B1217" w14:textId="77777777" w:rsidR="00C14BDE" w:rsidRPr="005F0419" w:rsidRDefault="00C14BDE" w:rsidP="006D1666">
      <w:pPr>
        <w:pStyle w:val="a4"/>
        <w:widowControl w:val="0"/>
        <w:numPr>
          <w:ilvl w:val="0"/>
          <w:numId w:val="16"/>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Перша відкидає недомінантні альтернативи за всіма критеріями; </w:t>
      </w:r>
    </w:p>
    <w:p w14:paraId="7F61BB4B" w14:textId="77777777" w:rsidR="00C14BDE" w:rsidRPr="005F0419" w:rsidRDefault="00C14BDE" w:rsidP="006D1666">
      <w:pPr>
        <w:pStyle w:val="a4"/>
        <w:widowControl w:val="0"/>
        <w:numPr>
          <w:ilvl w:val="0"/>
          <w:numId w:val="16"/>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Друга враховує вагу важливості кожного критерію та відкидає інші недомінантні альтернативи.</w:t>
      </w:r>
    </w:p>
    <w:p w14:paraId="635B1C43"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При застосуванні методу лінійної згортки відносні вагові коефіцієнти важливості кожного критерію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j</m:t>
            </m:r>
          </m:sub>
        </m:sSub>
        <m:r>
          <w:rPr>
            <w:rFonts w:ascii="Cambria Math" w:hAnsi="Cambria Math" w:cs="Times New Roman"/>
            <w:sz w:val="28"/>
            <w:szCs w:val="28"/>
            <w:lang w:val="uk-UA"/>
          </w:rPr>
          <m:t xml:space="preserve">≥0 </m:t>
        </m:r>
      </m:oMath>
      <w:r w:rsidRPr="005F0419">
        <w:rPr>
          <w:rFonts w:ascii="Times New Roman" w:hAnsi="Times New Roman" w:cs="Times New Roman"/>
          <w:sz w:val="28"/>
          <w:szCs w:val="28"/>
          <w:lang w:val="uk-UA"/>
        </w:rPr>
        <w:t xml:space="preserve">та їх сума </w:t>
      </w:r>
      <m:oMath>
        <m:nary>
          <m:naryPr>
            <m:chr m:val="∑"/>
            <m:limLoc m:val="subSup"/>
            <m:supHide m:val="1"/>
            <m:ctrlPr>
              <w:rPr>
                <w:rFonts w:ascii="Cambria Math" w:hAnsi="Cambria Math" w:cs="Times New Roman"/>
                <w:i/>
                <w:sz w:val="28"/>
                <w:szCs w:val="28"/>
                <w:lang w:val="uk-UA"/>
              </w:rPr>
            </m:ctrlPr>
          </m:naryPr>
          <m:sub>
            <m:r>
              <w:rPr>
                <w:rFonts w:ascii="Cambria Math" w:hAnsi="Cambria Math" w:cs="Times New Roman"/>
                <w:sz w:val="28"/>
                <w:szCs w:val="28"/>
                <w:lang w:val="uk-UA"/>
              </w:rPr>
              <m:t>j</m:t>
            </m:r>
          </m: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j</m:t>
                </m:r>
              </m:sub>
            </m:sSub>
          </m:e>
        </m:nary>
        <m:r>
          <w:rPr>
            <w:rFonts w:ascii="Cambria Math" w:hAnsi="Cambria Math" w:cs="Times New Roman"/>
            <w:sz w:val="28"/>
            <w:szCs w:val="28"/>
            <w:lang w:val="uk-UA"/>
          </w:rPr>
          <m:t xml:space="preserve">=1 </m:t>
        </m:r>
      </m:oMath>
      <w:r w:rsidRPr="005F0419">
        <w:rPr>
          <w:rFonts w:ascii="Times New Roman" w:hAnsi="Times New Roman" w:cs="Times New Roman"/>
          <w:sz w:val="28"/>
          <w:szCs w:val="28"/>
          <w:lang w:val="uk-UA"/>
        </w:rPr>
        <w:t>відображають важливість кожного параметру для особи, яка приймає рішення, у відсотках. Так як ці значення вираховуються після оцінок експертів які ми не можемо прогнозувати, без вибору території, припустимо, що для цієї задачі було виставлені оцінки (норма</w:t>
      </w:r>
      <w:proofErr w:type="spellStart"/>
      <w:r w:rsidRPr="005F0419">
        <w:rPr>
          <w:rFonts w:ascii="Times New Roman" w:hAnsi="Times New Roman" w:cs="Times New Roman"/>
          <w:sz w:val="28"/>
          <w:szCs w:val="28"/>
          <w:lang w:val="uk-UA"/>
        </w:rPr>
        <w:t>лізація</w:t>
      </w:r>
      <w:proofErr w:type="spellEnd"/>
      <w:r w:rsidRPr="005F0419">
        <w:rPr>
          <w:rFonts w:ascii="Times New Roman" w:hAnsi="Times New Roman" w:cs="Times New Roman"/>
          <w:sz w:val="28"/>
          <w:szCs w:val="28"/>
          <w:lang w:val="uk-UA"/>
        </w:rPr>
        <w:t xml:space="preserve"> оцінок і визначення ваг продемонстровано в попередніх пунктах) експертів, після чого значення вагових коефіцієнтів наступні: </w:t>
      </w:r>
    </w:p>
    <w:p w14:paraId="39582576" w14:textId="28231EA0" w:rsidR="00C14BDE" w:rsidRPr="00D62720" w:rsidRDefault="00D62720" w:rsidP="00D62720">
      <w:pPr>
        <w:widowControl w:val="0"/>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14BDE" w:rsidRPr="00D62720">
        <w:rPr>
          <w:rFonts w:ascii="Times New Roman" w:hAnsi="Times New Roman" w:cs="Times New Roman"/>
          <w:sz w:val="28"/>
          <w:szCs w:val="28"/>
          <w:lang w:val="uk-UA"/>
        </w:rPr>
        <w:t xml:space="preserve">Важливість погодних умов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1</m:t>
            </m:r>
          </m:sub>
        </m:sSub>
        <m:r>
          <w:rPr>
            <w:rFonts w:ascii="Cambria Math" w:hAnsi="Cambria Math" w:cs="Times New Roman"/>
            <w:sz w:val="28"/>
            <w:szCs w:val="28"/>
            <w:lang w:val="uk-UA"/>
          </w:rPr>
          <m:t>=30%</m:t>
        </m:r>
      </m:oMath>
      <w:r>
        <w:rPr>
          <w:rFonts w:ascii="Times New Roman" w:hAnsi="Times New Roman" w:cs="Times New Roman"/>
          <w:sz w:val="28"/>
          <w:szCs w:val="28"/>
          <w:lang w:val="uk-UA"/>
        </w:rPr>
        <w:t>;</w:t>
      </w:r>
    </w:p>
    <w:p w14:paraId="05A1E1A8" w14:textId="665AA8CE" w:rsidR="00C14BDE" w:rsidRPr="00D62720" w:rsidRDefault="00D62720" w:rsidP="00D62720">
      <w:pPr>
        <w:widowControl w:val="0"/>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14BDE" w:rsidRPr="00D62720">
        <w:rPr>
          <w:rFonts w:ascii="Times New Roman" w:hAnsi="Times New Roman" w:cs="Times New Roman"/>
          <w:sz w:val="28"/>
          <w:szCs w:val="28"/>
          <w:lang w:val="uk-UA"/>
        </w:rPr>
        <w:t xml:space="preserve">Значення надійності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2</m:t>
            </m:r>
          </m:sub>
        </m:sSub>
        <m:r>
          <w:rPr>
            <w:rFonts w:ascii="Cambria Math" w:hAnsi="Cambria Math" w:cs="Times New Roman"/>
            <w:sz w:val="28"/>
            <w:szCs w:val="28"/>
            <w:lang w:val="uk-UA"/>
          </w:rPr>
          <m:t>=20%</m:t>
        </m:r>
      </m:oMath>
      <w:r>
        <w:rPr>
          <w:rFonts w:ascii="Times New Roman" w:hAnsi="Times New Roman" w:cs="Times New Roman"/>
          <w:sz w:val="28"/>
          <w:szCs w:val="28"/>
          <w:lang w:val="uk-UA"/>
        </w:rPr>
        <w:t>;</w:t>
      </w:r>
    </w:p>
    <w:p w14:paraId="2E5AAFF1" w14:textId="3F0AC805" w:rsidR="00C14BDE" w:rsidRPr="00D62720" w:rsidRDefault="00D62720" w:rsidP="00D62720">
      <w:pPr>
        <w:widowControl w:val="0"/>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14BDE" w:rsidRPr="00D62720">
        <w:rPr>
          <w:rFonts w:ascii="Times New Roman" w:hAnsi="Times New Roman" w:cs="Times New Roman"/>
          <w:sz w:val="28"/>
          <w:szCs w:val="28"/>
          <w:lang w:val="uk-UA"/>
        </w:rPr>
        <w:t xml:space="preserve">Важливість затрат на генерацію енергії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3</m:t>
            </m:r>
          </m:sub>
        </m:sSub>
        <m:r>
          <w:rPr>
            <w:rFonts w:ascii="Cambria Math" w:hAnsi="Cambria Math" w:cs="Times New Roman"/>
            <w:sz w:val="28"/>
            <w:szCs w:val="28"/>
            <w:lang w:val="uk-UA"/>
          </w:rPr>
          <m:t>=50%.</m:t>
        </m:r>
      </m:oMath>
    </w:p>
    <w:p w14:paraId="681C7615" w14:textId="243EF84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Зрозуміло що для кожного користувача є найважливішим  - вартість енергії що генерується. Після цього нам потрібно знайти відношення переваг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oMath>
      <w:r w:rsidRPr="005F0419">
        <w:rPr>
          <w:rFonts w:ascii="Times New Roman" w:hAnsi="Times New Roman" w:cs="Times New Roman"/>
          <w:sz w:val="28"/>
          <w:szCs w:val="28"/>
          <w:lang w:val="uk-UA"/>
        </w:rPr>
        <w:t xml:space="preserve">  для кожного критерію. </w:t>
      </w:r>
    </w:p>
    <w:p w14:paraId="26EAF30D" w14:textId="03C282B2"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Аналізуючи перший критерій, погодні умови, можна зробити висновок, що сонячні батареї менш ефективні, ніж </w:t>
      </w:r>
      <w:proofErr w:type="spellStart"/>
      <w:r w:rsidRPr="005F0419">
        <w:rPr>
          <w:rFonts w:ascii="Times New Roman" w:hAnsi="Times New Roman" w:cs="Times New Roman"/>
          <w:sz w:val="28"/>
          <w:szCs w:val="28"/>
          <w:lang w:val="uk-UA"/>
        </w:rPr>
        <w:t>вітрогенератори</w:t>
      </w:r>
      <w:proofErr w:type="spellEnd"/>
      <w:r w:rsidRPr="005F0419">
        <w:rPr>
          <w:rFonts w:ascii="Times New Roman" w:hAnsi="Times New Roman" w:cs="Times New Roman"/>
          <w:sz w:val="28"/>
          <w:szCs w:val="28"/>
          <w:lang w:val="uk-UA"/>
        </w:rPr>
        <w:t xml:space="preserve">, коли сонячна радіація низька, і перевага надається другому джерелу,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oMath>
      <w:r w:rsidRPr="005F0419">
        <w:rPr>
          <w:rFonts w:ascii="Times New Roman" w:hAnsi="Times New Roman" w:cs="Times New Roman"/>
          <w:sz w:val="28"/>
          <w:szCs w:val="28"/>
          <w:lang w:val="uk-UA"/>
        </w:rPr>
        <w:t xml:space="preserve">. З іншого боку, гідрокінетичний генератор менше залежить від погодних умов і тому має перевагу над вітрогенератором </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 &gt;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oMath>
      <w:r w:rsidRPr="005F0419">
        <w:rPr>
          <w:rFonts w:ascii="Times New Roman" w:hAnsi="Times New Roman" w:cs="Times New Roman"/>
          <w:sz w:val="28"/>
          <w:szCs w:val="28"/>
          <w:lang w:val="uk-UA"/>
        </w:rPr>
        <w:t xml:space="preserve">. Аналіз погодних умов базується на </w:t>
      </w:r>
      <w:r w:rsidRPr="005F0419">
        <w:rPr>
          <w:rFonts w:ascii="Times New Roman" w:hAnsi="Times New Roman" w:cs="Times New Roman"/>
          <w:sz w:val="28"/>
          <w:szCs w:val="28"/>
          <w:lang w:val="uk-UA"/>
        </w:rPr>
        <w:lastRenderedPageBreak/>
        <w:t xml:space="preserve">показаннях датчиків потужності, знятих з джерела генерації. Залежно від показань вибираються більш продуктивні джерела енергії та/або захищаються від впливу навколишнього середовища в разі екстремальних погодних умов для кожного джерела енергії. Таким чином, відношення переваги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r>
          <w:rPr>
            <w:rFonts w:ascii="Cambria Math" w:hAnsi="Cambria Math" w:cs="Times New Roman"/>
            <w:sz w:val="28"/>
            <w:szCs w:val="28"/>
            <w:lang w:val="uk-UA"/>
          </w:rPr>
          <m:t xml:space="preserve"> </m:t>
        </m:r>
      </m:oMath>
      <w:r w:rsidRPr="005F0419">
        <w:rPr>
          <w:rFonts w:ascii="Times New Roman" w:hAnsi="Times New Roman" w:cs="Times New Roman"/>
          <w:sz w:val="28"/>
          <w:szCs w:val="28"/>
          <w:lang w:val="uk-UA"/>
        </w:rPr>
        <w:t xml:space="preserve">для першого критерію (погода) описується наступним чином: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 &gt;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 &gt;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m:t>
        </m:r>
      </m:oMath>
      <w:r w:rsidRPr="005F0419">
        <w:rPr>
          <w:rFonts w:ascii="Times New Roman" w:hAnsi="Times New Roman" w:cs="Times New Roman"/>
          <w:sz w:val="28"/>
          <w:szCs w:val="28"/>
          <w:lang w:val="uk-UA"/>
        </w:rPr>
        <w:t xml:space="preserve"> Запишемо аналогічні узагальнені дані для всіх критеріїв: якщо неможливо віддати перевагу тому чи іншому критерію, то вик</w:t>
      </w:r>
      <w:proofErr w:type="spellStart"/>
      <w:r w:rsidRPr="005F0419">
        <w:rPr>
          <w:rFonts w:ascii="Times New Roman" w:hAnsi="Times New Roman" w:cs="Times New Roman"/>
          <w:sz w:val="28"/>
          <w:szCs w:val="28"/>
          <w:lang w:val="uk-UA"/>
        </w:rPr>
        <w:t>онується</w:t>
      </w:r>
      <w:proofErr w:type="spellEnd"/>
      <w:r w:rsidRPr="005F0419">
        <w:rPr>
          <w:rFonts w:ascii="Times New Roman" w:hAnsi="Times New Roman" w:cs="Times New Roman"/>
          <w:sz w:val="28"/>
          <w:szCs w:val="28"/>
          <w:lang w:val="uk-UA"/>
        </w:rPr>
        <w:t xml:space="preserve"> рівність </w:t>
      </w:r>
      <m:oMath>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r>
          <w:rPr>
            <w:rFonts w:ascii="Cambria Math" w:hAnsi="Cambria Math" w:cs="Times New Roman"/>
            <w:sz w:val="28"/>
            <w:szCs w:val="28"/>
            <w:lang w:val="uk-UA"/>
          </w:rPr>
          <m:t>:</m:t>
        </m:r>
      </m:oMath>
    </w:p>
    <w:p w14:paraId="1E7AF106"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m:t>
            </m:r>
          </m:sub>
        </m:sSub>
      </m:oMath>
      <w:r w:rsidR="00C14BDE" w:rsidRPr="005F0419">
        <w:rPr>
          <w:rFonts w:ascii="Times New Roman" w:hAnsi="Times New Roman" w:cs="Times New Roman"/>
          <w:sz w:val="28"/>
          <w:szCs w:val="28"/>
          <w:lang w:val="uk-UA"/>
        </w:rPr>
        <w:t>;</w:t>
      </w:r>
    </w:p>
    <w:p w14:paraId="6D7D289A"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m:t>
            </m:r>
          </m:sub>
        </m:sSub>
      </m:oMath>
      <w:r w:rsidR="00C14BDE" w:rsidRPr="005F0419">
        <w:rPr>
          <w:rFonts w:ascii="Times New Roman" w:hAnsi="Times New Roman" w:cs="Times New Roman"/>
          <w:sz w:val="28"/>
          <w:szCs w:val="28"/>
          <w:lang w:val="uk-UA"/>
        </w:rPr>
        <w:t>.</w:t>
      </w:r>
    </w:p>
    <w:p w14:paraId="758B895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Знайдемо матрицю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r>
          <w:rPr>
            <w:rFonts w:ascii="Cambria Math" w:hAnsi="Cambria Math" w:cs="Times New Roman"/>
            <w:sz w:val="28"/>
            <w:szCs w:val="28"/>
            <w:lang w:val="uk-UA"/>
          </w:rPr>
          <m:t>)</m:t>
        </m:r>
      </m:oMath>
      <w:r w:rsidRPr="005F0419">
        <w:rPr>
          <w:rFonts w:ascii="Times New Roman" w:hAnsi="Times New Roman" w:cs="Times New Roman"/>
          <w:sz w:val="28"/>
          <w:szCs w:val="28"/>
          <w:lang w:val="uk-UA"/>
        </w:rPr>
        <w:t>, або функцію належності, рядки та стовпці якої є альтернативи (4):</w:t>
      </w:r>
    </w:p>
    <w:p w14:paraId="0520AFF1"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1,1</m:t>
                      </m:r>
                    </m:sub>
                  </m:sSub>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1,2</m:t>
                      </m:r>
                    </m:sub>
                  </m:sSub>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1,3</m:t>
                      </m:r>
                    </m:sub>
                  </m:sSub>
                </m:e>
              </m:m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2,1</m:t>
                      </m:r>
                    </m:sub>
                  </m:sSub>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2,2</m:t>
                      </m:r>
                    </m:sub>
                  </m:sSub>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2,3</m:t>
                      </m:r>
                    </m:sub>
                  </m:sSub>
                </m:e>
              </m:mr>
              <m:m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3,1</m:t>
                      </m:r>
                    </m:sub>
                  </m:sSub>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3,2</m:t>
                      </m:r>
                    </m:sub>
                  </m:sSub>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3,3</m:t>
                      </m:r>
                    </m:sub>
                  </m:sSub>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t>(4)</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t xml:space="preserve"> </w:t>
      </w:r>
    </w:p>
    <w:p w14:paraId="520A623A" w14:textId="77777777" w:rsidR="00C14BDE" w:rsidRPr="005F0419" w:rsidRDefault="007468C1" w:rsidP="00C14BDE">
      <w:pPr>
        <w:spacing w:after="0" w:line="360" w:lineRule="auto"/>
        <w:ind w:firstLine="720"/>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oMath>
      <w:r w:rsidR="00C14BDE" w:rsidRPr="005F0419">
        <w:rPr>
          <w:rFonts w:ascii="Times New Roman" w:hAnsi="Times New Roman" w:cs="Times New Roman"/>
          <w:sz w:val="28"/>
          <w:szCs w:val="28"/>
          <w:lang w:val="uk-UA"/>
        </w:rPr>
        <w:t xml:space="preserve"> матриці заповнюються так, щоб перетин i-го рядка та j-го стовпця був:</w:t>
      </w:r>
    </w:p>
    <w:p w14:paraId="73673551"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«0» якщо альтернативі i віддається менша перевага, ніж альтернативі j:</w:t>
      </w:r>
    </w:p>
    <w:p w14:paraId="597553FE"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oMath>
      <w:r w:rsidRPr="005F0419">
        <w:rPr>
          <w:rFonts w:ascii="Times New Roman" w:hAnsi="Times New Roman" w:cs="Times New Roman"/>
          <w:sz w:val="28"/>
          <w:szCs w:val="28"/>
          <w:lang w:val="uk-UA"/>
        </w:rPr>
        <w:t xml:space="preserve"> при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2,1</m:t>
            </m:r>
          </m:sub>
        </m:sSub>
        <m:r>
          <w:rPr>
            <w:rFonts w:ascii="Cambria Math" w:hAnsi="Cambria Math" w:cs="Times New Roman"/>
            <w:sz w:val="28"/>
            <w:szCs w:val="28"/>
            <w:lang w:val="uk-UA"/>
          </w:rPr>
          <m:t xml:space="preserve">=1 при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oMath>
      <w:r w:rsidRPr="005F0419">
        <w:rPr>
          <w:rFonts w:ascii="Times New Roman" w:hAnsi="Times New Roman" w:cs="Times New Roman"/>
          <w:sz w:val="28"/>
          <w:szCs w:val="28"/>
          <w:lang w:val="uk-UA"/>
        </w:rPr>
        <w:t>);</w:t>
      </w:r>
    </w:p>
    <w:p w14:paraId="052422F3"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«1» якщо альтернативі i віддається більша перевага, ніж альтернативі j:</w:t>
      </w:r>
    </w:p>
    <w:p w14:paraId="565D786D"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oMath>
      <w:r w:rsidRPr="005F0419">
        <w:rPr>
          <w:rFonts w:ascii="Times New Roman" w:hAnsi="Times New Roman" w:cs="Times New Roman"/>
          <w:sz w:val="28"/>
          <w:szCs w:val="28"/>
          <w:lang w:val="uk-UA"/>
        </w:rPr>
        <w:t xml:space="preserve"> при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2,1</m:t>
            </m:r>
          </m:sub>
        </m:sSub>
        <m:r>
          <w:rPr>
            <w:rFonts w:ascii="Cambria Math" w:hAnsi="Cambria Math" w:cs="Times New Roman"/>
            <w:sz w:val="28"/>
            <w:szCs w:val="28"/>
            <w:lang w:val="uk-UA"/>
          </w:rPr>
          <m:t xml:space="preserve">=0 при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&gt;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oMath>
      <w:r w:rsidRPr="005F0419">
        <w:rPr>
          <w:rFonts w:ascii="Times New Roman" w:hAnsi="Times New Roman" w:cs="Times New Roman"/>
          <w:sz w:val="28"/>
          <w:szCs w:val="28"/>
          <w:lang w:val="uk-UA"/>
        </w:rPr>
        <w:t>);</w:t>
      </w:r>
    </w:p>
    <w:p w14:paraId="5AE1D79F"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Функція належності створюється для кожного критерію. Функція належності будується для кожного критерію. Наприклад, для першого критерію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oMath>
      <w:r w:rsidRPr="005F0419">
        <w:rPr>
          <w:rFonts w:ascii="Times New Roman" w:hAnsi="Times New Roman" w:cs="Times New Roman"/>
          <w:sz w:val="28"/>
          <w:szCs w:val="28"/>
          <w:lang w:val="uk-UA"/>
        </w:rPr>
        <w:t xml:space="preserve"> створюється наступна матриця (5):</w:t>
      </w:r>
    </w:p>
    <w:p w14:paraId="2519C96D" w14:textId="77777777" w:rsidR="00C14BDE" w:rsidRPr="005F0419" w:rsidRDefault="007468C1" w:rsidP="00C14BDE">
      <w:pPr>
        <w:spacing w:after="0" w:line="360" w:lineRule="auto"/>
        <w:ind w:firstLine="720"/>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1</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0</m:t>
                  </m:r>
                </m:e>
                <m:e>
                  <m:r>
                    <w:rPr>
                      <w:rFonts w:ascii="Cambria Math" w:hAnsi="Cambria Math" w:cs="Times New Roman"/>
                      <w:sz w:val="28"/>
                      <w:szCs w:val="28"/>
                      <w:lang w:val="uk-UA"/>
                    </w:rPr>
                    <m:t>0</m:t>
                  </m:r>
                </m:e>
              </m:m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0</m:t>
                  </m:r>
                </m:e>
              </m:m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0</m:t>
                  </m:r>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t xml:space="preserve"> (5)</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r>
    </w:p>
    <w:p w14:paraId="69512C31"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Перший рядок матриці (5) показує, що за першим критерієм сонячна батарея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oMath>
      <w:r w:rsidRPr="005F0419">
        <w:rPr>
          <w:rFonts w:ascii="Times New Roman" w:hAnsi="Times New Roman" w:cs="Times New Roman"/>
          <w:sz w:val="28"/>
          <w:szCs w:val="28"/>
          <w:lang w:val="uk-UA"/>
        </w:rPr>
        <w:t xml:space="preserve"> не має переваг над іншими альтернативами, а елементи матриць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1,2</m:t>
            </m:r>
          </m:sub>
        </m:sSub>
      </m:oMath>
      <w:r w:rsidRPr="005F0419">
        <w:rPr>
          <w:rFonts w:ascii="Times New Roman"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1,3</m:t>
            </m:r>
          </m:sub>
        </m:sSub>
      </m:oMath>
      <w:r w:rsidRPr="005F0419">
        <w:rPr>
          <w:rFonts w:ascii="Times New Roman" w:hAnsi="Times New Roman" w:cs="Times New Roman"/>
          <w:sz w:val="28"/>
          <w:szCs w:val="28"/>
          <w:lang w:val="uk-UA"/>
        </w:rPr>
        <w:t xml:space="preserve"> дорівнюють нулю. Інші рядки та матриці функції належності </w:t>
      </w:r>
      <w:r w:rsidRPr="005F0419">
        <w:rPr>
          <w:rFonts w:ascii="Times New Roman" w:hAnsi="Times New Roman" w:cs="Times New Roman"/>
          <w:sz w:val="28"/>
          <w:szCs w:val="28"/>
          <w:lang w:val="uk-UA"/>
        </w:rPr>
        <w:lastRenderedPageBreak/>
        <w:t>заповнюються а</w:t>
      </w:r>
      <w:proofErr w:type="spellStart"/>
      <w:r w:rsidRPr="005F0419">
        <w:rPr>
          <w:rFonts w:ascii="Times New Roman" w:hAnsi="Times New Roman" w:cs="Times New Roman"/>
          <w:sz w:val="28"/>
          <w:szCs w:val="28"/>
          <w:lang w:val="uk-UA"/>
        </w:rPr>
        <w:t>налогічним</w:t>
      </w:r>
      <w:proofErr w:type="spellEnd"/>
      <w:r w:rsidRPr="005F0419">
        <w:rPr>
          <w:rFonts w:ascii="Times New Roman" w:hAnsi="Times New Roman" w:cs="Times New Roman"/>
          <w:sz w:val="28"/>
          <w:szCs w:val="28"/>
          <w:lang w:val="uk-UA"/>
        </w:rPr>
        <w:t xml:space="preserve"> чином. Матриці для двох інших критеріїв виглядають наступним чином (6-7):</w:t>
      </w:r>
    </w:p>
    <w:p w14:paraId="6A194C95" w14:textId="77777777" w:rsidR="00C14BDE" w:rsidRPr="005F0419" w:rsidRDefault="007468C1" w:rsidP="00C14BDE">
      <w:pPr>
        <w:spacing w:after="0" w:line="360" w:lineRule="auto"/>
        <w:ind w:firstLine="720"/>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2</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1</m:t>
                  </m:r>
                </m:e>
              </m:m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1</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e>
                  <m:r>
                    <w:rPr>
                      <w:rFonts w:ascii="Cambria Math" w:hAnsi="Cambria Math" w:cs="Times New Roman"/>
                      <w:sz w:val="28"/>
                      <w:szCs w:val="28"/>
                      <w:lang w:val="uk-UA"/>
                    </w:rPr>
                    <m:t>1</m:t>
                  </m:r>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(6)</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r>
    </w:p>
    <w:p w14:paraId="679BE8D6" w14:textId="77777777" w:rsidR="00C14BDE" w:rsidRPr="005F0419" w:rsidRDefault="007468C1" w:rsidP="00C14BDE">
      <w:pPr>
        <w:spacing w:after="0" w:line="360" w:lineRule="auto"/>
        <w:ind w:firstLine="720"/>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3</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0</m:t>
                  </m:r>
                </m:e>
                <m:e>
                  <m:r>
                    <w:rPr>
                      <w:rFonts w:ascii="Cambria Math" w:hAnsi="Cambria Math" w:cs="Times New Roman"/>
                      <w:sz w:val="28"/>
                      <w:szCs w:val="28"/>
                      <w:lang w:val="uk-UA"/>
                    </w:rPr>
                    <m:t>1</m:t>
                  </m:r>
                </m:e>
              </m:m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1</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e>
                  <m:r>
                    <w:rPr>
                      <w:rFonts w:ascii="Cambria Math" w:hAnsi="Cambria Math" w:cs="Times New Roman"/>
                      <w:sz w:val="28"/>
                      <w:szCs w:val="28"/>
                      <w:lang w:val="uk-UA"/>
                    </w:rPr>
                    <m:t>1</m:t>
                  </m:r>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t xml:space="preserve"> (7)</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r>
    </w:p>
    <w:p w14:paraId="63404B7B"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Наступним кроком є визначення першої згортки шляхом </w:t>
      </w:r>
      <w:proofErr w:type="spellStart"/>
      <w:r w:rsidRPr="005F0419">
        <w:rPr>
          <w:rFonts w:ascii="Times New Roman" w:hAnsi="Times New Roman" w:cs="Times New Roman"/>
          <w:sz w:val="28"/>
          <w:szCs w:val="28"/>
          <w:lang w:val="uk-UA"/>
        </w:rPr>
        <w:t>поелементного</w:t>
      </w:r>
      <w:proofErr w:type="spellEnd"/>
      <w:r w:rsidRPr="005F0419">
        <w:rPr>
          <w:rFonts w:ascii="Times New Roman" w:hAnsi="Times New Roman" w:cs="Times New Roman"/>
          <w:sz w:val="28"/>
          <w:szCs w:val="28"/>
          <w:lang w:val="uk-UA"/>
        </w:rPr>
        <w:t xml:space="preserve"> знаходження мінімуму між усіма функціями належності (5-7) і запису цього мінімуму у відповідну матрицю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j</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oMath>
      <w:r w:rsidRPr="005F0419">
        <w:rPr>
          <w:rFonts w:ascii="Times New Roman" w:hAnsi="Times New Roman" w:cs="Times New Roman"/>
          <w:sz w:val="28"/>
          <w:szCs w:val="28"/>
          <w:lang w:val="uk-UA"/>
        </w:rPr>
        <w:t>:</w:t>
      </w:r>
    </w:p>
    <w:p w14:paraId="349CA38C" w14:textId="77777777" w:rsidR="00C14BDE" w:rsidRPr="005F0419" w:rsidRDefault="007468C1" w:rsidP="00C14BDE">
      <w:pPr>
        <w:spacing w:after="0" w:line="360" w:lineRule="auto"/>
        <w:ind w:firstLine="720"/>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1,1</m:t>
                      </m:r>
                    </m:sub>
                  </m:sSub>
                </m:e>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1,2</m:t>
                      </m:r>
                    </m:sub>
                  </m:sSub>
                </m:e>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1,3</m:t>
                      </m:r>
                    </m:sub>
                  </m:sSub>
                </m:e>
              </m:mr>
              <m:mr>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2,1</m:t>
                      </m:r>
                    </m:sub>
                  </m:sSub>
                </m:e>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2,2</m:t>
                      </m:r>
                    </m:sub>
                  </m:sSub>
                </m:e>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2,3</m:t>
                      </m:r>
                    </m:sub>
                  </m:sSub>
                </m:e>
              </m:mr>
              <m:mr>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3,1</m:t>
                      </m:r>
                    </m:sub>
                  </m:sSub>
                </m:e>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3,2</m:t>
                      </m:r>
                    </m:sub>
                  </m:sSub>
                </m:e>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3,3</m:t>
                      </m:r>
                    </m:sub>
                  </m:sSub>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(8)</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r>
    </w:p>
    <w:p w14:paraId="783B00FB"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Елементи матриці (8) , </w:t>
      </w:r>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i,j</m:t>
            </m:r>
          </m:sub>
        </m:sSub>
      </m:oMath>
      <w:r w:rsidRPr="005F0419">
        <w:rPr>
          <w:rFonts w:ascii="Times New Roman" w:hAnsi="Times New Roman" w:cs="Times New Roman"/>
          <w:sz w:val="28"/>
          <w:szCs w:val="28"/>
          <w:lang w:val="uk-UA"/>
        </w:rPr>
        <w:t xml:space="preserve"> визначаються як мінімальне значення елементу,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i,j</m:t>
            </m:r>
          </m:sub>
        </m:sSub>
      </m:oMath>
      <w:r w:rsidRPr="005F0419">
        <w:rPr>
          <w:rFonts w:ascii="Times New Roman" w:hAnsi="Times New Roman" w:cs="Times New Roman"/>
          <w:sz w:val="28"/>
          <w:szCs w:val="28"/>
          <w:lang w:val="uk-UA"/>
        </w:rPr>
        <w:t xml:space="preserve"> по всіх знайдених матрицях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j</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oMath>
      <w:r w:rsidRPr="005F0419">
        <w:rPr>
          <w:rFonts w:ascii="Times New Roman" w:hAnsi="Times New Roman" w:cs="Times New Roman"/>
          <w:sz w:val="28"/>
          <w:szCs w:val="28"/>
          <w:lang w:val="uk-UA"/>
        </w:rPr>
        <w:t>:</w:t>
      </w:r>
    </w:p>
    <w:p w14:paraId="0AA19632"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0</m:t>
                  </m:r>
                </m:e>
                <m:e>
                  <m:r>
                    <w:rPr>
                      <w:rFonts w:ascii="Cambria Math" w:hAnsi="Cambria Math" w:cs="Times New Roman"/>
                      <w:sz w:val="28"/>
                      <w:szCs w:val="28"/>
                      <w:lang w:val="uk-UA"/>
                    </w:rPr>
                    <m:t>0</m:t>
                  </m:r>
                </m:e>
              </m:m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e>
                  <m:r>
                    <w:rPr>
                      <w:rFonts w:ascii="Cambria Math" w:hAnsi="Cambria Math" w:cs="Times New Roman"/>
                      <w:sz w:val="28"/>
                      <w:szCs w:val="28"/>
                      <w:lang w:val="uk-UA"/>
                    </w:rPr>
                    <m:t>1</m:t>
                  </m:r>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(9)</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r>
    </w:p>
    <w:p w14:paraId="740BBD20"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Домінування альтернативи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oMath>
      <w:r w:rsidRPr="005F0419">
        <w:rPr>
          <w:rFonts w:ascii="Times New Roman" w:hAnsi="Times New Roman" w:cs="Times New Roman"/>
          <w:sz w:val="28"/>
          <w:szCs w:val="28"/>
          <w:lang w:val="uk-UA"/>
        </w:rPr>
        <w:t xml:space="preserve"> над альтернативою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oMath>
      <w:r w:rsidRPr="005F0419">
        <w:rPr>
          <w:rFonts w:ascii="Times New Roman" w:hAnsi="Times New Roman" w:cs="Times New Roman"/>
          <w:sz w:val="28"/>
          <w:szCs w:val="28"/>
          <w:lang w:val="uk-UA"/>
        </w:rPr>
        <w:t xml:space="preserve"> визначається шляхом знаходження максимального елемента різниці між матрицею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oMath>
      <w:r w:rsidRPr="005F0419">
        <w:rPr>
          <w:rFonts w:ascii="Times New Roman" w:hAnsi="Times New Roman" w:cs="Times New Roman"/>
          <w:sz w:val="28"/>
          <w:szCs w:val="28"/>
          <w:lang w:val="uk-UA"/>
        </w:rPr>
        <w:t xml:space="preserve"> та транспонованою матрицею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oMath>
      <w:r w:rsidRPr="005F0419">
        <w:rPr>
          <w:rFonts w:ascii="Times New Roman" w:hAnsi="Times New Roman" w:cs="Times New Roman"/>
          <w:sz w:val="28"/>
          <w:szCs w:val="28"/>
          <w:lang w:val="uk-UA"/>
        </w:rPr>
        <w:t>:</w:t>
      </w:r>
      <m:oMath>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a</m:t>
            </m:r>
          </m:e>
          <m:sub>
            <m:r>
              <w:rPr>
                <w:rFonts w:ascii="Cambria Math" w:hAnsi="Cambria Math" w:cs="Times New Roman"/>
                <w:sz w:val="28"/>
                <w:szCs w:val="28"/>
                <w:lang w:val="uk-UA"/>
              </w:rPr>
              <m:t>ij</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max</m:t>
            </m:r>
          </m:fName>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 xml:space="preserve">0; </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ij</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ji</m:t>
                    </m:r>
                  </m:sub>
                </m:sSub>
                <m:r>
                  <w:rPr>
                    <w:rFonts w:ascii="Cambria Math" w:hAnsi="Cambria Math" w:cs="Times New Roman"/>
                    <w:sz w:val="28"/>
                    <w:szCs w:val="28"/>
                    <w:lang w:val="uk-UA"/>
                  </w:rPr>
                  <m:t xml:space="preserve"> </m:t>
                </m:r>
              </m:e>
            </m:d>
          </m:e>
        </m:func>
      </m:oMath>
      <w:r w:rsidRPr="005F0419">
        <w:rPr>
          <w:rFonts w:ascii="Times New Roman" w:hAnsi="Times New Roman" w:cs="Times New Roman"/>
          <w:sz w:val="28"/>
          <w:szCs w:val="28"/>
          <w:lang w:val="uk-UA"/>
        </w:rPr>
        <w:t xml:space="preserve">, від'ємні результати замінюються на 0. Результатом є матриця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j</m:t>
                </m:r>
              </m:sub>
              <m:sup>
                <m:r>
                  <w:rPr>
                    <w:rFonts w:ascii="Cambria Math" w:hAnsi="Cambria Math" w:cs="Times New Roman"/>
                    <w:sz w:val="28"/>
                    <w:szCs w:val="28"/>
                    <w:lang w:val="uk-UA"/>
                  </w:rPr>
                  <m:t>S</m:t>
                </m:r>
              </m:sup>
            </m:sSub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oMath>
      <w:r w:rsidRPr="005F0419">
        <w:rPr>
          <w:rFonts w:ascii="Times New Roman" w:hAnsi="Times New Roman" w:cs="Times New Roman"/>
          <w:sz w:val="28"/>
          <w:szCs w:val="28"/>
          <w:lang w:val="uk-UA"/>
        </w:rPr>
        <w:t>, яка відображає взаємну перевагу альтернатив:</w:t>
      </w:r>
    </w:p>
    <w:p w14:paraId="016360FA" w14:textId="77777777" w:rsidR="00C14BDE" w:rsidRPr="005F0419" w:rsidRDefault="007468C1" w:rsidP="00C14BDE">
      <w:pPr>
        <w:spacing w:after="0" w:line="360" w:lineRule="auto"/>
        <w:ind w:firstLine="720"/>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S</m:t>
                </m:r>
              </m:sup>
            </m:sSub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1,1</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1,2</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1,3</m:t>
                      </m:r>
                    </m:sub>
                  </m:sSub>
                </m:e>
              </m:mr>
              <m:mr>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2,1</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2,2</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2,3</m:t>
                      </m:r>
                    </m:sub>
                  </m:sSub>
                </m:e>
              </m:mr>
              <m:mr>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3,1</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3,2</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3,3</m:t>
                      </m:r>
                    </m:sub>
                  </m:sSub>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(10)</w:t>
      </w:r>
      <w:r w:rsidR="00C14BDE" w:rsidRPr="005F0419">
        <w:rPr>
          <w:rFonts w:ascii="Times New Roman" w:hAnsi="Times New Roman" w:cs="Times New Roman"/>
          <w:sz w:val="28"/>
          <w:szCs w:val="28"/>
          <w:lang w:val="uk-UA"/>
        </w:rPr>
        <w:tab/>
      </w:r>
    </w:p>
    <w:p w14:paraId="5C8BFD1B"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Для матриці (9) яка наведена вище, елемент </w:t>
      </w:r>
      <m:oMath>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1,2</m:t>
            </m:r>
          </m:sub>
        </m:sSub>
      </m:oMath>
      <w:r w:rsidRPr="005F0419">
        <w:rPr>
          <w:rFonts w:ascii="Times New Roman" w:hAnsi="Times New Roman" w:cs="Times New Roman"/>
          <w:sz w:val="28"/>
          <w:szCs w:val="28"/>
          <w:lang w:val="uk-UA"/>
        </w:rPr>
        <w:t xml:space="preserve"> в результуючій матриці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S</m:t>
                </m:r>
              </m:sup>
            </m:sSub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oMath>
      <w:r w:rsidRPr="005F0419">
        <w:rPr>
          <w:rFonts w:ascii="Times New Roman" w:hAnsi="Times New Roman" w:cs="Times New Roman"/>
          <w:sz w:val="28"/>
          <w:szCs w:val="28"/>
          <w:lang w:val="uk-UA"/>
        </w:rPr>
        <w:t xml:space="preserve"> визначається як: </w:t>
      </w:r>
      <m:oMath>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1,2</m:t>
            </m:r>
          </m:sub>
        </m:sSub>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max</m:t>
            </m:r>
          </m:fName>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 xml:space="preserve">0; </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1,2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a</m:t>
                        </m:r>
                      </m:e>
                    </m:acc>
                  </m:e>
                  <m:sub>
                    <m:r>
                      <w:rPr>
                        <w:rFonts w:ascii="Cambria Math" w:hAnsi="Cambria Math" w:cs="Times New Roman"/>
                        <w:sz w:val="28"/>
                        <w:szCs w:val="28"/>
                        <w:lang w:val="uk-UA"/>
                      </w:rPr>
                      <m:t>2,1</m:t>
                    </m:r>
                  </m:sub>
                </m:sSub>
              </m:e>
            </m:d>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max</m:t>
                </m:r>
              </m:fName>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0;0-1</m:t>
                    </m:r>
                  </m:e>
                </m:d>
                <m:r>
                  <w:rPr>
                    <w:rFonts w:ascii="Cambria Math" w:hAnsi="Cambria Math" w:cs="Times New Roman"/>
                    <w:sz w:val="28"/>
                    <w:szCs w:val="28"/>
                    <w:lang w:val="uk-UA"/>
                  </w:rPr>
                  <m:t>=0</m:t>
                </m:r>
              </m:e>
            </m:func>
          </m:e>
        </m:func>
      </m:oMath>
      <w:r w:rsidRPr="005F0419">
        <w:rPr>
          <w:rFonts w:ascii="Times New Roman" w:hAnsi="Times New Roman" w:cs="Times New Roman"/>
          <w:sz w:val="28"/>
          <w:szCs w:val="28"/>
          <w:lang w:val="uk-UA"/>
        </w:rPr>
        <w:t>.</w:t>
      </w:r>
    </w:p>
    <w:p w14:paraId="0179EE0C"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Після розрахунку всіх елементів аналогічним способом, формується матриця:</w:t>
      </w:r>
    </w:p>
    <w:p w14:paraId="3DADFD41" w14:textId="77777777" w:rsidR="00C14BDE" w:rsidRPr="005F0419" w:rsidRDefault="007468C1" w:rsidP="00C14BDE">
      <w:pPr>
        <w:spacing w:after="0" w:line="360" w:lineRule="auto"/>
        <w:ind w:firstLine="720"/>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S</m:t>
                </m:r>
              </m:sup>
            </m:sSub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r>
                    <w:rPr>
                      <w:rFonts w:ascii="Cambria Math" w:hAnsi="Cambria Math" w:cs="Times New Roman"/>
                      <w:sz w:val="28"/>
                      <w:szCs w:val="28"/>
                      <w:lang w:val="uk-UA"/>
                    </w:rPr>
                    <m:t>0</m:t>
                  </m:r>
                </m:e>
                <m:e>
                  <m:r>
                    <w:rPr>
                      <w:rFonts w:ascii="Cambria Math" w:hAnsi="Cambria Math" w:cs="Times New Roman"/>
                      <w:sz w:val="28"/>
                      <w:szCs w:val="28"/>
                      <w:lang w:val="uk-UA"/>
                    </w:rPr>
                    <m:t>0</m:t>
                  </m:r>
                </m:e>
              </m:mr>
              <m:mr>
                <m:e>
                  <m:r>
                    <w:rPr>
                      <w:rFonts w:ascii="Cambria Math" w:hAnsi="Cambria Math" w:cs="Times New Roman"/>
                      <w:sz w:val="28"/>
                      <w:szCs w:val="28"/>
                      <w:lang w:val="uk-UA"/>
                    </w:rPr>
                    <m:t>1</m:t>
                  </m:r>
                </m:e>
                <m:e>
                  <m:r>
                    <w:rPr>
                      <w:rFonts w:ascii="Cambria Math" w:hAnsi="Cambria Math" w:cs="Times New Roman"/>
                      <w:sz w:val="28"/>
                      <w:szCs w:val="28"/>
                      <w:lang w:val="uk-UA"/>
                    </w:rPr>
                    <m:t>0</m:t>
                  </m:r>
                </m:e>
                <m:e>
                  <m:r>
                    <w:rPr>
                      <w:rFonts w:ascii="Cambria Math" w:hAnsi="Cambria Math" w:cs="Times New Roman"/>
                      <w:sz w:val="28"/>
                      <w:szCs w:val="28"/>
                      <w:lang w:val="uk-UA"/>
                    </w:rPr>
                    <m:t>0</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e>
                  <m:r>
                    <w:rPr>
                      <w:rFonts w:ascii="Cambria Math" w:hAnsi="Cambria Math" w:cs="Times New Roman"/>
                      <w:sz w:val="28"/>
                      <w:szCs w:val="28"/>
                      <w:lang w:val="uk-UA"/>
                    </w:rPr>
                    <m:t>0</m:t>
                  </m:r>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(11)</w:t>
      </w:r>
      <w:r w:rsidR="00C14BDE" w:rsidRPr="005F0419">
        <w:rPr>
          <w:rFonts w:ascii="Times New Roman" w:hAnsi="Times New Roman" w:cs="Times New Roman"/>
          <w:sz w:val="28"/>
          <w:szCs w:val="28"/>
          <w:lang w:val="uk-UA"/>
        </w:rPr>
        <w:tab/>
      </w:r>
    </w:p>
    <w:p w14:paraId="56D9779C"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Останньою операцією над першою згорткою є визначення ступеня, з яким альтернатива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oMath>
      <w:r w:rsidRPr="005F0419">
        <w:rPr>
          <w:rFonts w:ascii="Times New Roman" w:hAnsi="Times New Roman" w:cs="Times New Roman"/>
          <w:sz w:val="28"/>
          <w:szCs w:val="28"/>
          <w:lang w:val="uk-UA"/>
        </w:rPr>
        <w:t xml:space="preserve"> не домінується ні однією іншою. Для цього </w:t>
      </w:r>
      <m:oMath>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нд</m:t>
                </m:r>
              </m:sup>
            </m:sSup>
          </m:e>
          <m:sub>
            <m:r>
              <w:rPr>
                <w:rFonts w:ascii="Cambria Math" w:hAnsi="Cambria Math" w:cs="Times New Roman"/>
                <w:sz w:val="28"/>
                <w:szCs w:val="28"/>
                <w:lang w:val="uk-UA"/>
              </w:rPr>
              <m:t>j</m:t>
            </m:r>
          </m:sub>
        </m:sSub>
        <m:r>
          <w:rPr>
            <w:rFonts w:ascii="Cambria Math" w:hAnsi="Cambria Math" w:cs="Times New Roman"/>
            <w:sz w:val="28"/>
            <w:szCs w:val="28"/>
            <w:lang w:val="uk-UA"/>
          </w:rPr>
          <m:t>=1-</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max</m:t>
            </m:r>
          </m:fName>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ij</m:t>
                    </m:r>
                  </m:sub>
                </m:sSub>
              </m:e>
            </m:d>
          </m:e>
        </m:func>
      </m:oMath>
      <w:r w:rsidRPr="005F0419">
        <w:rPr>
          <w:rFonts w:ascii="Times New Roman" w:hAnsi="Times New Roman" w:cs="Times New Roman"/>
          <w:sz w:val="28"/>
          <w:szCs w:val="28"/>
          <w:lang w:val="uk-UA"/>
        </w:rPr>
        <w:t xml:space="preserve"> отримується різниця. Наприклад, згідно з матрицею (11), </w:t>
      </w:r>
      <m:oMath>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нд</m:t>
                </m:r>
              </m:sup>
            </m:sSup>
          </m:e>
          <m:sub>
            <m:r>
              <w:rPr>
                <w:rFonts w:ascii="Cambria Math" w:hAnsi="Cambria Math" w:cs="Times New Roman"/>
                <w:sz w:val="28"/>
                <w:szCs w:val="28"/>
                <w:lang w:val="uk-UA"/>
              </w:rPr>
              <m:t>j</m:t>
            </m:r>
          </m:sub>
        </m:sSub>
        <m:r>
          <w:rPr>
            <w:rFonts w:ascii="Cambria Math" w:hAnsi="Cambria Math" w:cs="Times New Roman"/>
            <w:sz w:val="28"/>
            <w:szCs w:val="28"/>
            <w:lang w:val="uk-UA"/>
          </w:rPr>
          <m:t>=1-</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max</m:t>
            </m:r>
          </m:fName>
          <m:e>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ij</m:t>
                    </m:r>
                  </m:sub>
                </m:sSub>
              </m:e>
            </m:d>
          </m:e>
        </m:func>
        <m:r>
          <w:rPr>
            <w:rFonts w:ascii="Cambria Math" w:hAnsi="Cambria Math" w:cs="Times New Roman"/>
            <w:sz w:val="28"/>
            <w:szCs w:val="28"/>
            <w:lang w:val="uk-UA"/>
          </w:rPr>
          <m:t>=1-1=0,</m:t>
        </m:r>
      </m:oMath>
      <w:r w:rsidRPr="005F0419">
        <w:rPr>
          <w:rFonts w:ascii="Times New Roman" w:hAnsi="Times New Roman" w:cs="Times New Roman"/>
          <w:sz w:val="28"/>
          <w:szCs w:val="28"/>
          <w:lang w:val="uk-UA"/>
        </w:rPr>
        <w:t xml:space="preserve"> де елемент </w:t>
      </w:r>
      <m:oMath>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S</m:t>
                </m:r>
              </m:sup>
            </m:sSup>
          </m:e>
          <m:sub>
            <m:r>
              <w:rPr>
                <w:rFonts w:ascii="Cambria Math" w:hAnsi="Cambria Math" w:cs="Times New Roman"/>
                <w:sz w:val="28"/>
                <w:szCs w:val="28"/>
                <w:lang w:val="uk-UA"/>
              </w:rPr>
              <m:t>ij</m:t>
            </m:r>
          </m:sub>
        </m:sSub>
      </m:oMath>
      <w:r w:rsidRPr="005F0419">
        <w:rPr>
          <w:rFonts w:ascii="Times New Roman" w:hAnsi="Times New Roman" w:cs="Times New Roman"/>
          <w:sz w:val="28"/>
          <w:szCs w:val="28"/>
          <w:lang w:val="uk-UA"/>
        </w:rPr>
        <w:t xml:space="preserve"> є найбільшим елементом у першому стовпчику матриці (11) і визначається для кожного i-го рядка. Результатом є вектор наступного вигляду:</w:t>
      </w:r>
    </w:p>
    <w:p w14:paraId="6FCE8E89" w14:textId="77777777" w:rsidR="00C14BDE" w:rsidRPr="005F0419" w:rsidRDefault="007468C1" w:rsidP="00C14BDE">
      <w:pPr>
        <w:spacing w:after="0" w:line="360" w:lineRule="auto"/>
        <w:ind w:firstLine="720"/>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β</m:t>
            </m:r>
          </m:e>
          <m:sub>
            <m:sSubSup>
              <m:sSubSupPr>
                <m:ctrlPr>
                  <w:rPr>
                    <w:rFonts w:ascii="Cambria Math" w:hAnsi="Cambria Math" w:cs="Times New Roman"/>
                    <w:sz w:val="28"/>
                    <w:szCs w:val="28"/>
                    <w:lang w:val="uk-UA"/>
                  </w:rPr>
                </m:ctrlPr>
              </m:sSubSupPr>
              <m:e>
                <m:r>
                  <m:rPr>
                    <m:sty m:val="p"/>
                  </m:rPr>
                  <w:rPr>
                    <w:rFonts w:ascii="Cambria Math" w:hAnsi="Cambria Math" w:cs="Times New Roman"/>
                    <w:sz w:val="28"/>
                    <w:szCs w:val="28"/>
                    <w:lang w:val="uk-UA"/>
                  </w:rPr>
                  <m:t>Q</m:t>
                </m:r>
              </m:e>
              <m:sub>
                <m:r>
                  <m:rPr>
                    <m:sty m:val="p"/>
                  </m:rPr>
                  <w:rPr>
                    <w:rFonts w:ascii="Cambria Math" w:hAnsi="Cambria Math" w:cs="Times New Roman"/>
                    <w:sz w:val="28"/>
                    <w:szCs w:val="28"/>
                    <w:lang w:val="uk-UA"/>
                  </w:rPr>
                  <m:t>1</m:t>
                </m:r>
              </m:sub>
              <m:sup>
                <m:r>
                  <m:rPr>
                    <m:sty m:val="p"/>
                  </m:rPr>
                  <w:rPr>
                    <w:rFonts w:ascii="Cambria Math" w:hAnsi="Cambria Math" w:cs="Times New Roman"/>
                    <w:sz w:val="28"/>
                    <w:szCs w:val="28"/>
                    <w:lang w:val="uk-UA"/>
                  </w:rPr>
                  <m:t>нд</m:t>
                </m:r>
              </m:sup>
            </m:sSubSup>
          </m:sub>
        </m:sSub>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a</m:t>
                </m:r>
              </m:e>
              <m:sub>
                <m:r>
                  <m:rPr>
                    <m:sty m:val="p"/>
                  </m:rP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a</m:t>
                </m:r>
              </m:e>
              <m:sub>
                <m:r>
                  <m:rPr>
                    <m:sty m:val="p"/>
                  </m:rPr>
                  <w:rPr>
                    <w:rFonts w:ascii="Cambria Math" w:hAnsi="Cambria Math" w:cs="Times New Roman"/>
                    <w:sz w:val="28"/>
                    <w:szCs w:val="28"/>
                    <w:lang w:val="uk-UA"/>
                  </w:rPr>
                  <m:t>j</m:t>
                </m:r>
              </m:sub>
            </m:sSub>
          </m:e>
        </m:d>
        <m:r>
          <m:rPr>
            <m:sty m:val="p"/>
          </m:rPr>
          <w:rPr>
            <w:rFonts w:ascii="Cambria Math" w:hAnsi="Cambria Math" w:cs="Times New Roman"/>
            <w:sz w:val="28"/>
            <w:szCs w:val="28"/>
            <w:lang w:val="uk-UA"/>
          </w:rPr>
          <m:t xml:space="preserve">= </m:t>
        </m:r>
        <m:d>
          <m:dPr>
            <m:begChr m:val="["/>
            <m:endChr m:val="]"/>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a</m:t>
                    </m:r>
                  </m:e>
                  <m:sup>
                    <m:r>
                      <m:rPr>
                        <m:sty m:val="p"/>
                      </m:rPr>
                      <w:rPr>
                        <w:rFonts w:ascii="Cambria Math" w:hAnsi="Cambria Math" w:cs="Times New Roman"/>
                        <w:sz w:val="28"/>
                        <w:szCs w:val="28"/>
                        <w:lang w:val="uk-UA"/>
                      </w:rPr>
                      <m:t>нд</m:t>
                    </m:r>
                  </m:sup>
                </m:sSup>
              </m:e>
              <m:sub>
                <m:r>
                  <m:rPr>
                    <m:sty m:val="p"/>
                  </m:rPr>
                  <w:rPr>
                    <w:rFonts w:ascii="Cambria Math" w:hAnsi="Cambria Math" w:cs="Times New Roman"/>
                    <w:sz w:val="28"/>
                    <w:szCs w:val="28"/>
                    <w:lang w:val="uk-UA"/>
                  </w:rPr>
                  <m:t>1</m:t>
                </m:r>
              </m:sub>
            </m:sSub>
            <m:sSub>
              <m:sSubPr>
                <m:ctrlPr>
                  <w:rPr>
                    <w:rFonts w:ascii="Cambria Math" w:hAnsi="Cambria Math" w:cs="Times New Roman"/>
                    <w:sz w:val="28"/>
                    <w:szCs w:val="28"/>
                    <w:lang w:val="uk-UA"/>
                  </w:rPr>
                </m:ctrlPr>
              </m:sSubPr>
              <m:e>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a</m:t>
                    </m:r>
                  </m:e>
                  <m:sup>
                    <m:r>
                      <m:rPr>
                        <m:sty m:val="p"/>
                      </m:rPr>
                      <w:rPr>
                        <w:rFonts w:ascii="Cambria Math" w:hAnsi="Cambria Math" w:cs="Times New Roman"/>
                        <w:sz w:val="28"/>
                        <w:szCs w:val="28"/>
                        <w:lang w:val="uk-UA"/>
                      </w:rPr>
                      <m:t>нд</m:t>
                    </m:r>
                  </m:sup>
                </m:sSup>
              </m:e>
              <m:sub>
                <m:r>
                  <m:rPr>
                    <m:sty m:val="p"/>
                  </m:rPr>
                  <w:rPr>
                    <w:rFonts w:ascii="Cambria Math" w:hAnsi="Cambria Math" w:cs="Times New Roman"/>
                    <w:sz w:val="28"/>
                    <w:szCs w:val="28"/>
                    <w:lang w:val="uk-UA"/>
                  </w:rPr>
                  <m:t>2</m:t>
                </m:r>
              </m:sub>
            </m:sSub>
            <m:sSub>
              <m:sSubPr>
                <m:ctrlPr>
                  <w:rPr>
                    <w:rFonts w:ascii="Cambria Math" w:hAnsi="Cambria Math" w:cs="Times New Roman"/>
                    <w:sz w:val="28"/>
                    <w:szCs w:val="28"/>
                    <w:lang w:val="uk-UA"/>
                  </w:rPr>
                </m:ctrlPr>
              </m:sSubPr>
              <m:e>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a</m:t>
                    </m:r>
                  </m:e>
                  <m:sup>
                    <m:r>
                      <m:rPr>
                        <m:sty m:val="p"/>
                      </m:rPr>
                      <w:rPr>
                        <w:rFonts w:ascii="Cambria Math" w:hAnsi="Cambria Math" w:cs="Times New Roman"/>
                        <w:sz w:val="28"/>
                        <w:szCs w:val="28"/>
                        <w:lang w:val="uk-UA"/>
                      </w:rPr>
                      <m:t>нд</m:t>
                    </m:r>
                  </m:sup>
                </m:sSup>
              </m:e>
              <m:sub>
                <m:r>
                  <m:rPr>
                    <m:sty m:val="p"/>
                  </m:rPr>
                  <w:rPr>
                    <w:rFonts w:ascii="Cambria Math" w:hAnsi="Cambria Math" w:cs="Times New Roman"/>
                    <w:sz w:val="28"/>
                    <w:szCs w:val="28"/>
                    <w:lang w:val="uk-UA"/>
                  </w:rPr>
                  <m:t>3</m:t>
                </m:r>
              </m:sub>
            </m:sSub>
          </m:e>
        </m:d>
        <m:r>
          <m:rPr>
            <m:sty m:val="p"/>
          </m:rPr>
          <w:rPr>
            <w:rFonts w:ascii="Cambria Math" w:hAnsi="Cambria Math" w:cs="Times New Roman"/>
            <w:sz w:val="28"/>
            <w:szCs w:val="28"/>
            <w:lang w:val="uk-UA"/>
          </w:rPr>
          <m:t>=</m:t>
        </m:r>
        <m:d>
          <m:dPr>
            <m:begChr m:val="["/>
            <m:endChr m:val="]"/>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0 1 1</m:t>
            </m:r>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(12)</w:t>
      </w:r>
      <w:r w:rsidR="00C14BDE" w:rsidRPr="005F0419">
        <w:rPr>
          <w:rFonts w:ascii="Times New Roman" w:hAnsi="Times New Roman" w:cs="Times New Roman"/>
          <w:sz w:val="28"/>
          <w:szCs w:val="28"/>
          <w:lang w:val="uk-UA"/>
        </w:rPr>
        <w:tab/>
      </w:r>
    </w:p>
    <w:p w14:paraId="623F0911"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Друга згортка, передбачена цим методом, враховує важливість кожного критерію. Для цього функції належності (5-7) множаться на вагові коефіцієнти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1</m:t>
            </m:r>
          </m:sub>
        </m:sSub>
      </m:oMath>
      <w:r w:rsidRPr="005F0419">
        <w:rPr>
          <w:rFonts w:ascii="Times New Roman" w:hAnsi="Times New Roman" w:cs="Times New Roman"/>
          <w:sz w:val="28"/>
          <w:szCs w:val="28"/>
          <w:lang w:val="uk-UA"/>
        </w:rPr>
        <w:t>-</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V</m:t>
            </m:r>
          </m:e>
          <m:sub>
            <m:r>
              <w:rPr>
                <w:rFonts w:ascii="Cambria Math" w:hAnsi="Cambria Math" w:cs="Times New Roman"/>
                <w:sz w:val="28"/>
                <w:szCs w:val="28"/>
                <w:lang w:val="uk-UA"/>
              </w:rPr>
              <m:t>3</m:t>
            </m:r>
          </m:sub>
        </m:sSub>
      </m:oMath>
      <w:r w:rsidRPr="005F0419">
        <w:rPr>
          <w:rFonts w:ascii="Times New Roman" w:hAnsi="Times New Roman" w:cs="Times New Roman"/>
          <w:sz w:val="28"/>
          <w:szCs w:val="28"/>
          <w:lang w:val="uk-UA"/>
        </w:rPr>
        <w:t>:</w:t>
      </w:r>
    </w:p>
    <w:p w14:paraId="274BAF36"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1</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0,3</m:t>
                  </m:r>
                </m:e>
                <m:e>
                  <m:r>
                    <w:rPr>
                      <w:rFonts w:ascii="Cambria Math" w:hAnsi="Cambria Math" w:cs="Times New Roman"/>
                      <w:sz w:val="28"/>
                      <w:szCs w:val="28"/>
                      <w:lang w:val="uk-UA"/>
                    </w:rPr>
                    <m:t>0</m:t>
                  </m:r>
                </m:e>
                <m:e>
                  <m:r>
                    <w:rPr>
                      <w:rFonts w:ascii="Cambria Math" w:hAnsi="Cambria Math" w:cs="Times New Roman"/>
                      <w:sz w:val="28"/>
                      <w:szCs w:val="28"/>
                      <w:lang w:val="uk-UA"/>
                    </w:rPr>
                    <m:t>0</m:t>
                  </m:r>
                </m:e>
              </m:mr>
              <m:mr>
                <m:e>
                  <m:r>
                    <w:rPr>
                      <w:rFonts w:ascii="Cambria Math" w:hAnsi="Cambria Math" w:cs="Times New Roman"/>
                      <w:sz w:val="28"/>
                      <w:szCs w:val="28"/>
                      <w:lang w:val="uk-UA"/>
                    </w:rPr>
                    <m:t>0,3</m:t>
                  </m:r>
                </m:e>
                <m:e>
                  <m:r>
                    <w:rPr>
                      <w:rFonts w:ascii="Cambria Math" w:hAnsi="Cambria Math" w:cs="Times New Roman"/>
                      <w:sz w:val="28"/>
                      <w:szCs w:val="28"/>
                      <w:lang w:val="uk-UA"/>
                    </w:rPr>
                    <m:t>0,3</m:t>
                  </m:r>
                </m:e>
                <m:e>
                  <m:r>
                    <w:rPr>
                      <w:rFonts w:ascii="Cambria Math" w:hAnsi="Cambria Math" w:cs="Times New Roman"/>
                      <w:sz w:val="28"/>
                      <w:szCs w:val="28"/>
                      <w:lang w:val="uk-UA"/>
                    </w:rPr>
                    <m:t>0</m:t>
                  </m:r>
                </m:e>
              </m:mr>
              <m:mr>
                <m:e>
                  <m:r>
                    <w:rPr>
                      <w:rFonts w:ascii="Cambria Math" w:hAnsi="Cambria Math" w:cs="Times New Roman"/>
                      <w:sz w:val="28"/>
                      <w:szCs w:val="28"/>
                      <w:lang w:val="uk-UA"/>
                    </w:rPr>
                    <m:t>0,3</m:t>
                  </m:r>
                </m:e>
                <m:e>
                  <m:r>
                    <w:rPr>
                      <w:rFonts w:ascii="Cambria Math" w:hAnsi="Cambria Math" w:cs="Times New Roman"/>
                      <w:sz w:val="28"/>
                      <w:szCs w:val="28"/>
                      <w:lang w:val="uk-UA"/>
                    </w:rPr>
                    <m:t>0,3</m:t>
                  </m:r>
                </m:e>
                <m:e>
                  <m:r>
                    <w:rPr>
                      <w:rFonts w:ascii="Cambria Math" w:hAnsi="Cambria Math" w:cs="Times New Roman"/>
                      <w:sz w:val="28"/>
                      <w:szCs w:val="28"/>
                      <w:lang w:val="uk-UA"/>
                    </w:rPr>
                    <m:t>0,3</m:t>
                  </m:r>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(13)</w:t>
      </w:r>
    </w:p>
    <w:p w14:paraId="1D8D82E3"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2</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0,1</m:t>
                  </m:r>
                </m:e>
                <m:e>
                  <m:r>
                    <w:rPr>
                      <w:rFonts w:ascii="Cambria Math" w:hAnsi="Cambria Math" w:cs="Times New Roman"/>
                      <w:sz w:val="28"/>
                      <w:szCs w:val="28"/>
                      <w:lang w:val="uk-UA"/>
                    </w:rPr>
                    <m:t>0,1</m:t>
                  </m:r>
                </m:e>
                <m:e>
                  <m:r>
                    <w:rPr>
                      <w:rFonts w:ascii="Cambria Math" w:hAnsi="Cambria Math" w:cs="Times New Roman"/>
                      <w:sz w:val="28"/>
                      <w:szCs w:val="28"/>
                      <w:lang w:val="uk-UA"/>
                    </w:rPr>
                    <m:t>0,1</m:t>
                  </m:r>
                </m:e>
              </m:mr>
              <m:mr>
                <m:e>
                  <m:r>
                    <w:rPr>
                      <w:rFonts w:ascii="Cambria Math" w:hAnsi="Cambria Math" w:cs="Times New Roman"/>
                      <w:sz w:val="28"/>
                      <w:szCs w:val="28"/>
                      <w:lang w:val="uk-UA"/>
                    </w:rPr>
                    <m:t>0,1</m:t>
                  </m:r>
                </m:e>
                <m:e>
                  <m:r>
                    <w:rPr>
                      <w:rFonts w:ascii="Cambria Math" w:hAnsi="Cambria Math" w:cs="Times New Roman"/>
                      <w:sz w:val="28"/>
                      <w:szCs w:val="28"/>
                      <w:lang w:val="uk-UA"/>
                    </w:rPr>
                    <m:t>0,1</m:t>
                  </m:r>
                </m:e>
                <m:e>
                  <m:r>
                    <w:rPr>
                      <w:rFonts w:ascii="Cambria Math" w:hAnsi="Cambria Math" w:cs="Times New Roman"/>
                      <w:sz w:val="28"/>
                      <w:szCs w:val="28"/>
                      <w:lang w:val="uk-UA"/>
                    </w:rPr>
                    <m:t>0,1</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e>
                  <m:r>
                    <w:rPr>
                      <w:rFonts w:ascii="Cambria Math" w:hAnsi="Cambria Math" w:cs="Times New Roman"/>
                      <w:sz w:val="28"/>
                      <w:szCs w:val="28"/>
                      <w:lang w:val="uk-UA"/>
                    </w:rPr>
                    <m:t>0,1</m:t>
                  </m:r>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(14)</w:t>
      </w:r>
    </w:p>
    <w:p w14:paraId="58E2F0E4"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3</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0,6</m:t>
                  </m:r>
                </m:e>
                <m:e>
                  <m:r>
                    <w:rPr>
                      <w:rFonts w:ascii="Cambria Math" w:hAnsi="Cambria Math" w:cs="Times New Roman"/>
                      <w:sz w:val="28"/>
                      <w:szCs w:val="28"/>
                      <w:lang w:val="uk-UA"/>
                    </w:rPr>
                    <m:t>0</m:t>
                  </m:r>
                </m:e>
                <m:e>
                  <m:r>
                    <w:rPr>
                      <w:rFonts w:ascii="Cambria Math" w:hAnsi="Cambria Math" w:cs="Times New Roman"/>
                      <w:sz w:val="28"/>
                      <w:szCs w:val="28"/>
                      <w:lang w:val="uk-UA"/>
                    </w:rPr>
                    <m:t>0,6</m:t>
                  </m:r>
                </m:e>
              </m:mr>
              <m:mr>
                <m:e>
                  <m:r>
                    <w:rPr>
                      <w:rFonts w:ascii="Cambria Math" w:hAnsi="Cambria Math" w:cs="Times New Roman"/>
                      <w:sz w:val="28"/>
                      <w:szCs w:val="28"/>
                      <w:lang w:val="uk-UA"/>
                    </w:rPr>
                    <m:t>0,6</m:t>
                  </m:r>
                </m:e>
                <m:e>
                  <m:r>
                    <w:rPr>
                      <w:rFonts w:ascii="Cambria Math" w:hAnsi="Cambria Math" w:cs="Times New Roman"/>
                      <w:sz w:val="28"/>
                      <w:szCs w:val="28"/>
                      <w:lang w:val="uk-UA"/>
                    </w:rPr>
                    <m:t>0,6</m:t>
                  </m:r>
                </m:e>
                <m:e>
                  <m:r>
                    <w:rPr>
                      <w:rFonts w:ascii="Cambria Math" w:hAnsi="Cambria Math" w:cs="Times New Roman"/>
                      <w:sz w:val="28"/>
                      <w:szCs w:val="28"/>
                      <w:lang w:val="uk-UA"/>
                    </w:rPr>
                    <m:t>0,6</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e>
                  <m:r>
                    <w:rPr>
                      <w:rFonts w:ascii="Cambria Math" w:hAnsi="Cambria Math" w:cs="Times New Roman"/>
                      <w:sz w:val="28"/>
                      <w:szCs w:val="28"/>
                      <w:lang w:val="uk-UA"/>
                    </w:rPr>
                    <m:t>0,6</m:t>
                  </m:r>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(15)</w:t>
      </w:r>
    </w:p>
    <w:p w14:paraId="15403E09" w14:textId="77777777" w:rsidR="00C14BDE" w:rsidRPr="005F0419" w:rsidRDefault="00C14BDE" w:rsidP="00C14BDE">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Остаточна згортка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2</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oMath>
      <w:r w:rsidRPr="005F0419">
        <w:rPr>
          <w:rFonts w:ascii="Times New Roman" w:hAnsi="Times New Roman" w:cs="Times New Roman"/>
          <w:sz w:val="28"/>
          <w:szCs w:val="28"/>
          <w:lang w:val="uk-UA"/>
        </w:rPr>
        <w:t>, формується шляхом поелементного підсумовування отриманої матриці функцій належності (16):</w:t>
      </w:r>
    </w:p>
    <w:p w14:paraId="5C98A5A0" w14:textId="77777777" w:rsidR="00C14BDE" w:rsidRPr="005F0419" w:rsidRDefault="007468C1" w:rsidP="00C14BDE">
      <w:pPr>
        <w:spacing w:after="0" w:line="360" w:lineRule="auto"/>
        <w:ind w:firstLine="720"/>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2</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m:t>
                          </m:r>
                        </m:sup>
                      </m:sSup>
                    </m:e>
                    <m:sub>
                      <m:r>
                        <w:rPr>
                          <w:rFonts w:ascii="Cambria Math" w:hAnsi="Cambria Math" w:cs="Times New Roman"/>
                          <w:sz w:val="28"/>
                          <w:szCs w:val="28"/>
                          <w:lang w:val="uk-UA"/>
                        </w:rPr>
                        <m:t>1,1</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m:t>
                          </m:r>
                        </m:sup>
                      </m:sSup>
                    </m:e>
                    <m:sub>
                      <m:r>
                        <w:rPr>
                          <w:rFonts w:ascii="Cambria Math" w:hAnsi="Cambria Math" w:cs="Times New Roman"/>
                          <w:sz w:val="28"/>
                          <w:szCs w:val="28"/>
                          <w:lang w:val="uk-UA"/>
                        </w:rPr>
                        <m:t>1,2</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m:t>
                          </m:r>
                        </m:sup>
                      </m:sSup>
                    </m:e>
                    <m:sub>
                      <m:r>
                        <w:rPr>
                          <w:rFonts w:ascii="Cambria Math" w:hAnsi="Cambria Math" w:cs="Times New Roman"/>
                          <w:sz w:val="28"/>
                          <w:szCs w:val="28"/>
                          <w:lang w:val="uk-UA"/>
                        </w:rPr>
                        <m:t>1,3</m:t>
                      </m:r>
                    </m:sub>
                  </m:sSub>
                </m:e>
              </m:mr>
              <m:mr>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m:t>
                          </m:r>
                        </m:sup>
                      </m:sSup>
                    </m:e>
                    <m:sub>
                      <m:r>
                        <w:rPr>
                          <w:rFonts w:ascii="Cambria Math" w:hAnsi="Cambria Math" w:cs="Times New Roman"/>
                          <w:sz w:val="28"/>
                          <w:szCs w:val="28"/>
                          <w:lang w:val="uk-UA"/>
                        </w:rPr>
                        <m:t>2,1</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m:t>
                          </m:r>
                        </m:sup>
                      </m:sSup>
                    </m:e>
                    <m:sub>
                      <m:r>
                        <w:rPr>
                          <w:rFonts w:ascii="Cambria Math" w:hAnsi="Cambria Math" w:cs="Times New Roman"/>
                          <w:sz w:val="28"/>
                          <w:szCs w:val="28"/>
                          <w:lang w:val="uk-UA"/>
                        </w:rPr>
                        <m:t>2,2</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m:t>
                          </m:r>
                        </m:sup>
                      </m:sSup>
                    </m:e>
                    <m:sub>
                      <m:r>
                        <w:rPr>
                          <w:rFonts w:ascii="Cambria Math" w:hAnsi="Cambria Math" w:cs="Times New Roman"/>
                          <w:sz w:val="28"/>
                          <w:szCs w:val="28"/>
                          <w:lang w:val="uk-UA"/>
                        </w:rPr>
                        <m:t>2,3</m:t>
                      </m:r>
                    </m:sub>
                  </m:sSub>
                </m:e>
              </m:mr>
              <m:mr>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m:t>
                          </m:r>
                        </m:sup>
                      </m:sSup>
                    </m:e>
                    <m:sub>
                      <m:r>
                        <w:rPr>
                          <w:rFonts w:ascii="Cambria Math" w:hAnsi="Cambria Math" w:cs="Times New Roman"/>
                          <w:sz w:val="28"/>
                          <w:szCs w:val="28"/>
                          <w:lang w:val="uk-UA"/>
                        </w:rPr>
                        <m:t>3,1</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m:t>
                          </m:r>
                        </m:sup>
                      </m:sSup>
                    </m:e>
                    <m:sub>
                      <m:r>
                        <w:rPr>
                          <w:rFonts w:ascii="Cambria Math" w:hAnsi="Cambria Math" w:cs="Times New Roman"/>
                          <w:sz w:val="28"/>
                          <w:szCs w:val="28"/>
                          <w:lang w:val="uk-UA"/>
                        </w:rPr>
                        <m:t>3,2</m:t>
                      </m:r>
                    </m:sub>
                  </m:sSub>
                </m:e>
                <m:e>
                  <m:sSub>
                    <m:sSubPr>
                      <m:ctrlPr>
                        <w:rPr>
                          <w:rFonts w:ascii="Cambria Math" w:hAnsi="Cambria Math" w:cs="Times New Roman"/>
                          <w:i/>
                          <w:sz w:val="28"/>
                          <w:szCs w:val="28"/>
                          <w:lang w:val="uk-UA"/>
                        </w:rPr>
                      </m:ctrlPr>
                    </m:sSub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a</m:t>
                          </m:r>
                        </m:e>
                        <m:sup>
                          <m:r>
                            <w:rPr>
                              <w:rFonts w:ascii="Cambria Math" w:hAnsi="Cambria Math" w:cs="Times New Roman"/>
                              <w:sz w:val="28"/>
                              <w:szCs w:val="28"/>
                              <w:lang w:val="uk-UA"/>
                            </w:rPr>
                            <m:t>''</m:t>
                          </m:r>
                        </m:sup>
                      </m:sSup>
                    </m:e>
                    <m:sub>
                      <m:r>
                        <w:rPr>
                          <w:rFonts w:ascii="Cambria Math" w:hAnsi="Cambria Math" w:cs="Times New Roman"/>
                          <w:sz w:val="28"/>
                          <w:szCs w:val="28"/>
                          <w:lang w:val="uk-UA"/>
                        </w:rPr>
                        <m:t>3,3</m:t>
                      </m:r>
                    </m:sub>
                  </m:sSub>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(16)</w:t>
      </w:r>
      <w:r w:rsidR="00C14BDE" w:rsidRPr="005F0419">
        <w:rPr>
          <w:rFonts w:ascii="Times New Roman" w:hAnsi="Times New Roman" w:cs="Times New Roman"/>
          <w:sz w:val="28"/>
          <w:szCs w:val="28"/>
          <w:lang w:val="uk-UA"/>
        </w:rPr>
        <w:tab/>
      </w:r>
    </w:p>
    <w:p w14:paraId="6716DA77"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2</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0,1</m:t>
                  </m:r>
                </m:e>
                <m:e>
                  <m:r>
                    <w:rPr>
                      <w:rFonts w:ascii="Cambria Math" w:hAnsi="Cambria Math" w:cs="Times New Roman"/>
                      <w:sz w:val="28"/>
                      <w:szCs w:val="28"/>
                      <w:lang w:val="uk-UA"/>
                    </w:rPr>
                    <m:t>0,7</m:t>
                  </m:r>
                </m:e>
              </m:m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0,7</m:t>
                  </m:r>
                </m:e>
              </m:mr>
              <m:mr>
                <m:e>
                  <m:r>
                    <w:rPr>
                      <w:rFonts w:ascii="Cambria Math" w:hAnsi="Cambria Math" w:cs="Times New Roman"/>
                      <w:sz w:val="28"/>
                      <w:szCs w:val="28"/>
                      <w:lang w:val="uk-UA"/>
                    </w:rPr>
                    <m:t>0,3</m:t>
                  </m:r>
                </m:e>
                <m:e>
                  <m:r>
                    <w:rPr>
                      <w:rFonts w:ascii="Cambria Math" w:hAnsi="Cambria Math" w:cs="Times New Roman"/>
                      <w:sz w:val="28"/>
                      <w:szCs w:val="28"/>
                      <w:lang w:val="uk-UA"/>
                    </w:rPr>
                    <m:t>0,3</m:t>
                  </m:r>
                </m:e>
                <m:e>
                  <m:r>
                    <w:rPr>
                      <w:rFonts w:ascii="Cambria Math" w:hAnsi="Cambria Math" w:cs="Times New Roman"/>
                      <w:sz w:val="28"/>
                      <w:szCs w:val="28"/>
                      <w:lang w:val="uk-UA"/>
                    </w:rPr>
                    <m:t>1</m:t>
                  </m:r>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(17)</w:t>
      </w:r>
      <w:r w:rsidR="00C14BDE" w:rsidRPr="005F0419">
        <w:rPr>
          <w:rFonts w:ascii="Times New Roman" w:hAnsi="Times New Roman" w:cs="Times New Roman"/>
          <w:sz w:val="28"/>
          <w:szCs w:val="28"/>
          <w:lang w:val="uk-UA"/>
        </w:rPr>
        <w:tab/>
      </w:r>
    </w:p>
    <w:p w14:paraId="72C80448"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Як і в першій згортці, коефіцієнти матриці (17) використовуються для визначення ступеня домінування альтернативи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oMath>
      <w:r w:rsidRPr="005F0419">
        <w:rPr>
          <w:rFonts w:ascii="Times New Roman" w:hAnsi="Times New Roman" w:cs="Times New Roman"/>
          <w:sz w:val="28"/>
          <w:szCs w:val="28"/>
          <w:lang w:val="uk-UA"/>
        </w:rPr>
        <w:t xml:space="preserve"> над альтернативою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oMath>
      <w:r w:rsidRPr="005F0419">
        <w:rPr>
          <w:rFonts w:ascii="Times New Roman" w:hAnsi="Times New Roman" w:cs="Times New Roman"/>
          <w:sz w:val="28"/>
          <w:szCs w:val="28"/>
          <w:lang w:val="uk-UA"/>
        </w:rPr>
        <w:t xml:space="preserve"> (матриця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Sup>
              <m:sSubSupPr>
                <m:ctrlPr>
                  <w:rPr>
                    <w:rFonts w:ascii="Cambria Math" w:hAnsi="Cambria Math" w:cs="Times New Roman"/>
                    <w:sz w:val="28"/>
                    <w:szCs w:val="28"/>
                    <w:lang w:val="uk-UA"/>
                  </w:rPr>
                </m:ctrlPr>
              </m:sSubSupPr>
              <m:e>
                <m:r>
                  <m:rPr>
                    <m:sty m:val="p"/>
                  </m:rPr>
                  <w:rPr>
                    <w:rFonts w:ascii="Cambria Math" w:hAnsi="Cambria Math" w:cs="Times New Roman"/>
                    <w:sz w:val="28"/>
                    <w:szCs w:val="28"/>
                    <w:lang w:val="uk-UA"/>
                  </w:rPr>
                  <m:t>Q</m:t>
                </m:r>
              </m:e>
              <m:sub>
                <m:r>
                  <m:rPr>
                    <m:sty m:val="p"/>
                  </m:rPr>
                  <w:rPr>
                    <w:rFonts w:ascii="Cambria Math" w:hAnsi="Cambria Math" w:cs="Times New Roman"/>
                    <w:sz w:val="28"/>
                    <w:szCs w:val="28"/>
                    <w:lang w:val="uk-UA"/>
                  </w:rPr>
                  <m:t>2</m:t>
                </m:r>
              </m:sub>
              <m:sup>
                <m:r>
                  <m:rPr>
                    <m:sty m:val="p"/>
                  </m:rPr>
                  <w:rPr>
                    <w:rFonts w:ascii="Cambria Math" w:hAnsi="Cambria Math" w:cs="Times New Roman"/>
                    <w:sz w:val="28"/>
                    <w:szCs w:val="28"/>
                    <w:lang w:val="uk-UA"/>
                  </w:rPr>
                  <m:t>S</m:t>
                </m:r>
              </m:sup>
            </m:sSub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oMath>
      <w:r w:rsidRPr="005F0419">
        <w:rPr>
          <w:rFonts w:ascii="Times New Roman" w:hAnsi="Times New Roman" w:cs="Times New Roman"/>
          <w:sz w:val="28"/>
          <w:szCs w:val="28"/>
          <w:lang w:val="uk-UA"/>
        </w:rPr>
        <w:t xml:space="preserve">) та ступеня, в якому альтернатива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r>
          <w:rPr>
            <w:rFonts w:ascii="Cambria Math" w:hAnsi="Cambria Math" w:cs="Times New Roman"/>
            <w:sz w:val="28"/>
            <w:szCs w:val="28"/>
            <w:lang w:val="uk-UA"/>
          </w:rPr>
          <m:t xml:space="preserve"> </m:t>
        </m:r>
      </m:oMath>
      <w:r w:rsidRPr="005F0419">
        <w:rPr>
          <w:rFonts w:ascii="Times New Roman" w:hAnsi="Times New Roman" w:cs="Times New Roman"/>
          <w:sz w:val="28"/>
          <w:szCs w:val="28"/>
          <w:lang w:val="uk-UA"/>
        </w:rPr>
        <w:t xml:space="preserve">не домінує над іншою альтернативою (вектор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Sup>
              <m:sSubSupPr>
                <m:ctrlPr>
                  <w:rPr>
                    <w:rFonts w:ascii="Cambria Math" w:hAnsi="Cambria Math" w:cs="Times New Roman"/>
                    <w:sz w:val="28"/>
                    <w:szCs w:val="28"/>
                    <w:lang w:val="uk-UA"/>
                  </w:rPr>
                </m:ctrlPr>
              </m:sSubSupPr>
              <m:e>
                <m:r>
                  <m:rPr>
                    <m:sty m:val="p"/>
                  </m:rPr>
                  <w:rPr>
                    <w:rFonts w:ascii="Cambria Math" w:hAnsi="Cambria Math" w:cs="Times New Roman"/>
                    <w:sz w:val="28"/>
                    <w:szCs w:val="28"/>
                    <w:lang w:val="uk-UA"/>
                  </w:rPr>
                  <m:t>Q</m:t>
                </m:r>
              </m:e>
              <m:sub>
                <m:r>
                  <m:rPr>
                    <m:sty m:val="p"/>
                  </m:rPr>
                  <w:rPr>
                    <w:rFonts w:ascii="Cambria Math" w:hAnsi="Cambria Math" w:cs="Times New Roman"/>
                    <w:sz w:val="28"/>
                    <w:szCs w:val="28"/>
                    <w:lang w:val="uk-UA"/>
                  </w:rPr>
                  <m:t>2</m:t>
                </m:r>
              </m:sub>
              <m:sup>
                <m:r>
                  <m:rPr>
                    <m:sty m:val="p"/>
                  </m:rPr>
                  <w:rPr>
                    <w:rFonts w:ascii="Cambria Math" w:hAnsi="Cambria Math" w:cs="Times New Roman"/>
                    <w:sz w:val="28"/>
                    <w:szCs w:val="28"/>
                    <w:lang w:val="uk-UA"/>
                  </w:rPr>
                  <m:t>нд</m:t>
                </m:r>
              </m:sup>
            </m:sSub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oMath>
      <w:r w:rsidRPr="005F0419">
        <w:rPr>
          <w:rFonts w:ascii="Times New Roman" w:hAnsi="Times New Roman" w:cs="Times New Roman"/>
          <w:sz w:val="28"/>
          <w:szCs w:val="28"/>
          <w:lang w:val="uk-UA"/>
        </w:rPr>
        <w:t>):</w:t>
      </w:r>
    </w:p>
    <w:p w14:paraId="7E59446D"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sSubSup>
              <m:sSubSupPr>
                <m:ctrlPr>
                  <w:rPr>
                    <w:rFonts w:ascii="Cambria Math" w:hAnsi="Cambria Math" w:cs="Times New Roman"/>
                    <w:sz w:val="28"/>
                    <w:szCs w:val="28"/>
                    <w:lang w:val="uk-UA"/>
                  </w:rPr>
                </m:ctrlPr>
              </m:sSubSupPr>
              <m:e>
                <m:r>
                  <m:rPr>
                    <m:sty m:val="p"/>
                  </m:rPr>
                  <w:rPr>
                    <w:rFonts w:ascii="Cambria Math" w:hAnsi="Cambria Math" w:cs="Times New Roman"/>
                    <w:sz w:val="28"/>
                    <w:szCs w:val="28"/>
                    <w:lang w:val="uk-UA"/>
                  </w:rPr>
                  <m:t>Q</m:t>
                </m:r>
              </m:e>
              <m:sub>
                <m:r>
                  <m:rPr>
                    <m:sty m:val="p"/>
                  </m:rPr>
                  <w:rPr>
                    <w:rFonts w:ascii="Cambria Math" w:hAnsi="Cambria Math" w:cs="Times New Roman"/>
                    <w:sz w:val="28"/>
                    <w:szCs w:val="28"/>
                    <w:lang w:val="uk-UA"/>
                  </w:rPr>
                  <m:t>2</m:t>
                </m:r>
              </m:sub>
              <m:sup>
                <m:r>
                  <m:rPr>
                    <m:sty m:val="p"/>
                  </m:rPr>
                  <w:rPr>
                    <w:rFonts w:ascii="Cambria Math" w:hAnsi="Cambria Math" w:cs="Times New Roman"/>
                    <w:sz w:val="28"/>
                    <w:szCs w:val="28"/>
                    <w:lang w:val="uk-UA"/>
                  </w:rPr>
                  <m:t>S</m:t>
                </m:r>
              </m:sup>
            </m:sSubSup>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i</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j</m:t>
                </m:r>
              </m:sub>
            </m:sSub>
          </m:e>
        </m:d>
        <m:r>
          <w:rPr>
            <w:rFonts w:ascii="Cambria Math" w:hAnsi="Cambria Math" w:cs="Times New Roman"/>
            <w:sz w:val="28"/>
            <w:szCs w:val="28"/>
            <w:lang w:val="uk-UA"/>
          </w:rPr>
          <m:t xml:space="preserve">= </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r>
                    <w:rPr>
                      <w:rFonts w:ascii="Cambria Math" w:hAnsi="Cambria Math" w:cs="Times New Roman"/>
                      <w:sz w:val="28"/>
                      <w:szCs w:val="28"/>
                      <w:lang w:val="uk-UA"/>
                    </w:rPr>
                    <m:t>0</m:t>
                  </m:r>
                </m:e>
                <m:e>
                  <m:r>
                    <w:rPr>
                      <w:rFonts w:ascii="Cambria Math" w:hAnsi="Cambria Math" w:cs="Times New Roman"/>
                      <w:sz w:val="28"/>
                      <w:szCs w:val="28"/>
                      <w:lang w:val="uk-UA"/>
                    </w:rPr>
                    <m:t>0,4</m:t>
                  </m:r>
                </m:e>
              </m:mr>
              <m:mr>
                <m:e>
                  <m:r>
                    <w:rPr>
                      <w:rFonts w:ascii="Cambria Math" w:hAnsi="Cambria Math" w:cs="Times New Roman"/>
                      <w:sz w:val="28"/>
                      <w:szCs w:val="28"/>
                      <w:lang w:val="uk-UA"/>
                    </w:rPr>
                    <m:t>0,9</m:t>
                  </m:r>
                </m:e>
                <m:e>
                  <m:r>
                    <w:rPr>
                      <w:rFonts w:ascii="Cambria Math" w:hAnsi="Cambria Math" w:cs="Times New Roman"/>
                      <w:sz w:val="28"/>
                      <w:szCs w:val="28"/>
                      <w:lang w:val="uk-UA"/>
                    </w:rPr>
                    <m:t>0</m:t>
                  </m:r>
                </m:e>
                <m:e>
                  <m:r>
                    <w:rPr>
                      <w:rFonts w:ascii="Cambria Math" w:hAnsi="Cambria Math" w:cs="Times New Roman"/>
                      <w:sz w:val="28"/>
                      <w:szCs w:val="28"/>
                      <w:lang w:val="uk-UA"/>
                    </w:rPr>
                    <m:t>0,4</m:t>
                  </m:r>
                </m:e>
              </m:mr>
              <m:mr>
                <m:e>
                  <m:r>
                    <w:rPr>
                      <w:rFonts w:ascii="Cambria Math" w:hAnsi="Cambria Math" w:cs="Times New Roman"/>
                      <w:sz w:val="28"/>
                      <w:szCs w:val="28"/>
                      <w:lang w:val="uk-UA"/>
                    </w:rPr>
                    <m:t>0</m:t>
                  </m:r>
                </m:e>
                <m:e>
                  <m:r>
                    <w:rPr>
                      <w:rFonts w:ascii="Cambria Math" w:hAnsi="Cambria Math" w:cs="Times New Roman"/>
                      <w:sz w:val="28"/>
                      <w:szCs w:val="28"/>
                      <w:lang w:val="uk-UA"/>
                    </w:rPr>
                    <m:t>0</m:t>
                  </m:r>
                </m:e>
                <m:e>
                  <m:r>
                    <w:rPr>
                      <w:rFonts w:ascii="Cambria Math" w:hAnsi="Cambria Math" w:cs="Times New Roman"/>
                      <w:sz w:val="28"/>
                      <w:szCs w:val="28"/>
                      <w:lang w:val="uk-UA"/>
                    </w:rPr>
                    <m:t>0</m:t>
                  </m:r>
                </m:e>
              </m:mr>
            </m:m>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r>
      <w:r w:rsidR="00C14BDE" w:rsidRPr="005F0419">
        <w:rPr>
          <w:rFonts w:ascii="Times New Roman" w:hAnsi="Times New Roman" w:cs="Times New Roman"/>
          <w:sz w:val="28"/>
          <w:szCs w:val="28"/>
          <w:lang w:val="uk-UA"/>
        </w:rPr>
        <w:tab/>
        <w:t xml:space="preserve">      (18)</w:t>
      </w:r>
      <w:r w:rsidR="00C14BDE" w:rsidRPr="005F0419">
        <w:rPr>
          <w:rFonts w:ascii="Times New Roman" w:hAnsi="Times New Roman" w:cs="Times New Roman"/>
          <w:sz w:val="28"/>
          <w:szCs w:val="28"/>
          <w:lang w:val="uk-UA"/>
        </w:rPr>
        <w:tab/>
      </w:r>
    </w:p>
    <w:p w14:paraId="41A2F69E"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β</m:t>
            </m:r>
          </m:e>
          <m:sub>
            <m:sSubSup>
              <m:sSubSupPr>
                <m:ctrlPr>
                  <w:rPr>
                    <w:rFonts w:ascii="Cambria Math" w:hAnsi="Cambria Math" w:cs="Times New Roman"/>
                    <w:sz w:val="28"/>
                    <w:szCs w:val="28"/>
                    <w:lang w:val="uk-UA"/>
                  </w:rPr>
                </m:ctrlPr>
              </m:sSubSupPr>
              <m:e>
                <m:r>
                  <m:rPr>
                    <m:sty m:val="p"/>
                  </m:rPr>
                  <w:rPr>
                    <w:rFonts w:ascii="Cambria Math" w:hAnsi="Cambria Math" w:cs="Times New Roman"/>
                    <w:sz w:val="28"/>
                    <w:szCs w:val="28"/>
                    <w:lang w:val="uk-UA"/>
                  </w:rPr>
                  <m:t>Q</m:t>
                </m:r>
              </m:e>
              <m:sub>
                <m:r>
                  <m:rPr>
                    <m:sty m:val="p"/>
                  </m:rPr>
                  <w:rPr>
                    <w:rFonts w:ascii="Cambria Math" w:hAnsi="Cambria Math" w:cs="Times New Roman"/>
                    <w:sz w:val="28"/>
                    <w:szCs w:val="28"/>
                    <w:lang w:val="uk-UA"/>
                  </w:rPr>
                  <m:t>2</m:t>
                </m:r>
              </m:sub>
              <m:sup>
                <m:r>
                  <m:rPr>
                    <m:sty m:val="p"/>
                  </m:rPr>
                  <w:rPr>
                    <w:rFonts w:ascii="Cambria Math" w:hAnsi="Cambria Math" w:cs="Times New Roman"/>
                    <w:sz w:val="28"/>
                    <w:szCs w:val="28"/>
                    <w:lang w:val="uk-UA"/>
                  </w:rPr>
                  <m:t>нд</m:t>
                </m:r>
              </m:sup>
            </m:sSubSup>
          </m:sub>
        </m:sSub>
        <m:d>
          <m:dPr>
            <m:ctrlPr>
              <w:rPr>
                <w:rFonts w:ascii="Cambria Math" w:hAnsi="Cambria Math" w:cs="Times New Roman"/>
                <w:sz w:val="28"/>
                <w:szCs w:val="28"/>
                <w:lang w:val="uk-UA"/>
              </w:rPr>
            </m:ctrlPr>
          </m:dPr>
          <m:e>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a</m:t>
                </m:r>
              </m:e>
              <m:sub>
                <m:r>
                  <m:rPr>
                    <m:sty m:val="p"/>
                  </m:rPr>
                  <w:rPr>
                    <w:rFonts w:ascii="Cambria Math" w:hAnsi="Cambria Math" w:cs="Times New Roman"/>
                    <w:sz w:val="28"/>
                    <w:szCs w:val="28"/>
                    <w:lang w:val="uk-UA"/>
                  </w:rPr>
                  <m:t>i</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a</m:t>
                </m:r>
              </m:e>
              <m:sub>
                <m:r>
                  <m:rPr>
                    <m:sty m:val="p"/>
                  </m:rPr>
                  <w:rPr>
                    <w:rFonts w:ascii="Cambria Math" w:hAnsi="Cambria Math" w:cs="Times New Roman"/>
                    <w:sz w:val="28"/>
                    <w:szCs w:val="28"/>
                    <w:lang w:val="uk-UA"/>
                  </w:rPr>
                  <m:t>j</m:t>
                </m:r>
              </m:sub>
            </m:sSub>
          </m:e>
        </m:d>
        <m:r>
          <m:rPr>
            <m:sty m:val="p"/>
          </m:rPr>
          <w:rPr>
            <w:rFonts w:ascii="Cambria Math" w:hAnsi="Cambria Math" w:cs="Times New Roman"/>
            <w:sz w:val="28"/>
            <w:szCs w:val="28"/>
            <w:lang w:val="uk-UA"/>
          </w:rPr>
          <m:t xml:space="preserve">= </m:t>
        </m:r>
        <m:d>
          <m:dPr>
            <m:begChr m:val="["/>
            <m:endChr m:val="]"/>
            <m:ctrlPr>
              <w:rPr>
                <w:rFonts w:ascii="Cambria Math" w:hAnsi="Cambria Math" w:cs="Times New Roman"/>
                <w:sz w:val="28"/>
                <w:szCs w:val="28"/>
                <w:lang w:val="uk-UA"/>
              </w:rPr>
            </m:ctrlPr>
          </m:dPr>
          <m:e>
            <m:r>
              <m:rPr>
                <m:sty m:val="p"/>
              </m:rPr>
              <w:rPr>
                <w:rFonts w:ascii="Cambria Math" w:hAnsi="Cambria Math" w:cs="Times New Roman"/>
                <w:sz w:val="28"/>
                <w:szCs w:val="28"/>
                <w:lang w:val="uk-UA"/>
              </w:rPr>
              <m:t>0,1 1 0,6</m:t>
            </m:r>
          </m:e>
        </m:d>
      </m:oMath>
      <w:r w:rsidR="00C14BDE" w:rsidRPr="005F0419">
        <w:rPr>
          <w:rFonts w:ascii="Times New Roman" w:hAnsi="Times New Roman" w:cs="Times New Roman"/>
          <w:sz w:val="28"/>
          <w:szCs w:val="28"/>
          <w:lang w:val="uk-UA"/>
        </w:rPr>
        <w:t xml:space="preserve"> </w:t>
      </w:r>
      <w:r w:rsidR="00C14BDE" w:rsidRPr="005F0419">
        <w:rPr>
          <w:rFonts w:ascii="Times New Roman" w:hAnsi="Times New Roman" w:cs="Times New Roman"/>
          <w:sz w:val="28"/>
          <w:szCs w:val="28"/>
          <w:lang w:val="uk-UA"/>
        </w:rPr>
        <w:tab/>
        <w:t xml:space="preserve">         (19)</w:t>
      </w:r>
    </w:p>
    <w:p w14:paraId="23DBF054"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Отримані згортки (12) і (18) потім аналізуються шляхом визначення максимальної оцінки: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Q</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0</m:t>
                </m:r>
              </m:sub>
            </m:sSub>
          </m:e>
        </m:d>
        <m:r>
          <w:rPr>
            <w:rFonts w:ascii="Cambria Math" w:hAnsi="Cambria Math" w:cs="Times New Roman"/>
            <w:sz w:val="28"/>
            <w:szCs w:val="28"/>
            <w:lang w:val="uk-UA"/>
          </w:rPr>
          <m:t>=max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Q</m:t>
            </m:r>
          </m:sub>
        </m:sSub>
        <m:r>
          <w:rPr>
            <w:rFonts w:ascii="Cambria Math" w:hAnsi="Cambria Math" w:cs="Times New Roman"/>
            <w:sz w:val="28"/>
            <w:szCs w:val="28"/>
            <w:lang w:val="uk-UA"/>
          </w:rPr>
          <m:t>нд (a)</m:t>
        </m:r>
      </m:oMath>
      <w:r w:rsidRPr="005F0419">
        <w:rPr>
          <w:rFonts w:ascii="Times New Roman" w:hAnsi="Times New Roman" w:cs="Times New Roman"/>
          <w:sz w:val="28"/>
          <w:szCs w:val="28"/>
          <w:lang w:val="uk-UA"/>
        </w:rPr>
        <w:t xml:space="preserve">. При цьому альтернативи, які в згортці (12) отримали «0» не враховуються: </w:t>
      </w:r>
    </w:p>
    <w:p w14:paraId="479F93B1" w14:textId="77777777" w:rsidR="00C14BDE" w:rsidRPr="005F0419" w:rsidRDefault="007468C1" w:rsidP="00C14BDE">
      <w:pPr>
        <w:spacing w:after="0" w:line="360" w:lineRule="auto"/>
        <w:ind w:firstLine="720"/>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Q</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0</m:t>
                </m:r>
              </m:sub>
            </m:sSub>
          </m:e>
        </m:d>
        <m:r>
          <w:rPr>
            <w:rFonts w:ascii="Cambria Math" w:hAnsi="Cambria Math" w:cs="Times New Roman"/>
            <w:sz w:val="28"/>
            <w:szCs w:val="28"/>
            <w:lang w:val="uk-UA"/>
          </w:rPr>
          <m:t>=max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Q</m:t>
            </m:r>
          </m:sub>
        </m:sSub>
        <m:r>
          <w:rPr>
            <w:rFonts w:ascii="Cambria Math" w:hAnsi="Cambria Math" w:cs="Times New Roman"/>
            <w:sz w:val="28"/>
            <w:szCs w:val="28"/>
            <w:lang w:val="uk-UA"/>
          </w:rPr>
          <m:t>нд (a)</m:t>
        </m:r>
      </m:oMath>
      <w:r w:rsidR="00C14BDE" w:rsidRPr="005F0419">
        <w:rPr>
          <w:rFonts w:ascii="Times New Roman" w:hAnsi="Times New Roman" w:cs="Times New Roman"/>
          <w:sz w:val="28"/>
          <w:szCs w:val="28"/>
          <w:lang w:val="uk-UA"/>
        </w:rPr>
        <w:t xml:space="preserve"> 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Q</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0</m:t>
                </m:r>
              </m:sub>
            </m:sSub>
          </m:e>
        </m:d>
        <m:r>
          <w:rPr>
            <w:rFonts w:ascii="Cambria Math" w:hAnsi="Cambria Math" w:cs="Times New Roman"/>
            <w:sz w:val="28"/>
            <w:szCs w:val="28"/>
            <w:lang w:val="uk-UA"/>
          </w:rPr>
          <m:t>=max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Q</m:t>
            </m:r>
          </m:sub>
        </m:sSub>
        <m:r>
          <w:rPr>
            <w:rFonts w:ascii="Cambria Math" w:hAnsi="Cambria Math" w:cs="Times New Roman"/>
            <w:sz w:val="28"/>
            <w:szCs w:val="28"/>
            <w:lang w:val="uk-UA"/>
          </w:rPr>
          <m:t>нд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2</m:t>
            </m:r>
          </m:sub>
        </m:sSub>
        <m:r>
          <w:rPr>
            <w:rFonts w:ascii="Cambria Math" w:hAnsi="Cambria Math" w:cs="Times New Roman"/>
            <w:sz w:val="28"/>
            <w:szCs w:val="28"/>
            <w:lang w:val="uk-UA"/>
          </w:rPr>
          <m:t>)</m:t>
        </m:r>
      </m:oMath>
      <w:r w:rsidR="00C14BDE" w:rsidRPr="005F0419">
        <w:rPr>
          <w:rFonts w:ascii="Times New Roman" w:hAnsi="Times New Roman" w:cs="Times New Roman"/>
          <w:sz w:val="28"/>
          <w:szCs w:val="28"/>
          <w:lang w:val="uk-UA"/>
        </w:rPr>
        <w:t xml:space="preserve">    (20)</w:t>
      </w:r>
      <w:r w:rsidR="00C14BDE" w:rsidRPr="005F0419">
        <w:rPr>
          <w:rFonts w:ascii="Times New Roman" w:hAnsi="Times New Roman" w:cs="Times New Roman"/>
          <w:sz w:val="28"/>
          <w:szCs w:val="28"/>
          <w:lang w:val="uk-UA"/>
        </w:rPr>
        <w:tab/>
      </w:r>
    </w:p>
    <w:p w14:paraId="4FF1CA9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У рівнянні (19) змінна </w:t>
      </w:r>
      <m:oMath>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a</m:t>
            </m:r>
          </m:e>
          <m:sub>
            <m:r>
              <m:rPr>
                <m:sty m:val="p"/>
              </m:rPr>
              <w:rPr>
                <w:rFonts w:ascii="Cambria Math" w:hAnsi="Cambria Math" w:cs="Times New Roman"/>
                <w:sz w:val="28"/>
                <w:szCs w:val="28"/>
                <w:lang w:val="uk-UA"/>
              </w:rPr>
              <m:t>2</m:t>
            </m:r>
          </m:sub>
        </m:sSub>
      </m:oMath>
      <w:r w:rsidRPr="005F0419">
        <w:rPr>
          <w:rFonts w:ascii="Times New Roman" w:hAnsi="Times New Roman" w:cs="Times New Roman"/>
          <w:sz w:val="28"/>
          <w:szCs w:val="28"/>
          <w:lang w:val="uk-UA"/>
        </w:rPr>
        <w:t xml:space="preserve"> визначається як найкраща альтернатива. Це пов'я</w:t>
      </w:r>
      <w:proofErr w:type="spellStart"/>
      <w:r w:rsidRPr="005F0419">
        <w:rPr>
          <w:rFonts w:ascii="Times New Roman" w:hAnsi="Times New Roman" w:cs="Times New Roman"/>
          <w:sz w:val="28"/>
          <w:szCs w:val="28"/>
          <w:lang w:val="uk-UA"/>
        </w:rPr>
        <w:t>зано</w:t>
      </w:r>
      <w:proofErr w:type="spellEnd"/>
      <w:r w:rsidRPr="005F0419">
        <w:rPr>
          <w:rFonts w:ascii="Times New Roman" w:hAnsi="Times New Roman" w:cs="Times New Roman"/>
          <w:sz w:val="28"/>
          <w:szCs w:val="28"/>
          <w:lang w:val="uk-UA"/>
        </w:rPr>
        <w:t xml:space="preserve"> з тим, що ця змінна відповідає максимальному значенню «1» при згортці обох рівнянь (12) і (18). Оскільки ця змінна представляє вітрові генератори, її можна вважати найкращою альтернативою серед альтернативних джерел енергії, представлених за даних умов. Метод може бути легко поширений на широкий спектр альтернатив та критеріїв шляхом збільшення розміру та кількості матриць. Проста програмна реалізація зберігає гнучкість і дозволяє швидко обробляти дані.</w:t>
      </w:r>
    </w:p>
    <w:p w14:paraId="09F5BBCE"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Наприклад, кількість простих операцій (додавання, віднімання, мінімум) у цьому прикладі з трьома альтернативами і критеріями становить близько 150, тоді як кількість операцій з чотирма альтернативами і шістьма критеріями становить 400. Для малопотужного комп'ютера з робочою частотою 2 ГГц і п'ятьма циклами на операцію час виконання можна розрахувати за формулою:</w:t>
      </w:r>
    </w:p>
    <w:p w14:paraId="3332831C" w14:textId="77777777" w:rsidR="00C14BDE" w:rsidRPr="005F0419" w:rsidRDefault="00C14BDE" w:rsidP="00C14BDE">
      <w:pPr>
        <w:spacing w:after="0" w:line="360" w:lineRule="auto"/>
        <w:ind w:firstLine="720"/>
        <w:jc w:val="center"/>
        <w:rPr>
          <w:rFonts w:ascii="Times New Roman" w:hAnsi="Times New Roman" w:cs="Times New Roman"/>
          <w:i/>
          <w:sz w:val="28"/>
          <w:szCs w:val="28"/>
          <w:lang w:val="uk-UA"/>
        </w:rPr>
      </w:pPr>
      <m:oMathPara>
        <m:oMath>
          <m:r>
            <m:rPr>
              <m:sty m:val="p"/>
            </m:rPr>
            <w:rPr>
              <w:rFonts w:ascii="Cambria Math" w:hAnsi="Cambria Math" w:cs="Times New Roman"/>
              <w:sz w:val="28"/>
              <w:szCs w:val="28"/>
              <w:lang w:val="uk-UA"/>
            </w:rPr>
            <m:t xml:space="preserve">t= </m:t>
          </m:r>
          <m:f>
            <m:fPr>
              <m:ctrlPr>
                <w:rPr>
                  <w:rFonts w:ascii="Cambria Math" w:hAnsi="Cambria Math" w:cs="Times New Roman"/>
                  <w:sz w:val="28"/>
                  <w:szCs w:val="28"/>
                  <w:lang w:val="uk-UA"/>
                </w:rPr>
              </m:ctrlPr>
            </m:fPr>
            <m:num>
              <m:r>
                <w:rPr>
                  <w:rFonts w:ascii="Cambria Math" w:hAnsi="Cambria Math" w:cs="Times New Roman"/>
                  <w:sz w:val="28"/>
                  <w:szCs w:val="28"/>
                  <w:lang w:val="uk-UA"/>
                </w:rPr>
                <m:t>N</m:t>
              </m:r>
            </m:num>
            <m:den>
              <m:r>
                <w:rPr>
                  <w:rFonts w:ascii="Cambria Math" w:hAnsi="Cambria Math" w:cs="Times New Roman"/>
                  <w:sz w:val="28"/>
                  <w:szCs w:val="28"/>
                  <w:lang w:val="uk-UA"/>
                </w:rPr>
                <m:t>f</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2000</m:t>
              </m:r>
            </m:num>
            <m:den>
              <m:r>
                <w:rPr>
                  <w:rFonts w:ascii="Cambria Math" w:hAnsi="Cambria Math" w:cs="Times New Roman"/>
                  <w:sz w:val="28"/>
                  <w:szCs w:val="28"/>
                  <w:lang w:val="uk-UA"/>
                </w:rPr>
                <m:t>2*</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9</m:t>
                  </m:r>
                </m:sup>
              </m:sSup>
            </m:den>
          </m:f>
          <m:r>
            <w:rPr>
              <w:rFonts w:ascii="Cambria Math" w:hAnsi="Cambria Math" w:cs="Times New Roman"/>
              <w:sz w:val="28"/>
              <w:szCs w:val="28"/>
              <w:lang w:val="uk-UA"/>
            </w:rPr>
            <m:t>=1мкс</m:t>
          </m:r>
        </m:oMath>
      </m:oMathPara>
    </w:p>
    <w:p w14:paraId="33DCA8A2"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Аналіз енергетичних характеристик кожного джерела генерації базується на вимірюванні параметрів, які характеризують погодні умови і визначають фактичну кількість виробленої електроенергії. Економічний аспект впливає не тільки на фактично вироблену енергію, але й на витрати, які варіюються від джерела до джерела (наприклад, якщо погода трохи краща для сонячних панелей, </w:t>
      </w:r>
      <w:r w:rsidRPr="005F0419">
        <w:rPr>
          <w:rFonts w:ascii="Times New Roman" w:hAnsi="Times New Roman" w:cs="Times New Roman"/>
          <w:sz w:val="28"/>
          <w:szCs w:val="28"/>
          <w:lang w:val="uk-UA"/>
        </w:rPr>
        <w:lastRenderedPageBreak/>
        <w:t xml:space="preserve">можна вибрати </w:t>
      </w:r>
      <w:proofErr w:type="spellStart"/>
      <w:r w:rsidRPr="005F0419">
        <w:rPr>
          <w:rFonts w:ascii="Times New Roman" w:hAnsi="Times New Roman" w:cs="Times New Roman"/>
          <w:sz w:val="28"/>
          <w:szCs w:val="28"/>
          <w:lang w:val="uk-UA"/>
        </w:rPr>
        <w:t>вітрогенератор</w:t>
      </w:r>
      <w:proofErr w:type="spellEnd"/>
      <w:r w:rsidRPr="005F0419">
        <w:rPr>
          <w:rFonts w:ascii="Times New Roman" w:hAnsi="Times New Roman" w:cs="Times New Roman"/>
          <w:sz w:val="28"/>
          <w:szCs w:val="28"/>
          <w:lang w:val="uk-UA"/>
        </w:rPr>
        <w:t xml:space="preserve"> з меншим коефіцієнтом амортизації). Беручи до уваги фактор важливості, деякі люди виберуть економічно вигідніше джерело тільки в тому випадку, якщо екологічність джерела відіграє важливу роль і якщо є значна різниця в економічних показниках. Вузьким місцем цього методу є визначення еталонного коефіцієнта переваги. Оскільки ця процедура передбачає суб'єктивну думку особи, яка приймає рішення, в якості критеріїв слід обирати характеристики, які можна виміряти, розрахувати, кількісно оцінити та визначити.</w:t>
      </w:r>
    </w:p>
    <w:p w14:paraId="333E1210"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Отже, розроблена система надає можливість користувачу дати свою суб’єктивну оцінку за заданими параметрами для встановлених типів ВДЕ, дозволити експертній групі взяти участь у прийнятті рішення в свою чергу виставивши оцінки для параметрів експертної групи. При бажанні користувач може скористатись наявними оцінками експертної групи. Після отримання результатів користувач може переглянути отримані результати та сформувати звіт. В свою чергу система має побудувати інтерактивну карту для користувача, сформувати матрицю для користувача, сформувати матрицю для експертів, сформувати звіт для користувача а також, звісно, провести моделювання врахувавши всі можливі невизначеності для обраного регіону і відобразити користувачу результат. Вся ця функціональність системи відображена на діаграмі </w:t>
      </w:r>
      <w:proofErr w:type="spellStart"/>
      <w:r w:rsidRPr="005F0419">
        <w:rPr>
          <w:rFonts w:ascii="Times New Roman" w:hAnsi="Times New Roman" w:cs="Times New Roman"/>
          <w:sz w:val="28"/>
          <w:szCs w:val="28"/>
          <w:lang w:val="uk-UA"/>
        </w:rPr>
        <w:t>use-case</w:t>
      </w:r>
      <w:proofErr w:type="spellEnd"/>
      <w:r w:rsidRPr="005F0419">
        <w:rPr>
          <w:rFonts w:ascii="Times New Roman" w:hAnsi="Times New Roman" w:cs="Times New Roman"/>
          <w:sz w:val="28"/>
          <w:szCs w:val="28"/>
          <w:lang w:val="uk-UA"/>
        </w:rPr>
        <w:t xml:space="preserve"> (варіантів використання) на рисунку 5.</w:t>
      </w:r>
    </w:p>
    <w:p w14:paraId="2EBB7317"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Для реалізації програмної системи були прийнято рішення використовувати клієнт-серверну архітектуру додатку, яка є найбільш надійною в подібних системах. Це забезпечить створення візуальної частини системи з якою буде взаємодіяти клієнт, а сама обробка всіх його запитів та інтеграція з сторонніми API буде відбуватись на серверній частині.</w:t>
      </w:r>
    </w:p>
    <w:p w14:paraId="683AFB84"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Клієнт-серверна архітектура-це модель організації обчислювальних систем, в якій завдання розподілені між клієнтами та серверами. У такій архітектурі клієнт, який зазвичай є користувачем або програмою, запитує послуги або ресурси у сервера, який відповідає на запити, надаючи необхідні дані або функціональність.</w:t>
      </w:r>
    </w:p>
    <w:p w14:paraId="0B9EE774" w14:textId="77777777" w:rsidR="00D62720" w:rsidRPr="005F0419" w:rsidRDefault="00D62720" w:rsidP="00D62720">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lastRenderedPageBreak/>
        <w:drawing>
          <wp:inline distT="0" distB="0" distL="0" distR="0" wp14:anchorId="76951687" wp14:editId="508E3E0A">
            <wp:extent cx="5489199" cy="4205785"/>
            <wp:effectExtent l="0" t="0" r="0" b="4445"/>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9"/>
                    <a:stretch>
                      <a:fillRect/>
                    </a:stretch>
                  </pic:blipFill>
                  <pic:spPr>
                    <a:xfrm>
                      <a:off x="0" y="0"/>
                      <a:ext cx="5513158" cy="4224142"/>
                    </a:xfrm>
                    <a:prstGeom prst="rect">
                      <a:avLst/>
                    </a:prstGeom>
                  </pic:spPr>
                </pic:pic>
              </a:graphicData>
            </a:graphic>
          </wp:inline>
        </w:drawing>
      </w:r>
    </w:p>
    <w:p w14:paraId="6A21F48D" w14:textId="77777777" w:rsidR="00D62720" w:rsidRPr="005F0419" w:rsidRDefault="00D62720" w:rsidP="00D62720">
      <w:pPr>
        <w:spacing w:after="0" w:line="360" w:lineRule="auto"/>
        <w:ind w:firstLine="720"/>
        <w:jc w:val="both"/>
        <w:rPr>
          <w:rFonts w:ascii="Times New Roman" w:hAnsi="Times New Roman" w:cs="Times New Roman"/>
          <w:sz w:val="28"/>
          <w:szCs w:val="28"/>
          <w:lang w:val="uk-UA"/>
        </w:rPr>
      </w:pPr>
    </w:p>
    <w:p w14:paraId="33AFB3E5" w14:textId="0E3A9DBD" w:rsidR="00D62720" w:rsidRDefault="00D62720" w:rsidP="00D62720">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5</w:t>
      </w:r>
      <w:r>
        <w:rPr>
          <w:rFonts w:ascii="Times New Roman" w:hAnsi="Times New Roman" w:cs="Times New Roman"/>
          <w:sz w:val="28"/>
          <w:szCs w:val="28"/>
          <w:lang w:val="uk-UA"/>
        </w:rPr>
        <w:t xml:space="preserve">. </w:t>
      </w:r>
      <w:proofErr w:type="spellStart"/>
      <w:r w:rsidRPr="005F0419">
        <w:rPr>
          <w:rFonts w:ascii="Times New Roman" w:hAnsi="Times New Roman" w:cs="Times New Roman"/>
          <w:sz w:val="28"/>
          <w:szCs w:val="28"/>
          <w:lang w:val="uk-UA"/>
        </w:rPr>
        <w:t>Use-case</w:t>
      </w:r>
      <w:proofErr w:type="spellEnd"/>
      <w:r w:rsidRPr="005F0419">
        <w:rPr>
          <w:rFonts w:ascii="Times New Roman" w:hAnsi="Times New Roman" w:cs="Times New Roman"/>
          <w:sz w:val="28"/>
          <w:szCs w:val="28"/>
          <w:lang w:val="uk-UA"/>
        </w:rPr>
        <w:t xml:space="preserve"> діаграма системи визначення ВДЕ для заданої території</w:t>
      </w:r>
    </w:p>
    <w:p w14:paraId="79C2077D" w14:textId="77777777" w:rsidR="00D62720" w:rsidRPr="005F0419" w:rsidRDefault="00D62720" w:rsidP="00D62720">
      <w:pPr>
        <w:spacing w:after="0" w:line="360" w:lineRule="auto"/>
        <w:ind w:firstLine="720"/>
        <w:jc w:val="center"/>
        <w:rPr>
          <w:rFonts w:ascii="Times New Roman" w:hAnsi="Times New Roman" w:cs="Times New Roman"/>
          <w:sz w:val="28"/>
          <w:szCs w:val="28"/>
          <w:lang w:val="uk-UA"/>
        </w:rPr>
      </w:pPr>
    </w:p>
    <w:p w14:paraId="39CFDFB4"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Клієнт-серверна архітектура включає такі компоненти:</w:t>
      </w:r>
    </w:p>
    <w:p w14:paraId="76C5D3AE" w14:textId="77777777" w:rsidR="00C14BDE" w:rsidRPr="005F0419" w:rsidRDefault="00C14BDE" w:rsidP="006D1666">
      <w:pPr>
        <w:pStyle w:val="a4"/>
        <w:widowControl w:val="0"/>
        <w:numPr>
          <w:ilvl w:val="0"/>
          <w:numId w:val="14"/>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Клієнти: це пристрої або програми, які запитують інформацію або послуги на сервері. Клієнти можуть бути як програмними програмами (наприклад, веб-браузери, мобільні програми), так і апаратними пристроями (наприклад, смартфони, планшети, термінали, так звані тонкі клієнти).</w:t>
      </w:r>
    </w:p>
    <w:p w14:paraId="1E56AB81" w14:textId="77777777" w:rsidR="00C14BDE" w:rsidRPr="005F0419" w:rsidRDefault="00C14BDE" w:rsidP="006D1666">
      <w:pPr>
        <w:pStyle w:val="a4"/>
        <w:widowControl w:val="0"/>
        <w:numPr>
          <w:ilvl w:val="0"/>
          <w:numId w:val="14"/>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Сервери: це комп'ютери, які надають потрібну інформацію або послуги клієнтам. Сервери можуть виконувати різні функції, такі як зберігання даних, обробка запитів, обчислення тощо.</w:t>
      </w:r>
    </w:p>
    <w:p w14:paraId="7DFE3FE9" w14:textId="77777777" w:rsidR="00C14BDE" w:rsidRPr="005F0419" w:rsidRDefault="00C14BDE" w:rsidP="006D1666">
      <w:pPr>
        <w:pStyle w:val="a4"/>
        <w:widowControl w:val="0"/>
        <w:numPr>
          <w:ilvl w:val="0"/>
          <w:numId w:val="14"/>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Протоколи обміну даними: це правила або набори інструкцій, які визначають, як клієнти та сервери обмінюються інформацією. Деякі з найпоширеніших протоколів: HTTP/HTTPS (гіпертекстові протоколи), стек протоколів TCP/IP (набір правил, що описують, як комп'ютери з'єднуються та передають інформацію один одному), протоколи надсилання та отримання </w:t>
      </w:r>
      <w:r w:rsidRPr="005F0419">
        <w:rPr>
          <w:rFonts w:ascii="Times New Roman" w:hAnsi="Times New Roman" w:cs="Times New Roman"/>
          <w:sz w:val="28"/>
          <w:szCs w:val="28"/>
          <w:lang w:val="uk-UA"/>
        </w:rPr>
        <w:lastRenderedPageBreak/>
        <w:t>пошти (SMTP, POP3, IMAP).</w:t>
      </w:r>
    </w:p>
    <w:p w14:paraId="1DE6DBDC" w14:textId="77777777" w:rsidR="00C14BDE" w:rsidRPr="005F0419" w:rsidRDefault="00C14BDE" w:rsidP="006D1666">
      <w:pPr>
        <w:pStyle w:val="a4"/>
        <w:widowControl w:val="0"/>
        <w:numPr>
          <w:ilvl w:val="0"/>
          <w:numId w:val="14"/>
        </w:numPr>
        <w:spacing w:after="0" w:line="360" w:lineRule="auto"/>
        <w:ind w:left="0"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 Бази даних: це сховища інформації, які використовуються на серверній стороні для зберігання та керування даними. Бази даних дозволяють серверу ефективно зберігати, організовувати та витягувати інформацію на запит клієнта.</w:t>
      </w:r>
    </w:p>
    <w:p w14:paraId="3C8D5778"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Архітектура системи клієнт-сервер формулює принципи віртуального спілкування між локальними комп'ютерами, проте правила і принципи взаємодії перебувають усередині протоколу.</w:t>
      </w:r>
    </w:p>
    <w:p w14:paraId="15617A8D"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Логіку виконання моделювання невизначеності з подальшим визначенням найбільш оптимального ВДЕ для заданої території представлено на діаграмі послідовностей (рис.6). Діаграма демонструє об’єкти і послідовність в якій відбувається повний цикл визначення найбільш оптимального джерела ВДЕ для заданої користувачем території.</w:t>
      </w:r>
    </w:p>
    <w:p w14:paraId="754F5521" w14:textId="77777777" w:rsidR="00C14BDE" w:rsidRPr="005F0419" w:rsidRDefault="00C14BDE" w:rsidP="00D62720">
      <w:pPr>
        <w:spacing w:after="0" w:line="360" w:lineRule="auto"/>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1EE2EC82" wp14:editId="4BB6A0C2">
            <wp:extent cx="6076950" cy="4305300"/>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0"/>
                    <a:stretch>
                      <a:fillRect/>
                    </a:stretch>
                  </pic:blipFill>
                  <pic:spPr>
                    <a:xfrm>
                      <a:off x="0" y="0"/>
                      <a:ext cx="6092019" cy="4315976"/>
                    </a:xfrm>
                    <a:prstGeom prst="rect">
                      <a:avLst/>
                    </a:prstGeom>
                  </pic:spPr>
                </pic:pic>
              </a:graphicData>
            </a:graphic>
          </wp:inline>
        </w:drawing>
      </w:r>
    </w:p>
    <w:p w14:paraId="7F81D848" w14:textId="51F0C8B7"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6</w:t>
      </w:r>
      <w:r w:rsidR="00D62720">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Діаграма послідовностей системи визначення ВДЕ для заданої території</w:t>
      </w:r>
    </w:p>
    <w:p w14:paraId="3E6E1582" w14:textId="77777777" w:rsidR="00D62720" w:rsidRPr="005F0419" w:rsidRDefault="00D62720" w:rsidP="00D62720">
      <w:pPr>
        <w:spacing w:after="0" w:line="360" w:lineRule="auto"/>
        <w:ind w:firstLine="720"/>
        <w:jc w:val="both"/>
        <w:rPr>
          <w:rFonts w:ascii="Times New Roman" w:hAnsi="Times New Roman" w:cs="Times New Roman"/>
          <w:sz w:val="28"/>
          <w:szCs w:val="28"/>
          <w:lang w:val="uk-UA"/>
        </w:rPr>
      </w:pPr>
      <w:bookmarkStart w:id="37" w:name="_Hlk157426010"/>
      <w:r w:rsidRPr="005F0419">
        <w:rPr>
          <w:rFonts w:ascii="Times New Roman" w:hAnsi="Times New Roman" w:cs="Times New Roman"/>
          <w:sz w:val="28"/>
          <w:szCs w:val="28"/>
          <w:lang w:val="uk-UA"/>
        </w:rPr>
        <w:lastRenderedPageBreak/>
        <w:t>Схема взаємодії програмних модулів, яка зображена на рисунку 7 детально описує всі вхідні і вихідні запити кожного модуля для розробленої системи визначення ВДЕ для заданої території.</w:t>
      </w:r>
    </w:p>
    <w:bookmarkEnd w:id="37"/>
    <w:p w14:paraId="6CA63B1B" w14:textId="77777777"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eastAsia="uk-UA"/>
        </w:rPr>
        <w:drawing>
          <wp:inline distT="0" distB="0" distL="0" distR="0" wp14:anchorId="1CDC817B" wp14:editId="21E849D8">
            <wp:extent cx="5739130" cy="5067300"/>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1"/>
                    <a:stretch>
                      <a:fillRect/>
                    </a:stretch>
                  </pic:blipFill>
                  <pic:spPr>
                    <a:xfrm>
                      <a:off x="0" y="0"/>
                      <a:ext cx="5739130" cy="5067300"/>
                    </a:xfrm>
                    <a:prstGeom prst="rect">
                      <a:avLst/>
                    </a:prstGeom>
                  </pic:spPr>
                </pic:pic>
              </a:graphicData>
            </a:graphic>
          </wp:inline>
        </w:drawing>
      </w:r>
    </w:p>
    <w:p w14:paraId="40365FE3" w14:textId="5F080EBB"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7</w:t>
      </w:r>
      <w:r w:rsidR="00D62720">
        <w:rPr>
          <w:rFonts w:ascii="Times New Roman" w:hAnsi="Times New Roman" w:cs="Times New Roman"/>
          <w:sz w:val="28"/>
          <w:szCs w:val="28"/>
          <w:lang w:val="uk-UA"/>
        </w:rPr>
        <w:t xml:space="preserve">. </w:t>
      </w:r>
      <w:r w:rsidRPr="005F0419">
        <w:rPr>
          <w:rFonts w:ascii="Times New Roman" w:hAnsi="Times New Roman" w:cs="Times New Roman"/>
          <w:sz w:val="28"/>
          <w:szCs w:val="28"/>
          <w:lang w:val="uk-UA"/>
        </w:rPr>
        <w:t>Взаємодія програмних модулів розробленої системи визначення ВДЕ для заданої території</w:t>
      </w:r>
    </w:p>
    <w:p w14:paraId="010962A8"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
    <w:p w14:paraId="601A7CAE" w14:textId="77777777" w:rsidR="00C14BDE" w:rsidRPr="005F0419" w:rsidRDefault="00C14BDE" w:rsidP="00C14BDE">
      <w:pPr>
        <w:spacing w:after="0" w:line="360" w:lineRule="auto"/>
        <w:ind w:firstLine="720"/>
        <w:jc w:val="both"/>
        <w:rPr>
          <w:rFonts w:ascii="Times New Roman" w:eastAsiaTheme="minorHAnsi" w:hAnsi="Times New Roman" w:cs="Times New Roman"/>
          <w:sz w:val="28"/>
          <w:szCs w:val="28"/>
          <w:lang w:val="uk-UA" w:eastAsia="en-US"/>
        </w:rPr>
      </w:pPr>
      <w:bookmarkStart w:id="38" w:name="_Toc152783794"/>
      <w:r w:rsidRPr="005F0419">
        <w:rPr>
          <w:rFonts w:ascii="Times New Roman" w:hAnsi="Times New Roman" w:cs="Times New Roman"/>
          <w:sz w:val="28"/>
          <w:szCs w:val="28"/>
          <w:lang w:val="uk-UA"/>
        </w:rPr>
        <w:t>Основні функції системи представлені на рисунку 8 і</w:t>
      </w:r>
      <w:r w:rsidRPr="005F0419">
        <w:rPr>
          <w:rFonts w:ascii="Times New Roman" w:eastAsiaTheme="minorHAnsi" w:hAnsi="Times New Roman" w:cs="Times New Roman"/>
          <w:sz w:val="28"/>
          <w:szCs w:val="28"/>
          <w:lang w:val="uk-UA" w:eastAsia="en-US"/>
        </w:rPr>
        <w:t xml:space="preserve"> опис функцій системи міститься у таблиці 2.</w:t>
      </w:r>
    </w:p>
    <w:p w14:paraId="732DFB25"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
    <w:p w14:paraId="4608C13D" w14:textId="77777777"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rPr>
        <w:lastRenderedPageBreak/>
        <w:drawing>
          <wp:inline distT="0" distB="0" distL="0" distR="0" wp14:anchorId="4C531C73" wp14:editId="6D210E70">
            <wp:extent cx="4151630" cy="3762375"/>
            <wp:effectExtent l="0" t="0" r="1270" b="9525"/>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2">
                      <a:extLst>
                        <a:ext uri="{28A0092B-C50C-407E-A947-70E740481C1C}">
                          <a14:useLocalDpi xmlns:a14="http://schemas.microsoft.com/office/drawing/2010/main" val="0"/>
                        </a:ext>
                      </a:extLst>
                    </a:blip>
                    <a:srcRect/>
                    <a:stretch>
                      <a:fillRect/>
                    </a:stretch>
                  </pic:blipFill>
                  <pic:spPr bwMode="auto">
                    <a:xfrm>
                      <a:off x="0" y="0"/>
                      <a:ext cx="4151630" cy="3762375"/>
                    </a:xfrm>
                    <a:prstGeom prst="rect">
                      <a:avLst/>
                    </a:prstGeom>
                    <a:noFill/>
                  </pic:spPr>
                </pic:pic>
              </a:graphicData>
            </a:graphic>
          </wp:inline>
        </w:drawing>
      </w:r>
    </w:p>
    <w:p w14:paraId="26CD2FAD" w14:textId="6748C193" w:rsidR="00C14BDE" w:rsidRPr="005F0419" w:rsidRDefault="00C14BDE" w:rsidP="00D62720">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8</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Основні функції системи визначення ВДЕ для заданої території</w:t>
      </w:r>
    </w:p>
    <w:p w14:paraId="28AAC48F" w14:textId="77777777" w:rsidR="00C14BDE" w:rsidRPr="005F0419" w:rsidRDefault="00C14BDE" w:rsidP="00C14BDE">
      <w:pPr>
        <w:spacing w:after="0" w:line="360" w:lineRule="auto"/>
        <w:ind w:firstLine="720"/>
        <w:jc w:val="both"/>
        <w:rPr>
          <w:rFonts w:ascii="Times New Roman" w:eastAsiaTheme="minorHAnsi" w:hAnsi="Times New Roman" w:cs="Times New Roman"/>
          <w:sz w:val="28"/>
          <w:szCs w:val="28"/>
          <w:lang w:val="uk-UA" w:eastAsia="en-US"/>
        </w:rPr>
      </w:pPr>
    </w:p>
    <w:p w14:paraId="77863249" w14:textId="57F79DA6"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В таблиці </w:t>
      </w:r>
      <w:r w:rsidR="00D62720">
        <w:rPr>
          <w:rFonts w:ascii="Times New Roman" w:hAnsi="Times New Roman" w:cs="Times New Roman"/>
          <w:sz w:val="28"/>
          <w:szCs w:val="28"/>
          <w:lang w:val="uk-UA"/>
        </w:rPr>
        <w:t xml:space="preserve">2 </w:t>
      </w:r>
      <w:r w:rsidRPr="005F0419">
        <w:rPr>
          <w:rFonts w:ascii="Times New Roman" w:hAnsi="Times New Roman" w:cs="Times New Roman"/>
          <w:sz w:val="28"/>
          <w:szCs w:val="28"/>
          <w:lang w:val="uk-UA"/>
        </w:rPr>
        <w:t>описані основні функції системи необхідні для визначення найбільш кращого ВДЕ для заданої території. Для кожної функції описані її вхідні, вихідні параметри та основне призначення.</w:t>
      </w:r>
    </w:p>
    <w:p w14:paraId="37E9C241" w14:textId="77777777" w:rsidR="00D62720" w:rsidRDefault="00D62720" w:rsidP="00D62720">
      <w:pPr>
        <w:spacing w:after="0" w:line="360" w:lineRule="auto"/>
        <w:ind w:firstLine="720"/>
        <w:jc w:val="right"/>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Таблиця 2 </w:t>
      </w:r>
    </w:p>
    <w:p w14:paraId="1DCE12F4" w14:textId="77777777" w:rsidR="00D62720" w:rsidRPr="005F0419" w:rsidRDefault="00D62720" w:rsidP="00D62720">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Опис функцій системи</w:t>
      </w:r>
    </w:p>
    <w:tbl>
      <w:tblPr>
        <w:tblStyle w:val="ab"/>
        <w:tblW w:w="9469" w:type="dxa"/>
        <w:tblLook w:val="04A0" w:firstRow="1" w:lastRow="0" w:firstColumn="1" w:lastColumn="0" w:noHBand="0" w:noVBand="1"/>
      </w:tblPr>
      <w:tblGrid>
        <w:gridCol w:w="2907"/>
        <w:gridCol w:w="2103"/>
        <w:gridCol w:w="2306"/>
        <w:gridCol w:w="2153"/>
      </w:tblGrid>
      <w:tr w:rsidR="00D62720" w:rsidRPr="005F0419" w14:paraId="42C88799" w14:textId="77777777" w:rsidTr="000D0AFC">
        <w:trPr>
          <w:trHeight w:val="935"/>
        </w:trPr>
        <w:tc>
          <w:tcPr>
            <w:tcW w:w="2936" w:type="dxa"/>
            <w:vAlign w:val="center"/>
          </w:tcPr>
          <w:p w14:paraId="05B9DE3B"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Назва функції</w:t>
            </w:r>
          </w:p>
        </w:tc>
        <w:tc>
          <w:tcPr>
            <w:tcW w:w="2049" w:type="dxa"/>
            <w:vAlign w:val="center"/>
          </w:tcPr>
          <w:p w14:paraId="468F2AC4"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Вхідні параметри</w:t>
            </w:r>
          </w:p>
        </w:tc>
        <w:tc>
          <w:tcPr>
            <w:tcW w:w="2315" w:type="dxa"/>
            <w:vAlign w:val="center"/>
          </w:tcPr>
          <w:p w14:paraId="7D6876EB"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Вихідні параметри</w:t>
            </w:r>
          </w:p>
        </w:tc>
        <w:tc>
          <w:tcPr>
            <w:tcW w:w="2169" w:type="dxa"/>
            <w:vAlign w:val="center"/>
          </w:tcPr>
          <w:p w14:paraId="2BA70DC8"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Призначення</w:t>
            </w:r>
          </w:p>
        </w:tc>
      </w:tr>
      <w:tr w:rsidR="00D62720" w:rsidRPr="005F0419" w14:paraId="5202C671" w14:textId="77777777" w:rsidTr="000D0AFC">
        <w:trPr>
          <w:trHeight w:val="2819"/>
        </w:trPr>
        <w:tc>
          <w:tcPr>
            <w:tcW w:w="2936" w:type="dxa"/>
            <w:vAlign w:val="center"/>
          </w:tcPr>
          <w:p w14:paraId="2206DF89" w14:textId="77777777" w:rsidR="00D62720" w:rsidRPr="005F0419" w:rsidRDefault="00D62720" w:rsidP="00D62720">
            <w:pPr>
              <w:spacing w:after="0" w:line="360" w:lineRule="auto"/>
              <w:jc w:val="center"/>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getWeatherData</w:t>
            </w:r>
            <w:proofErr w:type="spellEnd"/>
            <w:r w:rsidRPr="005F0419">
              <w:rPr>
                <w:rFonts w:ascii="Times New Roman" w:hAnsi="Times New Roman" w:cs="Times New Roman"/>
                <w:sz w:val="28"/>
                <w:szCs w:val="28"/>
                <w:lang w:val="uk-UA"/>
              </w:rPr>
              <w:t>()</w:t>
            </w:r>
          </w:p>
        </w:tc>
        <w:tc>
          <w:tcPr>
            <w:tcW w:w="2049" w:type="dxa"/>
            <w:vAlign w:val="center"/>
          </w:tcPr>
          <w:p w14:paraId="7CBA5445"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Координати обраної території</w:t>
            </w:r>
          </w:p>
        </w:tc>
        <w:tc>
          <w:tcPr>
            <w:tcW w:w="2315" w:type="dxa"/>
            <w:vAlign w:val="center"/>
          </w:tcPr>
          <w:p w14:paraId="133FE28A"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Дані які поступають в залежності від вибору території користувачем</w:t>
            </w:r>
          </w:p>
        </w:tc>
        <w:tc>
          <w:tcPr>
            <w:tcW w:w="2169" w:type="dxa"/>
            <w:vAlign w:val="center"/>
          </w:tcPr>
          <w:p w14:paraId="14E28B32"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Функція для отримання даних по території для проведення подальшого моделювання</w:t>
            </w:r>
          </w:p>
        </w:tc>
      </w:tr>
      <w:tr w:rsidR="00D62720" w:rsidRPr="005F0419" w14:paraId="4347FA9B" w14:textId="77777777" w:rsidTr="000D0AFC">
        <w:trPr>
          <w:trHeight w:val="1402"/>
        </w:trPr>
        <w:tc>
          <w:tcPr>
            <w:tcW w:w="2936" w:type="dxa"/>
            <w:vAlign w:val="center"/>
          </w:tcPr>
          <w:p w14:paraId="4F83CF9E" w14:textId="77777777" w:rsidR="00D62720" w:rsidRPr="005F0419" w:rsidRDefault="00D62720" w:rsidP="00D62720">
            <w:pPr>
              <w:spacing w:after="0" w:line="360" w:lineRule="auto"/>
              <w:jc w:val="center"/>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lastRenderedPageBreak/>
              <w:t>getNormalsData</w:t>
            </w:r>
            <w:proofErr w:type="spellEnd"/>
            <w:r w:rsidRPr="005F0419">
              <w:rPr>
                <w:rFonts w:ascii="Times New Roman" w:hAnsi="Times New Roman" w:cs="Times New Roman"/>
                <w:sz w:val="28"/>
                <w:szCs w:val="28"/>
                <w:lang w:val="uk-UA"/>
              </w:rPr>
              <w:t>()</w:t>
            </w:r>
          </w:p>
        </w:tc>
        <w:tc>
          <w:tcPr>
            <w:tcW w:w="2049" w:type="dxa"/>
            <w:vAlign w:val="center"/>
          </w:tcPr>
          <w:p w14:paraId="0EC0AFD3"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Значення критеріїв від користувача</w:t>
            </w:r>
          </w:p>
        </w:tc>
        <w:tc>
          <w:tcPr>
            <w:tcW w:w="2315" w:type="dxa"/>
            <w:vAlign w:val="center"/>
          </w:tcPr>
          <w:p w14:paraId="1125F9D0"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Нормалізовані критерії</w:t>
            </w:r>
          </w:p>
        </w:tc>
        <w:tc>
          <w:tcPr>
            <w:tcW w:w="2169" w:type="dxa"/>
            <w:vAlign w:val="center"/>
          </w:tcPr>
          <w:p w14:paraId="78ED50F7"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Функція для нормалізації вхідних даних</w:t>
            </w:r>
          </w:p>
        </w:tc>
      </w:tr>
      <w:tr w:rsidR="00D62720" w:rsidRPr="005F0419" w14:paraId="40C86E42" w14:textId="77777777" w:rsidTr="000D0AFC">
        <w:trPr>
          <w:trHeight w:val="1402"/>
        </w:trPr>
        <w:tc>
          <w:tcPr>
            <w:tcW w:w="2936" w:type="dxa"/>
          </w:tcPr>
          <w:p w14:paraId="3B65F549" w14:textId="77777777" w:rsidR="00D62720" w:rsidRPr="005F0419" w:rsidRDefault="00D62720" w:rsidP="00D62720">
            <w:pPr>
              <w:spacing w:after="0" w:line="360" w:lineRule="auto"/>
              <w:jc w:val="center"/>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getWeights</w:t>
            </w:r>
            <w:proofErr w:type="spellEnd"/>
            <w:r w:rsidRPr="005F0419">
              <w:rPr>
                <w:rFonts w:ascii="Times New Roman" w:hAnsi="Times New Roman" w:cs="Times New Roman"/>
                <w:sz w:val="28"/>
                <w:szCs w:val="28"/>
                <w:lang w:val="uk-UA"/>
              </w:rPr>
              <w:t>()</w:t>
            </w:r>
          </w:p>
        </w:tc>
        <w:tc>
          <w:tcPr>
            <w:tcW w:w="2049" w:type="dxa"/>
          </w:tcPr>
          <w:p w14:paraId="517FB75A"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Оцінка критеріїв від експертів</w:t>
            </w:r>
          </w:p>
        </w:tc>
        <w:tc>
          <w:tcPr>
            <w:tcW w:w="2315" w:type="dxa"/>
          </w:tcPr>
          <w:p w14:paraId="2BA9DCA0"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Вагове значення кожного критерію</w:t>
            </w:r>
          </w:p>
        </w:tc>
        <w:tc>
          <w:tcPr>
            <w:tcW w:w="2169" w:type="dxa"/>
          </w:tcPr>
          <w:p w14:paraId="2E81B34D"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Функція для визначення ваги критеріїв</w:t>
            </w:r>
          </w:p>
        </w:tc>
      </w:tr>
      <w:tr w:rsidR="00D62720" w:rsidRPr="005F0419" w14:paraId="71179D43" w14:textId="77777777" w:rsidTr="000D0AFC">
        <w:trPr>
          <w:trHeight w:val="1884"/>
        </w:trPr>
        <w:tc>
          <w:tcPr>
            <w:tcW w:w="2936" w:type="dxa"/>
          </w:tcPr>
          <w:p w14:paraId="643AB949" w14:textId="77777777" w:rsidR="00D62720" w:rsidRPr="005F0419" w:rsidRDefault="00D62720" w:rsidP="00D62720">
            <w:pPr>
              <w:spacing w:after="0" w:line="360" w:lineRule="auto"/>
              <w:jc w:val="center"/>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getPointLocation</w:t>
            </w:r>
            <w:proofErr w:type="spellEnd"/>
            <w:r w:rsidRPr="005F0419">
              <w:rPr>
                <w:rFonts w:ascii="Times New Roman" w:hAnsi="Times New Roman" w:cs="Times New Roman"/>
                <w:sz w:val="28"/>
                <w:szCs w:val="28"/>
                <w:lang w:val="uk-UA"/>
              </w:rPr>
              <w:t>()</w:t>
            </w:r>
          </w:p>
        </w:tc>
        <w:tc>
          <w:tcPr>
            <w:tcW w:w="2049" w:type="dxa"/>
          </w:tcPr>
          <w:p w14:paraId="3BE30128"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Координати точки</w:t>
            </w:r>
          </w:p>
        </w:tc>
        <w:tc>
          <w:tcPr>
            <w:tcW w:w="2315" w:type="dxa"/>
          </w:tcPr>
          <w:p w14:paraId="0EB03AFE"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Регіон до якого належить точка</w:t>
            </w:r>
          </w:p>
        </w:tc>
        <w:tc>
          <w:tcPr>
            <w:tcW w:w="2169" w:type="dxa"/>
          </w:tcPr>
          <w:p w14:paraId="19D3E57D"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Функція для визначення приналежності до регіону</w:t>
            </w:r>
          </w:p>
        </w:tc>
      </w:tr>
      <w:tr w:rsidR="00D62720" w:rsidRPr="005F0419" w14:paraId="5640D8B5" w14:textId="77777777" w:rsidTr="000D0AFC">
        <w:trPr>
          <w:trHeight w:val="1870"/>
        </w:trPr>
        <w:tc>
          <w:tcPr>
            <w:tcW w:w="2936" w:type="dxa"/>
          </w:tcPr>
          <w:p w14:paraId="31F8FDAA" w14:textId="77777777" w:rsidR="00D62720" w:rsidRPr="005F0419" w:rsidRDefault="00D62720" w:rsidP="00D62720">
            <w:pPr>
              <w:spacing w:after="0" w:line="360" w:lineRule="auto"/>
              <w:jc w:val="center"/>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performMonteCarlo</w:t>
            </w:r>
            <w:proofErr w:type="spellEnd"/>
            <w:r w:rsidRPr="005F0419">
              <w:rPr>
                <w:rFonts w:ascii="Times New Roman" w:hAnsi="Times New Roman" w:cs="Times New Roman"/>
                <w:sz w:val="28"/>
                <w:szCs w:val="28"/>
                <w:lang w:val="uk-UA"/>
              </w:rPr>
              <w:t>()</w:t>
            </w:r>
          </w:p>
        </w:tc>
        <w:tc>
          <w:tcPr>
            <w:tcW w:w="2049" w:type="dxa"/>
          </w:tcPr>
          <w:p w14:paraId="38283302"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Оцінки користувача та критерії невизначеності</w:t>
            </w:r>
          </w:p>
        </w:tc>
        <w:tc>
          <w:tcPr>
            <w:tcW w:w="2315" w:type="dxa"/>
          </w:tcPr>
          <w:p w14:paraId="79399BCE"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Змодельовані дані з урахуванням </w:t>
            </w:r>
            <w:proofErr w:type="spellStart"/>
            <w:r w:rsidRPr="005F0419">
              <w:rPr>
                <w:rFonts w:ascii="Times New Roman" w:hAnsi="Times New Roman" w:cs="Times New Roman"/>
                <w:sz w:val="28"/>
                <w:szCs w:val="28"/>
                <w:lang w:val="uk-UA"/>
              </w:rPr>
              <w:t>невизначеностей</w:t>
            </w:r>
            <w:proofErr w:type="spellEnd"/>
          </w:p>
        </w:tc>
        <w:tc>
          <w:tcPr>
            <w:tcW w:w="2169" w:type="dxa"/>
          </w:tcPr>
          <w:p w14:paraId="321B2400"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Функція для моделювання</w:t>
            </w:r>
          </w:p>
        </w:tc>
      </w:tr>
      <w:tr w:rsidR="00D62720" w:rsidRPr="005F0419" w14:paraId="649E556E" w14:textId="77777777" w:rsidTr="00D62720">
        <w:trPr>
          <w:trHeight w:val="2024"/>
        </w:trPr>
        <w:tc>
          <w:tcPr>
            <w:tcW w:w="2936" w:type="dxa"/>
          </w:tcPr>
          <w:p w14:paraId="10C68740" w14:textId="77777777" w:rsidR="00D62720" w:rsidRPr="005F0419" w:rsidRDefault="00D62720" w:rsidP="00D62720">
            <w:pPr>
              <w:spacing w:after="0" w:line="360" w:lineRule="auto"/>
              <w:jc w:val="center"/>
              <w:rPr>
                <w:rFonts w:ascii="Times New Roman" w:hAnsi="Times New Roman" w:cs="Times New Roman"/>
                <w:sz w:val="28"/>
                <w:szCs w:val="28"/>
                <w:lang w:val="uk-UA"/>
              </w:rPr>
            </w:pPr>
            <w:proofErr w:type="spellStart"/>
            <w:r w:rsidRPr="005F0419">
              <w:rPr>
                <w:rFonts w:ascii="Times New Roman" w:hAnsi="Times New Roman" w:cs="Times New Roman"/>
                <w:sz w:val="28"/>
                <w:szCs w:val="28"/>
                <w:lang w:val="uk-UA"/>
              </w:rPr>
              <w:t>performLinearC</w:t>
            </w:r>
            <w:proofErr w:type="spellEnd"/>
            <w:r w:rsidRPr="005F0419">
              <w:rPr>
                <w:rFonts w:ascii="Times New Roman" w:hAnsi="Times New Roman" w:cs="Times New Roman"/>
                <w:sz w:val="28"/>
                <w:szCs w:val="28"/>
                <w:lang w:val="uk-UA"/>
              </w:rPr>
              <w:t>()</w:t>
            </w:r>
          </w:p>
        </w:tc>
        <w:tc>
          <w:tcPr>
            <w:tcW w:w="2049" w:type="dxa"/>
          </w:tcPr>
          <w:p w14:paraId="2B3F6084"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Дані з урахуванням невизначеності, вагові критерії</w:t>
            </w:r>
          </w:p>
        </w:tc>
        <w:tc>
          <w:tcPr>
            <w:tcW w:w="2315" w:type="dxa"/>
          </w:tcPr>
          <w:p w14:paraId="39667F9F"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Найкраще джерело ВДЕ для заданої території</w:t>
            </w:r>
          </w:p>
        </w:tc>
        <w:tc>
          <w:tcPr>
            <w:tcW w:w="2169" w:type="dxa"/>
          </w:tcPr>
          <w:p w14:paraId="2C3ABE2B" w14:textId="77777777" w:rsidR="00D62720" w:rsidRPr="005F0419" w:rsidRDefault="00D62720" w:rsidP="00D62720">
            <w:pPr>
              <w:spacing w:after="0" w:line="360" w:lineRule="auto"/>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Функція для вирішення поставленої задачі пошуку найкращого ВДЕ</w:t>
            </w:r>
          </w:p>
        </w:tc>
      </w:tr>
    </w:tbl>
    <w:p w14:paraId="294046B0" w14:textId="77777777" w:rsidR="00D62720" w:rsidRPr="005F0419" w:rsidRDefault="00D62720" w:rsidP="00D62720">
      <w:pPr>
        <w:spacing w:after="0" w:line="360" w:lineRule="auto"/>
        <w:ind w:firstLine="720"/>
        <w:jc w:val="both"/>
        <w:rPr>
          <w:rFonts w:ascii="Times New Roman" w:hAnsi="Times New Roman" w:cs="Times New Roman"/>
          <w:sz w:val="28"/>
          <w:szCs w:val="28"/>
          <w:lang w:val="uk-UA"/>
        </w:rPr>
      </w:pPr>
    </w:p>
    <w:p w14:paraId="72441EB1"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На рисунку 9 наведена форма розробленої системи де пропонується оцінити кожне джерело ВДЕ базуючись на обраній території, для користувача.</w:t>
      </w:r>
    </w:p>
    <w:p w14:paraId="3A5A560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
    <w:p w14:paraId="36A30969" w14:textId="77777777"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rPr>
        <w:lastRenderedPageBreak/>
        <w:drawing>
          <wp:inline distT="0" distB="0" distL="0" distR="0" wp14:anchorId="1BC37D8D" wp14:editId="35B45620">
            <wp:extent cx="5629275" cy="3105150"/>
            <wp:effectExtent l="0" t="0" r="9525"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3">
                      <a:extLst>
                        <a:ext uri="{28A0092B-C50C-407E-A947-70E740481C1C}">
                          <a14:useLocalDpi xmlns:a14="http://schemas.microsoft.com/office/drawing/2010/main" val="0"/>
                        </a:ext>
                      </a:extLst>
                    </a:blip>
                    <a:srcRect/>
                    <a:stretch>
                      <a:fillRect/>
                    </a:stretch>
                  </pic:blipFill>
                  <pic:spPr bwMode="auto">
                    <a:xfrm>
                      <a:off x="0" y="0"/>
                      <a:ext cx="5629275" cy="3105150"/>
                    </a:xfrm>
                    <a:prstGeom prst="rect">
                      <a:avLst/>
                    </a:prstGeom>
                    <a:noFill/>
                  </pic:spPr>
                </pic:pic>
              </a:graphicData>
            </a:graphic>
          </wp:inline>
        </w:drawing>
      </w:r>
    </w:p>
    <w:p w14:paraId="29E18F2F" w14:textId="2A1CE08D"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9</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Оцінка ВДЕ від користувача</w:t>
      </w:r>
    </w:p>
    <w:p w14:paraId="4D3EB885"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
    <w:p w14:paraId="7A3993DD" w14:textId="083CE050"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Після чого користувач може обрати наявні оцінки експертів по заданій території або маючи власну групу експертів виставити оцінки для наступних критеріїв (рис</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10).</w:t>
      </w:r>
    </w:p>
    <w:p w14:paraId="0F5302C6" w14:textId="77777777"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6258E38A" wp14:editId="071DFDC7">
            <wp:extent cx="4486910" cy="3042285"/>
            <wp:effectExtent l="0" t="0" r="8890" b="5715"/>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4">
                      <a:extLst>
                        <a:ext uri="{28A0092B-C50C-407E-A947-70E740481C1C}">
                          <a14:useLocalDpi xmlns:a14="http://schemas.microsoft.com/office/drawing/2010/main" val="0"/>
                        </a:ext>
                      </a:extLst>
                    </a:blip>
                    <a:srcRect/>
                    <a:stretch>
                      <a:fillRect/>
                    </a:stretch>
                  </pic:blipFill>
                  <pic:spPr bwMode="auto">
                    <a:xfrm>
                      <a:off x="0" y="0"/>
                      <a:ext cx="4486910" cy="3042285"/>
                    </a:xfrm>
                    <a:prstGeom prst="rect">
                      <a:avLst/>
                    </a:prstGeom>
                    <a:noFill/>
                  </pic:spPr>
                </pic:pic>
              </a:graphicData>
            </a:graphic>
          </wp:inline>
        </w:drawing>
      </w:r>
    </w:p>
    <w:p w14:paraId="7E9E1D8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
    <w:p w14:paraId="12DFAC59" w14:textId="007B27B1" w:rsidR="00C14BDE" w:rsidRPr="005F0419" w:rsidRDefault="00C14BDE" w:rsidP="00C14BDE">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10</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Оцінки експертів для території</w:t>
      </w:r>
    </w:p>
    <w:p w14:paraId="29E37FD1"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
    <w:p w14:paraId="17AB3238" w14:textId="7F0D5D3F"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Для отримання результатів, шляхом моделювання невизначеності для кожного з ВДЕ та після зведення і розв’язання багатокритеріальної задачі користувач отримує рішення яке найкраще підходить для заданої території (рис</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11).</w:t>
      </w:r>
    </w:p>
    <w:p w14:paraId="5DEC806C"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noProof/>
          <w:sz w:val="28"/>
          <w:szCs w:val="28"/>
          <w:lang w:val="uk-UA"/>
        </w:rPr>
        <w:drawing>
          <wp:inline distT="0" distB="0" distL="0" distR="0" wp14:anchorId="249D6A33" wp14:editId="45FFF521">
            <wp:extent cx="5305425" cy="3133725"/>
            <wp:effectExtent l="0" t="0" r="9525" b="9525"/>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85">
                      <a:extLst>
                        <a:ext uri="{28A0092B-C50C-407E-A947-70E740481C1C}">
                          <a14:useLocalDpi xmlns:a14="http://schemas.microsoft.com/office/drawing/2010/main" val="0"/>
                        </a:ext>
                      </a:extLst>
                    </a:blip>
                    <a:srcRect/>
                    <a:stretch>
                      <a:fillRect/>
                    </a:stretch>
                  </pic:blipFill>
                  <pic:spPr bwMode="auto">
                    <a:xfrm>
                      <a:off x="0" y="0"/>
                      <a:ext cx="5305425" cy="3133725"/>
                    </a:xfrm>
                    <a:prstGeom prst="rect">
                      <a:avLst/>
                    </a:prstGeom>
                    <a:noFill/>
                  </pic:spPr>
                </pic:pic>
              </a:graphicData>
            </a:graphic>
          </wp:inline>
        </w:drawing>
      </w:r>
    </w:p>
    <w:p w14:paraId="21D23D1B" w14:textId="6FFD53D5" w:rsidR="00C14BDE" w:rsidRPr="005F0419" w:rsidRDefault="00C14BDE" w:rsidP="00D62720">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11</w:t>
      </w:r>
      <w:r w:rsidR="00D62720">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Отримання результату та даних по території</w:t>
      </w:r>
    </w:p>
    <w:p w14:paraId="197EFE8A"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
    <w:p w14:paraId="37F7C3C8"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Користувач також може завантажити звіт по даним (рисунок 12).</w:t>
      </w:r>
    </w:p>
    <w:p w14:paraId="6AF2F53F"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Цей звіт містить річні дані по території включаючи всі можливі параметри які можуть знадобитись для подальшого аналізу та прийняття рішень про впровадження рекомендованого типу ВДЕ для заданої території.</w:t>
      </w:r>
    </w:p>
    <w:p w14:paraId="07E73164" w14:textId="0EA04C59" w:rsidR="00C14BDE" w:rsidRPr="005F0419" w:rsidRDefault="00C14BDE" w:rsidP="00D62720">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Висновки</w:t>
      </w:r>
      <w:bookmarkEnd w:id="38"/>
      <w:r w:rsidRPr="005F0419">
        <w:rPr>
          <w:rFonts w:ascii="Times New Roman" w:hAnsi="Times New Roman" w:cs="Times New Roman"/>
          <w:sz w:val="28"/>
          <w:szCs w:val="28"/>
          <w:lang w:val="uk-UA"/>
        </w:rPr>
        <w:t>. Дослідження на цю тему є надзвичайно актуальним і важливими в контексті сучасних викликів, пов'язаних з енергетичною безпекою, складних і важкопрогнозованих впливів на розв'язання кліматичних питань загалом. При обранні відновлюваних джерел енергії для конкретної території, необхідно враховувати велику міру невизначеності. Ця невизначеність пов'язана з численними факторами; економічні аспекти, технічні проблеми, соціальні впливи. Врахування наявності даних факторів дало можливість зробити більш обґрунтований та ефективний  вибір відновлюваних джерел енергії, що відповідає потребам і характеристикам конкретної території.</w:t>
      </w:r>
    </w:p>
    <w:p w14:paraId="369DA18A" w14:textId="77777777" w:rsidR="00D62720" w:rsidRPr="005F0419" w:rsidRDefault="00D62720" w:rsidP="00D62720">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noProof/>
          <w:sz w:val="28"/>
          <w:szCs w:val="28"/>
          <w:lang w:val="uk-UA"/>
        </w:rPr>
        <w:lastRenderedPageBreak/>
        <w:drawing>
          <wp:inline distT="0" distB="0" distL="0" distR="0" wp14:anchorId="51A4433D" wp14:editId="25B44DBC">
            <wp:extent cx="5681980" cy="4212590"/>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6">
                      <a:extLst>
                        <a:ext uri="{28A0092B-C50C-407E-A947-70E740481C1C}">
                          <a14:useLocalDpi xmlns:a14="http://schemas.microsoft.com/office/drawing/2010/main" val="0"/>
                        </a:ext>
                      </a:extLst>
                    </a:blip>
                    <a:srcRect/>
                    <a:stretch>
                      <a:fillRect/>
                    </a:stretch>
                  </pic:blipFill>
                  <pic:spPr bwMode="auto">
                    <a:xfrm>
                      <a:off x="0" y="0"/>
                      <a:ext cx="5681980" cy="4212590"/>
                    </a:xfrm>
                    <a:prstGeom prst="rect">
                      <a:avLst/>
                    </a:prstGeom>
                    <a:noFill/>
                  </pic:spPr>
                </pic:pic>
              </a:graphicData>
            </a:graphic>
          </wp:inline>
        </w:drawing>
      </w:r>
    </w:p>
    <w:p w14:paraId="4F8237D2" w14:textId="7A5B5B8F" w:rsidR="00D62720" w:rsidRDefault="00D62720" w:rsidP="00D62720">
      <w:pPr>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sz w:val="28"/>
          <w:szCs w:val="28"/>
          <w:lang w:val="uk-UA"/>
        </w:rPr>
        <w:t>Рис</w:t>
      </w:r>
      <w:r>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12</w:t>
      </w:r>
      <w:r>
        <w:rPr>
          <w:rFonts w:ascii="Times New Roman" w:hAnsi="Times New Roman" w:cs="Times New Roman"/>
          <w:sz w:val="28"/>
          <w:szCs w:val="28"/>
          <w:lang w:val="uk-UA"/>
        </w:rPr>
        <w:t>.</w:t>
      </w:r>
      <w:r w:rsidRPr="005F0419">
        <w:rPr>
          <w:rFonts w:ascii="Times New Roman" w:hAnsi="Times New Roman" w:cs="Times New Roman"/>
          <w:sz w:val="28"/>
          <w:szCs w:val="28"/>
          <w:lang w:val="uk-UA"/>
        </w:rPr>
        <w:t xml:space="preserve"> Дані у звіті по території</w:t>
      </w:r>
    </w:p>
    <w:p w14:paraId="1DD46E3E" w14:textId="77777777" w:rsidR="00D62720" w:rsidRPr="005F0419" w:rsidRDefault="00D62720" w:rsidP="00D62720">
      <w:pPr>
        <w:spacing w:after="0" w:line="360" w:lineRule="auto"/>
        <w:ind w:firstLine="720"/>
        <w:jc w:val="center"/>
        <w:rPr>
          <w:rFonts w:ascii="Times New Roman" w:hAnsi="Times New Roman" w:cs="Times New Roman"/>
          <w:sz w:val="28"/>
          <w:szCs w:val="28"/>
          <w:lang w:val="uk-UA"/>
        </w:rPr>
      </w:pPr>
    </w:p>
    <w:p w14:paraId="4B5E887E" w14:textId="0C6D4B42"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Метод Монте-Карло, використаний </w:t>
      </w:r>
      <w:r w:rsidR="00D62720">
        <w:rPr>
          <w:rFonts w:ascii="Times New Roman" w:hAnsi="Times New Roman" w:cs="Times New Roman"/>
          <w:sz w:val="28"/>
          <w:szCs w:val="28"/>
          <w:lang w:val="uk-UA"/>
        </w:rPr>
        <w:t>у</w:t>
      </w:r>
      <w:r w:rsidRPr="005F0419">
        <w:rPr>
          <w:rFonts w:ascii="Times New Roman" w:hAnsi="Times New Roman" w:cs="Times New Roman"/>
          <w:sz w:val="28"/>
          <w:szCs w:val="28"/>
          <w:lang w:val="uk-UA"/>
        </w:rPr>
        <w:t xml:space="preserve"> дослідженні, дав змогу моделювати різноманітні сценарії для визначення оптимальних рішень. Це сприяло створенню алгоритмів та стратегій, що враховують різні умови і фактори, що впливають на вибір ВДЕ.</w:t>
      </w:r>
    </w:p>
    <w:p w14:paraId="04A72856"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Зведення рішення до задачі багатокритеріального вибору було важливим етапом у визначенні оптимального варіанту. Цей підхід дозволив врахувати різні параметри та критерії, що мають вагомий вплив на прийняття рішення, щоб відібрати найбільш підходящі альтернативи.</w:t>
      </w:r>
    </w:p>
    <w:p w14:paraId="138D4783" w14:textId="77777777" w:rsidR="00D62720"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Нормалізація критеріїв це необхідний крок для стандартизації різноманітних параметрів та критеріїв, які використовуються при оцінці різних джерел енергії. Це дозволило зробити їх порівнюваними та враховувати їхні взаємовідносини на більш об'єктивному рівні.</w:t>
      </w:r>
    </w:p>
    <w:p w14:paraId="28D17B42" w14:textId="328781DA"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lastRenderedPageBreak/>
        <w:t>Визначення вагових коефіцієнтів має значну роль у визначенні відносної важливості кожного критерію. Це дозволило зважити кожен критерій відповідно до його впливу на остаточне рішення.</w:t>
      </w:r>
    </w:p>
    <w:p w14:paraId="07725272"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Метод лінійної згортки для вирішення багатокритеріальної задачі виявився корисним інструментом для знаходження оптимальних рішень. Він надав можливість враховувати вагомість кожного критерію та відбирати рішення, що найкращим чином відповідають вимогам.</w:t>
      </w:r>
    </w:p>
    <w:p w14:paraId="47D18D1F"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Отже проведене дослідження показало, що комбінування різних методів і підходів дає перспективу більш точного та обґрунтованого вибору оптимального ВДЕ для конкретної території. Це підкреслює важливість гнучкості і комплексного підходу при вирішенні складних завдань, пов'язаних із вибором енергетичних рішень для різних регіонів України.</w:t>
      </w:r>
    </w:p>
    <w:p w14:paraId="4D1FB075"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Практичний результат дослідження полягає у можливості визначення та розгортання оптимальних джерел енергії для різних територій, що дозволяє підвищити ефективність та стабільність енергетичних систем. Використання ВДЕ є способом уникнути ризиків, пов'язаних з атомною енергетикою. Чорнобильська катастрофа показала, наскільки атомна енергетика є небезпечною, а тимчасова окупація ЗАЕС </w:t>
      </w:r>
      <w:proofErr w:type="spellStart"/>
      <w:r w:rsidRPr="005F0419">
        <w:rPr>
          <w:rFonts w:ascii="Times New Roman" w:hAnsi="Times New Roman" w:cs="Times New Roman"/>
          <w:sz w:val="28"/>
          <w:szCs w:val="28"/>
          <w:lang w:val="uk-UA"/>
        </w:rPr>
        <w:t>росією</w:t>
      </w:r>
      <w:proofErr w:type="spellEnd"/>
      <w:r w:rsidRPr="005F0419">
        <w:rPr>
          <w:rFonts w:ascii="Times New Roman" w:hAnsi="Times New Roman" w:cs="Times New Roman"/>
          <w:sz w:val="28"/>
          <w:szCs w:val="28"/>
          <w:lang w:val="uk-UA"/>
        </w:rPr>
        <w:t>, демонструє безпрецедентні акти ядерного тероризму. Отже, відновлювана енергетика – це запорука безпеки для України під час та після війни.</w:t>
      </w:r>
    </w:p>
    <w:p w14:paraId="53C15C4F"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
    <w:p w14:paraId="3BFF1A71" w14:textId="289E08A6" w:rsidR="00C14BDE" w:rsidRPr="00D62720" w:rsidRDefault="00C14BDE" w:rsidP="00D62720">
      <w:pPr>
        <w:spacing w:after="0" w:line="360" w:lineRule="auto"/>
        <w:ind w:firstLine="720"/>
        <w:jc w:val="center"/>
        <w:rPr>
          <w:rFonts w:ascii="Times New Roman" w:hAnsi="Times New Roman" w:cs="Times New Roman"/>
          <w:b/>
          <w:bCs/>
          <w:sz w:val="28"/>
          <w:szCs w:val="28"/>
          <w:lang w:val="uk-UA"/>
        </w:rPr>
      </w:pPr>
      <w:r w:rsidRPr="00D62720">
        <w:rPr>
          <w:rFonts w:ascii="Times New Roman" w:hAnsi="Times New Roman" w:cs="Times New Roman"/>
          <w:b/>
          <w:bCs/>
          <w:sz w:val="28"/>
          <w:szCs w:val="28"/>
          <w:lang w:val="uk-UA"/>
        </w:rPr>
        <w:t xml:space="preserve">Список </w:t>
      </w:r>
      <w:r w:rsidR="00D62720" w:rsidRPr="00D62720">
        <w:rPr>
          <w:rFonts w:ascii="Times New Roman" w:hAnsi="Times New Roman" w:cs="Times New Roman"/>
          <w:b/>
          <w:bCs/>
          <w:sz w:val="28"/>
          <w:szCs w:val="28"/>
          <w:lang w:val="uk-UA"/>
        </w:rPr>
        <w:t xml:space="preserve">використаної </w:t>
      </w:r>
      <w:r w:rsidRPr="00D62720">
        <w:rPr>
          <w:rFonts w:ascii="Times New Roman" w:hAnsi="Times New Roman" w:cs="Times New Roman"/>
          <w:b/>
          <w:bCs/>
          <w:sz w:val="28"/>
          <w:szCs w:val="28"/>
          <w:lang w:val="uk-UA"/>
        </w:rPr>
        <w:t>літератури</w:t>
      </w:r>
    </w:p>
    <w:p w14:paraId="3676424A" w14:textId="7F1B6367" w:rsidR="00C14BDE" w:rsidRPr="00D62720" w:rsidRDefault="00D62720" w:rsidP="00D62720">
      <w:pPr>
        <w:widowControl w:val="0"/>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sidR="00C14BDE" w:rsidRPr="00D62720">
        <w:rPr>
          <w:rFonts w:ascii="Times New Roman" w:hAnsi="Times New Roman" w:cs="Times New Roman"/>
          <w:sz w:val="28"/>
          <w:szCs w:val="28"/>
          <w:lang w:val="uk-UA"/>
        </w:rPr>
        <w:t>Вишницька</w:t>
      </w:r>
      <w:proofErr w:type="spellEnd"/>
      <w:r w:rsidRPr="00D62720">
        <w:rPr>
          <w:rFonts w:ascii="Times New Roman" w:hAnsi="Times New Roman" w:cs="Times New Roman"/>
          <w:sz w:val="28"/>
          <w:szCs w:val="28"/>
          <w:lang w:val="uk-UA"/>
        </w:rPr>
        <w:t xml:space="preserve"> А</w:t>
      </w:r>
      <w:r w:rsidR="00C14BDE" w:rsidRPr="00D62720">
        <w:rPr>
          <w:rFonts w:ascii="Times New Roman" w:hAnsi="Times New Roman" w:cs="Times New Roman"/>
          <w:sz w:val="28"/>
          <w:szCs w:val="28"/>
          <w:lang w:val="uk-UA"/>
        </w:rPr>
        <w:t xml:space="preserve">. Чому відновлювана енергетика </w:t>
      </w:r>
      <w:r>
        <w:rPr>
          <w:rFonts w:ascii="Times New Roman" w:hAnsi="Times New Roman" w:cs="Times New Roman"/>
          <w:sz w:val="28"/>
          <w:szCs w:val="28"/>
          <w:lang w:val="uk-UA"/>
        </w:rPr>
        <w:t>–</w:t>
      </w:r>
      <w:r w:rsidR="00C14BDE" w:rsidRPr="00D62720">
        <w:rPr>
          <w:rFonts w:ascii="Times New Roman" w:hAnsi="Times New Roman" w:cs="Times New Roman"/>
          <w:sz w:val="28"/>
          <w:szCs w:val="28"/>
          <w:lang w:val="uk-UA"/>
        </w:rPr>
        <w:t xml:space="preserve"> це</w:t>
      </w:r>
      <w:r>
        <w:rPr>
          <w:rFonts w:ascii="Times New Roman" w:hAnsi="Times New Roman" w:cs="Times New Roman"/>
          <w:sz w:val="28"/>
          <w:szCs w:val="28"/>
          <w:lang w:val="uk-UA"/>
        </w:rPr>
        <w:t xml:space="preserve"> </w:t>
      </w:r>
      <w:r w:rsidR="00C14BDE" w:rsidRPr="00D62720">
        <w:rPr>
          <w:rFonts w:ascii="Times New Roman" w:hAnsi="Times New Roman" w:cs="Times New Roman"/>
          <w:sz w:val="28"/>
          <w:szCs w:val="28"/>
          <w:lang w:val="uk-UA"/>
        </w:rPr>
        <w:t xml:space="preserve">запорука безпеки для України під час та після війни. </w:t>
      </w:r>
      <w:hyperlink r:id="rId487" w:history="1">
        <w:r w:rsidRPr="00612608">
          <w:rPr>
            <w:rStyle w:val="a6"/>
            <w:rFonts w:ascii="Times New Roman" w:hAnsi="Times New Roman" w:cs="Times New Roman"/>
            <w:sz w:val="28"/>
            <w:szCs w:val="28"/>
            <w:lang w:val="uk-UA"/>
          </w:rPr>
          <w:t>URL:https://ua.boell.org/uk/2023/02/22/chomu-vidnovlyuvana-enerhetyka-tse-zaporuka-bezpeky-dlya-ukrayiny-pid-chas-ta-pislya</w:t>
        </w:r>
      </w:hyperlink>
      <w:r>
        <w:rPr>
          <w:rFonts w:ascii="Times New Roman" w:hAnsi="Times New Roman" w:cs="Times New Roman"/>
          <w:sz w:val="28"/>
          <w:szCs w:val="28"/>
          <w:lang w:val="uk-UA"/>
        </w:rPr>
        <w:t xml:space="preserve"> </w:t>
      </w:r>
      <w:r w:rsidRPr="00D62720">
        <w:rPr>
          <w:rFonts w:ascii="Times New Roman" w:hAnsi="Times New Roman" w:cs="Times New Roman"/>
          <w:sz w:val="28"/>
          <w:szCs w:val="28"/>
          <w:lang w:val="uk-UA"/>
        </w:rPr>
        <w:t>(дата звернення: 24.12.2023)</w:t>
      </w:r>
    </w:p>
    <w:p w14:paraId="71D9D49E" w14:textId="74211E35" w:rsidR="00C14BDE" w:rsidRPr="00D62720" w:rsidRDefault="00D62720" w:rsidP="00D62720">
      <w:pPr>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00C14BDE" w:rsidRPr="00D62720">
        <w:rPr>
          <w:rFonts w:ascii="Times New Roman" w:hAnsi="Times New Roman" w:cs="Times New Roman"/>
          <w:sz w:val="28"/>
          <w:szCs w:val="28"/>
          <w:lang w:val="uk-UA"/>
        </w:rPr>
        <w:t>Сегеда</w:t>
      </w:r>
      <w:proofErr w:type="spellEnd"/>
      <w:r w:rsidR="00C14BDE" w:rsidRPr="00D62720">
        <w:rPr>
          <w:rFonts w:ascii="Times New Roman" w:hAnsi="Times New Roman" w:cs="Times New Roman"/>
          <w:sz w:val="28"/>
          <w:szCs w:val="28"/>
          <w:lang w:val="uk-UA"/>
        </w:rPr>
        <w:t xml:space="preserve"> І.</w:t>
      </w:r>
      <w:r w:rsidR="006E040C">
        <w:rPr>
          <w:rFonts w:ascii="Times New Roman" w:hAnsi="Times New Roman" w:cs="Times New Roman"/>
          <w:sz w:val="28"/>
          <w:szCs w:val="28"/>
          <w:lang w:val="uk-UA"/>
        </w:rPr>
        <w:t xml:space="preserve"> </w:t>
      </w:r>
      <w:r w:rsidR="00C14BDE" w:rsidRPr="00D62720">
        <w:rPr>
          <w:rFonts w:ascii="Times New Roman" w:hAnsi="Times New Roman" w:cs="Times New Roman"/>
          <w:sz w:val="28"/>
          <w:szCs w:val="28"/>
          <w:lang w:val="uk-UA"/>
        </w:rPr>
        <w:t xml:space="preserve">В., Демченко О. Е. Визначення </w:t>
      </w:r>
      <w:r w:rsidR="006E040C" w:rsidRPr="00D62720">
        <w:rPr>
          <w:rFonts w:ascii="Times New Roman" w:hAnsi="Times New Roman" w:cs="Times New Roman"/>
          <w:sz w:val="28"/>
          <w:szCs w:val="28"/>
          <w:lang w:val="uk-UA"/>
        </w:rPr>
        <w:t>відновлюваних</w:t>
      </w:r>
      <w:r w:rsidR="00C14BDE" w:rsidRPr="00D62720">
        <w:rPr>
          <w:rFonts w:ascii="Times New Roman" w:hAnsi="Times New Roman" w:cs="Times New Roman"/>
          <w:sz w:val="28"/>
          <w:szCs w:val="28"/>
          <w:lang w:val="uk-UA"/>
        </w:rPr>
        <w:t xml:space="preserve"> джерел енергії для забезпечення заданої території. </w:t>
      </w:r>
      <w:r w:rsidR="00C14BDE" w:rsidRPr="00D62720">
        <w:rPr>
          <w:rFonts w:ascii="Times New Roman" w:hAnsi="Times New Roman" w:cs="Times New Roman"/>
          <w:iCs/>
          <w:sz w:val="28"/>
          <w:szCs w:val="28"/>
          <w:lang w:val="uk-UA"/>
        </w:rPr>
        <w:t xml:space="preserve">Сучасні проблеми наукового забезпечення енергетики </w:t>
      </w:r>
      <w:r w:rsidR="00C14BDE" w:rsidRPr="00D62720">
        <w:rPr>
          <w:rFonts w:ascii="Times New Roman" w:hAnsi="Times New Roman" w:cs="Times New Roman"/>
          <w:sz w:val="28"/>
          <w:szCs w:val="28"/>
          <w:lang w:val="uk-UA"/>
        </w:rPr>
        <w:t xml:space="preserve">: матеріали ХХ </w:t>
      </w:r>
      <w:proofErr w:type="spellStart"/>
      <w:r w:rsidR="00C14BDE" w:rsidRPr="00D62720">
        <w:rPr>
          <w:rFonts w:ascii="Times New Roman" w:hAnsi="Times New Roman" w:cs="Times New Roman"/>
          <w:sz w:val="28"/>
          <w:szCs w:val="28"/>
          <w:lang w:val="uk-UA"/>
        </w:rPr>
        <w:t>Міжнар</w:t>
      </w:r>
      <w:proofErr w:type="spellEnd"/>
      <w:r w:rsidR="00C14BDE" w:rsidRPr="00D62720">
        <w:rPr>
          <w:rFonts w:ascii="Times New Roman" w:hAnsi="Times New Roman" w:cs="Times New Roman"/>
          <w:sz w:val="28"/>
          <w:szCs w:val="28"/>
          <w:lang w:val="uk-UA"/>
        </w:rPr>
        <w:t>. наук.-</w:t>
      </w:r>
      <w:proofErr w:type="spellStart"/>
      <w:r w:rsidR="00C14BDE" w:rsidRPr="00D62720">
        <w:rPr>
          <w:rFonts w:ascii="Times New Roman" w:hAnsi="Times New Roman" w:cs="Times New Roman"/>
          <w:sz w:val="28"/>
          <w:szCs w:val="28"/>
          <w:lang w:val="uk-UA"/>
        </w:rPr>
        <w:t>практ</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конф</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молод</w:t>
      </w:r>
      <w:proofErr w:type="spellEnd"/>
      <w:r w:rsidR="00C14BDE" w:rsidRPr="00D62720">
        <w:rPr>
          <w:rFonts w:ascii="Times New Roman" w:hAnsi="Times New Roman" w:cs="Times New Roman"/>
          <w:sz w:val="28"/>
          <w:szCs w:val="28"/>
          <w:lang w:val="uk-UA"/>
        </w:rPr>
        <w:t xml:space="preserve">. вчених і </w:t>
      </w:r>
      <w:proofErr w:type="spellStart"/>
      <w:r w:rsidR="00C14BDE" w:rsidRPr="00D62720">
        <w:rPr>
          <w:rFonts w:ascii="Times New Roman" w:hAnsi="Times New Roman" w:cs="Times New Roman"/>
          <w:sz w:val="28"/>
          <w:szCs w:val="28"/>
          <w:lang w:val="uk-UA"/>
        </w:rPr>
        <w:t>студ</w:t>
      </w:r>
      <w:proofErr w:type="spellEnd"/>
      <w:r w:rsidR="00C14BDE" w:rsidRPr="00D62720">
        <w:rPr>
          <w:rFonts w:ascii="Times New Roman" w:hAnsi="Times New Roman" w:cs="Times New Roman"/>
          <w:sz w:val="28"/>
          <w:szCs w:val="28"/>
          <w:lang w:val="uk-UA"/>
        </w:rPr>
        <w:t>. Київ: КПІ ім. Ігоря Сікорського, Вид-во «Політехніка», 2023. Т. 2.  С. 178–179.</w:t>
      </w:r>
    </w:p>
    <w:p w14:paraId="4CBE9308" w14:textId="45BFD064" w:rsidR="00C14BDE" w:rsidRPr="00D62720" w:rsidRDefault="006E040C" w:rsidP="00D6272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proofErr w:type="spellStart"/>
      <w:r w:rsidR="00C14BDE" w:rsidRPr="00D62720">
        <w:rPr>
          <w:rFonts w:ascii="Times New Roman" w:hAnsi="Times New Roman" w:cs="Times New Roman"/>
          <w:sz w:val="28"/>
          <w:szCs w:val="28"/>
          <w:lang w:val="uk-UA"/>
        </w:rPr>
        <w:t>How</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to</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Use</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Monte</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Carlo</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Simulation</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to</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Help</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Decision</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Making</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Towardsdatascience</w:t>
      </w:r>
      <w:proofErr w:type="spellEnd"/>
      <w:r w:rsidR="00C14BDE" w:rsidRPr="00D62720">
        <w:rPr>
          <w:rFonts w:ascii="Times New Roman" w:hAnsi="Times New Roman" w:cs="Times New Roman"/>
          <w:sz w:val="28"/>
          <w:szCs w:val="28"/>
          <w:lang w:val="uk-UA"/>
        </w:rPr>
        <w:t xml:space="preserve">. URL: </w:t>
      </w:r>
      <w:hyperlink r:id="rId488" w:history="1">
        <w:r w:rsidR="00C14BDE" w:rsidRPr="00D62720">
          <w:rPr>
            <w:rStyle w:val="a6"/>
            <w:rFonts w:ascii="Times New Roman" w:hAnsi="Times New Roman" w:cs="Times New Roman"/>
            <w:color w:val="auto"/>
            <w:sz w:val="28"/>
            <w:szCs w:val="28"/>
            <w:lang w:val="uk-UA"/>
          </w:rPr>
          <w:t>https://towardsdatascience.com/how-to-use-monte-carlo-simulation-to-help-decision-making-a0a164bc8619</w:t>
        </w:r>
      </w:hyperlink>
      <w:r w:rsidR="00C14BDE" w:rsidRPr="00D62720">
        <w:rPr>
          <w:rFonts w:ascii="Times New Roman" w:hAnsi="Times New Roman" w:cs="Times New Roman"/>
          <w:sz w:val="28"/>
          <w:szCs w:val="28"/>
          <w:lang w:val="uk-UA"/>
        </w:rPr>
        <w:t xml:space="preserve">  (дата звернення: 24.12.2023).</w:t>
      </w:r>
    </w:p>
    <w:p w14:paraId="461B6775" w14:textId="61755EAF" w:rsidR="00C14BDE" w:rsidRPr="00D62720" w:rsidRDefault="006E040C" w:rsidP="00D6272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C14BDE" w:rsidRPr="00D62720">
        <w:rPr>
          <w:rFonts w:ascii="Times New Roman" w:hAnsi="Times New Roman" w:cs="Times New Roman"/>
          <w:sz w:val="28"/>
          <w:szCs w:val="28"/>
          <w:lang w:val="uk-UA"/>
        </w:rPr>
        <w:t xml:space="preserve">Нормальний закон розподілу. Stud.com: веб сайт.  URL: </w:t>
      </w:r>
      <w:hyperlink r:id="rId489" w:history="1">
        <w:r w:rsidR="00C14BDE" w:rsidRPr="00D62720">
          <w:rPr>
            <w:rStyle w:val="a6"/>
            <w:rFonts w:ascii="Times New Roman" w:hAnsi="Times New Roman" w:cs="Times New Roman"/>
            <w:color w:val="auto"/>
            <w:sz w:val="28"/>
            <w:szCs w:val="28"/>
            <w:lang w:val="uk-UA"/>
          </w:rPr>
          <w:t>https://stud.com.ua/39338/tovaroznavstvo/normalniy_zakon_rozpodilu</w:t>
        </w:r>
      </w:hyperlink>
      <w:r w:rsidR="00C14BDE" w:rsidRPr="00D62720">
        <w:rPr>
          <w:rFonts w:ascii="Times New Roman" w:hAnsi="Times New Roman" w:cs="Times New Roman"/>
          <w:sz w:val="28"/>
          <w:szCs w:val="28"/>
          <w:lang w:val="uk-UA"/>
        </w:rPr>
        <w:t xml:space="preserve"> (дата звернення: 28.12.2023).</w:t>
      </w:r>
    </w:p>
    <w:p w14:paraId="245CCD45" w14:textId="584CEBD2" w:rsidR="00C14BDE" w:rsidRPr="00D62720" w:rsidRDefault="006E040C" w:rsidP="00D6272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proofErr w:type="spellStart"/>
      <w:r w:rsidR="00C14BDE" w:rsidRPr="00D62720">
        <w:rPr>
          <w:rFonts w:ascii="Times New Roman" w:hAnsi="Times New Roman" w:cs="Times New Roman"/>
          <w:sz w:val="28"/>
          <w:szCs w:val="28"/>
          <w:lang w:val="uk-UA"/>
        </w:rPr>
        <w:t>Мethods</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for</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decision-making</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under</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conditions</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of</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uncertainty</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and</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risk</w:t>
      </w:r>
      <w:proofErr w:type="spellEnd"/>
      <w:r w:rsidR="00C14BDE" w:rsidRPr="00D62720">
        <w:rPr>
          <w:rFonts w:ascii="Times New Roman" w:hAnsi="Times New Roman" w:cs="Times New Roman"/>
          <w:sz w:val="28"/>
          <w:szCs w:val="28"/>
          <w:lang w:val="uk-UA"/>
        </w:rPr>
        <w:t xml:space="preserve">. Researchgate.URL: </w:t>
      </w:r>
      <w:hyperlink r:id="rId490" w:history="1">
        <w:r w:rsidRPr="00612608">
          <w:rPr>
            <w:rStyle w:val="a6"/>
            <w:rFonts w:ascii="Times New Roman" w:hAnsi="Times New Roman" w:cs="Times New Roman"/>
            <w:sz w:val="28"/>
            <w:szCs w:val="28"/>
            <w:lang w:val="uk-UA"/>
          </w:rPr>
          <w:t>https://www.researchgate.net/publication/369452739_Мethods_for_decision-making_under_conditions_of_uncertainty_and_risk</w:t>
        </w:r>
      </w:hyperlink>
      <w:r w:rsidR="00C14BDE" w:rsidRPr="00D62720">
        <w:rPr>
          <w:rFonts w:ascii="Times New Roman" w:hAnsi="Times New Roman" w:cs="Times New Roman"/>
          <w:sz w:val="28"/>
          <w:szCs w:val="28"/>
          <w:lang w:val="uk-UA"/>
        </w:rPr>
        <w:t xml:space="preserve"> (дата звернення: 28.12.2023).</w:t>
      </w:r>
    </w:p>
    <w:p w14:paraId="173B9AC6" w14:textId="3C239533" w:rsidR="00C14BDE" w:rsidRPr="00D62720" w:rsidRDefault="006E040C" w:rsidP="00D6272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proofErr w:type="spellStart"/>
      <w:r w:rsidRPr="00D62720">
        <w:rPr>
          <w:rFonts w:ascii="Times New Roman" w:hAnsi="Times New Roman" w:cs="Times New Roman"/>
          <w:sz w:val="28"/>
          <w:szCs w:val="28"/>
          <w:lang w:val="uk-UA"/>
        </w:rPr>
        <w:t>Бурєннікова</w:t>
      </w:r>
      <w:proofErr w:type="spellEnd"/>
      <w:r>
        <w:rPr>
          <w:rFonts w:ascii="Times New Roman" w:hAnsi="Times New Roman" w:cs="Times New Roman"/>
          <w:sz w:val="28"/>
          <w:szCs w:val="28"/>
          <w:lang w:val="uk-UA"/>
        </w:rPr>
        <w:t xml:space="preserve"> </w:t>
      </w:r>
      <w:r w:rsidRPr="00D62720">
        <w:rPr>
          <w:rFonts w:ascii="Times New Roman" w:hAnsi="Times New Roman" w:cs="Times New Roman"/>
          <w:sz w:val="28"/>
          <w:szCs w:val="28"/>
          <w:lang w:val="uk-UA"/>
        </w:rPr>
        <w:t>Н. В., Зелінська</w:t>
      </w:r>
      <w:r>
        <w:rPr>
          <w:rFonts w:ascii="Times New Roman" w:hAnsi="Times New Roman" w:cs="Times New Roman"/>
          <w:sz w:val="28"/>
          <w:szCs w:val="28"/>
          <w:lang w:val="uk-UA"/>
        </w:rPr>
        <w:t xml:space="preserve"> О. В.</w:t>
      </w:r>
      <w:r w:rsidRPr="00D62720">
        <w:rPr>
          <w:rFonts w:ascii="Times New Roman" w:hAnsi="Times New Roman" w:cs="Times New Roman"/>
          <w:sz w:val="28"/>
          <w:szCs w:val="28"/>
          <w:lang w:val="uk-UA"/>
        </w:rPr>
        <w:t xml:space="preserve">, </w:t>
      </w:r>
      <w:proofErr w:type="spellStart"/>
      <w:r w:rsidRPr="00D62720">
        <w:rPr>
          <w:rFonts w:ascii="Times New Roman" w:hAnsi="Times New Roman" w:cs="Times New Roman"/>
          <w:sz w:val="28"/>
          <w:szCs w:val="28"/>
          <w:lang w:val="uk-UA"/>
        </w:rPr>
        <w:t>Ушкаленко</w:t>
      </w:r>
      <w:proofErr w:type="spellEnd"/>
      <w:r>
        <w:rPr>
          <w:rFonts w:ascii="Times New Roman" w:hAnsi="Times New Roman" w:cs="Times New Roman"/>
          <w:sz w:val="28"/>
          <w:szCs w:val="28"/>
          <w:lang w:val="uk-UA"/>
        </w:rPr>
        <w:t xml:space="preserve"> І. М.</w:t>
      </w:r>
      <w:r w:rsidRPr="00D62720">
        <w:rPr>
          <w:rFonts w:ascii="Times New Roman" w:hAnsi="Times New Roman" w:cs="Times New Roman"/>
          <w:sz w:val="28"/>
          <w:szCs w:val="28"/>
          <w:lang w:val="uk-UA"/>
        </w:rPr>
        <w:t xml:space="preserve">, </w:t>
      </w:r>
      <w:proofErr w:type="spellStart"/>
      <w:r w:rsidRPr="00D62720">
        <w:rPr>
          <w:rFonts w:ascii="Times New Roman" w:hAnsi="Times New Roman" w:cs="Times New Roman"/>
          <w:sz w:val="28"/>
          <w:szCs w:val="28"/>
          <w:lang w:val="uk-UA"/>
        </w:rPr>
        <w:t>Бурєнніков</w:t>
      </w:r>
      <w:proofErr w:type="spellEnd"/>
      <w:r>
        <w:rPr>
          <w:rFonts w:ascii="Times New Roman" w:hAnsi="Times New Roman" w:cs="Times New Roman"/>
          <w:sz w:val="28"/>
          <w:szCs w:val="28"/>
          <w:lang w:val="uk-UA"/>
        </w:rPr>
        <w:t xml:space="preserve"> Ю. Ю. </w:t>
      </w:r>
      <w:r w:rsidR="00C14BDE" w:rsidRPr="00D62720">
        <w:rPr>
          <w:rFonts w:ascii="Times New Roman" w:hAnsi="Times New Roman" w:cs="Times New Roman"/>
          <w:sz w:val="28"/>
          <w:szCs w:val="28"/>
          <w:lang w:val="uk-UA"/>
        </w:rPr>
        <w:t xml:space="preserve">Оптимізаційні методи та моделі : </w:t>
      </w:r>
      <w:proofErr w:type="spellStart"/>
      <w:r w:rsidR="00C14BDE" w:rsidRPr="00D62720">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w:t>
      </w:r>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посіб</w:t>
      </w:r>
      <w:proofErr w:type="spellEnd"/>
      <w:r w:rsidR="00C14BDE" w:rsidRPr="00D62720">
        <w:rPr>
          <w:rFonts w:ascii="Times New Roman" w:hAnsi="Times New Roman" w:cs="Times New Roman"/>
          <w:sz w:val="28"/>
          <w:szCs w:val="28"/>
          <w:lang w:val="uk-UA"/>
        </w:rPr>
        <w:t xml:space="preserve">. Вінниця : ВНТУ, 2019. 121 с. </w:t>
      </w:r>
      <w:r w:rsidRPr="00D62720">
        <w:rPr>
          <w:rFonts w:ascii="Times New Roman" w:hAnsi="Times New Roman" w:cs="Times New Roman"/>
          <w:sz w:val="28"/>
          <w:szCs w:val="28"/>
          <w:lang w:val="uk-UA"/>
        </w:rPr>
        <w:t xml:space="preserve">URL: </w:t>
      </w:r>
      <w:r w:rsidR="00C14BDE" w:rsidRPr="00D62720">
        <w:rPr>
          <w:rFonts w:ascii="Times New Roman" w:hAnsi="Times New Roman" w:cs="Times New Roman"/>
          <w:sz w:val="28"/>
          <w:szCs w:val="28"/>
          <w:lang w:val="uk-UA"/>
        </w:rPr>
        <w:t>https://pdf.lib.vntu.edu.ua/books/IRVC/Burennikova_2019_121.pdf.</w:t>
      </w:r>
    </w:p>
    <w:p w14:paraId="64AD5513" w14:textId="58D5CF41" w:rsidR="00C14BDE" w:rsidRPr="00D62720" w:rsidRDefault="006E040C" w:rsidP="00D6272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proofErr w:type="spellStart"/>
      <w:r w:rsidR="00C14BDE" w:rsidRPr="00D62720">
        <w:rPr>
          <w:rFonts w:ascii="Times New Roman" w:hAnsi="Times New Roman" w:cs="Times New Roman"/>
          <w:sz w:val="28"/>
          <w:szCs w:val="28"/>
          <w:lang w:val="uk-UA"/>
        </w:rPr>
        <w:t>Monte</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Carlo</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Simultions</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and</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Bootstrap</w:t>
      </w:r>
      <w:proofErr w:type="spellEnd"/>
      <w:r w:rsidR="00C14BDE" w:rsidRPr="00D62720">
        <w:rPr>
          <w:rFonts w:ascii="Times New Roman" w:hAnsi="Times New Roman" w:cs="Times New Roman"/>
          <w:sz w:val="28"/>
          <w:szCs w:val="28"/>
          <w:lang w:val="uk-UA"/>
        </w:rPr>
        <w:t xml:space="preserve">. Washington.edu. URL: </w:t>
      </w:r>
      <w:hyperlink r:id="rId491" w:history="1">
        <w:r w:rsidR="00C14BDE" w:rsidRPr="00D62720">
          <w:rPr>
            <w:rStyle w:val="a6"/>
            <w:rFonts w:ascii="Times New Roman" w:hAnsi="Times New Roman" w:cs="Times New Roman"/>
            <w:color w:val="auto"/>
            <w:sz w:val="28"/>
            <w:szCs w:val="28"/>
            <w:lang w:val="uk-UA"/>
          </w:rPr>
          <w:t>http://faculty.washington.edu/yenchic/17Sp_302/R11.pdf</w:t>
        </w:r>
      </w:hyperlink>
      <w:r w:rsidR="00C14BDE" w:rsidRPr="00D62720">
        <w:rPr>
          <w:rFonts w:ascii="Times New Roman" w:hAnsi="Times New Roman" w:cs="Times New Roman"/>
          <w:sz w:val="28"/>
          <w:szCs w:val="28"/>
          <w:lang w:val="uk-UA"/>
        </w:rPr>
        <w:t xml:space="preserve"> </w:t>
      </w:r>
      <w:bookmarkStart w:id="39" w:name="_Hlk157505188"/>
      <w:r w:rsidR="00C14BDE" w:rsidRPr="00D62720">
        <w:rPr>
          <w:rFonts w:ascii="Times New Roman" w:hAnsi="Times New Roman" w:cs="Times New Roman"/>
          <w:sz w:val="28"/>
          <w:szCs w:val="28"/>
          <w:lang w:val="uk-UA"/>
        </w:rPr>
        <w:t>(дата звернення: 24.12.2023)</w:t>
      </w:r>
      <w:bookmarkEnd w:id="39"/>
      <w:r>
        <w:rPr>
          <w:rFonts w:ascii="Times New Roman" w:hAnsi="Times New Roman" w:cs="Times New Roman"/>
          <w:sz w:val="28"/>
          <w:szCs w:val="28"/>
          <w:lang w:val="uk-UA"/>
        </w:rPr>
        <w:t>.</w:t>
      </w:r>
    </w:p>
    <w:p w14:paraId="68A5AE1D" w14:textId="2AEFD9E5" w:rsidR="00C14BDE" w:rsidRPr="00D62720" w:rsidRDefault="006E040C" w:rsidP="00D6272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proofErr w:type="spellStart"/>
      <w:r w:rsidR="00C14BDE" w:rsidRPr="00D62720">
        <w:rPr>
          <w:rFonts w:ascii="Times New Roman" w:hAnsi="Times New Roman" w:cs="Times New Roman"/>
          <w:sz w:val="28"/>
          <w:szCs w:val="28"/>
          <w:lang w:val="uk-UA"/>
        </w:rPr>
        <w:t>Негрей</w:t>
      </w:r>
      <w:proofErr w:type="spellEnd"/>
      <w:r w:rsidR="00C14BDE" w:rsidRPr="00D62720">
        <w:rPr>
          <w:rFonts w:ascii="Times New Roman" w:hAnsi="Times New Roman" w:cs="Times New Roman"/>
          <w:sz w:val="28"/>
          <w:szCs w:val="28"/>
          <w:lang w:val="uk-UA"/>
        </w:rPr>
        <w:t xml:space="preserve"> М. В., </w:t>
      </w:r>
      <w:proofErr w:type="spellStart"/>
      <w:r w:rsidR="00C14BDE" w:rsidRPr="00D62720">
        <w:rPr>
          <w:rFonts w:ascii="Times New Roman" w:hAnsi="Times New Roman" w:cs="Times New Roman"/>
          <w:sz w:val="28"/>
          <w:szCs w:val="28"/>
          <w:lang w:val="uk-UA"/>
        </w:rPr>
        <w:t>Тужик</w:t>
      </w:r>
      <w:proofErr w:type="spellEnd"/>
      <w:r w:rsidR="00C14BDE" w:rsidRPr="00D62720">
        <w:rPr>
          <w:rFonts w:ascii="Times New Roman" w:hAnsi="Times New Roman" w:cs="Times New Roman"/>
          <w:sz w:val="28"/>
          <w:szCs w:val="28"/>
          <w:lang w:val="uk-UA"/>
        </w:rPr>
        <w:t xml:space="preserve"> К. Л. Теорія прийняття рішень</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w:t>
      </w:r>
      <w:r w:rsidR="00C14BDE" w:rsidRPr="00D62720">
        <w:rPr>
          <w:rFonts w:ascii="Times New Roman" w:hAnsi="Times New Roman" w:cs="Times New Roman"/>
          <w:sz w:val="28"/>
          <w:szCs w:val="28"/>
          <w:lang w:val="uk-UA"/>
        </w:rPr>
        <w:t>авч</w:t>
      </w:r>
      <w:proofErr w:type="spellEnd"/>
      <w:r>
        <w:rPr>
          <w:rFonts w:ascii="Times New Roman" w:hAnsi="Times New Roman" w:cs="Times New Roman"/>
          <w:sz w:val="28"/>
          <w:szCs w:val="28"/>
          <w:lang w:val="uk-UA"/>
        </w:rPr>
        <w:t>.</w:t>
      </w:r>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 К.:</w:t>
      </w:r>
      <w:r w:rsidR="00C14BDE" w:rsidRPr="00D62720">
        <w:rPr>
          <w:rFonts w:ascii="Times New Roman" w:hAnsi="Times New Roman" w:cs="Times New Roman"/>
          <w:sz w:val="28"/>
          <w:szCs w:val="28"/>
          <w:lang w:val="uk-UA"/>
        </w:rPr>
        <w:t xml:space="preserve"> ЦУЛ</w:t>
      </w:r>
      <w:r>
        <w:rPr>
          <w:rFonts w:ascii="Times New Roman" w:hAnsi="Times New Roman" w:cs="Times New Roman"/>
          <w:sz w:val="28"/>
          <w:szCs w:val="28"/>
          <w:lang w:val="uk-UA"/>
        </w:rPr>
        <w:t>,</w:t>
      </w:r>
      <w:r w:rsidR="00C14BDE" w:rsidRPr="00D62720">
        <w:rPr>
          <w:rFonts w:ascii="Times New Roman" w:hAnsi="Times New Roman" w:cs="Times New Roman"/>
          <w:sz w:val="28"/>
          <w:szCs w:val="28"/>
          <w:lang w:val="uk-UA"/>
        </w:rPr>
        <w:t xml:space="preserve"> 2022. 272 с</w:t>
      </w:r>
      <w:r>
        <w:rPr>
          <w:rFonts w:ascii="Times New Roman" w:hAnsi="Times New Roman" w:cs="Times New Roman"/>
          <w:sz w:val="28"/>
          <w:szCs w:val="28"/>
          <w:lang w:val="uk-UA"/>
        </w:rPr>
        <w:t>.</w:t>
      </w:r>
    </w:p>
    <w:p w14:paraId="3715842C" w14:textId="118CAEE6" w:rsidR="00C14BDE" w:rsidRPr="00D62720" w:rsidRDefault="006E040C" w:rsidP="00D6272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00C14BDE" w:rsidRPr="00D62720">
        <w:rPr>
          <w:rFonts w:ascii="Times New Roman" w:hAnsi="Times New Roman" w:cs="Times New Roman"/>
          <w:sz w:val="28"/>
          <w:szCs w:val="28"/>
          <w:lang w:val="uk-UA"/>
        </w:rPr>
        <w:t xml:space="preserve">Економічний ризик: ігрові моделі: </w:t>
      </w:r>
      <w:proofErr w:type="spellStart"/>
      <w:r>
        <w:rPr>
          <w:rFonts w:ascii="Times New Roman" w:hAnsi="Times New Roman" w:cs="Times New Roman"/>
          <w:sz w:val="28"/>
          <w:szCs w:val="28"/>
          <w:lang w:val="uk-UA"/>
        </w:rPr>
        <w:t>н</w:t>
      </w:r>
      <w:r w:rsidR="00C14BDE" w:rsidRPr="00D62720">
        <w:rPr>
          <w:rFonts w:ascii="Times New Roman" w:hAnsi="Times New Roman" w:cs="Times New Roman"/>
          <w:sz w:val="28"/>
          <w:szCs w:val="28"/>
          <w:lang w:val="uk-UA"/>
        </w:rPr>
        <w:t>авч</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 xml:space="preserve">. </w:t>
      </w:r>
      <w:r w:rsidR="00C14BDE" w:rsidRPr="00D62720">
        <w:rPr>
          <w:rFonts w:ascii="Times New Roman" w:hAnsi="Times New Roman" w:cs="Times New Roman"/>
          <w:sz w:val="28"/>
          <w:szCs w:val="28"/>
          <w:lang w:val="uk-UA"/>
        </w:rPr>
        <w:t xml:space="preserve">За ред. В. В. </w:t>
      </w:r>
      <w:proofErr w:type="spellStart"/>
      <w:r w:rsidR="00C14BDE" w:rsidRPr="00D62720">
        <w:rPr>
          <w:rFonts w:ascii="Times New Roman" w:hAnsi="Times New Roman" w:cs="Times New Roman"/>
          <w:sz w:val="28"/>
          <w:szCs w:val="28"/>
          <w:lang w:val="uk-UA"/>
        </w:rPr>
        <w:t>Вітлінського</w:t>
      </w:r>
      <w:proofErr w:type="spellEnd"/>
      <w:r w:rsidR="00C14BDE" w:rsidRPr="00D62720">
        <w:rPr>
          <w:rFonts w:ascii="Times New Roman" w:hAnsi="Times New Roman" w:cs="Times New Roman"/>
          <w:sz w:val="28"/>
          <w:szCs w:val="28"/>
          <w:lang w:val="uk-UA"/>
        </w:rPr>
        <w:t>. К.: КНЕУ, 2002. 446 с</w:t>
      </w:r>
      <w:r>
        <w:rPr>
          <w:rFonts w:ascii="Times New Roman" w:hAnsi="Times New Roman" w:cs="Times New Roman"/>
          <w:sz w:val="28"/>
          <w:szCs w:val="28"/>
          <w:lang w:val="uk-UA"/>
        </w:rPr>
        <w:t>.</w:t>
      </w:r>
    </w:p>
    <w:p w14:paraId="4F7C6C91" w14:textId="21A719BB" w:rsidR="00C14BDE" w:rsidRPr="00D62720" w:rsidRDefault="006E040C" w:rsidP="00D6272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proofErr w:type="spellStart"/>
      <w:r w:rsidR="00C14BDE" w:rsidRPr="00D62720">
        <w:rPr>
          <w:rFonts w:ascii="Times New Roman" w:hAnsi="Times New Roman" w:cs="Times New Roman"/>
          <w:sz w:val="28"/>
          <w:szCs w:val="28"/>
          <w:lang w:val="uk-UA"/>
        </w:rPr>
        <w:t>Медиковский</w:t>
      </w:r>
      <w:proofErr w:type="spellEnd"/>
      <w:r>
        <w:rPr>
          <w:rFonts w:ascii="Times New Roman" w:hAnsi="Times New Roman" w:cs="Times New Roman"/>
          <w:sz w:val="28"/>
          <w:szCs w:val="28"/>
          <w:lang w:val="uk-UA"/>
        </w:rPr>
        <w:t xml:space="preserve"> </w:t>
      </w:r>
      <w:r w:rsidR="00C14BDE" w:rsidRPr="00D62720">
        <w:rPr>
          <w:rFonts w:ascii="Times New Roman" w:hAnsi="Times New Roman" w:cs="Times New Roman"/>
          <w:sz w:val="28"/>
          <w:szCs w:val="28"/>
          <w:lang w:val="uk-UA"/>
        </w:rPr>
        <w:t>О.</w:t>
      </w:r>
      <w:r>
        <w:rPr>
          <w:rFonts w:ascii="Times New Roman" w:hAnsi="Times New Roman" w:cs="Times New Roman"/>
          <w:sz w:val="28"/>
          <w:szCs w:val="28"/>
          <w:lang w:val="uk-UA"/>
        </w:rPr>
        <w:t xml:space="preserve"> </w:t>
      </w:r>
      <w:r w:rsidR="00C14BDE" w:rsidRPr="00D62720">
        <w:rPr>
          <w:rFonts w:ascii="Times New Roman" w:hAnsi="Times New Roman" w:cs="Times New Roman"/>
          <w:sz w:val="28"/>
          <w:szCs w:val="28"/>
          <w:lang w:val="uk-UA"/>
        </w:rPr>
        <w:t xml:space="preserve">Б. </w:t>
      </w:r>
      <w:proofErr w:type="spellStart"/>
      <w:r w:rsidR="00C14BDE" w:rsidRPr="00D62720">
        <w:rPr>
          <w:rFonts w:ascii="Times New Roman" w:hAnsi="Times New Roman" w:cs="Times New Roman"/>
          <w:sz w:val="28"/>
          <w:szCs w:val="28"/>
          <w:lang w:val="uk-UA"/>
        </w:rPr>
        <w:t>Шуневич</w:t>
      </w:r>
      <w:proofErr w:type="spellEnd"/>
      <w:r w:rsidR="00C14BDE" w:rsidRPr="00D62720">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w:t>
      </w:r>
      <w:r w:rsidR="00C14BDE" w:rsidRPr="00D62720">
        <w:rPr>
          <w:rFonts w:ascii="Times New Roman" w:hAnsi="Times New Roman" w:cs="Times New Roman"/>
          <w:sz w:val="28"/>
          <w:szCs w:val="28"/>
          <w:lang w:val="uk-UA"/>
        </w:rPr>
        <w:t xml:space="preserve">О. Дослідження ефективності методів визначення вагових коефіцієнтів. </w:t>
      </w:r>
      <w:r w:rsidR="00C14BDE" w:rsidRPr="006E040C">
        <w:rPr>
          <w:rFonts w:ascii="Times New Roman" w:hAnsi="Times New Roman" w:cs="Times New Roman"/>
          <w:iCs/>
          <w:sz w:val="28"/>
          <w:szCs w:val="28"/>
          <w:lang w:val="uk-UA"/>
        </w:rPr>
        <w:t>Вісник Хмельницького національного університету</w:t>
      </w:r>
      <w:r>
        <w:rPr>
          <w:rFonts w:ascii="Times New Roman" w:hAnsi="Times New Roman" w:cs="Times New Roman"/>
          <w:iCs/>
          <w:sz w:val="28"/>
          <w:szCs w:val="28"/>
          <w:lang w:val="uk-UA"/>
        </w:rPr>
        <w:t>. 2011.</w:t>
      </w:r>
      <w:r w:rsidR="00C14BDE" w:rsidRPr="006E040C">
        <w:rPr>
          <w:rFonts w:ascii="Times New Roman" w:hAnsi="Times New Roman" w:cs="Times New Roman"/>
          <w:iCs/>
          <w:sz w:val="28"/>
          <w:szCs w:val="28"/>
          <w:lang w:val="uk-UA"/>
        </w:rPr>
        <w:t xml:space="preserve"> </w:t>
      </w:r>
      <w:r w:rsidR="00C14BDE" w:rsidRPr="00D62720">
        <w:rPr>
          <w:rFonts w:ascii="Times New Roman" w:hAnsi="Times New Roman" w:cs="Times New Roman"/>
          <w:sz w:val="28"/>
          <w:szCs w:val="28"/>
          <w:lang w:val="uk-UA"/>
        </w:rPr>
        <w:t>№5. С. 120-123.</w:t>
      </w:r>
    </w:p>
    <w:p w14:paraId="735DD5AF" w14:textId="1ACE5CAC" w:rsidR="00C14BDE" w:rsidRPr="00D62720" w:rsidRDefault="006E040C" w:rsidP="00D62720">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proofErr w:type="spellStart"/>
      <w:r w:rsidRPr="00D62720">
        <w:rPr>
          <w:rFonts w:ascii="Times New Roman" w:hAnsi="Times New Roman" w:cs="Times New Roman"/>
          <w:sz w:val="28"/>
          <w:szCs w:val="28"/>
          <w:lang w:val="uk-UA"/>
        </w:rPr>
        <w:t>Згуровський</w:t>
      </w:r>
      <w:proofErr w:type="spellEnd"/>
      <w:r w:rsidRPr="00D62720">
        <w:rPr>
          <w:rFonts w:ascii="Times New Roman" w:hAnsi="Times New Roman" w:cs="Times New Roman"/>
          <w:sz w:val="28"/>
          <w:szCs w:val="28"/>
          <w:lang w:val="uk-UA"/>
        </w:rPr>
        <w:t xml:space="preserve"> М.</w:t>
      </w:r>
      <w:r>
        <w:rPr>
          <w:rFonts w:ascii="Times New Roman" w:hAnsi="Times New Roman" w:cs="Times New Roman"/>
          <w:sz w:val="28"/>
          <w:szCs w:val="28"/>
          <w:lang w:val="uk-UA"/>
        </w:rPr>
        <w:t xml:space="preserve"> </w:t>
      </w:r>
      <w:r w:rsidRPr="00D62720">
        <w:rPr>
          <w:rFonts w:ascii="Times New Roman" w:hAnsi="Times New Roman" w:cs="Times New Roman"/>
          <w:sz w:val="28"/>
          <w:szCs w:val="28"/>
          <w:lang w:val="uk-UA"/>
        </w:rPr>
        <w:t xml:space="preserve">З., </w:t>
      </w:r>
      <w:proofErr w:type="spellStart"/>
      <w:r w:rsidRPr="00D62720">
        <w:rPr>
          <w:rFonts w:ascii="Times New Roman" w:hAnsi="Times New Roman" w:cs="Times New Roman"/>
          <w:sz w:val="28"/>
          <w:szCs w:val="28"/>
          <w:lang w:val="uk-UA"/>
        </w:rPr>
        <w:t>Бідюк</w:t>
      </w:r>
      <w:proofErr w:type="spellEnd"/>
      <w:r w:rsidRPr="00D62720">
        <w:rPr>
          <w:rFonts w:ascii="Times New Roman" w:hAnsi="Times New Roman" w:cs="Times New Roman"/>
          <w:sz w:val="28"/>
          <w:szCs w:val="28"/>
          <w:lang w:val="uk-UA"/>
        </w:rPr>
        <w:t xml:space="preserve"> П.</w:t>
      </w:r>
      <w:r>
        <w:rPr>
          <w:rFonts w:ascii="Times New Roman" w:hAnsi="Times New Roman" w:cs="Times New Roman"/>
          <w:sz w:val="28"/>
          <w:szCs w:val="28"/>
          <w:lang w:val="uk-UA"/>
        </w:rPr>
        <w:t xml:space="preserve"> </w:t>
      </w:r>
      <w:r w:rsidRPr="00D62720">
        <w:rPr>
          <w:rFonts w:ascii="Times New Roman" w:hAnsi="Times New Roman" w:cs="Times New Roman"/>
          <w:sz w:val="28"/>
          <w:szCs w:val="28"/>
          <w:lang w:val="uk-UA"/>
        </w:rPr>
        <w:t>І., Терентьєв О.</w:t>
      </w:r>
      <w:r>
        <w:rPr>
          <w:rFonts w:ascii="Times New Roman" w:hAnsi="Times New Roman" w:cs="Times New Roman"/>
          <w:sz w:val="28"/>
          <w:szCs w:val="28"/>
          <w:lang w:val="uk-UA"/>
        </w:rPr>
        <w:t xml:space="preserve"> </w:t>
      </w:r>
      <w:r w:rsidRPr="00D62720">
        <w:rPr>
          <w:rFonts w:ascii="Times New Roman" w:hAnsi="Times New Roman" w:cs="Times New Roman"/>
          <w:sz w:val="28"/>
          <w:szCs w:val="28"/>
          <w:lang w:val="uk-UA"/>
        </w:rPr>
        <w:t xml:space="preserve">М., </w:t>
      </w:r>
      <w:proofErr w:type="spellStart"/>
      <w:r w:rsidRPr="00D62720">
        <w:rPr>
          <w:rFonts w:ascii="Times New Roman" w:hAnsi="Times New Roman" w:cs="Times New Roman"/>
          <w:sz w:val="28"/>
          <w:szCs w:val="28"/>
          <w:lang w:val="uk-UA"/>
        </w:rPr>
        <w:t>Просянкіна</w:t>
      </w:r>
      <w:proofErr w:type="spellEnd"/>
      <w:r w:rsidRPr="00D62720">
        <w:rPr>
          <w:rFonts w:ascii="Times New Roman" w:hAnsi="Times New Roman" w:cs="Times New Roman"/>
          <w:sz w:val="28"/>
          <w:szCs w:val="28"/>
          <w:lang w:val="uk-UA"/>
        </w:rPr>
        <w:t>-Жарова Т.І</w:t>
      </w:r>
      <w:r>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Байєсівські</w:t>
      </w:r>
      <w:proofErr w:type="spellEnd"/>
      <w:r w:rsidR="00C14BDE" w:rsidRPr="00D62720">
        <w:rPr>
          <w:rFonts w:ascii="Times New Roman" w:hAnsi="Times New Roman" w:cs="Times New Roman"/>
          <w:sz w:val="28"/>
          <w:szCs w:val="28"/>
          <w:lang w:val="uk-UA"/>
        </w:rPr>
        <w:t xml:space="preserve"> мережі в системах підтримки прийняття рішень. Київ: ТОВ Видавниче Підприємство «Едельвейс», 2015. 300 c.</w:t>
      </w:r>
    </w:p>
    <w:p w14:paraId="71DB80B3" w14:textId="7AB57D36" w:rsidR="00C14BDE" w:rsidRPr="00D62720" w:rsidRDefault="006E040C" w:rsidP="00D62720">
      <w:pPr>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 xml:space="preserve">12. </w:t>
      </w:r>
      <w:proofErr w:type="spellStart"/>
      <w:r w:rsidR="00C14BDE" w:rsidRPr="00D62720">
        <w:rPr>
          <w:rFonts w:ascii="Times New Roman" w:hAnsi="Times New Roman" w:cs="Times New Roman"/>
          <w:sz w:val="28"/>
          <w:szCs w:val="28"/>
          <w:lang w:val="uk-UA"/>
        </w:rPr>
        <w:t>Sebastiani</w:t>
      </w:r>
      <w:proofErr w:type="spellEnd"/>
      <w:r w:rsidR="00C14BDE" w:rsidRPr="00D62720">
        <w:rPr>
          <w:rFonts w:ascii="Times New Roman" w:hAnsi="Times New Roman" w:cs="Times New Roman"/>
          <w:sz w:val="28"/>
          <w:szCs w:val="28"/>
          <w:lang w:val="uk-UA"/>
        </w:rPr>
        <w:t xml:space="preserve"> P. </w:t>
      </w:r>
      <w:proofErr w:type="spellStart"/>
      <w:r w:rsidR="00C14BDE" w:rsidRPr="00D62720">
        <w:rPr>
          <w:rFonts w:ascii="Times New Roman" w:hAnsi="Times New Roman" w:cs="Times New Roman"/>
          <w:sz w:val="28"/>
          <w:szCs w:val="28"/>
          <w:lang w:val="uk-UA"/>
        </w:rPr>
        <w:t>and</w:t>
      </w:r>
      <w:proofErr w:type="spellEnd"/>
      <w:r w:rsidR="00C14BDE" w:rsidRPr="00D62720">
        <w:rPr>
          <w:rFonts w:ascii="Times New Roman" w:hAnsi="Times New Roman" w:cs="Times New Roman"/>
          <w:sz w:val="28"/>
          <w:szCs w:val="28"/>
          <w:lang w:val="uk-UA"/>
        </w:rPr>
        <w:t xml:space="preserve"> M. </w:t>
      </w:r>
      <w:proofErr w:type="spellStart"/>
      <w:r w:rsidR="00C14BDE" w:rsidRPr="00D62720">
        <w:rPr>
          <w:rFonts w:ascii="Times New Roman" w:hAnsi="Times New Roman" w:cs="Times New Roman"/>
          <w:sz w:val="28"/>
          <w:szCs w:val="28"/>
          <w:lang w:val="uk-UA"/>
        </w:rPr>
        <w:t>Ramoni</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Bayesian</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inference</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with</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missing</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data</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using</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bound</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and</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collapse</w:t>
      </w:r>
      <w:proofErr w:type="spellEnd"/>
      <w:r>
        <w:rPr>
          <w:rFonts w:ascii="Times New Roman" w:hAnsi="Times New Roman" w:cs="Times New Roman"/>
          <w:sz w:val="28"/>
          <w:szCs w:val="28"/>
          <w:lang w:val="uk-UA"/>
        </w:rPr>
        <w:t>.</w:t>
      </w:r>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Journal</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of</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Computational</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and</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Graphical</w:t>
      </w:r>
      <w:proofErr w:type="spellEnd"/>
      <w:r w:rsidR="00C14BDE" w:rsidRPr="00D62720">
        <w:rPr>
          <w:rFonts w:ascii="Times New Roman" w:hAnsi="Times New Roman" w:cs="Times New Roman"/>
          <w:sz w:val="28"/>
          <w:szCs w:val="28"/>
          <w:lang w:val="uk-UA"/>
        </w:rPr>
        <w:t xml:space="preserve"> </w:t>
      </w:r>
      <w:proofErr w:type="spellStart"/>
      <w:r w:rsidR="00C14BDE" w:rsidRPr="00D62720">
        <w:rPr>
          <w:rFonts w:ascii="Times New Roman" w:hAnsi="Times New Roman" w:cs="Times New Roman"/>
          <w:sz w:val="28"/>
          <w:szCs w:val="28"/>
          <w:lang w:val="uk-UA"/>
        </w:rPr>
        <w:t>Statistics</w:t>
      </w:r>
      <w:proofErr w:type="spellEnd"/>
      <w:r w:rsidR="00C14BDE" w:rsidRPr="00D62720">
        <w:rPr>
          <w:rFonts w:ascii="Times New Roman" w:hAnsi="Times New Roman" w:cs="Times New Roman"/>
          <w:sz w:val="28"/>
          <w:szCs w:val="28"/>
          <w:lang w:val="uk-UA"/>
        </w:rPr>
        <w:t xml:space="preserve">. 2000. </w:t>
      </w:r>
      <w:proofErr w:type="spellStart"/>
      <w:r w:rsidR="00C14BDE" w:rsidRPr="00D62720">
        <w:rPr>
          <w:rFonts w:ascii="Times New Roman" w:hAnsi="Times New Roman" w:cs="Times New Roman"/>
          <w:sz w:val="28"/>
          <w:szCs w:val="28"/>
          <w:lang w:val="uk-UA"/>
        </w:rPr>
        <w:t>Vol</w:t>
      </w:r>
      <w:proofErr w:type="spellEnd"/>
      <w:r w:rsidR="00C14BDE" w:rsidRPr="00D62720">
        <w:rPr>
          <w:rFonts w:ascii="Times New Roman" w:hAnsi="Times New Roman" w:cs="Times New Roman"/>
          <w:sz w:val="28"/>
          <w:szCs w:val="28"/>
          <w:lang w:val="uk-UA"/>
        </w:rPr>
        <w:t>. 9</w:t>
      </w:r>
      <w:r>
        <w:rPr>
          <w:rFonts w:ascii="Times New Roman" w:hAnsi="Times New Roman" w:cs="Times New Roman"/>
          <w:sz w:val="28"/>
          <w:szCs w:val="28"/>
          <w:lang w:val="uk-UA"/>
        </w:rPr>
        <w:t xml:space="preserve">. </w:t>
      </w:r>
      <w:r w:rsidR="00C14BDE" w:rsidRPr="00D62720">
        <w:rPr>
          <w:rFonts w:ascii="Times New Roman" w:hAnsi="Times New Roman" w:cs="Times New Roman"/>
          <w:sz w:val="28"/>
          <w:szCs w:val="28"/>
          <w:lang w:val="uk-UA"/>
        </w:rPr>
        <w:t>№ 4. P. 779-800.</w:t>
      </w:r>
    </w:p>
    <w:p w14:paraId="5249EC1D" w14:textId="79E74FB2" w:rsidR="00C14BDE" w:rsidRPr="005F0419" w:rsidRDefault="00C14BDE" w:rsidP="00C14BDE">
      <w:pPr>
        <w:spacing w:after="0" w:line="360" w:lineRule="auto"/>
        <w:ind w:firstLine="720"/>
        <w:jc w:val="both"/>
        <w:rPr>
          <w:rFonts w:ascii="Times New Roman" w:hAnsi="Times New Roman" w:cs="Times New Roman"/>
          <w:i/>
          <w:iCs/>
          <w:sz w:val="28"/>
          <w:szCs w:val="28"/>
          <w:lang w:val="uk-UA"/>
        </w:rPr>
      </w:pPr>
      <w:r w:rsidRPr="005F0419">
        <w:rPr>
          <w:rFonts w:ascii="Times New Roman" w:hAnsi="Times New Roman" w:cs="Times New Roman"/>
          <w:b/>
          <w:bCs/>
          <w:i/>
          <w:iCs/>
          <w:sz w:val="28"/>
          <w:szCs w:val="28"/>
          <w:lang w:val="uk-UA"/>
        </w:rPr>
        <w:lastRenderedPageBreak/>
        <w:t>Ключові слова:</w:t>
      </w:r>
      <w:r w:rsidRPr="005F0419">
        <w:rPr>
          <w:rFonts w:ascii="Times New Roman" w:hAnsi="Times New Roman" w:cs="Times New Roman"/>
          <w:i/>
          <w:iCs/>
          <w:sz w:val="28"/>
          <w:szCs w:val="28"/>
          <w:lang w:val="uk-UA"/>
        </w:rPr>
        <w:t xml:space="preserve"> відновлювальні джерела енергії, програмна система, метод Монте-Карло, нормалізація критеріїв, вагові коефіцієнти, метод лінійної згортки</w:t>
      </w:r>
      <w:r w:rsidR="006E040C">
        <w:rPr>
          <w:rFonts w:ascii="Times New Roman" w:hAnsi="Times New Roman" w:cs="Times New Roman"/>
          <w:i/>
          <w:iCs/>
          <w:sz w:val="28"/>
          <w:szCs w:val="28"/>
          <w:lang w:val="uk-UA"/>
        </w:rPr>
        <w:t>.</w:t>
      </w:r>
    </w:p>
    <w:p w14:paraId="78F3FCAF" w14:textId="77777777" w:rsidR="00C14BDE" w:rsidRPr="005F0419" w:rsidRDefault="00C14BDE" w:rsidP="00C14BDE">
      <w:pPr>
        <w:spacing w:after="0" w:line="360" w:lineRule="auto"/>
        <w:ind w:firstLine="720"/>
        <w:rPr>
          <w:rFonts w:ascii="Times New Roman" w:hAnsi="Times New Roman" w:cs="Times New Roman"/>
          <w:sz w:val="28"/>
          <w:szCs w:val="28"/>
          <w:lang w:val="uk-UA"/>
        </w:rPr>
      </w:pPr>
    </w:p>
    <w:p w14:paraId="4331B1D9" w14:textId="77777777" w:rsidR="00C14BDE" w:rsidRPr="005F0419" w:rsidRDefault="00C14BDE" w:rsidP="00C14BDE">
      <w:pPr>
        <w:spacing w:after="0" w:line="360" w:lineRule="auto"/>
        <w:ind w:firstLine="720"/>
        <w:jc w:val="both"/>
        <w:rPr>
          <w:rFonts w:ascii="Times New Roman" w:hAnsi="Times New Roman" w:cs="Times New Roman"/>
          <w:sz w:val="28"/>
          <w:szCs w:val="28"/>
          <w:lang w:val="uk-UA"/>
        </w:rPr>
      </w:pPr>
    </w:p>
    <w:p w14:paraId="7BD2026D" w14:textId="77777777" w:rsidR="00662012" w:rsidRPr="005F0419" w:rsidRDefault="00662012" w:rsidP="00662012">
      <w:pPr>
        <w:spacing w:after="0" w:line="360" w:lineRule="auto"/>
        <w:ind w:firstLine="720"/>
        <w:jc w:val="both"/>
        <w:rPr>
          <w:rFonts w:ascii="Times New Roman" w:hAnsi="Times New Roman" w:cs="Times New Roman"/>
          <w:sz w:val="28"/>
          <w:szCs w:val="28"/>
          <w:lang w:val="uk-UA"/>
        </w:rPr>
      </w:pPr>
    </w:p>
    <w:p w14:paraId="2B33CFC2" w14:textId="2A164A16" w:rsidR="008C58D4" w:rsidRPr="005F0419" w:rsidRDefault="00793E04" w:rsidP="00793E04">
      <w:pPr>
        <w:pageBreakBefore/>
        <w:widowControl w:val="0"/>
        <w:spacing w:after="0" w:line="360" w:lineRule="auto"/>
        <w:ind w:firstLine="720"/>
        <w:jc w:val="center"/>
        <w:rPr>
          <w:rFonts w:ascii="Times New Roman" w:hAnsi="Times New Roman" w:cs="Times New Roman"/>
          <w:b/>
          <w:bCs/>
          <w:caps/>
          <w:sz w:val="28"/>
          <w:szCs w:val="28"/>
          <w:lang w:val="uk-UA"/>
        </w:rPr>
      </w:pPr>
      <w:r w:rsidRPr="005F0419">
        <w:rPr>
          <w:rFonts w:ascii="Times New Roman" w:hAnsi="Times New Roman" w:cs="Times New Roman"/>
          <w:b/>
          <w:bCs/>
          <w:caps/>
          <w:sz w:val="28"/>
          <w:szCs w:val="28"/>
          <w:lang w:val="uk-UA"/>
        </w:rPr>
        <w:lastRenderedPageBreak/>
        <w:t>Колектив авторів</w:t>
      </w:r>
    </w:p>
    <w:p w14:paraId="275C4139" w14:textId="77777777" w:rsidR="001F7ACC" w:rsidRPr="005F0419" w:rsidRDefault="001F7ACC" w:rsidP="00662012">
      <w:pPr>
        <w:spacing w:after="0" w:line="360" w:lineRule="auto"/>
        <w:ind w:firstLine="720"/>
        <w:jc w:val="both"/>
        <w:rPr>
          <w:rFonts w:ascii="Times New Roman" w:hAnsi="Times New Roman" w:cs="Times New Roman"/>
          <w:bCs/>
          <w:i/>
          <w:iCs/>
          <w:sz w:val="28"/>
          <w:szCs w:val="28"/>
          <w:lang w:val="uk-UA"/>
        </w:rPr>
      </w:pPr>
    </w:p>
    <w:p w14:paraId="1BECC5EE" w14:textId="7BFF3E2A" w:rsidR="001F7ACC" w:rsidRPr="005F0419" w:rsidRDefault="001F7ACC" w:rsidP="00662012">
      <w:pPr>
        <w:spacing w:after="0" w:line="360" w:lineRule="auto"/>
        <w:ind w:firstLine="720"/>
        <w:jc w:val="both"/>
        <w:rPr>
          <w:rFonts w:ascii="Times New Roman" w:hAnsi="Times New Roman" w:cs="Times New Roman"/>
          <w:bCs/>
          <w:i/>
          <w:iCs/>
          <w:sz w:val="28"/>
          <w:szCs w:val="28"/>
          <w:lang w:val="uk-UA"/>
        </w:rPr>
      </w:pPr>
      <w:proofErr w:type="spellStart"/>
      <w:r w:rsidRPr="005F0419">
        <w:rPr>
          <w:rFonts w:ascii="Times New Roman" w:hAnsi="Times New Roman" w:cs="Times New Roman"/>
          <w:b/>
          <w:i/>
          <w:iCs/>
          <w:sz w:val="28"/>
          <w:szCs w:val="28"/>
          <w:lang w:val="uk-UA"/>
        </w:rPr>
        <w:t>Балджи</w:t>
      </w:r>
      <w:proofErr w:type="spellEnd"/>
      <w:r w:rsidRPr="005F0419">
        <w:rPr>
          <w:rFonts w:ascii="Times New Roman" w:hAnsi="Times New Roman" w:cs="Times New Roman"/>
          <w:b/>
          <w:i/>
          <w:iCs/>
          <w:sz w:val="28"/>
          <w:szCs w:val="28"/>
          <w:lang w:val="uk-UA"/>
        </w:rPr>
        <w:t xml:space="preserve"> Марина Дмитрівна</w:t>
      </w:r>
      <w:r w:rsidRPr="005F0419">
        <w:rPr>
          <w:rFonts w:ascii="Times New Roman" w:hAnsi="Times New Roman" w:cs="Times New Roman"/>
          <w:bCs/>
          <w:i/>
          <w:iCs/>
          <w:sz w:val="28"/>
          <w:szCs w:val="28"/>
          <w:lang w:val="uk-UA"/>
        </w:rPr>
        <w:t xml:space="preserve"> – д-р </w:t>
      </w:r>
      <w:proofErr w:type="spellStart"/>
      <w:r w:rsidRPr="005F0419">
        <w:rPr>
          <w:rFonts w:ascii="Times New Roman" w:hAnsi="Times New Roman" w:cs="Times New Roman"/>
          <w:bCs/>
          <w:i/>
          <w:iCs/>
          <w:sz w:val="28"/>
          <w:szCs w:val="28"/>
          <w:lang w:val="uk-UA"/>
        </w:rPr>
        <w:t>екон</w:t>
      </w:r>
      <w:proofErr w:type="spellEnd"/>
      <w:r w:rsidRPr="005F0419">
        <w:rPr>
          <w:rFonts w:ascii="Times New Roman" w:hAnsi="Times New Roman" w:cs="Times New Roman"/>
          <w:bCs/>
          <w:i/>
          <w:iCs/>
          <w:sz w:val="28"/>
          <w:szCs w:val="28"/>
          <w:lang w:val="uk-UA"/>
        </w:rPr>
        <w:t>. наук, професор, професор кафедри менеджменту</w:t>
      </w:r>
      <w:r w:rsidR="007E5D03" w:rsidRPr="005F0419">
        <w:rPr>
          <w:rFonts w:ascii="Times New Roman" w:hAnsi="Times New Roman" w:cs="Times New Roman"/>
          <w:bCs/>
          <w:i/>
          <w:iCs/>
          <w:sz w:val="28"/>
          <w:szCs w:val="28"/>
          <w:lang w:val="uk-UA"/>
        </w:rPr>
        <w:t>,</w:t>
      </w:r>
      <w:r w:rsidRPr="005F0419">
        <w:rPr>
          <w:rFonts w:ascii="Times New Roman" w:hAnsi="Times New Roman" w:cs="Times New Roman"/>
          <w:bCs/>
          <w:i/>
          <w:iCs/>
          <w:sz w:val="28"/>
          <w:szCs w:val="28"/>
          <w:lang w:val="uk-UA"/>
        </w:rPr>
        <w:t xml:space="preserve"> Міжнародн</w:t>
      </w:r>
      <w:r w:rsidR="007E5D03" w:rsidRPr="005F0419">
        <w:rPr>
          <w:rFonts w:ascii="Times New Roman" w:hAnsi="Times New Roman" w:cs="Times New Roman"/>
          <w:bCs/>
          <w:i/>
          <w:iCs/>
          <w:sz w:val="28"/>
          <w:szCs w:val="28"/>
          <w:lang w:val="uk-UA"/>
        </w:rPr>
        <w:t>ий</w:t>
      </w:r>
      <w:r w:rsidRPr="005F0419">
        <w:rPr>
          <w:rFonts w:ascii="Times New Roman" w:hAnsi="Times New Roman" w:cs="Times New Roman"/>
          <w:bCs/>
          <w:i/>
          <w:iCs/>
          <w:sz w:val="28"/>
          <w:szCs w:val="28"/>
          <w:lang w:val="uk-UA"/>
        </w:rPr>
        <w:t xml:space="preserve"> гуманітарн</w:t>
      </w:r>
      <w:r w:rsidR="007E5D03" w:rsidRPr="005F0419">
        <w:rPr>
          <w:rFonts w:ascii="Times New Roman" w:hAnsi="Times New Roman" w:cs="Times New Roman"/>
          <w:bCs/>
          <w:i/>
          <w:iCs/>
          <w:sz w:val="28"/>
          <w:szCs w:val="28"/>
          <w:lang w:val="uk-UA"/>
        </w:rPr>
        <w:t>ий</w:t>
      </w:r>
      <w:r w:rsidRPr="005F0419">
        <w:rPr>
          <w:rFonts w:ascii="Times New Roman" w:hAnsi="Times New Roman" w:cs="Times New Roman"/>
          <w:bCs/>
          <w:i/>
          <w:iCs/>
          <w:sz w:val="28"/>
          <w:szCs w:val="28"/>
          <w:lang w:val="uk-UA"/>
        </w:rPr>
        <w:t xml:space="preserve"> університет, м. Одеса</w:t>
      </w:r>
    </w:p>
    <w:p w14:paraId="067B3633" w14:textId="6C7955CD" w:rsidR="001F7ACC" w:rsidRPr="005F0419" w:rsidRDefault="001F7ACC" w:rsidP="001F7ACC">
      <w:pPr>
        <w:spacing w:after="0" w:line="360" w:lineRule="auto"/>
        <w:ind w:firstLine="720"/>
        <w:jc w:val="both"/>
        <w:rPr>
          <w:rFonts w:ascii="Times New Roman" w:hAnsi="Times New Roman" w:cs="Times New Roman"/>
          <w:i/>
          <w:iCs/>
          <w:sz w:val="28"/>
          <w:szCs w:val="28"/>
          <w:lang w:val="uk-UA"/>
        </w:rPr>
      </w:pPr>
      <w:proofErr w:type="spellStart"/>
      <w:r w:rsidRPr="005F0419">
        <w:rPr>
          <w:rFonts w:ascii="Times New Roman" w:hAnsi="Times New Roman" w:cs="Times New Roman"/>
          <w:b/>
          <w:i/>
          <w:iCs/>
          <w:sz w:val="28"/>
          <w:szCs w:val="28"/>
          <w:lang w:val="uk-UA"/>
        </w:rPr>
        <w:t>Бондаревська</w:t>
      </w:r>
      <w:proofErr w:type="spellEnd"/>
      <w:r w:rsidRPr="005F0419">
        <w:rPr>
          <w:rFonts w:ascii="Times New Roman" w:hAnsi="Times New Roman" w:cs="Times New Roman"/>
          <w:b/>
          <w:i/>
          <w:iCs/>
          <w:sz w:val="28"/>
          <w:szCs w:val="28"/>
          <w:lang w:val="uk-UA"/>
        </w:rPr>
        <w:t xml:space="preserve"> Ксенія</w:t>
      </w:r>
      <w:r w:rsidR="00E545BC" w:rsidRPr="005F0419">
        <w:rPr>
          <w:rFonts w:ascii="Times New Roman" w:hAnsi="Times New Roman" w:cs="Times New Roman"/>
          <w:b/>
          <w:i/>
          <w:iCs/>
          <w:sz w:val="28"/>
          <w:szCs w:val="28"/>
          <w:lang w:val="uk-UA"/>
        </w:rPr>
        <w:t xml:space="preserve"> Валентинівна</w:t>
      </w:r>
      <w:r w:rsidRPr="005F0419">
        <w:rPr>
          <w:rFonts w:ascii="Times New Roman" w:hAnsi="Times New Roman" w:cs="Times New Roman"/>
          <w:bCs/>
          <w:i/>
          <w:iCs/>
          <w:sz w:val="28"/>
          <w:szCs w:val="28"/>
          <w:lang w:val="uk-UA"/>
        </w:rPr>
        <w:t xml:space="preserve"> – </w:t>
      </w:r>
      <w:r w:rsidRPr="005F0419">
        <w:rPr>
          <w:rFonts w:ascii="Times New Roman" w:hAnsi="Times New Roman" w:cs="Times New Roman"/>
          <w:i/>
          <w:iCs/>
          <w:sz w:val="28"/>
          <w:szCs w:val="28"/>
          <w:lang w:val="uk-UA"/>
        </w:rPr>
        <w:t>д</w:t>
      </w:r>
      <w:r w:rsidR="00932C41" w:rsidRPr="005F0419">
        <w:rPr>
          <w:rFonts w:ascii="Times New Roman" w:hAnsi="Times New Roman" w:cs="Times New Roman"/>
          <w:i/>
          <w:iCs/>
          <w:sz w:val="28"/>
          <w:szCs w:val="28"/>
          <w:lang w:val="uk-UA"/>
        </w:rPr>
        <w:t>-р</w:t>
      </w:r>
      <w:r w:rsidRPr="005F0419">
        <w:rPr>
          <w:rFonts w:ascii="Times New Roman" w:hAnsi="Times New Roman" w:cs="Times New Roman"/>
          <w:i/>
          <w:iCs/>
          <w:sz w:val="28"/>
          <w:szCs w:val="28"/>
          <w:lang w:val="uk-UA"/>
        </w:rPr>
        <w:t>.</w:t>
      </w:r>
      <w:r w:rsidR="00932C41" w:rsidRPr="005F0419">
        <w:rPr>
          <w:rFonts w:ascii="Times New Roman" w:hAnsi="Times New Roman" w:cs="Times New Roman"/>
          <w:i/>
          <w:iCs/>
          <w:sz w:val="28"/>
          <w:szCs w:val="28"/>
          <w:lang w:val="uk-UA"/>
        </w:rPr>
        <w:t xml:space="preserve"> </w:t>
      </w:r>
      <w:proofErr w:type="spellStart"/>
      <w:r w:rsidRPr="005F0419">
        <w:rPr>
          <w:rFonts w:ascii="Times New Roman" w:hAnsi="Times New Roman" w:cs="Times New Roman"/>
          <w:i/>
          <w:iCs/>
          <w:sz w:val="28"/>
          <w:szCs w:val="28"/>
          <w:lang w:val="uk-UA"/>
        </w:rPr>
        <w:t>е</w:t>
      </w:r>
      <w:r w:rsidR="00932C41" w:rsidRPr="005F0419">
        <w:rPr>
          <w:rFonts w:ascii="Times New Roman" w:hAnsi="Times New Roman" w:cs="Times New Roman"/>
          <w:i/>
          <w:iCs/>
          <w:sz w:val="28"/>
          <w:szCs w:val="28"/>
          <w:lang w:val="uk-UA"/>
        </w:rPr>
        <w:t>кон</w:t>
      </w:r>
      <w:proofErr w:type="spellEnd"/>
      <w:r w:rsidRPr="005F0419">
        <w:rPr>
          <w:rFonts w:ascii="Times New Roman" w:hAnsi="Times New Roman" w:cs="Times New Roman"/>
          <w:i/>
          <w:iCs/>
          <w:sz w:val="28"/>
          <w:szCs w:val="28"/>
          <w:lang w:val="uk-UA"/>
        </w:rPr>
        <w:t>.</w:t>
      </w:r>
      <w:r w:rsidR="00932C41" w:rsidRPr="005F0419">
        <w:rPr>
          <w:rFonts w:ascii="Times New Roman" w:hAnsi="Times New Roman" w:cs="Times New Roman"/>
          <w:i/>
          <w:iCs/>
          <w:sz w:val="28"/>
          <w:szCs w:val="28"/>
          <w:lang w:val="uk-UA"/>
        </w:rPr>
        <w:t xml:space="preserve"> </w:t>
      </w:r>
      <w:r w:rsidRPr="005F0419">
        <w:rPr>
          <w:rFonts w:ascii="Times New Roman" w:hAnsi="Times New Roman" w:cs="Times New Roman"/>
          <w:i/>
          <w:iCs/>
          <w:sz w:val="28"/>
          <w:szCs w:val="28"/>
          <w:lang w:val="uk-UA"/>
        </w:rPr>
        <w:t>н</w:t>
      </w:r>
      <w:r w:rsidR="00932C41" w:rsidRPr="005F0419">
        <w:rPr>
          <w:rFonts w:ascii="Times New Roman" w:hAnsi="Times New Roman" w:cs="Times New Roman"/>
          <w:i/>
          <w:iCs/>
          <w:sz w:val="28"/>
          <w:szCs w:val="28"/>
          <w:lang w:val="uk-UA"/>
        </w:rPr>
        <w:t>аук</w:t>
      </w:r>
      <w:r w:rsidRPr="005F0419">
        <w:rPr>
          <w:rFonts w:ascii="Times New Roman" w:hAnsi="Times New Roman" w:cs="Times New Roman"/>
          <w:i/>
          <w:iCs/>
          <w:sz w:val="28"/>
          <w:szCs w:val="28"/>
          <w:lang w:val="uk-UA"/>
        </w:rPr>
        <w:t>, професор, професор кафедри соціального забезпечення та податкової політики</w:t>
      </w:r>
      <w:r w:rsidR="007E5D03" w:rsidRPr="005F0419">
        <w:rPr>
          <w:rFonts w:ascii="Times New Roman" w:hAnsi="Times New Roman" w:cs="Times New Roman"/>
          <w:i/>
          <w:iCs/>
          <w:sz w:val="28"/>
          <w:szCs w:val="28"/>
          <w:lang w:val="uk-UA"/>
        </w:rPr>
        <w:t>,</w:t>
      </w:r>
      <w:r w:rsidRPr="005F0419">
        <w:rPr>
          <w:rFonts w:ascii="Times New Roman" w:hAnsi="Times New Roman" w:cs="Times New Roman"/>
          <w:i/>
          <w:iCs/>
          <w:sz w:val="28"/>
          <w:szCs w:val="28"/>
          <w:lang w:val="uk-UA"/>
        </w:rPr>
        <w:t xml:space="preserve"> Університет митної справи та фінансів, м. Дніпро</w:t>
      </w:r>
    </w:p>
    <w:p w14:paraId="69199D85" w14:textId="7EE6B45A" w:rsidR="00571B42" w:rsidRPr="00571B42" w:rsidRDefault="00571B42" w:rsidP="00571B42">
      <w:pPr>
        <w:spacing w:after="0" w:line="360" w:lineRule="auto"/>
        <w:ind w:firstLine="720"/>
        <w:jc w:val="both"/>
        <w:rPr>
          <w:rFonts w:ascii="Times New Roman" w:hAnsi="Times New Roman" w:cs="Times New Roman"/>
          <w:bCs/>
          <w:i/>
          <w:iCs/>
          <w:sz w:val="28"/>
          <w:szCs w:val="28"/>
          <w:lang w:val="uk-UA"/>
        </w:rPr>
      </w:pPr>
      <w:r w:rsidRPr="00571B42">
        <w:rPr>
          <w:rFonts w:ascii="Times New Roman" w:hAnsi="Times New Roman" w:cs="Times New Roman"/>
          <w:b/>
          <w:bCs/>
          <w:i/>
          <w:iCs/>
          <w:sz w:val="28"/>
          <w:szCs w:val="28"/>
          <w:lang w:val="uk-UA"/>
        </w:rPr>
        <w:t>Власюк Карина Вікторівна</w:t>
      </w:r>
      <w:r>
        <w:rPr>
          <w:rFonts w:ascii="Times New Roman" w:hAnsi="Times New Roman" w:cs="Times New Roman"/>
          <w:b/>
          <w:bCs/>
          <w:i/>
          <w:iCs/>
          <w:sz w:val="28"/>
          <w:szCs w:val="28"/>
          <w:lang w:val="uk-UA"/>
        </w:rPr>
        <w:t xml:space="preserve"> </w:t>
      </w:r>
      <w:r w:rsidRPr="00571B42">
        <w:rPr>
          <w:rFonts w:ascii="Times New Roman" w:hAnsi="Times New Roman" w:cs="Times New Roman"/>
          <w:bCs/>
          <w:i/>
          <w:iCs/>
          <w:sz w:val="28"/>
          <w:szCs w:val="28"/>
          <w:lang w:val="uk-UA"/>
        </w:rPr>
        <w:t xml:space="preserve">– аспірантка кафедри менеджменту, старший викладач кафедри </w:t>
      </w:r>
      <w:proofErr w:type="spellStart"/>
      <w:r w:rsidRPr="005F0419">
        <w:rPr>
          <w:rFonts w:ascii="Times New Roman" w:hAnsi="Times New Roman" w:cs="Times New Roman"/>
          <w:i/>
          <w:iCs/>
          <w:sz w:val="28"/>
          <w:szCs w:val="28"/>
          <w:lang w:val="uk-UA"/>
        </w:rPr>
        <w:t>готельно</w:t>
      </w:r>
      <w:proofErr w:type="spellEnd"/>
      <w:r w:rsidRPr="005F0419">
        <w:rPr>
          <w:rFonts w:ascii="Times New Roman" w:hAnsi="Times New Roman" w:cs="Times New Roman"/>
          <w:i/>
          <w:iCs/>
          <w:sz w:val="28"/>
          <w:szCs w:val="28"/>
          <w:lang w:val="uk-UA"/>
        </w:rPr>
        <w:t>-ресторанного та туристичного бізнесу</w:t>
      </w:r>
      <w:r>
        <w:rPr>
          <w:rFonts w:ascii="Times New Roman" w:hAnsi="Times New Roman" w:cs="Times New Roman"/>
          <w:i/>
          <w:iCs/>
          <w:sz w:val="28"/>
          <w:szCs w:val="28"/>
          <w:lang w:val="uk-UA"/>
        </w:rPr>
        <w:t xml:space="preserve">, </w:t>
      </w:r>
      <w:r w:rsidRPr="00571B42">
        <w:rPr>
          <w:rFonts w:ascii="Times New Roman" w:hAnsi="Times New Roman" w:cs="Times New Roman"/>
          <w:bCs/>
          <w:i/>
          <w:iCs/>
          <w:sz w:val="28"/>
          <w:szCs w:val="28"/>
          <w:lang w:val="uk-UA"/>
        </w:rPr>
        <w:t>Міжнародний гуманітарний університет, м. Одеса</w:t>
      </w:r>
    </w:p>
    <w:p w14:paraId="553E110D" w14:textId="6B885B0B" w:rsidR="00932C41" w:rsidRPr="005F0419" w:rsidRDefault="007E5D03" w:rsidP="007E5D03">
      <w:pPr>
        <w:spacing w:after="0" w:line="360" w:lineRule="auto"/>
        <w:ind w:firstLine="720"/>
        <w:jc w:val="both"/>
        <w:rPr>
          <w:rFonts w:ascii="Times New Roman" w:hAnsi="Times New Roman" w:cs="Times New Roman"/>
          <w:i/>
          <w:iCs/>
          <w:sz w:val="28"/>
          <w:szCs w:val="28"/>
          <w:lang w:val="uk-UA"/>
        </w:rPr>
      </w:pPr>
      <w:proofErr w:type="spellStart"/>
      <w:r w:rsidRPr="005F0419">
        <w:rPr>
          <w:rFonts w:ascii="Times New Roman" w:hAnsi="Times New Roman" w:cs="Times New Roman"/>
          <w:b/>
          <w:bCs/>
          <w:i/>
          <w:iCs/>
          <w:sz w:val="28"/>
          <w:szCs w:val="28"/>
          <w:lang w:val="uk-UA"/>
        </w:rPr>
        <w:t>Гищук</w:t>
      </w:r>
      <w:proofErr w:type="spellEnd"/>
      <w:r w:rsidRPr="005F0419">
        <w:rPr>
          <w:rFonts w:ascii="Times New Roman" w:hAnsi="Times New Roman" w:cs="Times New Roman"/>
          <w:b/>
          <w:bCs/>
          <w:i/>
          <w:iCs/>
          <w:sz w:val="28"/>
          <w:szCs w:val="28"/>
          <w:lang w:val="uk-UA"/>
        </w:rPr>
        <w:t xml:space="preserve"> Роман Миколайович – </w:t>
      </w:r>
      <w:proofErr w:type="spellStart"/>
      <w:r w:rsidRPr="005F0419">
        <w:rPr>
          <w:rFonts w:ascii="Times New Roman" w:hAnsi="Times New Roman" w:cs="Times New Roman"/>
          <w:i/>
          <w:iCs/>
          <w:sz w:val="28"/>
          <w:szCs w:val="28"/>
          <w:lang w:val="uk-UA"/>
        </w:rPr>
        <w:t>канд</w:t>
      </w:r>
      <w:proofErr w:type="spellEnd"/>
      <w:r w:rsidRPr="005F0419">
        <w:rPr>
          <w:rFonts w:ascii="Times New Roman" w:hAnsi="Times New Roman" w:cs="Times New Roman"/>
          <w:i/>
          <w:iCs/>
          <w:sz w:val="28"/>
          <w:szCs w:val="28"/>
          <w:lang w:val="uk-UA"/>
        </w:rPr>
        <w:t xml:space="preserve">. </w:t>
      </w:r>
      <w:proofErr w:type="spellStart"/>
      <w:r w:rsidRPr="005F0419">
        <w:rPr>
          <w:rFonts w:ascii="Times New Roman" w:hAnsi="Times New Roman" w:cs="Times New Roman"/>
          <w:i/>
          <w:iCs/>
          <w:sz w:val="28"/>
          <w:szCs w:val="28"/>
          <w:lang w:val="uk-UA"/>
        </w:rPr>
        <w:t>геогр</w:t>
      </w:r>
      <w:proofErr w:type="spellEnd"/>
      <w:r w:rsidRPr="005F0419">
        <w:rPr>
          <w:rFonts w:ascii="Times New Roman" w:hAnsi="Times New Roman" w:cs="Times New Roman"/>
          <w:i/>
          <w:iCs/>
          <w:sz w:val="28"/>
          <w:szCs w:val="28"/>
          <w:lang w:val="uk-UA"/>
        </w:rPr>
        <w:t xml:space="preserve">. наук, доцент, доцент кафедри харчових технологій, </w:t>
      </w:r>
      <w:proofErr w:type="spellStart"/>
      <w:r w:rsidRPr="005F0419">
        <w:rPr>
          <w:rFonts w:ascii="Times New Roman" w:hAnsi="Times New Roman" w:cs="Times New Roman"/>
          <w:i/>
          <w:iCs/>
          <w:sz w:val="28"/>
          <w:szCs w:val="28"/>
          <w:lang w:val="uk-UA"/>
        </w:rPr>
        <w:t>готельно</w:t>
      </w:r>
      <w:proofErr w:type="spellEnd"/>
      <w:r w:rsidRPr="005F0419">
        <w:rPr>
          <w:rFonts w:ascii="Times New Roman" w:hAnsi="Times New Roman" w:cs="Times New Roman"/>
          <w:i/>
          <w:iCs/>
          <w:sz w:val="28"/>
          <w:szCs w:val="28"/>
          <w:lang w:val="uk-UA"/>
        </w:rPr>
        <w:t>-ресторанного і туристичного сервісу, Чернівецький торговельно-економічний інститут ДТЕУ, м. Чернівці</w:t>
      </w:r>
    </w:p>
    <w:p w14:paraId="335D85FF" w14:textId="2F833C27" w:rsidR="00CA2CFA" w:rsidRPr="005F0419" w:rsidRDefault="00E545BC" w:rsidP="00CA2CFA">
      <w:pPr>
        <w:spacing w:after="0" w:line="360" w:lineRule="auto"/>
        <w:ind w:firstLine="720"/>
        <w:jc w:val="both"/>
        <w:rPr>
          <w:rFonts w:ascii="Times New Roman" w:hAnsi="Times New Roman" w:cs="Times New Roman"/>
          <w:bCs/>
          <w:i/>
          <w:iCs/>
          <w:sz w:val="28"/>
          <w:szCs w:val="28"/>
          <w:lang w:val="uk-UA"/>
        </w:rPr>
      </w:pPr>
      <w:proofErr w:type="spellStart"/>
      <w:r w:rsidRPr="005F0419">
        <w:rPr>
          <w:rFonts w:ascii="Times New Roman" w:hAnsi="Times New Roman" w:cs="Times New Roman"/>
          <w:b/>
          <w:bCs/>
          <w:i/>
          <w:iCs/>
          <w:sz w:val="28"/>
          <w:szCs w:val="28"/>
          <w:lang w:val="uk-UA"/>
        </w:rPr>
        <w:t>Горбаньова</w:t>
      </w:r>
      <w:proofErr w:type="spellEnd"/>
      <w:r w:rsidRPr="005F0419">
        <w:rPr>
          <w:rFonts w:ascii="Times New Roman" w:hAnsi="Times New Roman" w:cs="Times New Roman"/>
          <w:b/>
          <w:bCs/>
          <w:i/>
          <w:iCs/>
          <w:sz w:val="28"/>
          <w:szCs w:val="28"/>
          <w:lang w:val="uk-UA"/>
        </w:rPr>
        <w:t xml:space="preserve"> Вікторія Олександрівна </w:t>
      </w:r>
      <w:r w:rsidR="00CA2CFA" w:rsidRPr="005F0419">
        <w:rPr>
          <w:rFonts w:ascii="Times New Roman" w:hAnsi="Times New Roman" w:cs="Times New Roman"/>
          <w:b/>
          <w:bCs/>
          <w:i/>
          <w:iCs/>
          <w:sz w:val="28"/>
          <w:szCs w:val="28"/>
          <w:lang w:val="uk-UA"/>
        </w:rPr>
        <w:t xml:space="preserve">– </w:t>
      </w:r>
      <w:r w:rsidR="00CA2CFA" w:rsidRPr="005F0419">
        <w:rPr>
          <w:rFonts w:ascii="Times New Roman" w:hAnsi="Times New Roman" w:cs="Times New Roman"/>
          <w:i/>
          <w:iCs/>
          <w:sz w:val="28"/>
          <w:szCs w:val="28"/>
          <w:lang w:val="uk-UA"/>
        </w:rPr>
        <w:t xml:space="preserve">старий викладач </w:t>
      </w:r>
      <w:r w:rsidR="00CA2CFA" w:rsidRPr="005F0419">
        <w:rPr>
          <w:rFonts w:ascii="Times New Roman" w:hAnsi="Times New Roman" w:cs="Times New Roman"/>
          <w:bCs/>
          <w:i/>
          <w:iCs/>
          <w:sz w:val="28"/>
          <w:szCs w:val="28"/>
          <w:lang w:val="uk-UA"/>
        </w:rPr>
        <w:t xml:space="preserve">кафедри менеджменту, </w:t>
      </w:r>
      <w:r w:rsidR="00011F74" w:rsidRPr="005F0419">
        <w:rPr>
          <w:rFonts w:ascii="Times New Roman" w:hAnsi="Times New Roman" w:cs="Times New Roman"/>
          <w:bCs/>
          <w:i/>
          <w:iCs/>
          <w:sz w:val="28"/>
          <w:szCs w:val="28"/>
          <w:lang w:val="uk-UA"/>
        </w:rPr>
        <w:t xml:space="preserve">начальник відділу організаційно-документального забезпечення, </w:t>
      </w:r>
      <w:r w:rsidR="00CA2CFA" w:rsidRPr="005F0419">
        <w:rPr>
          <w:rFonts w:ascii="Times New Roman" w:hAnsi="Times New Roman" w:cs="Times New Roman"/>
          <w:bCs/>
          <w:i/>
          <w:iCs/>
          <w:sz w:val="28"/>
          <w:szCs w:val="28"/>
          <w:lang w:val="uk-UA"/>
        </w:rPr>
        <w:t>Міжнародний гуманітарний університет, м. Одеса</w:t>
      </w:r>
    </w:p>
    <w:p w14:paraId="5255FA2C" w14:textId="3FB03D43" w:rsidR="00571B42" w:rsidRDefault="00571B42" w:rsidP="00672151">
      <w:pPr>
        <w:spacing w:after="0" w:line="360" w:lineRule="auto"/>
        <w:ind w:firstLine="720"/>
        <w:jc w:val="both"/>
        <w:rPr>
          <w:rFonts w:ascii="Times New Roman" w:hAnsi="Times New Roman" w:cs="Times New Roman"/>
          <w:b/>
          <w:bCs/>
          <w:i/>
          <w:iCs/>
          <w:sz w:val="28"/>
          <w:szCs w:val="28"/>
          <w:lang w:val="uk-UA"/>
        </w:rPr>
      </w:pPr>
      <w:proofErr w:type="spellStart"/>
      <w:r w:rsidRPr="00571B42">
        <w:rPr>
          <w:rFonts w:ascii="Times New Roman" w:hAnsi="Times New Roman" w:cs="Times New Roman"/>
          <w:b/>
          <w:bCs/>
          <w:i/>
          <w:iCs/>
          <w:sz w:val="28"/>
          <w:szCs w:val="28"/>
          <w:lang w:val="uk-UA"/>
        </w:rPr>
        <w:t>Дишкантюк</w:t>
      </w:r>
      <w:proofErr w:type="spellEnd"/>
      <w:r w:rsidRPr="00571B42">
        <w:rPr>
          <w:rFonts w:ascii="Times New Roman" w:hAnsi="Times New Roman" w:cs="Times New Roman"/>
          <w:b/>
          <w:bCs/>
          <w:i/>
          <w:iCs/>
          <w:sz w:val="28"/>
          <w:szCs w:val="28"/>
          <w:lang w:val="uk-UA"/>
        </w:rPr>
        <w:t xml:space="preserve"> Оксана Володимирівна</w:t>
      </w:r>
      <w:r>
        <w:rPr>
          <w:rFonts w:ascii="Times New Roman" w:hAnsi="Times New Roman" w:cs="Times New Roman"/>
          <w:b/>
          <w:bCs/>
          <w:i/>
          <w:iCs/>
          <w:sz w:val="28"/>
          <w:szCs w:val="28"/>
          <w:lang w:val="uk-UA"/>
        </w:rPr>
        <w:t xml:space="preserve"> – </w:t>
      </w:r>
      <w:proofErr w:type="spellStart"/>
      <w:r w:rsidRPr="00571B42">
        <w:rPr>
          <w:rFonts w:ascii="Times New Roman" w:hAnsi="Times New Roman" w:cs="Times New Roman"/>
          <w:i/>
          <w:iCs/>
          <w:sz w:val="28"/>
          <w:szCs w:val="28"/>
          <w:lang w:val="uk-UA"/>
        </w:rPr>
        <w:t>канд</w:t>
      </w:r>
      <w:proofErr w:type="spellEnd"/>
      <w:r w:rsidRPr="00571B42">
        <w:rPr>
          <w:rFonts w:ascii="Times New Roman" w:hAnsi="Times New Roman" w:cs="Times New Roman"/>
          <w:i/>
          <w:iCs/>
          <w:sz w:val="28"/>
          <w:szCs w:val="28"/>
          <w:lang w:val="uk-UA"/>
        </w:rPr>
        <w:t xml:space="preserve">. </w:t>
      </w:r>
      <w:proofErr w:type="spellStart"/>
      <w:r w:rsidRPr="00571B42">
        <w:rPr>
          <w:rFonts w:ascii="Times New Roman" w:hAnsi="Times New Roman" w:cs="Times New Roman"/>
          <w:i/>
          <w:iCs/>
          <w:sz w:val="28"/>
          <w:szCs w:val="28"/>
          <w:lang w:val="uk-UA"/>
        </w:rPr>
        <w:t>техн</w:t>
      </w:r>
      <w:proofErr w:type="spellEnd"/>
      <w:r w:rsidRPr="00571B42">
        <w:rPr>
          <w:rFonts w:ascii="Times New Roman" w:hAnsi="Times New Roman" w:cs="Times New Roman"/>
          <w:i/>
          <w:iCs/>
          <w:sz w:val="28"/>
          <w:szCs w:val="28"/>
          <w:lang w:val="uk-UA"/>
        </w:rPr>
        <w:t>. наук, доцент</w:t>
      </w:r>
      <w:r>
        <w:rPr>
          <w:rFonts w:ascii="Times New Roman" w:hAnsi="Times New Roman" w:cs="Times New Roman"/>
          <w:i/>
          <w:iCs/>
          <w:sz w:val="28"/>
          <w:szCs w:val="28"/>
          <w:lang w:val="uk-UA"/>
        </w:rPr>
        <w:t xml:space="preserve">, декан факультету менеджменту, </w:t>
      </w:r>
      <w:proofErr w:type="spellStart"/>
      <w:r>
        <w:rPr>
          <w:rFonts w:ascii="Times New Roman" w:hAnsi="Times New Roman" w:cs="Times New Roman"/>
          <w:i/>
          <w:iCs/>
          <w:sz w:val="28"/>
          <w:szCs w:val="28"/>
          <w:lang w:val="uk-UA"/>
        </w:rPr>
        <w:t>готельно</w:t>
      </w:r>
      <w:proofErr w:type="spellEnd"/>
      <w:r>
        <w:rPr>
          <w:rFonts w:ascii="Times New Roman" w:hAnsi="Times New Roman" w:cs="Times New Roman"/>
          <w:i/>
          <w:iCs/>
          <w:sz w:val="28"/>
          <w:szCs w:val="28"/>
          <w:lang w:val="uk-UA"/>
        </w:rPr>
        <w:t xml:space="preserve">-ресторанної справи та туризму, </w:t>
      </w:r>
      <w:r w:rsidRPr="005F0419">
        <w:rPr>
          <w:rFonts w:ascii="Times New Roman" w:hAnsi="Times New Roman" w:cs="Times New Roman"/>
          <w:bCs/>
          <w:i/>
          <w:iCs/>
          <w:sz w:val="28"/>
          <w:szCs w:val="28"/>
          <w:lang w:val="uk-UA"/>
        </w:rPr>
        <w:t>Міжнародний гуманітарний університет, м. Одеса</w:t>
      </w:r>
    </w:p>
    <w:p w14:paraId="5948E5D2" w14:textId="72B2D9AF" w:rsidR="00672151" w:rsidRPr="005F0419" w:rsidRDefault="00672151" w:rsidP="00672151">
      <w:pPr>
        <w:spacing w:after="0" w:line="360" w:lineRule="auto"/>
        <w:ind w:firstLine="720"/>
        <w:jc w:val="both"/>
        <w:rPr>
          <w:rFonts w:ascii="Times New Roman" w:hAnsi="Times New Roman" w:cs="Times New Roman"/>
          <w:i/>
          <w:iCs/>
          <w:sz w:val="28"/>
          <w:szCs w:val="28"/>
          <w:lang w:val="uk-UA"/>
        </w:rPr>
      </w:pPr>
      <w:proofErr w:type="spellStart"/>
      <w:r w:rsidRPr="005F0419">
        <w:rPr>
          <w:rFonts w:ascii="Times New Roman" w:hAnsi="Times New Roman" w:cs="Times New Roman"/>
          <w:b/>
          <w:bCs/>
          <w:i/>
          <w:iCs/>
          <w:sz w:val="28"/>
          <w:szCs w:val="28"/>
          <w:lang w:val="uk-UA"/>
        </w:rPr>
        <w:t>Гузар</w:t>
      </w:r>
      <w:proofErr w:type="spellEnd"/>
      <w:r w:rsidRPr="005F0419">
        <w:rPr>
          <w:rFonts w:ascii="Times New Roman" w:hAnsi="Times New Roman" w:cs="Times New Roman"/>
          <w:b/>
          <w:bCs/>
          <w:i/>
          <w:iCs/>
          <w:sz w:val="28"/>
          <w:szCs w:val="28"/>
          <w:lang w:val="uk-UA"/>
        </w:rPr>
        <w:t xml:space="preserve"> Уляна Євгенівна – </w:t>
      </w:r>
      <w:proofErr w:type="spellStart"/>
      <w:r w:rsidRPr="005F0419">
        <w:rPr>
          <w:rFonts w:ascii="Times New Roman" w:hAnsi="Times New Roman" w:cs="Times New Roman"/>
          <w:i/>
          <w:iCs/>
          <w:sz w:val="28"/>
          <w:szCs w:val="28"/>
          <w:lang w:val="uk-UA"/>
        </w:rPr>
        <w:t>канд</w:t>
      </w:r>
      <w:proofErr w:type="spellEnd"/>
      <w:r w:rsidRPr="005F0419">
        <w:rPr>
          <w:rFonts w:ascii="Times New Roman" w:hAnsi="Times New Roman" w:cs="Times New Roman"/>
          <w:i/>
          <w:iCs/>
          <w:sz w:val="28"/>
          <w:szCs w:val="28"/>
          <w:lang w:val="uk-UA"/>
        </w:rPr>
        <w:t xml:space="preserve">. </w:t>
      </w:r>
      <w:proofErr w:type="spellStart"/>
      <w:r w:rsidRPr="005F0419">
        <w:rPr>
          <w:rFonts w:ascii="Times New Roman" w:hAnsi="Times New Roman" w:cs="Times New Roman"/>
          <w:i/>
          <w:iCs/>
          <w:sz w:val="28"/>
          <w:szCs w:val="28"/>
          <w:lang w:val="uk-UA"/>
        </w:rPr>
        <w:t>екон</w:t>
      </w:r>
      <w:proofErr w:type="spellEnd"/>
      <w:r w:rsidRPr="005F0419">
        <w:rPr>
          <w:rFonts w:ascii="Times New Roman" w:hAnsi="Times New Roman" w:cs="Times New Roman"/>
          <w:i/>
          <w:iCs/>
          <w:sz w:val="28"/>
          <w:szCs w:val="28"/>
          <w:lang w:val="uk-UA"/>
        </w:rPr>
        <w:t>. наук,</w:t>
      </w:r>
      <w:r w:rsidRPr="005F0419">
        <w:rPr>
          <w:rFonts w:ascii="Times New Roman" w:hAnsi="Times New Roman" w:cs="Times New Roman"/>
          <w:b/>
          <w:bCs/>
          <w:i/>
          <w:iCs/>
          <w:sz w:val="28"/>
          <w:szCs w:val="28"/>
          <w:lang w:val="uk-UA"/>
        </w:rPr>
        <w:t xml:space="preserve"> </w:t>
      </w:r>
      <w:r w:rsidRPr="005F0419">
        <w:rPr>
          <w:rFonts w:ascii="Times New Roman" w:hAnsi="Times New Roman" w:cs="Times New Roman"/>
          <w:i/>
          <w:iCs/>
          <w:sz w:val="28"/>
          <w:szCs w:val="28"/>
          <w:lang w:val="uk-UA"/>
        </w:rPr>
        <w:t xml:space="preserve">доцент, доцент кафедри </w:t>
      </w:r>
      <w:proofErr w:type="spellStart"/>
      <w:r w:rsidRPr="005F0419">
        <w:rPr>
          <w:rFonts w:ascii="Times New Roman" w:hAnsi="Times New Roman" w:cs="Times New Roman"/>
          <w:i/>
          <w:iCs/>
          <w:sz w:val="28"/>
          <w:szCs w:val="28"/>
          <w:lang w:val="uk-UA"/>
        </w:rPr>
        <w:t>готельно</w:t>
      </w:r>
      <w:proofErr w:type="spellEnd"/>
      <w:r w:rsidRPr="005F0419">
        <w:rPr>
          <w:rFonts w:ascii="Times New Roman" w:hAnsi="Times New Roman" w:cs="Times New Roman"/>
          <w:i/>
          <w:iCs/>
          <w:sz w:val="28"/>
          <w:szCs w:val="28"/>
          <w:lang w:val="uk-UA"/>
        </w:rPr>
        <w:t xml:space="preserve">-ресторанного бізнесу, Львівський державний університет фізичної культури імені Івана </w:t>
      </w:r>
      <w:proofErr w:type="spellStart"/>
      <w:r w:rsidRPr="005F0419">
        <w:rPr>
          <w:rFonts w:ascii="Times New Roman" w:hAnsi="Times New Roman" w:cs="Times New Roman"/>
          <w:i/>
          <w:iCs/>
          <w:sz w:val="28"/>
          <w:szCs w:val="28"/>
          <w:lang w:val="uk-UA"/>
        </w:rPr>
        <w:t>Боберського</w:t>
      </w:r>
      <w:proofErr w:type="spellEnd"/>
      <w:r w:rsidRPr="005F0419">
        <w:rPr>
          <w:rFonts w:ascii="Times New Roman" w:hAnsi="Times New Roman" w:cs="Times New Roman"/>
          <w:i/>
          <w:iCs/>
          <w:sz w:val="28"/>
          <w:szCs w:val="28"/>
          <w:lang w:val="uk-UA"/>
        </w:rPr>
        <w:t>, м. Львів</w:t>
      </w:r>
    </w:p>
    <w:p w14:paraId="34844741" w14:textId="77777777" w:rsidR="000D0AFC" w:rsidRPr="005F0419" w:rsidRDefault="000D0AFC" w:rsidP="000D0AFC">
      <w:pPr>
        <w:spacing w:after="0" w:line="360" w:lineRule="auto"/>
        <w:ind w:firstLine="720"/>
        <w:jc w:val="both"/>
        <w:rPr>
          <w:rFonts w:ascii="Times New Roman" w:hAnsi="Times New Roman" w:cs="Times New Roman"/>
          <w:bCs/>
          <w:i/>
          <w:iCs/>
          <w:sz w:val="28"/>
          <w:szCs w:val="28"/>
          <w:lang w:val="uk-UA"/>
        </w:rPr>
      </w:pPr>
      <w:proofErr w:type="spellStart"/>
      <w:r w:rsidRPr="000D0AFC">
        <w:rPr>
          <w:rFonts w:ascii="Times New Roman" w:hAnsi="Times New Roman" w:cs="Times New Roman"/>
          <w:b/>
          <w:bCs/>
          <w:i/>
          <w:iCs/>
          <w:sz w:val="28"/>
          <w:szCs w:val="28"/>
          <w:lang w:val="uk-UA"/>
        </w:rPr>
        <w:t>Каламан</w:t>
      </w:r>
      <w:proofErr w:type="spellEnd"/>
      <w:r w:rsidRPr="000D0AFC">
        <w:rPr>
          <w:rFonts w:ascii="Times New Roman" w:hAnsi="Times New Roman" w:cs="Times New Roman"/>
          <w:b/>
          <w:bCs/>
          <w:i/>
          <w:iCs/>
          <w:sz w:val="28"/>
          <w:szCs w:val="28"/>
          <w:lang w:val="uk-UA"/>
        </w:rPr>
        <w:t xml:space="preserve"> Ольга Борисівна</w:t>
      </w:r>
      <w:r>
        <w:rPr>
          <w:rFonts w:ascii="Times New Roman" w:hAnsi="Times New Roman" w:cs="Times New Roman"/>
          <w:b/>
          <w:bCs/>
          <w:i/>
          <w:iCs/>
          <w:sz w:val="28"/>
          <w:szCs w:val="28"/>
          <w:lang w:val="uk-UA"/>
        </w:rPr>
        <w:t xml:space="preserve"> </w:t>
      </w:r>
      <w:r w:rsidRPr="005F0419">
        <w:rPr>
          <w:rFonts w:ascii="Times New Roman" w:hAnsi="Times New Roman" w:cs="Times New Roman"/>
          <w:b/>
          <w:bCs/>
          <w:i/>
          <w:iCs/>
          <w:sz w:val="28"/>
          <w:szCs w:val="28"/>
          <w:lang w:val="uk-UA"/>
        </w:rPr>
        <w:t>–</w:t>
      </w:r>
      <w:r w:rsidRPr="000D0AFC">
        <w:rPr>
          <w:rFonts w:ascii="Times New Roman" w:hAnsi="Times New Roman" w:cs="Times New Roman"/>
          <w:b/>
          <w:bCs/>
          <w:i/>
          <w:iCs/>
          <w:sz w:val="28"/>
          <w:szCs w:val="28"/>
          <w:lang w:val="uk-UA"/>
        </w:rPr>
        <w:t xml:space="preserve"> </w:t>
      </w:r>
      <w:r w:rsidRPr="000D0AFC">
        <w:rPr>
          <w:rFonts w:ascii="Times New Roman" w:hAnsi="Times New Roman" w:cs="Times New Roman"/>
          <w:i/>
          <w:iCs/>
          <w:sz w:val="28"/>
          <w:szCs w:val="28"/>
          <w:lang w:val="uk-UA"/>
        </w:rPr>
        <w:t xml:space="preserve">д-р </w:t>
      </w:r>
      <w:proofErr w:type="spellStart"/>
      <w:r w:rsidRPr="000D0AFC">
        <w:rPr>
          <w:rFonts w:ascii="Times New Roman" w:hAnsi="Times New Roman" w:cs="Times New Roman"/>
          <w:i/>
          <w:iCs/>
          <w:sz w:val="28"/>
          <w:szCs w:val="28"/>
          <w:lang w:val="uk-UA"/>
        </w:rPr>
        <w:t>екон</w:t>
      </w:r>
      <w:proofErr w:type="spellEnd"/>
      <w:r w:rsidRPr="000D0AFC">
        <w:rPr>
          <w:rFonts w:ascii="Times New Roman" w:hAnsi="Times New Roman" w:cs="Times New Roman"/>
          <w:i/>
          <w:iCs/>
          <w:sz w:val="28"/>
          <w:szCs w:val="28"/>
          <w:lang w:val="uk-UA"/>
        </w:rPr>
        <w:t>. наук, доцент, доцент кафедри менеджменту, Міжнародний гуманітарний університет, м. Одеса</w:t>
      </w:r>
    </w:p>
    <w:p w14:paraId="7774CF54" w14:textId="618B33B0" w:rsidR="00672151" w:rsidRPr="005F0419" w:rsidRDefault="00672151" w:rsidP="00672151">
      <w:pPr>
        <w:spacing w:after="0" w:line="360" w:lineRule="auto"/>
        <w:ind w:firstLine="720"/>
        <w:jc w:val="both"/>
        <w:rPr>
          <w:rFonts w:ascii="Times New Roman" w:hAnsi="Times New Roman" w:cs="Times New Roman"/>
          <w:i/>
          <w:iCs/>
          <w:sz w:val="28"/>
          <w:szCs w:val="28"/>
          <w:lang w:val="uk-UA"/>
        </w:rPr>
      </w:pPr>
      <w:r w:rsidRPr="005F0419">
        <w:rPr>
          <w:rFonts w:ascii="Times New Roman" w:hAnsi="Times New Roman" w:cs="Times New Roman"/>
          <w:b/>
          <w:bCs/>
          <w:i/>
          <w:iCs/>
          <w:sz w:val="28"/>
          <w:szCs w:val="28"/>
          <w:lang w:val="uk-UA"/>
        </w:rPr>
        <w:t xml:space="preserve">Назар Мар’яна Ігорівна – </w:t>
      </w:r>
      <w:proofErr w:type="spellStart"/>
      <w:r w:rsidRPr="005F0419">
        <w:rPr>
          <w:rFonts w:ascii="Times New Roman" w:hAnsi="Times New Roman" w:cs="Times New Roman"/>
          <w:i/>
          <w:iCs/>
          <w:sz w:val="28"/>
          <w:szCs w:val="28"/>
          <w:lang w:val="uk-UA"/>
        </w:rPr>
        <w:t>канд</w:t>
      </w:r>
      <w:proofErr w:type="spellEnd"/>
      <w:r w:rsidRPr="005F0419">
        <w:rPr>
          <w:rFonts w:ascii="Times New Roman" w:hAnsi="Times New Roman" w:cs="Times New Roman"/>
          <w:i/>
          <w:iCs/>
          <w:sz w:val="28"/>
          <w:szCs w:val="28"/>
          <w:lang w:val="uk-UA"/>
        </w:rPr>
        <w:t xml:space="preserve">. </w:t>
      </w:r>
      <w:proofErr w:type="spellStart"/>
      <w:r w:rsidRPr="005F0419">
        <w:rPr>
          <w:rFonts w:ascii="Times New Roman" w:hAnsi="Times New Roman" w:cs="Times New Roman"/>
          <w:i/>
          <w:iCs/>
          <w:sz w:val="28"/>
          <w:szCs w:val="28"/>
          <w:lang w:val="uk-UA"/>
        </w:rPr>
        <w:t>техн</w:t>
      </w:r>
      <w:proofErr w:type="spellEnd"/>
      <w:r w:rsidRPr="005F0419">
        <w:rPr>
          <w:rFonts w:ascii="Times New Roman" w:hAnsi="Times New Roman" w:cs="Times New Roman"/>
          <w:i/>
          <w:iCs/>
          <w:sz w:val="28"/>
          <w:szCs w:val="28"/>
          <w:lang w:val="uk-UA"/>
        </w:rPr>
        <w:t xml:space="preserve">. наук, доцент, доцент кафедри </w:t>
      </w:r>
      <w:proofErr w:type="spellStart"/>
      <w:r w:rsidRPr="005F0419">
        <w:rPr>
          <w:rFonts w:ascii="Times New Roman" w:hAnsi="Times New Roman" w:cs="Times New Roman"/>
          <w:i/>
          <w:iCs/>
          <w:sz w:val="28"/>
          <w:szCs w:val="28"/>
          <w:lang w:val="uk-UA"/>
        </w:rPr>
        <w:t>готельно</w:t>
      </w:r>
      <w:proofErr w:type="spellEnd"/>
      <w:r w:rsidRPr="005F0419">
        <w:rPr>
          <w:rFonts w:ascii="Times New Roman" w:hAnsi="Times New Roman" w:cs="Times New Roman"/>
          <w:i/>
          <w:iCs/>
          <w:sz w:val="28"/>
          <w:szCs w:val="28"/>
          <w:lang w:val="uk-UA"/>
        </w:rPr>
        <w:t xml:space="preserve">-ресторанного бізнесу, Львівський державний університет фізичної культури імені Івана </w:t>
      </w:r>
      <w:proofErr w:type="spellStart"/>
      <w:r w:rsidRPr="005F0419">
        <w:rPr>
          <w:rFonts w:ascii="Times New Roman" w:hAnsi="Times New Roman" w:cs="Times New Roman"/>
          <w:i/>
          <w:iCs/>
          <w:sz w:val="28"/>
          <w:szCs w:val="28"/>
          <w:lang w:val="uk-UA"/>
        </w:rPr>
        <w:t>Боберського</w:t>
      </w:r>
      <w:proofErr w:type="spellEnd"/>
      <w:r w:rsidRPr="005F0419">
        <w:rPr>
          <w:rFonts w:ascii="Times New Roman" w:hAnsi="Times New Roman" w:cs="Times New Roman"/>
          <w:i/>
          <w:iCs/>
          <w:sz w:val="28"/>
          <w:szCs w:val="28"/>
          <w:lang w:val="uk-UA"/>
        </w:rPr>
        <w:t>, м. Львів</w:t>
      </w:r>
    </w:p>
    <w:p w14:paraId="47A42BEC" w14:textId="3746C615" w:rsidR="00C47476" w:rsidRDefault="00C47476" w:rsidP="00932C41">
      <w:pPr>
        <w:spacing w:after="0" w:line="360" w:lineRule="auto"/>
        <w:ind w:firstLine="720"/>
        <w:jc w:val="both"/>
        <w:rPr>
          <w:rFonts w:ascii="Times New Roman" w:hAnsi="Times New Roman" w:cs="Times New Roman"/>
          <w:b/>
          <w:bCs/>
          <w:i/>
          <w:iCs/>
          <w:sz w:val="28"/>
          <w:szCs w:val="28"/>
          <w:lang w:val="uk-UA"/>
        </w:rPr>
      </w:pPr>
      <w:r>
        <w:rPr>
          <w:rFonts w:ascii="Times New Roman" w:hAnsi="Times New Roman" w:cs="Times New Roman"/>
          <w:b/>
          <w:bCs/>
          <w:i/>
          <w:iCs/>
          <w:sz w:val="28"/>
          <w:szCs w:val="28"/>
          <w:lang w:val="uk-UA"/>
        </w:rPr>
        <w:t xml:space="preserve">Осипова Лариса Анатоліївна </w:t>
      </w:r>
      <w:r w:rsidRPr="005F0419">
        <w:rPr>
          <w:rFonts w:ascii="Times New Roman" w:hAnsi="Times New Roman" w:cs="Times New Roman"/>
          <w:b/>
          <w:bCs/>
          <w:i/>
          <w:iCs/>
          <w:sz w:val="28"/>
          <w:szCs w:val="28"/>
          <w:lang w:val="uk-UA"/>
        </w:rPr>
        <w:t>–</w:t>
      </w:r>
      <w:r w:rsidRPr="000D0AFC">
        <w:rPr>
          <w:rFonts w:ascii="Times New Roman" w:hAnsi="Times New Roman" w:cs="Times New Roman"/>
          <w:b/>
          <w:bCs/>
          <w:i/>
          <w:iCs/>
          <w:sz w:val="28"/>
          <w:szCs w:val="28"/>
          <w:lang w:val="uk-UA"/>
        </w:rPr>
        <w:t xml:space="preserve"> </w:t>
      </w:r>
      <w:r w:rsidRPr="000D0AFC">
        <w:rPr>
          <w:rFonts w:ascii="Times New Roman" w:hAnsi="Times New Roman" w:cs="Times New Roman"/>
          <w:i/>
          <w:iCs/>
          <w:sz w:val="28"/>
          <w:szCs w:val="28"/>
          <w:lang w:val="uk-UA"/>
        </w:rPr>
        <w:t xml:space="preserve">д-р </w:t>
      </w:r>
      <w:proofErr w:type="spellStart"/>
      <w:r>
        <w:rPr>
          <w:rFonts w:ascii="Times New Roman" w:hAnsi="Times New Roman" w:cs="Times New Roman"/>
          <w:i/>
          <w:iCs/>
          <w:sz w:val="28"/>
          <w:szCs w:val="28"/>
          <w:lang w:val="uk-UA"/>
        </w:rPr>
        <w:t>техн</w:t>
      </w:r>
      <w:proofErr w:type="spellEnd"/>
      <w:r w:rsidRPr="000D0AFC">
        <w:rPr>
          <w:rFonts w:ascii="Times New Roman" w:hAnsi="Times New Roman" w:cs="Times New Roman"/>
          <w:i/>
          <w:iCs/>
          <w:sz w:val="28"/>
          <w:szCs w:val="28"/>
          <w:lang w:val="uk-UA"/>
        </w:rPr>
        <w:t xml:space="preserve">. наук, </w:t>
      </w:r>
      <w:r>
        <w:rPr>
          <w:rFonts w:ascii="Times New Roman" w:hAnsi="Times New Roman" w:cs="Times New Roman"/>
          <w:i/>
          <w:iCs/>
          <w:sz w:val="28"/>
          <w:szCs w:val="28"/>
          <w:lang w:val="uk-UA"/>
        </w:rPr>
        <w:t>професор</w:t>
      </w:r>
      <w:r w:rsidRPr="000D0AFC">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професор</w:t>
      </w:r>
      <w:r w:rsidRPr="000D0AFC">
        <w:rPr>
          <w:rFonts w:ascii="Times New Roman" w:hAnsi="Times New Roman" w:cs="Times New Roman"/>
          <w:i/>
          <w:iCs/>
          <w:sz w:val="28"/>
          <w:szCs w:val="28"/>
          <w:lang w:val="uk-UA"/>
        </w:rPr>
        <w:t xml:space="preserve"> кафедри </w:t>
      </w:r>
      <w:proofErr w:type="spellStart"/>
      <w:r w:rsidRPr="005F0419">
        <w:rPr>
          <w:rFonts w:ascii="Times New Roman" w:hAnsi="Times New Roman" w:cs="Times New Roman"/>
          <w:i/>
          <w:iCs/>
          <w:sz w:val="28"/>
          <w:szCs w:val="28"/>
          <w:lang w:val="uk-UA"/>
        </w:rPr>
        <w:t>готельно</w:t>
      </w:r>
      <w:proofErr w:type="spellEnd"/>
      <w:r w:rsidRPr="005F0419">
        <w:rPr>
          <w:rFonts w:ascii="Times New Roman" w:hAnsi="Times New Roman" w:cs="Times New Roman"/>
          <w:i/>
          <w:iCs/>
          <w:sz w:val="28"/>
          <w:szCs w:val="28"/>
          <w:lang w:val="uk-UA"/>
        </w:rPr>
        <w:t>-ресторанного та туристичного бізнесу</w:t>
      </w:r>
      <w:r w:rsidRPr="000D0AFC">
        <w:rPr>
          <w:rFonts w:ascii="Times New Roman" w:hAnsi="Times New Roman" w:cs="Times New Roman"/>
          <w:i/>
          <w:iCs/>
          <w:sz w:val="28"/>
          <w:szCs w:val="28"/>
          <w:lang w:val="uk-UA"/>
        </w:rPr>
        <w:t>, Міжнародний гуманітарний університет, м. Одеса</w:t>
      </w:r>
    </w:p>
    <w:p w14:paraId="05F6B926" w14:textId="7777BD40" w:rsidR="00CA2CFA" w:rsidRPr="005F0419" w:rsidRDefault="00CA2CFA" w:rsidP="00932C41">
      <w:pPr>
        <w:spacing w:after="0" w:line="360" w:lineRule="auto"/>
        <w:ind w:firstLine="720"/>
        <w:jc w:val="both"/>
        <w:rPr>
          <w:rFonts w:ascii="Times New Roman" w:hAnsi="Times New Roman" w:cs="Times New Roman"/>
          <w:i/>
          <w:iCs/>
          <w:sz w:val="28"/>
          <w:szCs w:val="28"/>
          <w:lang w:val="uk-UA"/>
        </w:rPr>
      </w:pPr>
      <w:r w:rsidRPr="005F0419">
        <w:rPr>
          <w:rFonts w:ascii="Times New Roman" w:hAnsi="Times New Roman" w:cs="Times New Roman"/>
          <w:b/>
          <w:bCs/>
          <w:i/>
          <w:iCs/>
          <w:sz w:val="28"/>
          <w:szCs w:val="28"/>
          <w:lang w:val="uk-UA"/>
        </w:rPr>
        <w:lastRenderedPageBreak/>
        <w:t xml:space="preserve">Паска Марія </w:t>
      </w:r>
      <w:r w:rsidR="00571B42" w:rsidRPr="005F0419">
        <w:rPr>
          <w:rFonts w:ascii="Times New Roman" w:hAnsi="Times New Roman" w:cs="Times New Roman"/>
          <w:b/>
          <w:bCs/>
          <w:i/>
          <w:iCs/>
          <w:sz w:val="28"/>
          <w:szCs w:val="28"/>
          <w:lang w:val="uk-UA"/>
        </w:rPr>
        <w:t>Зіновіївна</w:t>
      </w:r>
      <w:r w:rsidRPr="005F0419">
        <w:rPr>
          <w:rFonts w:ascii="Times New Roman" w:hAnsi="Times New Roman" w:cs="Times New Roman"/>
          <w:b/>
          <w:bCs/>
          <w:i/>
          <w:iCs/>
          <w:sz w:val="28"/>
          <w:szCs w:val="28"/>
          <w:lang w:val="uk-UA"/>
        </w:rPr>
        <w:t xml:space="preserve"> – </w:t>
      </w:r>
      <w:r w:rsidRPr="005F0419">
        <w:rPr>
          <w:rFonts w:ascii="Times New Roman" w:hAnsi="Times New Roman" w:cs="Times New Roman"/>
          <w:i/>
          <w:iCs/>
          <w:sz w:val="28"/>
          <w:szCs w:val="28"/>
          <w:lang w:val="uk-UA"/>
        </w:rPr>
        <w:t xml:space="preserve">д-р </w:t>
      </w:r>
      <w:proofErr w:type="spellStart"/>
      <w:r w:rsidRPr="005F0419">
        <w:rPr>
          <w:rFonts w:ascii="Times New Roman" w:hAnsi="Times New Roman" w:cs="Times New Roman"/>
          <w:i/>
          <w:iCs/>
          <w:sz w:val="28"/>
          <w:szCs w:val="28"/>
          <w:lang w:val="uk-UA"/>
        </w:rPr>
        <w:t>вет</w:t>
      </w:r>
      <w:proofErr w:type="spellEnd"/>
      <w:r w:rsidRPr="005F0419">
        <w:rPr>
          <w:rFonts w:ascii="Times New Roman" w:hAnsi="Times New Roman" w:cs="Times New Roman"/>
          <w:i/>
          <w:iCs/>
          <w:sz w:val="28"/>
          <w:szCs w:val="28"/>
          <w:lang w:val="uk-UA"/>
        </w:rPr>
        <w:t xml:space="preserve">. наук, професор, </w:t>
      </w:r>
      <w:r w:rsidR="00571B42">
        <w:rPr>
          <w:rFonts w:ascii="Times New Roman" w:hAnsi="Times New Roman" w:cs="Times New Roman"/>
          <w:i/>
          <w:iCs/>
          <w:sz w:val="28"/>
          <w:szCs w:val="28"/>
          <w:lang w:val="uk-UA"/>
        </w:rPr>
        <w:t xml:space="preserve">зав. кафедри </w:t>
      </w:r>
      <w:proofErr w:type="spellStart"/>
      <w:r w:rsidR="00571B42" w:rsidRPr="005F0419">
        <w:rPr>
          <w:rFonts w:ascii="Times New Roman" w:hAnsi="Times New Roman" w:cs="Times New Roman"/>
          <w:i/>
          <w:iCs/>
          <w:sz w:val="28"/>
          <w:szCs w:val="28"/>
          <w:lang w:val="uk-UA"/>
        </w:rPr>
        <w:t>готельно</w:t>
      </w:r>
      <w:proofErr w:type="spellEnd"/>
      <w:r w:rsidR="00571B42" w:rsidRPr="005F0419">
        <w:rPr>
          <w:rFonts w:ascii="Times New Roman" w:hAnsi="Times New Roman" w:cs="Times New Roman"/>
          <w:i/>
          <w:iCs/>
          <w:sz w:val="28"/>
          <w:szCs w:val="28"/>
          <w:lang w:val="uk-UA"/>
        </w:rPr>
        <w:t>-ресторанного бізнесу</w:t>
      </w:r>
      <w:r w:rsidR="00571B42">
        <w:rPr>
          <w:rFonts w:ascii="Times New Roman" w:hAnsi="Times New Roman" w:cs="Times New Roman"/>
          <w:i/>
          <w:iCs/>
          <w:sz w:val="28"/>
          <w:szCs w:val="28"/>
          <w:lang w:val="uk-UA"/>
        </w:rPr>
        <w:t xml:space="preserve">, </w:t>
      </w:r>
      <w:r w:rsidRPr="005F0419">
        <w:rPr>
          <w:rFonts w:ascii="Times New Roman" w:hAnsi="Times New Roman" w:cs="Times New Roman"/>
          <w:i/>
          <w:iCs/>
          <w:sz w:val="28"/>
          <w:szCs w:val="28"/>
          <w:lang w:val="uk-UA"/>
        </w:rPr>
        <w:t xml:space="preserve">Львівський державний університет фізичної культури імені Івана </w:t>
      </w:r>
      <w:proofErr w:type="spellStart"/>
      <w:r w:rsidRPr="005F0419">
        <w:rPr>
          <w:rFonts w:ascii="Times New Roman" w:hAnsi="Times New Roman" w:cs="Times New Roman"/>
          <w:i/>
          <w:iCs/>
          <w:sz w:val="28"/>
          <w:szCs w:val="28"/>
          <w:lang w:val="uk-UA"/>
        </w:rPr>
        <w:t>Боберського</w:t>
      </w:r>
      <w:proofErr w:type="spellEnd"/>
      <w:r w:rsidRPr="005F0419">
        <w:rPr>
          <w:rFonts w:ascii="Times New Roman" w:hAnsi="Times New Roman" w:cs="Times New Roman"/>
          <w:i/>
          <w:iCs/>
          <w:sz w:val="28"/>
          <w:szCs w:val="28"/>
          <w:lang w:val="uk-UA"/>
        </w:rPr>
        <w:t>, м. Львів</w:t>
      </w:r>
    </w:p>
    <w:p w14:paraId="3D30A928" w14:textId="17D2EB29" w:rsidR="00BC5A4E" w:rsidRPr="005F0419" w:rsidRDefault="00BC5A4E" w:rsidP="00BC5A4E">
      <w:pPr>
        <w:spacing w:after="0" w:line="360" w:lineRule="auto"/>
        <w:ind w:firstLine="720"/>
        <w:jc w:val="both"/>
        <w:rPr>
          <w:rFonts w:ascii="Times New Roman" w:hAnsi="Times New Roman" w:cs="Times New Roman"/>
          <w:b/>
          <w:bCs/>
          <w:i/>
          <w:iCs/>
          <w:sz w:val="28"/>
          <w:szCs w:val="28"/>
          <w:lang w:val="uk-UA"/>
        </w:rPr>
      </w:pPr>
      <w:proofErr w:type="spellStart"/>
      <w:r w:rsidRPr="005F0419">
        <w:rPr>
          <w:rFonts w:ascii="Times New Roman" w:hAnsi="Times New Roman" w:cs="Times New Roman"/>
          <w:b/>
          <w:bCs/>
          <w:i/>
          <w:iCs/>
          <w:sz w:val="28"/>
          <w:szCs w:val="28"/>
          <w:lang w:val="uk-UA"/>
        </w:rPr>
        <w:t>Сегеда</w:t>
      </w:r>
      <w:proofErr w:type="spellEnd"/>
      <w:r w:rsidRPr="005F0419">
        <w:rPr>
          <w:rFonts w:ascii="Times New Roman" w:hAnsi="Times New Roman" w:cs="Times New Roman"/>
          <w:b/>
          <w:bCs/>
          <w:i/>
          <w:iCs/>
          <w:sz w:val="28"/>
          <w:szCs w:val="28"/>
          <w:lang w:val="uk-UA"/>
        </w:rPr>
        <w:t xml:space="preserve"> Ірина Василівна – </w:t>
      </w:r>
      <w:proofErr w:type="spellStart"/>
      <w:r w:rsidRPr="005F0419">
        <w:rPr>
          <w:rFonts w:ascii="Times New Roman" w:hAnsi="Times New Roman" w:cs="Times New Roman"/>
          <w:i/>
          <w:iCs/>
          <w:sz w:val="28"/>
          <w:szCs w:val="28"/>
          <w:lang w:val="uk-UA"/>
        </w:rPr>
        <w:t>канд</w:t>
      </w:r>
      <w:proofErr w:type="spellEnd"/>
      <w:r w:rsidRPr="005F0419">
        <w:rPr>
          <w:rFonts w:ascii="Times New Roman" w:hAnsi="Times New Roman" w:cs="Times New Roman"/>
          <w:i/>
          <w:iCs/>
          <w:sz w:val="28"/>
          <w:szCs w:val="28"/>
          <w:lang w:val="uk-UA"/>
        </w:rPr>
        <w:t xml:space="preserve">. </w:t>
      </w:r>
      <w:proofErr w:type="spellStart"/>
      <w:r w:rsidRPr="005F0419">
        <w:rPr>
          <w:rFonts w:ascii="Times New Roman" w:hAnsi="Times New Roman" w:cs="Times New Roman"/>
          <w:i/>
          <w:iCs/>
          <w:sz w:val="28"/>
          <w:szCs w:val="28"/>
          <w:lang w:val="uk-UA"/>
        </w:rPr>
        <w:t>екон</w:t>
      </w:r>
      <w:proofErr w:type="spellEnd"/>
      <w:r w:rsidRPr="005F0419">
        <w:rPr>
          <w:rFonts w:ascii="Times New Roman" w:hAnsi="Times New Roman" w:cs="Times New Roman"/>
          <w:i/>
          <w:iCs/>
          <w:sz w:val="28"/>
          <w:szCs w:val="28"/>
          <w:lang w:val="uk-UA"/>
        </w:rPr>
        <w:t>. наук, доцент, доцент кафедри АПЕПС ТЕФ, Національний технічний університет України «Київський політехнічний інститут  ім. Ігоря Сікорського», м. Київ</w:t>
      </w:r>
    </w:p>
    <w:p w14:paraId="2BD09530" w14:textId="77777777" w:rsidR="006E572F" w:rsidRPr="005F0419" w:rsidRDefault="00BC5A4E" w:rsidP="006E572F">
      <w:pPr>
        <w:spacing w:after="0" w:line="360" w:lineRule="auto"/>
        <w:ind w:firstLine="720"/>
        <w:jc w:val="both"/>
        <w:rPr>
          <w:rFonts w:ascii="Times New Roman" w:hAnsi="Times New Roman" w:cs="Times New Roman"/>
          <w:b/>
          <w:bCs/>
          <w:i/>
          <w:iCs/>
          <w:sz w:val="28"/>
          <w:szCs w:val="28"/>
          <w:lang w:val="uk-UA"/>
        </w:rPr>
      </w:pPr>
      <w:proofErr w:type="spellStart"/>
      <w:r w:rsidRPr="005F0419">
        <w:rPr>
          <w:rFonts w:ascii="Times New Roman" w:hAnsi="Times New Roman" w:cs="Times New Roman"/>
          <w:b/>
          <w:bCs/>
          <w:i/>
          <w:iCs/>
          <w:sz w:val="28"/>
          <w:szCs w:val="28"/>
          <w:lang w:val="uk-UA"/>
        </w:rPr>
        <w:t>Скрипчук</w:t>
      </w:r>
      <w:proofErr w:type="spellEnd"/>
      <w:r w:rsidRPr="005F0419">
        <w:rPr>
          <w:rFonts w:ascii="Times New Roman" w:hAnsi="Times New Roman" w:cs="Times New Roman"/>
          <w:b/>
          <w:bCs/>
          <w:i/>
          <w:iCs/>
          <w:sz w:val="28"/>
          <w:szCs w:val="28"/>
          <w:lang w:val="uk-UA"/>
        </w:rPr>
        <w:t xml:space="preserve"> Петро Михайлович – </w:t>
      </w:r>
      <w:r w:rsidRPr="005F0419">
        <w:rPr>
          <w:rFonts w:ascii="Times New Roman" w:hAnsi="Times New Roman" w:cs="Times New Roman"/>
          <w:i/>
          <w:iCs/>
          <w:sz w:val="28"/>
          <w:szCs w:val="28"/>
          <w:lang w:val="uk-UA"/>
        </w:rPr>
        <w:t>д-р, професор, професор кафедри менеджменту та публічного врядування, Національний університет водного господарства та природокористування, м. Рівне</w:t>
      </w:r>
      <w:r w:rsidRPr="005F0419">
        <w:rPr>
          <w:rFonts w:ascii="Times New Roman" w:hAnsi="Times New Roman" w:cs="Times New Roman"/>
          <w:b/>
          <w:bCs/>
          <w:i/>
          <w:iCs/>
          <w:sz w:val="28"/>
          <w:szCs w:val="28"/>
          <w:lang w:val="uk-UA"/>
        </w:rPr>
        <w:t xml:space="preserve"> </w:t>
      </w:r>
    </w:p>
    <w:p w14:paraId="0F5C3FD9" w14:textId="76290959" w:rsidR="006E572F" w:rsidRPr="005F0419" w:rsidRDefault="006E572F" w:rsidP="006E572F">
      <w:pPr>
        <w:spacing w:after="0" w:line="360" w:lineRule="auto"/>
        <w:ind w:firstLine="720"/>
        <w:jc w:val="both"/>
        <w:rPr>
          <w:rFonts w:ascii="Times New Roman" w:hAnsi="Times New Roman" w:cs="Times New Roman"/>
          <w:bCs/>
          <w:i/>
          <w:iCs/>
          <w:sz w:val="28"/>
          <w:szCs w:val="28"/>
          <w:lang w:val="uk-UA"/>
        </w:rPr>
      </w:pPr>
      <w:proofErr w:type="spellStart"/>
      <w:r w:rsidRPr="005F0419">
        <w:rPr>
          <w:rFonts w:ascii="Times New Roman" w:hAnsi="Times New Roman" w:cs="Times New Roman"/>
          <w:b/>
          <w:i/>
          <w:iCs/>
          <w:sz w:val="28"/>
          <w:szCs w:val="28"/>
          <w:lang w:val="uk-UA"/>
        </w:rPr>
        <w:t>Тітомир</w:t>
      </w:r>
      <w:proofErr w:type="spellEnd"/>
      <w:r w:rsidRPr="005F0419">
        <w:rPr>
          <w:rFonts w:ascii="Times New Roman" w:hAnsi="Times New Roman" w:cs="Times New Roman"/>
          <w:b/>
          <w:i/>
          <w:iCs/>
          <w:sz w:val="28"/>
          <w:szCs w:val="28"/>
          <w:lang w:val="uk-UA"/>
        </w:rPr>
        <w:t xml:space="preserve"> Людмила Анатоліївна</w:t>
      </w:r>
      <w:r w:rsidRPr="005F0419">
        <w:rPr>
          <w:b/>
          <w:i/>
          <w:iCs/>
          <w:lang w:val="uk-UA"/>
        </w:rPr>
        <w:t xml:space="preserve"> – </w:t>
      </w:r>
      <w:proofErr w:type="spellStart"/>
      <w:r w:rsidRPr="005F0419">
        <w:rPr>
          <w:rFonts w:ascii="Times New Roman" w:hAnsi="Times New Roman" w:cs="Times New Roman"/>
          <w:i/>
          <w:iCs/>
          <w:sz w:val="28"/>
          <w:szCs w:val="28"/>
          <w:lang w:val="uk-UA"/>
        </w:rPr>
        <w:t>канд</w:t>
      </w:r>
      <w:proofErr w:type="spellEnd"/>
      <w:r w:rsidRPr="005F0419">
        <w:rPr>
          <w:rFonts w:ascii="Times New Roman" w:hAnsi="Times New Roman" w:cs="Times New Roman"/>
          <w:i/>
          <w:iCs/>
          <w:sz w:val="28"/>
          <w:szCs w:val="28"/>
          <w:lang w:val="uk-UA"/>
        </w:rPr>
        <w:t xml:space="preserve">. </w:t>
      </w:r>
      <w:proofErr w:type="spellStart"/>
      <w:r w:rsidRPr="005F0419">
        <w:rPr>
          <w:rFonts w:ascii="Times New Roman" w:hAnsi="Times New Roman" w:cs="Times New Roman"/>
          <w:i/>
          <w:iCs/>
          <w:sz w:val="28"/>
          <w:szCs w:val="28"/>
          <w:lang w:val="uk-UA"/>
        </w:rPr>
        <w:t>тех</w:t>
      </w:r>
      <w:r w:rsidR="00C47476">
        <w:rPr>
          <w:rFonts w:ascii="Times New Roman" w:hAnsi="Times New Roman" w:cs="Times New Roman"/>
          <w:i/>
          <w:iCs/>
          <w:sz w:val="28"/>
          <w:szCs w:val="28"/>
          <w:lang w:val="uk-UA"/>
        </w:rPr>
        <w:t>н</w:t>
      </w:r>
      <w:proofErr w:type="spellEnd"/>
      <w:r w:rsidRPr="005F0419">
        <w:rPr>
          <w:rFonts w:ascii="Times New Roman" w:hAnsi="Times New Roman" w:cs="Times New Roman"/>
          <w:i/>
          <w:iCs/>
          <w:sz w:val="28"/>
          <w:szCs w:val="28"/>
          <w:lang w:val="uk-UA"/>
        </w:rPr>
        <w:t>. наук, доцент, доцент кафедри</w:t>
      </w:r>
      <w:r w:rsidR="000A0E4C" w:rsidRPr="005F0419">
        <w:rPr>
          <w:rFonts w:ascii="Times New Roman" w:hAnsi="Times New Roman" w:cs="Times New Roman"/>
          <w:i/>
          <w:iCs/>
          <w:sz w:val="28"/>
          <w:szCs w:val="28"/>
          <w:lang w:val="uk-UA"/>
        </w:rPr>
        <w:t xml:space="preserve"> </w:t>
      </w:r>
      <w:proofErr w:type="spellStart"/>
      <w:r w:rsidR="000A0E4C" w:rsidRPr="005F0419">
        <w:rPr>
          <w:rFonts w:ascii="Times New Roman" w:hAnsi="Times New Roman" w:cs="Times New Roman"/>
          <w:i/>
          <w:iCs/>
          <w:sz w:val="28"/>
          <w:szCs w:val="28"/>
          <w:lang w:val="uk-UA"/>
        </w:rPr>
        <w:t>готельно</w:t>
      </w:r>
      <w:proofErr w:type="spellEnd"/>
      <w:r w:rsidR="000A0E4C" w:rsidRPr="005F0419">
        <w:rPr>
          <w:rFonts w:ascii="Times New Roman" w:hAnsi="Times New Roman" w:cs="Times New Roman"/>
          <w:i/>
          <w:iCs/>
          <w:sz w:val="28"/>
          <w:szCs w:val="28"/>
          <w:lang w:val="uk-UA"/>
        </w:rPr>
        <w:t>-ресторанного та туристичного бізнесу,</w:t>
      </w:r>
      <w:r w:rsidRPr="005F0419">
        <w:rPr>
          <w:rFonts w:ascii="Times New Roman" w:hAnsi="Times New Roman" w:cs="Times New Roman"/>
          <w:i/>
          <w:iCs/>
          <w:sz w:val="28"/>
          <w:szCs w:val="28"/>
          <w:lang w:val="uk-UA"/>
        </w:rPr>
        <w:t xml:space="preserve"> Міжнародний гуманітарний університет, </w:t>
      </w:r>
      <w:r w:rsidRPr="005F0419">
        <w:rPr>
          <w:rFonts w:ascii="Times New Roman" w:hAnsi="Times New Roman" w:cs="Times New Roman"/>
          <w:bCs/>
          <w:i/>
          <w:iCs/>
          <w:sz w:val="28"/>
          <w:szCs w:val="28"/>
          <w:lang w:val="uk-UA"/>
        </w:rPr>
        <w:t>м. Одеса</w:t>
      </w:r>
    </w:p>
    <w:p w14:paraId="757388E0" w14:textId="736F339C" w:rsidR="00BC5A4E" w:rsidRPr="005F0419" w:rsidRDefault="00BC5A4E" w:rsidP="00BC5A4E">
      <w:pPr>
        <w:spacing w:after="0" w:line="360" w:lineRule="auto"/>
        <w:ind w:firstLine="720"/>
        <w:jc w:val="both"/>
        <w:rPr>
          <w:rFonts w:ascii="Times New Roman" w:hAnsi="Times New Roman" w:cs="Times New Roman"/>
          <w:b/>
          <w:bCs/>
          <w:i/>
          <w:iCs/>
          <w:sz w:val="28"/>
          <w:szCs w:val="28"/>
          <w:lang w:val="uk-UA"/>
        </w:rPr>
      </w:pPr>
      <w:proofErr w:type="spellStart"/>
      <w:r w:rsidRPr="005F0419">
        <w:rPr>
          <w:rFonts w:ascii="Times New Roman" w:hAnsi="Times New Roman" w:cs="Times New Roman"/>
          <w:b/>
          <w:bCs/>
          <w:i/>
          <w:iCs/>
          <w:sz w:val="28"/>
          <w:szCs w:val="28"/>
          <w:lang w:val="uk-UA"/>
        </w:rPr>
        <w:t>Фроленкова</w:t>
      </w:r>
      <w:proofErr w:type="spellEnd"/>
      <w:r w:rsidRPr="005F0419">
        <w:rPr>
          <w:rFonts w:ascii="Times New Roman" w:hAnsi="Times New Roman" w:cs="Times New Roman"/>
          <w:b/>
          <w:bCs/>
          <w:i/>
          <w:iCs/>
          <w:sz w:val="28"/>
          <w:szCs w:val="28"/>
          <w:lang w:val="uk-UA"/>
        </w:rPr>
        <w:t xml:space="preserve"> Надія Анатоліївна </w:t>
      </w:r>
      <w:r w:rsidRPr="005F0419">
        <w:rPr>
          <w:rFonts w:ascii="Times New Roman" w:hAnsi="Times New Roman" w:cs="Times New Roman"/>
          <w:i/>
          <w:iCs/>
          <w:sz w:val="28"/>
          <w:szCs w:val="28"/>
          <w:lang w:val="uk-UA"/>
        </w:rPr>
        <w:t xml:space="preserve">– </w:t>
      </w:r>
      <w:proofErr w:type="spellStart"/>
      <w:r w:rsidRPr="005F0419">
        <w:rPr>
          <w:rFonts w:ascii="Times New Roman" w:hAnsi="Times New Roman" w:cs="Times New Roman"/>
          <w:i/>
          <w:iCs/>
          <w:sz w:val="28"/>
          <w:szCs w:val="28"/>
          <w:lang w:val="uk-UA"/>
        </w:rPr>
        <w:t>канд</w:t>
      </w:r>
      <w:proofErr w:type="spellEnd"/>
      <w:r w:rsidRPr="005F0419">
        <w:rPr>
          <w:rFonts w:ascii="Times New Roman" w:hAnsi="Times New Roman" w:cs="Times New Roman"/>
          <w:i/>
          <w:iCs/>
          <w:sz w:val="28"/>
          <w:szCs w:val="28"/>
          <w:lang w:val="uk-UA"/>
        </w:rPr>
        <w:t xml:space="preserve">. </w:t>
      </w:r>
      <w:proofErr w:type="spellStart"/>
      <w:r w:rsidRPr="005F0419">
        <w:rPr>
          <w:rFonts w:ascii="Times New Roman" w:hAnsi="Times New Roman" w:cs="Times New Roman"/>
          <w:i/>
          <w:iCs/>
          <w:sz w:val="28"/>
          <w:szCs w:val="28"/>
          <w:lang w:val="uk-UA"/>
        </w:rPr>
        <w:t>екон</w:t>
      </w:r>
      <w:proofErr w:type="spellEnd"/>
      <w:r w:rsidRPr="005F0419">
        <w:rPr>
          <w:rFonts w:ascii="Times New Roman" w:hAnsi="Times New Roman" w:cs="Times New Roman"/>
          <w:i/>
          <w:iCs/>
          <w:sz w:val="28"/>
          <w:szCs w:val="28"/>
          <w:lang w:val="uk-UA"/>
        </w:rPr>
        <w:t xml:space="preserve">. наук, </w:t>
      </w:r>
      <w:r w:rsidR="00134B6B" w:rsidRPr="005F0419">
        <w:rPr>
          <w:rFonts w:ascii="Times New Roman" w:hAnsi="Times New Roman" w:cs="Times New Roman"/>
          <w:i/>
          <w:iCs/>
          <w:sz w:val="28"/>
          <w:szCs w:val="28"/>
          <w:lang w:val="uk-UA"/>
        </w:rPr>
        <w:t xml:space="preserve">доцент, </w:t>
      </w:r>
      <w:r w:rsidRPr="005F0419">
        <w:rPr>
          <w:rFonts w:ascii="Times New Roman" w:hAnsi="Times New Roman" w:cs="Times New Roman"/>
          <w:i/>
          <w:iCs/>
          <w:sz w:val="28"/>
          <w:szCs w:val="28"/>
          <w:lang w:val="uk-UA"/>
        </w:rPr>
        <w:t>доцент кафедри менеджменту та публічного врядування,</w:t>
      </w:r>
      <w:r w:rsidRPr="005F0419">
        <w:rPr>
          <w:rFonts w:ascii="Times New Roman" w:hAnsi="Times New Roman" w:cs="Times New Roman"/>
          <w:b/>
          <w:bCs/>
          <w:i/>
          <w:iCs/>
          <w:sz w:val="28"/>
          <w:szCs w:val="28"/>
          <w:lang w:val="uk-UA"/>
        </w:rPr>
        <w:t xml:space="preserve"> </w:t>
      </w:r>
      <w:r w:rsidRPr="005F0419">
        <w:rPr>
          <w:rFonts w:ascii="Times New Roman" w:hAnsi="Times New Roman" w:cs="Times New Roman"/>
          <w:i/>
          <w:iCs/>
          <w:sz w:val="28"/>
          <w:szCs w:val="28"/>
          <w:lang w:val="uk-UA"/>
        </w:rPr>
        <w:t>Національний університет водного господарства та природокористування, м. Рівне</w:t>
      </w:r>
      <w:r w:rsidRPr="005F0419">
        <w:rPr>
          <w:rFonts w:ascii="Times New Roman" w:hAnsi="Times New Roman" w:cs="Times New Roman"/>
          <w:b/>
          <w:bCs/>
          <w:i/>
          <w:iCs/>
          <w:sz w:val="28"/>
          <w:szCs w:val="28"/>
          <w:lang w:val="uk-UA"/>
        </w:rPr>
        <w:t xml:space="preserve"> </w:t>
      </w:r>
    </w:p>
    <w:p w14:paraId="7F9D7815" w14:textId="7A09A1AB" w:rsidR="00BC5A4E" w:rsidRPr="005F0419" w:rsidRDefault="00BC5A4E" w:rsidP="00134B6B">
      <w:pPr>
        <w:suppressAutoHyphens/>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b/>
          <w:bCs/>
          <w:i/>
          <w:iCs/>
          <w:sz w:val="28"/>
          <w:szCs w:val="28"/>
          <w:lang w:val="uk-UA"/>
        </w:rPr>
        <w:t>Цвілий Сергій</w:t>
      </w:r>
      <w:r w:rsidRPr="005F0419">
        <w:rPr>
          <w:rFonts w:ascii="Times New Roman" w:hAnsi="Times New Roman" w:cs="Times New Roman"/>
          <w:sz w:val="28"/>
          <w:szCs w:val="28"/>
          <w:lang w:val="uk-UA"/>
        </w:rPr>
        <w:t xml:space="preserve"> </w:t>
      </w:r>
      <w:r w:rsidRPr="005F0419">
        <w:rPr>
          <w:rFonts w:ascii="Times New Roman" w:hAnsi="Times New Roman" w:cs="Times New Roman"/>
          <w:b/>
          <w:bCs/>
          <w:i/>
          <w:iCs/>
          <w:sz w:val="28"/>
          <w:szCs w:val="28"/>
          <w:lang w:val="uk-UA"/>
        </w:rPr>
        <w:t>Миколайович</w:t>
      </w:r>
      <w:r w:rsidRPr="005F0419">
        <w:rPr>
          <w:rFonts w:ascii="Times New Roman" w:hAnsi="Times New Roman" w:cs="Times New Roman"/>
          <w:sz w:val="28"/>
          <w:szCs w:val="28"/>
          <w:lang w:val="uk-UA"/>
        </w:rPr>
        <w:t xml:space="preserve"> </w:t>
      </w:r>
      <w:r w:rsidRPr="005F0419">
        <w:rPr>
          <w:rFonts w:ascii="Times New Roman" w:hAnsi="Times New Roman" w:cs="Times New Roman"/>
          <w:i/>
          <w:iCs/>
          <w:sz w:val="28"/>
          <w:szCs w:val="28"/>
          <w:lang w:val="uk-UA"/>
        </w:rPr>
        <w:t xml:space="preserve">– </w:t>
      </w:r>
      <w:proofErr w:type="spellStart"/>
      <w:r w:rsidRPr="005F0419">
        <w:rPr>
          <w:rFonts w:ascii="Times New Roman" w:hAnsi="Times New Roman" w:cs="Times New Roman"/>
          <w:i/>
          <w:iCs/>
          <w:sz w:val="28"/>
          <w:szCs w:val="28"/>
          <w:lang w:val="uk-UA"/>
        </w:rPr>
        <w:t>канд</w:t>
      </w:r>
      <w:proofErr w:type="spellEnd"/>
      <w:r w:rsidRPr="005F0419">
        <w:rPr>
          <w:rFonts w:ascii="Times New Roman" w:hAnsi="Times New Roman" w:cs="Times New Roman"/>
          <w:i/>
          <w:iCs/>
          <w:sz w:val="28"/>
          <w:szCs w:val="28"/>
          <w:lang w:val="uk-UA"/>
        </w:rPr>
        <w:t xml:space="preserve">. </w:t>
      </w:r>
      <w:proofErr w:type="spellStart"/>
      <w:r w:rsidRPr="005F0419">
        <w:rPr>
          <w:rFonts w:ascii="Times New Roman" w:hAnsi="Times New Roman" w:cs="Times New Roman"/>
          <w:i/>
          <w:iCs/>
          <w:sz w:val="28"/>
          <w:szCs w:val="28"/>
          <w:lang w:val="uk-UA"/>
        </w:rPr>
        <w:t>екон</w:t>
      </w:r>
      <w:proofErr w:type="spellEnd"/>
      <w:r w:rsidRPr="005F0419">
        <w:rPr>
          <w:rFonts w:ascii="Times New Roman" w:hAnsi="Times New Roman" w:cs="Times New Roman"/>
          <w:i/>
          <w:iCs/>
          <w:sz w:val="28"/>
          <w:szCs w:val="28"/>
          <w:lang w:val="uk-UA"/>
        </w:rPr>
        <w:t>. наук, доцент, доцент кафедри туристичного, готельного та ресторанного бізнесу,</w:t>
      </w:r>
      <w:r w:rsidR="00134B6B" w:rsidRPr="005F0419">
        <w:rPr>
          <w:rFonts w:ascii="Times New Roman" w:hAnsi="Times New Roman" w:cs="Times New Roman"/>
          <w:i/>
          <w:iCs/>
          <w:sz w:val="28"/>
          <w:szCs w:val="28"/>
          <w:lang w:val="uk-UA"/>
        </w:rPr>
        <w:t xml:space="preserve"> </w:t>
      </w:r>
      <w:r w:rsidRPr="005F0419">
        <w:rPr>
          <w:rFonts w:ascii="Times New Roman" w:hAnsi="Times New Roman" w:cs="Times New Roman"/>
          <w:i/>
          <w:iCs/>
          <w:sz w:val="28"/>
          <w:szCs w:val="28"/>
          <w:lang w:val="uk-UA"/>
        </w:rPr>
        <w:t>Національний університет «Запорізька політехніка», м. Запоріжжя</w:t>
      </w:r>
    </w:p>
    <w:p w14:paraId="70F8146B" w14:textId="37DCAB88" w:rsidR="00EF3405" w:rsidRPr="00EF3405" w:rsidRDefault="00EF3405" w:rsidP="00EF3405">
      <w:pPr>
        <w:spacing w:after="0" w:line="360" w:lineRule="auto"/>
        <w:ind w:firstLine="720"/>
        <w:jc w:val="both"/>
        <w:rPr>
          <w:rFonts w:ascii="Times New Roman" w:hAnsi="Times New Roman" w:cs="Times New Roman"/>
          <w:i/>
          <w:iCs/>
          <w:sz w:val="28"/>
          <w:szCs w:val="28"/>
          <w:lang w:val="uk-UA"/>
        </w:rPr>
      </w:pPr>
      <w:r w:rsidRPr="00EF3405">
        <w:rPr>
          <w:rFonts w:ascii="Times New Roman" w:hAnsi="Times New Roman" w:cs="Times New Roman"/>
          <w:b/>
          <w:bCs/>
          <w:i/>
          <w:iCs/>
          <w:sz w:val="28"/>
          <w:szCs w:val="28"/>
          <w:lang w:val="uk-UA"/>
        </w:rPr>
        <w:t>Чирка В’ячеслав Ігорович</w:t>
      </w:r>
      <w:r>
        <w:rPr>
          <w:rFonts w:ascii="Times New Roman" w:hAnsi="Times New Roman" w:cs="Times New Roman"/>
          <w:b/>
          <w:bCs/>
          <w:i/>
          <w:iCs/>
          <w:sz w:val="28"/>
          <w:szCs w:val="28"/>
          <w:lang w:val="uk-UA"/>
        </w:rPr>
        <w:t xml:space="preserve"> </w:t>
      </w:r>
      <w:r w:rsidRPr="005F0419">
        <w:rPr>
          <w:rFonts w:ascii="Times New Roman" w:hAnsi="Times New Roman" w:cs="Times New Roman"/>
          <w:i/>
          <w:iCs/>
          <w:sz w:val="28"/>
          <w:szCs w:val="28"/>
          <w:lang w:val="uk-UA"/>
        </w:rPr>
        <w:t>–</w:t>
      </w:r>
      <w:r>
        <w:rPr>
          <w:rFonts w:ascii="Times New Roman" w:hAnsi="Times New Roman" w:cs="Times New Roman"/>
          <w:i/>
          <w:iCs/>
          <w:sz w:val="28"/>
          <w:szCs w:val="28"/>
          <w:lang w:val="uk-UA"/>
        </w:rPr>
        <w:t xml:space="preserve"> </w:t>
      </w:r>
      <w:r w:rsidRPr="00EF3405">
        <w:rPr>
          <w:rFonts w:ascii="Times New Roman" w:hAnsi="Times New Roman" w:cs="Times New Roman"/>
          <w:i/>
          <w:iCs/>
          <w:sz w:val="28"/>
          <w:szCs w:val="28"/>
          <w:lang w:val="uk-UA"/>
        </w:rPr>
        <w:t>аспірант на здобуття ступеня доктора філософії  за спеціальністю   241 «</w:t>
      </w:r>
      <w:proofErr w:type="spellStart"/>
      <w:r w:rsidRPr="00EF3405">
        <w:rPr>
          <w:rFonts w:ascii="Times New Roman" w:hAnsi="Times New Roman" w:cs="Times New Roman"/>
          <w:i/>
          <w:iCs/>
          <w:sz w:val="28"/>
          <w:szCs w:val="28"/>
          <w:lang w:val="uk-UA"/>
        </w:rPr>
        <w:t>Готельно</w:t>
      </w:r>
      <w:proofErr w:type="spellEnd"/>
      <w:r w:rsidRPr="00EF3405">
        <w:rPr>
          <w:rFonts w:ascii="Times New Roman" w:hAnsi="Times New Roman" w:cs="Times New Roman"/>
          <w:i/>
          <w:iCs/>
          <w:sz w:val="28"/>
          <w:szCs w:val="28"/>
          <w:lang w:val="uk-UA"/>
        </w:rPr>
        <w:t>-ресторанна справа»</w:t>
      </w:r>
      <w:r>
        <w:rPr>
          <w:rFonts w:ascii="Times New Roman" w:hAnsi="Times New Roman" w:cs="Times New Roman"/>
          <w:i/>
          <w:iCs/>
          <w:sz w:val="28"/>
          <w:szCs w:val="28"/>
          <w:lang w:val="uk-UA"/>
        </w:rPr>
        <w:t xml:space="preserve">, </w:t>
      </w:r>
      <w:r w:rsidRPr="00EF3405">
        <w:rPr>
          <w:rFonts w:ascii="Times New Roman" w:hAnsi="Times New Roman" w:cs="Times New Roman"/>
          <w:i/>
          <w:iCs/>
          <w:sz w:val="28"/>
          <w:szCs w:val="28"/>
          <w:lang w:val="uk-UA"/>
        </w:rPr>
        <w:t xml:space="preserve">Львівський державний університет фізичної культури імені Івана </w:t>
      </w:r>
      <w:proofErr w:type="spellStart"/>
      <w:r w:rsidRPr="00EF3405">
        <w:rPr>
          <w:rFonts w:ascii="Times New Roman" w:hAnsi="Times New Roman" w:cs="Times New Roman"/>
          <w:i/>
          <w:iCs/>
          <w:sz w:val="28"/>
          <w:szCs w:val="28"/>
          <w:lang w:val="uk-UA"/>
        </w:rPr>
        <w:t>Боберського</w:t>
      </w:r>
      <w:proofErr w:type="spellEnd"/>
      <w:r>
        <w:rPr>
          <w:rFonts w:ascii="Times New Roman" w:hAnsi="Times New Roman" w:cs="Times New Roman"/>
          <w:i/>
          <w:iCs/>
          <w:sz w:val="28"/>
          <w:szCs w:val="28"/>
          <w:lang w:val="uk-UA"/>
        </w:rPr>
        <w:t>, м. Львів</w:t>
      </w:r>
    </w:p>
    <w:p w14:paraId="6736030D" w14:textId="01248467" w:rsidR="00932C41" w:rsidRPr="005F0419" w:rsidRDefault="00932C41" w:rsidP="00BC5A4E">
      <w:pPr>
        <w:spacing w:after="0" w:line="360" w:lineRule="auto"/>
        <w:ind w:firstLine="720"/>
        <w:jc w:val="both"/>
        <w:rPr>
          <w:rFonts w:ascii="Times New Roman" w:hAnsi="Times New Roman" w:cs="Times New Roman"/>
          <w:bCs/>
          <w:i/>
          <w:iCs/>
          <w:sz w:val="28"/>
          <w:szCs w:val="28"/>
          <w:lang w:val="uk-UA"/>
        </w:rPr>
      </w:pPr>
      <w:r w:rsidRPr="005F0419">
        <w:rPr>
          <w:rFonts w:ascii="Times New Roman" w:hAnsi="Times New Roman" w:cs="Times New Roman"/>
          <w:b/>
          <w:bCs/>
          <w:i/>
          <w:iCs/>
          <w:sz w:val="28"/>
          <w:szCs w:val="28"/>
          <w:lang w:val="uk-UA"/>
        </w:rPr>
        <w:t>Шинкаренко Лариса Василівна</w:t>
      </w:r>
      <w:r w:rsidRPr="005F0419">
        <w:rPr>
          <w:rFonts w:ascii="Times New Roman" w:hAnsi="Times New Roman" w:cs="Times New Roman"/>
          <w:sz w:val="28"/>
          <w:szCs w:val="28"/>
          <w:lang w:val="uk-UA"/>
        </w:rPr>
        <w:t xml:space="preserve"> – </w:t>
      </w:r>
      <w:proofErr w:type="spellStart"/>
      <w:r w:rsidRPr="005F0419">
        <w:rPr>
          <w:rFonts w:ascii="Times New Roman" w:hAnsi="Times New Roman" w:cs="Times New Roman"/>
          <w:i/>
          <w:iCs/>
          <w:sz w:val="28"/>
          <w:szCs w:val="28"/>
          <w:lang w:val="uk-UA"/>
        </w:rPr>
        <w:t>канд</w:t>
      </w:r>
      <w:proofErr w:type="spellEnd"/>
      <w:r w:rsidRPr="005F0419">
        <w:rPr>
          <w:rFonts w:ascii="Times New Roman" w:hAnsi="Times New Roman" w:cs="Times New Roman"/>
          <w:i/>
          <w:iCs/>
          <w:sz w:val="28"/>
          <w:szCs w:val="28"/>
          <w:lang w:val="uk-UA"/>
        </w:rPr>
        <w:t>. пед. наук, доцент кафедри менеджменту</w:t>
      </w:r>
      <w:r w:rsidR="007E5D03" w:rsidRPr="005F0419">
        <w:rPr>
          <w:rFonts w:ascii="Times New Roman" w:hAnsi="Times New Roman" w:cs="Times New Roman"/>
          <w:i/>
          <w:iCs/>
          <w:sz w:val="28"/>
          <w:szCs w:val="28"/>
          <w:lang w:val="uk-UA"/>
        </w:rPr>
        <w:t>,</w:t>
      </w:r>
      <w:r w:rsidRPr="005F0419">
        <w:rPr>
          <w:rFonts w:ascii="Times New Roman" w:hAnsi="Times New Roman" w:cs="Times New Roman"/>
          <w:i/>
          <w:iCs/>
          <w:sz w:val="28"/>
          <w:szCs w:val="28"/>
          <w:lang w:val="uk-UA"/>
        </w:rPr>
        <w:t xml:space="preserve"> Міжнародн</w:t>
      </w:r>
      <w:r w:rsidR="007E5D03" w:rsidRPr="005F0419">
        <w:rPr>
          <w:rFonts w:ascii="Times New Roman" w:hAnsi="Times New Roman" w:cs="Times New Roman"/>
          <w:i/>
          <w:iCs/>
          <w:sz w:val="28"/>
          <w:szCs w:val="28"/>
          <w:lang w:val="uk-UA"/>
        </w:rPr>
        <w:t>ий</w:t>
      </w:r>
      <w:r w:rsidRPr="005F0419">
        <w:rPr>
          <w:rFonts w:ascii="Times New Roman" w:hAnsi="Times New Roman" w:cs="Times New Roman"/>
          <w:i/>
          <w:iCs/>
          <w:sz w:val="28"/>
          <w:szCs w:val="28"/>
          <w:lang w:val="uk-UA"/>
        </w:rPr>
        <w:t xml:space="preserve"> гуманітарн</w:t>
      </w:r>
      <w:r w:rsidR="007E5D03" w:rsidRPr="005F0419">
        <w:rPr>
          <w:rFonts w:ascii="Times New Roman" w:hAnsi="Times New Roman" w:cs="Times New Roman"/>
          <w:i/>
          <w:iCs/>
          <w:sz w:val="28"/>
          <w:szCs w:val="28"/>
          <w:lang w:val="uk-UA"/>
        </w:rPr>
        <w:t>ий</w:t>
      </w:r>
      <w:r w:rsidRPr="005F0419">
        <w:rPr>
          <w:rFonts w:ascii="Times New Roman" w:hAnsi="Times New Roman" w:cs="Times New Roman"/>
          <w:i/>
          <w:iCs/>
          <w:sz w:val="28"/>
          <w:szCs w:val="28"/>
          <w:lang w:val="uk-UA"/>
        </w:rPr>
        <w:t xml:space="preserve"> університет, </w:t>
      </w:r>
      <w:r w:rsidRPr="005F0419">
        <w:rPr>
          <w:rFonts w:ascii="Times New Roman" w:hAnsi="Times New Roman" w:cs="Times New Roman"/>
          <w:bCs/>
          <w:i/>
          <w:iCs/>
          <w:sz w:val="28"/>
          <w:szCs w:val="28"/>
          <w:lang w:val="uk-UA"/>
        </w:rPr>
        <w:t>м. Одеса</w:t>
      </w:r>
    </w:p>
    <w:p w14:paraId="77DA05D5" w14:textId="72A30035" w:rsidR="00BC5A4E" w:rsidRPr="005F0419" w:rsidRDefault="00BC5A4E" w:rsidP="00BC5A4E">
      <w:pPr>
        <w:spacing w:after="0" w:line="360" w:lineRule="auto"/>
        <w:ind w:firstLine="720"/>
        <w:jc w:val="both"/>
        <w:rPr>
          <w:rFonts w:ascii="Times New Roman" w:hAnsi="Times New Roman" w:cs="Times New Roman"/>
          <w:b/>
          <w:bCs/>
          <w:i/>
          <w:iCs/>
          <w:sz w:val="28"/>
          <w:szCs w:val="28"/>
          <w:lang w:val="uk-UA"/>
        </w:rPr>
      </w:pPr>
      <w:r w:rsidRPr="005F0419">
        <w:rPr>
          <w:rFonts w:ascii="Times New Roman" w:hAnsi="Times New Roman" w:cs="Times New Roman"/>
          <w:b/>
          <w:bCs/>
          <w:i/>
          <w:iCs/>
          <w:sz w:val="28"/>
          <w:szCs w:val="28"/>
          <w:lang w:val="uk-UA"/>
        </w:rPr>
        <w:t xml:space="preserve">Шпак Галина Миколаївна </w:t>
      </w:r>
      <w:r w:rsidRPr="005F0419">
        <w:rPr>
          <w:rFonts w:ascii="Times New Roman" w:hAnsi="Times New Roman" w:cs="Times New Roman"/>
          <w:sz w:val="28"/>
          <w:szCs w:val="28"/>
          <w:lang w:val="uk-UA"/>
        </w:rPr>
        <w:t xml:space="preserve">– </w:t>
      </w:r>
      <w:proofErr w:type="spellStart"/>
      <w:r w:rsidRPr="005F0419">
        <w:rPr>
          <w:rFonts w:ascii="Times New Roman" w:hAnsi="Times New Roman" w:cs="Times New Roman"/>
          <w:i/>
          <w:iCs/>
          <w:sz w:val="28"/>
          <w:szCs w:val="28"/>
          <w:lang w:val="uk-UA"/>
        </w:rPr>
        <w:t>канд</w:t>
      </w:r>
      <w:proofErr w:type="spellEnd"/>
      <w:r w:rsidRPr="005F0419">
        <w:rPr>
          <w:rFonts w:ascii="Times New Roman" w:hAnsi="Times New Roman" w:cs="Times New Roman"/>
          <w:i/>
          <w:iCs/>
          <w:sz w:val="28"/>
          <w:szCs w:val="28"/>
          <w:lang w:val="uk-UA"/>
        </w:rPr>
        <w:t xml:space="preserve">. </w:t>
      </w:r>
      <w:proofErr w:type="spellStart"/>
      <w:r w:rsidRPr="005F0419">
        <w:rPr>
          <w:rFonts w:ascii="Times New Roman" w:hAnsi="Times New Roman" w:cs="Times New Roman"/>
          <w:i/>
          <w:iCs/>
          <w:sz w:val="28"/>
          <w:szCs w:val="28"/>
          <w:lang w:val="uk-UA"/>
        </w:rPr>
        <w:t>екон</w:t>
      </w:r>
      <w:proofErr w:type="spellEnd"/>
      <w:r w:rsidRPr="005F0419">
        <w:rPr>
          <w:rFonts w:ascii="Times New Roman" w:hAnsi="Times New Roman" w:cs="Times New Roman"/>
          <w:i/>
          <w:iCs/>
          <w:sz w:val="28"/>
          <w:szCs w:val="28"/>
          <w:lang w:val="uk-UA"/>
        </w:rPr>
        <w:t>. наук, викладач Відокремленого структурного підрозділу «Рівненський технічний фаховий коледж НУВГП», м. Рівне</w:t>
      </w:r>
    </w:p>
    <w:p w14:paraId="1BB48834" w14:textId="77777777" w:rsidR="00BC5A4E" w:rsidRPr="005F0419" w:rsidRDefault="00BC5A4E" w:rsidP="00932C41">
      <w:pPr>
        <w:spacing w:after="0" w:line="360" w:lineRule="auto"/>
        <w:ind w:firstLine="720"/>
        <w:jc w:val="both"/>
        <w:rPr>
          <w:rFonts w:ascii="Times New Roman" w:hAnsi="Times New Roman" w:cs="Times New Roman"/>
          <w:bCs/>
          <w:i/>
          <w:iCs/>
          <w:sz w:val="28"/>
          <w:szCs w:val="28"/>
          <w:lang w:val="uk-UA"/>
        </w:rPr>
      </w:pPr>
    </w:p>
    <w:p w14:paraId="4FC4C64C" w14:textId="77777777" w:rsidR="00A55004" w:rsidRPr="005F0419" w:rsidRDefault="00A55004" w:rsidP="00662012">
      <w:pPr>
        <w:spacing w:after="0" w:line="360" w:lineRule="auto"/>
        <w:ind w:firstLine="720"/>
        <w:jc w:val="both"/>
        <w:rPr>
          <w:rFonts w:ascii="Times New Roman" w:hAnsi="Times New Roman" w:cs="Times New Roman"/>
          <w:sz w:val="28"/>
          <w:szCs w:val="28"/>
          <w:lang w:val="uk-UA"/>
        </w:rPr>
      </w:pPr>
    </w:p>
    <w:p w14:paraId="4DD2EA1F" w14:textId="2F6C7B08" w:rsidR="00A55004" w:rsidRPr="005F0419" w:rsidRDefault="00A55004" w:rsidP="00662012">
      <w:pPr>
        <w:spacing w:after="0" w:line="360" w:lineRule="auto"/>
        <w:ind w:firstLine="720"/>
        <w:jc w:val="both"/>
        <w:rPr>
          <w:rFonts w:ascii="Times New Roman" w:hAnsi="Times New Roman" w:cs="Times New Roman"/>
          <w:sz w:val="28"/>
          <w:szCs w:val="28"/>
          <w:lang w:val="uk-UA"/>
        </w:rPr>
      </w:pPr>
    </w:p>
    <w:p w14:paraId="735A0B68" w14:textId="6074889E" w:rsidR="0000167A" w:rsidRPr="005F0419" w:rsidRDefault="0000167A" w:rsidP="00662012">
      <w:pPr>
        <w:spacing w:after="0" w:line="360" w:lineRule="auto"/>
        <w:ind w:firstLine="720"/>
        <w:jc w:val="both"/>
        <w:rPr>
          <w:rFonts w:ascii="Times New Roman" w:hAnsi="Times New Roman" w:cs="Times New Roman"/>
          <w:sz w:val="28"/>
          <w:szCs w:val="28"/>
          <w:lang w:val="uk-UA"/>
        </w:rPr>
      </w:pPr>
    </w:p>
    <w:p w14:paraId="279133F4" w14:textId="4C64BE47" w:rsidR="00662012" w:rsidRPr="005F0419" w:rsidRDefault="00662012" w:rsidP="001F7ACC">
      <w:pPr>
        <w:pageBreakBefore/>
        <w:widowControl w:val="0"/>
        <w:spacing w:after="0" w:line="360" w:lineRule="auto"/>
        <w:ind w:firstLine="720"/>
        <w:jc w:val="center"/>
        <w:rPr>
          <w:rFonts w:ascii="Times New Roman" w:hAnsi="Times New Roman" w:cs="Times New Roman"/>
          <w:sz w:val="28"/>
          <w:szCs w:val="28"/>
          <w:lang w:val="uk-UA"/>
        </w:rPr>
      </w:pPr>
      <w:r w:rsidRPr="005F0419">
        <w:rPr>
          <w:rFonts w:ascii="Times New Roman" w:hAnsi="Times New Roman" w:cs="Times New Roman"/>
          <w:b/>
          <w:bCs/>
          <w:sz w:val="28"/>
          <w:szCs w:val="28"/>
          <w:lang w:val="uk-UA"/>
        </w:rPr>
        <w:lastRenderedPageBreak/>
        <w:t>ЗМІСТ</w:t>
      </w:r>
    </w:p>
    <w:tbl>
      <w:tblPr>
        <w:tblStyle w:val="ab"/>
        <w:tblW w:w="0" w:type="auto"/>
        <w:tblLook w:val="04A0" w:firstRow="1" w:lastRow="0" w:firstColumn="1" w:lastColumn="0" w:noHBand="0" w:noVBand="1"/>
      </w:tblPr>
      <w:tblGrid>
        <w:gridCol w:w="8992"/>
        <w:gridCol w:w="636"/>
      </w:tblGrid>
      <w:tr w:rsidR="001F7ACC" w:rsidRPr="005F0419" w14:paraId="73C089F8" w14:textId="77777777" w:rsidTr="001F7ACC">
        <w:tc>
          <w:tcPr>
            <w:tcW w:w="9067" w:type="dxa"/>
          </w:tcPr>
          <w:p w14:paraId="60BE1C45" w14:textId="77777777" w:rsidR="00D0322E" w:rsidRPr="005F0419" w:rsidRDefault="001F7ACC" w:rsidP="001F7ACC">
            <w:pPr>
              <w:pStyle w:val="Default"/>
              <w:spacing w:line="360" w:lineRule="auto"/>
              <w:ind w:firstLine="720"/>
              <w:rPr>
                <w:color w:val="auto"/>
                <w:sz w:val="28"/>
                <w:szCs w:val="28"/>
                <w:lang w:val="uk-UA"/>
              </w:rPr>
            </w:pPr>
            <w:r w:rsidRPr="005F0419">
              <w:rPr>
                <w:b/>
                <w:bCs/>
                <w:color w:val="auto"/>
                <w:sz w:val="28"/>
                <w:szCs w:val="28"/>
                <w:lang w:val="uk-UA"/>
              </w:rPr>
              <w:t>ВСТУПНЕ СЛОВО</w:t>
            </w:r>
            <w:r w:rsidR="00154938" w:rsidRPr="005F0419">
              <w:rPr>
                <w:color w:val="auto"/>
                <w:sz w:val="28"/>
                <w:szCs w:val="28"/>
                <w:lang w:val="uk-UA"/>
              </w:rPr>
              <w:t xml:space="preserve"> </w:t>
            </w:r>
          </w:p>
          <w:p w14:paraId="25F71777" w14:textId="784F7D59" w:rsidR="001F7ACC" w:rsidRPr="005F0419" w:rsidRDefault="00154938" w:rsidP="00D0322E">
            <w:pPr>
              <w:pStyle w:val="Default"/>
              <w:spacing w:line="360" w:lineRule="auto"/>
              <w:rPr>
                <w:color w:val="auto"/>
                <w:sz w:val="28"/>
                <w:szCs w:val="28"/>
                <w:lang w:val="uk-UA"/>
              </w:rPr>
            </w:pPr>
            <w:proofErr w:type="spellStart"/>
            <w:r w:rsidRPr="005F0419">
              <w:rPr>
                <w:i/>
                <w:iCs/>
                <w:color w:val="auto"/>
                <w:sz w:val="28"/>
                <w:szCs w:val="28"/>
                <w:lang w:val="uk-UA"/>
              </w:rPr>
              <w:t>Балджи</w:t>
            </w:r>
            <w:proofErr w:type="spellEnd"/>
            <w:r w:rsidRPr="005F0419">
              <w:rPr>
                <w:i/>
                <w:iCs/>
                <w:color w:val="auto"/>
                <w:sz w:val="28"/>
                <w:szCs w:val="28"/>
                <w:lang w:val="uk-UA"/>
              </w:rPr>
              <w:t xml:space="preserve"> Марина</w:t>
            </w:r>
          </w:p>
          <w:p w14:paraId="0D7B98DE" w14:textId="77777777" w:rsidR="00D0322E" w:rsidRPr="005F0419" w:rsidRDefault="00D0322E" w:rsidP="001F7ACC">
            <w:pPr>
              <w:pStyle w:val="Default"/>
              <w:spacing w:line="360" w:lineRule="auto"/>
              <w:ind w:firstLine="720"/>
              <w:rPr>
                <w:b/>
                <w:bCs/>
                <w:color w:val="auto"/>
                <w:sz w:val="28"/>
                <w:szCs w:val="28"/>
                <w:lang w:val="uk-UA"/>
              </w:rPr>
            </w:pPr>
          </w:p>
          <w:p w14:paraId="3C79DBF7" w14:textId="7C0957D6" w:rsidR="001F7ACC" w:rsidRPr="005F0419" w:rsidRDefault="001F7ACC" w:rsidP="001F7ACC">
            <w:pPr>
              <w:pStyle w:val="Default"/>
              <w:spacing w:line="360" w:lineRule="auto"/>
              <w:ind w:firstLine="720"/>
              <w:rPr>
                <w:b/>
                <w:bCs/>
                <w:color w:val="auto"/>
                <w:sz w:val="28"/>
                <w:szCs w:val="28"/>
                <w:lang w:val="uk-UA"/>
              </w:rPr>
            </w:pPr>
            <w:r w:rsidRPr="005F0419">
              <w:rPr>
                <w:b/>
                <w:bCs/>
                <w:color w:val="auto"/>
                <w:sz w:val="28"/>
                <w:szCs w:val="28"/>
                <w:lang w:val="uk-UA"/>
              </w:rPr>
              <w:t xml:space="preserve">Розділ 1. </w:t>
            </w:r>
            <w:r w:rsidRPr="005F0419">
              <w:rPr>
                <w:b/>
                <w:bCs/>
                <w:caps/>
                <w:color w:val="auto"/>
                <w:sz w:val="28"/>
                <w:szCs w:val="28"/>
                <w:lang w:val="uk-UA"/>
              </w:rPr>
              <w:t>Стратегічні і тактичні орієнтири управлінських рішень в бізнес-середовищі</w:t>
            </w:r>
          </w:p>
          <w:p w14:paraId="32EAF65A" w14:textId="77777777" w:rsidR="00DF0EBA" w:rsidRPr="005F0419" w:rsidRDefault="00DF0EBA" w:rsidP="00DF0EBA">
            <w:pPr>
              <w:spacing w:after="0" w:line="360" w:lineRule="auto"/>
              <w:ind w:firstLine="720"/>
              <w:rPr>
                <w:rFonts w:ascii="Times New Roman" w:hAnsi="Times New Roman" w:cs="Times New Roman"/>
                <w:bCs/>
                <w:sz w:val="28"/>
                <w:szCs w:val="28"/>
                <w:lang w:val="uk-UA"/>
              </w:rPr>
            </w:pPr>
            <w:r w:rsidRPr="005F0419">
              <w:rPr>
                <w:rFonts w:ascii="Times New Roman" w:hAnsi="Times New Roman" w:cs="Times New Roman"/>
                <w:bCs/>
                <w:sz w:val="28"/>
                <w:szCs w:val="28"/>
                <w:lang w:val="uk-UA"/>
              </w:rPr>
              <w:t xml:space="preserve">ФІНАНСОВЕ УПРАВЛІННЯ СТИМУЛЮВАННЯМ ТРУДОВОЇ АКТИВНОСТІ НА ВІТЧИЗНЯНИХ ПІДПРИЄМСТВАХ </w:t>
            </w:r>
          </w:p>
          <w:p w14:paraId="32E4B828" w14:textId="2DC24212" w:rsidR="00DF0EBA" w:rsidRPr="005F0419" w:rsidRDefault="00DF0EBA" w:rsidP="00DF0EBA">
            <w:pPr>
              <w:spacing w:after="0" w:line="360" w:lineRule="auto"/>
              <w:rPr>
                <w:rFonts w:ascii="Times New Roman" w:hAnsi="Times New Roman" w:cs="Times New Roman"/>
                <w:bCs/>
                <w:sz w:val="28"/>
                <w:szCs w:val="28"/>
                <w:lang w:val="uk-UA"/>
              </w:rPr>
            </w:pPr>
            <w:proofErr w:type="spellStart"/>
            <w:r w:rsidRPr="005F0419">
              <w:rPr>
                <w:rFonts w:ascii="Times New Roman" w:hAnsi="Times New Roman" w:cs="Times New Roman"/>
                <w:bCs/>
                <w:i/>
                <w:iCs/>
                <w:sz w:val="28"/>
                <w:szCs w:val="28"/>
                <w:lang w:val="uk-UA"/>
              </w:rPr>
              <w:t>Балджи</w:t>
            </w:r>
            <w:proofErr w:type="spellEnd"/>
            <w:r w:rsidRPr="005F0419">
              <w:rPr>
                <w:rFonts w:ascii="Times New Roman" w:hAnsi="Times New Roman" w:cs="Times New Roman"/>
                <w:bCs/>
                <w:i/>
                <w:iCs/>
                <w:sz w:val="28"/>
                <w:szCs w:val="28"/>
                <w:lang w:val="uk-UA"/>
              </w:rPr>
              <w:t xml:space="preserve"> Марина</w:t>
            </w:r>
          </w:p>
          <w:p w14:paraId="29F869B9" w14:textId="557B40E4" w:rsidR="001F7ACC" w:rsidRPr="005F0419" w:rsidRDefault="001F7ACC" w:rsidP="00DF0EBA">
            <w:pPr>
              <w:spacing w:after="0" w:line="360" w:lineRule="auto"/>
              <w:ind w:firstLine="720"/>
              <w:rPr>
                <w:rFonts w:ascii="Times New Roman" w:hAnsi="Times New Roman" w:cs="Times New Roman"/>
                <w:bCs/>
                <w:sz w:val="28"/>
                <w:szCs w:val="28"/>
                <w:lang w:val="uk-UA"/>
              </w:rPr>
            </w:pPr>
            <w:r w:rsidRPr="005F0419">
              <w:rPr>
                <w:rFonts w:ascii="Times New Roman" w:hAnsi="Times New Roman" w:cs="Times New Roman"/>
                <w:bCs/>
                <w:sz w:val="28"/>
                <w:szCs w:val="28"/>
                <w:lang w:val="uk-UA"/>
              </w:rPr>
              <w:t xml:space="preserve">КОРПОРАТИВНА СОЦІАЛЬНА БЕЗПЕКА В УМОВАХ ВОЄННОГО ЧАСУ ТА ПЕРСПЕКТИВИ ЇЇ ЗАБЕЗПЕЧЕННЯ </w:t>
            </w:r>
            <w:proofErr w:type="spellStart"/>
            <w:r w:rsidRPr="005F0419">
              <w:rPr>
                <w:rFonts w:ascii="Times New Roman" w:hAnsi="Times New Roman" w:cs="Times New Roman"/>
                <w:bCs/>
                <w:i/>
                <w:iCs/>
                <w:sz w:val="28"/>
                <w:szCs w:val="28"/>
                <w:lang w:val="uk-UA"/>
              </w:rPr>
              <w:t>Бондаревська</w:t>
            </w:r>
            <w:proofErr w:type="spellEnd"/>
            <w:r w:rsidRPr="005F0419">
              <w:rPr>
                <w:rFonts w:ascii="Times New Roman" w:hAnsi="Times New Roman" w:cs="Times New Roman"/>
                <w:bCs/>
                <w:i/>
                <w:iCs/>
                <w:sz w:val="28"/>
                <w:szCs w:val="28"/>
                <w:lang w:val="uk-UA"/>
              </w:rPr>
              <w:t xml:space="preserve"> Ксенія</w:t>
            </w:r>
          </w:p>
          <w:p w14:paraId="39FCB3A0" w14:textId="53BB1011" w:rsidR="001F7ACC" w:rsidRPr="005F0419" w:rsidRDefault="001F7ACC" w:rsidP="00DF0EBA">
            <w:pPr>
              <w:spacing w:after="0" w:line="360" w:lineRule="auto"/>
              <w:ind w:firstLine="720"/>
              <w:jc w:val="both"/>
              <w:rPr>
                <w:rFonts w:ascii="Times New Roman" w:hAnsi="Times New Roman" w:cs="Times New Roman"/>
                <w:bCs/>
                <w:sz w:val="28"/>
                <w:szCs w:val="28"/>
                <w:lang w:val="uk-UA"/>
              </w:rPr>
            </w:pPr>
            <w:r w:rsidRPr="005F0419">
              <w:rPr>
                <w:rFonts w:ascii="Times New Roman" w:hAnsi="Times New Roman" w:cs="Times New Roman"/>
                <w:bCs/>
                <w:sz w:val="28"/>
                <w:szCs w:val="28"/>
                <w:lang w:val="uk-UA"/>
              </w:rPr>
              <w:t xml:space="preserve">ТРАНСФОРМАЦІЯ СТРАТЕГІЙ УПРАВЛІННЯ ПІДПРИЄМСТВАМИ В УМОВАХ ЦИФРОВІЗАЦІЇ ЕКОНОМІКИ </w:t>
            </w:r>
            <w:proofErr w:type="spellStart"/>
            <w:r w:rsidRPr="005F0419">
              <w:rPr>
                <w:rFonts w:ascii="Times New Roman" w:hAnsi="Times New Roman" w:cs="Times New Roman"/>
                <w:bCs/>
                <w:i/>
                <w:iCs/>
                <w:sz w:val="28"/>
                <w:szCs w:val="28"/>
                <w:lang w:val="uk-UA"/>
              </w:rPr>
              <w:t>Горбаньова</w:t>
            </w:r>
            <w:proofErr w:type="spellEnd"/>
            <w:r w:rsidRPr="005F0419">
              <w:rPr>
                <w:rFonts w:ascii="Times New Roman" w:hAnsi="Times New Roman" w:cs="Times New Roman"/>
                <w:bCs/>
                <w:i/>
                <w:iCs/>
                <w:sz w:val="28"/>
                <w:szCs w:val="28"/>
                <w:lang w:val="uk-UA"/>
              </w:rPr>
              <w:t xml:space="preserve"> Вікторія</w:t>
            </w:r>
          </w:p>
          <w:p w14:paraId="2B4B71C6" w14:textId="77777777" w:rsidR="000D0AFC" w:rsidRPr="000D0AFC" w:rsidRDefault="000D0AFC" w:rsidP="000D0AFC">
            <w:pPr>
              <w:spacing w:after="0" w:line="360" w:lineRule="auto"/>
              <w:ind w:firstLine="720"/>
              <w:jc w:val="both"/>
              <w:rPr>
                <w:rFonts w:ascii="Times New Roman" w:eastAsia="Times New Roman" w:hAnsi="Times New Roman" w:cs="Times New Roman"/>
                <w:bCs/>
                <w:caps/>
                <w:sz w:val="28"/>
                <w:szCs w:val="28"/>
                <w:shd w:val="clear" w:color="auto" w:fill="FCFCFC"/>
                <w:lang w:val="uk-UA"/>
              </w:rPr>
            </w:pPr>
            <w:r w:rsidRPr="000D0AFC">
              <w:rPr>
                <w:rFonts w:ascii="Times New Roman" w:eastAsia="Times New Roman" w:hAnsi="Times New Roman" w:cs="Times New Roman"/>
                <w:bCs/>
                <w:caps/>
                <w:sz w:val="28"/>
                <w:szCs w:val="28"/>
                <w:shd w:val="clear" w:color="auto" w:fill="FCFCFC"/>
                <w:lang w:val="uk-UA"/>
              </w:rPr>
              <w:t>КОНВЕРГЕНТНИЙ ПІДХІД ДО УСПІШНОЇ КАР’ЄРИ ЯК НАПРЯМ УПРАВЛІННЯ ПЕРСОНАЛОМ ПІДПРИЄМСТВА</w:t>
            </w:r>
          </w:p>
          <w:p w14:paraId="5B970FFB" w14:textId="437102F4" w:rsidR="000D0AFC" w:rsidRDefault="000D0AFC" w:rsidP="000D0AFC">
            <w:pPr>
              <w:spacing w:after="0" w:line="360" w:lineRule="auto"/>
              <w:jc w:val="both"/>
              <w:rPr>
                <w:rFonts w:ascii="Times New Roman" w:eastAsia="Times New Roman" w:hAnsi="Times New Roman" w:cs="Times New Roman"/>
                <w:bCs/>
                <w:caps/>
                <w:sz w:val="28"/>
                <w:szCs w:val="28"/>
                <w:shd w:val="clear" w:color="auto" w:fill="FCFCFC"/>
                <w:lang w:val="uk-UA"/>
              </w:rPr>
            </w:pPr>
            <w:proofErr w:type="spellStart"/>
            <w:r>
              <w:rPr>
                <w:rFonts w:ascii="Times New Roman" w:eastAsia="Times New Roman" w:hAnsi="Times New Roman" w:cs="Times New Roman"/>
                <w:bCs/>
                <w:i/>
                <w:iCs/>
                <w:sz w:val="28"/>
                <w:szCs w:val="28"/>
                <w:shd w:val="clear" w:color="auto" w:fill="FCFCFC"/>
                <w:lang w:val="uk-UA"/>
              </w:rPr>
              <w:t>Каламан</w:t>
            </w:r>
            <w:proofErr w:type="spellEnd"/>
            <w:r>
              <w:rPr>
                <w:rFonts w:ascii="Times New Roman" w:eastAsia="Times New Roman" w:hAnsi="Times New Roman" w:cs="Times New Roman"/>
                <w:bCs/>
                <w:i/>
                <w:iCs/>
                <w:sz w:val="28"/>
                <w:szCs w:val="28"/>
                <w:shd w:val="clear" w:color="auto" w:fill="FCFCFC"/>
                <w:lang w:val="uk-UA"/>
              </w:rPr>
              <w:t xml:space="preserve"> Ольга, </w:t>
            </w:r>
            <w:proofErr w:type="spellStart"/>
            <w:r>
              <w:rPr>
                <w:rFonts w:ascii="Times New Roman" w:eastAsia="Times New Roman" w:hAnsi="Times New Roman" w:cs="Times New Roman"/>
                <w:bCs/>
                <w:i/>
                <w:iCs/>
                <w:sz w:val="28"/>
                <w:szCs w:val="28"/>
                <w:shd w:val="clear" w:color="auto" w:fill="FCFCFC"/>
                <w:lang w:val="uk-UA"/>
              </w:rPr>
              <w:t>Дишкантюк</w:t>
            </w:r>
            <w:proofErr w:type="spellEnd"/>
            <w:r>
              <w:rPr>
                <w:rFonts w:ascii="Times New Roman" w:eastAsia="Times New Roman" w:hAnsi="Times New Roman" w:cs="Times New Roman"/>
                <w:bCs/>
                <w:i/>
                <w:iCs/>
                <w:sz w:val="28"/>
                <w:szCs w:val="28"/>
                <w:shd w:val="clear" w:color="auto" w:fill="FCFCFC"/>
                <w:lang w:val="uk-UA"/>
              </w:rPr>
              <w:t xml:space="preserve"> Оксана, Власюк Карина</w:t>
            </w:r>
          </w:p>
          <w:p w14:paraId="23DBA5DC" w14:textId="216C46B8" w:rsidR="00DF0EBA" w:rsidRPr="005F0419" w:rsidRDefault="001F7ACC" w:rsidP="00DF0EBA">
            <w:pPr>
              <w:spacing w:after="0" w:line="360" w:lineRule="auto"/>
              <w:ind w:firstLine="720"/>
              <w:jc w:val="both"/>
              <w:rPr>
                <w:rFonts w:ascii="Times New Roman" w:eastAsia="Times New Roman" w:hAnsi="Times New Roman" w:cs="Times New Roman"/>
                <w:bCs/>
                <w:sz w:val="28"/>
                <w:szCs w:val="28"/>
                <w:shd w:val="clear" w:color="auto" w:fill="FCFCFC"/>
                <w:lang w:val="uk-UA"/>
              </w:rPr>
            </w:pPr>
            <w:r w:rsidRPr="005F0419">
              <w:rPr>
                <w:rFonts w:ascii="Times New Roman" w:eastAsia="Times New Roman" w:hAnsi="Times New Roman" w:cs="Times New Roman"/>
                <w:bCs/>
                <w:caps/>
                <w:sz w:val="28"/>
                <w:szCs w:val="28"/>
                <w:shd w:val="clear" w:color="auto" w:fill="FCFCFC"/>
                <w:lang w:val="uk-UA"/>
              </w:rPr>
              <w:t>Еколого-економічні засади врахування «земельного» сліду В агробізнесі</w:t>
            </w:r>
            <w:r w:rsidRPr="005F0419">
              <w:rPr>
                <w:rFonts w:ascii="Times New Roman" w:eastAsia="Times New Roman" w:hAnsi="Times New Roman" w:cs="Times New Roman"/>
                <w:bCs/>
                <w:sz w:val="28"/>
                <w:szCs w:val="28"/>
                <w:shd w:val="clear" w:color="auto" w:fill="FCFCFC"/>
                <w:lang w:val="uk-UA"/>
              </w:rPr>
              <w:t xml:space="preserve"> </w:t>
            </w:r>
          </w:p>
          <w:p w14:paraId="2E83DDAA" w14:textId="01288CC0" w:rsidR="001F7ACC" w:rsidRPr="005F0419" w:rsidRDefault="001F7ACC" w:rsidP="00DF0EBA">
            <w:pPr>
              <w:spacing w:after="0" w:line="360" w:lineRule="auto"/>
              <w:jc w:val="both"/>
              <w:rPr>
                <w:rFonts w:ascii="Times New Roman" w:eastAsia="Times New Roman" w:hAnsi="Times New Roman" w:cs="Times New Roman"/>
                <w:bCs/>
                <w:sz w:val="28"/>
                <w:szCs w:val="28"/>
                <w:shd w:val="clear" w:color="auto" w:fill="FCFCFC"/>
                <w:lang w:val="uk-UA"/>
              </w:rPr>
            </w:pPr>
            <w:proofErr w:type="spellStart"/>
            <w:r w:rsidRPr="005F0419">
              <w:rPr>
                <w:rFonts w:ascii="Times New Roman" w:eastAsia="Times New Roman" w:hAnsi="Times New Roman" w:cs="Times New Roman"/>
                <w:bCs/>
                <w:i/>
                <w:iCs/>
                <w:sz w:val="28"/>
                <w:szCs w:val="28"/>
                <w:shd w:val="clear" w:color="auto" w:fill="FCFCFC"/>
                <w:lang w:val="uk-UA"/>
              </w:rPr>
              <w:t>Скрипчук</w:t>
            </w:r>
            <w:proofErr w:type="spellEnd"/>
            <w:r w:rsidRPr="005F0419">
              <w:rPr>
                <w:rFonts w:ascii="Times New Roman" w:eastAsia="Times New Roman" w:hAnsi="Times New Roman" w:cs="Times New Roman"/>
                <w:bCs/>
                <w:i/>
                <w:iCs/>
                <w:sz w:val="28"/>
                <w:szCs w:val="28"/>
                <w:shd w:val="clear" w:color="auto" w:fill="FCFCFC"/>
                <w:lang w:val="uk-UA"/>
              </w:rPr>
              <w:t xml:space="preserve"> Петро, Шпак Галина</w:t>
            </w:r>
          </w:p>
          <w:p w14:paraId="46C74FCC" w14:textId="77777777" w:rsidR="00D0322E" w:rsidRPr="005F0419" w:rsidRDefault="001F7ACC" w:rsidP="00DF0EBA">
            <w:pPr>
              <w:spacing w:after="0" w:line="360" w:lineRule="auto"/>
              <w:ind w:firstLine="720"/>
              <w:rPr>
                <w:rFonts w:ascii="Times New Roman" w:hAnsi="Times New Roman" w:cs="Times New Roman"/>
                <w:bCs/>
                <w:sz w:val="28"/>
                <w:szCs w:val="28"/>
                <w:lang w:val="uk-UA"/>
              </w:rPr>
            </w:pPr>
            <w:r w:rsidRPr="005F0419">
              <w:rPr>
                <w:rFonts w:ascii="Times New Roman" w:hAnsi="Times New Roman" w:cs="Times New Roman"/>
                <w:bCs/>
                <w:caps/>
                <w:sz w:val="28"/>
                <w:szCs w:val="28"/>
                <w:lang w:val="uk-UA"/>
              </w:rPr>
              <w:t>Управління організаційними та проєктними комунікаціями: технологія розробки комунікаційної стратегії</w:t>
            </w:r>
            <w:r w:rsidRPr="005F0419">
              <w:rPr>
                <w:rFonts w:ascii="Times New Roman" w:hAnsi="Times New Roman" w:cs="Times New Roman"/>
                <w:bCs/>
                <w:sz w:val="28"/>
                <w:szCs w:val="28"/>
                <w:lang w:val="uk-UA"/>
              </w:rPr>
              <w:t xml:space="preserve"> </w:t>
            </w:r>
          </w:p>
          <w:p w14:paraId="13DB82C0" w14:textId="13F40A1A" w:rsidR="001F7ACC" w:rsidRPr="005F0419" w:rsidRDefault="001F7ACC" w:rsidP="00D0322E">
            <w:pPr>
              <w:spacing w:after="0" w:line="360" w:lineRule="auto"/>
              <w:rPr>
                <w:rFonts w:ascii="Times New Roman" w:eastAsiaTheme="minorHAnsi" w:hAnsi="Times New Roman" w:cs="Times New Roman"/>
                <w:bCs/>
                <w:sz w:val="28"/>
                <w:szCs w:val="28"/>
                <w:lang w:val="uk-UA"/>
              </w:rPr>
            </w:pPr>
            <w:proofErr w:type="spellStart"/>
            <w:r w:rsidRPr="005F0419">
              <w:rPr>
                <w:rFonts w:ascii="Times New Roman" w:hAnsi="Times New Roman" w:cs="Times New Roman"/>
                <w:bCs/>
                <w:i/>
                <w:iCs/>
                <w:sz w:val="28"/>
                <w:szCs w:val="28"/>
                <w:lang w:val="uk-UA"/>
              </w:rPr>
              <w:t>Фроленкова</w:t>
            </w:r>
            <w:proofErr w:type="spellEnd"/>
            <w:r w:rsidRPr="005F0419">
              <w:rPr>
                <w:rFonts w:ascii="Times New Roman" w:hAnsi="Times New Roman" w:cs="Times New Roman"/>
                <w:bCs/>
                <w:i/>
                <w:iCs/>
                <w:sz w:val="28"/>
                <w:szCs w:val="28"/>
                <w:lang w:val="uk-UA"/>
              </w:rPr>
              <w:t xml:space="preserve"> Надія</w:t>
            </w:r>
          </w:p>
          <w:p w14:paraId="6733B7DF" w14:textId="77777777" w:rsidR="001F7ACC" w:rsidRPr="005F0419" w:rsidRDefault="001F7ACC" w:rsidP="00DF0EBA">
            <w:pPr>
              <w:suppressAutoHyphens/>
              <w:spacing w:after="0" w:line="360" w:lineRule="auto"/>
              <w:ind w:firstLine="720"/>
              <w:rPr>
                <w:rFonts w:ascii="Times New Roman" w:hAnsi="Times New Roman" w:cs="Times New Roman"/>
                <w:bCs/>
                <w:caps/>
                <w:spacing w:val="-2"/>
                <w:sz w:val="28"/>
                <w:szCs w:val="28"/>
                <w:lang w:val="uk-UA"/>
              </w:rPr>
            </w:pPr>
            <w:r w:rsidRPr="005F0419">
              <w:rPr>
                <w:rFonts w:ascii="Times New Roman" w:hAnsi="Times New Roman" w:cs="Times New Roman"/>
                <w:bCs/>
                <w:caps/>
                <w:spacing w:val="-2"/>
                <w:sz w:val="28"/>
                <w:szCs w:val="28"/>
                <w:lang w:val="uk-UA"/>
              </w:rPr>
              <w:t xml:space="preserve">Аналіз управлінської діяльності галузей сільського господарства України математичними методами </w:t>
            </w:r>
          </w:p>
          <w:p w14:paraId="4621C1B9" w14:textId="315DF193" w:rsidR="001F7ACC" w:rsidRPr="005F0419" w:rsidRDefault="001F7ACC" w:rsidP="00D0322E">
            <w:pPr>
              <w:suppressAutoHyphens/>
              <w:spacing w:after="0" w:line="360" w:lineRule="auto"/>
              <w:rPr>
                <w:rFonts w:ascii="Times New Roman" w:hAnsi="Times New Roman" w:cs="Times New Roman"/>
                <w:bCs/>
                <w:caps/>
                <w:spacing w:val="-2"/>
                <w:sz w:val="28"/>
                <w:szCs w:val="28"/>
                <w:lang w:val="uk-UA"/>
              </w:rPr>
            </w:pPr>
            <w:r w:rsidRPr="005F0419">
              <w:rPr>
                <w:rFonts w:ascii="Times New Roman" w:hAnsi="Times New Roman" w:cs="Times New Roman"/>
                <w:bCs/>
                <w:i/>
                <w:iCs/>
                <w:spacing w:val="-2"/>
                <w:sz w:val="28"/>
                <w:szCs w:val="28"/>
                <w:lang w:val="uk-UA"/>
              </w:rPr>
              <w:t>Шинкаренко Лариса</w:t>
            </w:r>
          </w:p>
          <w:p w14:paraId="1811BCA3" w14:textId="77777777" w:rsidR="001F7ACC" w:rsidRPr="005F0419" w:rsidRDefault="001F7ACC" w:rsidP="00DF0EBA">
            <w:pPr>
              <w:pStyle w:val="Default"/>
              <w:spacing w:line="360" w:lineRule="auto"/>
              <w:ind w:firstLine="720"/>
              <w:rPr>
                <w:color w:val="auto"/>
                <w:sz w:val="28"/>
                <w:szCs w:val="28"/>
                <w:lang w:val="uk-UA"/>
              </w:rPr>
            </w:pPr>
          </w:p>
          <w:p w14:paraId="7B7E784D" w14:textId="22513170" w:rsidR="001F7ACC" w:rsidRPr="005F0419" w:rsidRDefault="001F7ACC" w:rsidP="00DF0EBA">
            <w:pPr>
              <w:pStyle w:val="Default"/>
              <w:spacing w:line="360" w:lineRule="auto"/>
              <w:ind w:firstLine="720"/>
              <w:rPr>
                <w:b/>
                <w:bCs/>
                <w:caps/>
                <w:color w:val="auto"/>
                <w:sz w:val="28"/>
                <w:szCs w:val="28"/>
                <w:lang w:val="uk-UA"/>
              </w:rPr>
            </w:pPr>
            <w:r w:rsidRPr="005F0419">
              <w:rPr>
                <w:b/>
                <w:bCs/>
                <w:color w:val="auto"/>
                <w:sz w:val="28"/>
                <w:szCs w:val="28"/>
                <w:lang w:val="uk-UA"/>
              </w:rPr>
              <w:lastRenderedPageBreak/>
              <w:t xml:space="preserve">Розділ 2. </w:t>
            </w:r>
            <w:r w:rsidRPr="005F0419">
              <w:rPr>
                <w:b/>
                <w:bCs/>
                <w:caps/>
                <w:color w:val="auto"/>
                <w:sz w:val="28"/>
                <w:szCs w:val="28"/>
                <w:lang w:val="uk-UA"/>
              </w:rPr>
              <w:t>Менеджмент готельно-ресторанних послуг та індустрії туризму</w:t>
            </w:r>
          </w:p>
          <w:p w14:paraId="0B78060F" w14:textId="77777777" w:rsidR="00D0322E" w:rsidRPr="005F0419" w:rsidRDefault="001F7ACC" w:rsidP="00DF0EBA">
            <w:pPr>
              <w:spacing w:after="0" w:line="360" w:lineRule="auto"/>
              <w:ind w:firstLine="720"/>
              <w:rPr>
                <w:rFonts w:ascii="Times New Roman" w:hAnsi="Times New Roman" w:cs="Times New Roman"/>
                <w:bCs/>
                <w:sz w:val="28"/>
                <w:szCs w:val="28"/>
                <w:lang w:val="uk-UA"/>
              </w:rPr>
            </w:pPr>
            <w:r w:rsidRPr="005F0419">
              <w:rPr>
                <w:rFonts w:ascii="Times New Roman" w:hAnsi="Times New Roman" w:cs="Times New Roman"/>
                <w:bCs/>
                <w:sz w:val="28"/>
                <w:szCs w:val="28"/>
                <w:lang w:val="uk-UA"/>
              </w:rPr>
              <w:t xml:space="preserve">РЕГІОНАЛЬНІ ОСОБЛИВОСТІ РОЗВИТКУ ТУРИЗМУ В КРИЗОВІ ПЕРІОДИ ТА ЇХНІЙ ВПЛИВ НА УПРАВЛІННЯ ПОВЕДІНКОЮ СПОЖИВАЧІВ ПОСЛУГ РЕКРЕАЦІЇ ТА ГОСТИННОСТІ </w:t>
            </w:r>
          </w:p>
          <w:p w14:paraId="7407ADF9" w14:textId="3F0CB795" w:rsidR="001F7ACC" w:rsidRPr="005F0419" w:rsidRDefault="001F7ACC" w:rsidP="00D0322E">
            <w:pPr>
              <w:spacing w:after="0" w:line="360" w:lineRule="auto"/>
              <w:rPr>
                <w:rFonts w:ascii="Times New Roman" w:eastAsiaTheme="minorHAnsi" w:hAnsi="Times New Roman" w:cs="Times New Roman"/>
                <w:bCs/>
                <w:sz w:val="28"/>
                <w:szCs w:val="28"/>
                <w:lang w:val="uk-UA"/>
              </w:rPr>
            </w:pPr>
            <w:proofErr w:type="spellStart"/>
            <w:r w:rsidRPr="005F0419">
              <w:rPr>
                <w:rFonts w:ascii="Times New Roman" w:eastAsia="Calibri" w:hAnsi="Times New Roman" w:cs="Times New Roman"/>
                <w:bCs/>
                <w:i/>
                <w:iCs/>
                <w:sz w:val="28"/>
                <w:szCs w:val="28"/>
                <w:lang w:val="uk-UA"/>
              </w:rPr>
              <w:t>Гищук</w:t>
            </w:r>
            <w:proofErr w:type="spellEnd"/>
            <w:r w:rsidRPr="005F0419">
              <w:rPr>
                <w:rFonts w:ascii="Times New Roman" w:eastAsia="Calibri" w:hAnsi="Times New Roman" w:cs="Times New Roman"/>
                <w:bCs/>
                <w:i/>
                <w:iCs/>
                <w:sz w:val="28"/>
                <w:szCs w:val="28"/>
                <w:lang w:val="uk-UA"/>
              </w:rPr>
              <w:t xml:space="preserve"> Роман</w:t>
            </w:r>
          </w:p>
          <w:p w14:paraId="411FC405" w14:textId="77777777" w:rsidR="00D0322E" w:rsidRPr="005F0419" w:rsidRDefault="001F7ACC" w:rsidP="00DF0EBA">
            <w:pPr>
              <w:spacing w:after="0" w:line="360" w:lineRule="auto"/>
              <w:ind w:firstLine="720"/>
              <w:rPr>
                <w:rFonts w:ascii="Times New Roman" w:eastAsia="Calibri" w:hAnsi="Times New Roman" w:cs="Times New Roman"/>
                <w:bCs/>
                <w:caps/>
                <w:sz w:val="28"/>
                <w:szCs w:val="28"/>
                <w:lang w:val="uk-UA"/>
              </w:rPr>
            </w:pPr>
            <w:r w:rsidRPr="005F0419">
              <w:rPr>
                <w:rFonts w:ascii="Times New Roman" w:eastAsia="Calibri" w:hAnsi="Times New Roman" w:cs="Times New Roman"/>
                <w:bCs/>
                <w:caps/>
                <w:sz w:val="28"/>
                <w:szCs w:val="28"/>
                <w:lang w:val="uk-UA"/>
              </w:rPr>
              <w:t xml:space="preserve">управління розвитком персоналу ЗАКЛАДІВ ІНДУСТРІЇ ГОСТИННОСТІ: теоретичний та практичний аспекти </w:t>
            </w:r>
          </w:p>
          <w:p w14:paraId="77A80A61" w14:textId="307E27D1" w:rsidR="006E572F" w:rsidRPr="005F0419" w:rsidRDefault="001F7ACC" w:rsidP="00D0322E">
            <w:pPr>
              <w:spacing w:after="0" w:line="360" w:lineRule="auto"/>
              <w:rPr>
                <w:rFonts w:ascii="Times New Roman" w:eastAsia="Times New Roman" w:hAnsi="Times New Roman" w:cs="Times New Roman"/>
                <w:bCs/>
                <w:sz w:val="28"/>
                <w:szCs w:val="28"/>
                <w:lang w:val="uk-UA"/>
              </w:rPr>
            </w:pPr>
            <w:proofErr w:type="spellStart"/>
            <w:r w:rsidRPr="00E75AF7">
              <w:rPr>
                <w:rFonts w:ascii="Times New Roman" w:eastAsia="Times New Roman" w:hAnsi="Times New Roman" w:cs="Times New Roman"/>
                <w:bCs/>
                <w:i/>
                <w:iCs/>
                <w:sz w:val="28"/>
                <w:szCs w:val="28"/>
                <w:lang w:val="uk-UA"/>
              </w:rPr>
              <w:t>Гузар</w:t>
            </w:r>
            <w:proofErr w:type="spellEnd"/>
            <w:r w:rsidRPr="00E75AF7">
              <w:rPr>
                <w:rFonts w:ascii="Times New Roman" w:eastAsia="Times New Roman" w:hAnsi="Times New Roman" w:cs="Times New Roman"/>
                <w:bCs/>
                <w:i/>
                <w:iCs/>
                <w:sz w:val="28"/>
                <w:szCs w:val="28"/>
                <w:lang w:val="uk-UA"/>
              </w:rPr>
              <w:t xml:space="preserve"> Уляна, Паска Марія,</w:t>
            </w:r>
            <w:r w:rsidR="00E75AF7" w:rsidRPr="00E75AF7">
              <w:rPr>
                <w:rFonts w:ascii="Times New Roman" w:eastAsia="Times New Roman" w:hAnsi="Times New Roman" w:cs="Times New Roman"/>
                <w:bCs/>
                <w:i/>
                <w:iCs/>
                <w:sz w:val="28"/>
                <w:szCs w:val="28"/>
              </w:rPr>
              <w:t xml:space="preserve"> Чирка </w:t>
            </w:r>
            <w:proofErr w:type="spellStart"/>
            <w:r w:rsidR="00E75AF7" w:rsidRPr="00E75AF7">
              <w:rPr>
                <w:rFonts w:ascii="Times New Roman" w:eastAsia="Times New Roman" w:hAnsi="Times New Roman" w:cs="Times New Roman"/>
                <w:bCs/>
                <w:i/>
                <w:iCs/>
                <w:sz w:val="28"/>
                <w:szCs w:val="28"/>
              </w:rPr>
              <w:t>В’ячеслав</w:t>
            </w:r>
            <w:proofErr w:type="spellEnd"/>
            <w:r w:rsidR="00E75AF7" w:rsidRPr="00E75AF7">
              <w:rPr>
                <w:rFonts w:ascii="Times New Roman" w:eastAsia="Times New Roman" w:hAnsi="Times New Roman" w:cs="Times New Roman"/>
                <w:bCs/>
                <w:i/>
                <w:iCs/>
                <w:sz w:val="28"/>
                <w:szCs w:val="28"/>
              </w:rPr>
              <w:t>,</w:t>
            </w:r>
            <w:r w:rsidRPr="00E75AF7">
              <w:rPr>
                <w:rFonts w:ascii="Times New Roman" w:eastAsia="Times New Roman" w:hAnsi="Times New Roman" w:cs="Times New Roman"/>
                <w:bCs/>
                <w:i/>
                <w:iCs/>
                <w:sz w:val="28"/>
                <w:szCs w:val="28"/>
                <w:lang w:val="uk-UA"/>
              </w:rPr>
              <w:t xml:space="preserve"> Назар Мар’яна</w:t>
            </w:r>
            <w:r w:rsidRPr="005F0419">
              <w:rPr>
                <w:rFonts w:ascii="Times New Roman" w:eastAsia="Times New Roman" w:hAnsi="Times New Roman" w:cs="Times New Roman"/>
                <w:bCs/>
                <w:sz w:val="28"/>
                <w:szCs w:val="28"/>
                <w:lang w:val="uk-UA"/>
              </w:rPr>
              <w:t xml:space="preserve">    </w:t>
            </w:r>
          </w:p>
          <w:p w14:paraId="437B7CCA" w14:textId="77777777" w:rsidR="006E572F" w:rsidRPr="005F0419" w:rsidRDefault="006E572F" w:rsidP="006E572F">
            <w:pPr>
              <w:spacing w:after="0" w:line="360" w:lineRule="auto"/>
              <w:ind w:firstLine="720"/>
              <w:rPr>
                <w:rFonts w:ascii="Times New Roman" w:hAnsi="Times New Roman" w:cs="Times New Roman"/>
                <w:sz w:val="28"/>
                <w:szCs w:val="28"/>
                <w:lang w:val="uk-UA"/>
              </w:rPr>
            </w:pPr>
            <w:r w:rsidRPr="005F0419">
              <w:rPr>
                <w:rFonts w:ascii="Times New Roman" w:hAnsi="Times New Roman" w:cs="Times New Roman"/>
                <w:sz w:val="28"/>
                <w:szCs w:val="28"/>
                <w:lang w:val="uk-UA"/>
              </w:rPr>
              <w:t xml:space="preserve">ТЕНДЕНЦІЇ СУЧАСНОГО ІННОВАЦІЙНОГО РОЗВИТКУ ГОТЕЛЬНО-РЕСТОРАННОГО БІЗНЕСУ В УКРАЇНІ ТА СВІТІ </w:t>
            </w:r>
          </w:p>
          <w:p w14:paraId="7ED4969C" w14:textId="4CBFDC6A" w:rsidR="006E572F" w:rsidRPr="005F0419" w:rsidRDefault="006E572F" w:rsidP="006E572F">
            <w:pPr>
              <w:spacing w:after="0" w:line="360" w:lineRule="auto"/>
              <w:rPr>
                <w:rFonts w:ascii="Times New Roman" w:hAnsi="Times New Roman" w:cs="Times New Roman"/>
                <w:bCs/>
                <w:sz w:val="28"/>
                <w:szCs w:val="28"/>
                <w:shd w:val="clear" w:color="auto" w:fill="FFFFFF"/>
                <w:lang w:val="uk-UA"/>
              </w:rPr>
            </w:pPr>
            <w:proofErr w:type="spellStart"/>
            <w:r w:rsidRPr="005F0419">
              <w:rPr>
                <w:rFonts w:ascii="Times New Roman" w:hAnsi="Times New Roman" w:cs="Times New Roman"/>
                <w:bCs/>
                <w:i/>
                <w:iCs/>
                <w:sz w:val="28"/>
                <w:szCs w:val="28"/>
                <w:lang w:val="uk-UA"/>
              </w:rPr>
              <w:t>Тітомир</w:t>
            </w:r>
            <w:proofErr w:type="spellEnd"/>
            <w:r w:rsidRPr="005F0419">
              <w:rPr>
                <w:rFonts w:ascii="Times New Roman" w:hAnsi="Times New Roman" w:cs="Times New Roman"/>
                <w:bCs/>
                <w:i/>
                <w:iCs/>
                <w:sz w:val="28"/>
                <w:szCs w:val="28"/>
                <w:lang w:val="uk-UA"/>
              </w:rPr>
              <w:t xml:space="preserve"> Людмила</w:t>
            </w:r>
            <w:r w:rsidR="00C47476">
              <w:rPr>
                <w:rFonts w:ascii="Times New Roman" w:hAnsi="Times New Roman" w:cs="Times New Roman"/>
                <w:bCs/>
                <w:i/>
                <w:iCs/>
                <w:sz w:val="28"/>
                <w:szCs w:val="28"/>
                <w:lang w:val="uk-UA"/>
              </w:rPr>
              <w:t>, Осипова Лариса</w:t>
            </w:r>
          </w:p>
          <w:p w14:paraId="54481A74" w14:textId="77777777" w:rsidR="006E572F" w:rsidRPr="005F0419" w:rsidRDefault="001F7ACC" w:rsidP="001F7ACC">
            <w:pPr>
              <w:suppressAutoHyphens/>
              <w:spacing w:after="0" w:line="360" w:lineRule="auto"/>
              <w:ind w:firstLine="720"/>
              <w:rPr>
                <w:rFonts w:ascii="Times New Roman" w:hAnsi="Times New Roman" w:cs="Times New Roman"/>
                <w:bCs/>
                <w:sz w:val="28"/>
                <w:szCs w:val="28"/>
                <w:shd w:val="clear" w:color="auto" w:fill="FFFFFF"/>
                <w:lang w:val="uk-UA"/>
              </w:rPr>
            </w:pPr>
            <w:r w:rsidRPr="005F0419">
              <w:rPr>
                <w:rFonts w:ascii="Times New Roman" w:hAnsi="Times New Roman" w:cs="Times New Roman"/>
                <w:bCs/>
                <w:sz w:val="28"/>
                <w:szCs w:val="28"/>
                <w:shd w:val="clear" w:color="auto" w:fill="FFFFFF"/>
                <w:lang w:val="uk-UA"/>
              </w:rPr>
              <w:t xml:space="preserve">СТРАТЕГІЯ ВІДНОВЛЕННЯ ПОТЕНЦІАЛУ МІЖНАРОДНОГО СПІВРОБІТНИЦТВА УКРАЇНСЬКОЇ ІНДУСТРІЇ ТУРИЗМУ В КРИЗОВИХ УМОВАХ ГЕОЕКОНОМІЧНОГО ПРОСТОРУ </w:t>
            </w:r>
          </w:p>
          <w:p w14:paraId="488F1249" w14:textId="55C45BA2" w:rsidR="001F7ACC" w:rsidRPr="005F0419" w:rsidRDefault="001F7ACC" w:rsidP="006E572F">
            <w:pPr>
              <w:suppressAutoHyphens/>
              <w:spacing w:after="0" w:line="360" w:lineRule="auto"/>
              <w:rPr>
                <w:rFonts w:ascii="Times New Roman" w:eastAsiaTheme="minorHAnsi" w:hAnsi="Times New Roman" w:cs="Times New Roman"/>
                <w:bCs/>
                <w:sz w:val="28"/>
                <w:szCs w:val="28"/>
                <w:shd w:val="clear" w:color="auto" w:fill="FFFFFF"/>
                <w:lang w:val="uk-UA"/>
              </w:rPr>
            </w:pPr>
            <w:r w:rsidRPr="005F0419">
              <w:rPr>
                <w:rFonts w:ascii="Times New Roman" w:hAnsi="Times New Roman" w:cs="Times New Roman"/>
                <w:bCs/>
                <w:i/>
                <w:iCs/>
                <w:sz w:val="28"/>
                <w:szCs w:val="28"/>
                <w:lang w:val="uk-UA"/>
              </w:rPr>
              <w:t>Цвілий Сергій</w:t>
            </w:r>
          </w:p>
          <w:p w14:paraId="0A64573C" w14:textId="77777777" w:rsidR="001F7ACC" w:rsidRPr="005F0419" w:rsidRDefault="001F7ACC" w:rsidP="001F7ACC">
            <w:pPr>
              <w:pStyle w:val="Default"/>
              <w:spacing w:line="360" w:lineRule="auto"/>
              <w:ind w:firstLine="720"/>
              <w:rPr>
                <w:b/>
                <w:bCs/>
                <w:color w:val="auto"/>
                <w:sz w:val="28"/>
                <w:szCs w:val="28"/>
                <w:lang w:val="uk-UA"/>
              </w:rPr>
            </w:pPr>
          </w:p>
          <w:p w14:paraId="03A1A4D8" w14:textId="18F1AC1B" w:rsidR="001F7ACC" w:rsidRPr="005F0419" w:rsidRDefault="001F7ACC" w:rsidP="001F7ACC">
            <w:pPr>
              <w:pStyle w:val="Default"/>
              <w:spacing w:line="360" w:lineRule="auto"/>
              <w:ind w:firstLine="720"/>
              <w:rPr>
                <w:b/>
                <w:bCs/>
                <w:caps/>
                <w:color w:val="auto"/>
                <w:sz w:val="28"/>
                <w:szCs w:val="28"/>
                <w:lang w:val="uk-UA"/>
              </w:rPr>
            </w:pPr>
            <w:r w:rsidRPr="005F0419">
              <w:rPr>
                <w:b/>
                <w:bCs/>
                <w:color w:val="auto"/>
                <w:sz w:val="28"/>
                <w:szCs w:val="28"/>
                <w:lang w:val="uk-UA"/>
              </w:rPr>
              <w:t xml:space="preserve">Розділ 3. </w:t>
            </w:r>
            <w:r w:rsidRPr="005F0419">
              <w:rPr>
                <w:b/>
                <w:bCs/>
                <w:caps/>
                <w:color w:val="auto"/>
                <w:sz w:val="28"/>
                <w:szCs w:val="28"/>
                <w:lang w:val="uk-UA"/>
              </w:rPr>
              <w:t>Цифрові рішення в реалізації управління зеленими інноваціями</w:t>
            </w:r>
          </w:p>
          <w:p w14:paraId="70E6AA13" w14:textId="77777777" w:rsidR="00D0322E" w:rsidRPr="005F0419" w:rsidRDefault="001F7ACC" w:rsidP="001F7ACC">
            <w:pPr>
              <w:spacing w:after="0" w:line="360" w:lineRule="auto"/>
              <w:ind w:firstLine="720"/>
              <w:rPr>
                <w:rFonts w:ascii="Times New Roman" w:hAnsi="Times New Roman" w:cs="Times New Roman"/>
                <w:bCs/>
                <w:sz w:val="28"/>
                <w:szCs w:val="28"/>
                <w:lang w:val="uk-UA"/>
              </w:rPr>
            </w:pPr>
            <w:r w:rsidRPr="005F0419">
              <w:rPr>
                <w:rFonts w:ascii="Times New Roman" w:hAnsi="Times New Roman" w:cs="Times New Roman"/>
                <w:bCs/>
                <w:sz w:val="28"/>
                <w:szCs w:val="28"/>
                <w:lang w:val="uk-UA"/>
              </w:rPr>
              <w:t xml:space="preserve">ПРОГРАМНА СИСТЕМА ВИЗНАЧЕННЯ НАЙБІЛЬШ ОПТИМАЛЬНОГО ВІДНОВЛЮВАНОГО ДЖЕРЕЛА ЕНЕРГІЇ ДЛЯ ЗАДАНОЇ ТЕРИТОРІЇ </w:t>
            </w:r>
          </w:p>
          <w:p w14:paraId="0559C23F" w14:textId="5C179A21" w:rsidR="001F7ACC" w:rsidRPr="005F0419" w:rsidRDefault="001F7ACC" w:rsidP="00D0322E">
            <w:pPr>
              <w:spacing w:after="0" w:line="360" w:lineRule="auto"/>
              <w:rPr>
                <w:rFonts w:ascii="Times New Roman" w:hAnsi="Times New Roman" w:cs="Times New Roman"/>
                <w:bCs/>
                <w:sz w:val="28"/>
                <w:szCs w:val="28"/>
                <w:lang w:val="uk-UA"/>
              </w:rPr>
            </w:pPr>
            <w:proofErr w:type="spellStart"/>
            <w:r w:rsidRPr="005F0419">
              <w:rPr>
                <w:rFonts w:ascii="Times New Roman" w:hAnsi="Times New Roman" w:cs="Times New Roman"/>
                <w:bCs/>
                <w:i/>
                <w:iCs/>
                <w:sz w:val="28"/>
                <w:szCs w:val="28"/>
                <w:lang w:val="uk-UA"/>
              </w:rPr>
              <w:t>Сегеда</w:t>
            </w:r>
            <w:proofErr w:type="spellEnd"/>
            <w:r w:rsidRPr="005F0419">
              <w:rPr>
                <w:rFonts w:ascii="Times New Roman" w:hAnsi="Times New Roman" w:cs="Times New Roman"/>
                <w:bCs/>
                <w:i/>
                <w:iCs/>
                <w:sz w:val="28"/>
                <w:szCs w:val="28"/>
                <w:lang w:val="uk-UA"/>
              </w:rPr>
              <w:t xml:space="preserve"> Ірина</w:t>
            </w:r>
          </w:p>
        </w:tc>
        <w:tc>
          <w:tcPr>
            <w:tcW w:w="561" w:type="dxa"/>
          </w:tcPr>
          <w:p w14:paraId="5B217083" w14:textId="77777777" w:rsidR="001F7ACC" w:rsidRDefault="006E040C"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3</w:t>
            </w:r>
          </w:p>
          <w:p w14:paraId="17DA4D14" w14:textId="77777777" w:rsidR="006E040C" w:rsidRDefault="006E040C" w:rsidP="001F7ACC">
            <w:pPr>
              <w:spacing w:after="0" w:line="360" w:lineRule="auto"/>
              <w:rPr>
                <w:rFonts w:ascii="Times New Roman" w:hAnsi="Times New Roman" w:cs="Times New Roman"/>
                <w:b/>
                <w:sz w:val="28"/>
                <w:szCs w:val="28"/>
                <w:lang w:val="uk-UA"/>
              </w:rPr>
            </w:pPr>
          </w:p>
          <w:p w14:paraId="2100763A" w14:textId="77777777" w:rsidR="006E040C" w:rsidRDefault="006E040C" w:rsidP="001F7ACC">
            <w:pPr>
              <w:spacing w:after="0" w:line="360" w:lineRule="auto"/>
              <w:rPr>
                <w:rFonts w:ascii="Times New Roman" w:hAnsi="Times New Roman" w:cs="Times New Roman"/>
                <w:b/>
                <w:sz w:val="28"/>
                <w:szCs w:val="28"/>
                <w:lang w:val="uk-UA"/>
              </w:rPr>
            </w:pPr>
          </w:p>
          <w:p w14:paraId="6A92B703" w14:textId="77777777" w:rsidR="006E040C" w:rsidRDefault="006E040C" w:rsidP="001F7ACC">
            <w:pPr>
              <w:spacing w:after="0" w:line="360" w:lineRule="auto"/>
              <w:rPr>
                <w:rFonts w:ascii="Times New Roman" w:hAnsi="Times New Roman" w:cs="Times New Roman"/>
                <w:b/>
                <w:sz w:val="28"/>
                <w:szCs w:val="28"/>
                <w:lang w:val="uk-UA"/>
              </w:rPr>
            </w:pPr>
          </w:p>
          <w:p w14:paraId="702980AA" w14:textId="77777777" w:rsidR="006E040C" w:rsidRDefault="006E040C" w:rsidP="001F7ACC">
            <w:pPr>
              <w:spacing w:after="0" w:line="360" w:lineRule="auto"/>
              <w:rPr>
                <w:rFonts w:ascii="Times New Roman" w:hAnsi="Times New Roman" w:cs="Times New Roman"/>
                <w:b/>
                <w:sz w:val="28"/>
                <w:szCs w:val="28"/>
                <w:lang w:val="uk-UA"/>
              </w:rPr>
            </w:pPr>
          </w:p>
          <w:p w14:paraId="0A883A54" w14:textId="77777777" w:rsidR="006E040C" w:rsidRDefault="006E040C"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5</w:t>
            </w:r>
          </w:p>
          <w:p w14:paraId="53953EB6" w14:textId="77777777" w:rsidR="006E040C" w:rsidRDefault="006E040C" w:rsidP="001F7ACC">
            <w:pPr>
              <w:spacing w:after="0" w:line="360" w:lineRule="auto"/>
              <w:rPr>
                <w:rFonts w:ascii="Times New Roman" w:hAnsi="Times New Roman" w:cs="Times New Roman"/>
                <w:b/>
                <w:sz w:val="28"/>
                <w:szCs w:val="28"/>
                <w:lang w:val="uk-UA"/>
              </w:rPr>
            </w:pPr>
          </w:p>
          <w:p w14:paraId="7D69A426" w14:textId="77777777" w:rsidR="006E040C" w:rsidRDefault="006E040C" w:rsidP="001F7ACC">
            <w:pPr>
              <w:spacing w:after="0" w:line="360" w:lineRule="auto"/>
              <w:rPr>
                <w:rFonts w:ascii="Times New Roman" w:hAnsi="Times New Roman" w:cs="Times New Roman"/>
                <w:b/>
                <w:sz w:val="28"/>
                <w:szCs w:val="28"/>
                <w:lang w:val="uk-UA"/>
              </w:rPr>
            </w:pPr>
          </w:p>
          <w:p w14:paraId="20175967" w14:textId="77777777" w:rsidR="006E040C" w:rsidRDefault="006E040C"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35</w:t>
            </w:r>
          </w:p>
          <w:p w14:paraId="78CDAEBB" w14:textId="77777777" w:rsidR="006E040C" w:rsidRDefault="006E040C" w:rsidP="001F7ACC">
            <w:pPr>
              <w:spacing w:after="0" w:line="360" w:lineRule="auto"/>
              <w:rPr>
                <w:rFonts w:ascii="Times New Roman" w:hAnsi="Times New Roman" w:cs="Times New Roman"/>
                <w:b/>
                <w:sz w:val="28"/>
                <w:szCs w:val="28"/>
                <w:lang w:val="uk-UA"/>
              </w:rPr>
            </w:pPr>
          </w:p>
          <w:p w14:paraId="117B22F3" w14:textId="77777777" w:rsidR="006E040C" w:rsidRDefault="006E040C" w:rsidP="001F7ACC">
            <w:pPr>
              <w:spacing w:after="0" w:line="360" w:lineRule="auto"/>
              <w:rPr>
                <w:rFonts w:ascii="Times New Roman" w:hAnsi="Times New Roman" w:cs="Times New Roman"/>
                <w:b/>
                <w:sz w:val="28"/>
                <w:szCs w:val="28"/>
                <w:lang w:val="uk-UA"/>
              </w:rPr>
            </w:pPr>
          </w:p>
          <w:p w14:paraId="0FB664EF" w14:textId="77777777" w:rsidR="006E040C" w:rsidRDefault="006E040C"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82</w:t>
            </w:r>
          </w:p>
          <w:p w14:paraId="4CD6CB6C" w14:textId="77777777" w:rsidR="006E040C" w:rsidRDefault="006E040C" w:rsidP="001F7ACC">
            <w:pPr>
              <w:spacing w:after="0" w:line="360" w:lineRule="auto"/>
              <w:rPr>
                <w:rFonts w:ascii="Times New Roman" w:hAnsi="Times New Roman" w:cs="Times New Roman"/>
                <w:b/>
                <w:sz w:val="28"/>
                <w:szCs w:val="28"/>
                <w:lang w:val="uk-UA"/>
              </w:rPr>
            </w:pPr>
          </w:p>
          <w:p w14:paraId="24CC0C2B" w14:textId="77777777" w:rsidR="006E040C" w:rsidRDefault="006E040C" w:rsidP="001F7ACC">
            <w:pPr>
              <w:spacing w:after="0" w:line="360" w:lineRule="auto"/>
              <w:rPr>
                <w:rFonts w:ascii="Times New Roman" w:hAnsi="Times New Roman" w:cs="Times New Roman"/>
                <w:b/>
                <w:sz w:val="28"/>
                <w:szCs w:val="28"/>
                <w:lang w:val="uk-UA"/>
              </w:rPr>
            </w:pPr>
          </w:p>
          <w:p w14:paraId="253DF00D" w14:textId="77777777" w:rsidR="006E040C" w:rsidRDefault="006E040C"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101</w:t>
            </w:r>
          </w:p>
          <w:p w14:paraId="2806A439" w14:textId="77777777" w:rsidR="006E040C" w:rsidRDefault="006E040C" w:rsidP="001F7ACC">
            <w:pPr>
              <w:spacing w:after="0" w:line="360" w:lineRule="auto"/>
              <w:rPr>
                <w:rFonts w:ascii="Times New Roman" w:hAnsi="Times New Roman" w:cs="Times New Roman"/>
                <w:b/>
                <w:sz w:val="28"/>
                <w:szCs w:val="28"/>
                <w:lang w:val="uk-UA"/>
              </w:rPr>
            </w:pPr>
          </w:p>
          <w:p w14:paraId="4A107DD3" w14:textId="77777777" w:rsidR="006E040C" w:rsidRDefault="006E040C" w:rsidP="001F7ACC">
            <w:pPr>
              <w:spacing w:after="0" w:line="360" w:lineRule="auto"/>
              <w:rPr>
                <w:rFonts w:ascii="Times New Roman" w:hAnsi="Times New Roman" w:cs="Times New Roman"/>
                <w:b/>
                <w:sz w:val="28"/>
                <w:szCs w:val="28"/>
                <w:lang w:val="uk-UA"/>
              </w:rPr>
            </w:pPr>
          </w:p>
          <w:p w14:paraId="27E2AC83" w14:textId="6751F580" w:rsidR="006E040C" w:rsidRDefault="007466A8"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235</w:t>
            </w:r>
          </w:p>
          <w:p w14:paraId="527E6367" w14:textId="55B83D55" w:rsidR="006E040C" w:rsidRDefault="006E040C" w:rsidP="001F7ACC">
            <w:pPr>
              <w:spacing w:after="0" w:line="360" w:lineRule="auto"/>
              <w:rPr>
                <w:rFonts w:ascii="Times New Roman" w:hAnsi="Times New Roman" w:cs="Times New Roman"/>
                <w:b/>
                <w:sz w:val="28"/>
                <w:szCs w:val="28"/>
                <w:lang w:val="uk-UA"/>
              </w:rPr>
            </w:pPr>
          </w:p>
          <w:p w14:paraId="1815DAB2" w14:textId="197398F6" w:rsidR="006E040C" w:rsidRDefault="006E040C" w:rsidP="001F7ACC">
            <w:pPr>
              <w:spacing w:after="0" w:line="360" w:lineRule="auto"/>
              <w:rPr>
                <w:rFonts w:ascii="Times New Roman" w:hAnsi="Times New Roman" w:cs="Times New Roman"/>
                <w:b/>
                <w:sz w:val="28"/>
                <w:szCs w:val="28"/>
                <w:lang w:val="uk-UA"/>
              </w:rPr>
            </w:pPr>
          </w:p>
          <w:p w14:paraId="6F67B8C1" w14:textId="7745563D" w:rsidR="006E040C" w:rsidRDefault="007466A8"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26</w:t>
            </w:r>
            <w:r w:rsidR="006E040C">
              <w:rPr>
                <w:rFonts w:ascii="Times New Roman" w:hAnsi="Times New Roman" w:cs="Times New Roman"/>
                <w:b/>
                <w:sz w:val="28"/>
                <w:szCs w:val="28"/>
                <w:lang w:val="uk-UA"/>
              </w:rPr>
              <w:t>8</w:t>
            </w:r>
          </w:p>
          <w:p w14:paraId="33F7044A" w14:textId="266C5164" w:rsidR="006E040C" w:rsidRDefault="006E040C" w:rsidP="001F7ACC">
            <w:pPr>
              <w:spacing w:after="0" w:line="360" w:lineRule="auto"/>
              <w:rPr>
                <w:rFonts w:ascii="Times New Roman" w:hAnsi="Times New Roman" w:cs="Times New Roman"/>
                <w:b/>
                <w:sz w:val="28"/>
                <w:szCs w:val="28"/>
                <w:lang w:val="uk-UA"/>
              </w:rPr>
            </w:pPr>
          </w:p>
          <w:p w14:paraId="247B403F" w14:textId="275C7F57" w:rsidR="006E040C" w:rsidRDefault="006E040C" w:rsidP="001F7ACC">
            <w:pPr>
              <w:spacing w:after="0" w:line="360" w:lineRule="auto"/>
              <w:rPr>
                <w:rFonts w:ascii="Times New Roman" w:hAnsi="Times New Roman" w:cs="Times New Roman"/>
                <w:b/>
                <w:sz w:val="28"/>
                <w:szCs w:val="28"/>
                <w:lang w:val="uk-UA"/>
              </w:rPr>
            </w:pPr>
          </w:p>
          <w:p w14:paraId="228DE6E7" w14:textId="38DFEB88" w:rsidR="006E040C" w:rsidRDefault="006E040C" w:rsidP="001F7ACC">
            <w:pPr>
              <w:spacing w:after="0" w:line="360" w:lineRule="auto"/>
              <w:rPr>
                <w:rFonts w:ascii="Times New Roman" w:hAnsi="Times New Roman" w:cs="Times New Roman"/>
                <w:b/>
                <w:sz w:val="28"/>
                <w:szCs w:val="28"/>
                <w:lang w:val="uk-UA"/>
              </w:rPr>
            </w:pPr>
          </w:p>
          <w:p w14:paraId="324DA733" w14:textId="334C1D14" w:rsidR="006E040C" w:rsidRDefault="007466A8"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3</w:t>
            </w:r>
            <w:r w:rsidR="006E040C">
              <w:rPr>
                <w:rFonts w:ascii="Times New Roman" w:hAnsi="Times New Roman" w:cs="Times New Roman"/>
                <w:b/>
                <w:sz w:val="28"/>
                <w:szCs w:val="28"/>
                <w:lang w:val="uk-UA"/>
              </w:rPr>
              <w:t>1</w:t>
            </w:r>
            <w:r>
              <w:rPr>
                <w:rFonts w:ascii="Times New Roman" w:hAnsi="Times New Roman" w:cs="Times New Roman"/>
                <w:b/>
                <w:sz w:val="28"/>
                <w:szCs w:val="28"/>
                <w:lang w:val="uk-UA"/>
              </w:rPr>
              <w:t>4</w:t>
            </w:r>
          </w:p>
          <w:p w14:paraId="14A0E10C" w14:textId="7AE6558F" w:rsidR="006E040C" w:rsidRDefault="006E040C" w:rsidP="001F7ACC">
            <w:pPr>
              <w:spacing w:after="0" w:line="360" w:lineRule="auto"/>
              <w:rPr>
                <w:rFonts w:ascii="Times New Roman" w:hAnsi="Times New Roman" w:cs="Times New Roman"/>
                <w:b/>
                <w:sz w:val="28"/>
                <w:szCs w:val="28"/>
                <w:lang w:val="uk-UA"/>
              </w:rPr>
            </w:pPr>
          </w:p>
          <w:p w14:paraId="716D44BC" w14:textId="07F2CED2" w:rsidR="006E040C" w:rsidRDefault="006E040C" w:rsidP="001F7ACC">
            <w:pPr>
              <w:spacing w:after="0" w:line="360" w:lineRule="auto"/>
              <w:rPr>
                <w:rFonts w:ascii="Times New Roman" w:hAnsi="Times New Roman" w:cs="Times New Roman"/>
                <w:b/>
                <w:sz w:val="28"/>
                <w:szCs w:val="28"/>
                <w:lang w:val="uk-UA"/>
              </w:rPr>
            </w:pPr>
          </w:p>
          <w:p w14:paraId="08F4FEC5" w14:textId="39DE930C" w:rsidR="006E040C" w:rsidRDefault="006E040C" w:rsidP="001F7ACC">
            <w:pPr>
              <w:spacing w:after="0" w:line="360" w:lineRule="auto"/>
              <w:rPr>
                <w:rFonts w:ascii="Times New Roman" w:hAnsi="Times New Roman" w:cs="Times New Roman"/>
                <w:b/>
                <w:sz w:val="28"/>
                <w:szCs w:val="28"/>
                <w:lang w:val="uk-UA"/>
              </w:rPr>
            </w:pPr>
          </w:p>
          <w:p w14:paraId="2ABC1824" w14:textId="0CF6DC52" w:rsidR="006E040C" w:rsidRDefault="006E040C" w:rsidP="001F7ACC">
            <w:pPr>
              <w:spacing w:after="0" w:line="360" w:lineRule="auto"/>
              <w:rPr>
                <w:rFonts w:ascii="Times New Roman" w:hAnsi="Times New Roman" w:cs="Times New Roman"/>
                <w:b/>
                <w:sz w:val="28"/>
                <w:szCs w:val="28"/>
                <w:lang w:val="uk-UA"/>
              </w:rPr>
            </w:pPr>
          </w:p>
          <w:p w14:paraId="66178D43" w14:textId="77777777" w:rsidR="007466A8" w:rsidRDefault="007466A8" w:rsidP="001F7ACC">
            <w:pPr>
              <w:spacing w:after="0" w:line="360" w:lineRule="auto"/>
              <w:rPr>
                <w:rFonts w:ascii="Times New Roman" w:hAnsi="Times New Roman" w:cs="Times New Roman"/>
                <w:b/>
                <w:sz w:val="28"/>
                <w:szCs w:val="28"/>
                <w:lang w:val="uk-UA"/>
              </w:rPr>
            </w:pPr>
          </w:p>
          <w:p w14:paraId="756EF4F3" w14:textId="0F0BAD9F" w:rsidR="006E040C" w:rsidRDefault="007466A8"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349</w:t>
            </w:r>
          </w:p>
          <w:p w14:paraId="10F7D249" w14:textId="0E4AEF92" w:rsidR="006E040C" w:rsidRDefault="006E040C" w:rsidP="001F7ACC">
            <w:pPr>
              <w:spacing w:after="0" w:line="360" w:lineRule="auto"/>
              <w:rPr>
                <w:rFonts w:ascii="Times New Roman" w:hAnsi="Times New Roman" w:cs="Times New Roman"/>
                <w:b/>
                <w:sz w:val="28"/>
                <w:szCs w:val="28"/>
                <w:lang w:val="uk-UA"/>
              </w:rPr>
            </w:pPr>
          </w:p>
          <w:p w14:paraId="6BD57E97" w14:textId="78665CCA" w:rsidR="006E040C" w:rsidRDefault="006E040C" w:rsidP="001F7ACC">
            <w:pPr>
              <w:spacing w:after="0" w:line="360" w:lineRule="auto"/>
              <w:rPr>
                <w:rFonts w:ascii="Times New Roman" w:hAnsi="Times New Roman" w:cs="Times New Roman"/>
                <w:b/>
                <w:sz w:val="28"/>
                <w:szCs w:val="28"/>
                <w:lang w:val="uk-UA"/>
              </w:rPr>
            </w:pPr>
          </w:p>
          <w:p w14:paraId="0A02ADFE" w14:textId="23D99F73" w:rsidR="006E040C" w:rsidRDefault="006E040C" w:rsidP="001F7ACC">
            <w:pPr>
              <w:spacing w:after="0" w:line="360" w:lineRule="auto"/>
              <w:rPr>
                <w:rFonts w:ascii="Times New Roman" w:hAnsi="Times New Roman" w:cs="Times New Roman"/>
                <w:b/>
                <w:sz w:val="28"/>
                <w:szCs w:val="28"/>
                <w:lang w:val="uk-UA"/>
              </w:rPr>
            </w:pPr>
          </w:p>
          <w:p w14:paraId="68CF6D39" w14:textId="77777777" w:rsidR="007466A8" w:rsidRDefault="007466A8" w:rsidP="001F7ACC">
            <w:pPr>
              <w:spacing w:after="0" w:line="360" w:lineRule="auto"/>
              <w:rPr>
                <w:rFonts w:ascii="Times New Roman" w:hAnsi="Times New Roman" w:cs="Times New Roman"/>
                <w:b/>
                <w:sz w:val="28"/>
                <w:szCs w:val="28"/>
                <w:lang w:val="uk-UA"/>
              </w:rPr>
            </w:pPr>
          </w:p>
          <w:p w14:paraId="6EC6BEC3" w14:textId="4E1077C4" w:rsidR="006E040C" w:rsidRDefault="006E040C"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339</w:t>
            </w:r>
          </w:p>
          <w:p w14:paraId="0A5EECCE" w14:textId="76AF5FB1" w:rsidR="006E040C" w:rsidRDefault="006E040C" w:rsidP="001F7ACC">
            <w:pPr>
              <w:spacing w:after="0" w:line="360" w:lineRule="auto"/>
              <w:rPr>
                <w:rFonts w:ascii="Times New Roman" w:hAnsi="Times New Roman" w:cs="Times New Roman"/>
                <w:b/>
                <w:sz w:val="28"/>
                <w:szCs w:val="28"/>
                <w:lang w:val="uk-UA"/>
              </w:rPr>
            </w:pPr>
          </w:p>
          <w:p w14:paraId="40F706BB" w14:textId="5FCA1078" w:rsidR="006E040C" w:rsidRDefault="006E040C" w:rsidP="001F7ACC">
            <w:pPr>
              <w:spacing w:after="0" w:line="360" w:lineRule="auto"/>
              <w:rPr>
                <w:rFonts w:ascii="Times New Roman" w:hAnsi="Times New Roman" w:cs="Times New Roman"/>
                <w:b/>
                <w:sz w:val="28"/>
                <w:szCs w:val="28"/>
                <w:lang w:val="uk-UA"/>
              </w:rPr>
            </w:pPr>
          </w:p>
          <w:p w14:paraId="09FD6728" w14:textId="77777777" w:rsidR="007466A8" w:rsidRDefault="007466A8" w:rsidP="001F7ACC">
            <w:pPr>
              <w:spacing w:after="0" w:line="360" w:lineRule="auto"/>
              <w:rPr>
                <w:rFonts w:ascii="Times New Roman" w:hAnsi="Times New Roman" w:cs="Times New Roman"/>
                <w:b/>
                <w:sz w:val="28"/>
                <w:szCs w:val="28"/>
                <w:lang w:val="uk-UA"/>
              </w:rPr>
            </w:pPr>
          </w:p>
          <w:p w14:paraId="65E6B1F2" w14:textId="638C18F0" w:rsidR="006E040C" w:rsidRDefault="007466A8"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474</w:t>
            </w:r>
          </w:p>
          <w:p w14:paraId="437BB540" w14:textId="7BE51FCE" w:rsidR="006E040C" w:rsidRDefault="006E040C" w:rsidP="001F7ACC">
            <w:pPr>
              <w:spacing w:after="0" w:line="360" w:lineRule="auto"/>
              <w:rPr>
                <w:rFonts w:ascii="Times New Roman" w:hAnsi="Times New Roman" w:cs="Times New Roman"/>
                <w:b/>
                <w:sz w:val="28"/>
                <w:szCs w:val="28"/>
                <w:lang w:val="uk-UA"/>
              </w:rPr>
            </w:pPr>
          </w:p>
          <w:p w14:paraId="20020D96" w14:textId="09CFEEC4" w:rsidR="006E040C" w:rsidRDefault="006E040C" w:rsidP="001F7ACC">
            <w:pPr>
              <w:spacing w:after="0" w:line="360" w:lineRule="auto"/>
              <w:rPr>
                <w:rFonts w:ascii="Times New Roman" w:hAnsi="Times New Roman" w:cs="Times New Roman"/>
                <w:b/>
                <w:sz w:val="28"/>
                <w:szCs w:val="28"/>
                <w:lang w:val="uk-UA"/>
              </w:rPr>
            </w:pPr>
          </w:p>
          <w:p w14:paraId="47FED71B" w14:textId="570FB1EE" w:rsidR="006E040C" w:rsidRDefault="007466A8"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518</w:t>
            </w:r>
          </w:p>
          <w:p w14:paraId="1029D7AC" w14:textId="30439DA7" w:rsidR="007466A8" w:rsidRDefault="007466A8" w:rsidP="001F7ACC">
            <w:pPr>
              <w:spacing w:after="0" w:line="360" w:lineRule="auto"/>
              <w:rPr>
                <w:rFonts w:ascii="Times New Roman" w:hAnsi="Times New Roman" w:cs="Times New Roman"/>
                <w:b/>
                <w:sz w:val="28"/>
                <w:szCs w:val="28"/>
                <w:lang w:val="uk-UA"/>
              </w:rPr>
            </w:pPr>
          </w:p>
          <w:p w14:paraId="2D03E40A" w14:textId="09501B58" w:rsidR="007466A8" w:rsidRDefault="007466A8" w:rsidP="001F7ACC">
            <w:pPr>
              <w:spacing w:after="0" w:line="360" w:lineRule="auto"/>
              <w:rPr>
                <w:rFonts w:ascii="Times New Roman" w:hAnsi="Times New Roman" w:cs="Times New Roman"/>
                <w:b/>
                <w:sz w:val="28"/>
                <w:szCs w:val="28"/>
                <w:lang w:val="uk-UA"/>
              </w:rPr>
            </w:pPr>
          </w:p>
          <w:p w14:paraId="6135ABED" w14:textId="63117C56" w:rsidR="007466A8" w:rsidRDefault="007466A8" w:rsidP="001F7ACC">
            <w:pPr>
              <w:spacing w:after="0" w:line="360" w:lineRule="auto"/>
              <w:rPr>
                <w:rFonts w:ascii="Times New Roman" w:hAnsi="Times New Roman" w:cs="Times New Roman"/>
                <w:b/>
                <w:sz w:val="28"/>
                <w:szCs w:val="28"/>
                <w:lang w:val="uk-UA"/>
              </w:rPr>
            </w:pPr>
          </w:p>
          <w:p w14:paraId="30DBD5E5" w14:textId="7CA9862F" w:rsidR="007466A8" w:rsidRDefault="007466A8" w:rsidP="001F7ACC">
            <w:pPr>
              <w:spacing w:after="0" w:line="360" w:lineRule="auto"/>
              <w:rPr>
                <w:rFonts w:ascii="Times New Roman" w:hAnsi="Times New Roman" w:cs="Times New Roman"/>
                <w:b/>
                <w:sz w:val="28"/>
                <w:szCs w:val="28"/>
                <w:lang w:val="uk-UA"/>
              </w:rPr>
            </w:pPr>
          </w:p>
          <w:p w14:paraId="0E8DAAAB" w14:textId="44ED28F7" w:rsidR="007466A8" w:rsidRDefault="007466A8" w:rsidP="001F7ACC">
            <w:pPr>
              <w:spacing w:after="0" w:line="360" w:lineRule="auto"/>
              <w:rPr>
                <w:rFonts w:ascii="Times New Roman" w:hAnsi="Times New Roman" w:cs="Times New Roman"/>
                <w:b/>
                <w:sz w:val="28"/>
                <w:szCs w:val="28"/>
                <w:lang w:val="uk-UA"/>
              </w:rPr>
            </w:pPr>
          </w:p>
          <w:p w14:paraId="5949680A" w14:textId="70293F71" w:rsidR="00F8245D" w:rsidRDefault="00F8245D" w:rsidP="001F7ACC">
            <w:pPr>
              <w:spacing w:after="0" w:line="360" w:lineRule="auto"/>
              <w:rPr>
                <w:rFonts w:ascii="Times New Roman" w:hAnsi="Times New Roman" w:cs="Times New Roman"/>
                <w:b/>
                <w:sz w:val="28"/>
                <w:szCs w:val="28"/>
                <w:lang w:val="uk-UA"/>
              </w:rPr>
            </w:pPr>
          </w:p>
          <w:p w14:paraId="34DE92BA" w14:textId="39E088BC" w:rsidR="006E040C" w:rsidRDefault="00F8245D" w:rsidP="001F7ACC">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567</w:t>
            </w:r>
          </w:p>
          <w:p w14:paraId="7CC56E5B" w14:textId="77777777" w:rsidR="006E040C" w:rsidRDefault="006E040C" w:rsidP="001F7ACC">
            <w:pPr>
              <w:spacing w:after="0" w:line="360" w:lineRule="auto"/>
              <w:rPr>
                <w:rFonts w:ascii="Times New Roman" w:hAnsi="Times New Roman" w:cs="Times New Roman"/>
                <w:b/>
                <w:sz w:val="28"/>
                <w:szCs w:val="28"/>
                <w:lang w:val="uk-UA"/>
              </w:rPr>
            </w:pPr>
          </w:p>
          <w:p w14:paraId="5A4CABDB" w14:textId="77777777" w:rsidR="006E040C" w:rsidRDefault="006E040C" w:rsidP="001F7ACC">
            <w:pPr>
              <w:spacing w:after="0" w:line="360" w:lineRule="auto"/>
              <w:rPr>
                <w:rFonts w:ascii="Times New Roman" w:hAnsi="Times New Roman" w:cs="Times New Roman"/>
                <w:b/>
                <w:sz w:val="28"/>
                <w:szCs w:val="28"/>
                <w:lang w:val="uk-UA"/>
              </w:rPr>
            </w:pPr>
          </w:p>
          <w:p w14:paraId="5F7DAF72" w14:textId="75B7D13B" w:rsidR="006E040C" w:rsidRPr="005F0419" w:rsidRDefault="006E040C" w:rsidP="001F7ACC">
            <w:pPr>
              <w:spacing w:after="0" w:line="360" w:lineRule="auto"/>
              <w:rPr>
                <w:rFonts w:ascii="Times New Roman" w:hAnsi="Times New Roman" w:cs="Times New Roman"/>
                <w:b/>
                <w:sz w:val="28"/>
                <w:szCs w:val="28"/>
                <w:lang w:val="uk-UA"/>
              </w:rPr>
            </w:pPr>
          </w:p>
        </w:tc>
      </w:tr>
    </w:tbl>
    <w:p w14:paraId="56B196DF" w14:textId="66E73BA0" w:rsidR="001F7ACC" w:rsidRDefault="001F7ACC" w:rsidP="006E040C">
      <w:pPr>
        <w:spacing w:after="0" w:line="360" w:lineRule="auto"/>
        <w:ind w:firstLine="720"/>
        <w:rPr>
          <w:rFonts w:ascii="Times New Roman" w:hAnsi="Times New Roman" w:cs="Times New Roman"/>
          <w:b/>
          <w:sz w:val="28"/>
          <w:szCs w:val="28"/>
          <w:lang w:val="uk-UA"/>
        </w:rPr>
      </w:pPr>
    </w:p>
    <w:p w14:paraId="4FE74DD4" w14:textId="78E4B33E" w:rsidR="006E040C" w:rsidRPr="00EE578D" w:rsidRDefault="006155C2" w:rsidP="007466A8">
      <w:pPr>
        <w:pageBreakBefore/>
        <w:widowControl w:val="0"/>
        <w:spacing w:after="0" w:line="360" w:lineRule="auto"/>
        <w:ind w:firstLine="720"/>
        <w:jc w:val="center"/>
        <w:rPr>
          <w:rFonts w:ascii="Times New Roman" w:hAnsi="Times New Roman" w:cs="Times New Roman"/>
          <w:bCs/>
          <w:sz w:val="24"/>
          <w:szCs w:val="24"/>
          <w:lang w:val="uk-UA"/>
        </w:rPr>
      </w:pPr>
      <w:r w:rsidRPr="00EE578D">
        <w:rPr>
          <w:rFonts w:ascii="Times New Roman" w:hAnsi="Times New Roman" w:cs="Times New Roman"/>
          <w:bCs/>
          <w:sz w:val="24"/>
          <w:szCs w:val="24"/>
          <w:lang w:val="uk-UA"/>
        </w:rPr>
        <w:lastRenderedPageBreak/>
        <w:t>НАУКОВЕ ВИДАННЯ</w:t>
      </w:r>
    </w:p>
    <w:p w14:paraId="18DEB963" w14:textId="337ACE07" w:rsidR="005666FC" w:rsidRPr="00AD2F2B" w:rsidRDefault="005666FC" w:rsidP="005666FC">
      <w:pPr>
        <w:spacing w:after="0" w:line="360" w:lineRule="auto"/>
        <w:ind w:firstLine="720"/>
        <w:jc w:val="center"/>
        <w:rPr>
          <w:rFonts w:ascii="Times New Roman" w:hAnsi="Times New Roman" w:cs="Times New Roman"/>
          <w:b/>
          <w:sz w:val="24"/>
          <w:szCs w:val="24"/>
          <w:lang w:val="uk-UA"/>
        </w:rPr>
      </w:pPr>
    </w:p>
    <w:p w14:paraId="093EABD4" w14:textId="379FBA2A" w:rsidR="005666FC" w:rsidRPr="00EE578D" w:rsidRDefault="005666FC" w:rsidP="005666FC">
      <w:pPr>
        <w:spacing w:after="0" w:line="360" w:lineRule="auto"/>
        <w:ind w:firstLine="720"/>
        <w:jc w:val="center"/>
        <w:rPr>
          <w:rFonts w:ascii="Times New Roman" w:hAnsi="Times New Roman" w:cs="Times New Roman"/>
          <w:bCs/>
          <w:sz w:val="24"/>
          <w:szCs w:val="24"/>
          <w:lang w:val="uk-UA"/>
        </w:rPr>
      </w:pPr>
      <w:r w:rsidRPr="00EE578D">
        <w:rPr>
          <w:rFonts w:ascii="Times New Roman" w:hAnsi="Times New Roman" w:cs="Times New Roman"/>
          <w:bCs/>
          <w:sz w:val="24"/>
          <w:szCs w:val="24"/>
          <w:lang w:val="uk-UA"/>
        </w:rPr>
        <w:t>Колектив авторів:</w:t>
      </w:r>
    </w:p>
    <w:p w14:paraId="708D9301" w14:textId="77777777" w:rsidR="006155C2" w:rsidRDefault="00AD2F2B" w:rsidP="006155C2">
      <w:pPr>
        <w:spacing w:after="0" w:line="360" w:lineRule="auto"/>
        <w:jc w:val="center"/>
        <w:rPr>
          <w:rFonts w:ascii="Times New Roman" w:hAnsi="Times New Roman" w:cs="Times New Roman"/>
          <w:bCs/>
          <w:sz w:val="24"/>
          <w:szCs w:val="24"/>
          <w:lang w:val="uk-UA"/>
        </w:rPr>
      </w:pPr>
      <w:proofErr w:type="spellStart"/>
      <w:r w:rsidRPr="00AD2F2B">
        <w:rPr>
          <w:rFonts w:ascii="Times New Roman" w:hAnsi="Times New Roman" w:cs="Times New Roman"/>
          <w:bCs/>
          <w:sz w:val="24"/>
          <w:szCs w:val="24"/>
          <w:lang w:val="uk-UA"/>
        </w:rPr>
        <w:t>Балджи</w:t>
      </w:r>
      <w:proofErr w:type="spellEnd"/>
      <w:r w:rsidRPr="00AD2F2B">
        <w:rPr>
          <w:rFonts w:ascii="Times New Roman" w:hAnsi="Times New Roman" w:cs="Times New Roman"/>
          <w:bCs/>
          <w:sz w:val="24"/>
          <w:szCs w:val="24"/>
          <w:lang w:val="uk-UA"/>
        </w:rPr>
        <w:t xml:space="preserve"> Марина Дмитрівна</w:t>
      </w:r>
      <w:r w:rsidR="006155C2">
        <w:rPr>
          <w:rFonts w:ascii="Times New Roman" w:hAnsi="Times New Roman" w:cs="Times New Roman"/>
          <w:bCs/>
          <w:sz w:val="24"/>
          <w:szCs w:val="24"/>
          <w:lang w:val="uk-UA"/>
        </w:rPr>
        <w:t xml:space="preserve">, </w:t>
      </w:r>
      <w:proofErr w:type="spellStart"/>
      <w:r w:rsidRPr="00AD2F2B">
        <w:rPr>
          <w:rFonts w:ascii="Times New Roman" w:hAnsi="Times New Roman" w:cs="Times New Roman"/>
          <w:bCs/>
          <w:sz w:val="24"/>
          <w:szCs w:val="24"/>
          <w:lang w:val="uk-UA"/>
        </w:rPr>
        <w:t>Бондаревська</w:t>
      </w:r>
      <w:proofErr w:type="spellEnd"/>
      <w:r w:rsidRPr="00AD2F2B">
        <w:rPr>
          <w:rFonts w:ascii="Times New Roman" w:hAnsi="Times New Roman" w:cs="Times New Roman"/>
          <w:bCs/>
          <w:sz w:val="24"/>
          <w:szCs w:val="24"/>
          <w:lang w:val="uk-UA"/>
        </w:rPr>
        <w:t xml:space="preserve"> Ксенія Валентинівна</w:t>
      </w:r>
      <w:r w:rsidR="006155C2">
        <w:rPr>
          <w:rFonts w:ascii="Times New Roman" w:hAnsi="Times New Roman" w:cs="Times New Roman"/>
          <w:bCs/>
          <w:sz w:val="24"/>
          <w:szCs w:val="24"/>
          <w:lang w:val="uk-UA"/>
        </w:rPr>
        <w:t xml:space="preserve">, </w:t>
      </w:r>
      <w:proofErr w:type="spellStart"/>
      <w:r w:rsidRPr="00AD2F2B">
        <w:rPr>
          <w:rFonts w:ascii="Times New Roman" w:hAnsi="Times New Roman" w:cs="Times New Roman"/>
          <w:bCs/>
          <w:sz w:val="24"/>
          <w:szCs w:val="24"/>
          <w:lang w:val="uk-UA"/>
        </w:rPr>
        <w:t>Гищук</w:t>
      </w:r>
      <w:proofErr w:type="spellEnd"/>
      <w:r w:rsidRPr="00AD2F2B">
        <w:rPr>
          <w:rFonts w:ascii="Times New Roman" w:hAnsi="Times New Roman" w:cs="Times New Roman"/>
          <w:bCs/>
          <w:sz w:val="24"/>
          <w:szCs w:val="24"/>
          <w:lang w:val="uk-UA"/>
        </w:rPr>
        <w:t xml:space="preserve"> Роман Миколайович</w:t>
      </w:r>
      <w:r w:rsidR="006155C2">
        <w:rPr>
          <w:rFonts w:ascii="Times New Roman" w:hAnsi="Times New Roman" w:cs="Times New Roman"/>
          <w:bCs/>
          <w:sz w:val="24"/>
          <w:szCs w:val="24"/>
          <w:lang w:val="uk-UA"/>
        </w:rPr>
        <w:t xml:space="preserve">, </w:t>
      </w:r>
      <w:proofErr w:type="spellStart"/>
      <w:r w:rsidRPr="00AD2F2B">
        <w:rPr>
          <w:rFonts w:ascii="Times New Roman" w:hAnsi="Times New Roman" w:cs="Times New Roman"/>
          <w:bCs/>
          <w:sz w:val="24"/>
          <w:szCs w:val="24"/>
          <w:lang w:val="uk-UA"/>
        </w:rPr>
        <w:t>Горбаньова</w:t>
      </w:r>
      <w:proofErr w:type="spellEnd"/>
      <w:r w:rsidRPr="00AD2F2B">
        <w:rPr>
          <w:rFonts w:ascii="Times New Roman" w:hAnsi="Times New Roman" w:cs="Times New Roman"/>
          <w:bCs/>
          <w:sz w:val="24"/>
          <w:szCs w:val="24"/>
          <w:lang w:val="uk-UA"/>
        </w:rPr>
        <w:t xml:space="preserve"> Вікторія Олександрівна</w:t>
      </w:r>
      <w:r w:rsidR="006155C2">
        <w:rPr>
          <w:rFonts w:ascii="Times New Roman" w:hAnsi="Times New Roman" w:cs="Times New Roman"/>
          <w:bCs/>
          <w:sz w:val="24"/>
          <w:szCs w:val="24"/>
          <w:lang w:val="uk-UA"/>
        </w:rPr>
        <w:t xml:space="preserve">, </w:t>
      </w:r>
      <w:proofErr w:type="spellStart"/>
      <w:r w:rsidRPr="00AD2F2B">
        <w:rPr>
          <w:rFonts w:ascii="Times New Roman" w:hAnsi="Times New Roman" w:cs="Times New Roman"/>
          <w:bCs/>
          <w:sz w:val="24"/>
          <w:szCs w:val="24"/>
          <w:lang w:val="uk-UA"/>
        </w:rPr>
        <w:t>Гузар</w:t>
      </w:r>
      <w:proofErr w:type="spellEnd"/>
      <w:r w:rsidRPr="00AD2F2B">
        <w:rPr>
          <w:rFonts w:ascii="Times New Roman" w:hAnsi="Times New Roman" w:cs="Times New Roman"/>
          <w:bCs/>
          <w:sz w:val="24"/>
          <w:szCs w:val="24"/>
          <w:lang w:val="uk-UA"/>
        </w:rPr>
        <w:t xml:space="preserve"> Уляна Євгенівна</w:t>
      </w:r>
      <w:r w:rsidR="006155C2">
        <w:rPr>
          <w:rFonts w:ascii="Times New Roman" w:hAnsi="Times New Roman" w:cs="Times New Roman"/>
          <w:bCs/>
          <w:sz w:val="24"/>
          <w:szCs w:val="24"/>
          <w:lang w:val="uk-UA"/>
        </w:rPr>
        <w:t xml:space="preserve">, </w:t>
      </w:r>
      <w:r w:rsidRPr="00AD2F2B">
        <w:rPr>
          <w:rFonts w:ascii="Times New Roman" w:hAnsi="Times New Roman" w:cs="Times New Roman"/>
          <w:bCs/>
          <w:sz w:val="24"/>
          <w:szCs w:val="24"/>
          <w:lang w:val="uk-UA"/>
        </w:rPr>
        <w:t>Назар Мар’яна Ігорівна</w:t>
      </w:r>
      <w:r w:rsidR="006155C2">
        <w:rPr>
          <w:rFonts w:ascii="Times New Roman" w:hAnsi="Times New Roman" w:cs="Times New Roman"/>
          <w:bCs/>
          <w:sz w:val="24"/>
          <w:szCs w:val="24"/>
          <w:lang w:val="uk-UA"/>
        </w:rPr>
        <w:t xml:space="preserve">, </w:t>
      </w:r>
    </w:p>
    <w:p w14:paraId="761E61DA" w14:textId="77777777" w:rsidR="00C47476" w:rsidRDefault="00C47476" w:rsidP="006155C2">
      <w:pPr>
        <w:spacing w:after="0" w:line="36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 xml:space="preserve">Осипова Лариса Анатоліївна, </w:t>
      </w:r>
      <w:r w:rsidR="00AD2F2B" w:rsidRPr="00AD2F2B">
        <w:rPr>
          <w:rFonts w:ascii="Times New Roman" w:hAnsi="Times New Roman" w:cs="Times New Roman"/>
          <w:bCs/>
          <w:sz w:val="24"/>
          <w:szCs w:val="24"/>
          <w:lang w:val="uk-UA"/>
        </w:rPr>
        <w:t xml:space="preserve">Паска Марія </w:t>
      </w:r>
      <w:r w:rsidR="007466A8" w:rsidRPr="00AD2F2B">
        <w:rPr>
          <w:rFonts w:ascii="Times New Roman" w:hAnsi="Times New Roman" w:cs="Times New Roman"/>
          <w:bCs/>
          <w:sz w:val="24"/>
          <w:szCs w:val="24"/>
          <w:lang w:val="uk-UA"/>
        </w:rPr>
        <w:t>Зіновіївна</w:t>
      </w:r>
      <w:r w:rsidR="006155C2">
        <w:rPr>
          <w:rFonts w:ascii="Times New Roman" w:hAnsi="Times New Roman" w:cs="Times New Roman"/>
          <w:bCs/>
          <w:sz w:val="24"/>
          <w:szCs w:val="24"/>
          <w:lang w:val="uk-UA"/>
        </w:rPr>
        <w:t xml:space="preserve">, </w:t>
      </w:r>
      <w:proofErr w:type="spellStart"/>
      <w:r w:rsidR="00AD2F2B" w:rsidRPr="00AD2F2B">
        <w:rPr>
          <w:rFonts w:ascii="Times New Roman" w:hAnsi="Times New Roman" w:cs="Times New Roman"/>
          <w:bCs/>
          <w:sz w:val="24"/>
          <w:szCs w:val="24"/>
          <w:lang w:val="uk-UA"/>
        </w:rPr>
        <w:t>Сегеда</w:t>
      </w:r>
      <w:proofErr w:type="spellEnd"/>
      <w:r w:rsidR="00AD2F2B" w:rsidRPr="00AD2F2B">
        <w:rPr>
          <w:rFonts w:ascii="Times New Roman" w:hAnsi="Times New Roman" w:cs="Times New Roman"/>
          <w:bCs/>
          <w:sz w:val="24"/>
          <w:szCs w:val="24"/>
          <w:lang w:val="uk-UA"/>
        </w:rPr>
        <w:t xml:space="preserve"> Ірина Василівна</w:t>
      </w:r>
      <w:r w:rsidR="006155C2">
        <w:rPr>
          <w:rFonts w:ascii="Times New Roman" w:hAnsi="Times New Roman" w:cs="Times New Roman"/>
          <w:bCs/>
          <w:sz w:val="24"/>
          <w:szCs w:val="24"/>
          <w:lang w:val="uk-UA"/>
        </w:rPr>
        <w:t xml:space="preserve">, </w:t>
      </w:r>
    </w:p>
    <w:p w14:paraId="44DF7269" w14:textId="77777777" w:rsidR="00C47476" w:rsidRDefault="00AD2F2B" w:rsidP="006155C2">
      <w:pPr>
        <w:spacing w:after="0" w:line="360" w:lineRule="auto"/>
        <w:jc w:val="center"/>
        <w:rPr>
          <w:rFonts w:ascii="Times New Roman" w:hAnsi="Times New Roman" w:cs="Times New Roman"/>
          <w:bCs/>
          <w:sz w:val="24"/>
          <w:szCs w:val="24"/>
          <w:lang w:val="uk-UA"/>
        </w:rPr>
      </w:pPr>
      <w:proofErr w:type="spellStart"/>
      <w:r w:rsidRPr="00AD2F2B">
        <w:rPr>
          <w:rFonts w:ascii="Times New Roman" w:hAnsi="Times New Roman" w:cs="Times New Roman"/>
          <w:bCs/>
          <w:sz w:val="24"/>
          <w:szCs w:val="24"/>
          <w:lang w:val="uk-UA"/>
        </w:rPr>
        <w:t>Скрипчук</w:t>
      </w:r>
      <w:proofErr w:type="spellEnd"/>
      <w:r w:rsidRPr="00AD2F2B">
        <w:rPr>
          <w:rFonts w:ascii="Times New Roman" w:hAnsi="Times New Roman" w:cs="Times New Roman"/>
          <w:bCs/>
          <w:sz w:val="24"/>
          <w:szCs w:val="24"/>
          <w:lang w:val="uk-UA"/>
        </w:rPr>
        <w:t xml:space="preserve"> Петро Михайлович</w:t>
      </w:r>
      <w:r w:rsidR="006155C2">
        <w:rPr>
          <w:rFonts w:ascii="Times New Roman" w:hAnsi="Times New Roman" w:cs="Times New Roman"/>
          <w:bCs/>
          <w:sz w:val="24"/>
          <w:szCs w:val="24"/>
          <w:lang w:val="uk-UA"/>
        </w:rPr>
        <w:t xml:space="preserve">, </w:t>
      </w:r>
      <w:proofErr w:type="spellStart"/>
      <w:r w:rsidRPr="00AD2F2B">
        <w:rPr>
          <w:rFonts w:ascii="Times New Roman" w:hAnsi="Times New Roman" w:cs="Times New Roman"/>
          <w:bCs/>
          <w:sz w:val="24"/>
          <w:szCs w:val="24"/>
          <w:lang w:val="uk-UA"/>
        </w:rPr>
        <w:t>Тітомир</w:t>
      </w:r>
      <w:proofErr w:type="spellEnd"/>
      <w:r w:rsidRPr="00AD2F2B">
        <w:rPr>
          <w:rFonts w:ascii="Times New Roman" w:hAnsi="Times New Roman" w:cs="Times New Roman"/>
          <w:bCs/>
          <w:sz w:val="24"/>
          <w:szCs w:val="24"/>
          <w:lang w:val="uk-UA"/>
        </w:rPr>
        <w:t xml:space="preserve"> Людмила Анатоліївна</w:t>
      </w:r>
      <w:r w:rsidR="006155C2">
        <w:rPr>
          <w:rFonts w:ascii="Times New Roman" w:hAnsi="Times New Roman" w:cs="Times New Roman"/>
          <w:bCs/>
          <w:sz w:val="24"/>
          <w:szCs w:val="24"/>
          <w:lang w:val="uk-UA"/>
        </w:rPr>
        <w:t xml:space="preserve">, </w:t>
      </w:r>
    </w:p>
    <w:p w14:paraId="392D90A7" w14:textId="4B34ECA7" w:rsidR="00AD2F2B" w:rsidRPr="00AD2F2B" w:rsidRDefault="00AD2F2B" w:rsidP="006155C2">
      <w:pPr>
        <w:spacing w:after="0" w:line="360" w:lineRule="auto"/>
        <w:jc w:val="center"/>
        <w:rPr>
          <w:rFonts w:ascii="Times New Roman" w:hAnsi="Times New Roman" w:cs="Times New Roman"/>
          <w:bCs/>
          <w:sz w:val="24"/>
          <w:szCs w:val="24"/>
          <w:lang w:val="uk-UA"/>
        </w:rPr>
      </w:pPr>
      <w:proofErr w:type="spellStart"/>
      <w:r w:rsidRPr="00AD2F2B">
        <w:rPr>
          <w:rFonts w:ascii="Times New Roman" w:hAnsi="Times New Roman" w:cs="Times New Roman"/>
          <w:bCs/>
          <w:sz w:val="24"/>
          <w:szCs w:val="24"/>
          <w:lang w:val="uk-UA"/>
        </w:rPr>
        <w:t>Фроленкова</w:t>
      </w:r>
      <w:proofErr w:type="spellEnd"/>
      <w:r w:rsidRPr="00AD2F2B">
        <w:rPr>
          <w:rFonts w:ascii="Times New Roman" w:hAnsi="Times New Roman" w:cs="Times New Roman"/>
          <w:bCs/>
          <w:sz w:val="24"/>
          <w:szCs w:val="24"/>
          <w:lang w:val="uk-UA"/>
        </w:rPr>
        <w:t xml:space="preserve"> Надія Анатоліївна</w:t>
      </w:r>
      <w:r w:rsidR="006155C2">
        <w:rPr>
          <w:rFonts w:ascii="Times New Roman" w:hAnsi="Times New Roman" w:cs="Times New Roman"/>
          <w:bCs/>
          <w:sz w:val="24"/>
          <w:szCs w:val="24"/>
          <w:lang w:val="uk-UA"/>
        </w:rPr>
        <w:t xml:space="preserve">, </w:t>
      </w:r>
      <w:r w:rsidRPr="00AD2F2B">
        <w:rPr>
          <w:rFonts w:ascii="Times New Roman" w:hAnsi="Times New Roman" w:cs="Times New Roman"/>
          <w:bCs/>
          <w:sz w:val="24"/>
          <w:szCs w:val="24"/>
          <w:lang w:val="uk-UA"/>
        </w:rPr>
        <w:t>Цвілий Сергій Миколайович</w:t>
      </w:r>
      <w:r w:rsidR="00C47476">
        <w:rPr>
          <w:rFonts w:ascii="Times New Roman" w:hAnsi="Times New Roman" w:cs="Times New Roman"/>
          <w:bCs/>
          <w:sz w:val="24"/>
          <w:szCs w:val="24"/>
          <w:lang w:val="uk-UA"/>
        </w:rPr>
        <w:t>,</w:t>
      </w:r>
      <w:r w:rsidRPr="00AD2F2B">
        <w:rPr>
          <w:rFonts w:ascii="Times New Roman" w:hAnsi="Times New Roman" w:cs="Times New Roman"/>
          <w:bCs/>
          <w:sz w:val="24"/>
          <w:szCs w:val="24"/>
          <w:lang w:val="uk-UA"/>
        </w:rPr>
        <w:t xml:space="preserve"> </w:t>
      </w:r>
    </w:p>
    <w:p w14:paraId="648AB071" w14:textId="756FAFE3" w:rsidR="005666FC" w:rsidRDefault="00AD2F2B" w:rsidP="00AD2F2B">
      <w:pPr>
        <w:spacing w:after="0" w:line="360" w:lineRule="auto"/>
        <w:ind w:firstLine="720"/>
        <w:jc w:val="center"/>
        <w:rPr>
          <w:rFonts w:ascii="Times New Roman" w:hAnsi="Times New Roman" w:cs="Times New Roman"/>
          <w:bCs/>
          <w:sz w:val="24"/>
          <w:szCs w:val="24"/>
          <w:lang w:val="uk-UA"/>
        </w:rPr>
      </w:pPr>
      <w:r w:rsidRPr="00AD2F2B">
        <w:rPr>
          <w:rFonts w:ascii="Times New Roman" w:hAnsi="Times New Roman" w:cs="Times New Roman"/>
          <w:bCs/>
          <w:sz w:val="24"/>
          <w:szCs w:val="24"/>
          <w:lang w:val="uk-UA"/>
        </w:rPr>
        <w:t>Шинкаренко Лариса Василівна</w:t>
      </w:r>
      <w:r w:rsidR="006155C2">
        <w:rPr>
          <w:rFonts w:ascii="Times New Roman" w:hAnsi="Times New Roman" w:cs="Times New Roman"/>
          <w:bCs/>
          <w:sz w:val="24"/>
          <w:szCs w:val="24"/>
          <w:lang w:val="uk-UA"/>
        </w:rPr>
        <w:t xml:space="preserve">, </w:t>
      </w:r>
      <w:r w:rsidRPr="00AD2F2B">
        <w:rPr>
          <w:rFonts w:ascii="Times New Roman" w:hAnsi="Times New Roman" w:cs="Times New Roman"/>
          <w:bCs/>
          <w:sz w:val="24"/>
          <w:szCs w:val="24"/>
          <w:lang w:val="uk-UA"/>
        </w:rPr>
        <w:t>Шпак Галина Миколаївна</w:t>
      </w:r>
    </w:p>
    <w:p w14:paraId="4A50A145" w14:textId="1247A152" w:rsidR="00AD2F2B" w:rsidRDefault="00AD2F2B" w:rsidP="00AD2F2B">
      <w:pPr>
        <w:spacing w:after="0" w:line="360" w:lineRule="auto"/>
        <w:ind w:firstLine="720"/>
        <w:jc w:val="center"/>
        <w:rPr>
          <w:rFonts w:ascii="Times New Roman" w:hAnsi="Times New Roman" w:cs="Times New Roman"/>
          <w:bCs/>
          <w:sz w:val="24"/>
          <w:szCs w:val="24"/>
          <w:lang w:val="uk-UA"/>
        </w:rPr>
      </w:pPr>
    </w:p>
    <w:p w14:paraId="2727E925" w14:textId="77777777" w:rsidR="00AD2F2B" w:rsidRPr="00EE578D" w:rsidRDefault="00AD2F2B" w:rsidP="006155C2">
      <w:pPr>
        <w:spacing w:after="0" w:line="240" w:lineRule="auto"/>
        <w:jc w:val="center"/>
        <w:rPr>
          <w:rFonts w:ascii="Times New Roman" w:hAnsi="Times New Roman" w:cs="Times New Roman"/>
          <w:sz w:val="28"/>
          <w:szCs w:val="28"/>
          <w:lang w:val="uk-UA"/>
        </w:rPr>
      </w:pPr>
      <w:r w:rsidRPr="00EE578D">
        <w:rPr>
          <w:rFonts w:ascii="Times New Roman" w:hAnsi="Times New Roman" w:cs="Times New Roman"/>
          <w:sz w:val="28"/>
          <w:szCs w:val="28"/>
          <w:lang w:val="uk-UA"/>
        </w:rPr>
        <w:t xml:space="preserve">ПЕРСПЕКТИВИ </w:t>
      </w:r>
    </w:p>
    <w:p w14:paraId="412809AE" w14:textId="77777777" w:rsidR="00AD2F2B" w:rsidRPr="00EE578D" w:rsidRDefault="00AD2F2B" w:rsidP="006155C2">
      <w:pPr>
        <w:spacing w:after="0" w:line="240" w:lineRule="auto"/>
        <w:jc w:val="center"/>
        <w:rPr>
          <w:rFonts w:ascii="Times New Roman" w:hAnsi="Times New Roman" w:cs="Times New Roman"/>
          <w:sz w:val="28"/>
          <w:szCs w:val="28"/>
          <w:lang w:val="uk-UA"/>
        </w:rPr>
      </w:pPr>
      <w:r w:rsidRPr="00EE578D">
        <w:rPr>
          <w:rFonts w:ascii="Times New Roman" w:hAnsi="Times New Roman" w:cs="Times New Roman"/>
          <w:sz w:val="28"/>
          <w:szCs w:val="28"/>
          <w:lang w:val="uk-UA"/>
        </w:rPr>
        <w:t xml:space="preserve">ЕФЕКТИВНИХ УПРАВЛІНСЬКИХ РІШЕНЬ </w:t>
      </w:r>
    </w:p>
    <w:p w14:paraId="38083EDD" w14:textId="77777777" w:rsidR="00AD2F2B" w:rsidRPr="00EE578D" w:rsidRDefault="00AD2F2B" w:rsidP="006155C2">
      <w:pPr>
        <w:spacing w:after="0" w:line="240" w:lineRule="auto"/>
        <w:jc w:val="center"/>
        <w:rPr>
          <w:rFonts w:ascii="Times New Roman" w:hAnsi="Times New Roman" w:cs="Times New Roman"/>
          <w:sz w:val="28"/>
          <w:szCs w:val="28"/>
          <w:lang w:val="uk-UA"/>
        </w:rPr>
      </w:pPr>
      <w:r w:rsidRPr="00EE578D">
        <w:rPr>
          <w:rFonts w:ascii="Times New Roman" w:hAnsi="Times New Roman" w:cs="Times New Roman"/>
          <w:sz w:val="28"/>
          <w:szCs w:val="28"/>
          <w:lang w:val="uk-UA"/>
        </w:rPr>
        <w:t>У БІЗНЕСІ ТА ПРОЄКТАХ</w:t>
      </w:r>
    </w:p>
    <w:p w14:paraId="2F607848" w14:textId="77777777" w:rsidR="00AD2F2B" w:rsidRPr="00EE578D" w:rsidRDefault="00AD2F2B" w:rsidP="006155C2">
      <w:pPr>
        <w:spacing w:after="0" w:line="240" w:lineRule="auto"/>
        <w:jc w:val="center"/>
        <w:rPr>
          <w:rFonts w:ascii="Times New Roman" w:hAnsi="Times New Roman" w:cs="Times New Roman"/>
          <w:b/>
          <w:bCs/>
          <w:sz w:val="28"/>
          <w:szCs w:val="28"/>
          <w:lang w:val="uk-UA"/>
        </w:rPr>
      </w:pPr>
    </w:p>
    <w:p w14:paraId="6C0C18FF" w14:textId="4BDF1EBD" w:rsidR="00AD2F2B" w:rsidRPr="00EE578D" w:rsidRDefault="006155C2" w:rsidP="006155C2">
      <w:pPr>
        <w:spacing w:after="0" w:line="360" w:lineRule="auto"/>
        <w:jc w:val="center"/>
        <w:rPr>
          <w:rFonts w:ascii="Times New Roman" w:hAnsi="Times New Roman" w:cs="Times New Roman"/>
          <w:bCs/>
          <w:sz w:val="28"/>
          <w:szCs w:val="28"/>
          <w:lang w:val="uk-UA"/>
        </w:rPr>
      </w:pPr>
      <w:r w:rsidRPr="00EE578D">
        <w:rPr>
          <w:rFonts w:ascii="Times New Roman" w:hAnsi="Times New Roman" w:cs="Times New Roman"/>
          <w:bCs/>
          <w:sz w:val="28"/>
          <w:szCs w:val="28"/>
          <w:lang w:val="uk-UA"/>
        </w:rPr>
        <w:t>МОНОГРАФІЯ</w:t>
      </w:r>
    </w:p>
    <w:p w14:paraId="43C080DC" w14:textId="36A4C871" w:rsidR="006155C2" w:rsidRPr="00EE578D" w:rsidRDefault="006155C2" w:rsidP="006155C2">
      <w:pPr>
        <w:spacing w:after="0"/>
        <w:jc w:val="center"/>
        <w:rPr>
          <w:rFonts w:ascii="Times New Roman" w:hAnsi="Times New Roman" w:cs="Times New Roman"/>
          <w:sz w:val="28"/>
          <w:szCs w:val="28"/>
          <w:lang w:val="uk-UA"/>
        </w:rPr>
      </w:pPr>
      <w:r w:rsidRPr="00EE578D">
        <w:rPr>
          <w:rFonts w:ascii="Times New Roman" w:hAnsi="Times New Roman" w:cs="Times New Roman"/>
          <w:sz w:val="28"/>
          <w:szCs w:val="28"/>
          <w:lang w:val="uk-UA"/>
        </w:rPr>
        <w:t>Науковий редактор: д</w:t>
      </w:r>
      <w:r w:rsidR="00DA7E2D" w:rsidRPr="00EE578D">
        <w:rPr>
          <w:rFonts w:ascii="Times New Roman" w:hAnsi="Times New Roman" w:cs="Times New Roman"/>
          <w:sz w:val="28"/>
          <w:szCs w:val="28"/>
          <w:lang w:val="uk-UA"/>
        </w:rPr>
        <w:t xml:space="preserve">-р </w:t>
      </w:r>
      <w:proofErr w:type="spellStart"/>
      <w:r w:rsidRPr="00EE578D">
        <w:rPr>
          <w:rFonts w:ascii="Times New Roman" w:hAnsi="Times New Roman" w:cs="Times New Roman"/>
          <w:sz w:val="28"/>
          <w:szCs w:val="28"/>
          <w:lang w:val="uk-UA"/>
        </w:rPr>
        <w:t>е</w:t>
      </w:r>
      <w:r w:rsidR="00DA7E2D" w:rsidRPr="00EE578D">
        <w:rPr>
          <w:rFonts w:ascii="Times New Roman" w:hAnsi="Times New Roman" w:cs="Times New Roman"/>
          <w:sz w:val="28"/>
          <w:szCs w:val="28"/>
          <w:lang w:val="uk-UA"/>
        </w:rPr>
        <w:t>кон</w:t>
      </w:r>
      <w:proofErr w:type="spellEnd"/>
      <w:r w:rsidRPr="00EE578D">
        <w:rPr>
          <w:rFonts w:ascii="Times New Roman" w:hAnsi="Times New Roman" w:cs="Times New Roman"/>
          <w:sz w:val="28"/>
          <w:szCs w:val="28"/>
          <w:lang w:val="uk-UA"/>
        </w:rPr>
        <w:t>.</w:t>
      </w:r>
      <w:r w:rsidR="00DA7E2D" w:rsidRPr="00EE578D">
        <w:rPr>
          <w:rFonts w:ascii="Times New Roman" w:hAnsi="Times New Roman" w:cs="Times New Roman"/>
          <w:sz w:val="28"/>
          <w:szCs w:val="28"/>
          <w:lang w:val="uk-UA"/>
        </w:rPr>
        <w:t xml:space="preserve"> </w:t>
      </w:r>
      <w:r w:rsidRPr="00EE578D">
        <w:rPr>
          <w:rFonts w:ascii="Times New Roman" w:hAnsi="Times New Roman" w:cs="Times New Roman"/>
          <w:sz w:val="28"/>
          <w:szCs w:val="28"/>
          <w:lang w:val="uk-UA"/>
        </w:rPr>
        <w:t>н</w:t>
      </w:r>
      <w:r w:rsidR="00DA7E2D" w:rsidRPr="00EE578D">
        <w:rPr>
          <w:rFonts w:ascii="Times New Roman" w:hAnsi="Times New Roman" w:cs="Times New Roman"/>
          <w:sz w:val="28"/>
          <w:szCs w:val="28"/>
          <w:lang w:val="uk-UA"/>
        </w:rPr>
        <w:t>аук</w:t>
      </w:r>
      <w:r w:rsidRPr="00EE578D">
        <w:rPr>
          <w:rFonts w:ascii="Times New Roman" w:hAnsi="Times New Roman" w:cs="Times New Roman"/>
          <w:sz w:val="28"/>
          <w:szCs w:val="28"/>
          <w:lang w:val="uk-UA"/>
        </w:rPr>
        <w:t>, проф</w:t>
      </w:r>
      <w:r w:rsidR="00DA7E2D" w:rsidRPr="00EE578D">
        <w:rPr>
          <w:rFonts w:ascii="Times New Roman" w:hAnsi="Times New Roman" w:cs="Times New Roman"/>
          <w:sz w:val="28"/>
          <w:szCs w:val="28"/>
          <w:lang w:val="uk-UA"/>
        </w:rPr>
        <w:t>есор</w:t>
      </w:r>
      <w:r w:rsidRPr="00EE578D">
        <w:rPr>
          <w:rFonts w:ascii="Times New Roman" w:hAnsi="Times New Roman" w:cs="Times New Roman"/>
          <w:sz w:val="28"/>
          <w:szCs w:val="28"/>
          <w:lang w:val="uk-UA"/>
        </w:rPr>
        <w:t xml:space="preserve"> М. Д. </w:t>
      </w:r>
      <w:proofErr w:type="spellStart"/>
      <w:r w:rsidRPr="00EE578D">
        <w:rPr>
          <w:rFonts w:ascii="Times New Roman" w:hAnsi="Times New Roman" w:cs="Times New Roman"/>
          <w:sz w:val="28"/>
          <w:szCs w:val="28"/>
          <w:lang w:val="uk-UA"/>
        </w:rPr>
        <w:t>Балджи</w:t>
      </w:r>
      <w:proofErr w:type="spellEnd"/>
    </w:p>
    <w:p w14:paraId="49AB17E5" w14:textId="2086EC7B" w:rsidR="006155C2" w:rsidRDefault="006155C2" w:rsidP="006155C2">
      <w:pPr>
        <w:spacing w:after="0" w:line="360" w:lineRule="auto"/>
        <w:jc w:val="center"/>
        <w:rPr>
          <w:rFonts w:ascii="Times New Roman" w:hAnsi="Times New Roman" w:cs="Times New Roman"/>
          <w:bCs/>
          <w:sz w:val="28"/>
          <w:szCs w:val="28"/>
          <w:lang w:val="uk-UA"/>
        </w:rPr>
      </w:pPr>
    </w:p>
    <w:p w14:paraId="732B014C" w14:textId="53DDBFE9" w:rsidR="00EE578D" w:rsidRDefault="00EE578D" w:rsidP="006155C2">
      <w:pPr>
        <w:spacing w:after="0" w:line="360" w:lineRule="auto"/>
        <w:jc w:val="center"/>
        <w:rPr>
          <w:rFonts w:ascii="Times New Roman" w:hAnsi="Times New Roman" w:cs="Times New Roman"/>
          <w:bCs/>
          <w:sz w:val="28"/>
          <w:szCs w:val="28"/>
          <w:lang w:val="uk-UA"/>
        </w:rPr>
      </w:pPr>
    </w:p>
    <w:p w14:paraId="03083678" w14:textId="77777777" w:rsidR="00EE578D" w:rsidRDefault="00EE578D" w:rsidP="00EE578D">
      <w:pPr>
        <w:spacing w:after="0" w:line="240" w:lineRule="auto"/>
        <w:jc w:val="center"/>
        <w:rPr>
          <w:rFonts w:ascii="Times New Roman" w:hAnsi="Times New Roman" w:cs="Times New Roman"/>
          <w:bCs/>
          <w:sz w:val="24"/>
          <w:szCs w:val="24"/>
          <w:lang w:val="uk-UA"/>
        </w:rPr>
      </w:pPr>
    </w:p>
    <w:p w14:paraId="40C702F6" w14:textId="77777777" w:rsidR="00EE578D" w:rsidRDefault="00EE578D" w:rsidP="00EE578D">
      <w:pPr>
        <w:spacing w:after="0" w:line="240" w:lineRule="auto"/>
        <w:jc w:val="center"/>
        <w:rPr>
          <w:rFonts w:ascii="Times New Roman" w:hAnsi="Times New Roman" w:cs="Times New Roman"/>
          <w:bCs/>
          <w:sz w:val="24"/>
          <w:szCs w:val="24"/>
          <w:lang w:val="uk-UA"/>
        </w:rPr>
      </w:pPr>
    </w:p>
    <w:p w14:paraId="22C6DE6A" w14:textId="77777777" w:rsidR="00EE578D" w:rsidRDefault="00EE578D" w:rsidP="00EE578D">
      <w:pPr>
        <w:spacing w:after="0" w:line="240" w:lineRule="auto"/>
        <w:jc w:val="center"/>
        <w:rPr>
          <w:rFonts w:ascii="Times New Roman" w:hAnsi="Times New Roman" w:cs="Times New Roman"/>
          <w:bCs/>
          <w:sz w:val="24"/>
          <w:szCs w:val="24"/>
          <w:lang w:val="uk-UA"/>
        </w:rPr>
      </w:pPr>
    </w:p>
    <w:p w14:paraId="7D183EDC" w14:textId="2DC968D1" w:rsidR="00EE578D" w:rsidRDefault="00EE578D" w:rsidP="00EE578D">
      <w:pPr>
        <w:spacing w:after="0" w:line="240" w:lineRule="auto"/>
        <w:jc w:val="center"/>
        <w:rPr>
          <w:rFonts w:ascii="Times New Roman" w:hAnsi="Times New Roman" w:cs="Times New Roman"/>
          <w:bCs/>
          <w:sz w:val="24"/>
          <w:szCs w:val="24"/>
          <w:lang w:val="uk-UA"/>
        </w:rPr>
      </w:pPr>
      <w:r w:rsidRPr="00EE578D">
        <w:rPr>
          <w:rFonts w:ascii="Times New Roman" w:hAnsi="Times New Roman" w:cs="Times New Roman"/>
          <w:bCs/>
          <w:sz w:val="24"/>
          <w:szCs w:val="24"/>
          <w:lang w:val="uk-UA"/>
        </w:rPr>
        <w:t>Підписано до друку 20.03.24</w:t>
      </w:r>
    </w:p>
    <w:p w14:paraId="5D6843FC" w14:textId="4B19925D" w:rsidR="00EE578D" w:rsidRDefault="00EE578D" w:rsidP="00EE578D">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Формат 60х84/16</w:t>
      </w:r>
    </w:p>
    <w:p w14:paraId="2F10CCF5" w14:textId="54EAB7E3" w:rsidR="00EE578D" w:rsidRDefault="00EE578D" w:rsidP="00EE578D">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Папір офсетний. Друк цифровий</w:t>
      </w:r>
    </w:p>
    <w:p w14:paraId="4B9D65F7" w14:textId="0FDFF714" w:rsidR="00EE578D" w:rsidRDefault="00EE578D" w:rsidP="00EE578D">
      <w:pPr>
        <w:spacing w:after="0" w:line="240" w:lineRule="auto"/>
        <w:jc w:val="center"/>
        <w:rPr>
          <w:rFonts w:ascii="Times New Roman" w:hAnsi="Times New Roman" w:cs="Times New Roman"/>
          <w:bCs/>
          <w:sz w:val="24"/>
          <w:szCs w:val="24"/>
          <w:lang w:val="en-US"/>
        </w:rPr>
      </w:pPr>
      <w:r>
        <w:rPr>
          <w:rFonts w:ascii="Times New Roman" w:hAnsi="Times New Roman" w:cs="Times New Roman"/>
          <w:bCs/>
          <w:sz w:val="24"/>
          <w:szCs w:val="24"/>
          <w:lang w:val="uk-UA"/>
        </w:rPr>
        <w:t xml:space="preserve">Гарнітура </w:t>
      </w:r>
      <w:r>
        <w:rPr>
          <w:rFonts w:ascii="Times New Roman" w:hAnsi="Times New Roman" w:cs="Times New Roman"/>
          <w:bCs/>
          <w:sz w:val="24"/>
          <w:szCs w:val="24"/>
          <w:lang w:val="en-US"/>
        </w:rPr>
        <w:t>Times New Roman</w:t>
      </w:r>
    </w:p>
    <w:p w14:paraId="1E166906" w14:textId="1D821053" w:rsidR="00EE578D" w:rsidRDefault="00EE578D" w:rsidP="00EE578D">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 xml:space="preserve">Ум. </w:t>
      </w:r>
      <w:proofErr w:type="spellStart"/>
      <w:r>
        <w:rPr>
          <w:rFonts w:ascii="Times New Roman" w:hAnsi="Times New Roman" w:cs="Times New Roman"/>
          <w:bCs/>
          <w:sz w:val="24"/>
          <w:szCs w:val="24"/>
          <w:lang w:val="uk-UA"/>
        </w:rPr>
        <w:t>др</w:t>
      </w:r>
      <w:proofErr w:type="spellEnd"/>
      <w:r>
        <w:rPr>
          <w:rFonts w:ascii="Times New Roman" w:hAnsi="Times New Roman" w:cs="Times New Roman"/>
          <w:bCs/>
          <w:sz w:val="24"/>
          <w:szCs w:val="24"/>
          <w:lang w:val="uk-UA"/>
        </w:rPr>
        <w:t xml:space="preserve">. </w:t>
      </w:r>
      <w:proofErr w:type="spellStart"/>
      <w:r>
        <w:rPr>
          <w:rFonts w:ascii="Times New Roman" w:hAnsi="Times New Roman" w:cs="Times New Roman"/>
          <w:bCs/>
          <w:sz w:val="24"/>
          <w:szCs w:val="24"/>
          <w:lang w:val="uk-UA"/>
        </w:rPr>
        <w:t>арк</w:t>
      </w:r>
      <w:proofErr w:type="spellEnd"/>
      <w:r>
        <w:rPr>
          <w:rFonts w:ascii="Times New Roman" w:hAnsi="Times New Roman" w:cs="Times New Roman"/>
          <w:bCs/>
          <w:sz w:val="24"/>
          <w:szCs w:val="24"/>
          <w:lang w:val="uk-UA"/>
        </w:rPr>
        <w:t>. 35,4</w:t>
      </w:r>
    </w:p>
    <w:p w14:paraId="77CC2226" w14:textId="6F78C1DF" w:rsidR="00EE578D" w:rsidRDefault="00EE578D" w:rsidP="00EE578D">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Наклад 100 прим.</w:t>
      </w:r>
    </w:p>
    <w:p w14:paraId="06B279AF" w14:textId="4EB48A92" w:rsidR="00EE578D" w:rsidRDefault="00EE578D" w:rsidP="00EE578D">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Зам. № 59351</w:t>
      </w:r>
    </w:p>
    <w:p w14:paraId="7F34E0FF" w14:textId="424F3CBC" w:rsidR="00EE578D" w:rsidRDefault="00EE578D" w:rsidP="00EE578D">
      <w:pPr>
        <w:spacing w:after="0" w:line="240" w:lineRule="auto"/>
        <w:jc w:val="center"/>
        <w:rPr>
          <w:rFonts w:ascii="Times New Roman" w:hAnsi="Times New Roman" w:cs="Times New Roman"/>
          <w:bCs/>
          <w:sz w:val="24"/>
          <w:szCs w:val="24"/>
          <w:lang w:val="uk-UA"/>
        </w:rPr>
      </w:pPr>
    </w:p>
    <w:p w14:paraId="74D9C2EC" w14:textId="77777777" w:rsidR="00EE578D" w:rsidRDefault="00EE578D" w:rsidP="00EE578D">
      <w:pPr>
        <w:spacing w:after="0" w:line="240" w:lineRule="auto"/>
        <w:jc w:val="center"/>
        <w:rPr>
          <w:rFonts w:ascii="Times New Roman" w:hAnsi="Times New Roman" w:cs="Times New Roman"/>
          <w:bCs/>
          <w:sz w:val="24"/>
          <w:szCs w:val="24"/>
          <w:lang w:val="uk-UA"/>
        </w:rPr>
      </w:pPr>
    </w:p>
    <w:p w14:paraId="1F67D699" w14:textId="3C8D2263" w:rsidR="00EE578D" w:rsidRDefault="00EE578D" w:rsidP="00EE578D">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Надруковано з макета замовника</w:t>
      </w:r>
    </w:p>
    <w:p w14:paraId="0D6CF9D9" w14:textId="6A6D2A9C" w:rsidR="00EE578D" w:rsidRDefault="00EE578D" w:rsidP="00EE578D">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ФОП Гуляєва В.М.</w:t>
      </w:r>
    </w:p>
    <w:p w14:paraId="790891A3" w14:textId="078680FD" w:rsidR="00EE578D" w:rsidRDefault="00EE578D" w:rsidP="00EE578D">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Свідоцтво суб’єкта видавничої справи ДК № 6205</w:t>
      </w:r>
    </w:p>
    <w:p w14:paraId="4E0F1C1D" w14:textId="7C80AFB1" w:rsidR="00EE578D" w:rsidRDefault="00EE578D" w:rsidP="00EE578D">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Київська обл., м. Обухів, вул. Васильківська, 2а</w:t>
      </w:r>
    </w:p>
    <w:p w14:paraId="6FE11574" w14:textId="71D002C8" w:rsidR="00EE578D" w:rsidRDefault="00EE578D" w:rsidP="00EE578D">
      <w:pPr>
        <w:spacing w:after="0" w:line="240"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067 178 37 97</w:t>
      </w:r>
    </w:p>
    <w:p w14:paraId="5407B747" w14:textId="03F1F4FF" w:rsidR="00EE578D" w:rsidRPr="00EE578D" w:rsidRDefault="00EE578D" w:rsidP="00EE578D">
      <w:pPr>
        <w:spacing w:after="0" w:line="240" w:lineRule="auto"/>
        <w:jc w:val="center"/>
        <w:rPr>
          <w:rFonts w:ascii="Times New Roman" w:hAnsi="Times New Roman" w:cs="Times New Roman"/>
          <w:bCs/>
          <w:sz w:val="24"/>
          <w:szCs w:val="24"/>
          <w:lang w:val="en-US"/>
        </w:rPr>
      </w:pPr>
      <w:r>
        <w:rPr>
          <w:rFonts w:ascii="Times New Roman" w:hAnsi="Times New Roman" w:cs="Times New Roman"/>
          <w:bCs/>
          <w:noProof/>
          <w:sz w:val="24"/>
          <w:szCs w:val="24"/>
          <w:lang w:val="en-US"/>
        </w:rPr>
        <mc:AlternateContent>
          <mc:Choice Requires="wps">
            <w:drawing>
              <wp:anchor distT="0" distB="0" distL="114300" distR="114300" simplePos="0" relativeHeight="251713536" behindDoc="0" locked="0" layoutInCell="1" allowOverlap="1" wp14:anchorId="74509441" wp14:editId="33407E1B">
                <wp:simplePos x="0" y="0"/>
                <wp:positionH relativeFrom="column">
                  <wp:posOffset>2356485</wp:posOffset>
                </wp:positionH>
                <wp:positionV relativeFrom="paragraph">
                  <wp:posOffset>1329055</wp:posOffset>
                </wp:positionV>
                <wp:extent cx="1209675" cy="561975"/>
                <wp:effectExtent l="0" t="0" r="28575" b="28575"/>
                <wp:wrapNone/>
                <wp:docPr id="1" name="Прямоугольник 1"/>
                <wp:cNvGraphicFramePr/>
                <a:graphic xmlns:a="http://schemas.openxmlformats.org/drawingml/2006/main">
                  <a:graphicData uri="http://schemas.microsoft.com/office/word/2010/wordprocessingShape">
                    <wps:wsp>
                      <wps:cNvSpPr/>
                      <wps:spPr>
                        <a:xfrm>
                          <a:off x="0" y="0"/>
                          <a:ext cx="1209675" cy="5619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F5E35E" id="Прямоугольник 1" o:spid="_x0000_s1026" style="position:absolute;margin-left:185.55pt;margin-top:104.65pt;width:95.25pt;height:44.25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" fillcolor="white [3212]" strokecolor="white [3212]" strokeweight="1pt"/>
            </w:pict>
          </mc:Fallback>
        </mc:AlternateContent>
      </w:r>
      <w:r>
        <w:rPr>
          <w:rFonts w:ascii="Times New Roman" w:hAnsi="Times New Roman" w:cs="Times New Roman"/>
          <w:bCs/>
          <w:sz w:val="24"/>
          <w:szCs w:val="24"/>
          <w:lang w:val="en-US"/>
        </w:rPr>
        <w:t>drukaryk.com</w:t>
      </w:r>
      <w:bookmarkStart w:id="40" w:name="_GoBack"/>
      <w:bookmarkEnd w:id="40"/>
    </w:p>
    <w:sectPr w:rsidR="00EE578D" w:rsidRPr="00EE578D" w:rsidSect="00662012">
      <w:footerReference w:type="default" r:id="rId492"/>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01AF6BC" w14:textId="77777777" w:rsidR="007468C1" w:rsidRDefault="007468C1" w:rsidP="00662012">
      <w:pPr>
        <w:spacing w:after="0" w:line="240" w:lineRule="auto"/>
      </w:pPr>
      <w:r>
        <w:separator/>
      </w:r>
    </w:p>
  </w:endnote>
  <w:endnote w:type="continuationSeparator" w:id="0">
    <w:p w14:paraId="3125E3C2" w14:textId="77777777" w:rsidR="007468C1" w:rsidRDefault="007468C1" w:rsidP="006620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ntiqua">
    <w:altName w:val="Times New Roman"/>
    <w:panose1 w:val="00000000000000000000"/>
    <w:charset w:val="00"/>
    <w:family w:val="auto"/>
    <w:notTrueType/>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Georgia">
    <w:panose1 w:val="02040502050405020303"/>
    <w:charset w:val="CC"/>
    <w:family w:val="roman"/>
    <w:pitch w:val="variable"/>
    <w:sig w:usb0="00000287" w:usb1="00000000" w:usb2="00000000" w:usb3="00000000" w:csb0="0000009F" w:csb1="00000000"/>
  </w:font>
  <w:font w:name="Times">
    <w:panose1 w:val="02020603050405020304"/>
    <w:charset w:val="CC"/>
    <w:family w:val="roman"/>
    <w:pitch w:val="variable"/>
    <w:sig w:usb0="E0002EFF" w:usb1="C000785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PragmaticaC">
    <w:altName w:val="Times New Roman"/>
    <w:charset w:val="00"/>
    <w:family w:val="auto"/>
    <w:pitch w:val="default"/>
    <w:sig w:usb0="00000203" w:usb1="00000000" w:usb2="00000000" w:usb3="00000000" w:csb0="00000005" w:csb1="00000000"/>
  </w:font>
  <w:font w:name="PragmaticaCondC">
    <w:altName w:val="Times New Roman"/>
    <w:charset w:val="00"/>
    <w:family w:val="auto"/>
    <w:pitch w:val="default"/>
    <w:sig w:usb0="00000003" w:usb1="00000000" w:usb2="00000000" w:usb3="00000000" w:csb0="00000001" w:csb1="00000000"/>
  </w:font>
  <w:font w:name="TimesNewRoman">
    <w:altName w:val="Times New Roman"/>
    <w:panose1 w:val="00000000000000000000"/>
    <w:charset w:val="00"/>
    <w:family w:val="roman"/>
    <w:notTrueType/>
    <w:pitch w:val="default"/>
  </w:font>
  <w:font w:name="TimesNewRoman,Bold">
    <w:altName w:val="MS Mincho"/>
    <w:panose1 w:val="00000000000000000000"/>
    <w:charset w:val="80"/>
    <w:family w:val="auto"/>
    <w:notTrueType/>
    <w:pitch w:val="default"/>
    <w:sig w:usb0="00000001" w:usb1="08070000" w:usb2="00000010" w:usb3="00000000" w:csb0="00020000" w:csb1="00000000"/>
  </w:font>
  <w:font w:name="Pragmatica">
    <w:charset w:val="00"/>
    <w:family w:val="swiss"/>
    <w:pitch w:val="variable"/>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 w:name="Baltica">
    <w:altName w:val="Arial"/>
    <w:charset w:val="00"/>
    <w:family w:val="auto"/>
    <w:pitch w:val="variable"/>
    <w:sig w:usb0="00000203" w:usb1="00000000" w:usb2="00000000" w:usb3="00000000" w:csb0="00000005" w:csb1="00000000"/>
  </w:font>
  <w:font w:name="Franklin Gothic Book">
    <w:panose1 w:val="020B0503020102020204"/>
    <w:charset w:val="CC"/>
    <w:family w:val="swiss"/>
    <w:pitch w:val="variable"/>
    <w:sig w:usb0="00000287" w:usb1="000000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Courier">
    <w:panose1 w:val="02070309020205020404"/>
    <w:charset w:val="00"/>
    <w:family w:val="modern"/>
    <w:pitch w:val="fixed"/>
    <w:sig w:usb0="00000003" w:usb1="00000000" w:usb2="00000000" w:usb3="00000000" w:csb0="00000001" w:csb1="00000000"/>
  </w:font>
  <w:font w:name="NewtonC-Bold">
    <w:panose1 w:val="00000000000000000000"/>
    <w:charset w:val="CC"/>
    <w:family w:val="auto"/>
    <w:notTrueType/>
    <w:pitch w:val="default"/>
    <w:sig w:usb0="00000201" w:usb1="00000000" w:usb2="00000000" w:usb3="00000000" w:csb0="00000004" w:csb1="00000000"/>
  </w:font>
  <w:font w:name="NewtonC">
    <w:panose1 w:val="00000000000000000000"/>
    <w:charset w:val="CC"/>
    <w:family w:val="auto"/>
    <w:notTrueType/>
    <w:pitch w:val="default"/>
    <w:sig w:usb0="00000201" w:usb1="00000000" w:usb2="00000000" w:usb3="00000000" w:csb0="00000004" w:csb1="00000000"/>
  </w:font>
  <w:font w:name="HelveticaC">
    <w:altName w:val="Times New Roman"/>
    <w:panose1 w:val="00000000000000000000"/>
    <w:charset w:val="CC"/>
    <w:family w:val="auto"/>
    <w:notTrueType/>
    <w:pitch w:val="default"/>
    <w:sig w:usb0="00000203" w:usb1="00000000" w:usb2="00000000" w:usb3="00000000" w:csb0="00000005" w:csb1="00000000"/>
  </w:font>
  <w:font w:name="WarnockPro-Regular">
    <w:altName w:val="Times New Roman"/>
    <w:panose1 w:val="00000000000000000000"/>
    <w:charset w:val="00"/>
    <w:family w:val="roman"/>
    <w:notTrueType/>
    <w:pitch w:val="default"/>
  </w:font>
  <w:font w:name="CenturySchoolbook">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CIDFont+F1">
    <w:altName w:val="MS Mincho"/>
    <w:panose1 w:val="00000000000000000000"/>
    <w:charset w:val="80"/>
    <w:family w:val="auto"/>
    <w:notTrueType/>
    <w:pitch w:val="default"/>
    <w:sig w:usb0="00000001" w:usb1="08070000" w:usb2="00000010" w:usb3="00000000" w:csb0="00020000" w:csb1="00000000"/>
  </w:font>
  <w:font w:name="inherit">
    <w:altName w:val="Times New Roman"/>
    <w:panose1 w:val="00000000000000000000"/>
    <w:charset w:val="00"/>
    <w:family w:val="roman"/>
    <w:notTrueType/>
    <w:pitch w:val="default"/>
  </w:font>
  <w:font w:name="Helvetica Neue">
    <w:altName w:val="Times New Roman"/>
    <w:charset w:val="00"/>
    <w:family w:val="auto"/>
    <w:pitch w:val="default"/>
  </w:font>
  <w:font w:name="Batang">
    <w:altName w:val="바탕"/>
    <w:panose1 w:val="02030600000101010101"/>
    <w:charset w:val="81"/>
    <w:family w:val="roman"/>
    <w:pitch w:val="variable"/>
    <w:sig w:usb0="B00002AF" w:usb1="69D77CFB" w:usb2="00000030" w:usb3="00000000" w:csb0="0008009F" w:csb1="00000000"/>
  </w:font>
  <w:font w:name="TimesNewRomanPSMT">
    <w:altName w:val="MS Gothic"/>
    <w:panose1 w:val="00000000000000000000"/>
    <w:charset w:val="80"/>
    <w:family w:val="auto"/>
    <w:notTrueType/>
    <w:pitch w:val="default"/>
    <w:sig w:usb0="00000000" w:usb1="08070000" w:usb2="00000010" w:usb3="00000000" w:csb0="00020001" w:csb1="00000000"/>
  </w:font>
  <w:font w:name="SymbolMT">
    <w:altName w:val="Arial Unicode MS"/>
    <w:panose1 w:val="00000000000000000000"/>
    <w:charset w:val="88"/>
    <w:family w:val="auto"/>
    <w:notTrueType/>
    <w:pitch w:val="default"/>
    <w:sig w:usb0="00000001" w:usb1="08080000" w:usb2="00000010" w:usb3="00000000" w:csb0="00100000" w:csb1="00000000"/>
  </w:font>
  <w:font w:name="SSWWL+U1BS19J3LU">
    <w:altName w:val="Calibri"/>
    <w:charset w:val="01"/>
    <w:family w:val="auto"/>
    <w:pitch w:val="variable"/>
    <w:sig w:usb0="80000203" w:usb1="00000000" w:usb2="00000000" w:usb3="00000000" w:csb0="00000004" w:csb1="00000000"/>
  </w:font>
  <w:font w:name="UGKQY+UQYY5303WU">
    <w:altName w:val="Times New Roman"/>
    <w:charset w:val="01"/>
    <w:family w:val="auto"/>
    <w:pitch w:val="variable"/>
    <w:sig w:usb0="00000001" w:usb1="00000000" w:usb2="00000000" w:usb3="00000000" w:csb0="00000001" w:csb1="00000000"/>
  </w:font>
  <w:font w:name="NKUSB+DejaVuSans">
    <w:altName w:val="Times New Roman"/>
    <w:charset w:val="01"/>
    <w:family w:val="auto"/>
    <w:pitch w:val="variable"/>
    <w:sig w:usb0="00000000" w:usb1="D200FDFF" w:usb2="0A246029" w:usb3="0400200C" w:csb0="600001FF" w:csb1="DFFF0000"/>
  </w:font>
  <w:font w:name="ArialMT">
    <w:altName w:val="MS Mincho"/>
    <w:panose1 w:val="00000000000000000000"/>
    <w:charset w:val="80"/>
    <w:family w:val="auto"/>
    <w:notTrueType/>
    <w:pitch w:val="default"/>
    <w:sig w:usb0="00000000" w:usb1="08070000" w:usb2="00000010" w:usb3="00000000" w:csb0="00020001" w:csb1="00000000"/>
  </w:font>
  <w:font w:name="Times New Roman,Italic">
    <w:altName w:val="MS Mincho"/>
    <w:panose1 w:val="00000000000000000000"/>
    <w:charset w:val="80"/>
    <w:family w:val="auto"/>
    <w:notTrueType/>
    <w:pitch w:val="default"/>
    <w:sig w:usb0="00000001" w:usb1="08070000" w:usb2="00000010" w:usb3="00000000" w:csb0="00020000" w:csb1="00000000"/>
  </w:font>
  <w:font w:name="TimesNewRomanPS-BoldMT">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4270730"/>
      <w:docPartObj>
        <w:docPartGallery w:val="Page Numbers (Bottom of Page)"/>
        <w:docPartUnique/>
      </w:docPartObj>
    </w:sdtPr>
    <w:sdtEndPr/>
    <w:sdtContent>
      <w:p w14:paraId="7C6C21D5" w14:textId="462415B5" w:rsidR="00571B42" w:rsidRDefault="00571B42">
        <w:pPr>
          <w:pStyle w:val="ae"/>
          <w:jc w:val="center"/>
        </w:pPr>
        <w:r>
          <w:fldChar w:fldCharType="begin"/>
        </w:r>
        <w:r>
          <w:instrText>PAGE   \* MERGEFORMAT</w:instrText>
        </w:r>
        <w:r>
          <w:fldChar w:fldCharType="separate"/>
        </w:r>
        <w:r>
          <w:t>2</w:t>
        </w:r>
        <w:r>
          <w:fldChar w:fldCharType="end"/>
        </w:r>
      </w:p>
    </w:sdtContent>
  </w:sdt>
  <w:p w14:paraId="473A5CD5" w14:textId="77777777" w:rsidR="00571B42" w:rsidRDefault="00571B42">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3188DC" w14:textId="77777777" w:rsidR="007468C1" w:rsidRDefault="007468C1" w:rsidP="00662012">
      <w:pPr>
        <w:spacing w:after="0" w:line="240" w:lineRule="auto"/>
      </w:pPr>
      <w:r>
        <w:separator/>
      </w:r>
    </w:p>
  </w:footnote>
  <w:footnote w:type="continuationSeparator" w:id="0">
    <w:p w14:paraId="5EF0BB42" w14:textId="77777777" w:rsidR="007468C1" w:rsidRDefault="007468C1" w:rsidP="006620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26667C"/>
    <w:multiLevelType w:val="hybridMultilevel"/>
    <w:tmpl w:val="ECCA81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E865B7C"/>
    <w:multiLevelType w:val="multilevel"/>
    <w:tmpl w:val="0419001D"/>
    <w:styleLink w:val="2"/>
    <w:lvl w:ilvl="0">
      <w:start w:val="1"/>
      <w:numFmt w:val="decimal"/>
      <w:lvlText w:val="%1)"/>
      <w:lvlJc w:val="left"/>
      <w:pPr>
        <w:tabs>
          <w:tab w:val="num" w:pos="360"/>
        </w:tabs>
        <w:ind w:left="360" w:hanging="360"/>
      </w:pPr>
      <w:rPr>
        <w:rFonts w:ascii="Times New Roman" w:hAnsi="Times New Roman"/>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EA161FB"/>
    <w:multiLevelType w:val="hybridMultilevel"/>
    <w:tmpl w:val="61A220F8"/>
    <w:lvl w:ilvl="0" w:tplc="0419000B">
      <w:start w:val="1"/>
      <w:numFmt w:val="bullet"/>
      <w:lvlText w:val=""/>
      <w:lvlJc w:val="left"/>
      <w:pPr>
        <w:ind w:left="1069" w:hanging="360"/>
      </w:pPr>
      <w:rPr>
        <w:rFonts w:ascii="Wingdings" w:hAnsi="Wingdings"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1055396E"/>
    <w:multiLevelType w:val="hybridMultilevel"/>
    <w:tmpl w:val="D746535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E3092D"/>
    <w:multiLevelType w:val="multilevel"/>
    <w:tmpl w:val="47C0FA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48367D"/>
    <w:multiLevelType w:val="hybridMultilevel"/>
    <w:tmpl w:val="12187008"/>
    <w:lvl w:ilvl="0" w:tplc="20000011">
      <w:start w:val="1"/>
      <w:numFmt w:val="decimal"/>
      <w:lvlText w:val="%1)"/>
      <w:lvlJc w:val="left"/>
      <w:pPr>
        <w:ind w:left="927" w:hanging="360"/>
      </w:pPr>
      <w:rPr>
        <w:rFonts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6" w15:restartNumberingAfterBreak="0">
    <w:nsid w:val="165204B0"/>
    <w:multiLevelType w:val="hybridMultilevel"/>
    <w:tmpl w:val="D410F960"/>
    <w:lvl w:ilvl="0" w:tplc="C7AE0FA2">
      <w:numFmt w:val="bullet"/>
      <w:lvlText w:val=""/>
      <w:lvlJc w:val="left"/>
      <w:pPr>
        <w:tabs>
          <w:tab w:val="num" w:pos="1740"/>
        </w:tabs>
        <w:ind w:left="1740" w:hanging="1020"/>
      </w:pPr>
      <w:rPr>
        <w:rFonts w:ascii="Symbol" w:eastAsia="Times New Roman" w:hAnsi="Symbol"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18227B50"/>
    <w:multiLevelType w:val="multilevel"/>
    <w:tmpl w:val="F3602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4B4710"/>
    <w:multiLevelType w:val="hybridMultilevel"/>
    <w:tmpl w:val="FB56A054"/>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7C27719"/>
    <w:multiLevelType w:val="hybridMultilevel"/>
    <w:tmpl w:val="79566068"/>
    <w:lvl w:ilvl="0" w:tplc="7B04E490">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0DF0FD4"/>
    <w:multiLevelType w:val="hybridMultilevel"/>
    <w:tmpl w:val="D13C88B2"/>
    <w:lvl w:ilvl="0" w:tplc="7B04E490">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15:restartNumberingAfterBreak="0">
    <w:nsid w:val="45C727B7"/>
    <w:multiLevelType w:val="multilevel"/>
    <w:tmpl w:val="04190023"/>
    <w:styleLink w:val="a"/>
    <w:lvl w:ilvl="0">
      <w:start w:val="1"/>
      <w:numFmt w:val="upperRoman"/>
      <w:lvlText w:val="Статья %1."/>
      <w:lvlJc w:val="left"/>
      <w:pPr>
        <w:tabs>
          <w:tab w:val="num" w:pos="1800"/>
        </w:tabs>
        <w:ind w:left="0" w:firstLine="0"/>
      </w:pPr>
    </w:lvl>
    <w:lvl w:ilvl="1">
      <w:start w:val="1"/>
      <w:numFmt w:val="decimalZero"/>
      <w:isLgl/>
      <w:lvlText w:val="Раздел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4A6245E3"/>
    <w:multiLevelType w:val="hybridMultilevel"/>
    <w:tmpl w:val="47143856"/>
    <w:lvl w:ilvl="0" w:tplc="C7AE0FA2">
      <w:numFmt w:val="bullet"/>
      <w:lvlText w:val=""/>
      <w:lvlJc w:val="left"/>
      <w:pPr>
        <w:ind w:left="1069" w:hanging="360"/>
      </w:pPr>
      <w:rPr>
        <w:rFonts w:ascii="Symbol" w:eastAsia="Times New Roman"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4C534A7E"/>
    <w:multiLevelType w:val="hybridMultilevel"/>
    <w:tmpl w:val="0F300B66"/>
    <w:lvl w:ilvl="0" w:tplc="0422000D">
      <w:start w:val="1"/>
      <w:numFmt w:val="bullet"/>
      <w:lvlText w:val=""/>
      <w:lvlJc w:val="left"/>
      <w:pPr>
        <w:ind w:left="1428" w:hanging="360"/>
      </w:pPr>
      <w:rPr>
        <w:rFonts w:ascii="Wingdings" w:hAnsi="Wingding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15:restartNumberingAfterBreak="0">
    <w:nsid w:val="4C6F0DBF"/>
    <w:multiLevelType w:val="hybridMultilevel"/>
    <w:tmpl w:val="1EBEA374"/>
    <w:lvl w:ilvl="0" w:tplc="0419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4F4C50A3"/>
    <w:multiLevelType w:val="hybridMultilevel"/>
    <w:tmpl w:val="8E3E84AC"/>
    <w:lvl w:ilvl="0" w:tplc="C7AE0FA2">
      <w:numFmt w:val="bullet"/>
      <w:lvlText w:val=""/>
      <w:lvlJc w:val="left"/>
      <w:pPr>
        <w:tabs>
          <w:tab w:val="num" w:pos="1728"/>
        </w:tabs>
        <w:ind w:left="1728" w:hanging="1008"/>
      </w:pPr>
      <w:rPr>
        <w:rFonts w:ascii="Symbol" w:eastAsia="Times New Roman" w:hAnsi="Symbol"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50094096"/>
    <w:multiLevelType w:val="multilevel"/>
    <w:tmpl w:val="00622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5CF1FEF"/>
    <w:multiLevelType w:val="hybridMultilevel"/>
    <w:tmpl w:val="9244CFCA"/>
    <w:lvl w:ilvl="0" w:tplc="7B04E490">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C25498E"/>
    <w:multiLevelType w:val="hybridMultilevel"/>
    <w:tmpl w:val="622A6F5A"/>
    <w:lvl w:ilvl="0" w:tplc="2E8C28E0">
      <w:start w:val="2"/>
      <w:numFmt w:val="bullet"/>
      <w:lvlText w:val="-"/>
      <w:lvlJc w:val="left"/>
      <w:pPr>
        <w:ind w:left="1069" w:hanging="360"/>
      </w:pPr>
      <w:rPr>
        <w:rFonts w:ascii="Times New Roman" w:eastAsia="Arial Unicode MS"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15:restartNumberingAfterBreak="0">
    <w:nsid w:val="5DE67C01"/>
    <w:multiLevelType w:val="hybridMultilevel"/>
    <w:tmpl w:val="2BF8478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EC03DA6"/>
    <w:multiLevelType w:val="hybridMultilevel"/>
    <w:tmpl w:val="ACC6C0BA"/>
    <w:lvl w:ilvl="0" w:tplc="EF3685CE">
      <w:start w:val="1"/>
      <w:numFmt w:val="bullet"/>
      <w:pStyle w:val="1"/>
      <w:lvlText w:val=""/>
      <w:lvlJc w:val="left"/>
      <w:pPr>
        <w:tabs>
          <w:tab w:val="num" w:pos="360"/>
        </w:tabs>
        <w:ind w:left="360" w:hanging="360"/>
      </w:pPr>
      <w:rPr>
        <w:rFonts w:ascii="Wingdings" w:hAnsi="Wingdings" w:hint="default"/>
      </w:rPr>
    </w:lvl>
    <w:lvl w:ilvl="1" w:tplc="04190019">
      <w:start w:val="1"/>
      <w:numFmt w:val="bullet"/>
      <w:pStyle w:val="20"/>
      <w:lvlText w:val="o"/>
      <w:lvlJc w:val="left"/>
      <w:pPr>
        <w:tabs>
          <w:tab w:val="num" w:pos="1080"/>
        </w:tabs>
        <w:ind w:left="1080" w:hanging="360"/>
      </w:pPr>
      <w:rPr>
        <w:rFonts w:ascii="Courier New" w:hAnsi="Courier New" w:cs="Courier New" w:hint="default"/>
      </w:rPr>
    </w:lvl>
    <w:lvl w:ilvl="2" w:tplc="0419001B">
      <w:start w:val="1"/>
      <w:numFmt w:val="bullet"/>
      <w:pStyle w:val="3"/>
      <w:lvlText w:val=""/>
      <w:lvlJc w:val="left"/>
      <w:pPr>
        <w:tabs>
          <w:tab w:val="num" w:pos="1800"/>
        </w:tabs>
        <w:ind w:left="1800" w:hanging="360"/>
      </w:pPr>
      <w:rPr>
        <w:rFonts w:ascii="Wingdings" w:hAnsi="Wingdings" w:hint="default"/>
      </w:rPr>
    </w:lvl>
    <w:lvl w:ilvl="3" w:tplc="0419000F">
      <w:start w:val="1"/>
      <w:numFmt w:val="bullet"/>
      <w:pStyle w:val="4"/>
      <w:lvlText w:val=""/>
      <w:lvlJc w:val="left"/>
      <w:pPr>
        <w:tabs>
          <w:tab w:val="num" w:pos="2520"/>
        </w:tabs>
        <w:ind w:left="2520" w:hanging="360"/>
      </w:pPr>
      <w:rPr>
        <w:rFonts w:ascii="Symbol" w:hAnsi="Symbol" w:hint="default"/>
      </w:rPr>
    </w:lvl>
    <w:lvl w:ilvl="4" w:tplc="04190019" w:tentative="1">
      <w:start w:val="1"/>
      <w:numFmt w:val="bullet"/>
      <w:pStyle w:val="5"/>
      <w:lvlText w:val="o"/>
      <w:lvlJc w:val="left"/>
      <w:pPr>
        <w:tabs>
          <w:tab w:val="num" w:pos="3240"/>
        </w:tabs>
        <w:ind w:left="3240" w:hanging="360"/>
      </w:pPr>
      <w:rPr>
        <w:rFonts w:ascii="Courier New" w:hAnsi="Courier New" w:cs="Courier New" w:hint="default"/>
      </w:rPr>
    </w:lvl>
    <w:lvl w:ilvl="5" w:tplc="0419001B" w:tentative="1">
      <w:start w:val="1"/>
      <w:numFmt w:val="bullet"/>
      <w:pStyle w:val="6"/>
      <w:lvlText w:val=""/>
      <w:lvlJc w:val="left"/>
      <w:pPr>
        <w:tabs>
          <w:tab w:val="num" w:pos="3960"/>
        </w:tabs>
        <w:ind w:left="3960" w:hanging="360"/>
      </w:pPr>
      <w:rPr>
        <w:rFonts w:ascii="Wingdings" w:hAnsi="Wingdings" w:hint="default"/>
      </w:rPr>
    </w:lvl>
    <w:lvl w:ilvl="6" w:tplc="0419000F" w:tentative="1">
      <w:start w:val="1"/>
      <w:numFmt w:val="bullet"/>
      <w:pStyle w:val="7"/>
      <w:lvlText w:val=""/>
      <w:lvlJc w:val="left"/>
      <w:pPr>
        <w:tabs>
          <w:tab w:val="num" w:pos="4680"/>
        </w:tabs>
        <w:ind w:left="4680" w:hanging="360"/>
      </w:pPr>
      <w:rPr>
        <w:rFonts w:ascii="Symbol" w:hAnsi="Symbol" w:hint="default"/>
      </w:rPr>
    </w:lvl>
    <w:lvl w:ilvl="7" w:tplc="04190019" w:tentative="1">
      <w:start w:val="1"/>
      <w:numFmt w:val="bullet"/>
      <w:pStyle w:val="8"/>
      <w:lvlText w:val="o"/>
      <w:lvlJc w:val="left"/>
      <w:pPr>
        <w:tabs>
          <w:tab w:val="num" w:pos="5400"/>
        </w:tabs>
        <w:ind w:left="5400" w:hanging="360"/>
      </w:pPr>
      <w:rPr>
        <w:rFonts w:ascii="Courier New" w:hAnsi="Courier New" w:cs="Courier New" w:hint="default"/>
      </w:rPr>
    </w:lvl>
    <w:lvl w:ilvl="8" w:tplc="0419001B" w:tentative="1">
      <w:start w:val="1"/>
      <w:numFmt w:val="bullet"/>
      <w:pStyle w:val="9"/>
      <w:lvlText w:val=""/>
      <w:lvlJc w:val="left"/>
      <w:pPr>
        <w:tabs>
          <w:tab w:val="num" w:pos="6120"/>
        </w:tabs>
        <w:ind w:left="6120" w:hanging="360"/>
      </w:pPr>
      <w:rPr>
        <w:rFonts w:ascii="Wingdings" w:hAnsi="Wingdings" w:hint="default"/>
      </w:rPr>
    </w:lvl>
  </w:abstractNum>
  <w:abstractNum w:abstractNumId="21" w15:restartNumberingAfterBreak="0">
    <w:nsid w:val="61327A10"/>
    <w:multiLevelType w:val="hybridMultilevel"/>
    <w:tmpl w:val="FB3238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64211B2E"/>
    <w:multiLevelType w:val="hybridMultilevel"/>
    <w:tmpl w:val="EA0C7B86"/>
    <w:lvl w:ilvl="0" w:tplc="D392467A">
      <w:start w:val="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64317ED1"/>
    <w:multiLevelType w:val="hybridMultilevel"/>
    <w:tmpl w:val="6868C7B6"/>
    <w:lvl w:ilvl="0" w:tplc="7B04E490">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A2C7256"/>
    <w:multiLevelType w:val="hybridMultilevel"/>
    <w:tmpl w:val="0492A8D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C94437D"/>
    <w:multiLevelType w:val="hybridMultilevel"/>
    <w:tmpl w:val="4802DFB6"/>
    <w:lvl w:ilvl="0" w:tplc="5C3260C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6" w15:restartNumberingAfterBreak="0">
    <w:nsid w:val="6CCD52CF"/>
    <w:multiLevelType w:val="hybridMultilevel"/>
    <w:tmpl w:val="F744A742"/>
    <w:lvl w:ilvl="0" w:tplc="53BE09D2">
      <w:start w:val="1"/>
      <w:numFmt w:val="upperRoman"/>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6F8A51A4"/>
    <w:multiLevelType w:val="hybridMultilevel"/>
    <w:tmpl w:val="5E320476"/>
    <w:lvl w:ilvl="0" w:tplc="1FDED3F8">
      <w:start w:val="5"/>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8" w15:restartNumberingAfterBreak="0">
    <w:nsid w:val="70A007A1"/>
    <w:multiLevelType w:val="hybridMultilevel"/>
    <w:tmpl w:val="3E48CC96"/>
    <w:lvl w:ilvl="0" w:tplc="0422000F">
      <w:start w:val="1"/>
      <w:numFmt w:val="decimal"/>
      <w:lvlText w:val="%1."/>
      <w:lvlJc w:val="left"/>
      <w:pPr>
        <w:ind w:left="720" w:hanging="360"/>
      </w:pPr>
    </w:lvl>
    <w:lvl w:ilvl="1" w:tplc="2F901EC0">
      <w:start w:val="1"/>
      <w:numFmt w:val="upperLetter"/>
      <w:lvlText w:val="%2."/>
      <w:lvlJc w:val="left"/>
      <w:pPr>
        <w:ind w:left="1530" w:hanging="45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759C4360"/>
    <w:multiLevelType w:val="hybridMultilevel"/>
    <w:tmpl w:val="007855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770A1CDC"/>
    <w:multiLevelType w:val="hybridMultilevel"/>
    <w:tmpl w:val="918AC5E2"/>
    <w:lvl w:ilvl="0" w:tplc="7B04E490">
      <w:numFmt w:val="bullet"/>
      <w:lvlText w:val="–"/>
      <w:lvlJc w:val="left"/>
      <w:pPr>
        <w:ind w:left="1712" w:hanging="360"/>
      </w:pPr>
      <w:rPr>
        <w:rFonts w:ascii="Times New Roman" w:eastAsia="Times New Roman" w:hAnsi="Times New Roman" w:cs="Times New Roman" w:hint="default"/>
      </w:rPr>
    </w:lvl>
    <w:lvl w:ilvl="1" w:tplc="04190003" w:tentative="1">
      <w:start w:val="1"/>
      <w:numFmt w:val="bullet"/>
      <w:lvlText w:val="o"/>
      <w:lvlJc w:val="left"/>
      <w:pPr>
        <w:ind w:left="2432" w:hanging="360"/>
      </w:pPr>
      <w:rPr>
        <w:rFonts w:ascii="Courier New" w:hAnsi="Courier New" w:cs="Courier New" w:hint="default"/>
      </w:rPr>
    </w:lvl>
    <w:lvl w:ilvl="2" w:tplc="04190005" w:tentative="1">
      <w:start w:val="1"/>
      <w:numFmt w:val="bullet"/>
      <w:lvlText w:val=""/>
      <w:lvlJc w:val="left"/>
      <w:pPr>
        <w:ind w:left="3152" w:hanging="360"/>
      </w:pPr>
      <w:rPr>
        <w:rFonts w:ascii="Wingdings" w:hAnsi="Wingdings" w:hint="default"/>
      </w:rPr>
    </w:lvl>
    <w:lvl w:ilvl="3" w:tplc="04190001" w:tentative="1">
      <w:start w:val="1"/>
      <w:numFmt w:val="bullet"/>
      <w:lvlText w:val=""/>
      <w:lvlJc w:val="left"/>
      <w:pPr>
        <w:ind w:left="3872" w:hanging="360"/>
      </w:pPr>
      <w:rPr>
        <w:rFonts w:ascii="Symbol" w:hAnsi="Symbol" w:hint="default"/>
      </w:rPr>
    </w:lvl>
    <w:lvl w:ilvl="4" w:tplc="04190003" w:tentative="1">
      <w:start w:val="1"/>
      <w:numFmt w:val="bullet"/>
      <w:lvlText w:val="o"/>
      <w:lvlJc w:val="left"/>
      <w:pPr>
        <w:ind w:left="4592" w:hanging="360"/>
      </w:pPr>
      <w:rPr>
        <w:rFonts w:ascii="Courier New" w:hAnsi="Courier New" w:cs="Courier New" w:hint="default"/>
      </w:rPr>
    </w:lvl>
    <w:lvl w:ilvl="5" w:tplc="04190005" w:tentative="1">
      <w:start w:val="1"/>
      <w:numFmt w:val="bullet"/>
      <w:lvlText w:val=""/>
      <w:lvlJc w:val="left"/>
      <w:pPr>
        <w:ind w:left="5312" w:hanging="360"/>
      </w:pPr>
      <w:rPr>
        <w:rFonts w:ascii="Wingdings" w:hAnsi="Wingdings" w:hint="default"/>
      </w:rPr>
    </w:lvl>
    <w:lvl w:ilvl="6" w:tplc="04190001" w:tentative="1">
      <w:start w:val="1"/>
      <w:numFmt w:val="bullet"/>
      <w:lvlText w:val=""/>
      <w:lvlJc w:val="left"/>
      <w:pPr>
        <w:ind w:left="6032" w:hanging="360"/>
      </w:pPr>
      <w:rPr>
        <w:rFonts w:ascii="Symbol" w:hAnsi="Symbol" w:hint="default"/>
      </w:rPr>
    </w:lvl>
    <w:lvl w:ilvl="7" w:tplc="04190003" w:tentative="1">
      <w:start w:val="1"/>
      <w:numFmt w:val="bullet"/>
      <w:lvlText w:val="o"/>
      <w:lvlJc w:val="left"/>
      <w:pPr>
        <w:ind w:left="6752" w:hanging="360"/>
      </w:pPr>
      <w:rPr>
        <w:rFonts w:ascii="Courier New" w:hAnsi="Courier New" w:cs="Courier New" w:hint="default"/>
      </w:rPr>
    </w:lvl>
    <w:lvl w:ilvl="8" w:tplc="04190005" w:tentative="1">
      <w:start w:val="1"/>
      <w:numFmt w:val="bullet"/>
      <w:lvlText w:val=""/>
      <w:lvlJc w:val="left"/>
      <w:pPr>
        <w:ind w:left="7472" w:hanging="360"/>
      </w:pPr>
      <w:rPr>
        <w:rFonts w:ascii="Wingdings" w:hAnsi="Wingdings" w:hint="default"/>
      </w:rPr>
    </w:lvl>
  </w:abstractNum>
  <w:abstractNum w:abstractNumId="31" w15:restartNumberingAfterBreak="0">
    <w:nsid w:val="7BB22004"/>
    <w:multiLevelType w:val="hybridMultilevel"/>
    <w:tmpl w:val="EAF0805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15"/>
  </w:num>
  <w:num w:numId="2">
    <w:abstractNumId w:val="12"/>
  </w:num>
  <w:num w:numId="3">
    <w:abstractNumId w:val="6"/>
  </w:num>
  <w:num w:numId="4">
    <w:abstractNumId w:val="22"/>
  </w:num>
  <w:num w:numId="5">
    <w:abstractNumId w:val="3"/>
  </w:num>
  <w:num w:numId="6">
    <w:abstractNumId w:val="24"/>
  </w:num>
  <w:num w:numId="7">
    <w:abstractNumId w:val="31"/>
  </w:num>
  <w:num w:numId="8">
    <w:abstractNumId w:val="27"/>
  </w:num>
  <w:num w:numId="9">
    <w:abstractNumId w:val="13"/>
  </w:num>
  <w:num w:numId="10">
    <w:abstractNumId w:val="25"/>
  </w:num>
  <w:num w:numId="11">
    <w:abstractNumId w:val="23"/>
  </w:num>
  <w:num w:numId="12">
    <w:abstractNumId w:val="4"/>
  </w:num>
  <w:num w:numId="13">
    <w:abstractNumId w:val="30"/>
  </w:num>
  <w:num w:numId="14">
    <w:abstractNumId w:val="9"/>
  </w:num>
  <w:num w:numId="15">
    <w:abstractNumId w:val="17"/>
  </w:num>
  <w:num w:numId="16">
    <w:abstractNumId w:val="10"/>
  </w:num>
  <w:num w:numId="17">
    <w:abstractNumId w:val="1"/>
  </w:num>
  <w:num w:numId="18">
    <w:abstractNumId w:val="11"/>
  </w:num>
  <w:num w:numId="19">
    <w:abstractNumId w:val="20"/>
  </w:num>
  <w:num w:numId="20">
    <w:abstractNumId w:val="5"/>
  </w:num>
  <w:num w:numId="21">
    <w:abstractNumId w:val="26"/>
  </w:num>
  <w:num w:numId="22">
    <w:abstractNumId w:val="0"/>
  </w:num>
  <w:num w:numId="23">
    <w:abstractNumId w:val="8"/>
  </w:num>
  <w:num w:numId="24">
    <w:abstractNumId w:val="28"/>
  </w:num>
  <w:num w:numId="25">
    <w:abstractNumId w:val="19"/>
  </w:num>
  <w:num w:numId="26">
    <w:abstractNumId w:val="21"/>
  </w:num>
  <w:num w:numId="27">
    <w:abstractNumId w:val="29"/>
  </w:num>
  <w:num w:numId="28">
    <w:abstractNumId w:val="18"/>
  </w:num>
  <w:num w:numId="29">
    <w:abstractNumId w:val="7"/>
  </w:num>
  <w:num w:numId="30">
    <w:abstractNumId w:val="16"/>
  </w:num>
  <w:num w:numId="31">
    <w:abstractNumId w:val="14"/>
  </w:num>
  <w:num w:numId="32">
    <w:abstractNumId w:val="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4777"/>
    <w:rsid w:val="0000167A"/>
    <w:rsid w:val="0000464F"/>
    <w:rsid w:val="00011F74"/>
    <w:rsid w:val="00022351"/>
    <w:rsid w:val="00037CFF"/>
    <w:rsid w:val="00064777"/>
    <w:rsid w:val="000A0E4C"/>
    <w:rsid w:val="000B0472"/>
    <w:rsid w:val="000B6F24"/>
    <w:rsid w:val="000D0AFC"/>
    <w:rsid w:val="000D14FF"/>
    <w:rsid w:val="000F5283"/>
    <w:rsid w:val="000F591A"/>
    <w:rsid w:val="00113886"/>
    <w:rsid w:val="00115A3E"/>
    <w:rsid w:val="001274ED"/>
    <w:rsid w:val="00134B6B"/>
    <w:rsid w:val="00154938"/>
    <w:rsid w:val="00160308"/>
    <w:rsid w:val="00161A3B"/>
    <w:rsid w:val="00181094"/>
    <w:rsid w:val="001C269D"/>
    <w:rsid w:val="001C39E1"/>
    <w:rsid w:val="001C3FA7"/>
    <w:rsid w:val="001F290C"/>
    <w:rsid w:val="001F7ACC"/>
    <w:rsid w:val="00204605"/>
    <w:rsid w:val="00205F50"/>
    <w:rsid w:val="00213C3B"/>
    <w:rsid w:val="002178A9"/>
    <w:rsid w:val="002279C5"/>
    <w:rsid w:val="00250686"/>
    <w:rsid w:val="00262779"/>
    <w:rsid w:val="002738CA"/>
    <w:rsid w:val="00285FFB"/>
    <w:rsid w:val="00294777"/>
    <w:rsid w:val="002A12BD"/>
    <w:rsid w:val="002C3DBA"/>
    <w:rsid w:val="002E24C0"/>
    <w:rsid w:val="00301921"/>
    <w:rsid w:val="00334885"/>
    <w:rsid w:val="0033737E"/>
    <w:rsid w:val="0039161C"/>
    <w:rsid w:val="003F0CAF"/>
    <w:rsid w:val="004171C5"/>
    <w:rsid w:val="00426856"/>
    <w:rsid w:val="00431371"/>
    <w:rsid w:val="004371F5"/>
    <w:rsid w:val="004764D7"/>
    <w:rsid w:val="00496B0B"/>
    <w:rsid w:val="004B3F2A"/>
    <w:rsid w:val="004D66C8"/>
    <w:rsid w:val="004D6D7A"/>
    <w:rsid w:val="004E4DF8"/>
    <w:rsid w:val="00520BE9"/>
    <w:rsid w:val="005439D4"/>
    <w:rsid w:val="00545ED4"/>
    <w:rsid w:val="00551F48"/>
    <w:rsid w:val="005666FC"/>
    <w:rsid w:val="00571B42"/>
    <w:rsid w:val="005A23F6"/>
    <w:rsid w:val="005F0419"/>
    <w:rsid w:val="006155C2"/>
    <w:rsid w:val="00662012"/>
    <w:rsid w:val="00672151"/>
    <w:rsid w:val="006B59F1"/>
    <w:rsid w:val="006C0FEA"/>
    <w:rsid w:val="006D1666"/>
    <w:rsid w:val="006E040C"/>
    <w:rsid w:val="006E572F"/>
    <w:rsid w:val="006F30A5"/>
    <w:rsid w:val="006F58D0"/>
    <w:rsid w:val="006F6DB6"/>
    <w:rsid w:val="00707947"/>
    <w:rsid w:val="00716110"/>
    <w:rsid w:val="007466A8"/>
    <w:rsid w:val="007468C1"/>
    <w:rsid w:val="00753C4F"/>
    <w:rsid w:val="00763353"/>
    <w:rsid w:val="007715AB"/>
    <w:rsid w:val="00773C61"/>
    <w:rsid w:val="00775AAD"/>
    <w:rsid w:val="00793E04"/>
    <w:rsid w:val="007B3936"/>
    <w:rsid w:val="007C43B0"/>
    <w:rsid w:val="007D4366"/>
    <w:rsid w:val="007E234D"/>
    <w:rsid w:val="007E5D03"/>
    <w:rsid w:val="00823472"/>
    <w:rsid w:val="00841F40"/>
    <w:rsid w:val="00877ECC"/>
    <w:rsid w:val="008922C4"/>
    <w:rsid w:val="008B19EF"/>
    <w:rsid w:val="008C58D4"/>
    <w:rsid w:val="008C7F3A"/>
    <w:rsid w:val="008D089E"/>
    <w:rsid w:val="008D4F96"/>
    <w:rsid w:val="00902425"/>
    <w:rsid w:val="009070E3"/>
    <w:rsid w:val="009134F9"/>
    <w:rsid w:val="00932C41"/>
    <w:rsid w:val="0094434C"/>
    <w:rsid w:val="00956236"/>
    <w:rsid w:val="00977B8D"/>
    <w:rsid w:val="00A4269D"/>
    <w:rsid w:val="00A55004"/>
    <w:rsid w:val="00A608F4"/>
    <w:rsid w:val="00A82180"/>
    <w:rsid w:val="00A821B1"/>
    <w:rsid w:val="00A85FA7"/>
    <w:rsid w:val="00A90B89"/>
    <w:rsid w:val="00AC70BD"/>
    <w:rsid w:val="00AD2F2B"/>
    <w:rsid w:val="00AE2B8F"/>
    <w:rsid w:val="00AF17B7"/>
    <w:rsid w:val="00B251AA"/>
    <w:rsid w:val="00B73EC5"/>
    <w:rsid w:val="00B84F8E"/>
    <w:rsid w:val="00B97039"/>
    <w:rsid w:val="00BC5A4E"/>
    <w:rsid w:val="00C14BDE"/>
    <w:rsid w:val="00C47476"/>
    <w:rsid w:val="00C67EF5"/>
    <w:rsid w:val="00C713B7"/>
    <w:rsid w:val="00C736CF"/>
    <w:rsid w:val="00C75819"/>
    <w:rsid w:val="00C90087"/>
    <w:rsid w:val="00CA2CFA"/>
    <w:rsid w:val="00CD5C0E"/>
    <w:rsid w:val="00CF687E"/>
    <w:rsid w:val="00D0322E"/>
    <w:rsid w:val="00D06DE3"/>
    <w:rsid w:val="00D071E1"/>
    <w:rsid w:val="00D206B5"/>
    <w:rsid w:val="00D42F9E"/>
    <w:rsid w:val="00D62720"/>
    <w:rsid w:val="00D8240C"/>
    <w:rsid w:val="00D97070"/>
    <w:rsid w:val="00DA7E2D"/>
    <w:rsid w:val="00DB21B7"/>
    <w:rsid w:val="00DC30AB"/>
    <w:rsid w:val="00DD13DC"/>
    <w:rsid w:val="00DD7390"/>
    <w:rsid w:val="00DF0EBA"/>
    <w:rsid w:val="00DF4A33"/>
    <w:rsid w:val="00E432E2"/>
    <w:rsid w:val="00E545BC"/>
    <w:rsid w:val="00E547A1"/>
    <w:rsid w:val="00E73937"/>
    <w:rsid w:val="00E75AF7"/>
    <w:rsid w:val="00E82D76"/>
    <w:rsid w:val="00EE148D"/>
    <w:rsid w:val="00EE578D"/>
    <w:rsid w:val="00EF3405"/>
    <w:rsid w:val="00F8245D"/>
    <w:rsid w:val="00F84CCF"/>
    <w:rsid w:val="00F90AF7"/>
    <w:rsid w:val="00FA0378"/>
    <w:rsid w:val="00FA0895"/>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25FAAE"/>
  <w15:chartTrackingRefBased/>
  <w15:docId w15:val="{247FD283-1E64-4069-BCC9-04090EE7F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902425"/>
    <w:pPr>
      <w:spacing w:after="200" w:line="276" w:lineRule="auto"/>
    </w:pPr>
    <w:rPr>
      <w:rFonts w:eastAsiaTheme="minorEastAsia"/>
      <w:lang w:val="ru-RU" w:eastAsia="ru-RU"/>
    </w:rPr>
  </w:style>
  <w:style w:type="paragraph" w:styleId="1">
    <w:name w:val="heading 1"/>
    <w:basedOn w:val="a0"/>
    <w:link w:val="10"/>
    <w:uiPriority w:val="9"/>
    <w:qFormat/>
    <w:rsid w:val="0000167A"/>
    <w:pPr>
      <w:numPr>
        <w:numId w:val="19"/>
      </w:num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0">
    <w:name w:val="heading 2"/>
    <w:basedOn w:val="a0"/>
    <w:next w:val="a0"/>
    <w:link w:val="21"/>
    <w:unhideWhenUsed/>
    <w:qFormat/>
    <w:rsid w:val="00A55004"/>
    <w:pPr>
      <w:keepNext/>
      <w:keepLines/>
      <w:numPr>
        <w:ilvl w:val="1"/>
        <w:numId w:val="19"/>
      </w:numPr>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0"/>
    <w:next w:val="a0"/>
    <w:link w:val="30"/>
    <w:uiPriority w:val="9"/>
    <w:unhideWhenUsed/>
    <w:qFormat/>
    <w:rsid w:val="00A55004"/>
    <w:pPr>
      <w:keepNext/>
      <w:keepLines/>
      <w:numPr>
        <w:ilvl w:val="2"/>
        <w:numId w:val="19"/>
      </w:numPr>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0"/>
    <w:link w:val="40"/>
    <w:qFormat/>
    <w:rsid w:val="00A55004"/>
    <w:pPr>
      <w:numPr>
        <w:ilvl w:val="3"/>
        <w:numId w:val="19"/>
      </w:num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5">
    <w:name w:val="heading 5"/>
    <w:basedOn w:val="a0"/>
    <w:next w:val="a0"/>
    <w:link w:val="50"/>
    <w:uiPriority w:val="9"/>
    <w:unhideWhenUsed/>
    <w:qFormat/>
    <w:rsid w:val="00A55004"/>
    <w:pPr>
      <w:keepNext/>
      <w:keepLines/>
      <w:numPr>
        <w:ilvl w:val="4"/>
        <w:numId w:val="19"/>
      </w:numPr>
      <w:spacing w:before="40" w:after="0" w:line="240" w:lineRule="auto"/>
      <w:outlineLvl w:val="4"/>
    </w:pPr>
    <w:rPr>
      <w:rFonts w:asciiTheme="majorHAnsi" w:eastAsiaTheme="majorEastAsia" w:hAnsiTheme="majorHAnsi" w:cstheme="majorBidi"/>
      <w:color w:val="2F5496" w:themeColor="accent1" w:themeShade="BF"/>
      <w:sz w:val="28"/>
      <w:szCs w:val="20"/>
      <w:lang w:val="uk-UA"/>
    </w:rPr>
  </w:style>
  <w:style w:type="paragraph" w:styleId="6">
    <w:name w:val="heading 6"/>
    <w:basedOn w:val="a0"/>
    <w:next w:val="a0"/>
    <w:link w:val="60"/>
    <w:uiPriority w:val="9"/>
    <w:unhideWhenUsed/>
    <w:qFormat/>
    <w:rsid w:val="00A55004"/>
    <w:pPr>
      <w:keepNext/>
      <w:keepLines/>
      <w:numPr>
        <w:ilvl w:val="5"/>
        <w:numId w:val="19"/>
      </w:numPr>
      <w:spacing w:before="40" w:after="0" w:line="240" w:lineRule="auto"/>
      <w:outlineLvl w:val="5"/>
    </w:pPr>
    <w:rPr>
      <w:rFonts w:asciiTheme="majorHAnsi" w:eastAsiaTheme="majorEastAsia" w:hAnsiTheme="majorHAnsi" w:cstheme="majorBidi"/>
      <w:color w:val="1F3763" w:themeColor="accent1" w:themeShade="7F"/>
      <w:sz w:val="28"/>
      <w:szCs w:val="20"/>
      <w:lang w:val="uk-UA"/>
    </w:rPr>
  </w:style>
  <w:style w:type="paragraph" w:styleId="7">
    <w:name w:val="heading 7"/>
    <w:basedOn w:val="a0"/>
    <w:next w:val="a0"/>
    <w:link w:val="70"/>
    <w:uiPriority w:val="99"/>
    <w:unhideWhenUsed/>
    <w:qFormat/>
    <w:rsid w:val="00A55004"/>
    <w:pPr>
      <w:keepNext/>
      <w:keepLines/>
      <w:numPr>
        <w:ilvl w:val="6"/>
        <w:numId w:val="19"/>
      </w:numPr>
      <w:spacing w:before="40" w:after="0" w:line="240" w:lineRule="auto"/>
      <w:outlineLvl w:val="6"/>
    </w:pPr>
    <w:rPr>
      <w:rFonts w:asciiTheme="majorHAnsi" w:eastAsiaTheme="majorEastAsia" w:hAnsiTheme="majorHAnsi" w:cstheme="majorBidi"/>
      <w:i/>
      <w:iCs/>
      <w:color w:val="1F3763" w:themeColor="accent1" w:themeShade="7F"/>
      <w:sz w:val="28"/>
      <w:szCs w:val="20"/>
      <w:lang w:val="uk-UA"/>
    </w:rPr>
  </w:style>
  <w:style w:type="paragraph" w:styleId="8">
    <w:name w:val="heading 8"/>
    <w:basedOn w:val="a0"/>
    <w:next w:val="a0"/>
    <w:link w:val="80"/>
    <w:uiPriority w:val="99"/>
    <w:unhideWhenUsed/>
    <w:qFormat/>
    <w:rsid w:val="00A55004"/>
    <w:pPr>
      <w:keepNext/>
      <w:keepLines/>
      <w:numPr>
        <w:ilvl w:val="7"/>
        <w:numId w:val="19"/>
      </w:numPr>
      <w:spacing w:before="40" w:after="0" w:line="240" w:lineRule="auto"/>
      <w:outlineLvl w:val="7"/>
    </w:pPr>
    <w:rPr>
      <w:rFonts w:asciiTheme="majorHAnsi" w:eastAsiaTheme="majorEastAsia" w:hAnsiTheme="majorHAnsi" w:cstheme="majorBidi"/>
      <w:color w:val="272727" w:themeColor="text1" w:themeTint="D8"/>
      <w:sz w:val="21"/>
      <w:szCs w:val="21"/>
      <w:lang w:val="uk-UA"/>
    </w:rPr>
  </w:style>
  <w:style w:type="paragraph" w:styleId="9">
    <w:name w:val="heading 9"/>
    <w:basedOn w:val="a0"/>
    <w:next w:val="a0"/>
    <w:link w:val="90"/>
    <w:uiPriority w:val="99"/>
    <w:unhideWhenUsed/>
    <w:qFormat/>
    <w:rsid w:val="00A821B1"/>
    <w:pPr>
      <w:keepNext/>
      <w:keepLines/>
      <w:numPr>
        <w:ilvl w:val="8"/>
        <w:numId w:val="19"/>
      </w:numPr>
      <w:spacing w:before="40" w:after="0" w:line="256" w:lineRule="auto"/>
      <w:outlineLvl w:val="8"/>
    </w:pPr>
    <w:rPr>
      <w:rFonts w:asciiTheme="majorHAnsi" w:eastAsiaTheme="majorEastAsia" w:hAnsiTheme="majorHAnsi" w:cstheme="majorBidi"/>
      <w:i/>
      <w:iCs/>
      <w:color w:val="272727" w:themeColor="text1" w:themeTint="D8"/>
      <w:sz w:val="21"/>
      <w:szCs w:val="21"/>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Default">
    <w:name w:val="Default"/>
    <w:rsid w:val="008D4F96"/>
    <w:pPr>
      <w:autoSpaceDE w:val="0"/>
      <w:autoSpaceDN w:val="0"/>
      <w:adjustRightInd w:val="0"/>
      <w:spacing w:after="0" w:line="240" w:lineRule="auto"/>
    </w:pPr>
    <w:rPr>
      <w:rFonts w:ascii="Times New Roman" w:eastAsiaTheme="minorEastAsia" w:hAnsi="Times New Roman" w:cs="Times New Roman"/>
      <w:color w:val="000000"/>
      <w:sz w:val="24"/>
      <w:szCs w:val="24"/>
      <w:lang w:val="ru-RU" w:eastAsia="ru-RU"/>
    </w:rPr>
  </w:style>
  <w:style w:type="character" w:customStyle="1" w:styleId="10">
    <w:name w:val="Заголовок 1 Знак"/>
    <w:basedOn w:val="a1"/>
    <w:link w:val="1"/>
    <w:uiPriority w:val="9"/>
    <w:rsid w:val="0000167A"/>
    <w:rPr>
      <w:rFonts w:ascii="Times New Roman" w:eastAsia="Times New Roman" w:hAnsi="Times New Roman" w:cs="Times New Roman"/>
      <w:b/>
      <w:bCs/>
      <w:kern w:val="36"/>
      <w:sz w:val="48"/>
      <w:szCs w:val="48"/>
      <w:lang w:val="ru-RU" w:eastAsia="ru-RU"/>
    </w:rPr>
  </w:style>
  <w:style w:type="paragraph" w:styleId="a4">
    <w:name w:val="List Paragraph"/>
    <w:basedOn w:val="a0"/>
    <w:link w:val="a5"/>
    <w:uiPriority w:val="34"/>
    <w:qFormat/>
    <w:rsid w:val="0000167A"/>
    <w:pPr>
      <w:spacing w:after="160" w:line="259" w:lineRule="auto"/>
      <w:ind w:left="720"/>
      <w:contextualSpacing/>
    </w:pPr>
    <w:rPr>
      <w:rFonts w:eastAsiaTheme="minorHAnsi"/>
      <w:lang w:eastAsia="en-US"/>
    </w:rPr>
  </w:style>
  <w:style w:type="character" w:styleId="a6">
    <w:name w:val="Hyperlink"/>
    <w:basedOn w:val="a1"/>
    <w:uiPriority w:val="99"/>
    <w:unhideWhenUsed/>
    <w:rsid w:val="0000167A"/>
    <w:rPr>
      <w:color w:val="0000FF"/>
      <w:u w:val="single"/>
    </w:rPr>
  </w:style>
  <w:style w:type="character" w:customStyle="1" w:styleId="css-96zuhp-word-diff">
    <w:name w:val="css-96zuhp-word-diff"/>
    <w:basedOn w:val="a1"/>
    <w:rsid w:val="0000167A"/>
  </w:style>
  <w:style w:type="character" w:styleId="a7">
    <w:name w:val="Strong"/>
    <w:basedOn w:val="a1"/>
    <w:uiPriority w:val="22"/>
    <w:qFormat/>
    <w:rsid w:val="0000167A"/>
    <w:rPr>
      <w:b/>
      <w:bCs/>
    </w:rPr>
  </w:style>
  <w:style w:type="character" w:styleId="a8">
    <w:name w:val="Unresolved Mention"/>
    <w:basedOn w:val="a1"/>
    <w:uiPriority w:val="99"/>
    <w:semiHidden/>
    <w:unhideWhenUsed/>
    <w:rsid w:val="0000167A"/>
    <w:rPr>
      <w:color w:val="605E5C"/>
      <w:shd w:val="clear" w:color="auto" w:fill="E1DFDD"/>
    </w:rPr>
  </w:style>
  <w:style w:type="paragraph" w:styleId="a9">
    <w:name w:val="Normal (Web)"/>
    <w:aliases w:val="Обычный (веб)1,Обычный (Web)2"/>
    <w:basedOn w:val="a0"/>
    <w:uiPriority w:val="99"/>
    <w:unhideWhenUsed/>
    <w:rsid w:val="0000167A"/>
    <w:pPr>
      <w:spacing w:before="100" w:beforeAutospacing="1" w:after="100" w:afterAutospacing="1" w:line="240" w:lineRule="auto"/>
    </w:pPr>
    <w:rPr>
      <w:rFonts w:ascii="Times New Roman" w:eastAsia="Times New Roman" w:hAnsi="Times New Roman" w:cs="Times New Roman"/>
      <w:sz w:val="24"/>
      <w:szCs w:val="24"/>
    </w:rPr>
  </w:style>
  <w:style w:type="character" w:styleId="aa">
    <w:name w:val="Emphasis"/>
    <w:basedOn w:val="a1"/>
    <w:uiPriority w:val="20"/>
    <w:qFormat/>
    <w:rsid w:val="0000167A"/>
    <w:rPr>
      <w:i/>
      <w:iCs/>
    </w:rPr>
  </w:style>
  <w:style w:type="table" w:styleId="ab">
    <w:name w:val="Table Grid"/>
    <w:basedOn w:val="a2"/>
    <w:uiPriority w:val="39"/>
    <w:rsid w:val="0000167A"/>
    <w:pPr>
      <w:spacing w:after="0" w:line="240" w:lineRule="auto"/>
    </w:pPr>
    <w:rPr>
      <w:kern w:val="2"/>
      <w:lang w:val="ru-RU"/>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header"/>
    <w:basedOn w:val="a0"/>
    <w:link w:val="ad"/>
    <w:unhideWhenUsed/>
    <w:rsid w:val="0000167A"/>
    <w:pPr>
      <w:tabs>
        <w:tab w:val="center" w:pos="4677"/>
        <w:tab w:val="right" w:pos="9355"/>
      </w:tabs>
      <w:spacing w:after="0" w:line="240" w:lineRule="auto"/>
    </w:pPr>
    <w:rPr>
      <w:rFonts w:eastAsiaTheme="minorHAnsi"/>
      <w:lang w:eastAsia="en-US"/>
    </w:rPr>
  </w:style>
  <w:style w:type="character" w:customStyle="1" w:styleId="ad">
    <w:name w:val="Верхний колонтитул Знак"/>
    <w:basedOn w:val="a1"/>
    <w:link w:val="ac"/>
    <w:rsid w:val="0000167A"/>
    <w:rPr>
      <w:lang w:val="ru-RU"/>
    </w:rPr>
  </w:style>
  <w:style w:type="paragraph" w:styleId="ae">
    <w:name w:val="footer"/>
    <w:basedOn w:val="a0"/>
    <w:link w:val="af"/>
    <w:uiPriority w:val="99"/>
    <w:unhideWhenUsed/>
    <w:rsid w:val="0000167A"/>
    <w:pPr>
      <w:tabs>
        <w:tab w:val="center" w:pos="4677"/>
        <w:tab w:val="right" w:pos="9355"/>
      </w:tabs>
      <w:spacing w:after="0" w:line="240" w:lineRule="auto"/>
    </w:pPr>
    <w:rPr>
      <w:rFonts w:eastAsiaTheme="minorHAnsi"/>
      <w:lang w:eastAsia="en-US"/>
    </w:rPr>
  </w:style>
  <w:style w:type="character" w:customStyle="1" w:styleId="af">
    <w:name w:val="Нижний колонтитул Знак"/>
    <w:basedOn w:val="a1"/>
    <w:link w:val="ae"/>
    <w:uiPriority w:val="99"/>
    <w:rsid w:val="0000167A"/>
    <w:rPr>
      <w:lang w:val="ru-RU"/>
    </w:rPr>
  </w:style>
  <w:style w:type="character" w:customStyle="1" w:styleId="40">
    <w:name w:val="Заголовок 4 Знак"/>
    <w:basedOn w:val="a1"/>
    <w:link w:val="4"/>
    <w:rsid w:val="00A55004"/>
    <w:rPr>
      <w:rFonts w:ascii="Times New Roman" w:eastAsia="Times New Roman" w:hAnsi="Times New Roman" w:cs="Times New Roman"/>
      <w:b/>
      <w:bCs/>
      <w:sz w:val="24"/>
      <w:szCs w:val="24"/>
      <w:lang w:val="ru-RU" w:eastAsia="ru-RU"/>
    </w:rPr>
  </w:style>
  <w:style w:type="numbering" w:customStyle="1" w:styleId="11">
    <w:name w:val="Нет списка1"/>
    <w:next w:val="a3"/>
    <w:uiPriority w:val="99"/>
    <w:semiHidden/>
    <w:rsid w:val="00A55004"/>
  </w:style>
  <w:style w:type="character" w:customStyle="1" w:styleId="apple-converted-space">
    <w:name w:val="apple-converted-space"/>
    <w:basedOn w:val="a1"/>
    <w:rsid w:val="00A55004"/>
  </w:style>
  <w:style w:type="paragraph" w:styleId="af0">
    <w:name w:val="Body Text Indent"/>
    <w:aliases w:val="Абзац с маркером,Головний текст"/>
    <w:basedOn w:val="a0"/>
    <w:link w:val="af1"/>
    <w:rsid w:val="00A55004"/>
    <w:pPr>
      <w:spacing w:after="0" w:line="240" w:lineRule="auto"/>
      <w:ind w:firstLine="709"/>
      <w:jc w:val="both"/>
    </w:pPr>
    <w:rPr>
      <w:rFonts w:ascii="Times New Roman" w:eastAsia="Times New Roman" w:hAnsi="Times New Roman" w:cs="Times New Roman"/>
      <w:sz w:val="28"/>
      <w:szCs w:val="20"/>
      <w:lang w:val="uk-UA"/>
    </w:rPr>
  </w:style>
  <w:style w:type="character" w:customStyle="1" w:styleId="af1">
    <w:name w:val="Основной текст с отступом Знак"/>
    <w:aliases w:val="Абзац с маркером Знак,Головний текст Знак"/>
    <w:basedOn w:val="a1"/>
    <w:link w:val="af0"/>
    <w:rsid w:val="00A55004"/>
    <w:rPr>
      <w:rFonts w:ascii="Times New Roman" w:eastAsia="Times New Roman" w:hAnsi="Times New Roman" w:cs="Times New Roman"/>
      <w:sz w:val="28"/>
      <w:szCs w:val="20"/>
      <w:lang w:val="uk-UA" w:eastAsia="ru-RU"/>
    </w:rPr>
  </w:style>
  <w:style w:type="paragraph" w:styleId="HTML">
    <w:name w:val="HTML Preformatted"/>
    <w:basedOn w:val="a0"/>
    <w:link w:val="HTML0"/>
    <w:rsid w:val="00A5500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rPr>
  </w:style>
  <w:style w:type="character" w:customStyle="1" w:styleId="HTML0">
    <w:name w:val="Стандартный HTML Знак"/>
    <w:basedOn w:val="a1"/>
    <w:link w:val="HTML"/>
    <w:rsid w:val="00A55004"/>
    <w:rPr>
      <w:rFonts w:ascii="Courier New" w:eastAsia="Calibri" w:hAnsi="Courier New" w:cs="Courier New"/>
      <w:sz w:val="20"/>
      <w:szCs w:val="20"/>
      <w:lang w:val="ru-RU" w:eastAsia="ru-RU"/>
    </w:rPr>
  </w:style>
  <w:style w:type="paragraph" w:customStyle="1" w:styleId="29">
    <w:name w:val="29"/>
    <w:basedOn w:val="a0"/>
    <w:rsid w:val="00A55004"/>
    <w:pPr>
      <w:spacing w:before="100" w:beforeAutospacing="1" w:after="100" w:afterAutospacing="1" w:line="240" w:lineRule="auto"/>
    </w:pPr>
    <w:rPr>
      <w:rFonts w:ascii="Times New Roman" w:eastAsia="Times New Roman" w:hAnsi="Times New Roman" w:cs="Times New Roman"/>
      <w:sz w:val="24"/>
      <w:szCs w:val="24"/>
    </w:rPr>
  </w:style>
  <w:style w:type="paragraph" w:styleId="af2">
    <w:name w:val="Balloon Text"/>
    <w:basedOn w:val="a0"/>
    <w:link w:val="af3"/>
    <w:uiPriority w:val="99"/>
    <w:unhideWhenUsed/>
    <w:rsid w:val="00A55004"/>
    <w:pPr>
      <w:spacing w:after="0" w:line="240" w:lineRule="auto"/>
      <w:jc w:val="both"/>
    </w:pPr>
    <w:rPr>
      <w:rFonts w:ascii="Tahoma" w:eastAsiaTheme="minorHAnsi" w:hAnsi="Tahoma" w:cs="Tahoma"/>
      <w:sz w:val="16"/>
      <w:szCs w:val="16"/>
      <w:lang w:eastAsia="en-US"/>
    </w:rPr>
  </w:style>
  <w:style w:type="character" w:customStyle="1" w:styleId="af3">
    <w:name w:val="Текст выноски Знак"/>
    <w:basedOn w:val="a1"/>
    <w:link w:val="af2"/>
    <w:uiPriority w:val="99"/>
    <w:rsid w:val="00A55004"/>
    <w:rPr>
      <w:rFonts w:ascii="Tahoma" w:hAnsi="Tahoma" w:cs="Tahoma"/>
      <w:sz w:val="16"/>
      <w:szCs w:val="16"/>
      <w:lang w:val="ru-RU"/>
    </w:rPr>
  </w:style>
  <w:style w:type="numbering" w:customStyle="1" w:styleId="22">
    <w:name w:val="Нет списка2"/>
    <w:next w:val="a3"/>
    <w:uiPriority w:val="99"/>
    <w:semiHidden/>
    <w:rsid w:val="00A55004"/>
  </w:style>
  <w:style w:type="table" w:customStyle="1" w:styleId="12">
    <w:name w:val="Сетка таблицы1"/>
    <w:basedOn w:val="a2"/>
    <w:next w:val="ab"/>
    <w:uiPriority w:val="59"/>
    <w:rsid w:val="00A55004"/>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Абзац списка1"/>
    <w:basedOn w:val="a0"/>
    <w:rsid w:val="00A55004"/>
    <w:pPr>
      <w:spacing w:after="0" w:line="360" w:lineRule="auto"/>
      <w:ind w:left="720"/>
      <w:jc w:val="both"/>
    </w:pPr>
    <w:rPr>
      <w:rFonts w:ascii="Calibri" w:eastAsia="Times New Roman" w:hAnsi="Calibri" w:cs="Times New Roman"/>
      <w:lang w:val="uk-UA" w:eastAsia="en-US"/>
    </w:rPr>
  </w:style>
  <w:style w:type="character" w:customStyle="1" w:styleId="stylebold1">
    <w:name w:val="stylebold1"/>
    <w:basedOn w:val="a1"/>
    <w:rsid w:val="00A55004"/>
    <w:rPr>
      <w:b/>
      <w:bCs/>
    </w:rPr>
  </w:style>
  <w:style w:type="table" w:customStyle="1" w:styleId="110">
    <w:name w:val="Сетка таблицы11"/>
    <w:basedOn w:val="a2"/>
    <w:uiPriority w:val="59"/>
    <w:rsid w:val="00A55004"/>
    <w:pPr>
      <w:spacing w:after="0" w:line="240" w:lineRule="auto"/>
    </w:pPr>
    <w:rPr>
      <w:rFonts w:ascii="Times New Roman" w:eastAsia="Times New Roman" w:hAnsi="Times New Roman" w:cs="Times New Roman"/>
      <w:sz w:val="28"/>
      <w:szCs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Сетка таблицы2"/>
    <w:basedOn w:val="a2"/>
    <w:next w:val="ab"/>
    <w:uiPriority w:val="59"/>
    <w:rsid w:val="00A55004"/>
    <w:pPr>
      <w:spacing w:after="0" w:line="240" w:lineRule="auto"/>
    </w:pPr>
    <w:rPr>
      <w:rFonts w:ascii="Times New Roman" w:hAnsi="Times New Roman"/>
      <w:sz w:val="28"/>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Заголовок 2 Знак"/>
    <w:basedOn w:val="a1"/>
    <w:link w:val="20"/>
    <w:rsid w:val="00A55004"/>
    <w:rPr>
      <w:rFonts w:asciiTheme="majorHAnsi" w:eastAsiaTheme="majorEastAsia" w:hAnsiTheme="majorHAnsi" w:cstheme="majorBidi"/>
      <w:color w:val="2F5496" w:themeColor="accent1" w:themeShade="BF"/>
      <w:sz w:val="26"/>
      <w:szCs w:val="26"/>
      <w:lang w:val="ru-RU" w:eastAsia="ru-RU"/>
    </w:rPr>
  </w:style>
  <w:style w:type="character" w:customStyle="1" w:styleId="30">
    <w:name w:val="Заголовок 3 Знак"/>
    <w:basedOn w:val="a1"/>
    <w:link w:val="3"/>
    <w:uiPriority w:val="9"/>
    <w:rsid w:val="00A55004"/>
    <w:rPr>
      <w:rFonts w:asciiTheme="majorHAnsi" w:eastAsiaTheme="majorEastAsia" w:hAnsiTheme="majorHAnsi" w:cstheme="majorBidi"/>
      <w:color w:val="1F3763" w:themeColor="accent1" w:themeShade="7F"/>
      <w:sz w:val="24"/>
      <w:szCs w:val="24"/>
      <w:lang w:val="ru-RU" w:eastAsia="ru-RU"/>
    </w:rPr>
  </w:style>
  <w:style w:type="character" w:customStyle="1" w:styleId="50">
    <w:name w:val="Заголовок 5 Знак"/>
    <w:basedOn w:val="a1"/>
    <w:link w:val="5"/>
    <w:uiPriority w:val="9"/>
    <w:rsid w:val="00A55004"/>
    <w:rPr>
      <w:rFonts w:asciiTheme="majorHAnsi" w:eastAsiaTheme="majorEastAsia" w:hAnsiTheme="majorHAnsi" w:cstheme="majorBidi"/>
      <w:color w:val="2F5496" w:themeColor="accent1" w:themeShade="BF"/>
      <w:sz w:val="28"/>
      <w:szCs w:val="20"/>
      <w:lang w:val="uk-UA" w:eastAsia="ru-RU"/>
    </w:rPr>
  </w:style>
  <w:style w:type="character" w:customStyle="1" w:styleId="60">
    <w:name w:val="Заголовок 6 Знак"/>
    <w:basedOn w:val="a1"/>
    <w:link w:val="6"/>
    <w:uiPriority w:val="9"/>
    <w:rsid w:val="00A55004"/>
    <w:rPr>
      <w:rFonts w:asciiTheme="majorHAnsi" w:eastAsiaTheme="majorEastAsia" w:hAnsiTheme="majorHAnsi" w:cstheme="majorBidi"/>
      <w:color w:val="1F3763" w:themeColor="accent1" w:themeShade="7F"/>
      <w:sz w:val="28"/>
      <w:szCs w:val="20"/>
      <w:lang w:val="uk-UA" w:eastAsia="ru-RU"/>
    </w:rPr>
  </w:style>
  <w:style w:type="character" w:customStyle="1" w:styleId="70">
    <w:name w:val="Заголовок 7 Знак"/>
    <w:basedOn w:val="a1"/>
    <w:link w:val="7"/>
    <w:uiPriority w:val="99"/>
    <w:rsid w:val="00A55004"/>
    <w:rPr>
      <w:rFonts w:asciiTheme="majorHAnsi" w:eastAsiaTheme="majorEastAsia" w:hAnsiTheme="majorHAnsi" w:cstheme="majorBidi"/>
      <w:i/>
      <w:iCs/>
      <w:color w:val="1F3763" w:themeColor="accent1" w:themeShade="7F"/>
      <w:sz w:val="28"/>
      <w:szCs w:val="20"/>
      <w:lang w:val="uk-UA" w:eastAsia="ru-RU"/>
    </w:rPr>
  </w:style>
  <w:style w:type="character" w:customStyle="1" w:styleId="80">
    <w:name w:val="Заголовок 8 Знак"/>
    <w:basedOn w:val="a1"/>
    <w:link w:val="8"/>
    <w:uiPriority w:val="99"/>
    <w:rsid w:val="00A55004"/>
    <w:rPr>
      <w:rFonts w:asciiTheme="majorHAnsi" w:eastAsiaTheme="majorEastAsia" w:hAnsiTheme="majorHAnsi" w:cstheme="majorBidi"/>
      <w:color w:val="272727" w:themeColor="text1" w:themeTint="D8"/>
      <w:sz w:val="21"/>
      <w:szCs w:val="21"/>
      <w:lang w:val="uk-UA" w:eastAsia="ru-RU"/>
    </w:rPr>
  </w:style>
  <w:style w:type="paragraph" w:styleId="af4">
    <w:name w:val="Title"/>
    <w:aliases w:val="заголовок"/>
    <w:basedOn w:val="a0"/>
    <w:link w:val="af5"/>
    <w:qFormat/>
    <w:rsid w:val="00A55004"/>
    <w:pPr>
      <w:spacing w:after="0" w:line="240" w:lineRule="auto"/>
      <w:jc w:val="center"/>
    </w:pPr>
    <w:rPr>
      <w:rFonts w:ascii="Times New Roman" w:eastAsia="Times New Roman" w:hAnsi="Times New Roman" w:cs="Times New Roman"/>
      <w:sz w:val="28"/>
      <w:szCs w:val="20"/>
      <w:lang w:val="uk-UA"/>
    </w:rPr>
  </w:style>
  <w:style w:type="character" w:customStyle="1" w:styleId="af5">
    <w:name w:val="Заголовок Знак"/>
    <w:aliases w:val="заголовок Знак"/>
    <w:basedOn w:val="a1"/>
    <w:link w:val="af4"/>
    <w:rsid w:val="00A55004"/>
    <w:rPr>
      <w:rFonts w:ascii="Times New Roman" w:eastAsia="Times New Roman" w:hAnsi="Times New Roman" w:cs="Times New Roman"/>
      <w:sz w:val="28"/>
      <w:szCs w:val="20"/>
      <w:lang w:val="uk-UA" w:eastAsia="ru-RU"/>
    </w:rPr>
  </w:style>
  <w:style w:type="paragraph" w:styleId="af6">
    <w:name w:val="TOC Heading"/>
    <w:basedOn w:val="1"/>
    <w:next w:val="a0"/>
    <w:uiPriority w:val="39"/>
    <w:unhideWhenUsed/>
    <w:qFormat/>
    <w:rsid w:val="00A55004"/>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lang w:val="uk-UA" w:eastAsia="uk-UA"/>
    </w:rPr>
  </w:style>
  <w:style w:type="paragraph" w:styleId="14">
    <w:name w:val="toc 1"/>
    <w:basedOn w:val="a0"/>
    <w:next w:val="a0"/>
    <w:autoRedefine/>
    <w:unhideWhenUsed/>
    <w:rsid w:val="00A55004"/>
    <w:pPr>
      <w:spacing w:after="100" w:line="240" w:lineRule="auto"/>
    </w:pPr>
    <w:rPr>
      <w:rFonts w:ascii="Times New Roman" w:eastAsia="Times New Roman" w:hAnsi="Times New Roman" w:cs="Times New Roman"/>
      <w:sz w:val="28"/>
      <w:szCs w:val="20"/>
      <w:lang w:val="uk-UA"/>
    </w:rPr>
  </w:style>
  <w:style w:type="paragraph" w:styleId="31">
    <w:name w:val="toc 3"/>
    <w:basedOn w:val="a0"/>
    <w:next w:val="a0"/>
    <w:autoRedefine/>
    <w:unhideWhenUsed/>
    <w:rsid w:val="00A55004"/>
    <w:pPr>
      <w:tabs>
        <w:tab w:val="right" w:leader="dot" w:pos="9911"/>
      </w:tabs>
      <w:spacing w:after="100" w:line="360" w:lineRule="auto"/>
      <w:ind w:firstLine="709"/>
    </w:pPr>
    <w:rPr>
      <w:rFonts w:ascii="Times New Roman" w:eastAsia="Times New Roman" w:hAnsi="Times New Roman" w:cs="Times New Roman"/>
      <w:sz w:val="28"/>
      <w:szCs w:val="20"/>
      <w:lang w:val="uk-UA"/>
    </w:rPr>
  </w:style>
  <w:style w:type="paragraph" w:customStyle="1" w:styleId="af7">
    <w:name w:val="ПротоколКафедри"/>
    <w:basedOn w:val="a0"/>
    <w:rsid w:val="00A55004"/>
    <w:pPr>
      <w:pageBreakBefore/>
      <w:widowControl w:val="0"/>
      <w:tabs>
        <w:tab w:val="left" w:pos="720"/>
        <w:tab w:val="left" w:pos="6521"/>
      </w:tabs>
      <w:spacing w:after="0" w:line="240" w:lineRule="auto"/>
      <w:ind w:firstLine="720"/>
    </w:pPr>
    <w:rPr>
      <w:rFonts w:ascii="Times New Roman" w:eastAsia="Times New Roman" w:hAnsi="Times New Roman" w:cs="Times New Roman"/>
      <w:sz w:val="24"/>
      <w:szCs w:val="24"/>
      <w:lang w:val="uk-UA"/>
    </w:rPr>
  </w:style>
  <w:style w:type="paragraph" w:customStyle="1" w:styleId="Heading">
    <w:name w:val="Heading"/>
    <w:basedOn w:val="a0"/>
    <w:next w:val="af8"/>
    <w:rsid w:val="00A55004"/>
    <w:pPr>
      <w:suppressAutoHyphens/>
      <w:spacing w:after="0" w:line="240" w:lineRule="auto"/>
      <w:jc w:val="center"/>
    </w:pPr>
    <w:rPr>
      <w:rFonts w:ascii="Times New Roman" w:eastAsia="Times New Roman" w:hAnsi="Times New Roman" w:cs="Times New Roman"/>
      <w:sz w:val="28"/>
      <w:szCs w:val="20"/>
      <w:lang w:val="uk-UA" w:eastAsia="zh-CN"/>
    </w:rPr>
  </w:style>
  <w:style w:type="paragraph" w:styleId="af8">
    <w:name w:val="Body Text"/>
    <w:aliases w:val=" Знак6"/>
    <w:basedOn w:val="a0"/>
    <w:link w:val="af9"/>
    <w:unhideWhenUsed/>
    <w:rsid w:val="00A55004"/>
    <w:pPr>
      <w:spacing w:after="120" w:line="240" w:lineRule="auto"/>
    </w:pPr>
    <w:rPr>
      <w:rFonts w:ascii="Times New Roman" w:eastAsia="Times New Roman" w:hAnsi="Times New Roman" w:cs="Times New Roman"/>
      <w:sz w:val="28"/>
      <w:szCs w:val="20"/>
      <w:lang w:val="uk-UA"/>
    </w:rPr>
  </w:style>
  <w:style w:type="character" w:customStyle="1" w:styleId="af9">
    <w:name w:val="Основной текст Знак"/>
    <w:aliases w:val=" Знак6 Знак"/>
    <w:basedOn w:val="a1"/>
    <w:link w:val="af8"/>
    <w:rsid w:val="00A55004"/>
    <w:rPr>
      <w:rFonts w:ascii="Times New Roman" w:eastAsia="Times New Roman" w:hAnsi="Times New Roman" w:cs="Times New Roman"/>
      <w:sz w:val="28"/>
      <w:szCs w:val="20"/>
      <w:lang w:val="uk-UA" w:eastAsia="ru-RU"/>
    </w:rPr>
  </w:style>
  <w:style w:type="paragraph" w:styleId="24">
    <w:name w:val="toc 2"/>
    <w:basedOn w:val="a0"/>
    <w:next w:val="a0"/>
    <w:autoRedefine/>
    <w:unhideWhenUsed/>
    <w:rsid w:val="00A55004"/>
    <w:pPr>
      <w:tabs>
        <w:tab w:val="right" w:leader="dot" w:pos="9911"/>
      </w:tabs>
      <w:spacing w:after="100" w:line="360" w:lineRule="auto"/>
      <w:ind w:firstLine="284"/>
    </w:pPr>
    <w:rPr>
      <w:rFonts w:ascii="Times New Roman" w:eastAsia="Times New Roman" w:hAnsi="Times New Roman" w:cs="Times New Roman"/>
      <w:sz w:val="28"/>
      <w:szCs w:val="20"/>
      <w:lang w:val="uk-UA"/>
    </w:rPr>
  </w:style>
  <w:style w:type="paragraph" w:styleId="afa">
    <w:name w:val="Subtitle"/>
    <w:basedOn w:val="a0"/>
    <w:next w:val="a0"/>
    <w:link w:val="afb"/>
    <w:qFormat/>
    <w:rsid w:val="00A55004"/>
    <w:pPr>
      <w:numPr>
        <w:ilvl w:val="1"/>
      </w:numPr>
      <w:spacing w:after="160" w:line="240" w:lineRule="auto"/>
    </w:pPr>
    <w:rPr>
      <w:color w:val="5A5A5A" w:themeColor="text1" w:themeTint="A5"/>
      <w:spacing w:val="15"/>
      <w:lang w:val="uk-UA"/>
    </w:rPr>
  </w:style>
  <w:style w:type="character" w:customStyle="1" w:styleId="afb">
    <w:name w:val="Подзаголовок Знак"/>
    <w:basedOn w:val="a1"/>
    <w:link w:val="afa"/>
    <w:rsid w:val="00A55004"/>
    <w:rPr>
      <w:rFonts w:eastAsiaTheme="minorEastAsia"/>
      <w:color w:val="5A5A5A" w:themeColor="text1" w:themeTint="A5"/>
      <w:spacing w:val="15"/>
      <w:lang w:val="uk-UA" w:eastAsia="ru-RU"/>
    </w:rPr>
  </w:style>
  <w:style w:type="paragraph" w:customStyle="1" w:styleId="TableParagraph">
    <w:name w:val="Table Paragraph"/>
    <w:basedOn w:val="a0"/>
    <w:uiPriority w:val="1"/>
    <w:qFormat/>
    <w:rsid w:val="00A55004"/>
    <w:pPr>
      <w:widowControl w:val="0"/>
      <w:autoSpaceDE w:val="0"/>
      <w:autoSpaceDN w:val="0"/>
      <w:spacing w:after="0" w:line="186" w:lineRule="exact"/>
      <w:ind w:left="5"/>
      <w:jc w:val="center"/>
    </w:pPr>
    <w:rPr>
      <w:rFonts w:ascii="Times New Roman" w:eastAsia="Times New Roman" w:hAnsi="Times New Roman" w:cs="Times New Roman"/>
      <w:lang w:eastAsia="en-US"/>
    </w:rPr>
  </w:style>
  <w:style w:type="character" w:customStyle="1" w:styleId="32">
    <w:name w:val="Основной текст с отступом 3 Знак"/>
    <w:basedOn w:val="a1"/>
    <w:link w:val="33"/>
    <w:uiPriority w:val="99"/>
    <w:rsid w:val="00A55004"/>
    <w:rPr>
      <w:rFonts w:ascii="Times New Roman" w:eastAsia="Times New Roman" w:hAnsi="Times New Roman" w:cs="Times New Roman"/>
      <w:sz w:val="16"/>
      <w:szCs w:val="16"/>
      <w:lang w:val="uk-UA" w:eastAsia="ru-RU"/>
    </w:rPr>
  </w:style>
  <w:style w:type="paragraph" w:styleId="33">
    <w:name w:val="Body Text Indent 3"/>
    <w:basedOn w:val="a0"/>
    <w:link w:val="32"/>
    <w:uiPriority w:val="99"/>
    <w:unhideWhenUsed/>
    <w:rsid w:val="00A55004"/>
    <w:pPr>
      <w:spacing w:after="120" w:line="240" w:lineRule="auto"/>
      <w:ind w:left="283"/>
    </w:pPr>
    <w:rPr>
      <w:rFonts w:ascii="Times New Roman" w:eastAsia="Times New Roman" w:hAnsi="Times New Roman" w:cs="Times New Roman"/>
      <w:sz w:val="16"/>
      <w:szCs w:val="16"/>
      <w:lang w:val="uk-UA"/>
    </w:rPr>
  </w:style>
  <w:style w:type="character" w:customStyle="1" w:styleId="310">
    <w:name w:val="Основной текст с отступом 3 Знак1"/>
    <w:basedOn w:val="a1"/>
    <w:uiPriority w:val="99"/>
    <w:semiHidden/>
    <w:rsid w:val="00A55004"/>
    <w:rPr>
      <w:rFonts w:eastAsiaTheme="minorEastAsia"/>
      <w:sz w:val="16"/>
      <w:szCs w:val="16"/>
      <w:lang w:val="ru-RU" w:eastAsia="ru-RU"/>
    </w:rPr>
  </w:style>
  <w:style w:type="character" w:customStyle="1" w:styleId="25">
    <w:name w:val="Основной текст 2 Знак"/>
    <w:basedOn w:val="a1"/>
    <w:link w:val="26"/>
    <w:rsid w:val="00A55004"/>
    <w:rPr>
      <w:rFonts w:ascii="Times New Roman" w:eastAsia="Times New Roman" w:hAnsi="Times New Roman" w:cs="Times New Roman"/>
      <w:sz w:val="28"/>
      <w:szCs w:val="20"/>
      <w:lang w:val="uk-UA" w:eastAsia="ru-RU"/>
    </w:rPr>
  </w:style>
  <w:style w:type="paragraph" w:styleId="26">
    <w:name w:val="Body Text 2"/>
    <w:basedOn w:val="a0"/>
    <w:link w:val="25"/>
    <w:unhideWhenUsed/>
    <w:rsid w:val="00A55004"/>
    <w:pPr>
      <w:spacing w:after="120" w:line="480" w:lineRule="auto"/>
    </w:pPr>
    <w:rPr>
      <w:rFonts w:ascii="Times New Roman" w:eastAsia="Times New Roman" w:hAnsi="Times New Roman" w:cs="Times New Roman"/>
      <w:sz w:val="28"/>
      <w:szCs w:val="20"/>
      <w:lang w:val="uk-UA"/>
    </w:rPr>
  </w:style>
  <w:style w:type="character" w:customStyle="1" w:styleId="210">
    <w:name w:val="Основной текст 2 Знак1"/>
    <w:basedOn w:val="a1"/>
    <w:uiPriority w:val="99"/>
    <w:semiHidden/>
    <w:rsid w:val="00A55004"/>
    <w:rPr>
      <w:rFonts w:eastAsiaTheme="minorEastAsia"/>
      <w:lang w:val="ru-RU" w:eastAsia="ru-RU"/>
    </w:rPr>
  </w:style>
  <w:style w:type="character" w:customStyle="1" w:styleId="90">
    <w:name w:val="Заголовок 9 Знак"/>
    <w:basedOn w:val="a1"/>
    <w:link w:val="9"/>
    <w:uiPriority w:val="99"/>
    <w:rsid w:val="00A821B1"/>
    <w:rPr>
      <w:rFonts w:asciiTheme="majorHAnsi" w:eastAsiaTheme="majorEastAsia" w:hAnsiTheme="majorHAnsi" w:cstheme="majorBidi"/>
      <w:i/>
      <w:iCs/>
      <w:color w:val="272727" w:themeColor="text1" w:themeTint="D8"/>
      <w:sz w:val="21"/>
      <w:szCs w:val="21"/>
      <w:lang w:val="uk-UA" w:eastAsia="ru-RU"/>
    </w:rPr>
  </w:style>
  <w:style w:type="table" w:customStyle="1" w:styleId="TableNormal">
    <w:name w:val="Table Normal"/>
    <w:rsid w:val="00A821B1"/>
    <w:pPr>
      <w:spacing w:line="256" w:lineRule="auto"/>
    </w:pPr>
    <w:rPr>
      <w:rFonts w:ascii="Calibri" w:eastAsia="Calibri" w:hAnsi="Calibri" w:cs="Calibri"/>
      <w:lang w:val="uk-UA" w:eastAsia="ru-RU"/>
    </w:rPr>
    <w:tblPr>
      <w:tblCellMar>
        <w:top w:w="0" w:type="dxa"/>
        <w:left w:w="0" w:type="dxa"/>
        <w:bottom w:w="0" w:type="dxa"/>
        <w:right w:w="0" w:type="dxa"/>
      </w:tblCellMar>
    </w:tblPr>
  </w:style>
  <w:style w:type="character" w:customStyle="1" w:styleId="a5">
    <w:name w:val="Абзац списка Знак"/>
    <w:link w:val="a4"/>
    <w:uiPriority w:val="99"/>
    <w:rsid w:val="00A821B1"/>
    <w:rPr>
      <w:lang w:val="ru-RU"/>
    </w:rPr>
  </w:style>
  <w:style w:type="character" w:customStyle="1" w:styleId="vuuxrf">
    <w:name w:val="vuuxrf"/>
    <w:basedOn w:val="a1"/>
    <w:rsid w:val="00A821B1"/>
  </w:style>
  <w:style w:type="character" w:styleId="HTML1">
    <w:name w:val="HTML Cite"/>
    <w:basedOn w:val="a1"/>
    <w:uiPriority w:val="99"/>
    <w:unhideWhenUsed/>
    <w:rsid w:val="00A821B1"/>
    <w:rPr>
      <w:i/>
      <w:iCs/>
    </w:rPr>
  </w:style>
  <w:style w:type="character" w:customStyle="1" w:styleId="dyjrff">
    <w:name w:val="dyjrff"/>
    <w:basedOn w:val="a1"/>
    <w:rsid w:val="00A821B1"/>
  </w:style>
  <w:style w:type="paragraph" w:customStyle="1" w:styleId="field-item">
    <w:name w:val="field-item"/>
    <w:basedOn w:val="a0"/>
    <w:rsid w:val="00A821B1"/>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15">
    <w:name w:val="Незакрита згадка1"/>
    <w:basedOn w:val="a1"/>
    <w:uiPriority w:val="99"/>
    <w:semiHidden/>
    <w:unhideWhenUsed/>
    <w:rsid w:val="00A821B1"/>
    <w:rPr>
      <w:color w:val="605E5C"/>
      <w:shd w:val="clear" w:color="auto" w:fill="E1DFDD"/>
    </w:rPr>
  </w:style>
  <w:style w:type="paragraph" w:styleId="afc">
    <w:name w:val="No Spacing"/>
    <w:qFormat/>
    <w:rsid w:val="00A821B1"/>
    <w:pPr>
      <w:spacing w:after="0" w:line="240" w:lineRule="auto"/>
    </w:pPr>
    <w:rPr>
      <w:rFonts w:ascii="Calibri" w:eastAsia="Calibri" w:hAnsi="Calibri" w:cs="Calibri"/>
      <w:lang w:val="ru-RU" w:eastAsia="ru-RU"/>
    </w:rPr>
  </w:style>
  <w:style w:type="character" w:styleId="afd">
    <w:name w:val="Subtle Emphasis"/>
    <w:basedOn w:val="a1"/>
    <w:uiPriority w:val="19"/>
    <w:qFormat/>
    <w:rsid w:val="00A821B1"/>
    <w:rPr>
      <w:i/>
      <w:iCs/>
      <w:color w:val="404040" w:themeColor="text1" w:themeTint="BF"/>
    </w:rPr>
  </w:style>
  <w:style w:type="character" w:styleId="afe">
    <w:name w:val="Intense Emphasis"/>
    <w:basedOn w:val="a1"/>
    <w:uiPriority w:val="21"/>
    <w:qFormat/>
    <w:rsid w:val="00A821B1"/>
    <w:rPr>
      <w:i/>
      <w:iCs/>
      <w:color w:val="4472C4" w:themeColor="accent1"/>
    </w:rPr>
  </w:style>
  <w:style w:type="paragraph" w:customStyle="1" w:styleId="mb-0">
    <w:name w:val="mb-0"/>
    <w:basedOn w:val="a0"/>
    <w:rsid w:val="00A821B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wrap">
    <w:name w:val="nowrap"/>
    <w:basedOn w:val="a1"/>
    <w:rsid w:val="00A821B1"/>
  </w:style>
  <w:style w:type="paragraph" w:customStyle="1" w:styleId="small">
    <w:name w:val="small"/>
    <w:basedOn w:val="a0"/>
    <w:rsid w:val="00A821B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wd-jnl-art-copyright">
    <w:name w:val="wd-jnl-art-copyright"/>
    <w:basedOn w:val="a1"/>
    <w:rsid w:val="00A821B1"/>
  </w:style>
  <w:style w:type="character" w:customStyle="1" w:styleId="wd-jnl-art-breadcrumb-title">
    <w:name w:val="wd-jnl-art-breadcrumb-title"/>
    <w:basedOn w:val="a1"/>
    <w:rsid w:val="00A821B1"/>
  </w:style>
  <w:style w:type="character" w:customStyle="1" w:styleId="wd-jnl-art-breadcrumb-vol">
    <w:name w:val="wd-jnl-art-breadcrumb-vol"/>
    <w:basedOn w:val="a1"/>
    <w:rsid w:val="00A821B1"/>
  </w:style>
  <w:style w:type="character" w:customStyle="1" w:styleId="wd-jnl-art-breadcrumb-issue">
    <w:name w:val="wd-jnl-art-breadcrumb-issue"/>
    <w:basedOn w:val="a1"/>
    <w:rsid w:val="00A821B1"/>
  </w:style>
  <w:style w:type="character" w:customStyle="1" w:styleId="hgkelc">
    <w:name w:val="hgkelc"/>
    <w:basedOn w:val="a1"/>
    <w:rsid w:val="008C58D4"/>
  </w:style>
  <w:style w:type="character" w:customStyle="1" w:styleId="rynqvb">
    <w:name w:val="rynqvb"/>
    <w:basedOn w:val="a1"/>
    <w:rsid w:val="008C58D4"/>
  </w:style>
  <w:style w:type="character" w:customStyle="1" w:styleId="field">
    <w:name w:val="field"/>
    <w:basedOn w:val="a1"/>
    <w:rsid w:val="008C58D4"/>
  </w:style>
  <w:style w:type="character" w:customStyle="1" w:styleId="hwtze">
    <w:name w:val="hwtze"/>
    <w:basedOn w:val="a1"/>
    <w:rsid w:val="008C58D4"/>
  </w:style>
  <w:style w:type="paragraph" w:customStyle="1" w:styleId="has-black-color">
    <w:name w:val="has-black-color"/>
    <w:basedOn w:val="a0"/>
    <w:rsid w:val="008C58D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bannerrecommendtitle">
    <w:name w:val="banner_recommend_title"/>
    <w:basedOn w:val="a0"/>
    <w:rsid w:val="008C58D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bannerrecommendtext">
    <w:name w:val="banner_recommend_text"/>
    <w:basedOn w:val="a0"/>
    <w:rsid w:val="008C58D4"/>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data">
    <w:name w:val="data"/>
    <w:basedOn w:val="a1"/>
    <w:rsid w:val="008C58D4"/>
  </w:style>
  <w:style w:type="character" w:customStyle="1" w:styleId="view">
    <w:name w:val="view"/>
    <w:basedOn w:val="a1"/>
    <w:rsid w:val="008C58D4"/>
  </w:style>
  <w:style w:type="character" w:customStyle="1" w:styleId="xt0psk2">
    <w:name w:val="xt0psk2"/>
    <w:basedOn w:val="a1"/>
    <w:rsid w:val="008C58D4"/>
  </w:style>
  <w:style w:type="character" w:customStyle="1" w:styleId="ez-toc-section">
    <w:name w:val="ez-toc-section"/>
    <w:basedOn w:val="a1"/>
    <w:rsid w:val="008C58D4"/>
  </w:style>
  <w:style w:type="character" w:customStyle="1" w:styleId="aentry-posttitle-text">
    <w:name w:val="aentry-post__title-text"/>
    <w:basedOn w:val="a1"/>
    <w:rsid w:val="008C58D4"/>
  </w:style>
  <w:style w:type="character" w:customStyle="1" w:styleId="27">
    <w:name w:val="Основной текст (2)_"/>
    <w:link w:val="28"/>
    <w:rsid w:val="00662012"/>
    <w:rPr>
      <w:shd w:val="clear" w:color="auto" w:fill="FFFFFF"/>
    </w:rPr>
  </w:style>
  <w:style w:type="paragraph" w:customStyle="1" w:styleId="28">
    <w:name w:val="Основной текст (2)"/>
    <w:basedOn w:val="a0"/>
    <w:link w:val="27"/>
    <w:rsid w:val="00662012"/>
    <w:pPr>
      <w:widowControl w:val="0"/>
      <w:shd w:val="clear" w:color="auto" w:fill="FFFFFF"/>
      <w:spacing w:before="120" w:after="360" w:line="0" w:lineRule="atLeast"/>
      <w:ind w:hanging="720"/>
    </w:pPr>
    <w:rPr>
      <w:rFonts w:eastAsiaTheme="minorHAnsi"/>
      <w:lang w:val="ru-UA" w:eastAsia="en-US"/>
    </w:rPr>
  </w:style>
  <w:style w:type="paragraph" w:customStyle="1" w:styleId="aff">
    <w:basedOn w:val="a0"/>
    <w:next w:val="a9"/>
    <w:link w:val="aff0"/>
    <w:uiPriority w:val="99"/>
    <w:unhideWhenUsed/>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harCharChar">
    <w:name w:val="Char Char Char"/>
    <w:basedOn w:val="a0"/>
    <w:rsid w:val="00662012"/>
    <w:pPr>
      <w:spacing w:after="160" w:line="240" w:lineRule="exact"/>
    </w:pPr>
    <w:rPr>
      <w:rFonts w:ascii="Times New Roman" w:eastAsia="Times New Roman" w:hAnsi="Times New Roman" w:cs="Times New Roman"/>
      <w:sz w:val="20"/>
      <w:szCs w:val="20"/>
      <w:lang w:val="de-CH" w:eastAsia="de-CH"/>
    </w:rPr>
  </w:style>
  <w:style w:type="character" w:customStyle="1" w:styleId="hps">
    <w:name w:val="hps"/>
    <w:basedOn w:val="a1"/>
    <w:rsid w:val="00662012"/>
  </w:style>
  <w:style w:type="character" w:styleId="aff1">
    <w:name w:val="Placeholder Text"/>
    <w:uiPriority w:val="99"/>
    <w:semiHidden/>
    <w:rsid w:val="00662012"/>
    <w:rPr>
      <w:color w:val="808080"/>
    </w:rPr>
  </w:style>
  <w:style w:type="character" w:customStyle="1" w:styleId="3Arial">
    <w:name w:val="Основной текст (3) + Arial;Полужирный;Курсив"/>
    <w:rsid w:val="00662012"/>
    <w:rPr>
      <w:rFonts w:ascii="Arial" w:eastAsia="Arial" w:hAnsi="Arial" w:cs="Arial"/>
      <w:b/>
      <w:bCs/>
      <w:i/>
      <w:iCs/>
      <w:smallCaps w:val="0"/>
      <w:strike w:val="0"/>
      <w:color w:val="000000"/>
      <w:spacing w:val="0"/>
      <w:w w:val="100"/>
      <w:position w:val="0"/>
      <w:sz w:val="21"/>
      <w:szCs w:val="21"/>
      <w:u w:val="none"/>
      <w:lang w:val="uk-UA" w:eastAsia="uk-UA" w:bidi="uk-UA"/>
    </w:rPr>
  </w:style>
  <w:style w:type="character" w:customStyle="1" w:styleId="41">
    <w:name w:val="Основной текст (4)_"/>
    <w:link w:val="42"/>
    <w:rsid w:val="00662012"/>
    <w:rPr>
      <w:rFonts w:ascii="Times New Roman" w:eastAsia="Times New Roman" w:hAnsi="Times New Roman" w:cs="Times New Roman"/>
      <w:b/>
      <w:bCs/>
      <w:shd w:val="clear" w:color="auto" w:fill="FFFFFF"/>
    </w:rPr>
  </w:style>
  <w:style w:type="paragraph" w:customStyle="1" w:styleId="42">
    <w:name w:val="Основной текст (4)"/>
    <w:basedOn w:val="a0"/>
    <w:link w:val="41"/>
    <w:rsid w:val="00662012"/>
    <w:pPr>
      <w:widowControl w:val="0"/>
      <w:shd w:val="clear" w:color="auto" w:fill="FFFFFF"/>
      <w:spacing w:before="300" w:after="300" w:line="0" w:lineRule="atLeast"/>
      <w:ind w:hanging="880"/>
      <w:jc w:val="both"/>
    </w:pPr>
    <w:rPr>
      <w:rFonts w:ascii="Times New Roman" w:eastAsia="Times New Roman" w:hAnsi="Times New Roman" w:cs="Times New Roman"/>
      <w:b/>
      <w:bCs/>
      <w:lang w:val="ru-UA" w:eastAsia="en-US"/>
    </w:rPr>
  </w:style>
  <w:style w:type="paragraph" w:styleId="2a">
    <w:name w:val="Body Text Indent 2"/>
    <w:basedOn w:val="a0"/>
    <w:link w:val="2b"/>
    <w:unhideWhenUsed/>
    <w:rsid w:val="00662012"/>
    <w:pPr>
      <w:spacing w:after="120" w:line="480" w:lineRule="auto"/>
      <w:ind w:left="283"/>
    </w:pPr>
    <w:rPr>
      <w:rFonts w:ascii="Calibri" w:eastAsia="Calibri" w:hAnsi="Calibri" w:cs="Times New Roman"/>
      <w:lang w:eastAsia="en-US"/>
    </w:rPr>
  </w:style>
  <w:style w:type="character" w:customStyle="1" w:styleId="2b">
    <w:name w:val="Основной текст с отступом 2 Знак"/>
    <w:basedOn w:val="a1"/>
    <w:link w:val="2a"/>
    <w:rsid w:val="00662012"/>
    <w:rPr>
      <w:rFonts w:ascii="Calibri" w:eastAsia="Calibri" w:hAnsi="Calibri" w:cs="Times New Roman"/>
      <w:lang w:val="ru-RU"/>
    </w:rPr>
  </w:style>
  <w:style w:type="character" w:customStyle="1" w:styleId="apple-style-span">
    <w:name w:val="apple-style-span"/>
    <w:rsid w:val="00662012"/>
    <w:rPr>
      <w:rFonts w:cs="Times New Roman"/>
    </w:rPr>
  </w:style>
  <w:style w:type="paragraph" w:customStyle="1" w:styleId="aff2">
    <w:name w:val="Б"/>
    <w:qFormat/>
    <w:rsid w:val="00662012"/>
    <w:pPr>
      <w:spacing w:after="0" w:line="360" w:lineRule="auto"/>
      <w:ind w:firstLine="709"/>
      <w:contextualSpacing/>
      <w:jc w:val="both"/>
    </w:pPr>
    <w:rPr>
      <w:rFonts w:ascii="Times New Roman" w:eastAsia="Times New Roman" w:hAnsi="Times New Roman" w:cs="Times New Roman"/>
      <w:sz w:val="28"/>
      <w:szCs w:val="24"/>
      <w:lang w:val="ru-RU" w:eastAsia="ru-RU"/>
    </w:rPr>
  </w:style>
  <w:style w:type="character" w:styleId="aff3">
    <w:name w:val="page number"/>
    <w:rsid w:val="00662012"/>
    <w:rPr>
      <w:rFonts w:cs="Times New Roman"/>
    </w:rPr>
  </w:style>
  <w:style w:type="character" w:customStyle="1" w:styleId="aff4">
    <w:name w:val="Текст концевой сноски Знак"/>
    <w:link w:val="aff5"/>
    <w:uiPriority w:val="99"/>
    <w:rsid w:val="00662012"/>
    <w:rPr>
      <w:rFonts w:ascii="Times New Roman" w:eastAsia="Calibri" w:hAnsi="Times New Roman" w:cs="Times New Roman"/>
      <w:sz w:val="20"/>
      <w:szCs w:val="20"/>
      <w:lang w:eastAsia="ru-RU"/>
    </w:rPr>
  </w:style>
  <w:style w:type="paragraph" w:styleId="aff5">
    <w:name w:val="endnote text"/>
    <w:basedOn w:val="a0"/>
    <w:link w:val="aff4"/>
    <w:uiPriority w:val="99"/>
    <w:rsid w:val="00662012"/>
    <w:pPr>
      <w:spacing w:after="0" w:line="240" w:lineRule="auto"/>
    </w:pPr>
    <w:rPr>
      <w:rFonts w:ascii="Times New Roman" w:eastAsia="Calibri" w:hAnsi="Times New Roman" w:cs="Times New Roman"/>
      <w:sz w:val="20"/>
      <w:szCs w:val="20"/>
      <w:lang w:val="ru-UA"/>
    </w:rPr>
  </w:style>
  <w:style w:type="character" w:customStyle="1" w:styleId="16">
    <w:name w:val="Текст концевой сноски Знак1"/>
    <w:basedOn w:val="a1"/>
    <w:uiPriority w:val="99"/>
    <w:semiHidden/>
    <w:rsid w:val="00662012"/>
    <w:rPr>
      <w:rFonts w:eastAsiaTheme="minorEastAsia"/>
      <w:sz w:val="20"/>
      <w:szCs w:val="20"/>
      <w:lang w:val="ru-RU" w:eastAsia="ru-RU"/>
    </w:rPr>
  </w:style>
  <w:style w:type="character" w:customStyle="1" w:styleId="aff6">
    <w:name w:val="Текст сноски Знак"/>
    <w:aliases w:val="Текст сноски-FN Знак"/>
    <w:link w:val="aff7"/>
    <w:rsid w:val="00662012"/>
    <w:rPr>
      <w:rFonts w:ascii="Times New Roman" w:eastAsia="Calibri" w:hAnsi="Times New Roman" w:cs="Times New Roman"/>
      <w:sz w:val="20"/>
      <w:szCs w:val="20"/>
      <w:lang w:eastAsia="ru-RU"/>
    </w:rPr>
  </w:style>
  <w:style w:type="paragraph" w:styleId="aff7">
    <w:name w:val="footnote text"/>
    <w:aliases w:val="Текст сноски-FN"/>
    <w:basedOn w:val="a0"/>
    <w:link w:val="aff6"/>
    <w:rsid w:val="00662012"/>
    <w:pPr>
      <w:spacing w:after="0" w:line="240" w:lineRule="auto"/>
    </w:pPr>
    <w:rPr>
      <w:rFonts w:ascii="Times New Roman" w:eastAsia="Calibri" w:hAnsi="Times New Roman" w:cs="Times New Roman"/>
      <w:sz w:val="20"/>
      <w:szCs w:val="20"/>
      <w:lang w:val="ru-UA"/>
    </w:rPr>
  </w:style>
  <w:style w:type="character" w:customStyle="1" w:styleId="17">
    <w:name w:val="Текст сноски Знак1"/>
    <w:aliases w:val="Текст сноски-FN Знак1"/>
    <w:basedOn w:val="a1"/>
    <w:semiHidden/>
    <w:rsid w:val="00662012"/>
    <w:rPr>
      <w:rFonts w:eastAsiaTheme="minorEastAsia"/>
      <w:sz w:val="20"/>
      <w:szCs w:val="20"/>
      <w:lang w:val="ru-RU" w:eastAsia="ru-RU"/>
    </w:rPr>
  </w:style>
  <w:style w:type="character" w:styleId="aff8">
    <w:name w:val="footnote reference"/>
    <w:uiPriority w:val="99"/>
    <w:rsid w:val="00662012"/>
    <w:rPr>
      <w:rFonts w:cs="Times New Roman"/>
      <w:vertAlign w:val="superscript"/>
    </w:rPr>
  </w:style>
  <w:style w:type="paragraph" w:customStyle="1" w:styleId="NormalText">
    <w:name w:val="Normal Text"/>
    <w:basedOn w:val="a0"/>
    <w:uiPriority w:val="99"/>
    <w:rsid w:val="00662012"/>
    <w:pPr>
      <w:autoSpaceDE w:val="0"/>
      <w:autoSpaceDN w:val="0"/>
      <w:spacing w:after="0" w:line="240" w:lineRule="auto"/>
      <w:ind w:firstLine="567"/>
      <w:jc w:val="both"/>
    </w:pPr>
    <w:rPr>
      <w:rFonts w:ascii="Antiqua" w:eastAsia="Times New Roman" w:hAnsi="Antiqua" w:cs="Times New Roman"/>
      <w:sz w:val="26"/>
      <w:szCs w:val="20"/>
      <w:lang w:val="uk-UA"/>
    </w:rPr>
  </w:style>
  <w:style w:type="paragraph" w:customStyle="1" w:styleId="aff9">
    <w:name w:val="Знак Знак Знак Знак Знак Знак"/>
    <w:basedOn w:val="a0"/>
    <w:uiPriority w:val="99"/>
    <w:rsid w:val="00662012"/>
    <w:pPr>
      <w:spacing w:after="0" w:line="240" w:lineRule="auto"/>
    </w:pPr>
    <w:rPr>
      <w:rFonts w:ascii="Verdana" w:eastAsia="Times New Roman" w:hAnsi="Verdana" w:cs="Verdana"/>
      <w:sz w:val="20"/>
      <w:szCs w:val="20"/>
      <w:lang w:val="en-US" w:eastAsia="en-US"/>
    </w:rPr>
  </w:style>
  <w:style w:type="paragraph" w:customStyle="1" w:styleId="msonospacing0">
    <w:name w:val="msonospacing"/>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affa">
    <w:name w:val="Знак"/>
    <w:basedOn w:val="a0"/>
    <w:uiPriority w:val="99"/>
    <w:rsid w:val="00662012"/>
    <w:pPr>
      <w:spacing w:after="0" w:line="240" w:lineRule="auto"/>
    </w:pPr>
    <w:rPr>
      <w:rFonts w:ascii="Times New Roman" w:eastAsia="Times New Roman" w:hAnsi="Times New Roman" w:cs="Times New Roman"/>
      <w:sz w:val="20"/>
      <w:szCs w:val="20"/>
      <w:lang w:val="en-US" w:eastAsia="en-US"/>
    </w:rPr>
  </w:style>
  <w:style w:type="paragraph" w:customStyle="1" w:styleId="18">
    <w:name w:val="Обычный1"/>
    <w:rsid w:val="00662012"/>
    <w:pPr>
      <w:widowControl w:val="0"/>
      <w:spacing w:after="0" w:line="260" w:lineRule="auto"/>
      <w:ind w:left="400" w:firstLine="320"/>
      <w:jc w:val="both"/>
    </w:pPr>
    <w:rPr>
      <w:rFonts w:ascii="Times New Roman" w:eastAsia="Times New Roman" w:hAnsi="Times New Roman" w:cs="Times New Roman"/>
      <w:sz w:val="18"/>
      <w:szCs w:val="20"/>
      <w:lang w:val="uk-UA" w:eastAsia="ru-RU"/>
    </w:rPr>
  </w:style>
  <w:style w:type="paragraph" w:styleId="34">
    <w:name w:val="Body Text 3"/>
    <w:basedOn w:val="a0"/>
    <w:link w:val="35"/>
    <w:uiPriority w:val="99"/>
    <w:rsid w:val="00662012"/>
    <w:pPr>
      <w:autoSpaceDE w:val="0"/>
      <w:autoSpaceDN w:val="0"/>
      <w:spacing w:after="0" w:line="240" w:lineRule="auto"/>
    </w:pPr>
    <w:rPr>
      <w:rFonts w:ascii="Times New Roman" w:eastAsia="Calibri" w:hAnsi="Times New Roman" w:cs="Times New Roman"/>
      <w:sz w:val="16"/>
      <w:szCs w:val="16"/>
      <w:lang w:eastAsia="en-US"/>
    </w:rPr>
  </w:style>
  <w:style w:type="character" w:customStyle="1" w:styleId="35">
    <w:name w:val="Основной текст 3 Знак"/>
    <w:basedOn w:val="a1"/>
    <w:link w:val="34"/>
    <w:uiPriority w:val="99"/>
    <w:rsid w:val="00662012"/>
    <w:rPr>
      <w:rFonts w:ascii="Times New Roman" w:eastAsia="Calibri" w:hAnsi="Times New Roman" w:cs="Times New Roman"/>
      <w:sz w:val="16"/>
      <w:szCs w:val="16"/>
      <w:lang w:val="ru-RU"/>
    </w:rPr>
  </w:style>
  <w:style w:type="character" w:customStyle="1" w:styleId="maintextleft">
    <w:name w:val="maintextleft"/>
    <w:uiPriority w:val="99"/>
    <w:rsid w:val="00662012"/>
    <w:rPr>
      <w:rFonts w:cs="Times New Roman"/>
    </w:rPr>
  </w:style>
  <w:style w:type="paragraph" w:customStyle="1" w:styleId="artx">
    <w:name w:val="artx"/>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psatn">
    <w:name w:val="hps atn"/>
    <w:rsid w:val="00662012"/>
    <w:rPr>
      <w:rFonts w:cs="Times New Roman"/>
    </w:rPr>
  </w:style>
  <w:style w:type="character" w:customStyle="1" w:styleId="atn">
    <w:name w:val="atn"/>
    <w:rsid w:val="00662012"/>
    <w:rPr>
      <w:rFonts w:cs="Times New Roman"/>
    </w:rPr>
  </w:style>
  <w:style w:type="character" w:customStyle="1" w:styleId="highlightedsearchterm">
    <w:name w:val="highlightedsearchterm"/>
    <w:uiPriority w:val="99"/>
    <w:rsid w:val="00662012"/>
    <w:rPr>
      <w:rFonts w:cs="Times New Roman"/>
    </w:rPr>
  </w:style>
  <w:style w:type="paragraph" w:customStyle="1" w:styleId="a90">
    <w:name w:val="a9"/>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60">
    <w:name w:val="a6"/>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b">
    <w:name w:val="Обычный курсив"/>
    <w:basedOn w:val="a0"/>
    <w:uiPriority w:val="99"/>
    <w:rsid w:val="00662012"/>
    <w:pPr>
      <w:spacing w:before="60" w:after="60" w:line="240" w:lineRule="auto"/>
      <w:ind w:firstLine="284"/>
      <w:jc w:val="both"/>
    </w:pPr>
    <w:rPr>
      <w:rFonts w:ascii="Times New Roman" w:eastAsia="Times New Roman" w:hAnsi="Times New Roman" w:cs="Times New Roman"/>
      <w:i/>
      <w:iCs/>
      <w:sz w:val="18"/>
      <w:szCs w:val="24"/>
    </w:rPr>
  </w:style>
  <w:style w:type="character" w:customStyle="1" w:styleId="affc">
    <w:name w:val="a"/>
    <w:rsid w:val="00662012"/>
    <w:rPr>
      <w:rFonts w:cs="Times New Roman"/>
    </w:rPr>
  </w:style>
  <w:style w:type="character" w:customStyle="1" w:styleId="article-author">
    <w:name w:val="article-author"/>
    <w:uiPriority w:val="99"/>
    <w:rsid w:val="00662012"/>
    <w:rPr>
      <w:rFonts w:cs="Times New Roman"/>
    </w:rPr>
  </w:style>
  <w:style w:type="character" w:customStyle="1" w:styleId="pagetitle">
    <w:name w:val="pagetitle"/>
    <w:uiPriority w:val="99"/>
    <w:rsid w:val="00662012"/>
    <w:rPr>
      <w:rFonts w:cs="Times New Roman"/>
    </w:rPr>
  </w:style>
  <w:style w:type="character" w:customStyle="1" w:styleId="affd">
    <w:name w:val="Текст примечания Знак"/>
    <w:link w:val="affe"/>
    <w:uiPriority w:val="99"/>
    <w:semiHidden/>
    <w:rsid w:val="00662012"/>
    <w:rPr>
      <w:rFonts w:ascii="Times New Roman" w:eastAsia="Calibri" w:hAnsi="Times New Roman" w:cs="Times New Roman"/>
      <w:sz w:val="20"/>
      <w:szCs w:val="20"/>
    </w:rPr>
  </w:style>
  <w:style w:type="paragraph" w:styleId="affe">
    <w:name w:val="annotation text"/>
    <w:basedOn w:val="a0"/>
    <w:link w:val="affd"/>
    <w:uiPriority w:val="99"/>
    <w:semiHidden/>
    <w:rsid w:val="00662012"/>
    <w:pPr>
      <w:spacing w:after="0" w:line="240" w:lineRule="auto"/>
    </w:pPr>
    <w:rPr>
      <w:rFonts w:ascii="Times New Roman" w:eastAsia="Calibri" w:hAnsi="Times New Roman" w:cs="Times New Roman"/>
      <w:sz w:val="20"/>
      <w:szCs w:val="20"/>
      <w:lang w:val="ru-UA" w:eastAsia="en-US"/>
    </w:rPr>
  </w:style>
  <w:style w:type="character" w:customStyle="1" w:styleId="19">
    <w:name w:val="Текст примечания Знак1"/>
    <w:basedOn w:val="a1"/>
    <w:uiPriority w:val="99"/>
    <w:semiHidden/>
    <w:rsid w:val="00662012"/>
    <w:rPr>
      <w:rFonts w:eastAsiaTheme="minorEastAsia"/>
      <w:sz w:val="20"/>
      <w:szCs w:val="20"/>
      <w:lang w:val="ru-RU" w:eastAsia="ru-RU"/>
    </w:rPr>
  </w:style>
  <w:style w:type="character" w:customStyle="1" w:styleId="afff">
    <w:name w:val="Тема примечания Знак"/>
    <w:link w:val="afff0"/>
    <w:uiPriority w:val="99"/>
    <w:semiHidden/>
    <w:rsid w:val="00662012"/>
    <w:rPr>
      <w:rFonts w:ascii="Times New Roman" w:eastAsia="Calibri" w:hAnsi="Times New Roman" w:cs="Times New Roman"/>
      <w:b/>
      <w:bCs/>
      <w:sz w:val="20"/>
      <w:szCs w:val="20"/>
    </w:rPr>
  </w:style>
  <w:style w:type="paragraph" w:styleId="afff0">
    <w:name w:val="annotation subject"/>
    <w:basedOn w:val="affe"/>
    <w:next w:val="affe"/>
    <w:link w:val="afff"/>
    <w:uiPriority w:val="99"/>
    <w:semiHidden/>
    <w:rsid w:val="00662012"/>
    <w:rPr>
      <w:b/>
      <w:bCs/>
    </w:rPr>
  </w:style>
  <w:style w:type="character" w:customStyle="1" w:styleId="1a">
    <w:name w:val="Тема примечания Знак1"/>
    <w:basedOn w:val="19"/>
    <w:uiPriority w:val="99"/>
    <w:semiHidden/>
    <w:rsid w:val="00662012"/>
    <w:rPr>
      <w:rFonts w:eastAsiaTheme="minorEastAsia"/>
      <w:b/>
      <w:bCs/>
      <w:sz w:val="20"/>
      <w:szCs w:val="20"/>
      <w:lang w:val="ru-RU" w:eastAsia="ru-RU"/>
    </w:rPr>
  </w:style>
  <w:style w:type="paragraph" w:styleId="afff1">
    <w:name w:val="caption"/>
    <w:basedOn w:val="a0"/>
    <w:next w:val="a0"/>
    <w:qFormat/>
    <w:rsid w:val="00662012"/>
    <w:pPr>
      <w:spacing w:before="120" w:after="120" w:line="240" w:lineRule="auto"/>
    </w:pPr>
    <w:rPr>
      <w:rFonts w:ascii="Times New Roman" w:eastAsia="Times New Roman" w:hAnsi="Times New Roman" w:cs="Times New Roman"/>
      <w:b/>
      <w:bCs/>
      <w:sz w:val="20"/>
      <w:szCs w:val="20"/>
    </w:rPr>
  </w:style>
  <w:style w:type="paragraph" w:customStyle="1" w:styleId="CharChar">
    <w:name w:val="Char Знак Char Знак"/>
    <w:basedOn w:val="a0"/>
    <w:uiPriority w:val="99"/>
    <w:rsid w:val="00662012"/>
    <w:pPr>
      <w:spacing w:after="0" w:line="240" w:lineRule="auto"/>
    </w:pPr>
    <w:rPr>
      <w:rFonts w:ascii="Verdana" w:eastAsia="Times New Roman" w:hAnsi="Verdana" w:cs="Verdana"/>
      <w:sz w:val="20"/>
      <w:szCs w:val="20"/>
      <w:lang w:val="en-US" w:eastAsia="en-US"/>
    </w:rPr>
  </w:style>
  <w:style w:type="paragraph" w:customStyle="1" w:styleId="Style3">
    <w:name w:val="Style3"/>
    <w:basedOn w:val="a0"/>
    <w:uiPriority w:val="99"/>
    <w:rsid w:val="00662012"/>
    <w:pPr>
      <w:widowControl w:val="0"/>
      <w:autoSpaceDE w:val="0"/>
      <w:autoSpaceDN w:val="0"/>
      <w:adjustRightInd w:val="0"/>
      <w:spacing w:after="0" w:line="263" w:lineRule="exact"/>
      <w:ind w:firstLine="240"/>
      <w:jc w:val="both"/>
    </w:pPr>
    <w:rPr>
      <w:rFonts w:ascii="Times New Roman" w:eastAsia="Times New Roman" w:hAnsi="Times New Roman" w:cs="Times New Roman"/>
      <w:sz w:val="24"/>
      <w:szCs w:val="24"/>
    </w:rPr>
  </w:style>
  <w:style w:type="character" w:customStyle="1" w:styleId="FontStyle45">
    <w:name w:val="Font Style45"/>
    <w:uiPriority w:val="99"/>
    <w:rsid w:val="00662012"/>
    <w:rPr>
      <w:rFonts w:ascii="Times New Roman" w:hAnsi="Times New Roman" w:cs="Times New Roman"/>
      <w:i/>
      <w:iCs/>
      <w:sz w:val="20"/>
      <w:szCs w:val="20"/>
    </w:rPr>
  </w:style>
  <w:style w:type="character" w:customStyle="1" w:styleId="FontStyle48">
    <w:name w:val="Font Style48"/>
    <w:uiPriority w:val="99"/>
    <w:rsid w:val="00662012"/>
    <w:rPr>
      <w:rFonts w:ascii="Times New Roman" w:hAnsi="Times New Roman" w:cs="Times New Roman"/>
      <w:sz w:val="20"/>
      <w:szCs w:val="20"/>
    </w:rPr>
  </w:style>
  <w:style w:type="character" w:customStyle="1" w:styleId="FontStyle46">
    <w:name w:val="Font Style46"/>
    <w:uiPriority w:val="99"/>
    <w:rsid w:val="00662012"/>
    <w:rPr>
      <w:rFonts w:ascii="Georgia" w:hAnsi="Georgia" w:cs="Georgia"/>
      <w:sz w:val="20"/>
      <w:szCs w:val="20"/>
    </w:rPr>
  </w:style>
  <w:style w:type="character" w:customStyle="1" w:styleId="FontStyle49">
    <w:name w:val="Font Style49"/>
    <w:uiPriority w:val="99"/>
    <w:rsid w:val="00662012"/>
    <w:rPr>
      <w:rFonts w:ascii="Times New Roman" w:hAnsi="Times New Roman" w:cs="Times New Roman"/>
      <w:i/>
      <w:iCs/>
      <w:sz w:val="20"/>
      <w:szCs w:val="20"/>
    </w:rPr>
  </w:style>
  <w:style w:type="paragraph" w:customStyle="1" w:styleId="Style5">
    <w:name w:val="Style5"/>
    <w:basedOn w:val="a0"/>
    <w:uiPriority w:val="99"/>
    <w:rsid w:val="00662012"/>
    <w:pPr>
      <w:widowControl w:val="0"/>
      <w:autoSpaceDE w:val="0"/>
      <w:autoSpaceDN w:val="0"/>
      <w:adjustRightInd w:val="0"/>
      <w:spacing w:after="0" w:line="250" w:lineRule="exact"/>
    </w:pPr>
    <w:rPr>
      <w:rFonts w:ascii="Times New Roman" w:eastAsia="Times New Roman" w:hAnsi="Times New Roman" w:cs="Times New Roman"/>
      <w:sz w:val="24"/>
      <w:szCs w:val="24"/>
    </w:rPr>
  </w:style>
  <w:style w:type="character" w:customStyle="1" w:styleId="FontStyle47">
    <w:name w:val="Font Style47"/>
    <w:uiPriority w:val="99"/>
    <w:rsid w:val="00662012"/>
    <w:rPr>
      <w:rFonts w:ascii="Times New Roman" w:hAnsi="Times New Roman" w:cs="Times New Roman"/>
      <w:b/>
      <w:bCs/>
      <w:sz w:val="20"/>
      <w:szCs w:val="20"/>
    </w:rPr>
  </w:style>
  <w:style w:type="paragraph" w:customStyle="1" w:styleId="Style15">
    <w:name w:val="Style15"/>
    <w:basedOn w:val="a0"/>
    <w:uiPriority w:val="99"/>
    <w:rsid w:val="00662012"/>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50">
    <w:name w:val="Font Style50"/>
    <w:uiPriority w:val="99"/>
    <w:rsid w:val="00662012"/>
    <w:rPr>
      <w:rFonts w:ascii="Times New Roman" w:hAnsi="Times New Roman" w:cs="Times New Roman"/>
      <w:i/>
      <w:iCs/>
      <w:sz w:val="20"/>
      <w:szCs w:val="20"/>
    </w:rPr>
  </w:style>
  <w:style w:type="paragraph" w:customStyle="1" w:styleId="Style1">
    <w:name w:val="Style1"/>
    <w:basedOn w:val="a0"/>
    <w:uiPriority w:val="99"/>
    <w:rsid w:val="00662012"/>
    <w:pPr>
      <w:widowControl w:val="0"/>
      <w:autoSpaceDE w:val="0"/>
      <w:autoSpaceDN w:val="0"/>
      <w:adjustRightInd w:val="0"/>
      <w:spacing w:after="0" w:line="240" w:lineRule="auto"/>
      <w:jc w:val="both"/>
    </w:pPr>
    <w:rPr>
      <w:rFonts w:ascii="Times New Roman" w:eastAsia="Times New Roman" w:hAnsi="Times New Roman" w:cs="Times New Roman"/>
      <w:sz w:val="24"/>
      <w:szCs w:val="24"/>
    </w:rPr>
  </w:style>
  <w:style w:type="paragraph" w:customStyle="1" w:styleId="rvps6">
    <w:name w:val="rvps6"/>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8">
    <w:name w:val="rvts8"/>
    <w:uiPriority w:val="99"/>
    <w:rsid w:val="00662012"/>
    <w:rPr>
      <w:rFonts w:cs="Times New Roman"/>
    </w:rPr>
  </w:style>
  <w:style w:type="paragraph" w:customStyle="1" w:styleId="rvps4">
    <w:name w:val="rvps4"/>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6">
    <w:name w:val="rvts6"/>
    <w:uiPriority w:val="99"/>
    <w:rsid w:val="00662012"/>
    <w:rPr>
      <w:rFonts w:cs="Times New Roman"/>
    </w:rPr>
  </w:style>
  <w:style w:type="character" w:customStyle="1" w:styleId="rvts9">
    <w:name w:val="rvts9"/>
    <w:uiPriority w:val="99"/>
    <w:rsid w:val="00662012"/>
    <w:rPr>
      <w:rFonts w:cs="Times New Roman"/>
    </w:rPr>
  </w:style>
  <w:style w:type="paragraph" w:customStyle="1" w:styleId="rvps9">
    <w:name w:val="rvps9"/>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7">
    <w:name w:val="rvts7"/>
    <w:uiPriority w:val="99"/>
    <w:rsid w:val="00662012"/>
    <w:rPr>
      <w:rFonts w:cs="Times New Roman"/>
    </w:rPr>
  </w:style>
  <w:style w:type="character" w:customStyle="1" w:styleId="rvts11">
    <w:name w:val="rvts11"/>
    <w:uiPriority w:val="99"/>
    <w:rsid w:val="00662012"/>
    <w:rPr>
      <w:rFonts w:cs="Times New Roman"/>
    </w:rPr>
  </w:style>
  <w:style w:type="character" w:customStyle="1" w:styleId="pathway1">
    <w:name w:val="pathway1"/>
    <w:uiPriority w:val="99"/>
    <w:rsid w:val="00662012"/>
    <w:rPr>
      <w:rFonts w:cs="Times New Roman"/>
      <w:b/>
      <w:bCs/>
      <w:color w:val="000000"/>
    </w:rPr>
  </w:style>
  <w:style w:type="paragraph" w:customStyle="1" w:styleId="StyleZakonu">
    <w:name w:val="StyleZakonu"/>
    <w:basedOn w:val="a0"/>
    <w:uiPriority w:val="99"/>
    <w:rsid w:val="00662012"/>
    <w:pPr>
      <w:spacing w:after="60" w:line="220" w:lineRule="exact"/>
      <w:ind w:firstLine="284"/>
      <w:jc w:val="both"/>
    </w:pPr>
    <w:rPr>
      <w:rFonts w:ascii="Times New Roman" w:eastAsia="Times New Roman" w:hAnsi="Times New Roman" w:cs="Times New Roman"/>
      <w:sz w:val="20"/>
      <w:szCs w:val="20"/>
      <w:lang w:val="uk-UA"/>
    </w:rPr>
  </w:style>
  <w:style w:type="paragraph" w:customStyle="1" w:styleId="acp">
    <w:name w:val="acp"/>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ctd">
    <w:name w:val="actd"/>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t21">
    <w:name w:val="ft21"/>
    <w:uiPriority w:val="99"/>
    <w:rsid w:val="00662012"/>
    <w:rPr>
      <w:rFonts w:ascii="Times" w:hAnsi="Times" w:cs="Times"/>
      <w:color w:val="000000"/>
      <w:sz w:val="47"/>
      <w:szCs w:val="47"/>
    </w:rPr>
  </w:style>
  <w:style w:type="character" w:customStyle="1" w:styleId="ft4">
    <w:name w:val="ft4"/>
    <w:uiPriority w:val="99"/>
    <w:rsid w:val="00662012"/>
    <w:rPr>
      <w:rFonts w:cs="Times New Roman"/>
    </w:rPr>
  </w:style>
  <w:style w:type="paragraph" w:customStyle="1" w:styleId="2c">
    <w:name w:val=".....2"/>
    <w:basedOn w:val="Default"/>
    <w:next w:val="Default"/>
    <w:uiPriority w:val="99"/>
    <w:rsid w:val="00662012"/>
    <w:rPr>
      <w:rFonts w:eastAsia="Times New Roman"/>
      <w:color w:val="auto"/>
    </w:rPr>
  </w:style>
  <w:style w:type="paragraph" w:customStyle="1" w:styleId="36">
    <w:name w:val=".....3"/>
    <w:basedOn w:val="Default"/>
    <w:next w:val="Default"/>
    <w:uiPriority w:val="99"/>
    <w:rsid w:val="00662012"/>
    <w:rPr>
      <w:rFonts w:eastAsia="Times New Roman"/>
      <w:color w:val="auto"/>
    </w:rPr>
  </w:style>
  <w:style w:type="character" w:customStyle="1" w:styleId="longtext">
    <w:name w:val="long_text"/>
    <w:uiPriority w:val="99"/>
    <w:rsid w:val="00662012"/>
    <w:rPr>
      <w:rFonts w:cs="Times New Roman"/>
    </w:rPr>
  </w:style>
  <w:style w:type="paragraph" w:customStyle="1" w:styleId="articleheader">
    <w:name w:val="articleheader"/>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rticleauthorname">
    <w:name w:val="articleauthorname"/>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rticleauthorabout">
    <w:name w:val="articleauthorabout"/>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styleId="afff2">
    <w:name w:val="List Bullet"/>
    <w:basedOn w:val="2d"/>
    <w:autoRedefine/>
    <w:uiPriority w:val="99"/>
    <w:rsid w:val="00662012"/>
    <w:pPr>
      <w:tabs>
        <w:tab w:val="clear" w:pos="643"/>
        <w:tab w:val="num" w:pos="0"/>
      </w:tabs>
      <w:spacing w:line="360" w:lineRule="auto"/>
      <w:ind w:left="0" w:firstLine="1080"/>
      <w:contextualSpacing w:val="0"/>
      <w:jc w:val="both"/>
    </w:pPr>
    <w:rPr>
      <w:spacing w:val="-8"/>
      <w:sz w:val="28"/>
      <w:szCs w:val="28"/>
      <w:lang w:val="uk-UA"/>
    </w:rPr>
  </w:style>
  <w:style w:type="paragraph" w:styleId="2d">
    <w:name w:val="List Bullet 2"/>
    <w:basedOn w:val="a0"/>
    <w:uiPriority w:val="99"/>
    <w:rsid w:val="00662012"/>
    <w:pPr>
      <w:tabs>
        <w:tab w:val="num" w:pos="643"/>
      </w:tabs>
      <w:spacing w:after="0" w:line="240" w:lineRule="auto"/>
      <w:ind w:left="643" w:hanging="360"/>
      <w:contextualSpacing/>
    </w:pPr>
    <w:rPr>
      <w:rFonts w:ascii="Times New Roman" w:eastAsia="Times New Roman" w:hAnsi="Times New Roman" w:cs="Times New Roman"/>
      <w:sz w:val="24"/>
      <w:szCs w:val="24"/>
    </w:rPr>
  </w:style>
  <w:style w:type="paragraph" w:customStyle="1" w:styleId="1b">
    <w:name w:val="Знак Знак Знак Знак Знак Знак1"/>
    <w:basedOn w:val="a0"/>
    <w:uiPriority w:val="99"/>
    <w:rsid w:val="00662012"/>
    <w:pPr>
      <w:spacing w:after="0" w:line="240" w:lineRule="auto"/>
    </w:pPr>
    <w:rPr>
      <w:rFonts w:ascii="Verdana" w:eastAsia="Times New Roman" w:hAnsi="Verdana" w:cs="Verdana"/>
      <w:sz w:val="20"/>
      <w:szCs w:val="20"/>
      <w:lang w:val="en-US" w:eastAsia="en-US"/>
    </w:rPr>
  </w:style>
  <w:style w:type="paragraph" w:styleId="afff3">
    <w:name w:val="List Number"/>
    <w:basedOn w:val="a0"/>
    <w:uiPriority w:val="99"/>
    <w:rsid w:val="00662012"/>
    <w:pPr>
      <w:tabs>
        <w:tab w:val="num" w:pos="397"/>
      </w:tabs>
      <w:spacing w:after="0" w:line="240" w:lineRule="auto"/>
      <w:ind w:left="397" w:hanging="109"/>
      <w:jc w:val="both"/>
    </w:pPr>
    <w:rPr>
      <w:rFonts w:ascii="Times New Roman" w:eastAsia="Calibri" w:hAnsi="Times New Roman" w:cs="Times New Roman"/>
      <w:sz w:val="28"/>
      <w:szCs w:val="24"/>
      <w:lang w:val="uk-UA"/>
    </w:rPr>
  </w:style>
  <w:style w:type="paragraph" w:customStyle="1" w:styleId="1c">
    <w:name w:val="Нумерованный_1)"/>
    <w:basedOn w:val="a0"/>
    <w:uiPriority w:val="99"/>
    <w:rsid w:val="00662012"/>
    <w:pPr>
      <w:tabs>
        <w:tab w:val="num" w:pos="360"/>
      </w:tabs>
      <w:spacing w:after="0" w:line="240" w:lineRule="auto"/>
      <w:ind w:left="360" w:hanging="360"/>
      <w:jc w:val="both"/>
    </w:pPr>
    <w:rPr>
      <w:rFonts w:ascii="Times New Roman" w:eastAsia="Calibri" w:hAnsi="Times New Roman" w:cs="Times New Roman"/>
      <w:bCs/>
      <w:sz w:val="28"/>
      <w:szCs w:val="24"/>
      <w:lang w:val="uk-UA"/>
    </w:rPr>
  </w:style>
  <w:style w:type="paragraph" w:customStyle="1" w:styleId="2e">
    <w:name w:val="Схема 2"/>
    <w:basedOn w:val="a0"/>
    <w:uiPriority w:val="99"/>
    <w:rsid w:val="00662012"/>
    <w:pPr>
      <w:spacing w:after="0" w:line="240" w:lineRule="auto"/>
      <w:jc w:val="center"/>
    </w:pPr>
    <w:rPr>
      <w:rFonts w:ascii="Arial Narrow" w:eastAsia="Calibri" w:hAnsi="Arial Narrow" w:cs="Times New Roman"/>
      <w:sz w:val="24"/>
      <w:szCs w:val="20"/>
      <w:lang w:val="uk-UA"/>
    </w:rPr>
  </w:style>
  <w:style w:type="paragraph" w:customStyle="1" w:styleId="afff4">
    <w:name w:val="Таблица"/>
    <w:basedOn w:val="a0"/>
    <w:rsid w:val="00662012"/>
    <w:pPr>
      <w:spacing w:before="60" w:after="60" w:line="228" w:lineRule="auto"/>
      <w:ind w:left="57" w:right="57"/>
    </w:pPr>
    <w:rPr>
      <w:rFonts w:ascii="Arial Narrow" w:eastAsia="Calibri" w:hAnsi="Arial Narrow" w:cs="Times New Roman"/>
      <w:bCs/>
      <w:color w:val="000000"/>
      <w:sz w:val="24"/>
      <w:szCs w:val="20"/>
      <w:lang w:val="uk-UA"/>
    </w:rPr>
  </w:style>
  <w:style w:type="paragraph" w:customStyle="1" w:styleId="afff5">
    <w:name w:val="Таблица_текст"/>
    <w:uiPriority w:val="99"/>
    <w:rsid w:val="00662012"/>
    <w:pPr>
      <w:keepLines/>
      <w:spacing w:before="40" w:after="40" w:line="240" w:lineRule="auto"/>
      <w:jc w:val="center"/>
    </w:pPr>
    <w:rPr>
      <w:rFonts w:ascii="Arial Narrow" w:eastAsia="Calibri" w:hAnsi="Arial Narrow" w:cs="Times New Roman"/>
      <w:bCs/>
      <w:sz w:val="24"/>
      <w:szCs w:val="20"/>
      <w:lang w:val="uk-UA" w:eastAsia="ru-RU"/>
    </w:rPr>
  </w:style>
  <w:style w:type="paragraph" w:customStyle="1" w:styleId="afff6">
    <w:name w:val="Формула"/>
    <w:basedOn w:val="a0"/>
    <w:rsid w:val="00662012"/>
    <w:pPr>
      <w:tabs>
        <w:tab w:val="left" w:pos="5954"/>
      </w:tabs>
      <w:spacing w:before="80" w:after="80" w:line="240" w:lineRule="auto"/>
      <w:ind w:right="851"/>
      <w:jc w:val="right"/>
    </w:pPr>
    <w:rPr>
      <w:rFonts w:ascii="Times New Roman" w:eastAsia="Calibri" w:hAnsi="Times New Roman" w:cs="Times New Roman"/>
      <w:sz w:val="28"/>
      <w:szCs w:val="20"/>
      <w:lang w:val="uk-UA"/>
    </w:rPr>
  </w:style>
  <w:style w:type="character" w:customStyle="1" w:styleId="1d">
    <w:name w:val="Знак Знак1"/>
    <w:uiPriority w:val="99"/>
    <w:rsid w:val="00662012"/>
    <w:rPr>
      <w:sz w:val="28"/>
      <w:lang w:eastAsia="ru-RU"/>
    </w:rPr>
  </w:style>
  <w:style w:type="character" w:customStyle="1" w:styleId="afff7">
    <w:name w:val="Знак Знак"/>
    <w:uiPriority w:val="99"/>
    <w:rsid w:val="00662012"/>
    <w:rPr>
      <w:rFonts w:ascii="Tahoma" w:hAnsi="Tahoma"/>
      <w:sz w:val="16"/>
      <w:lang w:val="uk-UA"/>
    </w:rPr>
  </w:style>
  <w:style w:type="paragraph" w:customStyle="1" w:styleId="list1">
    <w:name w:val="list1"/>
    <w:basedOn w:val="a0"/>
    <w:rsid w:val="00662012"/>
    <w:pPr>
      <w:spacing w:before="48" w:after="48" w:line="336" w:lineRule="atLeast"/>
      <w:ind w:left="1152"/>
      <w:jc w:val="both"/>
    </w:pPr>
    <w:rPr>
      <w:rFonts w:ascii="Times New Roman" w:eastAsia="Times New Roman" w:hAnsi="Times New Roman" w:cs="Times New Roman"/>
      <w:sz w:val="24"/>
      <w:szCs w:val="24"/>
    </w:rPr>
  </w:style>
  <w:style w:type="paragraph" w:customStyle="1" w:styleId="author">
    <w:name w:val="author"/>
    <w:basedOn w:val="a0"/>
    <w:uiPriority w:val="99"/>
    <w:rsid w:val="006620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e">
    <w:name w:val="Основной текст Знак1"/>
    <w:uiPriority w:val="99"/>
    <w:rsid w:val="00662012"/>
    <w:rPr>
      <w:rFonts w:ascii="Times New Roman" w:hAnsi="Times New Roman" w:cs="Times New Roman"/>
      <w:sz w:val="23"/>
      <w:szCs w:val="23"/>
      <w:shd w:val="clear" w:color="auto" w:fill="FFFFFF"/>
    </w:rPr>
  </w:style>
  <w:style w:type="character" w:customStyle="1" w:styleId="spelle">
    <w:name w:val="spelle"/>
    <w:basedOn w:val="a1"/>
    <w:rsid w:val="00662012"/>
  </w:style>
  <w:style w:type="character" w:customStyle="1" w:styleId="variant1">
    <w:name w:val="variant1"/>
    <w:uiPriority w:val="99"/>
    <w:rsid w:val="00662012"/>
    <w:rPr>
      <w:color w:val="0000FF"/>
    </w:rPr>
  </w:style>
  <w:style w:type="paragraph" w:customStyle="1" w:styleId="1f">
    <w:name w:val="Знак1 Знак Знак Знак Знак Знак Знак Знак Знак Знак Знак Знак Знак Знак Знак Знак Знак Знак Знак"/>
    <w:basedOn w:val="a0"/>
    <w:rsid w:val="00662012"/>
    <w:pPr>
      <w:spacing w:after="0" w:line="240" w:lineRule="auto"/>
    </w:pPr>
    <w:rPr>
      <w:rFonts w:ascii="Verdana" w:eastAsia="Times New Roman" w:hAnsi="Verdana" w:cs="Verdana"/>
      <w:sz w:val="20"/>
      <w:szCs w:val="20"/>
      <w:lang w:val="en-US" w:eastAsia="en-US"/>
    </w:rPr>
  </w:style>
  <w:style w:type="paragraph" w:styleId="afff8">
    <w:name w:val="Plain Text"/>
    <w:basedOn w:val="a0"/>
    <w:link w:val="afff9"/>
    <w:rsid w:val="00662012"/>
    <w:pPr>
      <w:spacing w:after="0" w:line="240" w:lineRule="auto"/>
    </w:pPr>
    <w:rPr>
      <w:rFonts w:ascii="Courier New" w:eastAsia="Times New Roman" w:hAnsi="Courier New" w:cs="Courier New"/>
      <w:sz w:val="20"/>
      <w:szCs w:val="20"/>
    </w:rPr>
  </w:style>
  <w:style w:type="character" w:customStyle="1" w:styleId="afff9">
    <w:name w:val="Текст Знак"/>
    <w:basedOn w:val="a1"/>
    <w:link w:val="afff8"/>
    <w:rsid w:val="00662012"/>
    <w:rPr>
      <w:rFonts w:ascii="Courier New" w:eastAsia="Times New Roman" w:hAnsi="Courier New" w:cs="Courier New"/>
      <w:sz w:val="20"/>
      <w:szCs w:val="20"/>
      <w:lang w:val="ru-RU" w:eastAsia="ru-RU"/>
    </w:rPr>
  </w:style>
  <w:style w:type="paragraph" w:customStyle="1" w:styleId="WW-3">
    <w:name w:val="WW-Основной текст с отступом 3"/>
    <w:basedOn w:val="a0"/>
    <w:rsid w:val="00662012"/>
    <w:pPr>
      <w:widowControl w:val="0"/>
      <w:tabs>
        <w:tab w:val="left" w:pos="1080"/>
      </w:tabs>
      <w:spacing w:after="0" w:line="360" w:lineRule="auto"/>
      <w:ind w:firstLine="1077"/>
      <w:jc w:val="both"/>
    </w:pPr>
    <w:rPr>
      <w:rFonts w:ascii="Times New Roman" w:eastAsia="Times New Roman" w:hAnsi="Times New Roman" w:cs="Times New Roman"/>
      <w:spacing w:val="-8"/>
      <w:sz w:val="28"/>
      <w:szCs w:val="20"/>
      <w:lang w:val="uk-UA" w:eastAsia="ar-SA"/>
    </w:rPr>
  </w:style>
  <w:style w:type="paragraph" w:customStyle="1" w:styleId="FR5">
    <w:name w:val="FR5"/>
    <w:rsid w:val="00662012"/>
    <w:pPr>
      <w:widowControl w:val="0"/>
      <w:autoSpaceDE w:val="0"/>
      <w:autoSpaceDN w:val="0"/>
      <w:adjustRightInd w:val="0"/>
      <w:spacing w:after="0" w:line="240" w:lineRule="auto"/>
      <w:jc w:val="both"/>
    </w:pPr>
    <w:rPr>
      <w:rFonts w:ascii="Arial" w:eastAsia="Times New Roman" w:hAnsi="Arial" w:cs="Times New Roman"/>
      <w:b/>
      <w:noProof/>
      <w:sz w:val="12"/>
      <w:szCs w:val="20"/>
      <w:lang w:val="ru-RU" w:eastAsia="ru-RU"/>
    </w:rPr>
  </w:style>
  <w:style w:type="paragraph" w:styleId="afffa">
    <w:name w:val="Block Text"/>
    <w:basedOn w:val="a0"/>
    <w:uiPriority w:val="99"/>
    <w:rsid w:val="00662012"/>
    <w:pPr>
      <w:widowControl w:val="0"/>
      <w:autoSpaceDE w:val="0"/>
      <w:autoSpaceDN w:val="0"/>
      <w:adjustRightInd w:val="0"/>
      <w:spacing w:after="0" w:line="420" w:lineRule="auto"/>
      <w:ind w:left="80" w:right="-8" w:firstLine="400"/>
      <w:jc w:val="both"/>
    </w:pPr>
    <w:rPr>
      <w:rFonts w:ascii="Times New Roman" w:eastAsia="Times New Roman" w:hAnsi="Times New Roman" w:cs="Times New Roman"/>
      <w:sz w:val="28"/>
      <w:szCs w:val="20"/>
      <w:lang w:val="uk-UA"/>
    </w:rPr>
  </w:style>
  <w:style w:type="paragraph" w:customStyle="1" w:styleId="14pt127">
    <w:name w:val="Стиль Основной текст + 14 pt по ширине Первая строка:  127 см М..."/>
    <w:basedOn w:val="af8"/>
    <w:rsid w:val="00662012"/>
    <w:pPr>
      <w:spacing w:after="0" w:line="360" w:lineRule="auto"/>
      <w:ind w:firstLine="720"/>
      <w:jc w:val="both"/>
    </w:pPr>
    <w:rPr>
      <w:lang w:val="ru-RU" w:eastAsia="uk-UA"/>
    </w:rPr>
  </w:style>
  <w:style w:type="paragraph" w:customStyle="1" w:styleId="1f0">
    <w:name w:val="Обычный 1"/>
    <w:basedOn w:val="a0"/>
    <w:rsid w:val="00662012"/>
    <w:pPr>
      <w:spacing w:after="0" w:line="240" w:lineRule="auto"/>
    </w:pPr>
    <w:rPr>
      <w:rFonts w:ascii="Times New Roman" w:eastAsia="Times New Roman" w:hAnsi="Times New Roman" w:cs="Times New Roman"/>
      <w:sz w:val="24"/>
      <w:szCs w:val="24"/>
      <w:lang w:val="uk-UA"/>
    </w:rPr>
  </w:style>
  <w:style w:type="paragraph" w:customStyle="1" w:styleId="rvps11">
    <w:name w:val="rvps11"/>
    <w:basedOn w:val="a0"/>
    <w:rsid w:val="00662012"/>
    <w:pPr>
      <w:spacing w:after="0" w:line="240" w:lineRule="auto"/>
      <w:ind w:firstLine="640"/>
      <w:jc w:val="both"/>
    </w:pPr>
    <w:rPr>
      <w:rFonts w:ascii="Times New Roman" w:eastAsia="Times New Roman" w:hAnsi="Times New Roman" w:cs="Times New Roman"/>
      <w:sz w:val="24"/>
      <w:szCs w:val="24"/>
    </w:rPr>
  </w:style>
  <w:style w:type="paragraph" w:customStyle="1" w:styleId="rvps13">
    <w:name w:val="rvps13"/>
    <w:basedOn w:val="a0"/>
    <w:rsid w:val="00662012"/>
    <w:pPr>
      <w:spacing w:after="0" w:line="240" w:lineRule="auto"/>
      <w:ind w:firstLine="640"/>
    </w:pPr>
    <w:rPr>
      <w:rFonts w:ascii="Times New Roman" w:eastAsia="Times New Roman" w:hAnsi="Times New Roman" w:cs="Times New Roman"/>
      <w:sz w:val="24"/>
      <w:szCs w:val="24"/>
    </w:rPr>
  </w:style>
  <w:style w:type="paragraph" w:customStyle="1" w:styleId="rvps27">
    <w:name w:val="rvps27"/>
    <w:basedOn w:val="a0"/>
    <w:rsid w:val="00662012"/>
    <w:pPr>
      <w:spacing w:after="0" w:line="240" w:lineRule="auto"/>
      <w:jc w:val="both"/>
    </w:pPr>
    <w:rPr>
      <w:rFonts w:ascii="Times New Roman" w:eastAsia="Times New Roman" w:hAnsi="Times New Roman" w:cs="Times New Roman"/>
      <w:sz w:val="24"/>
      <w:szCs w:val="24"/>
    </w:rPr>
  </w:style>
  <w:style w:type="character" w:customStyle="1" w:styleId="rvts10">
    <w:name w:val="rvts10"/>
    <w:rsid w:val="00662012"/>
    <w:rPr>
      <w:rFonts w:ascii="Times New Roman" w:hAnsi="Times New Roman" w:cs="Times New Roman" w:hint="default"/>
      <w:sz w:val="24"/>
      <w:szCs w:val="24"/>
    </w:rPr>
  </w:style>
  <w:style w:type="character" w:customStyle="1" w:styleId="rvts15">
    <w:name w:val="rvts15"/>
    <w:rsid w:val="00662012"/>
    <w:rPr>
      <w:rFonts w:ascii="Times New Roman" w:hAnsi="Times New Roman" w:cs="Times New Roman" w:hint="default"/>
      <w:sz w:val="24"/>
      <w:szCs w:val="24"/>
    </w:rPr>
  </w:style>
  <w:style w:type="character" w:customStyle="1" w:styleId="rvts17">
    <w:name w:val="rvts17"/>
    <w:rsid w:val="00662012"/>
    <w:rPr>
      <w:rFonts w:ascii="Times New Roman" w:hAnsi="Times New Roman" w:cs="Times New Roman" w:hint="default"/>
      <w:sz w:val="24"/>
      <w:szCs w:val="24"/>
    </w:rPr>
  </w:style>
  <w:style w:type="character" w:customStyle="1" w:styleId="rvts22">
    <w:name w:val="rvts22"/>
    <w:rsid w:val="00662012"/>
    <w:rPr>
      <w:rFonts w:ascii="Times New Roman" w:hAnsi="Times New Roman" w:cs="Times New Roman" w:hint="default"/>
      <w:sz w:val="24"/>
      <w:szCs w:val="24"/>
      <w:u w:val="single"/>
    </w:rPr>
  </w:style>
  <w:style w:type="character" w:customStyle="1" w:styleId="rvts24">
    <w:name w:val="rvts24"/>
    <w:rsid w:val="00662012"/>
    <w:rPr>
      <w:rFonts w:ascii="Times New Roman" w:hAnsi="Times New Roman" w:cs="Times New Roman" w:hint="default"/>
      <w:sz w:val="12"/>
      <w:szCs w:val="12"/>
      <w:vertAlign w:val="superscript"/>
    </w:rPr>
  </w:style>
  <w:style w:type="character" w:customStyle="1" w:styleId="rvts27">
    <w:name w:val="rvts27"/>
    <w:rsid w:val="00662012"/>
    <w:rPr>
      <w:rFonts w:ascii="Times New Roman" w:hAnsi="Times New Roman" w:cs="Times New Roman" w:hint="default"/>
      <w:sz w:val="12"/>
      <w:szCs w:val="12"/>
      <w:vertAlign w:val="subscript"/>
    </w:rPr>
  </w:style>
  <w:style w:type="character" w:customStyle="1" w:styleId="rvts32">
    <w:name w:val="rvts32"/>
    <w:rsid w:val="00662012"/>
    <w:rPr>
      <w:rFonts w:ascii="Times New Roman" w:hAnsi="Times New Roman" w:cs="Times New Roman" w:hint="default"/>
      <w:sz w:val="12"/>
      <w:szCs w:val="12"/>
      <w:vertAlign w:val="subscript"/>
    </w:rPr>
  </w:style>
  <w:style w:type="character" w:customStyle="1" w:styleId="rvts33">
    <w:name w:val="rvts33"/>
    <w:rsid w:val="00662012"/>
    <w:rPr>
      <w:rFonts w:ascii="Arial Unicode MS" w:hAnsi="Arial Unicode MS" w:hint="default"/>
      <w:sz w:val="12"/>
      <w:szCs w:val="12"/>
      <w:vertAlign w:val="subscript"/>
    </w:rPr>
  </w:style>
  <w:style w:type="character" w:customStyle="1" w:styleId="2f">
    <w:name w:val="Гиперссылка2"/>
    <w:rsid w:val="00662012"/>
    <w:rPr>
      <w:rFonts w:ascii="Arial" w:hAnsi="Arial" w:cs="Arial" w:hint="default"/>
      <w:strike w:val="0"/>
      <w:dstrike w:val="0"/>
      <w:color w:val="000099"/>
      <w:sz w:val="17"/>
      <w:szCs w:val="17"/>
      <w:u w:val="none"/>
      <w:effect w:val="none"/>
    </w:rPr>
  </w:style>
  <w:style w:type="character" w:customStyle="1" w:styleId="61">
    <w:name w:val="Гиперссылка6"/>
    <w:rsid w:val="00662012"/>
    <w:rPr>
      <w:rFonts w:ascii="Times New Roman" w:hAnsi="Times New Roman" w:cs="Times New Roman" w:hint="default"/>
      <w:strike w:val="0"/>
      <w:dstrike w:val="0"/>
      <w:color w:val="000000"/>
      <w:sz w:val="20"/>
      <w:szCs w:val="20"/>
      <w:u w:val="none"/>
      <w:effect w:val="none"/>
    </w:rPr>
  </w:style>
  <w:style w:type="paragraph" w:customStyle="1" w:styleId="rvps1">
    <w:name w:val="rvps1"/>
    <w:basedOn w:val="a0"/>
    <w:rsid w:val="00662012"/>
    <w:pPr>
      <w:spacing w:after="0" w:line="240" w:lineRule="auto"/>
      <w:jc w:val="center"/>
    </w:pPr>
    <w:rPr>
      <w:rFonts w:ascii="Times New Roman" w:eastAsia="Times New Roman" w:hAnsi="Times New Roman" w:cs="Times New Roman"/>
      <w:sz w:val="24"/>
      <w:szCs w:val="24"/>
    </w:rPr>
  </w:style>
  <w:style w:type="paragraph" w:customStyle="1" w:styleId="rvps2">
    <w:name w:val="rvps2"/>
    <w:basedOn w:val="a0"/>
    <w:rsid w:val="00662012"/>
    <w:pPr>
      <w:keepNext/>
      <w:spacing w:after="0" w:line="240" w:lineRule="auto"/>
      <w:jc w:val="center"/>
    </w:pPr>
    <w:rPr>
      <w:rFonts w:ascii="Times New Roman" w:eastAsia="Times New Roman" w:hAnsi="Times New Roman" w:cs="Times New Roman"/>
      <w:sz w:val="24"/>
      <w:szCs w:val="24"/>
    </w:rPr>
  </w:style>
  <w:style w:type="paragraph" w:customStyle="1" w:styleId="rvps17">
    <w:name w:val="rvps17"/>
    <w:basedOn w:val="a0"/>
    <w:rsid w:val="00662012"/>
    <w:pPr>
      <w:spacing w:after="0" w:line="240" w:lineRule="auto"/>
      <w:ind w:firstLine="640"/>
      <w:jc w:val="center"/>
    </w:pPr>
    <w:rPr>
      <w:rFonts w:ascii="Times New Roman" w:eastAsia="Times New Roman" w:hAnsi="Times New Roman" w:cs="Times New Roman"/>
      <w:sz w:val="24"/>
      <w:szCs w:val="24"/>
    </w:rPr>
  </w:style>
  <w:style w:type="paragraph" w:customStyle="1" w:styleId="rvps18">
    <w:name w:val="rvps18"/>
    <w:basedOn w:val="a0"/>
    <w:rsid w:val="00662012"/>
    <w:pPr>
      <w:spacing w:after="0" w:line="240" w:lineRule="auto"/>
      <w:ind w:left="640"/>
      <w:jc w:val="center"/>
    </w:pPr>
    <w:rPr>
      <w:rFonts w:ascii="Times New Roman" w:eastAsia="Times New Roman" w:hAnsi="Times New Roman" w:cs="Times New Roman"/>
      <w:sz w:val="24"/>
      <w:szCs w:val="24"/>
    </w:rPr>
  </w:style>
  <w:style w:type="paragraph" w:customStyle="1" w:styleId="rvps25">
    <w:name w:val="rvps25"/>
    <w:basedOn w:val="a0"/>
    <w:rsid w:val="00662012"/>
    <w:pPr>
      <w:keepNext/>
      <w:spacing w:after="0" w:line="240" w:lineRule="auto"/>
      <w:jc w:val="both"/>
    </w:pPr>
    <w:rPr>
      <w:rFonts w:ascii="Times New Roman" w:eastAsia="Times New Roman" w:hAnsi="Times New Roman" w:cs="Times New Roman"/>
      <w:sz w:val="24"/>
      <w:szCs w:val="24"/>
    </w:rPr>
  </w:style>
  <w:style w:type="paragraph" w:customStyle="1" w:styleId="rvps32">
    <w:name w:val="rvps32"/>
    <w:basedOn w:val="a0"/>
    <w:rsid w:val="00662012"/>
    <w:pPr>
      <w:spacing w:after="0" w:line="240" w:lineRule="auto"/>
      <w:ind w:firstLine="640"/>
    </w:pPr>
    <w:rPr>
      <w:rFonts w:ascii="Times New Roman" w:eastAsia="Times New Roman" w:hAnsi="Times New Roman" w:cs="Times New Roman"/>
      <w:sz w:val="24"/>
      <w:szCs w:val="24"/>
    </w:rPr>
  </w:style>
  <w:style w:type="paragraph" w:customStyle="1" w:styleId="rvps33">
    <w:name w:val="rvps33"/>
    <w:basedOn w:val="a0"/>
    <w:rsid w:val="00662012"/>
    <w:pPr>
      <w:spacing w:after="0" w:line="240" w:lineRule="auto"/>
      <w:ind w:firstLine="1107"/>
      <w:jc w:val="both"/>
    </w:pPr>
    <w:rPr>
      <w:rFonts w:ascii="Times New Roman" w:eastAsia="Times New Roman" w:hAnsi="Times New Roman" w:cs="Times New Roman"/>
      <w:sz w:val="24"/>
      <w:szCs w:val="24"/>
    </w:rPr>
  </w:style>
  <w:style w:type="character" w:customStyle="1" w:styleId="rvts20">
    <w:name w:val="rvts20"/>
    <w:rsid w:val="00662012"/>
    <w:rPr>
      <w:rFonts w:ascii="Times New Roman" w:hAnsi="Times New Roman" w:cs="Times New Roman" w:hint="default"/>
      <w:i/>
      <w:iCs/>
      <w:sz w:val="24"/>
      <w:szCs w:val="24"/>
    </w:rPr>
  </w:style>
  <w:style w:type="character" w:customStyle="1" w:styleId="rvts38">
    <w:name w:val="rvts38"/>
    <w:rsid w:val="00662012"/>
    <w:rPr>
      <w:rFonts w:ascii="Times New Roman" w:hAnsi="Times New Roman" w:cs="Times New Roman" w:hint="default"/>
      <w:sz w:val="28"/>
      <w:szCs w:val="28"/>
    </w:rPr>
  </w:style>
  <w:style w:type="character" w:customStyle="1" w:styleId="rvts44">
    <w:name w:val="rvts44"/>
    <w:rsid w:val="00662012"/>
    <w:rPr>
      <w:rFonts w:ascii="Times New Roman" w:hAnsi="Times New Roman" w:cs="Times New Roman" w:hint="default"/>
      <w:caps/>
      <w:sz w:val="24"/>
      <w:szCs w:val="24"/>
    </w:rPr>
  </w:style>
  <w:style w:type="character" w:customStyle="1" w:styleId="rvts45">
    <w:name w:val="rvts45"/>
    <w:rsid w:val="00662012"/>
    <w:rPr>
      <w:rFonts w:ascii="Times New Roman" w:hAnsi="Times New Roman" w:cs="Times New Roman" w:hint="default"/>
      <w:caps/>
      <w:sz w:val="24"/>
      <w:szCs w:val="24"/>
    </w:rPr>
  </w:style>
  <w:style w:type="paragraph" w:customStyle="1" w:styleId="rvps10">
    <w:name w:val="rvps10"/>
    <w:basedOn w:val="a0"/>
    <w:rsid w:val="00662012"/>
    <w:pPr>
      <w:keepNext/>
      <w:spacing w:after="0" w:line="240" w:lineRule="auto"/>
      <w:jc w:val="center"/>
    </w:pPr>
    <w:rPr>
      <w:rFonts w:ascii="Times New Roman" w:eastAsia="Times New Roman" w:hAnsi="Times New Roman" w:cs="Times New Roman"/>
      <w:sz w:val="24"/>
      <w:szCs w:val="24"/>
    </w:rPr>
  </w:style>
  <w:style w:type="paragraph" w:customStyle="1" w:styleId="rvps34">
    <w:name w:val="rvps34"/>
    <w:basedOn w:val="a0"/>
    <w:rsid w:val="00662012"/>
    <w:pPr>
      <w:spacing w:after="0" w:line="240" w:lineRule="auto"/>
      <w:ind w:firstLine="640"/>
      <w:jc w:val="both"/>
    </w:pPr>
    <w:rPr>
      <w:rFonts w:ascii="Times New Roman" w:eastAsia="Times New Roman" w:hAnsi="Times New Roman" w:cs="Times New Roman"/>
      <w:sz w:val="24"/>
      <w:szCs w:val="24"/>
    </w:rPr>
  </w:style>
  <w:style w:type="paragraph" w:customStyle="1" w:styleId="rvps38">
    <w:name w:val="rvps38"/>
    <w:basedOn w:val="a0"/>
    <w:rsid w:val="00662012"/>
    <w:pPr>
      <w:spacing w:after="0" w:line="240" w:lineRule="auto"/>
      <w:ind w:firstLine="627"/>
    </w:pPr>
    <w:rPr>
      <w:rFonts w:ascii="Times New Roman" w:eastAsia="Times New Roman" w:hAnsi="Times New Roman" w:cs="Times New Roman"/>
      <w:sz w:val="24"/>
      <w:szCs w:val="24"/>
    </w:rPr>
  </w:style>
  <w:style w:type="character" w:customStyle="1" w:styleId="rvts46">
    <w:name w:val="rvts46"/>
    <w:rsid w:val="00662012"/>
    <w:rPr>
      <w:rFonts w:ascii="Times New Roman" w:hAnsi="Times New Roman" w:cs="Times New Roman" w:hint="default"/>
      <w:caps/>
      <w:sz w:val="12"/>
      <w:szCs w:val="12"/>
      <w:vertAlign w:val="superscript"/>
    </w:rPr>
  </w:style>
  <w:style w:type="character" w:customStyle="1" w:styleId="rvts47">
    <w:name w:val="rvts47"/>
    <w:rsid w:val="00662012"/>
    <w:rPr>
      <w:rFonts w:ascii="Times New Roman" w:hAnsi="Times New Roman" w:cs="Times New Roman" w:hint="default"/>
      <w:caps/>
      <w:sz w:val="12"/>
      <w:szCs w:val="12"/>
      <w:vertAlign w:val="superscript"/>
    </w:rPr>
  </w:style>
  <w:style w:type="character" w:customStyle="1" w:styleId="rvts48">
    <w:name w:val="rvts48"/>
    <w:rsid w:val="00662012"/>
    <w:rPr>
      <w:rFonts w:ascii="Times New Roman" w:hAnsi="Times New Roman" w:cs="Times New Roman" w:hint="default"/>
      <w:caps/>
      <w:sz w:val="24"/>
      <w:szCs w:val="24"/>
    </w:rPr>
  </w:style>
  <w:style w:type="character" w:customStyle="1" w:styleId="rvts49">
    <w:name w:val="rvts49"/>
    <w:rsid w:val="00662012"/>
    <w:rPr>
      <w:rFonts w:ascii="Times New Roman" w:hAnsi="Times New Roman" w:cs="Times New Roman" w:hint="default"/>
      <w:caps/>
      <w:sz w:val="24"/>
      <w:szCs w:val="24"/>
    </w:rPr>
  </w:style>
  <w:style w:type="character" w:customStyle="1" w:styleId="rvts50">
    <w:name w:val="rvts50"/>
    <w:rsid w:val="00662012"/>
    <w:rPr>
      <w:rFonts w:ascii="Times New Roman" w:hAnsi="Times New Roman" w:cs="Times New Roman" w:hint="default"/>
      <w:caps/>
      <w:sz w:val="24"/>
      <w:szCs w:val="24"/>
    </w:rPr>
  </w:style>
  <w:style w:type="character" w:styleId="afffb">
    <w:name w:val="FollowedHyperlink"/>
    <w:uiPriority w:val="99"/>
    <w:rsid w:val="00662012"/>
    <w:rPr>
      <w:color w:val="800080"/>
      <w:u w:val="single"/>
    </w:rPr>
  </w:style>
  <w:style w:type="character" w:customStyle="1" w:styleId="gl1">
    <w:name w:val="gl1"/>
    <w:basedOn w:val="a1"/>
    <w:rsid w:val="00662012"/>
  </w:style>
  <w:style w:type="paragraph" w:customStyle="1" w:styleId="rvps14">
    <w:name w:val="rvps14"/>
    <w:basedOn w:val="a0"/>
    <w:rsid w:val="00662012"/>
    <w:pPr>
      <w:spacing w:after="0" w:line="240" w:lineRule="auto"/>
      <w:ind w:firstLine="253"/>
      <w:jc w:val="both"/>
    </w:pPr>
    <w:rPr>
      <w:rFonts w:ascii="Times New Roman" w:eastAsia="Times New Roman" w:hAnsi="Times New Roman" w:cs="Times New Roman"/>
      <w:sz w:val="24"/>
      <w:szCs w:val="24"/>
    </w:rPr>
  </w:style>
  <w:style w:type="character" w:customStyle="1" w:styleId="rvts18">
    <w:name w:val="rvts18"/>
    <w:rsid w:val="00662012"/>
    <w:rPr>
      <w:rFonts w:ascii="Times New Roman" w:hAnsi="Times New Roman" w:cs="Times New Roman" w:hint="default"/>
      <w:sz w:val="22"/>
      <w:szCs w:val="22"/>
    </w:rPr>
  </w:style>
  <w:style w:type="paragraph" w:customStyle="1" w:styleId="1f1">
    <w:name w:val="Знак1 Знак Знак Знак Знак Знак Знак Знак Знак Знак Знак Знак Знак"/>
    <w:basedOn w:val="a0"/>
    <w:rsid w:val="00662012"/>
    <w:pPr>
      <w:spacing w:after="0" w:line="240" w:lineRule="auto"/>
    </w:pPr>
    <w:rPr>
      <w:rFonts w:ascii="Verdana" w:eastAsia="Times New Roman" w:hAnsi="Verdana" w:cs="Verdana"/>
      <w:sz w:val="20"/>
      <w:szCs w:val="20"/>
      <w:lang w:val="en-US" w:eastAsia="en-US"/>
    </w:rPr>
  </w:style>
  <w:style w:type="paragraph" w:customStyle="1" w:styleId="1f2">
    <w:name w:val="Знак1 Знак Знак Знак Знак Знак Знак Знак Знак Знак Знак Знак Знак Знак Знак Знак"/>
    <w:basedOn w:val="a0"/>
    <w:rsid w:val="00662012"/>
    <w:pPr>
      <w:spacing w:after="0" w:line="240" w:lineRule="auto"/>
    </w:pPr>
    <w:rPr>
      <w:rFonts w:ascii="Verdana" w:eastAsia="Times New Roman" w:hAnsi="Verdana" w:cs="Verdana"/>
      <w:sz w:val="20"/>
      <w:szCs w:val="20"/>
      <w:lang w:val="en-US" w:eastAsia="en-US"/>
    </w:rPr>
  </w:style>
  <w:style w:type="character" w:styleId="afffc">
    <w:name w:val="endnote reference"/>
    <w:semiHidden/>
    <w:rsid w:val="00662012"/>
    <w:rPr>
      <w:rFonts w:cs="Times New Roman"/>
      <w:vertAlign w:val="superscript"/>
    </w:rPr>
  </w:style>
  <w:style w:type="paragraph" w:customStyle="1" w:styleId="2f0">
    <w:name w:val="Обычный2"/>
    <w:rsid w:val="00662012"/>
    <w:pPr>
      <w:spacing w:after="0" w:line="240" w:lineRule="auto"/>
    </w:pPr>
    <w:rPr>
      <w:rFonts w:ascii="Times New Roman" w:eastAsia="Times New Roman" w:hAnsi="Times New Roman" w:cs="Times New Roman"/>
      <w:snapToGrid w:val="0"/>
      <w:sz w:val="28"/>
      <w:szCs w:val="28"/>
      <w:lang w:val="ru-RU" w:eastAsia="ru-RU"/>
    </w:rPr>
  </w:style>
  <w:style w:type="paragraph" w:customStyle="1" w:styleId="MainText">
    <w:name w:val="MainText"/>
    <w:rsid w:val="00662012"/>
    <w:pPr>
      <w:overflowPunct w:val="0"/>
      <w:adjustRightInd w:val="0"/>
      <w:spacing w:after="0" w:line="240" w:lineRule="auto"/>
      <w:ind w:firstLine="567"/>
      <w:jc w:val="both"/>
    </w:pPr>
    <w:rPr>
      <w:rFonts w:ascii="PragmaticaC" w:eastAsia="Times New Roman" w:hAnsi="PragmaticaC" w:cs="Times New Roman"/>
      <w:color w:val="000000"/>
      <w:sz w:val="19"/>
      <w:szCs w:val="20"/>
      <w:lang w:val="ru-RU" w:eastAsia="ru-RU"/>
    </w:rPr>
  </w:style>
  <w:style w:type="paragraph" w:customStyle="1" w:styleId="MGlava">
    <w:name w:val="MGlava"/>
    <w:basedOn w:val="MainText"/>
    <w:next w:val="MainText"/>
    <w:rsid w:val="00662012"/>
    <w:pPr>
      <w:spacing w:before="113" w:after="113"/>
      <w:ind w:left="567" w:firstLine="0"/>
      <w:jc w:val="left"/>
    </w:pPr>
    <w:rPr>
      <w:b/>
    </w:rPr>
  </w:style>
  <w:style w:type="paragraph" w:customStyle="1" w:styleId="BulletsNumbers">
    <w:name w:val="BulletsNumbers"/>
    <w:basedOn w:val="a0"/>
    <w:next w:val="a0"/>
    <w:rsid w:val="00662012"/>
    <w:pPr>
      <w:tabs>
        <w:tab w:val="left" w:pos="283"/>
      </w:tabs>
      <w:overflowPunct w:val="0"/>
      <w:adjustRightInd w:val="0"/>
      <w:spacing w:after="0" w:line="240" w:lineRule="auto"/>
      <w:ind w:left="283" w:hanging="283"/>
      <w:jc w:val="both"/>
    </w:pPr>
    <w:rPr>
      <w:rFonts w:ascii="PragmaticaC" w:eastAsia="Times New Roman" w:hAnsi="PragmaticaC" w:cs="Times New Roman"/>
      <w:color w:val="000000"/>
      <w:sz w:val="19"/>
      <w:szCs w:val="20"/>
    </w:rPr>
  </w:style>
  <w:style w:type="paragraph" w:customStyle="1" w:styleId="MZagolovok-NormalBlack">
    <w:name w:val="MZagolovok - NormalBlack"/>
    <w:basedOn w:val="a0"/>
    <w:next w:val="a0"/>
    <w:rsid w:val="00662012"/>
    <w:pPr>
      <w:overflowPunct w:val="0"/>
      <w:adjustRightInd w:val="0"/>
      <w:spacing w:before="170" w:after="113" w:line="240" w:lineRule="auto"/>
      <w:jc w:val="center"/>
    </w:pPr>
    <w:rPr>
      <w:rFonts w:ascii="PragmaticaCondC" w:eastAsia="Times New Roman" w:hAnsi="PragmaticaCondC" w:cs="Times New Roman"/>
      <w:color w:val="000000"/>
      <w:sz w:val="24"/>
      <w:szCs w:val="20"/>
    </w:rPr>
  </w:style>
  <w:style w:type="paragraph" w:customStyle="1" w:styleId="MZagolvok-Center">
    <w:name w:val="MZagolvok - Center"/>
    <w:basedOn w:val="a0"/>
    <w:next w:val="a0"/>
    <w:rsid w:val="00662012"/>
    <w:pPr>
      <w:overflowPunct w:val="0"/>
      <w:adjustRightInd w:val="0"/>
      <w:spacing w:before="170" w:after="113" w:line="240" w:lineRule="auto"/>
      <w:jc w:val="center"/>
    </w:pPr>
    <w:rPr>
      <w:rFonts w:ascii="PragmaticaCondC" w:eastAsia="Times New Roman" w:hAnsi="PragmaticaCondC" w:cs="Times New Roman"/>
      <w:b/>
      <w:color w:val="0000FF"/>
      <w:sz w:val="24"/>
      <w:szCs w:val="20"/>
    </w:rPr>
  </w:style>
  <w:style w:type="paragraph" w:customStyle="1" w:styleId="37">
    <w:name w:val="заголовок 3"/>
    <w:basedOn w:val="a0"/>
    <w:next w:val="a0"/>
    <w:rsid w:val="00662012"/>
    <w:pPr>
      <w:keepNext/>
      <w:autoSpaceDE w:val="0"/>
      <w:autoSpaceDN w:val="0"/>
      <w:spacing w:after="0" w:line="240" w:lineRule="auto"/>
      <w:jc w:val="center"/>
    </w:pPr>
    <w:rPr>
      <w:rFonts w:ascii="Times New Roman" w:eastAsia="Times New Roman" w:hAnsi="Times New Roman" w:cs="Times New Roman"/>
      <w:sz w:val="28"/>
      <w:szCs w:val="28"/>
    </w:rPr>
  </w:style>
  <w:style w:type="paragraph" w:customStyle="1" w:styleId="51">
    <w:name w:val="заголовок 5"/>
    <w:basedOn w:val="a0"/>
    <w:next w:val="a0"/>
    <w:rsid w:val="00662012"/>
    <w:pPr>
      <w:keepNext/>
      <w:autoSpaceDE w:val="0"/>
      <w:autoSpaceDN w:val="0"/>
      <w:spacing w:after="0" w:line="240" w:lineRule="auto"/>
      <w:jc w:val="right"/>
    </w:pPr>
    <w:rPr>
      <w:rFonts w:ascii="Times New Roman" w:eastAsia="Times New Roman" w:hAnsi="Times New Roman" w:cs="Times New Roman"/>
      <w:color w:val="000000"/>
      <w:sz w:val="28"/>
      <w:szCs w:val="28"/>
      <w:lang w:val="uk-UA"/>
    </w:rPr>
  </w:style>
  <w:style w:type="paragraph" w:customStyle="1" w:styleId="text">
    <w:name w:val="text"/>
    <w:basedOn w:val="Default"/>
    <w:next w:val="Default"/>
    <w:rsid w:val="00662012"/>
    <w:rPr>
      <w:rFonts w:ascii="TimesNewRoman" w:eastAsia="Times New Roman" w:hAnsi="TimesNewRoman"/>
      <w:color w:val="auto"/>
    </w:rPr>
  </w:style>
  <w:style w:type="paragraph" w:customStyle="1" w:styleId="klslova">
    <w:name w:val="kl_slova"/>
    <w:basedOn w:val="Default"/>
    <w:next w:val="Default"/>
    <w:rsid w:val="00662012"/>
    <w:pPr>
      <w:spacing w:before="120" w:after="120"/>
    </w:pPr>
    <w:rPr>
      <w:rFonts w:ascii="TimesNewRoman" w:eastAsia="Times New Roman" w:hAnsi="TimesNewRoman"/>
      <w:color w:val="auto"/>
    </w:rPr>
  </w:style>
  <w:style w:type="paragraph" w:customStyle="1" w:styleId="udk">
    <w:name w:val="udk"/>
    <w:basedOn w:val="Default"/>
    <w:next w:val="Default"/>
    <w:rsid w:val="00662012"/>
    <w:pPr>
      <w:spacing w:before="120"/>
    </w:pPr>
    <w:rPr>
      <w:rFonts w:ascii="TimesNewRoman" w:eastAsia="Times New Roman" w:hAnsi="TimesNewRoman"/>
      <w:color w:val="auto"/>
    </w:rPr>
  </w:style>
  <w:style w:type="paragraph" w:customStyle="1" w:styleId="Iauiue">
    <w:name w:val="Iau?iue"/>
    <w:rsid w:val="00662012"/>
    <w:pPr>
      <w:widowControl w:val="0"/>
      <w:autoSpaceDE w:val="0"/>
      <w:autoSpaceDN w:val="0"/>
      <w:spacing w:after="0" w:line="240" w:lineRule="auto"/>
    </w:pPr>
    <w:rPr>
      <w:rFonts w:ascii="Times New Roman" w:eastAsia="Times New Roman" w:hAnsi="Times New Roman" w:cs="Times New Roman"/>
      <w:sz w:val="24"/>
      <w:szCs w:val="24"/>
      <w:lang w:val="ru-RU" w:eastAsia="ru-RU"/>
    </w:rPr>
  </w:style>
  <w:style w:type="paragraph" w:customStyle="1" w:styleId="211">
    <w:name w:val="Основной текст с отступом 21"/>
    <w:basedOn w:val="a0"/>
    <w:rsid w:val="00662012"/>
    <w:pPr>
      <w:widowControl w:val="0"/>
      <w:autoSpaceDE w:val="0"/>
      <w:autoSpaceDN w:val="0"/>
      <w:spacing w:after="0" w:line="240" w:lineRule="auto"/>
      <w:ind w:firstLine="567"/>
      <w:jc w:val="both"/>
    </w:pPr>
    <w:rPr>
      <w:rFonts w:ascii="Times New Roman" w:eastAsia="Times New Roman" w:hAnsi="Times New Roman" w:cs="Times New Roman"/>
      <w:sz w:val="20"/>
      <w:szCs w:val="20"/>
    </w:rPr>
  </w:style>
  <w:style w:type="paragraph" w:customStyle="1" w:styleId="71">
    <w:name w:val="заголовок 7"/>
    <w:basedOn w:val="a0"/>
    <w:next w:val="a0"/>
    <w:rsid w:val="00662012"/>
    <w:pPr>
      <w:keepNext/>
      <w:autoSpaceDE w:val="0"/>
      <w:autoSpaceDN w:val="0"/>
      <w:spacing w:after="0" w:line="360" w:lineRule="auto"/>
      <w:ind w:firstLine="720"/>
      <w:jc w:val="center"/>
    </w:pPr>
    <w:rPr>
      <w:rFonts w:ascii="Times New Roman" w:eastAsia="Times New Roman" w:hAnsi="Times New Roman" w:cs="Times New Roman"/>
      <w:sz w:val="28"/>
      <w:szCs w:val="28"/>
      <w:lang w:val="uk-UA"/>
    </w:rPr>
  </w:style>
  <w:style w:type="paragraph" w:customStyle="1" w:styleId="43">
    <w:name w:val="заголовок 4"/>
    <w:basedOn w:val="a0"/>
    <w:next w:val="a0"/>
    <w:rsid w:val="00662012"/>
    <w:pPr>
      <w:keepNext/>
      <w:autoSpaceDE w:val="0"/>
      <w:autoSpaceDN w:val="0"/>
      <w:spacing w:after="0" w:line="240" w:lineRule="auto"/>
      <w:jc w:val="center"/>
    </w:pPr>
    <w:rPr>
      <w:rFonts w:ascii="Times New Roman" w:eastAsia="Times New Roman" w:hAnsi="Times New Roman" w:cs="Times New Roman"/>
      <w:sz w:val="28"/>
      <w:szCs w:val="28"/>
      <w:lang w:val="uk-UA"/>
    </w:rPr>
  </w:style>
  <w:style w:type="paragraph" w:customStyle="1" w:styleId="81">
    <w:name w:val="заголовок 8"/>
    <w:basedOn w:val="a0"/>
    <w:next w:val="a0"/>
    <w:rsid w:val="00662012"/>
    <w:pPr>
      <w:keepNext/>
      <w:autoSpaceDE w:val="0"/>
      <w:autoSpaceDN w:val="0"/>
      <w:spacing w:after="0" w:line="240" w:lineRule="auto"/>
      <w:jc w:val="center"/>
    </w:pPr>
    <w:rPr>
      <w:rFonts w:ascii="Times New Roman" w:eastAsia="Times New Roman" w:hAnsi="Times New Roman" w:cs="Times New Roman"/>
      <w:sz w:val="24"/>
      <w:szCs w:val="24"/>
      <w:lang w:val="uk-UA"/>
    </w:rPr>
  </w:style>
  <w:style w:type="character" w:customStyle="1" w:styleId="grame">
    <w:name w:val="grame"/>
    <w:basedOn w:val="a1"/>
    <w:rsid w:val="00662012"/>
  </w:style>
  <w:style w:type="character" w:customStyle="1" w:styleId="article-text">
    <w:name w:val="article-text"/>
    <w:basedOn w:val="a1"/>
    <w:rsid w:val="00662012"/>
  </w:style>
  <w:style w:type="paragraph" w:customStyle="1" w:styleId="bibop">
    <w:name w:val="bib_op"/>
    <w:basedOn w:val="Default"/>
    <w:next w:val="Default"/>
    <w:rsid w:val="00662012"/>
    <w:pPr>
      <w:spacing w:before="120" w:after="120"/>
    </w:pPr>
    <w:rPr>
      <w:rFonts w:ascii="TimesNewRoman,Bold" w:eastAsia="Times New Roman" w:hAnsi="TimesNewRoman,Bold"/>
      <w:color w:val="auto"/>
    </w:rPr>
  </w:style>
  <w:style w:type="paragraph" w:customStyle="1" w:styleId="311">
    <w:name w:val="Основной текст с отступом 31"/>
    <w:basedOn w:val="a0"/>
    <w:rsid w:val="00662012"/>
    <w:pPr>
      <w:spacing w:after="0" w:line="360" w:lineRule="auto"/>
      <w:ind w:firstLine="709"/>
      <w:jc w:val="both"/>
    </w:pPr>
    <w:rPr>
      <w:rFonts w:ascii="Times New Roman" w:eastAsia="Times New Roman" w:hAnsi="Times New Roman" w:cs="Times New Roman"/>
      <w:sz w:val="28"/>
      <w:szCs w:val="28"/>
      <w:lang w:val="uk-UA"/>
    </w:rPr>
  </w:style>
  <w:style w:type="paragraph" w:customStyle="1" w:styleId="1f3">
    <w:name w:val="Стиль1"/>
    <w:basedOn w:val="a0"/>
    <w:rsid w:val="00662012"/>
    <w:pPr>
      <w:spacing w:after="0" w:line="360" w:lineRule="auto"/>
      <w:jc w:val="both"/>
    </w:pPr>
    <w:rPr>
      <w:rFonts w:ascii="Pragmatica" w:eastAsia="Times New Roman" w:hAnsi="Pragmatica" w:cs="Times New Roman"/>
      <w:sz w:val="24"/>
      <w:szCs w:val="24"/>
    </w:rPr>
  </w:style>
  <w:style w:type="paragraph" w:customStyle="1" w:styleId="afffd">
    <w:name w:val="формула"/>
    <w:basedOn w:val="a0"/>
    <w:next w:val="af0"/>
    <w:rsid w:val="00662012"/>
    <w:pPr>
      <w:widowControl w:val="0"/>
      <w:tabs>
        <w:tab w:val="center" w:pos="4536"/>
        <w:tab w:val="right" w:pos="9072"/>
      </w:tabs>
      <w:spacing w:before="120" w:after="120" w:line="240" w:lineRule="auto"/>
      <w:jc w:val="both"/>
    </w:pPr>
    <w:rPr>
      <w:rFonts w:ascii="Times New Roman" w:eastAsia="Times New Roman" w:hAnsi="Times New Roman" w:cs="Times New Roman"/>
      <w:snapToGrid w:val="0"/>
      <w:sz w:val="24"/>
      <w:szCs w:val="24"/>
    </w:rPr>
  </w:style>
  <w:style w:type="character" w:customStyle="1" w:styleId="menu7">
    <w:name w:val="menu7"/>
    <w:rsid w:val="00662012"/>
    <w:rPr>
      <w:rFonts w:ascii="Verdana" w:hAnsi="Verdana" w:hint="default"/>
      <w:strike w:val="0"/>
      <w:dstrike w:val="0"/>
      <w:color w:val="000000"/>
      <w:sz w:val="18"/>
      <w:szCs w:val="18"/>
      <w:u w:val="none"/>
      <w:effect w:val="none"/>
    </w:rPr>
  </w:style>
  <w:style w:type="character" w:customStyle="1" w:styleId="menu21">
    <w:name w:val="menu21"/>
    <w:rsid w:val="00662012"/>
    <w:rPr>
      <w:rFonts w:ascii="Verdana" w:hAnsi="Verdana" w:hint="default"/>
      <w:strike w:val="0"/>
      <w:dstrike w:val="0"/>
      <w:color w:val="990000"/>
      <w:sz w:val="17"/>
      <w:szCs w:val="17"/>
      <w:u w:val="none"/>
      <w:effect w:val="none"/>
    </w:rPr>
  </w:style>
  <w:style w:type="character" w:customStyle="1" w:styleId="niz1">
    <w:name w:val="niz1"/>
    <w:rsid w:val="00662012"/>
    <w:rPr>
      <w:rFonts w:ascii="Verdana" w:hAnsi="Verdana" w:hint="default"/>
      <w:color w:val="990000"/>
      <w:sz w:val="15"/>
      <w:szCs w:val="15"/>
    </w:rPr>
  </w:style>
  <w:style w:type="table" w:styleId="afffe">
    <w:name w:val="Table Elegant"/>
    <w:basedOn w:val="a2"/>
    <w:rsid w:val="00662012"/>
    <w:pPr>
      <w:spacing w:after="0" w:line="240" w:lineRule="auto"/>
    </w:pPr>
    <w:rPr>
      <w:rFonts w:ascii="Times New Roman" w:eastAsia="Times New Roman" w:hAnsi="Times New Roman" w:cs="Times New Roman"/>
      <w:sz w:val="20"/>
      <w:szCs w:val="20"/>
      <w:lang w:eastAsia="ru-R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vtor">
    <w:name w:val="Avtor"/>
    <w:basedOn w:val="a0"/>
    <w:rsid w:val="00662012"/>
    <w:pPr>
      <w:autoSpaceDE w:val="0"/>
      <w:autoSpaceDN w:val="0"/>
      <w:spacing w:after="60" w:line="360" w:lineRule="auto"/>
      <w:jc w:val="center"/>
    </w:pPr>
    <w:rPr>
      <w:rFonts w:ascii="Times New Roman" w:eastAsia="Times New Roman" w:hAnsi="Times New Roman" w:cs="Times New Roman"/>
      <w:i/>
      <w:iCs/>
      <w:sz w:val="24"/>
      <w:szCs w:val="24"/>
      <w:lang w:val="uk-UA"/>
    </w:rPr>
  </w:style>
  <w:style w:type="paragraph" w:customStyle="1" w:styleId="Web">
    <w:name w:val="Обычный (Web)"/>
    <w:basedOn w:val="a0"/>
    <w:rsid w:val="00662012"/>
    <w:pPr>
      <w:spacing w:before="100" w:beforeAutospacing="1" w:after="100" w:afterAutospacing="1" w:line="240" w:lineRule="auto"/>
    </w:pPr>
    <w:rPr>
      <w:rFonts w:ascii="Arial Unicode MS" w:eastAsia="Arial Unicode MS" w:hAnsi="Arial Unicode MS" w:cs="Arial Unicode MS"/>
      <w:sz w:val="24"/>
      <w:szCs w:val="24"/>
    </w:rPr>
  </w:style>
  <w:style w:type="paragraph" w:customStyle="1" w:styleId="1f4">
    <w:name w:val="заголовок 1"/>
    <w:basedOn w:val="a0"/>
    <w:next w:val="a0"/>
    <w:rsid w:val="00662012"/>
    <w:pPr>
      <w:keepNext/>
      <w:autoSpaceDE w:val="0"/>
      <w:autoSpaceDN w:val="0"/>
      <w:spacing w:after="0" w:line="240" w:lineRule="auto"/>
    </w:pPr>
    <w:rPr>
      <w:rFonts w:ascii="Times New Roman" w:eastAsia="Times New Roman" w:hAnsi="Times New Roman" w:cs="Times New Roman"/>
      <w:color w:val="000000"/>
      <w:sz w:val="20"/>
      <w:szCs w:val="24"/>
    </w:rPr>
  </w:style>
  <w:style w:type="paragraph" w:customStyle="1" w:styleId="affff">
    <w:name w:val="Знак Знак Знак Знак"/>
    <w:basedOn w:val="a0"/>
    <w:rsid w:val="00662012"/>
    <w:pPr>
      <w:spacing w:after="0" w:line="240" w:lineRule="auto"/>
    </w:pPr>
    <w:rPr>
      <w:rFonts w:ascii="Verdana" w:eastAsia="Times New Roman" w:hAnsi="Verdana" w:cs="Verdana"/>
      <w:sz w:val="20"/>
      <w:szCs w:val="20"/>
      <w:lang w:val="en-US" w:eastAsia="en-US"/>
    </w:rPr>
  </w:style>
  <w:style w:type="paragraph" w:customStyle="1" w:styleId="2f1">
    <w:name w:val="заголовок 2"/>
    <w:basedOn w:val="a0"/>
    <w:next w:val="a0"/>
    <w:rsid w:val="00662012"/>
    <w:pPr>
      <w:keepNext/>
      <w:autoSpaceDE w:val="0"/>
      <w:autoSpaceDN w:val="0"/>
      <w:spacing w:after="0" w:line="360" w:lineRule="auto"/>
      <w:ind w:firstLine="709"/>
      <w:jc w:val="both"/>
    </w:pPr>
    <w:rPr>
      <w:rFonts w:ascii="Times New Roman" w:eastAsia="Times New Roman" w:hAnsi="Times New Roman" w:cs="Times New Roman"/>
      <w:b/>
      <w:sz w:val="28"/>
      <w:szCs w:val="28"/>
      <w:lang w:val="uk-UA"/>
    </w:rPr>
  </w:style>
  <w:style w:type="paragraph" w:customStyle="1" w:styleId="Text1">
    <w:name w:val="Text_1 Знак"/>
    <w:basedOn w:val="a0"/>
    <w:uiPriority w:val="99"/>
    <w:rsid w:val="00662012"/>
    <w:pPr>
      <w:widowControl w:val="0"/>
      <w:autoSpaceDE w:val="0"/>
      <w:autoSpaceDN w:val="0"/>
      <w:spacing w:after="0" w:line="336" w:lineRule="auto"/>
      <w:ind w:firstLine="709"/>
      <w:jc w:val="both"/>
    </w:pPr>
    <w:rPr>
      <w:rFonts w:ascii="Times New Roman" w:eastAsia="Times New Roman" w:hAnsi="Times New Roman" w:cs="Times New Roman"/>
      <w:sz w:val="28"/>
      <w:szCs w:val="28"/>
      <w:lang w:val="uk-UA"/>
    </w:rPr>
  </w:style>
  <w:style w:type="paragraph" w:customStyle="1" w:styleId="52">
    <w:name w:val="Абзац списка5"/>
    <w:basedOn w:val="a0"/>
    <w:rsid w:val="00662012"/>
    <w:pPr>
      <w:ind w:left="720"/>
      <w:jc w:val="center"/>
    </w:pPr>
    <w:rPr>
      <w:rFonts w:ascii="Calibri" w:eastAsia="Times New Roman" w:hAnsi="Calibri" w:cs="Times New Roman"/>
      <w:lang w:eastAsia="en-US"/>
    </w:rPr>
  </w:style>
  <w:style w:type="paragraph" w:customStyle="1" w:styleId="affff0">
    <w:name w:val="Знак Знак Знак Знак Знак Знак Знак"/>
    <w:basedOn w:val="a0"/>
    <w:rsid w:val="00662012"/>
    <w:pPr>
      <w:spacing w:after="0" w:line="240" w:lineRule="auto"/>
    </w:pPr>
    <w:rPr>
      <w:rFonts w:ascii="Verdana" w:eastAsia="Times New Roman" w:hAnsi="Verdana" w:cs="Verdana"/>
      <w:sz w:val="20"/>
      <w:szCs w:val="20"/>
      <w:lang w:val="en-US" w:eastAsia="en-US"/>
    </w:rPr>
  </w:style>
  <w:style w:type="paragraph" w:customStyle="1" w:styleId="1f5">
    <w:name w:val="Основной текст1"/>
    <w:basedOn w:val="a0"/>
    <w:rsid w:val="00662012"/>
    <w:pPr>
      <w:spacing w:after="0" w:line="360" w:lineRule="auto"/>
      <w:jc w:val="both"/>
    </w:pPr>
    <w:rPr>
      <w:rFonts w:ascii="Arial Narrow" w:eastAsia="Times New Roman" w:hAnsi="Arial Narrow" w:cs="Times New Roman"/>
      <w:b/>
      <w:sz w:val="28"/>
      <w:szCs w:val="20"/>
      <w:lang w:val="uk-UA"/>
    </w:rPr>
  </w:style>
  <w:style w:type="character" w:customStyle="1" w:styleId="44">
    <w:name w:val="Знак Знак4"/>
    <w:locked/>
    <w:rsid w:val="00662012"/>
    <w:rPr>
      <w:sz w:val="24"/>
      <w:szCs w:val="24"/>
      <w:lang w:val="ru-RU" w:eastAsia="ru-RU" w:bidi="ar-SA"/>
    </w:rPr>
  </w:style>
  <w:style w:type="character" w:customStyle="1" w:styleId="38">
    <w:name w:val="Знак Знак3"/>
    <w:locked/>
    <w:rsid w:val="00662012"/>
    <w:rPr>
      <w:sz w:val="24"/>
      <w:szCs w:val="24"/>
      <w:lang w:val="ru-RU" w:eastAsia="ru-RU" w:bidi="ar-SA"/>
    </w:rPr>
  </w:style>
  <w:style w:type="paragraph" w:customStyle="1" w:styleId="2-Zagolovok">
    <w:name w:val="2-Zagolovok"/>
    <w:basedOn w:val="a0"/>
    <w:next w:val="a0"/>
    <w:rsid w:val="00662012"/>
    <w:pPr>
      <w:keepNext/>
      <w:widowControl w:val="0"/>
      <w:spacing w:before="200" w:after="40" w:line="240" w:lineRule="auto"/>
      <w:ind w:right="3969"/>
      <w:jc w:val="center"/>
    </w:pPr>
    <w:rPr>
      <w:rFonts w:ascii="Times New Roman" w:eastAsia="Times New Roman" w:hAnsi="Times New Roman" w:cs="Times New Roman"/>
      <w:b/>
      <w:caps/>
      <w:snapToGrid w:val="0"/>
      <w:sz w:val="20"/>
      <w:szCs w:val="20"/>
    </w:rPr>
  </w:style>
  <w:style w:type="paragraph" w:customStyle="1" w:styleId="Iauiue12">
    <w:name w:val="Iau?iue12"/>
    <w:rsid w:val="00662012"/>
    <w:pPr>
      <w:widowControl w:val="0"/>
      <w:spacing w:after="0" w:line="240" w:lineRule="auto"/>
    </w:pPr>
    <w:rPr>
      <w:rFonts w:ascii="Times New Roman" w:eastAsia="Times New Roman" w:hAnsi="Times New Roman" w:cs="Times New Roman"/>
      <w:sz w:val="20"/>
      <w:szCs w:val="20"/>
      <w:lang w:val="ru-RU" w:eastAsia="ru-RU"/>
    </w:rPr>
  </w:style>
  <w:style w:type="paragraph" w:customStyle="1" w:styleId="Iauiue10">
    <w:name w:val="Iau?iue10"/>
    <w:rsid w:val="00662012"/>
    <w:pPr>
      <w:widowControl w:val="0"/>
      <w:spacing w:after="0" w:line="240" w:lineRule="auto"/>
    </w:pPr>
    <w:rPr>
      <w:rFonts w:ascii="Times New Roman" w:eastAsia="Times New Roman" w:hAnsi="Times New Roman" w:cs="Times New Roman"/>
      <w:sz w:val="20"/>
      <w:szCs w:val="20"/>
      <w:lang w:val="ru-RU" w:eastAsia="ru-RU"/>
    </w:rPr>
  </w:style>
  <w:style w:type="paragraph" w:customStyle="1" w:styleId="Zag">
    <w:name w:val="Zag"/>
    <w:basedOn w:val="a0"/>
    <w:rsid w:val="00662012"/>
    <w:pPr>
      <w:spacing w:after="0" w:line="360" w:lineRule="auto"/>
      <w:jc w:val="center"/>
    </w:pPr>
    <w:rPr>
      <w:rFonts w:ascii="Arial" w:eastAsia="Times New Roman" w:hAnsi="Arial" w:cs="Times New Roman"/>
      <w:b/>
      <w:sz w:val="28"/>
      <w:szCs w:val="20"/>
      <w:lang w:val="en-AU" w:eastAsia="uk-UA"/>
    </w:rPr>
  </w:style>
  <w:style w:type="paragraph" w:customStyle="1" w:styleId="1f6">
    <w:name w:val="Знак Знак Знак Знак Знак Знак Знак1"/>
    <w:basedOn w:val="a0"/>
    <w:rsid w:val="00662012"/>
    <w:pPr>
      <w:spacing w:after="0" w:line="240" w:lineRule="auto"/>
    </w:pPr>
    <w:rPr>
      <w:rFonts w:ascii="Verdana" w:eastAsia="Times New Roman" w:hAnsi="Verdana" w:cs="Verdana"/>
      <w:sz w:val="20"/>
      <w:szCs w:val="20"/>
      <w:lang w:val="en-US" w:eastAsia="en-US"/>
    </w:rPr>
  </w:style>
  <w:style w:type="paragraph" w:styleId="affff1">
    <w:name w:val="Document Map"/>
    <w:basedOn w:val="a0"/>
    <w:link w:val="affff2"/>
    <w:rsid w:val="00662012"/>
    <w:pPr>
      <w:shd w:val="clear" w:color="auto" w:fill="000080"/>
      <w:spacing w:after="0" w:line="360" w:lineRule="auto"/>
      <w:ind w:firstLine="720"/>
      <w:jc w:val="both"/>
    </w:pPr>
    <w:rPr>
      <w:rFonts w:ascii="Tahoma" w:eastAsia="Times New Roman" w:hAnsi="Tahoma" w:cs="Times New Roman"/>
      <w:sz w:val="20"/>
      <w:szCs w:val="20"/>
      <w:lang w:val="uk-UA" w:eastAsia="uk-UA"/>
    </w:rPr>
  </w:style>
  <w:style w:type="character" w:customStyle="1" w:styleId="affff2">
    <w:name w:val="Схема документа Знак"/>
    <w:basedOn w:val="a1"/>
    <w:link w:val="affff1"/>
    <w:rsid w:val="00662012"/>
    <w:rPr>
      <w:rFonts w:ascii="Tahoma" w:eastAsia="Times New Roman" w:hAnsi="Tahoma" w:cs="Times New Roman"/>
      <w:sz w:val="20"/>
      <w:szCs w:val="20"/>
      <w:shd w:val="clear" w:color="auto" w:fill="000080"/>
      <w:lang w:val="uk-UA" w:eastAsia="uk-UA"/>
    </w:rPr>
  </w:style>
  <w:style w:type="paragraph" w:customStyle="1" w:styleId="2f2">
    <w:name w:val="Абзац списка2"/>
    <w:basedOn w:val="a0"/>
    <w:rsid w:val="00662012"/>
    <w:pPr>
      <w:ind w:left="720"/>
      <w:contextualSpacing/>
    </w:pPr>
    <w:rPr>
      <w:rFonts w:ascii="Calibri" w:eastAsia="Times New Roman" w:hAnsi="Calibri" w:cs="Times New Roman"/>
    </w:rPr>
  </w:style>
  <w:style w:type="paragraph" w:customStyle="1" w:styleId="2f3">
    <w:name w:val="Знак2"/>
    <w:basedOn w:val="a0"/>
    <w:rsid w:val="00662012"/>
    <w:pPr>
      <w:spacing w:after="0" w:line="240" w:lineRule="auto"/>
    </w:pPr>
    <w:rPr>
      <w:rFonts w:ascii="Verdana" w:eastAsia="Times New Roman" w:hAnsi="Verdana" w:cs="Verdana"/>
      <w:sz w:val="20"/>
      <w:szCs w:val="20"/>
      <w:lang w:val="en-US" w:eastAsia="en-US"/>
    </w:rPr>
  </w:style>
  <w:style w:type="paragraph" w:customStyle="1" w:styleId="Style2">
    <w:name w:val="Style2"/>
    <w:basedOn w:val="a0"/>
    <w:rsid w:val="00662012"/>
    <w:pPr>
      <w:widowControl w:val="0"/>
      <w:autoSpaceDE w:val="0"/>
      <w:autoSpaceDN w:val="0"/>
      <w:adjustRightInd w:val="0"/>
      <w:spacing w:after="0" w:line="228" w:lineRule="exact"/>
      <w:jc w:val="both"/>
    </w:pPr>
    <w:rPr>
      <w:rFonts w:ascii="Cambria" w:eastAsia="Times New Roman" w:hAnsi="Cambria" w:cs="Times New Roman"/>
      <w:sz w:val="24"/>
      <w:szCs w:val="24"/>
    </w:rPr>
  </w:style>
  <w:style w:type="character" w:customStyle="1" w:styleId="FontStyle11">
    <w:name w:val="Font Style11"/>
    <w:rsid w:val="00662012"/>
    <w:rPr>
      <w:rFonts w:ascii="Cambria" w:hAnsi="Cambria" w:cs="Cambria" w:hint="default"/>
      <w:sz w:val="18"/>
      <w:szCs w:val="18"/>
    </w:rPr>
  </w:style>
  <w:style w:type="character" w:customStyle="1" w:styleId="FontStyle14">
    <w:name w:val="Font Style14"/>
    <w:rsid w:val="00662012"/>
    <w:rPr>
      <w:rFonts w:ascii="Cambria" w:hAnsi="Cambria" w:cs="Cambria" w:hint="default"/>
      <w:b/>
      <w:bCs/>
      <w:i/>
      <w:iCs/>
      <w:sz w:val="20"/>
      <w:szCs w:val="20"/>
    </w:rPr>
  </w:style>
  <w:style w:type="paragraph" w:customStyle="1" w:styleId="Style4">
    <w:name w:val="Style4"/>
    <w:basedOn w:val="a0"/>
    <w:rsid w:val="00662012"/>
    <w:pPr>
      <w:widowControl w:val="0"/>
      <w:autoSpaceDE w:val="0"/>
      <w:autoSpaceDN w:val="0"/>
      <w:adjustRightInd w:val="0"/>
      <w:spacing w:after="0" w:line="228" w:lineRule="exact"/>
      <w:ind w:firstLine="245"/>
      <w:jc w:val="both"/>
    </w:pPr>
    <w:rPr>
      <w:rFonts w:ascii="Cambria" w:eastAsia="Times New Roman" w:hAnsi="Cambria" w:cs="Times New Roman"/>
      <w:sz w:val="24"/>
      <w:szCs w:val="24"/>
    </w:rPr>
  </w:style>
  <w:style w:type="character" w:customStyle="1" w:styleId="FontStyle13">
    <w:name w:val="Font Style13"/>
    <w:rsid w:val="00662012"/>
    <w:rPr>
      <w:rFonts w:ascii="Cambria" w:hAnsi="Cambria" w:cs="Cambria" w:hint="default"/>
      <w:i/>
      <w:iCs/>
      <w:sz w:val="18"/>
      <w:szCs w:val="18"/>
    </w:rPr>
  </w:style>
  <w:style w:type="paragraph" w:customStyle="1" w:styleId="rtejustify">
    <w:name w:val="rtejustify"/>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12">
    <w:name w:val="Font Style12"/>
    <w:rsid w:val="00662012"/>
    <w:rPr>
      <w:rFonts w:ascii="Times New Roman" w:hAnsi="Times New Roman" w:cs="Times New Roman"/>
      <w:sz w:val="18"/>
      <w:szCs w:val="18"/>
    </w:rPr>
  </w:style>
  <w:style w:type="paragraph" w:customStyle="1" w:styleId="res-desc1">
    <w:name w:val="res-desc1"/>
    <w:basedOn w:val="a0"/>
    <w:rsid w:val="00662012"/>
    <w:pPr>
      <w:spacing w:before="72" w:after="0" w:line="240" w:lineRule="auto"/>
    </w:pPr>
    <w:rPr>
      <w:rFonts w:ascii="Times New Roman" w:eastAsia="Times New Roman" w:hAnsi="Times New Roman" w:cs="Times New Roman"/>
      <w:color w:val="000000"/>
      <w:sz w:val="24"/>
      <w:szCs w:val="24"/>
    </w:rPr>
  </w:style>
  <w:style w:type="character" w:customStyle="1" w:styleId="rvts78">
    <w:name w:val="rvts78"/>
    <w:basedOn w:val="a1"/>
    <w:rsid w:val="00662012"/>
  </w:style>
  <w:style w:type="character" w:customStyle="1" w:styleId="rvts23">
    <w:name w:val="rvts23"/>
    <w:basedOn w:val="a1"/>
    <w:rsid w:val="00662012"/>
  </w:style>
  <w:style w:type="character" w:customStyle="1" w:styleId="err">
    <w:name w:val="err"/>
    <w:basedOn w:val="a1"/>
    <w:rsid w:val="00662012"/>
  </w:style>
  <w:style w:type="paragraph" w:customStyle="1" w:styleId="1f7">
    <w:name w:val="Текст1"/>
    <w:basedOn w:val="a0"/>
    <w:rsid w:val="00662012"/>
    <w:pPr>
      <w:spacing w:after="0" w:line="240" w:lineRule="auto"/>
    </w:pPr>
    <w:rPr>
      <w:rFonts w:ascii="Courier New" w:eastAsia="Times New Roman" w:hAnsi="Courier New" w:cs="Times New Roman"/>
      <w:noProof/>
      <w:sz w:val="20"/>
      <w:szCs w:val="20"/>
    </w:rPr>
  </w:style>
  <w:style w:type="paragraph" w:customStyle="1" w:styleId="CharChar0">
    <w:name w:val="Char Знак Знак Char Знак Знак Знак Знак Знак Знак Знак Знак Знак Знак Знак Знак Знак"/>
    <w:basedOn w:val="a0"/>
    <w:rsid w:val="00662012"/>
    <w:pPr>
      <w:spacing w:after="0" w:line="240" w:lineRule="auto"/>
    </w:pPr>
    <w:rPr>
      <w:rFonts w:ascii="Verdana" w:eastAsia="Times New Roman" w:hAnsi="Verdana" w:cs="Verdana"/>
      <w:sz w:val="20"/>
      <w:szCs w:val="20"/>
      <w:lang w:val="en-US" w:eastAsia="en-US"/>
    </w:rPr>
  </w:style>
  <w:style w:type="paragraph" w:customStyle="1" w:styleId="affff3">
    <w:name w:val="Подпись_рис"/>
    <w:basedOn w:val="a0"/>
    <w:link w:val="affff4"/>
    <w:rsid w:val="00662012"/>
    <w:pPr>
      <w:autoSpaceDE w:val="0"/>
      <w:autoSpaceDN w:val="0"/>
      <w:adjustRightInd w:val="0"/>
      <w:spacing w:after="0" w:line="240" w:lineRule="auto"/>
      <w:jc w:val="center"/>
    </w:pPr>
    <w:rPr>
      <w:rFonts w:ascii="Times New Roman" w:eastAsia="Times New Roman" w:hAnsi="Times New Roman" w:cs="Times New Roman"/>
      <w:sz w:val="28"/>
      <w:szCs w:val="24"/>
      <w:lang w:val="uk-UA" w:eastAsia="uk-UA"/>
    </w:rPr>
  </w:style>
  <w:style w:type="character" w:customStyle="1" w:styleId="affff4">
    <w:name w:val="Подпись_рис Знак"/>
    <w:link w:val="affff3"/>
    <w:rsid w:val="00662012"/>
    <w:rPr>
      <w:rFonts w:ascii="Times New Roman" w:eastAsia="Times New Roman" w:hAnsi="Times New Roman" w:cs="Times New Roman"/>
      <w:sz w:val="28"/>
      <w:szCs w:val="24"/>
      <w:lang w:val="uk-UA" w:eastAsia="uk-UA"/>
    </w:rPr>
  </w:style>
  <w:style w:type="character" w:customStyle="1" w:styleId="textcopy">
    <w:name w:val="textcopy"/>
    <w:basedOn w:val="a1"/>
    <w:rsid w:val="00662012"/>
  </w:style>
  <w:style w:type="paragraph" w:customStyle="1" w:styleId="2f4">
    <w:name w:val="Підрозділ2"/>
    <w:basedOn w:val="a0"/>
    <w:rsid w:val="00662012"/>
    <w:pPr>
      <w:keepNext/>
      <w:spacing w:before="120" w:after="120" w:line="240" w:lineRule="auto"/>
    </w:pPr>
    <w:rPr>
      <w:rFonts w:ascii="Times New Roman" w:eastAsia="Times New Roman" w:hAnsi="Times New Roman" w:cs="Times New Roman"/>
      <w:b/>
      <w:snapToGrid w:val="0"/>
      <w:szCs w:val="20"/>
      <w:lang w:val="uk-UA"/>
    </w:rPr>
  </w:style>
  <w:style w:type="paragraph" w:customStyle="1" w:styleId="212">
    <w:name w:val="Основной текст 21"/>
    <w:basedOn w:val="2f0"/>
    <w:rsid w:val="00662012"/>
    <w:pPr>
      <w:ind w:left="720"/>
      <w:jc w:val="both"/>
    </w:pPr>
    <w:rPr>
      <w:snapToGrid/>
      <w:sz w:val="24"/>
      <w:szCs w:val="20"/>
      <w:lang w:val="uk-UA"/>
    </w:rPr>
  </w:style>
  <w:style w:type="paragraph" w:customStyle="1" w:styleId="Iauiue1">
    <w:name w:val="Iau?iue1"/>
    <w:rsid w:val="00662012"/>
    <w:pPr>
      <w:widowControl w:val="0"/>
      <w:autoSpaceDE w:val="0"/>
      <w:autoSpaceDN w:val="0"/>
      <w:spacing w:after="0" w:line="240" w:lineRule="auto"/>
    </w:pPr>
    <w:rPr>
      <w:rFonts w:ascii="Times" w:eastAsia="Times New Roman" w:hAnsi="Times" w:cs="Times New Roman"/>
      <w:sz w:val="28"/>
      <w:szCs w:val="20"/>
      <w:lang w:val="ru-RU" w:eastAsia="ru-RU"/>
    </w:rPr>
  </w:style>
  <w:style w:type="paragraph" w:customStyle="1" w:styleId="affff5">
    <w:name w:val="текст дисер курсів"/>
    <w:basedOn w:val="a0"/>
    <w:rsid w:val="00662012"/>
    <w:pPr>
      <w:tabs>
        <w:tab w:val="left" w:pos="142"/>
        <w:tab w:val="left" w:pos="568"/>
        <w:tab w:val="left" w:pos="7810"/>
        <w:tab w:val="left" w:pos="7952"/>
        <w:tab w:val="left" w:pos="8662"/>
        <w:tab w:val="left" w:pos="8946"/>
      </w:tabs>
      <w:spacing w:after="0" w:line="360" w:lineRule="auto"/>
      <w:ind w:firstLine="707"/>
      <w:jc w:val="both"/>
    </w:pPr>
    <w:rPr>
      <w:rFonts w:ascii="Times New Roman" w:eastAsia="Times New Roman" w:hAnsi="Times New Roman" w:cs="Times New Roman"/>
      <w:i/>
      <w:sz w:val="28"/>
      <w:szCs w:val="20"/>
      <w:lang w:val="uk-UA"/>
    </w:rPr>
  </w:style>
  <w:style w:type="paragraph" w:customStyle="1" w:styleId="affff6">
    <w:name w:val="атекст таблиці"/>
    <w:basedOn w:val="af8"/>
    <w:rsid w:val="00662012"/>
    <w:pPr>
      <w:spacing w:after="0"/>
      <w:jc w:val="center"/>
    </w:pPr>
    <w:rPr>
      <w:sz w:val="24"/>
    </w:rPr>
  </w:style>
  <w:style w:type="paragraph" w:customStyle="1" w:styleId="affff7">
    <w:name w:val="таблиця"/>
    <w:basedOn w:val="a0"/>
    <w:rsid w:val="00662012"/>
    <w:pPr>
      <w:spacing w:after="0" w:line="360" w:lineRule="auto"/>
      <w:jc w:val="center"/>
    </w:pPr>
    <w:rPr>
      <w:rFonts w:ascii="Times New Roman" w:eastAsia="Times New Roman" w:hAnsi="Times New Roman" w:cs="Times New Roman"/>
      <w:sz w:val="28"/>
      <w:szCs w:val="20"/>
      <w:lang w:val="uk-UA"/>
    </w:rPr>
  </w:style>
  <w:style w:type="paragraph" w:customStyle="1" w:styleId="affff8">
    <w:name w:val="джерело"/>
    <w:basedOn w:val="a0"/>
    <w:rsid w:val="00662012"/>
    <w:pPr>
      <w:spacing w:after="0" w:line="240" w:lineRule="auto"/>
      <w:jc w:val="both"/>
    </w:pPr>
    <w:rPr>
      <w:rFonts w:ascii="Times New Roman" w:eastAsia="Times New Roman" w:hAnsi="Times New Roman" w:cs="Times New Roman"/>
      <w:sz w:val="20"/>
      <w:szCs w:val="20"/>
      <w:lang w:val="uk-UA"/>
    </w:rPr>
  </w:style>
  <w:style w:type="paragraph" w:customStyle="1" w:styleId="2f5">
    <w:name w:val="Знак Знак2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662012"/>
    <w:pPr>
      <w:spacing w:after="0" w:line="240" w:lineRule="auto"/>
    </w:pPr>
    <w:rPr>
      <w:rFonts w:ascii="Verdana" w:eastAsia="Times New Roman" w:hAnsi="Verdana" w:cs="Verdana"/>
      <w:sz w:val="20"/>
      <w:szCs w:val="20"/>
      <w:lang w:val="en-US" w:eastAsia="en-US"/>
    </w:rPr>
  </w:style>
  <w:style w:type="character" w:customStyle="1" w:styleId="FontStyle65">
    <w:name w:val="Font Style65"/>
    <w:rsid w:val="00662012"/>
    <w:rPr>
      <w:rFonts w:ascii="Times New Roman" w:hAnsi="Times New Roman" w:cs="Times New Roman"/>
      <w:sz w:val="14"/>
      <w:szCs w:val="14"/>
    </w:rPr>
  </w:style>
  <w:style w:type="character" w:customStyle="1" w:styleId="FontStyle71">
    <w:name w:val="Font Style71"/>
    <w:rsid w:val="00662012"/>
    <w:rPr>
      <w:rFonts w:ascii="Times New Roman" w:hAnsi="Times New Roman" w:cs="Times New Roman"/>
      <w:b/>
      <w:bCs/>
      <w:sz w:val="14"/>
      <w:szCs w:val="14"/>
    </w:rPr>
  </w:style>
  <w:style w:type="paragraph" w:customStyle="1" w:styleId="affff9">
    <w:name w:val="Нормальний текст"/>
    <w:basedOn w:val="a0"/>
    <w:rsid w:val="00662012"/>
    <w:pPr>
      <w:spacing w:before="120" w:after="0" w:line="240" w:lineRule="auto"/>
      <w:ind w:firstLine="567"/>
      <w:jc w:val="both"/>
    </w:pPr>
    <w:rPr>
      <w:rFonts w:ascii="Antiqua" w:eastAsia="Times New Roman" w:hAnsi="Antiqua" w:cs="Times New Roman"/>
      <w:sz w:val="26"/>
      <w:szCs w:val="20"/>
      <w:lang w:val="uk-UA"/>
    </w:rPr>
  </w:style>
  <w:style w:type="paragraph" w:customStyle="1" w:styleId="acth">
    <w:name w:val="acth"/>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10">
    <w:name w:val="a1"/>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f6">
    <w:name w:val="Знак Знак2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662012"/>
    <w:pPr>
      <w:spacing w:after="0" w:line="240" w:lineRule="auto"/>
    </w:pPr>
    <w:rPr>
      <w:rFonts w:ascii="Verdana" w:eastAsia="Times New Roman" w:hAnsi="Verdana" w:cs="Verdana"/>
      <w:sz w:val="20"/>
      <w:szCs w:val="20"/>
      <w:lang w:val="en-US" w:eastAsia="en-US"/>
    </w:rPr>
  </w:style>
  <w:style w:type="paragraph" w:customStyle="1" w:styleId="BodyText21">
    <w:name w:val="Body Text 21"/>
    <w:basedOn w:val="a0"/>
    <w:rsid w:val="00662012"/>
    <w:pPr>
      <w:autoSpaceDE w:val="0"/>
      <w:autoSpaceDN w:val="0"/>
      <w:spacing w:after="0" w:line="360" w:lineRule="auto"/>
      <w:ind w:firstLine="709"/>
      <w:jc w:val="both"/>
    </w:pPr>
    <w:rPr>
      <w:rFonts w:ascii="Times New Roman" w:eastAsia="Times New Roman" w:hAnsi="Times New Roman" w:cs="Times New Roman"/>
      <w:sz w:val="28"/>
      <w:szCs w:val="28"/>
      <w:lang w:val="uk-UA"/>
    </w:rPr>
  </w:style>
  <w:style w:type="paragraph" w:customStyle="1" w:styleId="affffa">
    <w:name w:val="мій стиль"/>
    <w:basedOn w:val="a0"/>
    <w:rsid w:val="00662012"/>
    <w:pPr>
      <w:widowControl w:val="0"/>
      <w:overflowPunct w:val="0"/>
      <w:autoSpaceDE w:val="0"/>
      <w:autoSpaceDN w:val="0"/>
      <w:adjustRightInd w:val="0"/>
      <w:spacing w:after="0" w:line="360" w:lineRule="auto"/>
      <w:ind w:left="40" w:firstLine="709"/>
      <w:jc w:val="both"/>
      <w:textAlignment w:val="baseline"/>
    </w:pPr>
    <w:rPr>
      <w:rFonts w:ascii="Courier New" w:eastAsia="Times New Roman" w:hAnsi="Courier New" w:cs="Times New Roman"/>
      <w:sz w:val="28"/>
      <w:szCs w:val="28"/>
      <w:lang w:val="uk-UA"/>
    </w:rPr>
  </w:style>
  <w:style w:type="paragraph" w:customStyle="1" w:styleId="2f7">
    <w:name w:val="Знак Знак2 Знак Знак Знак Знак Знак Знак Знак Знак Знак Знак Знак Знак Знак Знак Знак Знак Знак Знак Знак Знак Знак Знак"/>
    <w:basedOn w:val="a0"/>
    <w:rsid w:val="00662012"/>
    <w:pPr>
      <w:spacing w:after="0" w:line="240" w:lineRule="auto"/>
    </w:pPr>
    <w:rPr>
      <w:rFonts w:ascii="Times New Roman" w:eastAsia="Times New Roman" w:hAnsi="Times New Roman" w:cs="Times New Roman"/>
      <w:sz w:val="20"/>
      <w:szCs w:val="20"/>
      <w:lang w:val="en-US" w:eastAsia="en-US"/>
    </w:rPr>
  </w:style>
  <w:style w:type="paragraph" w:customStyle="1" w:styleId="220">
    <w:name w:val="Знак Знак2 Знак Знак Знак Знак Знак Знак Знак Знак Знак Знак Знак Знак Знак Знак Знак Знак Знак Знак Знак Знак Знак Знак2"/>
    <w:basedOn w:val="a0"/>
    <w:rsid w:val="00662012"/>
    <w:pPr>
      <w:spacing w:after="0" w:line="240" w:lineRule="auto"/>
    </w:pPr>
    <w:rPr>
      <w:rFonts w:ascii="Verdana" w:eastAsia="Times New Roman" w:hAnsi="Verdana" w:cs="Verdana"/>
      <w:sz w:val="20"/>
      <w:szCs w:val="20"/>
      <w:lang w:val="en-US" w:eastAsia="en-US"/>
    </w:rPr>
  </w:style>
  <w:style w:type="character" w:customStyle="1" w:styleId="googqs-tidbit1">
    <w:name w:val="goog_qs-tidbit1"/>
    <w:rsid w:val="00662012"/>
    <w:rPr>
      <w:vanish w:val="0"/>
      <w:webHidden w:val="0"/>
      <w:specVanish w:val="0"/>
    </w:rPr>
  </w:style>
  <w:style w:type="paragraph" w:customStyle="1" w:styleId="rvps20">
    <w:name w:val="rvps20"/>
    <w:basedOn w:val="a0"/>
    <w:rsid w:val="00662012"/>
    <w:pPr>
      <w:spacing w:after="0" w:line="240" w:lineRule="auto"/>
      <w:ind w:firstLine="570"/>
      <w:jc w:val="both"/>
    </w:pPr>
    <w:rPr>
      <w:rFonts w:ascii="Times New Roman" w:eastAsia="Times New Roman" w:hAnsi="Times New Roman" w:cs="Times New Roman"/>
      <w:sz w:val="24"/>
      <w:szCs w:val="24"/>
    </w:rPr>
  </w:style>
  <w:style w:type="character" w:customStyle="1" w:styleId="rvts16">
    <w:name w:val="rvts16"/>
    <w:rsid w:val="00662012"/>
    <w:rPr>
      <w:rFonts w:ascii="Times New Roman" w:hAnsi="Times New Roman" w:cs="Times New Roman"/>
      <w:sz w:val="28"/>
      <w:szCs w:val="28"/>
    </w:rPr>
  </w:style>
  <w:style w:type="character" w:customStyle="1" w:styleId="article-author1">
    <w:name w:val="article-author1"/>
    <w:rsid w:val="00662012"/>
    <w:rPr>
      <w:b/>
      <w:bCs/>
      <w:i/>
      <w:iCs/>
      <w:color w:val="7E7E7E"/>
      <w:sz w:val="18"/>
      <w:szCs w:val="18"/>
    </w:rPr>
  </w:style>
  <w:style w:type="character" w:customStyle="1" w:styleId="google-src-text1">
    <w:name w:val="google-src-text1"/>
    <w:rsid w:val="00662012"/>
    <w:rPr>
      <w:vanish/>
      <w:webHidden w:val="0"/>
      <w:specVanish w:val="0"/>
    </w:rPr>
  </w:style>
  <w:style w:type="paragraph" w:customStyle="1" w:styleId="google-src-active-text">
    <w:name w:val="google-src-active-text"/>
    <w:basedOn w:val="a0"/>
    <w:rsid w:val="00662012"/>
    <w:pPr>
      <w:spacing w:before="100" w:beforeAutospacing="1" w:after="100" w:afterAutospacing="1" w:line="240" w:lineRule="auto"/>
    </w:pPr>
    <w:rPr>
      <w:rFonts w:ascii="Arial" w:eastAsia="Times New Roman" w:hAnsi="Arial" w:cs="Arial"/>
      <w:sz w:val="24"/>
      <w:szCs w:val="24"/>
    </w:rPr>
  </w:style>
  <w:style w:type="paragraph" w:customStyle="1" w:styleId="spriteclose">
    <w:name w:val="sprite_close"/>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maximize">
    <w:name w:val="sprite_maximize"/>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restore">
    <w:name w:val="sprite_restore"/>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ne">
    <w:name w:val="sprite_iw_ne"/>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nw">
    <w:name w:val="sprite_iw_nw"/>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e0">
    <w:name w:val="sprite_iw_se0"/>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w0">
    <w:name w:val="sprite_iw_sw0"/>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1dl">
    <w:name w:val="sprite_iw_tab_1d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1l">
    <w:name w:val="sprite_iw_tab_1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dl">
    <w:name w:val="sprite_iw_tab_d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dr">
    <w:name w:val="sprite_iw_tab_dr"/>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l">
    <w:name w:val="sprite_iw_tab_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r">
    <w:name w:val="sprite_iw_tab_r"/>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back1dl">
    <w:name w:val="sprite_iw_tabback_1d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back1l">
    <w:name w:val="sprite_iw_tabback_1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backdl">
    <w:name w:val="sprite_iw_tabback_d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backdr">
    <w:name w:val="sprite_iw_tabback_dr"/>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backl">
    <w:name w:val="sprite_iw_tabback_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tabbackr">
    <w:name w:val="sprite_iw_tabback_r"/>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xtap">
    <w:name w:val="sprite_iw_xtap"/>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xtapl">
    <w:name w:val="sprite_iw_xtap_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xtapld">
    <w:name w:val="sprite_iw_xtap_ld"/>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xtaprd">
    <w:name w:val="sprite_iw_xtap_rd"/>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xtapu">
    <w:name w:val="sprite_iw_xtap_u"/>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xtapul">
    <w:name w:val="sprite_iw_xtap_u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ne">
    <w:name w:val="sprite_iws_ne"/>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nw">
    <w:name w:val="sprite_iws_nw"/>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se">
    <w:name w:val="sprite_iws_se"/>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sw">
    <w:name w:val="sprite_iws_sw"/>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b1dl">
    <w:name w:val="sprite_iws_tab_1d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b1l">
    <w:name w:val="sprite_iws_tab_1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bdl">
    <w:name w:val="sprite_iws_tab_d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bdo">
    <w:name w:val="sprite_iws_tab_do"/>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bdr">
    <w:name w:val="sprite_iws_tab_dr"/>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bl">
    <w:name w:val="sprite_iws_tab_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bo">
    <w:name w:val="sprite_iws_tab_o"/>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br">
    <w:name w:val="sprite_iws_tab_r"/>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p">
    <w:name w:val="sprite_iws_tap"/>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pl">
    <w:name w:val="sprite_iws_tap_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pld">
    <w:name w:val="sprite_iws_tap_ld"/>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prd">
    <w:name w:val="sprite_iws_tap_rd"/>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pu">
    <w:name w:val="sprite_iws_tap_u"/>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priteiwstapul">
    <w:name w:val="sprite_iws_tap_ul"/>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google-src-text">
    <w:name w:val="google-src-text"/>
    <w:basedOn w:val="a0"/>
    <w:rsid w:val="00662012"/>
    <w:pPr>
      <w:spacing w:before="100" w:beforeAutospacing="1" w:after="100" w:afterAutospacing="1" w:line="240" w:lineRule="auto"/>
    </w:pPr>
    <w:rPr>
      <w:rFonts w:ascii="Times New Roman" w:eastAsia="Times New Roman" w:hAnsi="Times New Roman" w:cs="Times New Roman"/>
      <w:vanish/>
      <w:sz w:val="24"/>
      <w:szCs w:val="24"/>
    </w:rPr>
  </w:style>
  <w:style w:type="paragraph" w:customStyle="1" w:styleId="affffb">
    <w:name w:val="Основной"/>
    <w:basedOn w:val="a0"/>
    <w:rsid w:val="00662012"/>
    <w:pPr>
      <w:spacing w:after="0" w:line="360" w:lineRule="auto"/>
      <w:ind w:firstLine="709"/>
      <w:jc w:val="both"/>
    </w:pPr>
    <w:rPr>
      <w:rFonts w:ascii="Times New Roman" w:eastAsia="Times New Roman" w:hAnsi="Times New Roman" w:cs="Times New Roman"/>
      <w:sz w:val="28"/>
      <w:szCs w:val="28"/>
    </w:rPr>
  </w:style>
  <w:style w:type="numbering" w:customStyle="1" w:styleId="2">
    <w:name w:val="Стиль2"/>
    <w:rsid w:val="00662012"/>
    <w:pPr>
      <w:numPr>
        <w:numId w:val="17"/>
      </w:numPr>
    </w:pPr>
  </w:style>
  <w:style w:type="numbering" w:styleId="a">
    <w:name w:val="Outline List 3"/>
    <w:basedOn w:val="a3"/>
    <w:rsid w:val="00662012"/>
    <w:pPr>
      <w:numPr>
        <w:numId w:val="18"/>
      </w:numPr>
    </w:pPr>
  </w:style>
  <w:style w:type="paragraph" w:customStyle="1" w:styleId="affffc">
    <w:name w:val="Знак Знак Знак Знак Знак Знак Знак Знак Знак Знак Знак Знак"/>
    <w:basedOn w:val="a0"/>
    <w:rsid w:val="00662012"/>
    <w:pPr>
      <w:spacing w:after="0" w:line="240" w:lineRule="auto"/>
    </w:pPr>
    <w:rPr>
      <w:rFonts w:ascii="Verdana" w:eastAsia="Times New Roman" w:hAnsi="Verdana" w:cs="Verdana"/>
      <w:sz w:val="20"/>
      <w:szCs w:val="20"/>
      <w:lang w:val="en-US" w:eastAsia="en-US"/>
    </w:rPr>
  </w:style>
  <w:style w:type="paragraph" w:customStyle="1" w:styleId="2f8">
    <w:name w:val="Табличный 2"/>
    <w:basedOn w:val="a0"/>
    <w:rsid w:val="00662012"/>
    <w:pPr>
      <w:spacing w:after="0" w:line="360" w:lineRule="auto"/>
      <w:jc w:val="center"/>
    </w:pPr>
    <w:rPr>
      <w:rFonts w:ascii="Times New Roman" w:eastAsia="Times New Roman" w:hAnsi="Times New Roman" w:cs="Times New Roman"/>
      <w:sz w:val="24"/>
      <w:szCs w:val="24"/>
    </w:rPr>
  </w:style>
  <w:style w:type="paragraph" w:customStyle="1" w:styleId="A20">
    <w:name w:val="A_2"/>
    <w:basedOn w:val="a0"/>
    <w:rsid w:val="00662012"/>
    <w:pPr>
      <w:spacing w:after="0" w:line="240" w:lineRule="auto"/>
      <w:ind w:firstLine="510"/>
      <w:jc w:val="both"/>
    </w:pPr>
    <w:rPr>
      <w:rFonts w:ascii="Times New Roman" w:eastAsia="Times New Roman" w:hAnsi="Times New Roman" w:cs="Times New Roman"/>
      <w:szCs w:val="24"/>
    </w:rPr>
  </w:style>
  <w:style w:type="paragraph" w:customStyle="1" w:styleId="FR3">
    <w:name w:val="FR3"/>
    <w:rsid w:val="00662012"/>
    <w:pPr>
      <w:widowControl w:val="0"/>
      <w:spacing w:after="0" w:line="240" w:lineRule="auto"/>
    </w:pPr>
    <w:rPr>
      <w:rFonts w:ascii="Arial" w:eastAsia="Calibri" w:hAnsi="Arial" w:cs="Times New Roman"/>
      <w:b/>
      <w:sz w:val="18"/>
      <w:szCs w:val="20"/>
      <w:lang w:val="uk-UA" w:eastAsia="ru-RU"/>
    </w:rPr>
  </w:style>
  <w:style w:type="paragraph" w:customStyle="1" w:styleId="FR1">
    <w:name w:val="FR1"/>
    <w:rsid w:val="00662012"/>
    <w:pPr>
      <w:spacing w:before="60" w:after="0" w:line="240" w:lineRule="auto"/>
      <w:jc w:val="both"/>
    </w:pPr>
    <w:rPr>
      <w:rFonts w:ascii="Arial" w:eastAsia="Calibri" w:hAnsi="Arial" w:cs="Times New Roman"/>
      <w:sz w:val="48"/>
      <w:szCs w:val="20"/>
      <w:lang w:val="en-US" w:eastAsia="ru-RU"/>
    </w:rPr>
  </w:style>
  <w:style w:type="paragraph" w:styleId="39">
    <w:name w:val="List 3"/>
    <w:basedOn w:val="a0"/>
    <w:rsid w:val="00662012"/>
    <w:pPr>
      <w:spacing w:after="0" w:line="240" w:lineRule="auto"/>
      <w:ind w:left="849" w:hanging="283"/>
    </w:pPr>
    <w:rPr>
      <w:rFonts w:ascii="Courier New" w:eastAsia="Calibri" w:hAnsi="Courier New" w:cs="Times New Roman"/>
      <w:sz w:val="20"/>
      <w:szCs w:val="20"/>
    </w:rPr>
  </w:style>
  <w:style w:type="paragraph" w:customStyle="1" w:styleId="312">
    <w:name w:val="Основной текст 31"/>
    <w:basedOn w:val="a0"/>
    <w:rsid w:val="00662012"/>
    <w:pPr>
      <w:spacing w:after="0" w:line="240" w:lineRule="auto"/>
      <w:jc w:val="both"/>
    </w:pPr>
    <w:rPr>
      <w:rFonts w:ascii="Times New Roman" w:eastAsia="Calibri" w:hAnsi="Times New Roman" w:cs="Times New Roman"/>
      <w:sz w:val="20"/>
      <w:szCs w:val="20"/>
      <w:lang w:val="uk-UA"/>
    </w:rPr>
  </w:style>
  <w:style w:type="paragraph" w:styleId="3a">
    <w:name w:val="List Continue 3"/>
    <w:basedOn w:val="a0"/>
    <w:rsid w:val="00662012"/>
    <w:pPr>
      <w:spacing w:after="120" w:line="240" w:lineRule="auto"/>
      <w:ind w:left="849"/>
    </w:pPr>
    <w:rPr>
      <w:rFonts w:ascii="Courier New" w:eastAsia="Calibri" w:hAnsi="Courier New" w:cs="Times New Roman"/>
      <w:sz w:val="20"/>
      <w:szCs w:val="20"/>
    </w:rPr>
  </w:style>
  <w:style w:type="paragraph" w:customStyle="1" w:styleId="H3">
    <w:name w:val="H3"/>
    <w:basedOn w:val="a0"/>
    <w:next w:val="a0"/>
    <w:rsid w:val="00662012"/>
    <w:pPr>
      <w:keepNext/>
      <w:spacing w:before="100" w:after="100" w:line="240" w:lineRule="auto"/>
      <w:outlineLvl w:val="3"/>
    </w:pPr>
    <w:rPr>
      <w:rFonts w:ascii="Times New Roman" w:eastAsia="Calibri" w:hAnsi="Times New Roman" w:cs="Times New Roman"/>
      <w:b/>
      <w:sz w:val="28"/>
      <w:szCs w:val="20"/>
    </w:rPr>
  </w:style>
  <w:style w:type="paragraph" w:customStyle="1" w:styleId="3110">
    <w:name w:val="Основной текст с отступом 311"/>
    <w:basedOn w:val="a0"/>
    <w:rsid w:val="00662012"/>
    <w:pPr>
      <w:tabs>
        <w:tab w:val="left" w:pos="-142"/>
      </w:tabs>
      <w:spacing w:after="0" w:line="360" w:lineRule="auto"/>
      <w:ind w:firstLine="851"/>
      <w:jc w:val="both"/>
    </w:pPr>
    <w:rPr>
      <w:rFonts w:ascii="Times New Roman" w:eastAsia="Calibri" w:hAnsi="Times New Roman" w:cs="Times New Roman"/>
      <w:sz w:val="28"/>
      <w:szCs w:val="20"/>
      <w:lang w:val="uk-UA"/>
    </w:rPr>
  </w:style>
  <w:style w:type="character" w:customStyle="1" w:styleId="st1">
    <w:name w:val="st1"/>
    <w:rsid w:val="00662012"/>
    <w:rPr>
      <w:rFonts w:cs="Times New Roman"/>
    </w:rPr>
  </w:style>
  <w:style w:type="character" w:customStyle="1" w:styleId="articleseperator">
    <w:name w:val="article_seperator"/>
    <w:basedOn w:val="a1"/>
    <w:rsid w:val="00662012"/>
  </w:style>
  <w:style w:type="character" w:customStyle="1" w:styleId="textcopy1">
    <w:name w:val="textcopy1"/>
    <w:rsid w:val="00662012"/>
    <w:rPr>
      <w:rFonts w:ascii="Verdana" w:hAnsi="Verdana" w:hint="default"/>
      <w:color w:val="000000"/>
      <w:sz w:val="14"/>
      <w:szCs w:val="14"/>
    </w:rPr>
  </w:style>
  <w:style w:type="paragraph" w:customStyle="1" w:styleId="affffd">
    <w:name w:val="Îáû÷íûé"/>
    <w:rsid w:val="00662012"/>
    <w:pPr>
      <w:spacing w:after="0" w:line="240" w:lineRule="auto"/>
    </w:pPr>
    <w:rPr>
      <w:rFonts w:ascii="Times New Roman" w:eastAsia="Times New Roman" w:hAnsi="Times New Roman" w:cs="Times New Roman"/>
      <w:sz w:val="28"/>
      <w:szCs w:val="20"/>
      <w:lang w:val="en-US" w:eastAsia="uk-UA"/>
    </w:rPr>
  </w:style>
  <w:style w:type="character" w:customStyle="1" w:styleId="FontStyle177">
    <w:name w:val="Font Style177"/>
    <w:uiPriority w:val="99"/>
    <w:rsid w:val="00662012"/>
    <w:rPr>
      <w:rFonts w:ascii="Times New Roman" w:hAnsi="Times New Roman" w:cs="Times New Roman"/>
      <w:sz w:val="24"/>
      <w:szCs w:val="24"/>
    </w:rPr>
  </w:style>
  <w:style w:type="paragraph" w:customStyle="1" w:styleId="62">
    <w:name w:val="заголовок 6"/>
    <w:basedOn w:val="a0"/>
    <w:next w:val="a0"/>
    <w:rsid w:val="00662012"/>
    <w:pPr>
      <w:keepNext/>
      <w:autoSpaceDE w:val="0"/>
      <w:autoSpaceDN w:val="0"/>
      <w:spacing w:after="0" w:line="360" w:lineRule="auto"/>
      <w:ind w:firstLine="748"/>
      <w:jc w:val="center"/>
    </w:pPr>
    <w:rPr>
      <w:rFonts w:ascii="Times New Roman" w:eastAsia="Times New Roman" w:hAnsi="Times New Roman" w:cs="Times New Roman"/>
      <w:sz w:val="28"/>
      <w:szCs w:val="28"/>
      <w:lang w:val="uk-UA"/>
    </w:rPr>
  </w:style>
  <w:style w:type="character" w:customStyle="1" w:styleId="Bodytext">
    <w:name w:val="Body text_"/>
    <w:link w:val="2f9"/>
    <w:rsid w:val="00662012"/>
    <w:rPr>
      <w:rFonts w:ascii="Times New Roman" w:eastAsia="Times New Roman" w:hAnsi="Times New Roman"/>
      <w:sz w:val="19"/>
      <w:szCs w:val="19"/>
      <w:shd w:val="clear" w:color="auto" w:fill="FFFFFF"/>
    </w:rPr>
  </w:style>
  <w:style w:type="paragraph" w:customStyle="1" w:styleId="2f9">
    <w:name w:val="Основной текст2"/>
    <w:basedOn w:val="a0"/>
    <w:link w:val="Bodytext"/>
    <w:rsid w:val="00662012"/>
    <w:pPr>
      <w:shd w:val="clear" w:color="auto" w:fill="FFFFFF"/>
      <w:spacing w:after="0" w:line="0" w:lineRule="atLeast"/>
    </w:pPr>
    <w:rPr>
      <w:rFonts w:ascii="Times New Roman" w:eastAsia="Times New Roman" w:hAnsi="Times New Roman"/>
      <w:sz w:val="19"/>
      <w:szCs w:val="19"/>
      <w:lang w:val="ru-UA" w:eastAsia="en-US"/>
    </w:rPr>
  </w:style>
  <w:style w:type="paragraph" w:customStyle="1" w:styleId="2BodyTextIndent2CharBodyTextIndent2CharCharChar">
    <w:name w:val="Основной текст с отступом 2.Body Text Indent 2 Char.Body Text Indent 2 Char Char Char"/>
    <w:basedOn w:val="a0"/>
    <w:rsid w:val="00662012"/>
    <w:pPr>
      <w:autoSpaceDE w:val="0"/>
      <w:autoSpaceDN w:val="0"/>
      <w:spacing w:after="0" w:line="360" w:lineRule="auto"/>
      <w:ind w:firstLine="709"/>
      <w:jc w:val="both"/>
    </w:pPr>
    <w:rPr>
      <w:rFonts w:ascii="Times New Roman" w:eastAsia="Times New Roman" w:hAnsi="Times New Roman" w:cs="Times New Roman"/>
      <w:sz w:val="28"/>
      <w:szCs w:val="20"/>
      <w:lang w:val="uk-UA"/>
    </w:rPr>
  </w:style>
  <w:style w:type="character" w:customStyle="1" w:styleId="HTMLTypewriter3">
    <w:name w:val="HTML Typewriter3"/>
    <w:rsid w:val="00662012"/>
    <w:rPr>
      <w:rFonts w:ascii="Courier New" w:eastAsia="Times New Roman" w:hAnsi="Courier New" w:cs="Courier New"/>
      <w:sz w:val="20"/>
      <w:szCs w:val="20"/>
    </w:rPr>
  </w:style>
  <w:style w:type="paragraph" w:customStyle="1" w:styleId="320">
    <w:name w:val="Основной текст 32"/>
    <w:basedOn w:val="a0"/>
    <w:rsid w:val="00662012"/>
    <w:pPr>
      <w:overflowPunct w:val="0"/>
      <w:autoSpaceDE w:val="0"/>
      <w:autoSpaceDN w:val="0"/>
      <w:adjustRightInd w:val="0"/>
      <w:spacing w:after="0" w:line="360" w:lineRule="auto"/>
      <w:ind w:firstLine="720"/>
      <w:jc w:val="both"/>
      <w:textAlignment w:val="baseline"/>
    </w:pPr>
    <w:rPr>
      <w:rFonts w:ascii="Times New Roman" w:eastAsia="Times New Roman" w:hAnsi="Times New Roman" w:cs="Times New Roman"/>
      <w:sz w:val="24"/>
      <w:szCs w:val="20"/>
    </w:rPr>
  </w:style>
  <w:style w:type="paragraph" w:customStyle="1" w:styleId="1f8">
    <w:name w:val="Основной текст 1"/>
    <w:basedOn w:val="a0"/>
    <w:rsid w:val="00662012"/>
    <w:pPr>
      <w:widowControl w:val="0"/>
      <w:autoSpaceDE w:val="0"/>
      <w:autoSpaceDN w:val="0"/>
      <w:spacing w:after="0" w:line="360" w:lineRule="auto"/>
      <w:ind w:firstLine="567"/>
      <w:jc w:val="both"/>
    </w:pPr>
    <w:rPr>
      <w:rFonts w:ascii="Times New Roman" w:eastAsia="Times New Roman" w:hAnsi="Times New Roman" w:cs="Times New Roman"/>
      <w:sz w:val="28"/>
      <w:szCs w:val="28"/>
      <w:lang w:val="uk-UA"/>
    </w:rPr>
  </w:style>
  <w:style w:type="paragraph" w:customStyle="1" w:styleId="header1">
    <w:name w:val="header1"/>
    <w:basedOn w:val="a0"/>
    <w:rsid w:val="00662012"/>
    <w:pPr>
      <w:tabs>
        <w:tab w:val="center" w:pos="4153"/>
        <w:tab w:val="right" w:pos="8306"/>
      </w:tabs>
      <w:autoSpaceDE w:val="0"/>
      <w:autoSpaceDN w:val="0"/>
      <w:spacing w:after="0" w:line="360" w:lineRule="auto"/>
      <w:ind w:firstLine="720"/>
      <w:jc w:val="both"/>
    </w:pPr>
    <w:rPr>
      <w:rFonts w:ascii="Times New Roman" w:eastAsia="Times New Roman" w:hAnsi="Times New Roman" w:cs="Times New Roman"/>
      <w:sz w:val="28"/>
      <w:szCs w:val="20"/>
    </w:rPr>
  </w:style>
  <w:style w:type="paragraph" w:customStyle="1" w:styleId="affffe">
    <w:name w:val="Табл"/>
    <w:basedOn w:val="a0"/>
    <w:rsid w:val="00662012"/>
    <w:pPr>
      <w:spacing w:after="0" w:line="240" w:lineRule="auto"/>
      <w:jc w:val="both"/>
    </w:pPr>
    <w:rPr>
      <w:rFonts w:ascii="Times New Roman" w:eastAsia="Times New Roman" w:hAnsi="Times New Roman" w:cs="Times New Roman"/>
      <w:sz w:val="24"/>
      <w:szCs w:val="24"/>
      <w:lang w:val="uk-UA"/>
    </w:rPr>
  </w:style>
  <w:style w:type="paragraph" w:customStyle="1" w:styleId="01">
    <w:name w:val="0таб1"/>
    <w:basedOn w:val="a0"/>
    <w:rsid w:val="00662012"/>
    <w:pPr>
      <w:tabs>
        <w:tab w:val="left" w:pos="567"/>
        <w:tab w:val="left" w:pos="709"/>
        <w:tab w:val="left" w:pos="992"/>
      </w:tabs>
      <w:autoSpaceDE w:val="0"/>
      <w:autoSpaceDN w:val="0"/>
      <w:spacing w:after="120" w:line="360" w:lineRule="auto"/>
      <w:ind w:firstLine="720"/>
      <w:jc w:val="right"/>
    </w:pPr>
    <w:rPr>
      <w:rFonts w:ascii="Times New Roman" w:eastAsia="Times New Roman" w:hAnsi="Times New Roman" w:cs="Times New Roman"/>
      <w:i/>
      <w:iCs/>
      <w:color w:val="000000"/>
      <w:sz w:val="24"/>
      <w:szCs w:val="24"/>
      <w:lang w:val="uk-UA"/>
    </w:rPr>
  </w:style>
  <w:style w:type="paragraph" w:customStyle="1" w:styleId="02">
    <w:name w:val="0таб2"/>
    <w:basedOn w:val="a0"/>
    <w:rsid w:val="00662012"/>
    <w:pPr>
      <w:tabs>
        <w:tab w:val="left" w:pos="567"/>
        <w:tab w:val="left" w:pos="709"/>
        <w:tab w:val="left" w:pos="992"/>
      </w:tabs>
      <w:autoSpaceDE w:val="0"/>
      <w:autoSpaceDN w:val="0"/>
      <w:spacing w:after="120" w:line="360" w:lineRule="auto"/>
      <w:ind w:firstLine="720"/>
      <w:jc w:val="center"/>
    </w:pPr>
    <w:rPr>
      <w:rFonts w:ascii="Times New Roman" w:eastAsia="Times New Roman" w:hAnsi="Times New Roman" w:cs="Times New Roman"/>
      <w:b/>
      <w:bCs/>
      <w:caps/>
      <w:color w:val="000000"/>
      <w:sz w:val="28"/>
      <w:szCs w:val="20"/>
      <w:lang w:val="uk-UA"/>
    </w:rPr>
  </w:style>
  <w:style w:type="paragraph" w:customStyle="1" w:styleId="03">
    <w:name w:val="0таб3"/>
    <w:basedOn w:val="a0"/>
    <w:rsid w:val="00662012"/>
    <w:pPr>
      <w:tabs>
        <w:tab w:val="left" w:pos="567"/>
        <w:tab w:val="left" w:pos="709"/>
        <w:tab w:val="left" w:pos="992"/>
      </w:tabs>
      <w:autoSpaceDE w:val="0"/>
      <w:autoSpaceDN w:val="0"/>
      <w:spacing w:before="120" w:after="120" w:line="360" w:lineRule="auto"/>
      <w:ind w:firstLine="720"/>
      <w:jc w:val="center"/>
    </w:pPr>
    <w:rPr>
      <w:rFonts w:ascii="Times New Roman" w:eastAsia="Times New Roman" w:hAnsi="Times New Roman" w:cs="Times New Roman"/>
      <w:color w:val="000000"/>
      <w:sz w:val="18"/>
      <w:szCs w:val="18"/>
      <w:lang w:val="uk-UA"/>
    </w:rPr>
  </w:style>
  <w:style w:type="paragraph" w:customStyle="1" w:styleId="04">
    <w:name w:val="0таб4"/>
    <w:basedOn w:val="03"/>
    <w:rsid w:val="00662012"/>
    <w:pPr>
      <w:spacing w:before="60" w:after="60"/>
      <w:jc w:val="left"/>
    </w:pPr>
    <w:rPr>
      <w:sz w:val="20"/>
      <w:szCs w:val="20"/>
    </w:rPr>
  </w:style>
  <w:style w:type="paragraph" w:customStyle="1" w:styleId="afffff">
    <w:name w:val="Авто: текст"/>
    <w:basedOn w:val="a0"/>
    <w:rsid w:val="00662012"/>
    <w:pPr>
      <w:autoSpaceDE w:val="0"/>
      <w:autoSpaceDN w:val="0"/>
      <w:spacing w:after="0" w:line="360" w:lineRule="auto"/>
      <w:ind w:firstLine="709"/>
      <w:jc w:val="both"/>
    </w:pPr>
    <w:rPr>
      <w:rFonts w:ascii="Times New Roman" w:eastAsia="Times New Roman" w:hAnsi="Times New Roman" w:cs="Times New Roman"/>
      <w:sz w:val="28"/>
      <w:szCs w:val="28"/>
      <w:lang w:val="uk-UA"/>
    </w:rPr>
  </w:style>
  <w:style w:type="paragraph" w:customStyle="1" w:styleId="afffff0">
    <w:name w:val="Авто: перелік"/>
    <w:basedOn w:val="afffff"/>
    <w:rsid w:val="00662012"/>
    <w:pPr>
      <w:tabs>
        <w:tab w:val="num" w:pos="360"/>
      </w:tabs>
      <w:ind w:left="340" w:hanging="340"/>
    </w:pPr>
  </w:style>
  <w:style w:type="paragraph" w:customStyle="1" w:styleId="Normal1">
    <w:name w:val="Normal1"/>
    <w:rsid w:val="00662012"/>
    <w:pPr>
      <w:autoSpaceDE w:val="0"/>
      <w:autoSpaceDN w:val="0"/>
      <w:spacing w:after="0" w:line="240" w:lineRule="auto"/>
    </w:pPr>
    <w:rPr>
      <w:rFonts w:ascii="Times New Roman" w:eastAsia="Times New Roman" w:hAnsi="Times New Roman" w:cs="Times New Roman"/>
      <w:sz w:val="26"/>
      <w:szCs w:val="26"/>
      <w:lang w:val="ru-RU" w:eastAsia="ru-RU"/>
    </w:rPr>
  </w:style>
  <w:style w:type="paragraph" w:customStyle="1" w:styleId="BodyText1">
    <w:name w:val="Body Text1"/>
    <w:basedOn w:val="a0"/>
    <w:rsid w:val="00662012"/>
    <w:pPr>
      <w:tabs>
        <w:tab w:val="left" w:pos="1843"/>
      </w:tabs>
      <w:autoSpaceDE w:val="0"/>
      <w:autoSpaceDN w:val="0"/>
      <w:spacing w:after="0" w:line="360" w:lineRule="auto"/>
      <w:ind w:firstLine="720"/>
      <w:jc w:val="center"/>
    </w:pPr>
    <w:rPr>
      <w:rFonts w:ascii="Times New Roman" w:eastAsia="Times New Roman" w:hAnsi="Times New Roman" w:cs="Times New Roman"/>
      <w:sz w:val="28"/>
      <w:szCs w:val="20"/>
    </w:rPr>
  </w:style>
  <w:style w:type="paragraph" w:customStyle="1" w:styleId="BodyText22">
    <w:name w:val="Body Text 22"/>
    <w:basedOn w:val="a0"/>
    <w:rsid w:val="00662012"/>
    <w:pPr>
      <w:autoSpaceDE w:val="0"/>
      <w:autoSpaceDN w:val="0"/>
      <w:spacing w:after="0" w:line="360" w:lineRule="auto"/>
      <w:ind w:firstLine="851"/>
      <w:jc w:val="both"/>
    </w:pPr>
    <w:rPr>
      <w:rFonts w:ascii="Times New Roman" w:eastAsia="Times New Roman" w:hAnsi="Times New Roman" w:cs="Times New Roman"/>
      <w:sz w:val="28"/>
      <w:szCs w:val="28"/>
      <w:lang w:val="uk-UA"/>
    </w:rPr>
  </w:style>
  <w:style w:type="paragraph" w:customStyle="1" w:styleId="2fa">
    <w:name w:val="Для заголовка таблиц 2"/>
    <w:basedOn w:val="af8"/>
    <w:autoRedefine/>
    <w:rsid w:val="00662012"/>
    <w:pPr>
      <w:widowControl w:val="0"/>
      <w:autoSpaceDE w:val="0"/>
      <w:autoSpaceDN w:val="0"/>
      <w:spacing w:before="60" w:after="60" w:line="360" w:lineRule="auto"/>
      <w:ind w:firstLine="720"/>
      <w:jc w:val="center"/>
    </w:pPr>
    <w:rPr>
      <w:szCs w:val="28"/>
      <w:lang w:eastAsia="en-US"/>
    </w:rPr>
  </w:style>
  <w:style w:type="paragraph" w:customStyle="1" w:styleId="afffff1">
    <w:name w:val="Для таблиц"/>
    <w:basedOn w:val="af8"/>
    <w:rsid w:val="00662012"/>
    <w:pPr>
      <w:autoSpaceDE w:val="0"/>
      <w:autoSpaceDN w:val="0"/>
      <w:spacing w:after="0" w:line="360" w:lineRule="auto"/>
      <w:ind w:firstLine="720"/>
    </w:pPr>
    <w:rPr>
      <w:sz w:val="24"/>
      <w:szCs w:val="24"/>
      <w:lang w:val="ru-RU" w:eastAsia="en-US"/>
    </w:rPr>
  </w:style>
  <w:style w:type="paragraph" w:customStyle="1" w:styleId="H5">
    <w:name w:val="H5"/>
    <w:basedOn w:val="a0"/>
    <w:next w:val="a0"/>
    <w:rsid w:val="00662012"/>
    <w:pPr>
      <w:keepNext/>
      <w:spacing w:before="100" w:after="100" w:line="360" w:lineRule="auto"/>
      <w:ind w:firstLine="720"/>
      <w:jc w:val="both"/>
      <w:outlineLvl w:val="5"/>
    </w:pPr>
    <w:rPr>
      <w:rFonts w:ascii="Times New Roman" w:eastAsia="Times New Roman" w:hAnsi="Times New Roman" w:cs="Times New Roman"/>
      <w:b/>
      <w:snapToGrid w:val="0"/>
      <w:sz w:val="28"/>
      <w:szCs w:val="20"/>
    </w:rPr>
  </w:style>
  <w:style w:type="paragraph" w:customStyle="1" w:styleId="FR2">
    <w:name w:val="FR2"/>
    <w:rsid w:val="00662012"/>
    <w:pPr>
      <w:widowControl w:val="0"/>
      <w:overflowPunct w:val="0"/>
      <w:autoSpaceDE w:val="0"/>
      <w:autoSpaceDN w:val="0"/>
      <w:adjustRightInd w:val="0"/>
      <w:spacing w:before="440" w:after="0" w:line="240" w:lineRule="auto"/>
      <w:ind w:left="40"/>
      <w:textAlignment w:val="baseline"/>
    </w:pPr>
    <w:rPr>
      <w:rFonts w:ascii="Arial" w:eastAsia="Times New Roman" w:hAnsi="Arial" w:cs="Arial"/>
      <w:sz w:val="12"/>
      <w:szCs w:val="12"/>
      <w:lang w:val="uk-UA" w:eastAsia="ru-RU"/>
    </w:rPr>
  </w:style>
  <w:style w:type="paragraph" w:customStyle="1" w:styleId="2fb">
    <w:name w:val="Знак2 Знак Знак Знак Знак Знак Знак Знак Знак Знак"/>
    <w:basedOn w:val="a0"/>
    <w:autoRedefine/>
    <w:rsid w:val="00662012"/>
    <w:pPr>
      <w:spacing w:after="160" w:line="240" w:lineRule="exact"/>
    </w:pPr>
    <w:rPr>
      <w:rFonts w:ascii="Times New Roman" w:eastAsia="Times New Roman" w:hAnsi="Times New Roman" w:cs="Times New Roman"/>
      <w:sz w:val="28"/>
      <w:szCs w:val="20"/>
      <w:lang w:val="en-US" w:eastAsia="en-US"/>
    </w:rPr>
  </w:style>
  <w:style w:type="character" w:customStyle="1" w:styleId="aff0">
    <w:name w:val="Обычный (веб) Знак"/>
    <w:link w:val="aff"/>
    <w:rsid w:val="00662012"/>
    <w:rPr>
      <w:rFonts w:ascii="Times New Roman" w:eastAsia="Times New Roman" w:hAnsi="Times New Roman" w:cs="Times New Roman"/>
      <w:sz w:val="24"/>
      <w:szCs w:val="24"/>
      <w:lang w:eastAsia="ru-RU"/>
    </w:rPr>
  </w:style>
  <w:style w:type="paragraph" w:customStyle="1" w:styleId="130">
    <w:name w:val="Основной текст13"/>
    <w:basedOn w:val="a0"/>
    <w:rsid w:val="00662012"/>
    <w:pPr>
      <w:shd w:val="clear" w:color="auto" w:fill="FFFFFF"/>
      <w:spacing w:after="0" w:line="0" w:lineRule="atLeast"/>
    </w:pPr>
    <w:rPr>
      <w:rFonts w:ascii="Times New Roman" w:eastAsia="Times New Roman" w:hAnsi="Times New Roman" w:cs="Times New Roman"/>
      <w:sz w:val="19"/>
      <w:szCs w:val="19"/>
    </w:rPr>
  </w:style>
  <w:style w:type="paragraph" w:customStyle="1" w:styleId="2110">
    <w:name w:val="Основной текст 211"/>
    <w:basedOn w:val="a0"/>
    <w:rsid w:val="00662012"/>
    <w:pPr>
      <w:spacing w:after="0" w:line="360" w:lineRule="auto"/>
      <w:ind w:firstLine="720"/>
      <w:jc w:val="both"/>
    </w:pPr>
    <w:rPr>
      <w:rFonts w:ascii="Times New Roman" w:eastAsia="Times New Roman" w:hAnsi="Times New Roman" w:cs="Times New Roman"/>
      <w:sz w:val="28"/>
      <w:szCs w:val="20"/>
      <w:lang w:val="uk-UA"/>
    </w:rPr>
  </w:style>
  <w:style w:type="paragraph" w:customStyle="1" w:styleId="213">
    <w:name w:val="Знак2 Знак Знак Знак Знак Знак Знак Знак Знак Знак1"/>
    <w:basedOn w:val="a0"/>
    <w:autoRedefine/>
    <w:rsid w:val="00662012"/>
    <w:pPr>
      <w:spacing w:after="160" w:line="240" w:lineRule="exact"/>
    </w:pPr>
    <w:rPr>
      <w:rFonts w:ascii="Times New Roman" w:eastAsia="Times New Roman" w:hAnsi="Times New Roman" w:cs="Times New Roman"/>
      <w:sz w:val="28"/>
      <w:szCs w:val="20"/>
      <w:lang w:val="en-US" w:eastAsia="en-US"/>
    </w:rPr>
  </w:style>
  <w:style w:type="paragraph" w:customStyle="1" w:styleId="214">
    <w:name w:val="Обычный21"/>
    <w:rsid w:val="00662012"/>
    <w:pPr>
      <w:spacing w:after="0" w:line="240" w:lineRule="auto"/>
    </w:pPr>
    <w:rPr>
      <w:rFonts w:ascii="Times New Roman" w:eastAsia="Times New Roman" w:hAnsi="Times New Roman" w:cs="Times New Roman"/>
      <w:snapToGrid w:val="0"/>
      <w:sz w:val="28"/>
      <w:szCs w:val="28"/>
      <w:lang w:val="ru-RU" w:eastAsia="ru-RU"/>
    </w:rPr>
  </w:style>
  <w:style w:type="paragraph" w:customStyle="1" w:styleId="215">
    <w:name w:val="Знак Знак2 Знак Знак Знак Знак Знак Знак Знак Знак Знак Знак Знак Знак Знак Знак Знак Знак Знак Знак Знак Знак Знак Знак Знак Знак Знак Знак Знак Знак Знак Знак Знак1"/>
    <w:basedOn w:val="a0"/>
    <w:rsid w:val="00662012"/>
    <w:pPr>
      <w:spacing w:after="0" w:line="240" w:lineRule="auto"/>
    </w:pPr>
    <w:rPr>
      <w:rFonts w:ascii="Verdana" w:eastAsia="Times New Roman" w:hAnsi="Verdana" w:cs="Verdana"/>
      <w:sz w:val="20"/>
      <w:szCs w:val="20"/>
      <w:lang w:val="en-US" w:eastAsia="en-US"/>
    </w:rPr>
  </w:style>
  <w:style w:type="paragraph" w:customStyle="1" w:styleId="216">
    <w:name w:val="Знак Знак2 Знак Знак Знак Знак Знак Знак Знак Знак Знак Знак Знак Знак Знак Знак Знак Знак Знак Знак Знак Знак Знак Знак Знак Знак Знак Знак Знак Знак1"/>
    <w:basedOn w:val="a0"/>
    <w:rsid w:val="00662012"/>
    <w:pPr>
      <w:spacing w:after="0" w:line="240" w:lineRule="auto"/>
    </w:pPr>
    <w:rPr>
      <w:rFonts w:ascii="Verdana" w:eastAsia="Times New Roman" w:hAnsi="Verdana" w:cs="Verdana"/>
      <w:sz w:val="20"/>
      <w:szCs w:val="20"/>
      <w:lang w:val="en-US" w:eastAsia="en-US"/>
    </w:rPr>
  </w:style>
  <w:style w:type="paragraph" w:customStyle="1" w:styleId="217">
    <w:name w:val="Абзац списка21"/>
    <w:basedOn w:val="a0"/>
    <w:rsid w:val="00662012"/>
    <w:pPr>
      <w:spacing w:after="0" w:line="240" w:lineRule="auto"/>
      <w:ind w:left="720"/>
    </w:pPr>
    <w:rPr>
      <w:rFonts w:ascii="Times New Roman" w:eastAsia="Calibri" w:hAnsi="Times New Roman" w:cs="Times New Roman"/>
      <w:sz w:val="24"/>
      <w:szCs w:val="24"/>
    </w:rPr>
  </w:style>
  <w:style w:type="character" w:customStyle="1" w:styleId="1f9">
    <w:name w:val="Нижний колонтитул Знак1"/>
    <w:uiPriority w:val="99"/>
    <w:semiHidden/>
    <w:rsid w:val="00662012"/>
    <w:rPr>
      <w:sz w:val="22"/>
      <w:szCs w:val="22"/>
    </w:rPr>
  </w:style>
  <w:style w:type="paragraph" w:customStyle="1" w:styleId="1fa">
    <w:name w:val="Верхний колонтитул1"/>
    <w:basedOn w:val="a0"/>
    <w:rsid w:val="00662012"/>
    <w:pPr>
      <w:widowControl w:val="0"/>
      <w:tabs>
        <w:tab w:val="center" w:pos="4153"/>
        <w:tab w:val="right" w:pos="8306"/>
      </w:tabs>
      <w:spacing w:after="0" w:line="240" w:lineRule="auto"/>
    </w:pPr>
    <w:rPr>
      <w:rFonts w:ascii="Times New Roman" w:eastAsia="Times New Roman" w:hAnsi="Times New Roman" w:cs="Times New Roman"/>
      <w:sz w:val="28"/>
      <w:szCs w:val="20"/>
    </w:rPr>
  </w:style>
  <w:style w:type="paragraph" w:customStyle="1" w:styleId="xl25">
    <w:name w:val="xl25"/>
    <w:basedOn w:val="a0"/>
    <w:rsid w:val="00662012"/>
    <w:pPr>
      <w:spacing w:before="100" w:after="100" w:line="240" w:lineRule="auto"/>
    </w:pPr>
    <w:rPr>
      <w:rFonts w:ascii="Arial" w:eastAsia="Times New Roman" w:hAnsi="Arial" w:cs="Times New Roman"/>
      <w:sz w:val="16"/>
      <w:szCs w:val="20"/>
    </w:rPr>
  </w:style>
  <w:style w:type="character" w:customStyle="1" w:styleId="1fb">
    <w:name w:val="Схема документа Знак1"/>
    <w:uiPriority w:val="99"/>
    <w:semiHidden/>
    <w:rsid w:val="00662012"/>
    <w:rPr>
      <w:rFonts w:ascii="Tahoma" w:eastAsia="Times New Roman" w:hAnsi="Tahoma" w:cs="Tahoma"/>
      <w:sz w:val="16"/>
      <w:szCs w:val="16"/>
    </w:rPr>
  </w:style>
  <w:style w:type="paragraph" w:customStyle="1" w:styleId="afffff2">
    <w:name w:val="Диссертация"/>
    <w:basedOn w:val="a0"/>
    <w:rsid w:val="00662012"/>
    <w:pPr>
      <w:widowControl w:val="0"/>
      <w:spacing w:after="0" w:line="346" w:lineRule="auto"/>
      <w:jc w:val="both"/>
    </w:pPr>
    <w:rPr>
      <w:rFonts w:ascii="Baltica" w:eastAsia="Times New Roman" w:hAnsi="Baltica" w:cs="Times New Roman"/>
      <w:sz w:val="28"/>
      <w:szCs w:val="20"/>
    </w:rPr>
  </w:style>
  <w:style w:type="paragraph" w:customStyle="1" w:styleId="FR4">
    <w:name w:val="FR4"/>
    <w:rsid w:val="00662012"/>
    <w:pPr>
      <w:widowControl w:val="0"/>
      <w:spacing w:before="40" w:after="0" w:line="240" w:lineRule="auto"/>
      <w:ind w:left="40"/>
    </w:pPr>
    <w:rPr>
      <w:rFonts w:ascii="Times New Roman" w:eastAsia="Times New Roman" w:hAnsi="Times New Roman" w:cs="Times New Roman"/>
      <w:b/>
      <w:sz w:val="12"/>
      <w:szCs w:val="20"/>
      <w:lang w:val="ru-RU" w:eastAsia="ru-RU"/>
    </w:rPr>
  </w:style>
  <w:style w:type="paragraph" w:customStyle="1" w:styleId="xl24">
    <w:name w:val="xl24"/>
    <w:basedOn w:val="a0"/>
    <w:rsid w:val="00662012"/>
    <w:pPr>
      <w:pBdr>
        <w:top w:val="single" w:sz="8" w:space="0" w:color="auto"/>
        <w:left w:val="single" w:sz="8" w:space="0" w:color="auto"/>
        <w:bottom w:val="single" w:sz="8" w:space="0" w:color="auto"/>
        <w:right w:val="single" w:sz="8" w:space="0" w:color="auto"/>
      </w:pBdr>
      <w:spacing w:before="100" w:after="100" w:line="240" w:lineRule="auto"/>
    </w:pPr>
    <w:rPr>
      <w:rFonts w:ascii="Arial" w:eastAsia="Times New Roman" w:hAnsi="Arial" w:cs="Times New Roman"/>
      <w:sz w:val="16"/>
      <w:szCs w:val="20"/>
    </w:rPr>
  </w:style>
  <w:style w:type="paragraph" w:customStyle="1" w:styleId="xl26">
    <w:name w:val="xl26"/>
    <w:basedOn w:val="a0"/>
    <w:rsid w:val="00662012"/>
    <w:pPr>
      <w:pBdr>
        <w:top w:val="single" w:sz="8" w:space="0" w:color="auto"/>
        <w:left w:val="single" w:sz="8" w:space="0" w:color="auto"/>
        <w:bottom w:val="single" w:sz="8" w:space="0" w:color="auto"/>
        <w:right w:val="single" w:sz="8" w:space="0" w:color="auto"/>
      </w:pBdr>
      <w:spacing w:before="100" w:after="100" w:line="240" w:lineRule="auto"/>
      <w:textAlignment w:val="center"/>
    </w:pPr>
    <w:rPr>
      <w:rFonts w:ascii="Arial" w:eastAsia="Times New Roman" w:hAnsi="Arial" w:cs="Times New Roman"/>
      <w:sz w:val="16"/>
      <w:szCs w:val="20"/>
    </w:rPr>
  </w:style>
  <w:style w:type="paragraph" w:customStyle="1" w:styleId="xl27">
    <w:name w:val="xl27"/>
    <w:basedOn w:val="a0"/>
    <w:rsid w:val="00662012"/>
    <w:pPr>
      <w:pBdr>
        <w:top w:val="single" w:sz="8" w:space="0" w:color="auto"/>
        <w:left w:val="single" w:sz="8" w:space="0" w:color="auto"/>
        <w:bottom w:val="single" w:sz="8" w:space="0" w:color="auto"/>
        <w:right w:val="single" w:sz="8" w:space="0" w:color="auto"/>
      </w:pBdr>
      <w:spacing w:before="100" w:after="100" w:line="240" w:lineRule="auto"/>
    </w:pPr>
    <w:rPr>
      <w:rFonts w:ascii="Arial" w:eastAsia="Times New Roman" w:hAnsi="Arial" w:cs="Times New Roman"/>
      <w:sz w:val="16"/>
      <w:szCs w:val="20"/>
    </w:rPr>
  </w:style>
  <w:style w:type="paragraph" w:customStyle="1" w:styleId="xl28">
    <w:name w:val="xl28"/>
    <w:basedOn w:val="a0"/>
    <w:rsid w:val="00662012"/>
    <w:pPr>
      <w:spacing w:before="100" w:after="100" w:line="240" w:lineRule="auto"/>
    </w:pPr>
    <w:rPr>
      <w:rFonts w:ascii="Arial" w:eastAsia="Times New Roman" w:hAnsi="Arial" w:cs="Times New Roman"/>
      <w:sz w:val="16"/>
      <w:szCs w:val="20"/>
    </w:rPr>
  </w:style>
  <w:style w:type="paragraph" w:customStyle="1" w:styleId="xl29">
    <w:name w:val="xl29"/>
    <w:basedOn w:val="a0"/>
    <w:rsid w:val="00662012"/>
    <w:pPr>
      <w:pBdr>
        <w:top w:val="single" w:sz="8" w:space="0" w:color="auto"/>
        <w:left w:val="single" w:sz="8" w:space="0" w:color="auto"/>
        <w:bottom w:val="single" w:sz="8" w:space="0" w:color="auto"/>
        <w:right w:val="single" w:sz="8" w:space="0" w:color="auto"/>
      </w:pBdr>
      <w:spacing w:before="100" w:after="100" w:line="240" w:lineRule="auto"/>
    </w:pPr>
    <w:rPr>
      <w:rFonts w:ascii="Arial" w:eastAsia="Times New Roman" w:hAnsi="Arial" w:cs="Times New Roman"/>
      <w:sz w:val="16"/>
      <w:szCs w:val="20"/>
    </w:rPr>
  </w:style>
  <w:style w:type="paragraph" w:customStyle="1" w:styleId="xl30">
    <w:name w:val="xl30"/>
    <w:basedOn w:val="a0"/>
    <w:rsid w:val="00662012"/>
    <w:pPr>
      <w:pBdr>
        <w:top w:val="single" w:sz="8" w:space="0" w:color="auto"/>
        <w:left w:val="single" w:sz="8" w:space="0" w:color="auto"/>
        <w:bottom w:val="single" w:sz="8" w:space="0" w:color="auto"/>
        <w:right w:val="single" w:sz="8" w:space="0" w:color="auto"/>
      </w:pBdr>
      <w:spacing w:before="100" w:after="100" w:line="240" w:lineRule="auto"/>
      <w:jc w:val="center"/>
      <w:textAlignment w:val="center"/>
    </w:pPr>
    <w:rPr>
      <w:rFonts w:ascii="Arial" w:eastAsia="Times New Roman" w:hAnsi="Arial" w:cs="Times New Roman"/>
      <w:sz w:val="16"/>
      <w:szCs w:val="20"/>
    </w:rPr>
  </w:style>
  <w:style w:type="paragraph" w:customStyle="1" w:styleId="xl31">
    <w:name w:val="xl31"/>
    <w:basedOn w:val="a0"/>
    <w:rsid w:val="00662012"/>
    <w:pPr>
      <w:pBdr>
        <w:top w:val="single" w:sz="8" w:space="0" w:color="auto"/>
        <w:left w:val="single" w:sz="8" w:space="0" w:color="auto"/>
        <w:bottom w:val="single" w:sz="8" w:space="0" w:color="auto"/>
        <w:right w:val="single" w:sz="8" w:space="0" w:color="auto"/>
      </w:pBdr>
      <w:spacing w:before="100" w:after="100" w:line="240" w:lineRule="auto"/>
      <w:jc w:val="center"/>
      <w:textAlignment w:val="center"/>
    </w:pPr>
    <w:rPr>
      <w:rFonts w:ascii="Arial" w:eastAsia="Times New Roman" w:hAnsi="Arial" w:cs="Times New Roman"/>
      <w:sz w:val="16"/>
      <w:szCs w:val="20"/>
    </w:rPr>
  </w:style>
  <w:style w:type="paragraph" w:customStyle="1" w:styleId="xl32">
    <w:name w:val="xl32"/>
    <w:basedOn w:val="a0"/>
    <w:rsid w:val="00662012"/>
    <w:pPr>
      <w:pBdr>
        <w:top w:val="single" w:sz="8" w:space="0" w:color="auto"/>
        <w:left w:val="single" w:sz="8" w:space="0" w:color="auto"/>
        <w:bottom w:val="single" w:sz="8" w:space="0" w:color="auto"/>
        <w:right w:val="single" w:sz="8" w:space="0" w:color="auto"/>
      </w:pBdr>
      <w:spacing w:before="100" w:after="100" w:line="240" w:lineRule="auto"/>
      <w:jc w:val="center"/>
      <w:textAlignment w:val="center"/>
    </w:pPr>
    <w:rPr>
      <w:rFonts w:ascii="Arial" w:eastAsia="Times New Roman" w:hAnsi="Arial" w:cs="Times New Roman"/>
      <w:sz w:val="16"/>
      <w:szCs w:val="20"/>
    </w:rPr>
  </w:style>
  <w:style w:type="paragraph" w:customStyle="1" w:styleId="xl33">
    <w:name w:val="xl33"/>
    <w:basedOn w:val="a0"/>
    <w:rsid w:val="00662012"/>
    <w:pPr>
      <w:pBdr>
        <w:top w:val="single" w:sz="8" w:space="0" w:color="auto"/>
        <w:left w:val="single" w:sz="8" w:space="0" w:color="auto"/>
        <w:bottom w:val="single" w:sz="8" w:space="0" w:color="auto"/>
        <w:right w:val="single" w:sz="8" w:space="0" w:color="auto"/>
      </w:pBdr>
      <w:spacing w:before="100" w:after="100" w:line="240" w:lineRule="auto"/>
      <w:jc w:val="center"/>
    </w:pPr>
    <w:rPr>
      <w:rFonts w:ascii="Arial" w:eastAsia="Times New Roman" w:hAnsi="Arial" w:cs="Times New Roman"/>
      <w:sz w:val="16"/>
      <w:szCs w:val="20"/>
    </w:rPr>
  </w:style>
  <w:style w:type="paragraph" w:customStyle="1" w:styleId="610">
    <w:name w:val="Оглавление 61"/>
    <w:basedOn w:val="a0"/>
    <w:next w:val="a0"/>
    <w:autoRedefine/>
    <w:rsid w:val="00662012"/>
    <w:pPr>
      <w:widowControl w:val="0"/>
      <w:tabs>
        <w:tab w:val="right" w:leader="dot" w:pos="9071"/>
      </w:tabs>
      <w:spacing w:after="0" w:line="348" w:lineRule="auto"/>
      <w:ind w:left="1400"/>
    </w:pPr>
    <w:rPr>
      <w:rFonts w:ascii="Times New Roman" w:eastAsia="Times New Roman" w:hAnsi="Times New Roman" w:cs="Times New Roman"/>
      <w:sz w:val="18"/>
      <w:szCs w:val="20"/>
    </w:rPr>
  </w:style>
  <w:style w:type="paragraph" w:customStyle="1" w:styleId="Normal32">
    <w:name w:val="Normal.Основной3.текст.2"/>
    <w:rsid w:val="00662012"/>
    <w:pPr>
      <w:autoSpaceDE w:val="0"/>
      <w:autoSpaceDN w:val="0"/>
      <w:spacing w:before="60" w:after="20" w:line="180" w:lineRule="exact"/>
      <w:jc w:val="right"/>
    </w:pPr>
    <w:rPr>
      <w:rFonts w:ascii="Times New Roman" w:eastAsia="Times New Roman" w:hAnsi="Times New Roman" w:cs="Times New Roman"/>
      <w:i/>
      <w:kern w:val="2"/>
      <w:sz w:val="18"/>
      <w:szCs w:val="20"/>
      <w:lang w:val="uk-UA" w:eastAsia="ru-RU"/>
    </w:rPr>
  </w:style>
  <w:style w:type="paragraph" w:customStyle="1" w:styleId="1fc">
    <w:name w:val="заголовок.1"/>
    <w:basedOn w:val="Normal32"/>
    <w:next w:val="Normal32"/>
    <w:rsid w:val="00662012"/>
    <w:pPr>
      <w:keepNext/>
      <w:spacing w:before="0" w:after="0" w:line="240" w:lineRule="auto"/>
      <w:jc w:val="left"/>
    </w:pPr>
    <w:rPr>
      <w:b/>
      <w:i w:val="0"/>
      <w:kern w:val="0"/>
      <w:sz w:val="20"/>
    </w:rPr>
  </w:style>
  <w:style w:type="paragraph" w:customStyle="1" w:styleId="afffff3">
    <w:name w:val="Табл. шапка"/>
    <w:basedOn w:val="a0"/>
    <w:rsid w:val="00662012"/>
    <w:pPr>
      <w:spacing w:before="20" w:after="20" w:line="160" w:lineRule="exact"/>
      <w:jc w:val="center"/>
    </w:pPr>
    <w:rPr>
      <w:rFonts w:ascii="Times New Roman" w:eastAsia="Times New Roman" w:hAnsi="Times New Roman" w:cs="Times New Roman"/>
      <w:b/>
      <w:sz w:val="14"/>
      <w:szCs w:val="20"/>
      <w:lang w:val="uk-UA"/>
    </w:rPr>
  </w:style>
  <w:style w:type="paragraph" w:customStyle="1" w:styleId="afffff4">
    <w:name w:val="Табл текст"/>
    <w:basedOn w:val="a0"/>
    <w:rsid w:val="00662012"/>
    <w:pPr>
      <w:tabs>
        <w:tab w:val="left" w:pos="171"/>
      </w:tabs>
      <w:spacing w:after="0" w:line="200" w:lineRule="exact"/>
    </w:pPr>
    <w:rPr>
      <w:rFonts w:ascii="Times New Roman" w:eastAsia="Times New Roman" w:hAnsi="Times New Roman" w:cs="Times New Roman"/>
      <w:sz w:val="18"/>
      <w:szCs w:val="20"/>
      <w:lang w:val="uk-UA"/>
    </w:rPr>
  </w:style>
  <w:style w:type="paragraph" w:customStyle="1" w:styleId="afffff5">
    <w:name w:val="Над таблицей"/>
    <w:rsid w:val="00662012"/>
    <w:pPr>
      <w:spacing w:after="40" w:line="240" w:lineRule="auto"/>
      <w:jc w:val="right"/>
    </w:pPr>
    <w:rPr>
      <w:rFonts w:ascii="Times New Roman" w:eastAsia="Times New Roman" w:hAnsi="Times New Roman" w:cs="Times New Roman"/>
      <w:i/>
      <w:sz w:val="16"/>
      <w:szCs w:val="20"/>
      <w:lang w:val="uk-UA" w:eastAsia="ru-RU"/>
    </w:rPr>
  </w:style>
  <w:style w:type="character" w:customStyle="1" w:styleId="afffff6">
    <w:name w:val="Основной текст + Полужирный"/>
    <w:rsid w:val="00662012"/>
    <w:rPr>
      <w:rFonts w:ascii="Arial" w:eastAsia="Calibri" w:hAnsi="Arial" w:cs="Times New Roman"/>
      <w:b/>
      <w:bCs/>
      <w:sz w:val="17"/>
      <w:szCs w:val="17"/>
      <w:lang w:bidi="ar-SA"/>
    </w:rPr>
  </w:style>
  <w:style w:type="character" w:customStyle="1" w:styleId="2Exact">
    <w:name w:val="Основной текст (2) Exact"/>
    <w:rsid w:val="00662012"/>
    <w:rPr>
      <w:rFonts w:ascii="Arial" w:hAnsi="Arial" w:cs="Arial"/>
      <w:b/>
      <w:bCs/>
      <w:spacing w:val="4"/>
      <w:sz w:val="16"/>
      <w:szCs w:val="16"/>
      <w:u w:val="none"/>
    </w:rPr>
  </w:style>
  <w:style w:type="character" w:customStyle="1" w:styleId="afffff7">
    <w:name w:val="Подпись к картинке_"/>
    <w:link w:val="afffff8"/>
    <w:rsid w:val="00662012"/>
    <w:rPr>
      <w:rFonts w:ascii="Arial" w:hAnsi="Arial"/>
      <w:sz w:val="17"/>
      <w:szCs w:val="17"/>
      <w:shd w:val="clear" w:color="auto" w:fill="FFFFFF"/>
    </w:rPr>
  </w:style>
  <w:style w:type="paragraph" w:customStyle="1" w:styleId="afffff8">
    <w:name w:val="Подпись к картинке"/>
    <w:basedOn w:val="a0"/>
    <w:link w:val="afffff7"/>
    <w:rsid w:val="00662012"/>
    <w:pPr>
      <w:widowControl w:val="0"/>
      <w:shd w:val="clear" w:color="auto" w:fill="FFFFFF"/>
      <w:spacing w:after="0" w:line="240" w:lineRule="atLeast"/>
    </w:pPr>
    <w:rPr>
      <w:rFonts w:ascii="Arial" w:eastAsiaTheme="minorHAnsi" w:hAnsi="Arial"/>
      <w:sz w:val="17"/>
      <w:szCs w:val="17"/>
      <w:lang w:val="ru-UA" w:eastAsia="en-US"/>
    </w:rPr>
  </w:style>
  <w:style w:type="character" w:customStyle="1" w:styleId="1fd">
    <w:name w:val="Основной текст + Полужирный1"/>
    <w:aliases w:val="Курсив"/>
    <w:rsid w:val="00662012"/>
    <w:rPr>
      <w:rFonts w:ascii="Arial" w:eastAsia="Calibri" w:hAnsi="Arial" w:cs="Arial"/>
      <w:b/>
      <w:bCs/>
      <w:i/>
      <w:iCs/>
      <w:sz w:val="17"/>
      <w:szCs w:val="17"/>
      <w:u w:val="none"/>
      <w:lang w:bidi="ar-SA"/>
    </w:rPr>
  </w:style>
  <w:style w:type="paragraph" w:customStyle="1" w:styleId="410">
    <w:name w:val="Основной текст (4)1"/>
    <w:basedOn w:val="a0"/>
    <w:rsid w:val="00662012"/>
    <w:pPr>
      <w:widowControl w:val="0"/>
      <w:shd w:val="clear" w:color="auto" w:fill="FFFFFF"/>
      <w:spacing w:after="0" w:line="192" w:lineRule="exact"/>
    </w:pPr>
    <w:rPr>
      <w:rFonts w:ascii="Arial" w:eastAsia="Calibri" w:hAnsi="Arial" w:cs="Times New Roman"/>
      <w:sz w:val="16"/>
      <w:szCs w:val="16"/>
      <w:lang w:eastAsia="en-US"/>
    </w:rPr>
  </w:style>
  <w:style w:type="paragraph" w:customStyle="1" w:styleId="3b">
    <w:name w:val="Обычный3"/>
    <w:rsid w:val="00662012"/>
    <w:pPr>
      <w:spacing w:after="0" w:line="240" w:lineRule="auto"/>
    </w:pPr>
    <w:rPr>
      <w:rFonts w:ascii="Times New Roman" w:eastAsia="Times New Roman" w:hAnsi="Times New Roman" w:cs="Times New Roman"/>
      <w:snapToGrid w:val="0"/>
      <w:sz w:val="28"/>
      <w:szCs w:val="20"/>
      <w:lang w:val="ru-RU" w:eastAsia="ru-RU"/>
    </w:rPr>
  </w:style>
  <w:style w:type="character" w:customStyle="1" w:styleId="afffff9">
    <w:name w:val="Основной текст_"/>
    <w:link w:val="3c"/>
    <w:rsid w:val="00662012"/>
    <w:rPr>
      <w:rFonts w:ascii="Arial" w:eastAsia="Arial" w:hAnsi="Arial"/>
      <w:sz w:val="23"/>
      <w:szCs w:val="23"/>
      <w:shd w:val="clear" w:color="auto" w:fill="FFFFFF"/>
    </w:rPr>
  </w:style>
  <w:style w:type="paragraph" w:customStyle="1" w:styleId="3c">
    <w:name w:val="Основной текст3"/>
    <w:basedOn w:val="a0"/>
    <w:link w:val="afffff9"/>
    <w:rsid w:val="00662012"/>
    <w:pPr>
      <w:widowControl w:val="0"/>
      <w:shd w:val="clear" w:color="auto" w:fill="FFFFFF"/>
      <w:spacing w:before="660" w:after="2700" w:line="0" w:lineRule="atLeast"/>
      <w:ind w:hanging="720"/>
      <w:jc w:val="center"/>
    </w:pPr>
    <w:rPr>
      <w:rFonts w:ascii="Arial" w:eastAsia="Arial" w:hAnsi="Arial"/>
      <w:sz w:val="23"/>
      <w:szCs w:val="23"/>
      <w:shd w:val="clear" w:color="auto" w:fill="FFFFFF"/>
      <w:lang w:val="ru-UA" w:eastAsia="en-US"/>
    </w:rPr>
  </w:style>
  <w:style w:type="paragraph" w:customStyle="1" w:styleId="45">
    <w:name w:val="Обычный4"/>
    <w:rsid w:val="00662012"/>
    <w:pPr>
      <w:spacing w:after="0" w:line="240" w:lineRule="auto"/>
    </w:pPr>
    <w:rPr>
      <w:rFonts w:ascii="Times New Roman" w:eastAsia="Times New Roman" w:hAnsi="Times New Roman" w:cs="Times New Roman"/>
      <w:snapToGrid w:val="0"/>
      <w:sz w:val="28"/>
      <w:szCs w:val="28"/>
      <w:lang w:val="ru-RU" w:eastAsia="ru-RU"/>
    </w:rPr>
  </w:style>
  <w:style w:type="paragraph" w:customStyle="1" w:styleId="111">
    <w:name w:val="Обычный (веб)11"/>
    <w:basedOn w:val="a0"/>
    <w:rsid w:val="00662012"/>
    <w:pPr>
      <w:spacing w:before="100" w:after="100" w:line="240" w:lineRule="auto"/>
    </w:pPr>
    <w:rPr>
      <w:rFonts w:ascii="Times New Roman" w:eastAsia="Times New Roman" w:hAnsi="Times New Roman" w:cs="Times New Roman"/>
      <w:color w:val="000080"/>
      <w:sz w:val="24"/>
      <w:szCs w:val="20"/>
      <w:lang w:val="en-GB" w:eastAsia="en-GB"/>
    </w:rPr>
  </w:style>
  <w:style w:type="paragraph" w:customStyle="1" w:styleId="321">
    <w:name w:val="Основной текст с отступом 32"/>
    <w:basedOn w:val="a0"/>
    <w:rsid w:val="00662012"/>
    <w:pPr>
      <w:spacing w:after="0" w:line="360" w:lineRule="auto"/>
      <w:ind w:firstLine="709"/>
      <w:jc w:val="both"/>
    </w:pPr>
    <w:rPr>
      <w:rFonts w:ascii="Times New Roman" w:eastAsia="Times New Roman" w:hAnsi="Times New Roman" w:cs="Times New Roman"/>
      <w:sz w:val="28"/>
      <w:szCs w:val="28"/>
      <w:lang w:val="uk-UA"/>
    </w:rPr>
  </w:style>
  <w:style w:type="paragraph" w:customStyle="1" w:styleId="1fe">
    <w:name w:val="Знак Знак Знак Знак1"/>
    <w:basedOn w:val="a0"/>
    <w:rsid w:val="00662012"/>
    <w:pPr>
      <w:spacing w:after="0" w:line="240" w:lineRule="auto"/>
    </w:pPr>
    <w:rPr>
      <w:rFonts w:ascii="Verdana" w:eastAsia="Times New Roman" w:hAnsi="Verdana" w:cs="Verdana"/>
      <w:sz w:val="20"/>
      <w:szCs w:val="20"/>
      <w:lang w:val="en-US" w:eastAsia="en-US"/>
    </w:rPr>
  </w:style>
  <w:style w:type="paragraph" w:customStyle="1" w:styleId="3d">
    <w:name w:val="Абзац списка3"/>
    <w:basedOn w:val="a0"/>
    <w:rsid w:val="00662012"/>
    <w:pPr>
      <w:spacing w:after="0" w:line="240" w:lineRule="auto"/>
      <w:ind w:left="720"/>
      <w:contextualSpacing/>
    </w:pPr>
    <w:rPr>
      <w:rFonts w:ascii="Times New Roman" w:eastAsia="Times New Roman" w:hAnsi="Times New Roman" w:cs="Times New Roman"/>
      <w:sz w:val="24"/>
      <w:szCs w:val="24"/>
    </w:rPr>
  </w:style>
  <w:style w:type="paragraph" w:customStyle="1" w:styleId="3210">
    <w:name w:val="Основной текст 321"/>
    <w:basedOn w:val="a0"/>
    <w:rsid w:val="00662012"/>
    <w:pPr>
      <w:overflowPunct w:val="0"/>
      <w:autoSpaceDE w:val="0"/>
      <w:autoSpaceDN w:val="0"/>
      <w:adjustRightInd w:val="0"/>
      <w:spacing w:after="0" w:line="360" w:lineRule="auto"/>
      <w:ind w:firstLine="720"/>
      <w:jc w:val="both"/>
      <w:textAlignment w:val="baseline"/>
    </w:pPr>
    <w:rPr>
      <w:rFonts w:ascii="Times New Roman" w:eastAsia="Times New Roman" w:hAnsi="Times New Roman" w:cs="Times New Roman"/>
      <w:sz w:val="24"/>
      <w:szCs w:val="20"/>
    </w:rPr>
  </w:style>
  <w:style w:type="paragraph" w:customStyle="1" w:styleId="46">
    <w:name w:val="Абзац списка4"/>
    <w:basedOn w:val="a0"/>
    <w:rsid w:val="00662012"/>
    <w:pPr>
      <w:spacing w:after="0" w:line="240" w:lineRule="auto"/>
      <w:ind w:left="720"/>
      <w:contextualSpacing/>
    </w:pPr>
    <w:rPr>
      <w:rFonts w:ascii="Times New Roman" w:eastAsia="Times New Roman" w:hAnsi="Times New Roman" w:cs="Times New Roman"/>
      <w:sz w:val="24"/>
      <w:szCs w:val="24"/>
    </w:rPr>
  </w:style>
  <w:style w:type="paragraph" w:customStyle="1" w:styleId="53">
    <w:name w:val="Обычный5"/>
    <w:rsid w:val="00662012"/>
    <w:pPr>
      <w:spacing w:after="0" w:line="240" w:lineRule="auto"/>
    </w:pPr>
    <w:rPr>
      <w:rFonts w:ascii="Times New Roman" w:eastAsia="Times New Roman" w:hAnsi="Times New Roman" w:cs="Times New Roman"/>
      <w:snapToGrid w:val="0"/>
      <w:sz w:val="28"/>
      <w:szCs w:val="20"/>
      <w:lang w:val="ru-RU" w:eastAsia="ru-RU"/>
    </w:rPr>
  </w:style>
  <w:style w:type="paragraph" w:customStyle="1" w:styleId="Iauiue0">
    <w:name w:val="Iau.iue"/>
    <w:basedOn w:val="a0"/>
    <w:next w:val="a0"/>
    <w:uiPriority w:val="99"/>
    <w:rsid w:val="00662012"/>
    <w:pPr>
      <w:autoSpaceDE w:val="0"/>
      <w:autoSpaceDN w:val="0"/>
      <w:adjustRightInd w:val="0"/>
      <w:spacing w:after="0" w:line="240" w:lineRule="auto"/>
    </w:pPr>
    <w:rPr>
      <w:rFonts w:ascii="Times New Roman" w:eastAsia="Calibri" w:hAnsi="Times New Roman" w:cs="Times New Roman"/>
      <w:sz w:val="24"/>
      <w:szCs w:val="24"/>
    </w:rPr>
  </w:style>
  <w:style w:type="paragraph" w:customStyle="1" w:styleId="63">
    <w:name w:val="Обычный6"/>
    <w:rsid w:val="00662012"/>
    <w:pPr>
      <w:spacing w:after="0" w:line="240" w:lineRule="auto"/>
      <w:ind w:left="680"/>
    </w:pPr>
    <w:rPr>
      <w:rFonts w:ascii="Times New Roman" w:eastAsia="Times New Roman" w:hAnsi="Times New Roman" w:cs="Times New Roman"/>
      <w:snapToGrid w:val="0"/>
      <w:sz w:val="28"/>
      <w:szCs w:val="20"/>
      <w:lang w:val="uk-UA" w:eastAsia="ru-RU"/>
    </w:rPr>
  </w:style>
  <w:style w:type="character" w:customStyle="1" w:styleId="1ff">
    <w:name w:val="Текст выноски Знак1"/>
    <w:uiPriority w:val="99"/>
    <w:semiHidden/>
    <w:rsid w:val="00662012"/>
    <w:rPr>
      <w:rFonts w:ascii="Tahoma" w:eastAsia="Times New Roman" w:hAnsi="Tahoma" w:cs="Tahoma"/>
      <w:sz w:val="16"/>
      <w:szCs w:val="16"/>
      <w:lang w:eastAsia="ru-RU"/>
    </w:rPr>
  </w:style>
  <w:style w:type="paragraph" w:customStyle="1" w:styleId="bodytextindent21">
    <w:name w:val="bodytextindent21"/>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
    <w:name w:val="st"/>
    <w:basedOn w:val="a1"/>
    <w:rsid w:val="00662012"/>
  </w:style>
  <w:style w:type="table" w:customStyle="1" w:styleId="1ff0">
    <w:name w:val="Светлый список1"/>
    <w:basedOn w:val="a2"/>
    <w:uiPriority w:val="61"/>
    <w:rsid w:val="00662012"/>
    <w:pPr>
      <w:spacing w:after="0" w:line="240" w:lineRule="auto"/>
    </w:pPr>
    <w:rPr>
      <w:rFonts w:ascii="Calibri" w:eastAsia="Times New Roman" w:hAnsi="Calibri" w:cs="Times New Roman"/>
      <w:sz w:val="20"/>
      <w:szCs w:val="20"/>
      <w:lang w:eastAsia="ru-UA"/>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xxmsonormal">
    <w:name w:val="x_xmsonormal"/>
    <w:basedOn w:val="a0"/>
    <w:rsid w:val="00662012"/>
    <w:pPr>
      <w:spacing w:after="0" w:line="240" w:lineRule="auto"/>
    </w:pPr>
    <w:rPr>
      <w:rFonts w:ascii="Verdana" w:eastAsia="Times New Roman" w:hAnsi="Verdana" w:cs="Times New Roman"/>
      <w:sz w:val="13"/>
      <w:szCs w:val="13"/>
      <w:lang w:val="sl-SI" w:eastAsia="sl-SI"/>
    </w:rPr>
  </w:style>
  <w:style w:type="paragraph" w:customStyle="1" w:styleId="64">
    <w:name w:val="Абзац списка6"/>
    <w:basedOn w:val="a0"/>
    <w:rsid w:val="00662012"/>
    <w:pPr>
      <w:ind w:left="720"/>
    </w:pPr>
    <w:rPr>
      <w:rFonts w:ascii="Calibri" w:eastAsia="Times New Roman" w:hAnsi="Calibri" w:cs="Times New Roman"/>
      <w:lang w:val="en-US" w:eastAsia="en-US"/>
    </w:rPr>
  </w:style>
  <w:style w:type="paragraph" w:customStyle="1" w:styleId="-1">
    <w:name w:val="А-1"/>
    <w:basedOn w:val="a0"/>
    <w:next w:val="af8"/>
    <w:link w:val="-10"/>
    <w:rsid w:val="00662012"/>
    <w:pPr>
      <w:spacing w:after="0" w:line="240" w:lineRule="auto"/>
      <w:ind w:firstLine="425"/>
      <w:jc w:val="both"/>
    </w:pPr>
    <w:rPr>
      <w:rFonts w:ascii="Times New Roman" w:eastAsia="Times New Roman" w:hAnsi="Times New Roman" w:cs="Times New Roman"/>
      <w:szCs w:val="24"/>
      <w:lang w:eastAsia="en-US"/>
    </w:rPr>
  </w:style>
  <w:style w:type="character" w:customStyle="1" w:styleId="-10">
    <w:name w:val="А-1 Знак"/>
    <w:link w:val="-1"/>
    <w:locked/>
    <w:rsid w:val="00662012"/>
    <w:rPr>
      <w:rFonts w:ascii="Times New Roman" w:eastAsia="Times New Roman" w:hAnsi="Times New Roman" w:cs="Times New Roman"/>
      <w:szCs w:val="24"/>
      <w:lang w:val="ru-RU"/>
    </w:rPr>
  </w:style>
  <w:style w:type="paragraph" w:customStyle="1" w:styleId="1ff1">
    <w:name w:val="Знак1"/>
    <w:basedOn w:val="a0"/>
    <w:uiPriority w:val="99"/>
    <w:rsid w:val="00662012"/>
    <w:pPr>
      <w:spacing w:after="0" w:line="240" w:lineRule="auto"/>
    </w:pPr>
    <w:rPr>
      <w:rFonts w:ascii="Verdana" w:eastAsia="Times New Roman" w:hAnsi="Verdana" w:cs="Verdana"/>
      <w:sz w:val="20"/>
      <w:szCs w:val="20"/>
      <w:lang w:val="en-US" w:eastAsia="en-US"/>
    </w:rPr>
  </w:style>
  <w:style w:type="paragraph" w:customStyle="1" w:styleId="218">
    <w:name w:val="Знак Знак2 Знак Знак Знак Знак Знак Знак Знак Знак Знак Знак Знак Знак Знак Знак Знак Знак Знак Знак Знак Знак Знак Знак1"/>
    <w:basedOn w:val="a0"/>
    <w:rsid w:val="00662012"/>
    <w:pPr>
      <w:spacing w:after="0" w:line="240" w:lineRule="auto"/>
    </w:pPr>
    <w:rPr>
      <w:rFonts w:ascii="Verdana" w:eastAsia="Times New Roman" w:hAnsi="Verdana" w:cs="Verdana"/>
      <w:sz w:val="20"/>
      <w:szCs w:val="20"/>
      <w:lang w:val="en-US" w:eastAsia="en-US"/>
    </w:rPr>
  </w:style>
  <w:style w:type="character" w:customStyle="1" w:styleId="47">
    <w:name w:val="Стиль4"/>
    <w:rsid w:val="00662012"/>
    <w:rPr>
      <w:b/>
      <w:bCs/>
    </w:rPr>
  </w:style>
  <w:style w:type="paragraph" w:customStyle="1" w:styleId="afffffa">
    <w:name w:val="Рисунок"/>
    <w:basedOn w:val="a0"/>
    <w:rsid w:val="00662012"/>
    <w:pPr>
      <w:widowControl w:val="0"/>
      <w:tabs>
        <w:tab w:val="left" w:pos="8784"/>
        <w:tab w:val="left" w:pos="8928"/>
      </w:tabs>
      <w:overflowPunct w:val="0"/>
      <w:autoSpaceDE w:val="0"/>
      <w:autoSpaceDN w:val="0"/>
      <w:adjustRightInd w:val="0"/>
      <w:spacing w:after="480" w:line="360" w:lineRule="atLeast"/>
      <w:jc w:val="center"/>
      <w:textAlignment w:val="baseline"/>
    </w:pPr>
    <w:rPr>
      <w:rFonts w:ascii="Times New Roman" w:eastAsia="Times New Roman" w:hAnsi="Times New Roman" w:cs="Times New Roman"/>
      <w:b/>
      <w:sz w:val="28"/>
      <w:szCs w:val="20"/>
    </w:rPr>
  </w:style>
  <w:style w:type="paragraph" w:customStyle="1" w:styleId="72">
    <w:name w:val="Обычный7"/>
    <w:rsid w:val="00662012"/>
    <w:pPr>
      <w:widowControl w:val="0"/>
      <w:spacing w:after="0" w:line="240" w:lineRule="auto"/>
    </w:pPr>
    <w:rPr>
      <w:rFonts w:ascii="Arial" w:eastAsia="Times New Roman" w:hAnsi="Arial" w:cs="Times New Roman"/>
      <w:snapToGrid w:val="0"/>
      <w:sz w:val="20"/>
      <w:szCs w:val="20"/>
      <w:lang w:val="uk-UA" w:eastAsia="ru-RU"/>
    </w:rPr>
  </w:style>
  <w:style w:type="paragraph" w:customStyle="1" w:styleId="1ff2">
    <w:name w:val="çàãîëîâîê 1"/>
    <w:basedOn w:val="a0"/>
    <w:next w:val="a0"/>
    <w:uiPriority w:val="99"/>
    <w:rsid w:val="00662012"/>
    <w:pPr>
      <w:keepNext/>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fffffb">
    <w:name w:val="Подпись к таблице_"/>
    <w:link w:val="1ff3"/>
    <w:uiPriority w:val="99"/>
    <w:rsid w:val="00662012"/>
    <w:rPr>
      <w:rFonts w:ascii="Times New Roman" w:eastAsia="Times New Roman" w:hAnsi="Times New Roman" w:cs="Times New Roman"/>
      <w:shd w:val="clear" w:color="auto" w:fill="FFFFFF"/>
    </w:rPr>
  </w:style>
  <w:style w:type="character" w:customStyle="1" w:styleId="afffffc">
    <w:name w:val="Подпись к таблице"/>
    <w:rsid w:val="00662012"/>
    <w:rPr>
      <w:rFonts w:ascii="Times New Roman" w:eastAsia="Times New Roman" w:hAnsi="Times New Roman" w:cs="Times New Roman"/>
      <w:b w:val="0"/>
      <w:bCs w:val="0"/>
      <w:i w:val="0"/>
      <w:iCs w:val="0"/>
      <w:smallCaps w:val="0"/>
      <w:strike w:val="0"/>
      <w:spacing w:val="0"/>
      <w:sz w:val="22"/>
      <w:szCs w:val="22"/>
    </w:rPr>
  </w:style>
  <w:style w:type="character" w:customStyle="1" w:styleId="Arial95pt">
    <w:name w:val="Основной текст + Arial;9;5 pt;Курсив"/>
    <w:rsid w:val="00662012"/>
    <w:rPr>
      <w:rFonts w:ascii="Arial" w:eastAsia="Arial" w:hAnsi="Arial" w:cs="Arial"/>
      <w:b w:val="0"/>
      <w:bCs w:val="0"/>
      <w:i/>
      <w:iCs/>
      <w:smallCaps w:val="0"/>
      <w:strike w:val="0"/>
      <w:spacing w:val="0"/>
      <w:sz w:val="19"/>
      <w:szCs w:val="19"/>
      <w:shd w:val="clear" w:color="auto" w:fill="FFFFFF"/>
    </w:rPr>
  </w:style>
  <w:style w:type="paragraph" w:customStyle="1" w:styleId="65">
    <w:name w:val="Основной текст6"/>
    <w:basedOn w:val="a0"/>
    <w:rsid w:val="00662012"/>
    <w:pPr>
      <w:shd w:val="clear" w:color="auto" w:fill="FFFFFF"/>
      <w:spacing w:after="0" w:line="274" w:lineRule="exact"/>
      <w:jc w:val="both"/>
    </w:pPr>
    <w:rPr>
      <w:rFonts w:ascii="Times New Roman" w:eastAsia="Times New Roman" w:hAnsi="Times New Roman" w:cs="Times New Roman"/>
      <w:color w:val="000000"/>
    </w:rPr>
  </w:style>
  <w:style w:type="character" w:customStyle="1" w:styleId="48">
    <w:name w:val="Основной текст4"/>
    <w:rsid w:val="00662012"/>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54">
    <w:name w:val="Основной текст5"/>
    <w:rsid w:val="00662012"/>
    <w:rPr>
      <w:rFonts w:ascii="Times New Roman" w:eastAsia="Times New Roman" w:hAnsi="Times New Roman" w:cs="Times New Roman"/>
      <w:b w:val="0"/>
      <w:bCs w:val="0"/>
      <w:i w:val="0"/>
      <w:iCs w:val="0"/>
      <w:smallCaps w:val="0"/>
      <w:strike w:val="0"/>
      <w:spacing w:val="0"/>
      <w:sz w:val="22"/>
      <w:szCs w:val="22"/>
      <w:shd w:val="clear" w:color="auto" w:fill="FFFFFF"/>
    </w:rPr>
  </w:style>
  <w:style w:type="paragraph" w:customStyle="1" w:styleId="82">
    <w:name w:val="Обычный8"/>
    <w:rsid w:val="00662012"/>
    <w:pPr>
      <w:spacing w:after="0" w:line="240" w:lineRule="auto"/>
    </w:pPr>
    <w:rPr>
      <w:rFonts w:ascii="Times New Roman" w:eastAsia="Times New Roman" w:hAnsi="Times New Roman" w:cs="Times New Roman"/>
      <w:snapToGrid w:val="0"/>
      <w:sz w:val="28"/>
      <w:szCs w:val="28"/>
      <w:lang w:val="ru-RU" w:eastAsia="ru-RU"/>
    </w:rPr>
  </w:style>
  <w:style w:type="paragraph" w:customStyle="1" w:styleId="221">
    <w:name w:val="Основной текст 22"/>
    <w:basedOn w:val="82"/>
    <w:rsid w:val="00662012"/>
    <w:pPr>
      <w:ind w:left="720"/>
      <w:jc w:val="both"/>
    </w:pPr>
    <w:rPr>
      <w:snapToGrid/>
      <w:sz w:val="24"/>
      <w:szCs w:val="20"/>
      <w:lang w:val="uk-UA"/>
    </w:rPr>
  </w:style>
  <w:style w:type="paragraph" w:customStyle="1" w:styleId="73">
    <w:name w:val="Абзац списка7"/>
    <w:basedOn w:val="a0"/>
    <w:rsid w:val="00662012"/>
    <w:pPr>
      <w:spacing w:after="0" w:line="240" w:lineRule="auto"/>
      <w:ind w:left="720"/>
    </w:pPr>
    <w:rPr>
      <w:rFonts w:ascii="Times New Roman" w:eastAsia="Calibri" w:hAnsi="Times New Roman" w:cs="Times New Roman"/>
      <w:sz w:val="24"/>
      <w:szCs w:val="24"/>
    </w:rPr>
  </w:style>
  <w:style w:type="paragraph" w:customStyle="1" w:styleId="330">
    <w:name w:val="Основной текст 33"/>
    <w:basedOn w:val="a0"/>
    <w:rsid w:val="00662012"/>
    <w:pPr>
      <w:overflowPunct w:val="0"/>
      <w:autoSpaceDE w:val="0"/>
      <w:autoSpaceDN w:val="0"/>
      <w:adjustRightInd w:val="0"/>
      <w:spacing w:after="0" w:line="360" w:lineRule="auto"/>
      <w:ind w:firstLine="720"/>
      <w:jc w:val="both"/>
      <w:textAlignment w:val="baseline"/>
    </w:pPr>
    <w:rPr>
      <w:rFonts w:ascii="Times New Roman" w:eastAsia="Times New Roman" w:hAnsi="Times New Roman" w:cs="Times New Roman"/>
      <w:sz w:val="24"/>
      <w:szCs w:val="20"/>
    </w:rPr>
  </w:style>
  <w:style w:type="character" w:customStyle="1" w:styleId="1ff4">
    <w:name w:val="Заголовок №1_"/>
    <w:link w:val="1ff5"/>
    <w:rsid w:val="00662012"/>
    <w:rPr>
      <w:rFonts w:ascii="Times New Roman" w:eastAsia="Times New Roman" w:hAnsi="Times New Roman"/>
      <w:sz w:val="23"/>
      <w:szCs w:val="23"/>
      <w:shd w:val="clear" w:color="auto" w:fill="FFFFFF"/>
    </w:rPr>
  </w:style>
  <w:style w:type="character" w:customStyle="1" w:styleId="afffffd">
    <w:name w:val="Основной текст + Курсив"/>
    <w:rsid w:val="00662012"/>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55">
    <w:name w:val="Основной текст (5)_"/>
    <w:link w:val="56"/>
    <w:uiPriority w:val="99"/>
    <w:rsid w:val="00662012"/>
    <w:rPr>
      <w:rFonts w:ascii="Times New Roman" w:eastAsia="Times New Roman" w:hAnsi="Times New Roman"/>
      <w:sz w:val="23"/>
      <w:szCs w:val="23"/>
      <w:shd w:val="clear" w:color="auto" w:fill="FFFFFF"/>
    </w:rPr>
  </w:style>
  <w:style w:type="character" w:customStyle="1" w:styleId="57">
    <w:name w:val="Основной текст (5) + Не полужирный;Курсив"/>
    <w:rsid w:val="00662012"/>
    <w:rPr>
      <w:rFonts w:ascii="Times New Roman" w:eastAsia="Times New Roman" w:hAnsi="Times New Roman"/>
      <w:b/>
      <w:bCs/>
      <w:i/>
      <w:iCs/>
      <w:sz w:val="23"/>
      <w:szCs w:val="23"/>
      <w:shd w:val="clear" w:color="auto" w:fill="FFFFFF"/>
    </w:rPr>
  </w:style>
  <w:style w:type="paragraph" w:customStyle="1" w:styleId="1ff5">
    <w:name w:val="Заголовок №1"/>
    <w:basedOn w:val="a0"/>
    <w:link w:val="1ff4"/>
    <w:rsid w:val="00662012"/>
    <w:pPr>
      <w:shd w:val="clear" w:color="auto" w:fill="FFFFFF"/>
      <w:spacing w:after="660" w:line="0" w:lineRule="atLeast"/>
      <w:jc w:val="right"/>
      <w:outlineLvl w:val="0"/>
    </w:pPr>
    <w:rPr>
      <w:rFonts w:ascii="Times New Roman" w:eastAsia="Times New Roman" w:hAnsi="Times New Roman"/>
      <w:sz w:val="23"/>
      <w:szCs w:val="23"/>
      <w:lang w:val="ru-UA" w:eastAsia="en-US"/>
    </w:rPr>
  </w:style>
  <w:style w:type="paragraph" w:customStyle="1" w:styleId="56">
    <w:name w:val="Основной текст (5)"/>
    <w:basedOn w:val="a0"/>
    <w:link w:val="55"/>
    <w:uiPriority w:val="99"/>
    <w:rsid w:val="00662012"/>
    <w:pPr>
      <w:shd w:val="clear" w:color="auto" w:fill="FFFFFF"/>
      <w:spacing w:before="180" w:after="0" w:line="274" w:lineRule="exact"/>
    </w:pPr>
    <w:rPr>
      <w:rFonts w:ascii="Times New Roman" w:eastAsia="Times New Roman" w:hAnsi="Times New Roman"/>
      <w:sz w:val="23"/>
      <w:szCs w:val="23"/>
      <w:lang w:val="ru-UA" w:eastAsia="en-US"/>
    </w:rPr>
  </w:style>
  <w:style w:type="paragraph" w:customStyle="1" w:styleId="140">
    <w:name w:val="Обычный + 14 пт"/>
    <w:basedOn w:val="a0"/>
    <w:rsid w:val="00662012"/>
    <w:pPr>
      <w:spacing w:after="0" w:line="240" w:lineRule="auto"/>
    </w:pPr>
    <w:rPr>
      <w:rFonts w:ascii="Times New Roman" w:eastAsia="Times New Roman" w:hAnsi="Times New Roman" w:cs="Times New Roman"/>
      <w:sz w:val="28"/>
      <w:szCs w:val="28"/>
      <w:lang w:val="uk-UA"/>
    </w:rPr>
  </w:style>
  <w:style w:type="character" w:customStyle="1" w:styleId="3e">
    <w:name w:val="Основной текст (3)_"/>
    <w:link w:val="3f"/>
    <w:rsid w:val="00662012"/>
    <w:rPr>
      <w:rFonts w:ascii="Times New Roman" w:eastAsia="Times New Roman" w:hAnsi="Times New Roman"/>
      <w:shd w:val="clear" w:color="auto" w:fill="FFFFFF"/>
    </w:rPr>
  </w:style>
  <w:style w:type="paragraph" w:customStyle="1" w:styleId="3f">
    <w:name w:val="Основной текст (3)"/>
    <w:basedOn w:val="a0"/>
    <w:link w:val="3e"/>
    <w:rsid w:val="00662012"/>
    <w:pPr>
      <w:shd w:val="clear" w:color="auto" w:fill="FFFFFF"/>
      <w:spacing w:after="0" w:line="278" w:lineRule="exact"/>
    </w:pPr>
    <w:rPr>
      <w:rFonts w:ascii="Times New Roman" w:eastAsia="Times New Roman" w:hAnsi="Times New Roman"/>
      <w:lang w:val="ru-UA" w:eastAsia="en-US"/>
    </w:rPr>
  </w:style>
  <w:style w:type="character" w:customStyle="1" w:styleId="74">
    <w:name w:val="Основной текст (7)_"/>
    <w:rsid w:val="00662012"/>
    <w:rPr>
      <w:rFonts w:ascii="Arial Narrow" w:eastAsia="Arial Narrow" w:hAnsi="Arial Narrow" w:cs="Arial Narrow"/>
      <w:b w:val="0"/>
      <w:bCs w:val="0"/>
      <w:i w:val="0"/>
      <w:iCs w:val="0"/>
      <w:smallCaps w:val="0"/>
      <w:strike w:val="0"/>
      <w:spacing w:val="0"/>
      <w:w w:val="100"/>
      <w:sz w:val="9"/>
      <w:szCs w:val="9"/>
    </w:rPr>
  </w:style>
  <w:style w:type="character" w:customStyle="1" w:styleId="75">
    <w:name w:val="Основной текст (7)"/>
    <w:rsid w:val="00662012"/>
    <w:rPr>
      <w:rFonts w:ascii="Arial Narrow" w:eastAsia="Arial Narrow" w:hAnsi="Arial Narrow" w:cs="Arial Narrow"/>
      <w:b w:val="0"/>
      <w:bCs w:val="0"/>
      <w:i w:val="0"/>
      <w:iCs w:val="0"/>
      <w:smallCaps w:val="0"/>
      <w:strike w:val="0"/>
      <w:spacing w:val="0"/>
      <w:w w:val="100"/>
      <w:sz w:val="9"/>
      <w:szCs w:val="9"/>
    </w:rPr>
  </w:style>
  <w:style w:type="character" w:customStyle="1" w:styleId="7FranklinGothicBook75pt66">
    <w:name w:val="Основной текст (7) + Franklin Gothic Book;7;5 pt;Не полужирный;Масштаб 66%"/>
    <w:rsid w:val="00662012"/>
    <w:rPr>
      <w:rFonts w:ascii="Franklin Gothic Book" w:eastAsia="Franklin Gothic Book" w:hAnsi="Franklin Gothic Book" w:cs="Franklin Gothic Book"/>
      <w:b/>
      <w:bCs/>
      <w:i w:val="0"/>
      <w:iCs w:val="0"/>
      <w:smallCaps w:val="0"/>
      <w:strike w:val="0"/>
      <w:spacing w:val="0"/>
      <w:w w:val="66"/>
      <w:sz w:val="15"/>
      <w:szCs w:val="15"/>
    </w:rPr>
  </w:style>
  <w:style w:type="character" w:customStyle="1" w:styleId="66">
    <w:name w:val="Основной текст (6)_"/>
    <w:rsid w:val="00662012"/>
    <w:rPr>
      <w:rFonts w:ascii="Arial Narrow" w:eastAsia="Arial Narrow" w:hAnsi="Arial Narrow" w:cs="Arial Narrow"/>
      <w:b w:val="0"/>
      <w:bCs w:val="0"/>
      <w:i w:val="0"/>
      <w:iCs w:val="0"/>
      <w:smallCaps w:val="0"/>
      <w:strike w:val="0"/>
      <w:spacing w:val="0"/>
      <w:w w:val="100"/>
      <w:sz w:val="12"/>
      <w:szCs w:val="12"/>
    </w:rPr>
  </w:style>
  <w:style w:type="character" w:customStyle="1" w:styleId="67">
    <w:name w:val="Основной текст (6)"/>
    <w:rsid w:val="00662012"/>
    <w:rPr>
      <w:rFonts w:ascii="Arial Narrow" w:eastAsia="Arial Narrow" w:hAnsi="Arial Narrow" w:cs="Arial Narrow"/>
      <w:b w:val="0"/>
      <w:bCs w:val="0"/>
      <w:i w:val="0"/>
      <w:iCs w:val="0"/>
      <w:smallCaps w:val="0"/>
      <w:strike w:val="0"/>
      <w:spacing w:val="0"/>
      <w:w w:val="100"/>
      <w:sz w:val="12"/>
      <w:szCs w:val="12"/>
    </w:rPr>
  </w:style>
  <w:style w:type="character" w:customStyle="1" w:styleId="6FranklinGothicBook75pt66">
    <w:name w:val="Основной текст (6) + Franklin Gothic Book;7;5 pt;Не полужирный;Масштаб 66%"/>
    <w:rsid w:val="00662012"/>
    <w:rPr>
      <w:rFonts w:ascii="Franklin Gothic Book" w:eastAsia="Franklin Gothic Book" w:hAnsi="Franklin Gothic Book" w:cs="Franklin Gothic Book"/>
      <w:b/>
      <w:bCs/>
      <w:i w:val="0"/>
      <w:iCs w:val="0"/>
      <w:smallCaps w:val="0"/>
      <w:strike w:val="0"/>
      <w:spacing w:val="0"/>
      <w:w w:val="66"/>
      <w:sz w:val="15"/>
      <w:szCs w:val="15"/>
    </w:rPr>
  </w:style>
  <w:style w:type="character" w:customStyle="1" w:styleId="112">
    <w:name w:val="Основной текст11"/>
    <w:rsid w:val="00662012"/>
    <w:rPr>
      <w:rFonts w:ascii="Arial Narrow" w:eastAsia="Arial Narrow" w:hAnsi="Arial Narrow" w:cs="Arial Narrow"/>
      <w:b w:val="0"/>
      <w:bCs w:val="0"/>
      <w:i w:val="0"/>
      <w:iCs w:val="0"/>
      <w:smallCaps w:val="0"/>
      <w:strike w:val="0"/>
      <w:spacing w:val="0"/>
      <w:w w:val="100"/>
      <w:sz w:val="17"/>
      <w:szCs w:val="17"/>
      <w:shd w:val="clear" w:color="auto" w:fill="FFFFFF"/>
    </w:rPr>
  </w:style>
  <w:style w:type="paragraph" w:customStyle="1" w:styleId="120">
    <w:name w:val="Основной текст12"/>
    <w:basedOn w:val="a0"/>
    <w:rsid w:val="00662012"/>
    <w:pPr>
      <w:shd w:val="clear" w:color="auto" w:fill="FFFFFF"/>
      <w:spacing w:before="240" w:after="0" w:line="216" w:lineRule="exact"/>
      <w:jc w:val="both"/>
    </w:pPr>
    <w:rPr>
      <w:rFonts w:ascii="Arial Narrow" w:eastAsia="Arial Narrow" w:hAnsi="Arial Narrow" w:cs="Arial Narrow"/>
      <w:color w:val="000000"/>
      <w:sz w:val="17"/>
      <w:szCs w:val="17"/>
    </w:rPr>
  </w:style>
  <w:style w:type="character" w:customStyle="1" w:styleId="afffffe">
    <w:name w:val="Сноска_"/>
    <w:rsid w:val="00662012"/>
    <w:rPr>
      <w:rFonts w:ascii="Times New Roman" w:eastAsia="Times New Roman" w:hAnsi="Times New Roman" w:cs="Times New Roman"/>
      <w:b w:val="0"/>
      <w:bCs w:val="0"/>
      <w:i w:val="0"/>
      <w:iCs w:val="0"/>
      <w:smallCaps w:val="0"/>
      <w:strike w:val="0"/>
      <w:spacing w:val="0"/>
      <w:sz w:val="17"/>
      <w:szCs w:val="17"/>
    </w:rPr>
  </w:style>
  <w:style w:type="character" w:customStyle="1" w:styleId="3f0">
    <w:name w:val="Сноска (3)_"/>
    <w:rsid w:val="00662012"/>
    <w:rPr>
      <w:rFonts w:ascii="Times New Roman" w:eastAsia="Times New Roman" w:hAnsi="Times New Roman" w:cs="Times New Roman"/>
      <w:b w:val="0"/>
      <w:bCs w:val="0"/>
      <w:i w:val="0"/>
      <w:iCs w:val="0"/>
      <w:smallCaps w:val="0"/>
      <w:strike w:val="0"/>
      <w:spacing w:val="0"/>
      <w:sz w:val="19"/>
      <w:szCs w:val="19"/>
    </w:rPr>
  </w:style>
  <w:style w:type="character" w:customStyle="1" w:styleId="affffff">
    <w:name w:val="Сноска"/>
    <w:rsid w:val="00662012"/>
    <w:rPr>
      <w:rFonts w:ascii="Times New Roman" w:eastAsia="Times New Roman" w:hAnsi="Times New Roman" w:cs="Times New Roman"/>
      <w:b w:val="0"/>
      <w:bCs w:val="0"/>
      <w:i w:val="0"/>
      <w:iCs w:val="0"/>
      <w:smallCaps w:val="0"/>
      <w:strike w:val="0"/>
      <w:spacing w:val="0"/>
      <w:sz w:val="17"/>
      <w:szCs w:val="17"/>
    </w:rPr>
  </w:style>
  <w:style w:type="character" w:customStyle="1" w:styleId="3f1">
    <w:name w:val="Сноска (3)"/>
    <w:rsid w:val="00662012"/>
    <w:rPr>
      <w:rFonts w:ascii="Times New Roman" w:eastAsia="Times New Roman" w:hAnsi="Times New Roman" w:cs="Times New Roman"/>
      <w:b w:val="0"/>
      <w:bCs w:val="0"/>
      <w:i w:val="0"/>
      <w:iCs w:val="0"/>
      <w:smallCaps w:val="0"/>
      <w:strike w:val="0"/>
      <w:spacing w:val="0"/>
      <w:sz w:val="19"/>
      <w:szCs w:val="19"/>
    </w:rPr>
  </w:style>
  <w:style w:type="character" w:customStyle="1" w:styleId="49">
    <w:name w:val="Сноска (4)_"/>
    <w:rsid w:val="00662012"/>
    <w:rPr>
      <w:rFonts w:ascii="Franklin Gothic Demi" w:eastAsia="Franklin Gothic Demi" w:hAnsi="Franklin Gothic Demi" w:cs="Franklin Gothic Demi"/>
      <w:b w:val="0"/>
      <w:bCs w:val="0"/>
      <w:i w:val="0"/>
      <w:iCs w:val="0"/>
      <w:smallCaps w:val="0"/>
      <w:strike w:val="0"/>
      <w:spacing w:val="0"/>
      <w:sz w:val="15"/>
      <w:szCs w:val="15"/>
    </w:rPr>
  </w:style>
  <w:style w:type="character" w:customStyle="1" w:styleId="4a">
    <w:name w:val="Сноска (4)"/>
    <w:rsid w:val="00662012"/>
    <w:rPr>
      <w:rFonts w:ascii="Franklin Gothic Demi" w:eastAsia="Franklin Gothic Demi" w:hAnsi="Franklin Gothic Demi" w:cs="Franklin Gothic Demi"/>
      <w:b w:val="0"/>
      <w:bCs w:val="0"/>
      <w:i w:val="0"/>
      <w:iCs w:val="0"/>
      <w:smallCaps w:val="0"/>
      <w:strike w:val="0"/>
      <w:spacing w:val="0"/>
      <w:sz w:val="15"/>
      <w:szCs w:val="15"/>
    </w:rPr>
  </w:style>
  <w:style w:type="character" w:customStyle="1" w:styleId="58">
    <w:name w:val="Сноска (5)_"/>
    <w:rsid w:val="00662012"/>
    <w:rPr>
      <w:rFonts w:ascii="Times New Roman" w:eastAsia="Times New Roman" w:hAnsi="Times New Roman" w:cs="Times New Roman"/>
      <w:b w:val="0"/>
      <w:bCs w:val="0"/>
      <w:i w:val="0"/>
      <w:iCs w:val="0"/>
      <w:smallCaps w:val="0"/>
      <w:strike w:val="0"/>
      <w:spacing w:val="0"/>
      <w:sz w:val="17"/>
      <w:szCs w:val="17"/>
    </w:rPr>
  </w:style>
  <w:style w:type="character" w:customStyle="1" w:styleId="59">
    <w:name w:val="Сноска (5)"/>
    <w:rsid w:val="00662012"/>
    <w:rPr>
      <w:rFonts w:ascii="Times New Roman" w:eastAsia="Times New Roman" w:hAnsi="Times New Roman" w:cs="Times New Roman"/>
      <w:b w:val="0"/>
      <w:bCs w:val="0"/>
      <w:i w:val="0"/>
      <w:iCs w:val="0"/>
      <w:smallCaps w:val="0"/>
      <w:strike w:val="0"/>
      <w:spacing w:val="0"/>
      <w:sz w:val="17"/>
      <w:szCs w:val="17"/>
    </w:rPr>
  </w:style>
  <w:style w:type="character" w:customStyle="1" w:styleId="121">
    <w:name w:val="Основной текст (12)_"/>
    <w:link w:val="1210"/>
    <w:rsid w:val="00662012"/>
    <w:rPr>
      <w:rFonts w:ascii="Times New Roman" w:eastAsia="Times New Roman" w:hAnsi="Times New Roman" w:cs="Times New Roman"/>
      <w:sz w:val="17"/>
      <w:szCs w:val="17"/>
      <w:shd w:val="clear" w:color="auto" w:fill="FFFFFF"/>
    </w:rPr>
  </w:style>
  <w:style w:type="character" w:customStyle="1" w:styleId="68">
    <w:name w:val="Основной текст (6) + Курсив"/>
    <w:rsid w:val="00662012"/>
    <w:rPr>
      <w:rFonts w:ascii="Times New Roman" w:eastAsia="Times New Roman" w:hAnsi="Times New Roman" w:cs="Times New Roman"/>
      <w:b w:val="0"/>
      <w:bCs w:val="0"/>
      <w:i/>
      <w:iCs/>
      <w:smallCaps w:val="0"/>
      <w:strike w:val="0"/>
      <w:spacing w:val="0"/>
      <w:w w:val="100"/>
      <w:sz w:val="17"/>
      <w:szCs w:val="17"/>
    </w:rPr>
  </w:style>
  <w:style w:type="character" w:customStyle="1" w:styleId="122">
    <w:name w:val="Основной текст (12) + Не курсив"/>
    <w:rsid w:val="00662012"/>
    <w:rPr>
      <w:rFonts w:ascii="Times New Roman" w:eastAsia="Times New Roman" w:hAnsi="Times New Roman" w:cs="Times New Roman"/>
      <w:b w:val="0"/>
      <w:bCs w:val="0"/>
      <w:i/>
      <w:iCs/>
      <w:smallCaps w:val="0"/>
      <w:strike w:val="0"/>
      <w:spacing w:val="0"/>
      <w:sz w:val="17"/>
      <w:szCs w:val="17"/>
    </w:rPr>
  </w:style>
  <w:style w:type="character" w:customStyle="1" w:styleId="123">
    <w:name w:val="Основной текст (12)"/>
    <w:uiPriority w:val="99"/>
    <w:rsid w:val="00662012"/>
    <w:rPr>
      <w:rFonts w:ascii="Times New Roman" w:eastAsia="Times New Roman" w:hAnsi="Times New Roman" w:cs="Times New Roman"/>
      <w:b w:val="0"/>
      <w:bCs w:val="0"/>
      <w:i w:val="0"/>
      <w:iCs w:val="0"/>
      <w:smallCaps w:val="0"/>
      <w:strike w:val="0"/>
      <w:sz w:val="17"/>
      <w:szCs w:val="17"/>
    </w:rPr>
  </w:style>
  <w:style w:type="paragraph" w:customStyle="1" w:styleId="workname">
    <w:name w:val="workname"/>
    <w:basedOn w:val="a0"/>
    <w:rsid w:val="00662012"/>
    <w:pPr>
      <w:spacing w:before="100" w:beforeAutospacing="1" w:after="100" w:afterAutospacing="1" w:line="240" w:lineRule="auto"/>
    </w:pPr>
    <w:rPr>
      <w:rFonts w:ascii="Times New Roman" w:eastAsia="Times New Roman" w:hAnsi="Times New Roman" w:cs="Times New Roman"/>
      <w:b/>
      <w:bCs/>
      <w:color w:val="0066FF"/>
      <w:sz w:val="24"/>
      <w:szCs w:val="24"/>
    </w:rPr>
  </w:style>
  <w:style w:type="paragraph" w:customStyle="1" w:styleId="MathematicaCellOutput">
    <w:name w:val="MathematicaCellOutput"/>
    <w:rsid w:val="00662012"/>
    <w:pPr>
      <w:autoSpaceDE w:val="0"/>
      <w:autoSpaceDN w:val="0"/>
      <w:adjustRightInd w:val="0"/>
      <w:spacing w:after="0" w:line="240" w:lineRule="auto"/>
    </w:pPr>
    <w:rPr>
      <w:rFonts w:ascii="Times" w:eastAsia="Times New Roman" w:hAnsi="Times" w:cs="Times"/>
      <w:sz w:val="26"/>
      <w:szCs w:val="26"/>
      <w:lang w:val="en-GB"/>
    </w:rPr>
  </w:style>
  <w:style w:type="character" w:customStyle="1" w:styleId="MathematicaFormatStandardForm">
    <w:name w:val="MathematicaFormatStandardForm"/>
    <w:rsid w:val="00662012"/>
    <w:rPr>
      <w:rFonts w:ascii="Courier" w:hAnsi="Courier" w:hint="default"/>
    </w:rPr>
  </w:style>
  <w:style w:type="character" w:customStyle="1" w:styleId="4b">
    <w:name w:val="Основной текст (4) + Не полужирный"/>
    <w:rsid w:val="00662012"/>
    <w:rPr>
      <w:rFonts w:ascii="Times New Roman" w:eastAsia="Times New Roman" w:hAnsi="Times New Roman" w:cs="Times New Roman"/>
      <w:b/>
      <w:bCs/>
      <w:i w:val="0"/>
      <w:iCs w:val="0"/>
      <w:smallCaps w:val="0"/>
      <w:strike w:val="0"/>
      <w:spacing w:val="0"/>
      <w:sz w:val="21"/>
      <w:szCs w:val="21"/>
      <w:shd w:val="clear" w:color="auto" w:fill="FFFFFF"/>
    </w:rPr>
  </w:style>
  <w:style w:type="paragraph" w:customStyle="1" w:styleId="Chapter">
    <w:name w:val="Chapter"/>
    <w:basedOn w:val="af8"/>
    <w:uiPriority w:val="99"/>
    <w:rsid w:val="00662012"/>
    <w:pPr>
      <w:autoSpaceDE w:val="0"/>
      <w:autoSpaceDN w:val="0"/>
      <w:adjustRightInd w:val="0"/>
      <w:spacing w:before="113" w:after="0" w:line="248" w:lineRule="atLeast"/>
      <w:jc w:val="center"/>
      <w:textAlignment w:val="center"/>
    </w:pPr>
    <w:rPr>
      <w:rFonts w:ascii="NewtonC-Bold" w:eastAsia="Calibri" w:hAnsi="NewtonC-Bold" w:cs="NewtonC-Bold"/>
      <w:b/>
      <w:bCs/>
      <w:caps/>
      <w:color w:val="000000"/>
      <w:w w:val="95"/>
      <w:sz w:val="22"/>
      <w:szCs w:val="22"/>
      <w:lang w:eastAsia="en-US"/>
    </w:rPr>
  </w:style>
  <w:style w:type="paragraph" w:customStyle="1" w:styleId="Chapter01">
    <w:name w:val="Chapter 01"/>
    <w:basedOn w:val="af8"/>
    <w:uiPriority w:val="99"/>
    <w:rsid w:val="00662012"/>
    <w:pPr>
      <w:autoSpaceDE w:val="0"/>
      <w:autoSpaceDN w:val="0"/>
      <w:adjustRightInd w:val="0"/>
      <w:spacing w:before="170" w:after="0" w:line="248" w:lineRule="atLeast"/>
      <w:jc w:val="center"/>
      <w:textAlignment w:val="center"/>
    </w:pPr>
    <w:rPr>
      <w:rFonts w:ascii="NewtonC-Bold" w:eastAsia="Calibri" w:hAnsi="NewtonC-Bold" w:cs="NewtonC-Bold"/>
      <w:b/>
      <w:bCs/>
      <w:color w:val="000000"/>
      <w:w w:val="95"/>
      <w:sz w:val="22"/>
      <w:szCs w:val="22"/>
      <w:lang w:eastAsia="en-US"/>
    </w:rPr>
  </w:style>
  <w:style w:type="paragraph" w:customStyle="1" w:styleId="NoParagraphStyle">
    <w:name w:val="[No Paragraph Style]"/>
    <w:rsid w:val="00662012"/>
    <w:pPr>
      <w:autoSpaceDE w:val="0"/>
      <w:autoSpaceDN w:val="0"/>
      <w:adjustRightInd w:val="0"/>
      <w:spacing w:after="0" w:line="288" w:lineRule="auto"/>
      <w:textAlignment w:val="center"/>
    </w:pPr>
    <w:rPr>
      <w:rFonts w:ascii="Times New Roman" w:eastAsia="Calibri" w:hAnsi="Times New Roman" w:cs="Times New Roman"/>
      <w:color w:val="000000"/>
      <w:sz w:val="24"/>
      <w:szCs w:val="24"/>
      <w:lang w:val="en-US"/>
    </w:rPr>
  </w:style>
  <w:style w:type="paragraph" w:customStyle="1" w:styleId="TableHead">
    <w:name w:val="Table Head"/>
    <w:basedOn w:val="NoParagraphStyle"/>
    <w:uiPriority w:val="99"/>
    <w:rsid w:val="00662012"/>
    <w:pPr>
      <w:suppressAutoHyphens/>
      <w:spacing w:line="180" w:lineRule="atLeast"/>
      <w:jc w:val="center"/>
    </w:pPr>
    <w:rPr>
      <w:rFonts w:ascii="NewtonC-Bold" w:hAnsi="NewtonC-Bold" w:cs="NewtonC-Bold"/>
      <w:b/>
      <w:bCs/>
      <w:w w:val="95"/>
      <w:sz w:val="18"/>
      <w:szCs w:val="18"/>
      <w:lang w:val="uk-UA"/>
    </w:rPr>
  </w:style>
  <w:style w:type="paragraph" w:customStyle="1" w:styleId="TableText">
    <w:name w:val="Table Text"/>
    <w:basedOn w:val="NoParagraphStyle"/>
    <w:uiPriority w:val="99"/>
    <w:rsid w:val="00662012"/>
    <w:pPr>
      <w:suppressAutoHyphens/>
      <w:spacing w:line="220" w:lineRule="atLeast"/>
    </w:pPr>
    <w:rPr>
      <w:rFonts w:ascii="NewtonC" w:hAnsi="NewtonC" w:cs="NewtonC"/>
      <w:w w:val="95"/>
      <w:sz w:val="21"/>
      <w:szCs w:val="21"/>
      <w:lang w:val="uk-UA"/>
    </w:rPr>
  </w:style>
  <w:style w:type="character" w:customStyle="1" w:styleId="s1">
    <w:name w:val="s1"/>
    <w:rsid w:val="00662012"/>
  </w:style>
  <w:style w:type="character" w:customStyle="1" w:styleId="hpsalt-edited">
    <w:name w:val="hps alt-edited"/>
    <w:basedOn w:val="a1"/>
    <w:rsid w:val="00662012"/>
  </w:style>
  <w:style w:type="character" w:customStyle="1" w:styleId="im">
    <w:name w:val="im"/>
    <w:basedOn w:val="a1"/>
    <w:rsid w:val="00662012"/>
  </w:style>
  <w:style w:type="paragraph" w:customStyle="1" w:styleId="p1">
    <w:name w:val="p1"/>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0">
    <w:name w:val="Содержимое таблицы"/>
    <w:basedOn w:val="a0"/>
    <w:rsid w:val="00662012"/>
    <w:pPr>
      <w:suppressLineNumbers/>
      <w:suppressAutoHyphens/>
      <w:spacing w:after="0" w:line="240" w:lineRule="auto"/>
    </w:pPr>
    <w:rPr>
      <w:rFonts w:ascii="Times New Roman" w:eastAsia="Times New Roman" w:hAnsi="Times New Roman" w:cs="Times New Roman"/>
      <w:sz w:val="24"/>
      <w:szCs w:val="24"/>
      <w:lang w:val="uk-UA" w:eastAsia="ar-SA"/>
    </w:rPr>
  </w:style>
  <w:style w:type="paragraph" w:customStyle="1" w:styleId="-">
    <w:name w:val="Стих-Стихи"/>
    <w:basedOn w:val="a0"/>
    <w:rsid w:val="00662012"/>
    <w:pPr>
      <w:autoSpaceDE w:val="0"/>
      <w:autoSpaceDN w:val="0"/>
      <w:adjustRightInd w:val="0"/>
      <w:spacing w:after="180" w:line="240" w:lineRule="auto"/>
      <w:ind w:left="567" w:firstLine="454"/>
      <w:jc w:val="both"/>
    </w:pPr>
    <w:rPr>
      <w:rFonts w:ascii="Times New Roman" w:eastAsia="Times New Roman" w:hAnsi="Times New Roman" w:cs="Times New Roman"/>
      <w:lang w:val="uk-UA"/>
    </w:rPr>
  </w:style>
  <w:style w:type="paragraph" w:customStyle="1" w:styleId="1ff6">
    <w:name w:val="Знак Знак1 Знак Знак Знак Знак"/>
    <w:basedOn w:val="a0"/>
    <w:rsid w:val="00662012"/>
    <w:pPr>
      <w:spacing w:after="160" w:line="240" w:lineRule="exact"/>
    </w:pPr>
    <w:rPr>
      <w:rFonts w:ascii="Arial" w:eastAsia="Times New Roman" w:hAnsi="Arial" w:cs="Arial"/>
      <w:sz w:val="20"/>
      <w:szCs w:val="20"/>
      <w:lang w:val="en-US" w:eastAsia="en-US"/>
    </w:rPr>
  </w:style>
  <w:style w:type="character" w:customStyle="1" w:styleId="260">
    <w:name w:val="Основний текст (2)6"/>
    <w:rsid w:val="00662012"/>
    <w:rPr>
      <w:sz w:val="16"/>
      <w:szCs w:val="16"/>
      <w:lang w:bidi="ar-SA"/>
    </w:rPr>
  </w:style>
  <w:style w:type="paragraph" w:customStyle="1" w:styleId="124">
    <w:name w:val="А_12"/>
    <w:basedOn w:val="a0"/>
    <w:rsid w:val="00662012"/>
    <w:pPr>
      <w:spacing w:after="0" w:line="240" w:lineRule="auto"/>
      <w:ind w:firstLine="567"/>
      <w:jc w:val="both"/>
    </w:pPr>
    <w:rPr>
      <w:rFonts w:ascii="Times New Roman" w:eastAsia="Times New Roman" w:hAnsi="Times New Roman" w:cs="Times New Roman"/>
      <w:sz w:val="24"/>
      <w:szCs w:val="24"/>
      <w:lang w:val="uk-UA"/>
    </w:rPr>
  </w:style>
  <w:style w:type="character" w:customStyle="1" w:styleId="acopre">
    <w:name w:val="acopre"/>
    <w:basedOn w:val="a1"/>
    <w:rsid w:val="00662012"/>
  </w:style>
  <w:style w:type="paragraph" w:customStyle="1" w:styleId="1ff7">
    <w:name w:val="1 УДК"/>
    <w:basedOn w:val="af8"/>
    <w:link w:val="1ff8"/>
    <w:qFormat/>
    <w:rsid w:val="00662012"/>
    <w:pPr>
      <w:spacing w:after="0"/>
    </w:pPr>
    <w:rPr>
      <w:b/>
      <w:sz w:val="24"/>
    </w:rPr>
  </w:style>
  <w:style w:type="character" w:customStyle="1" w:styleId="1ff8">
    <w:name w:val="1 УДК Знак"/>
    <w:link w:val="1ff7"/>
    <w:rsid w:val="00662012"/>
    <w:rPr>
      <w:rFonts w:ascii="Times New Roman" w:eastAsia="Times New Roman" w:hAnsi="Times New Roman" w:cs="Times New Roman"/>
      <w:b/>
      <w:sz w:val="24"/>
      <w:szCs w:val="20"/>
      <w:lang w:val="uk-UA" w:eastAsia="ru-RU"/>
    </w:rPr>
  </w:style>
  <w:style w:type="character" w:customStyle="1" w:styleId="shorttext">
    <w:name w:val="short_text"/>
    <w:basedOn w:val="a1"/>
    <w:rsid w:val="00662012"/>
  </w:style>
  <w:style w:type="character" w:customStyle="1" w:styleId="3f2">
    <w:name w:val="Основной текст (3) + Полужирный"/>
    <w:rsid w:val="00662012"/>
    <w:rPr>
      <w:rFonts w:ascii="Calibri" w:eastAsia="Calibri" w:hAnsi="Calibri" w:cs="Calibri"/>
      <w:b/>
      <w:bCs/>
      <w:i w:val="0"/>
      <w:iCs w:val="0"/>
      <w:smallCaps w:val="0"/>
      <w:strike w:val="0"/>
      <w:spacing w:val="0"/>
      <w:w w:val="80"/>
      <w:sz w:val="16"/>
      <w:szCs w:val="16"/>
      <w:shd w:val="clear" w:color="auto" w:fill="FFFFFF"/>
      <w:lang w:val="en-US"/>
    </w:rPr>
  </w:style>
  <w:style w:type="character" w:customStyle="1" w:styleId="2fc">
    <w:name w:val="Основной текст (2) + Курсив"/>
    <w:rsid w:val="00662012"/>
    <w:rPr>
      <w:rFonts w:ascii="Calibri" w:eastAsia="Calibri" w:hAnsi="Calibri" w:cs="Calibri"/>
      <w:b w:val="0"/>
      <w:bCs w:val="0"/>
      <w:i/>
      <w:iCs/>
      <w:smallCaps w:val="0"/>
      <w:strike w:val="0"/>
      <w:spacing w:val="0"/>
      <w:w w:val="90"/>
      <w:sz w:val="17"/>
      <w:szCs w:val="17"/>
      <w:shd w:val="clear" w:color="auto" w:fill="FFFFFF"/>
    </w:rPr>
  </w:style>
  <w:style w:type="character" w:customStyle="1" w:styleId="contactwithdropdown-headeremail-bc">
    <w:name w:val="contactwithdropdown-headeremail-bc"/>
    <w:basedOn w:val="a1"/>
    <w:rsid w:val="00662012"/>
  </w:style>
  <w:style w:type="character" w:customStyle="1" w:styleId="affffff1">
    <w:name w:val="Основной текст + Полужирный;Курсив"/>
    <w:rsid w:val="00662012"/>
    <w:rPr>
      <w:rFonts w:ascii="Times New Roman" w:eastAsia="Arial" w:hAnsi="Times New Roman"/>
      <w:b/>
      <w:bCs/>
      <w:i/>
      <w:iCs/>
      <w:sz w:val="27"/>
      <w:szCs w:val="27"/>
      <w:shd w:val="clear" w:color="auto" w:fill="FFFFFF"/>
    </w:rPr>
  </w:style>
  <w:style w:type="character" w:customStyle="1" w:styleId="tlid-translation">
    <w:name w:val="tlid-translation"/>
    <w:basedOn w:val="a1"/>
    <w:rsid w:val="00662012"/>
  </w:style>
  <w:style w:type="character" w:customStyle="1" w:styleId="tooltipsall">
    <w:name w:val="tooltipsall"/>
    <w:basedOn w:val="a1"/>
    <w:rsid w:val="00662012"/>
  </w:style>
  <w:style w:type="paragraph" w:customStyle="1" w:styleId="-11">
    <w:name w:val="дисер-Стиль1"/>
    <w:basedOn w:val="a0"/>
    <w:link w:val="-12"/>
    <w:qFormat/>
    <w:rsid w:val="00662012"/>
    <w:pPr>
      <w:spacing w:after="0" w:line="360" w:lineRule="auto"/>
      <w:ind w:firstLine="709"/>
    </w:pPr>
    <w:rPr>
      <w:rFonts w:ascii="Times New Roman" w:eastAsia="Calibri" w:hAnsi="Times New Roman" w:cs="Times New Roman"/>
      <w:sz w:val="20"/>
      <w:szCs w:val="20"/>
    </w:rPr>
  </w:style>
  <w:style w:type="character" w:customStyle="1" w:styleId="-12">
    <w:name w:val="дисер-Стиль1 Знак"/>
    <w:link w:val="-11"/>
    <w:rsid w:val="00662012"/>
    <w:rPr>
      <w:rFonts w:ascii="Times New Roman" w:eastAsia="Calibri" w:hAnsi="Times New Roman" w:cs="Times New Roman"/>
      <w:sz w:val="20"/>
      <w:szCs w:val="20"/>
      <w:lang w:val="ru-RU" w:eastAsia="ru-RU"/>
    </w:rPr>
  </w:style>
  <w:style w:type="paragraph" w:customStyle="1" w:styleId="xfmc2">
    <w:name w:val="xfmc2"/>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lfuvd">
    <w:name w:val="ilfuvd"/>
    <w:basedOn w:val="a1"/>
    <w:rsid w:val="00662012"/>
  </w:style>
  <w:style w:type="paragraph" w:styleId="z-">
    <w:name w:val="HTML Top of Form"/>
    <w:basedOn w:val="a0"/>
    <w:next w:val="a0"/>
    <w:link w:val="z-0"/>
    <w:hidden/>
    <w:uiPriority w:val="99"/>
    <w:semiHidden/>
    <w:unhideWhenUsed/>
    <w:rsid w:val="00662012"/>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Начало формы Знак"/>
    <w:basedOn w:val="a1"/>
    <w:link w:val="z-"/>
    <w:uiPriority w:val="99"/>
    <w:semiHidden/>
    <w:rsid w:val="00662012"/>
    <w:rPr>
      <w:rFonts w:ascii="Arial" w:eastAsia="Times New Roman" w:hAnsi="Arial" w:cs="Arial"/>
      <w:vanish/>
      <w:sz w:val="16"/>
      <w:szCs w:val="16"/>
      <w:lang w:val="ru-RU" w:eastAsia="ru-RU"/>
    </w:rPr>
  </w:style>
  <w:style w:type="paragraph" w:styleId="z-1">
    <w:name w:val="HTML Bottom of Form"/>
    <w:basedOn w:val="a0"/>
    <w:next w:val="a0"/>
    <w:link w:val="z-2"/>
    <w:hidden/>
    <w:uiPriority w:val="99"/>
    <w:unhideWhenUsed/>
    <w:rsid w:val="00662012"/>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Конец формы Знак"/>
    <w:basedOn w:val="a1"/>
    <w:link w:val="z-1"/>
    <w:uiPriority w:val="99"/>
    <w:rsid w:val="00662012"/>
    <w:rPr>
      <w:rFonts w:ascii="Arial" w:eastAsia="Times New Roman" w:hAnsi="Arial" w:cs="Arial"/>
      <w:vanish/>
      <w:sz w:val="16"/>
      <w:szCs w:val="16"/>
      <w:lang w:val="ru-RU" w:eastAsia="ru-RU"/>
    </w:rPr>
  </w:style>
  <w:style w:type="character" w:customStyle="1" w:styleId="xfm41535331">
    <w:name w:val="xfm_41535331"/>
    <w:basedOn w:val="a1"/>
    <w:rsid w:val="00662012"/>
  </w:style>
  <w:style w:type="character" w:customStyle="1" w:styleId="0pt">
    <w:name w:val="Основной текст + Интервал 0 pt"/>
    <w:rsid w:val="00662012"/>
    <w:rPr>
      <w:rFonts w:ascii="Times New Roman" w:eastAsia="Times New Roman" w:hAnsi="Times New Roman" w:cs="Times New Roman"/>
      <w:b w:val="0"/>
      <w:bCs w:val="0"/>
      <w:i w:val="0"/>
      <w:iCs w:val="0"/>
      <w:smallCaps w:val="0"/>
      <w:strike w:val="0"/>
      <w:color w:val="000000"/>
      <w:spacing w:val="-2"/>
      <w:w w:val="100"/>
      <w:position w:val="0"/>
      <w:sz w:val="16"/>
      <w:szCs w:val="16"/>
      <w:u w:val="none"/>
      <w:shd w:val="clear" w:color="auto" w:fill="FFFFFF"/>
      <w:lang w:val="uk-UA" w:eastAsia="uk-UA" w:bidi="uk-UA"/>
    </w:rPr>
  </w:style>
  <w:style w:type="character" w:customStyle="1" w:styleId="go">
    <w:name w:val="go"/>
    <w:basedOn w:val="a1"/>
    <w:rsid w:val="00662012"/>
  </w:style>
  <w:style w:type="character" w:customStyle="1" w:styleId="ff3">
    <w:name w:val="ff3"/>
    <w:basedOn w:val="a1"/>
    <w:rsid w:val="00662012"/>
  </w:style>
  <w:style w:type="character" w:customStyle="1" w:styleId="ff4">
    <w:name w:val="ff4"/>
    <w:basedOn w:val="a1"/>
    <w:rsid w:val="00662012"/>
  </w:style>
  <w:style w:type="paragraph" w:customStyle="1" w:styleId="83">
    <w:name w:val="Абзац списка8"/>
    <w:basedOn w:val="a0"/>
    <w:rsid w:val="00662012"/>
    <w:pPr>
      <w:ind w:left="720"/>
      <w:contextualSpacing/>
    </w:pPr>
    <w:rPr>
      <w:rFonts w:ascii="Calibri" w:eastAsia="Times New Roman" w:hAnsi="Calibri" w:cs="Times New Roman"/>
    </w:rPr>
  </w:style>
  <w:style w:type="character" w:customStyle="1" w:styleId="jlqj4b">
    <w:name w:val="jlqj4b"/>
    <w:basedOn w:val="a1"/>
    <w:rsid w:val="00662012"/>
  </w:style>
  <w:style w:type="character" w:customStyle="1" w:styleId="1ff9">
    <w:name w:val="Основной текст с отступом Знак1"/>
    <w:aliases w:val="Головний текст Знак1"/>
    <w:uiPriority w:val="99"/>
    <w:semiHidden/>
    <w:rsid w:val="00662012"/>
    <w:rPr>
      <w:rFonts w:ascii="Times New Roman" w:eastAsia="Times New Roman" w:hAnsi="Times New Roman" w:cs="Times New Roman"/>
      <w:sz w:val="24"/>
      <w:szCs w:val="24"/>
      <w:lang w:eastAsia="ru-RU"/>
    </w:rPr>
  </w:style>
  <w:style w:type="character" w:customStyle="1" w:styleId="1ffa">
    <w:name w:val="Заголовок 1б"/>
    <w:rsid w:val="00662012"/>
    <w:rPr>
      <w:spacing w:val="-4"/>
      <w:kern w:val="2"/>
    </w:rPr>
  </w:style>
  <w:style w:type="paragraph" w:customStyle="1" w:styleId="91">
    <w:name w:val="Обычный9"/>
    <w:rsid w:val="00662012"/>
    <w:pPr>
      <w:spacing w:after="0" w:line="240" w:lineRule="auto"/>
    </w:pPr>
    <w:rPr>
      <w:rFonts w:ascii="Times New Roman" w:eastAsia="Times New Roman" w:hAnsi="Times New Roman" w:cs="Times New Roman"/>
      <w:snapToGrid w:val="0"/>
      <w:sz w:val="28"/>
      <w:szCs w:val="28"/>
      <w:lang w:val="ru-RU" w:eastAsia="ru-RU"/>
    </w:rPr>
  </w:style>
  <w:style w:type="paragraph" w:customStyle="1" w:styleId="2fd">
    <w:name w:val="Обычный (веб)2"/>
    <w:basedOn w:val="a0"/>
    <w:rsid w:val="00662012"/>
    <w:pPr>
      <w:spacing w:before="100" w:after="100" w:line="240" w:lineRule="auto"/>
    </w:pPr>
    <w:rPr>
      <w:rFonts w:ascii="Times New Roman" w:eastAsia="Times New Roman" w:hAnsi="Times New Roman" w:cs="Times New Roman"/>
      <w:color w:val="000080"/>
      <w:sz w:val="24"/>
      <w:szCs w:val="20"/>
      <w:lang w:val="en-GB" w:eastAsia="en-GB"/>
    </w:rPr>
  </w:style>
  <w:style w:type="paragraph" w:customStyle="1" w:styleId="331">
    <w:name w:val="Основной текст с отступом 33"/>
    <w:basedOn w:val="a0"/>
    <w:rsid w:val="00662012"/>
    <w:pPr>
      <w:spacing w:after="0" w:line="360" w:lineRule="auto"/>
      <w:ind w:firstLine="709"/>
      <w:jc w:val="both"/>
    </w:pPr>
    <w:rPr>
      <w:rFonts w:ascii="Times New Roman" w:eastAsia="Times New Roman" w:hAnsi="Times New Roman" w:cs="Times New Roman"/>
      <w:sz w:val="28"/>
      <w:szCs w:val="28"/>
      <w:lang w:val="uk-UA"/>
    </w:rPr>
  </w:style>
  <w:style w:type="paragraph" w:customStyle="1" w:styleId="3f3">
    <w:name w:val="Знак Знак Знак Знак3"/>
    <w:basedOn w:val="a0"/>
    <w:rsid w:val="00662012"/>
    <w:pPr>
      <w:spacing w:after="0" w:line="240" w:lineRule="auto"/>
    </w:pPr>
    <w:rPr>
      <w:rFonts w:ascii="Verdana" w:eastAsia="Times New Roman" w:hAnsi="Verdana" w:cs="Verdana"/>
      <w:sz w:val="20"/>
      <w:szCs w:val="20"/>
      <w:lang w:val="en-US" w:eastAsia="en-US"/>
    </w:rPr>
  </w:style>
  <w:style w:type="paragraph" w:customStyle="1" w:styleId="3f4">
    <w:name w:val="Знак Знак Знак Знак Знак Знак Знак3"/>
    <w:basedOn w:val="a0"/>
    <w:rsid w:val="00662012"/>
    <w:pPr>
      <w:spacing w:after="0" w:line="240" w:lineRule="auto"/>
    </w:pPr>
    <w:rPr>
      <w:rFonts w:ascii="Verdana" w:eastAsia="Times New Roman" w:hAnsi="Verdana" w:cs="Verdana"/>
      <w:sz w:val="20"/>
      <w:szCs w:val="20"/>
      <w:lang w:val="en-US" w:eastAsia="en-US"/>
    </w:rPr>
  </w:style>
  <w:style w:type="paragraph" w:customStyle="1" w:styleId="76">
    <w:name w:val="Основной текст7"/>
    <w:basedOn w:val="a0"/>
    <w:rsid w:val="00662012"/>
    <w:pPr>
      <w:spacing w:after="0" w:line="360" w:lineRule="auto"/>
      <w:jc w:val="both"/>
    </w:pPr>
    <w:rPr>
      <w:rFonts w:ascii="Arial Narrow" w:eastAsia="Times New Roman" w:hAnsi="Arial Narrow" w:cs="Times New Roman"/>
      <w:b/>
      <w:sz w:val="28"/>
      <w:szCs w:val="20"/>
      <w:lang w:val="uk-UA"/>
    </w:rPr>
  </w:style>
  <w:style w:type="paragraph" w:customStyle="1" w:styleId="92">
    <w:name w:val="Абзац списка9"/>
    <w:basedOn w:val="a0"/>
    <w:rsid w:val="00662012"/>
    <w:pPr>
      <w:ind w:left="720"/>
      <w:contextualSpacing/>
    </w:pPr>
    <w:rPr>
      <w:rFonts w:ascii="Calibri" w:eastAsia="Times New Roman" w:hAnsi="Calibri" w:cs="Times New Roman"/>
    </w:rPr>
  </w:style>
  <w:style w:type="paragraph" w:customStyle="1" w:styleId="4c">
    <w:name w:val="Знак4"/>
    <w:basedOn w:val="a0"/>
    <w:rsid w:val="00662012"/>
    <w:pPr>
      <w:spacing w:after="0" w:line="240" w:lineRule="auto"/>
    </w:pPr>
    <w:rPr>
      <w:rFonts w:ascii="Verdana" w:eastAsia="Times New Roman" w:hAnsi="Verdana" w:cs="Verdana"/>
      <w:sz w:val="20"/>
      <w:szCs w:val="20"/>
      <w:lang w:val="en-US" w:eastAsia="en-US"/>
    </w:rPr>
  </w:style>
  <w:style w:type="paragraph" w:customStyle="1" w:styleId="2fe">
    <w:name w:val="Текст2"/>
    <w:basedOn w:val="a0"/>
    <w:rsid w:val="00662012"/>
    <w:pPr>
      <w:spacing w:after="0" w:line="240" w:lineRule="auto"/>
    </w:pPr>
    <w:rPr>
      <w:rFonts w:ascii="Courier New" w:eastAsia="Times New Roman" w:hAnsi="Courier New" w:cs="Times New Roman"/>
      <w:noProof/>
      <w:sz w:val="20"/>
      <w:szCs w:val="20"/>
    </w:rPr>
  </w:style>
  <w:style w:type="paragraph" w:customStyle="1" w:styleId="230">
    <w:name w:val="Основной текст 23"/>
    <w:basedOn w:val="91"/>
    <w:rsid w:val="00662012"/>
    <w:pPr>
      <w:ind w:left="720"/>
      <w:jc w:val="both"/>
    </w:pPr>
    <w:rPr>
      <w:snapToGrid/>
      <w:sz w:val="24"/>
      <w:szCs w:val="20"/>
      <w:lang w:val="uk-UA"/>
    </w:rPr>
  </w:style>
  <w:style w:type="paragraph" w:customStyle="1" w:styleId="231">
    <w:name w:val="Знак Знак2 Знак Знак Знак Знак Знак Знак Знак Знак Знак Знак Знак Знак Знак Знак Знак Знак Знак Знак Знак Знак Знак Знак Знак Знак Знак Знак Знак Знак Знак Знак Знак3"/>
    <w:basedOn w:val="a0"/>
    <w:rsid w:val="00662012"/>
    <w:pPr>
      <w:spacing w:after="0" w:line="240" w:lineRule="auto"/>
    </w:pPr>
    <w:rPr>
      <w:rFonts w:ascii="Verdana" w:eastAsia="Times New Roman" w:hAnsi="Verdana" w:cs="Verdana"/>
      <w:sz w:val="20"/>
      <w:szCs w:val="20"/>
      <w:lang w:val="en-US" w:eastAsia="en-US"/>
    </w:rPr>
  </w:style>
  <w:style w:type="paragraph" w:customStyle="1" w:styleId="232">
    <w:name w:val="Знак Знак2 Знак Знак Знак Знак Знак Знак Знак Знак Знак Знак Знак Знак Знак Знак Знак Знак Знак Знак Знак Знак Знак Знак Знак Знак Знак Знак Знак Знак3"/>
    <w:basedOn w:val="a0"/>
    <w:rsid w:val="00662012"/>
    <w:pPr>
      <w:spacing w:after="0" w:line="240" w:lineRule="auto"/>
    </w:pPr>
    <w:rPr>
      <w:rFonts w:ascii="Verdana" w:eastAsia="Times New Roman" w:hAnsi="Verdana" w:cs="Verdana"/>
      <w:sz w:val="20"/>
      <w:szCs w:val="20"/>
      <w:lang w:val="en-US" w:eastAsia="en-US"/>
    </w:rPr>
  </w:style>
  <w:style w:type="paragraph" w:customStyle="1" w:styleId="240">
    <w:name w:val="Знак Знак2 Знак Знак Знак Знак Знак Знак Знак Знак Знак Знак Знак Знак Знак Знак Знак Знак Знак Знак Знак Знак Знак Знак4"/>
    <w:basedOn w:val="a0"/>
    <w:rsid w:val="00662012"/>
    <w:pPr>
      <w:spacing w:after="0" w:line="240" w:lineRule="auto"/>
    </w:pPr>
    <w:rPr>
      <w:rFonts w:ascii="Verdana" w:eastAsia="Times New Roman" w:hAnsi="Verdana" w:cs="Verdana"/>
      <w:sz w:val="20"/>
      <w:szCs w:val="20"/>
      <w:lang w:val="en-US" w:eastAsia="en-US"/>
    </w:rPr>
  </w:style>
  <w:style w:type="paragraph" w:customStyle="1" w:styleId="340">
    <w:name w:val="Основной текст 34"/>
    <w:basedOn w:val="a0"/>
    <w:rsid w:val="00662012"/>
    <w:pPr>
      <w:overflowPunct w:val="0"/>
      <w:autoSpaceDE w:val="0"/>
      <w:autoSpaceDN w:val="0"/>
      <w:adjustRightInd w:val="0"/>
      <w:spacing w:after="0" w:line="360" w:lineRule="auto"/>
      <w:ind w:firstLine="720"/>
      <w:jc w:val="both"/>
      <w:textAlignment w:val="baseline"/>
    </w:pPr>
    <w:rPr>
      <w:rFonts w:ascii="Times New Roman" w:eastAsia="Times New Roman" w:hAnsi="Times New Roman" w:cs="Times New Roman"/>
      <w:sz w:val="24"/>
      <w:szCs w:val="20"/>
    </w:rPr>
  </w:style>
  <w:style w:type="paragraph" w:customStyle="1" w:styleId="233">
    <w:name w:val="Знак2 Знак Знак Знак Знак Знак Знак Знак Знак Знак3"/>
    <w:basedOn w:val="a0"/>
    <w:autoRedefine/>
    <w:rsid w:val="00662012"/>
    <w:pPr>
      <w:spacing w:after="160" w:line="240" w:lineRule="exact"/>
    </w:pPr>
    <w:rPr>
      <w:rFonts w:ascii="Times New Roman" w:eastAsia="Times New Roman" w:hAnsi="Times New Roman" w:cs="Times New Roman"/>
      <w:sz w:val="28"/>
      <w:szCs w:val="20"/>
      <w:lang w:val="en-US" w:eastAsia="en-US"/>
    </w:rPr>
  </w:style>
  <w:style w:type="paragraph" w:customStyle="1" w:styleId="125">
    <w:name w:val="Знак Знак1 Знак Знак Знак Знак2"/>
    <w:basedOn w:val="a0"/>
    <w:rsid w:val="00662012"/>
    <w:pPr>
      <w:spacing w:after="160" w:line="240" w:lineRule="exact"/>
    </w:pPr>
    <w:rPr>
      <w:rFonts w:ascii="Arial" w:eastAsia="Times New Roman" w:hAnsi="Arial" w:cs="Arial"/>
      <w:sz w:val="20"/>
      <w:szCs w:val="20"/>
      <w:lang w:val="en-US" w:eastAsia="en-US"/>
    </w:rPr>
  </w:style>
  <w:style w:type="paragraph" w:customStyle="1" w:styleId="100">
    <w:name w:val="Обычный10"/>
    <w:rsid w:val="00662012"/>
    <w:pPr>
      <w:spacing w:after="0" w:line="240" w:lineRule="auto"/>
    </w:pPr>
    <w:rPr>
      <w:rFonts w:ascii="Times New Roman" w:eastAsia="Times New Roman" w:hAnsi="Times New Roman" w:cs="Times New Roman"/>
      <w:snapToGrid w:val="0"/>
      <w:sz w:val="28"/>
      <w:szCs w:val="28"/>
      <w:lang w:val="ru-RU" w:eastAsia="ru-RU"/>
    </w:rPr>
  </w:style>
  <w:style w:type="paragraph" w:customStyle="1" w:styleId="3f5">
    <w:name w:val="Обычный (веб)3"/>
    <w:basedOn w:val="a0"/>
    <w:rsid w:val="00662012"/>
    <w:pPr>
      <w:spacing w:before="100" w:after="100" w:line="240" w:lineRule="auto"/>
    </w:pPr>
    <w:rPr>
      <w:rFonts w:ascii="Times New Roman" w:eastAsia="Times New Roman" w:hAnsi="Times New Roman" w:cs="Times New Roman"/>
      <w:color w:val="000080"/>
      <w:sz w:val="24"/>
      <w:szCs w:val="20"/>
      <w:lang w:val="en-GB" w:eastAsia="en-GB"/>
    </w:rPr>
  </w:style>
  <w:style w:type="paragraph" w:customStyle="1" w:styleId="341">
    <w:name w:val="Основной текст с отступом 34"/>
    <w:basedOn w:val="a0"/>
    <w:rsid w:val="00662012"/>
    <w:pPr>
      <w:spacing w:after="0" w:line="360" w:lineRule="auto"/>
      <w:ind w:firstLine="709"/>
      <w:jc w:val="both"/>
    </w:pPr>
    <w:rPr>
      <w:rFonts w:ascii="Times New Roman" w:eastAsia="Times New Roman" w:hAnsi="Times New Roman" w:cs="Times New Roman"/>
      <w:sz w:val="28"/>
      <w:szCs w:val="28"/>
      <w:lang w:val="uk-UA"/>
    </w:rPr>
  </w:style>
  <w:style w:type="paragraph" w:customStyle="1" w:styleId="2ff">
    <w:name w:val="Знак Знак Знак Знак2"/>
    <w:basedOn w:val="a0"/>
    <w:rsid w:val="00662012"/>
    <w:pPr>
      <w:spacing w:after="0" w:line="240" w:lineRule="auto"/>
    </w:pPr>
    <w:rPr>
      <w:rFonts w:ascii="Verdana" w:eastAsia="Times New Roman" w:hAnsi="Verdana" w:cs="Verdana"/>
      <w:sz w:val="20"/>
      <w:szCs w:val="20"/>
      <w:lang w:val="en-US" w:eastAsia="en-US"/>
    </w:rPr>
  </w:style>
  <w:style w:type="paragraph" w:customStyle="1" w:styleId="2ff0">
    <w:name w:val="Знак Знак Знак Знак Знак Знак Знак2"/>
    <w:basedOn w:val="a0"/>
    <w:rsid w:val="00662012"/>
    <w:pPr>
      <w:spacing w:after="0" w:line="240" w:lineRule="auto"/>
    </w:pPr>
    <w:rPr>
      <w:rFonts w:ascii="Verdana" w:eastAsia="Times New Roman" w:hAnsi="Verdana" w:cs="Verdana"/>
      <w:sz w:val="20"/>
      <w:szCs w:val="20"/>
      <w:lang w:val="en-US" w:eastAsia="en-US"/>
    </w:rPr>
  </w:style>
  <w:style w:type="paragraph" w:customStyle="1" w:styleId="84">
    <w:name w:val="Основной текст8"/>
    <w:basedOn w:val="a0"/>
    <w:rsid w:val="00662012"/>
    <w:pPr>
      <w:spacing w:after="0" w:line="360" w:lineRule="auto"/>
      <w:jc w:val="both"/>
    </w:pPr>
    <w:rPr>
      <w:rFonts w:ascii="Arial Narrow" w:eastAsia="Times New Roman" w:hAnsi="Arial Narrow" w:cs="Times New Roman"/>
      <w:b/>
      <w:sz w:val="28"/>
      <w:szCs w:val="20"/>
      <w:lang w:val="uk-UA"/>
    </w:rPr>
  </w:style>
  <w:style w:type="paragraph" w:customStyle="1" w:styleId="101">
    <w:name w:val="Абзац списка10"/>
    <w:basedOn w:val="a0"/>
    <w:rsid w:val="00662012"/>
    <w:pPr>
      <w:ind w:left="720"/>
      <w:contextualSpacing/>
    </w:pPr>
    <w:rPr>
      <w:rFonts w:ascii="Calibri" w:eastAsia="Times New Roman" w:hAnsi="Calibri" w:cs="Times New Roman"/>
    </w:rPr>
  </w:style>
  <w:style w:type="paragraph" w:customStyle="1" w:styleId="3f6">
    <w:name w:val="Знак3"/>
    <w:basedOn w:val="a0"/>
    <w:rsid w:val="00662012"/>
    <w:pPr>
      <w:spacing w:after="0" w:line="240" w:lineRule="auto"/>
    </w:pPr>
    <w:rPr>
      <w:rFonts w:ascii="Verdana" w:eastAsia="Times New Roman" w:hAnsi="Verdana" w:cs="Verdana"/>
      <w:sz w:val="20"/>
      <w:szCs w:val="20"/>
      <w:lang w:val="en-US" w:eastAsia="en-US"/>
    </w:rPr>
  </w:style>
  <w:style w:type="paragraph" w:customStyle="1" w:styleId="3f7">
    <w:name w:val="Текст3"/>
    <w:basedOn w:val="a0"/>
    <w:rsid w:val="00662012"/>
    <w:pPr>
      <w:spacing w:after="0" w:line="240" w:lineRule="auto"/>
    </w:pPr>
    <w:rPr>
      <w:rFonts w:ascii="Courier New" w:eastAsia="Times New Roman" w:hAnsi="Courier New" w:cs="Times New Roman"/>
      <w:noProof/>
      <w:sz w:val="20"/>
      <w:szCs w:val="20"/>
    </w:rPr>
  </w:style>
  <w:style w:type="paragraph" w:customStyle="1" w:styleId="241">
    <w:name w:val="Основной текст 24"/>
    <w:basedOn w:val="100"/>
    <w:rsid w:val="00662012"/>
    <w:pPr>
      <w:ind w:left="720"/>
      <w:jc w:val="both"/>
    </w:pPr>
    <w:rPr>
      <w:snapToGrid/>
      <w:sz w:val="24"/>
      <w:szCs w:val="20"/>
      <w:lang w:val="uk-UA"/>
    </w:rPr>
  </w:style>
  <w:style w:type="paragraph" w:customStyle="1" w:styleId="222">
    <w:name w:val="Знак Знак2 Знак Знак Знак Знак Знак Знак Знак Знак Знак Знак Знак Знак Знак Знак Знак Знак Знак Знак Знак Знак Знак Знак Знак Знак Знак Знак Знак Знак Знак Знак Знак2"/>
    <w:basedOn w:val="a0"/>
    <w:rsid w:val="00662012"/>
    <w:pPr>
      <w:spacing w:after="0" w:line="240" w:lineRule="auto"/>
    </w:pPr>
    <w:rPr>
      <w:rFonts w:ascii="Verdana" w:eastAsia="Times New Roman" w:hAnsi="Verdana" w:cs="Verdana"/>
      <w:sz w:val="20"/>
      <w:szCs w:val="20"/>
      <w:lang w:val="en-US" w:eastAsia="en-US"/>
    </w:rPr>
  </w:style>
  <w:style w:type="paragraph" w:customStyle="1" w:styleId="223">
    <w:name w:val="Знак Знак2 Знак Знак Знак Знак Знак Знак Знак Знак Знак Знак Знак Знак Знак Знак Знак Знак Знак Знак Знак Знак Знак Знак Знак Знак Знак Знак Знак Знак2"/>
    <w:basedOn w:val="a0"/>
    <w:rsid w:val="00662012"/>
    <w:pPr>
      <w:spacing w:after="0" w:line="240" w:lineRule="auto"/>
    </w:pPr>
    <w:rPr>
      <w:rFonts w:ascii="Verdana" w:eastAsia="Times New Roman" w:hAnsi="Verdana" w:cs="Verdana"/>
      <w:sz w:val="20"/>
      <w:szCs w:val="20"/>
      <w:lang w:val="en-US" w:eastAsia="en-US"/>
    </w:rPr>
  </w:style>
  <w:style w:type="paragraph" w:customStyle="1" w:styleId="234">
    <w:name w:val="Знак Знак2 Знак Знак Знак Знак Знак Знак Знак Знак Знак Знак Знак Знак Знак Знак Знак Знак Знак Знак Знак Знак Знак Знак3"/>
    <w:basedOn w:val="a0"/>
    <w:rsid w:val="00662012"/>
    <w:pPr>
      <w:spacing w:after="0" w:line="240" w:lineRule="auto"/>
    </w:pPr>
    <w:rPr>
      <w:rFonts w:ascii="Verdana" w:eastAsia="Times New Roman" w:hAnsi="Verdana" w:cs="Verdana"/>
      <w:sz w:val="20"/>
      <w:szCs w:val="20"/>
      <w:lang w:val="en-US" w:eastAsia="en-US"/>
    </w:rPr>
  </w:style>
  <w:style w:type="paragraph" w:customStyle="1" w:styleId="350">
    <w:name w:val="Основной текст 35"/>
    <w:basedOn w:val="a0"/>
    <w:rsid w:val="00662012"/>
    <w:pPr>
      <w:overflowPunct w:val="0"/>
      <w:autoSpaceDE w:val="0"/>
      <w:autoSpaceDN w:val="0"/>
      <w:adjustRightInd w:val="0"/>
      <w:spacing w:after="0" w:line="360" w:lineRule="auto"/>
      <w:ind w:firstLine="720"/>
      <w:jc w:val="both"/>
      <w:textAlignment w:val="baseline"/>
    </w:pPr>
    <w:rPr>
      <w:rFonts w:ascii="Times New Roman" w:eastAsia="Times New Roman" w:hAnsi="Times New Roman" w:cs="Times New Roman"/>
      <w:sz w:val="24"/>
      <w:szCs w:val="20"/>
    </w:rPr>
  </w:style>
  <w:style w:type="paragraph" w:customStyle="1" w:styleId="224">
    <w:name w:val="Знак2 Знак Знак Знак Знак Знак Знак Знак Знак Знак2"/>
    <w:basedOn w:val="a0"/>
    <w:autoRedefine/>
    <w:rsid w:val="00662012"/>
    <w:pPr>
      <w:spacing w:after="160" w:line="240" w:lineRule="exact"/>
    </w:pPr>
    <w:rPr>
      <w:rFonts w:ascii="Times New Roman" w:eastAsia="Times New Roman" w:hAnsi="Times New Roman" w:cs="Times New Roman"/>
      <w:sz w:val="28"/>
      <w:szCs w:val="20"/>
      <w:lang w:val="en-US" w:eastAsia="en-US"/>
    </w:rPr>
  </w:style>
  <w:style w:type="paragraph" w:customStyle="1" w:styleId="113">
    <w:name w:val="Знак Знак1 Знак Знак Знак Знак1"/>
    <w:basedOn w:val="a0"/>
    <w:rsid w:val="00662012"/>
    <w:pPr>
      <w:spacing w:after="160" w:line="240" w:lineRule="exact"/>
    </w:pPr>
    <w:rPr>
      <w:rFonts w:ascii="Arial" w:eastAsia="Times New Roman" w:hAnsi="Arial" w:cs="Arial"/>
      <w:sz w:val="20"/>
      <w:szCs w:val="20"/>
      <w:lang w:val="en-US" w:eastAsia="en-US"/>
    </w:rPr>
  </w:style>
  <w:style w:type="paragraph" w:customStyle="1" w:styleId="affffff2">
    <w:name w:val="Знак Знак Знак"/>
    <w:basedOn w:val="a0"/>
    <w:rsid w:val="00662012"/>
    <w:pPr>
      <w:spacing w:after="0" w:line="240" w:lineRule="auto"/>
    </w:pPr>
    <w:rPr>
      <w:rFonts w:ascii="Verdana" w:eastAsia="Times New Roman" w:hAnsi="Verdana" w:cs="Times New Roman"/>
      <w:sz w:val="20"/>
      <w:szCs w:val="20"/>
      <w:lang w:val="en-US" w:eastAsia="en-US"/>
    </w:rPr>
  </w:style>
  <w:style w:type="character" w:customStyle="1" w:styleId="rvts28">
    <w:name w:val="rvts28"/>
    <w:rsid w:val="00662012"/>
    <w:rPr>
      <w:rFonts w:ascii="Times New Roman" w:hAnsi="Times New Roman" w:cs="Times New Roman" w:hint="default"/>
      <w:color w:val="000000"/>
      <w:sz w:val="24"/>
      <w:szCs w:val="24"/>
    </w:rPr>
  </w:style>
  <w:style w:type="character" w:customStyle="1" w:styleId="rvts29">
    <w:name w:val="rvts29"/>
    <w:rsid w:val="00662012"/>
    <w:rPr>
      <w:rFonts w:ascii="Times New Roman" w:hAnsi="Times New Roman" w:cs="Times New Roman" w:hint="default"/>
      <w:color w:val="000000"/>
      <w:sz w:val="24"/>
      <w:szCs w:val="24"/>
    </w:rPr>
  </w:style>
  <w:style w:type="paragraph" w:customStyle="1" w:styleId="rvps5">
    <w:name w:val="rvps5"/>
    <w:basedOn w:val="a0"/>
    <w:rsid w:val="00662012"/>
    <w:pPr>
      <w:spacing w:after="0" w:line="240" w:lineRule="auto"/>
      <w:ind w:firstLine="705"/>
      <w:jc w:val="both"/>
    </w:pPr>
    <w:rPr>
      <w:rFonts w:ascii="Times New Roman" w:eastAsia="Times New Roman" w:hAnsi="Times New Roman" w:cs="Times New Roman"/>
      <w:sz w:val="24"/>
      <w:szCs w:val="24"/>
    </w:rPr>
  </w:style>
  <w:style w:type="character" w:customStyle="1" w:styleId="rvts30">
    <w:name w:val="rvts30"/>
    <w:rsid w:val="00662012"/>
    <w:rPr>
      <w:rFonts w:ascii="Times New Roman" w:hAnsi="Times New Roman" w:cs="Times New Roman" w:hint="default"/>
      <w:color w:val="000000"/>
      <w:sz w:val="24"/>
      <w:szCs w:val="24"/>
    </w:rPr>
  </w:style>
  <w:style w:type="character" w:customStyle="1" w:styleId="2ff1">
    <w:name w:val="Заголовок №2_"/>
    <w:link w:val="2ff2"/>
    <w:rsid w:val="00662012"/>
    <w:rPr>
      <w:rFonts w:ascii="Arial" w:eastAsia="Arial" w:hAnsi="Arial" w:cs="Arial"/>
      <w:sz w:val="25"/>
      <w:szCs w:val="25"/>
      <w:shd w:val="clear" w:color="auto" w:fill="FFFFFF"/>
    </w:rPr>
  </w:style>
  <w:style w:type="paragraph" w:customStyle="1" w:styleId="2ff2">
    <w:name w:val="Заголовок №2"/>
    <w:basedOn w:val="a0"/>
    <w:link w:val="2ff1"/>
    <w:rsid w:val="00662012"/>
    <w:pPr>
      <w:shd w:val="clear" w:color="auto" w:fill="FFFFFF"/>
      <w:spacing w:after="420" w:line="0" w:lineRule="atLeast"/>
      <w:outlineLvl w:val="1"/>
    </w:pPr>
    <w:rPr>
      <w:rFonts w:ascii="Arial" w:eastAsia="Arial" w:hAnsi="Arial" w:cs="Arial"/>
      <w:sz w:val="25"/>
      <w:szCs w:val="25"/>
      <w:lang w:val="ru-UA" w:eastAsia="en-US"/>
    </w:rPr>
  </w:style>
  <w:style w:type="character" w:customStyle="1" w:styleId="2ff3">
    <w:name w:val="Основной текст (2) + Полужирный"/>
    <w:uiPriority w:val="99"/>
    <w:rsid w:val="00662012"/>
    <w:rPr>
      <w:rFonts w:ascii="Arial" w:hAnsi="Arial" w:cs="Arial"/>
      <w:b/>
      <w:bCs/>
      <w:i/>
      <w:iCs/>
      <w:spacing w:val="0"/>
      <w:sz w:val="22"/>
      <w:szCs w:val="22"/>
      <w:shd w:val="clear" w:color="auto" w:fill="FFFFFF"/>
      <w:lang w:val="en-US" w:eastAsia="en-US"/>
    </w:rPr>
  </w:style>
  <w:style w:type="character" w:customStyle="1" w:styleId="A70">
    <w:name w:val="A7"/>
    <w:uiPriority w:val="99"/>
    <w:rsid w:val="00662012"/>
    <w:rPr>
      <w:rFonts w:cs="HelveticaC"/>
      <w:color w:val="000000"/>
      <w:sz w:val="12"/>
      <w:szCs w:val="12"/>
    </w:rPr>
  </w:style>
  <w:style w:type="character" w:customStyle="1" w:styleId="4d">
    <w:name w:val="Заголовок №4_"/>
    <w:link w:val="4e"/>
    <w:rsid w:val="00662012"/>
    <w:rPr>
      <w:rFonts w:ascii="Arial" w:hAnsi="Arial" w:cs="Arial"/>
      <w:b/>
      <w:bCs/>
      <w:i/>
      <w:iCs/>
      <w:shd w:val="clear" w:color="auto" w:fill="FFFFFF"/>
    </w:rPr>
  </w:style>
  <w:style w:type="paragraph" w:customStyle="1" w:styleId="4e">
    <w:name w:val="Заголовок №4"/>
    <w:basedOn w:val="a0"/>
    <w:link w:val="4d"/>
    <w:rsid w:val="00662012"/>
    <w:pPr>
      <w:shd w:val="clear" w:color="auto" w:fill="FFFFFF"/>
      <w:spacing w:before="420" w:after="0" w:line="302" w:lineRule="exact"/>
      <w:ind w:firstLine="400"/>
      <w:jc w:val="both"/>
      <w:outlineLvl w:val="3"/>
    </w:pPr>
    <w:rPr>
      <w:rFonts w:ascii="Arial" w:eastAsiaTheme="minorHAnsi" w:hAnsi="Arial" w:cs="Arial"/>
      <w:b/>
      <w:bCs/>
      <w:i/>
      <w:iCs/>
      <w:lang w:val="ru-UA" w:eastAsia="en-US"/>
    </w:rPr>
  </w:style>
  <w:style w:type="character" w:customStyle="1" w:styleId="2ff4">
    <w:name w:val="Основной текст + Полужирный2"/>
    <w:uiPriority w:val="99"/>
    <w:rsid w:val="00662012"/>
    <w:rPr>
      <w:rFonts w:ascii="Arial" w:hAnsi="Arial" w:cs="Arial"/>
      <w:b/>
      <w:bCs/>
      <w:spacing w:val="0"/>
      <w:sz w:val="22"/>
      <w:szCs w:val="22"/>
    </w:rPr>
  </w:style>
  <w:style w:type="character" w:customStyle="1" w:styleId="126">
    <w:name w:val="Подпись к таблице12"/>
    <w:uiPriority w:val="99"/>
    <w:rsid w:val="00662012"/>
    <w:rPr>
      <w:rFonts w:ascii="Times New Roman" w:eastAsia="Times New Roman" w:hAnsi="Times New Roman" w:cs="Times New Roman"/>
      <w:b w:val="0"/>
      <w:bCs w:val="0"/>
      <w:i/>
      <w:iCs/>
      <w:smallCaps w:val="0"/>
      <w:strike w:val="0"/>
      <w:spacing w:val="0"/>
      <w:sz w:val="23"/>
      <w:szCs w:val="23"/>
    </w:rPr>
  </w:style>
  <w:style w:type="paragraph" w:customStyle="1" w:styleId="1ff3">
    <w:name w:val="Подпись к таблице1"/>
    <w:basedOn w:val="a0"/>
    <w:link w:val="afffffb"/>
    <w:uiPriority w:val="99"/>
    <w:rsid w:val="00662012"/>
    <w:pPr>
      <w:shd w:val="clear" w:color="auto" w:fill="FFFFFF"/>
      <w:spacing w:after="60" w:line="240" w:lineRule="atLeast"/>
      <w:ind w:hanging="460"/>
    </w:pPr>
    <w:rPr>
      <w:rFonts w:ascii="Times New Roman" w:eastAsia="Times New Roman" w:hAnsi="Times New Roman" w:cs="Times New Roman"/>
      <w:lang w:val="ru-UA" w:eastAsia="en-US"/>
    </w:rPr>
  </w:style>
  <w:style w:type="paragraph" w:customStyle="1" w:styleId="510">
    <w:name w:val="Основной текст (5)1"/>
    <w:basedOn w:val="a0"/>
    <w:uiPriority w:val="99"/>
    <w:rsid w:val="00662012"/>
    <w:pPr>
      <w:shd w:val="clear" w:color="auto" w:fill="FFFFFF"/>
      <w:spacing w:after="0" w:line="240" w:lineRule="atLeast"/>
      <w:ind w:hanging="240"/>
    </w:pPr>
    <w:rPr>
      <w:rFonts w:ascii="Times New Roman" w:eastAsia="Arial Unicode MS" w:hAnsi="Times New Roman" w:cs="Times New Roman"/>
      <w:b/>
      <w:bCs/>
      <w:lang w:val="uk-UA"/>
    </w:rPr>
  </w:style>
  <w:style w:type="character" w:customStyle="1" w:styleId="114">
    <w:name w:val="Подпись к таблице11"/>
    <w:uiPriority w:val="99"/>
    <w:rsid w:val="00662012"/>
    <w:rPr>
      <w:rFonts w:ascii="Times New Roman" w:eastAsia="Times New Roman" w:hAnsi="Times New Roman" w:cs="Times New Roman"/>
      <w:b w:val="0"/>
      <w:bCs w:val="0"/>
      <w:i/>
      <w:iCs/>
      <w:smallCaps w:val="0"/>
      <w:strike w:val="0"/>
      <w:spacing w:val="0"/>
      <w:sz w:val="23"/>
      <w:szCs w:val="23"/>
    </w:rPr>
  </w:style>
  <w:style w:type="character" w:customStyle="1" w:styleId="480">
    <w:name w:val="Основной текст (4)8"/>
    <w:uiPriority w:val="99"/>
    <w:rsid w:val="00662012"/>
    <w:rPr>
      <w:rFonts w:ascii="Times New Roman" w:eastAsia="Times New Roman" w:hAnsi="Times New Roman" w:cs="Times New Roman"/>
      <w:b/>
      <w:bCs/>
      <w:spacing w:val="0"/>
      <w:sz w:val="23"/>
      <w:szCs w:val="23"/>
      <w:shd w:val="clear" w:color="auto" w:fill="FFFFFF"/>
      <w:lang w:val="ru-RU" w:eastAsia="ru-RU"/>
    </w:rPr>
  </w:style>
  <w:style w:type="character" w:customStyle="1" w:styleId="85">
    <w:name w:val="Основной текст (8)_"/>
    <w:link w:val="810"/>
    <w:uiPriority w:val="99"/>
    <w:rsid w:val="00662012"/>
    <w:rPr>
      <w:rFonts w:ascii="Times New Roman" w:hAnsi="Times New Roman"/>
      <w:noProof/>
      <w:sz w:val="8"/>
      <w:szCs w:val="8"/>
      <w:shd w:val="clear" w:color="auto" w:fill="FFFFFF"/>
    </w:rPr>
  </w:style>
  <w:style w:type="character" w:customStyle="1" w:styleId="86">
    <w:name w:val="Основной текст (8)"/>
    <w:uiPriority w:val="99"/>
    <w:rsid w:val="00662012"/>
    <w:rPr>
      <w:rFonts w:ascii="Times New Roman" w:hAnsi="Times New Roman"/>
      <w:noProof/>
      <w:sz w:val="8"/>
      <w:szCs w:val="8"/>
      <w:shd w:val="clear" w:color="auto" w:fill="FFFFFF"/>
    </w:rPr>
  </w:style>
  <w:style w:type="character" w:customStyle="1" w:styleId="93">
    <w:name w:val="Основной текст (9)_"/>
    <w:link w:val="910"/>
    <w:uiPriority w:val="99"/>
    <w:rsid w:val="00662012"/>
    <w:rPr>
      <w:rFonts w:ascii="Times New Roman" w:hAnsi="Times New Roman"/>
      <w:i/>
      <w:iCs/>
      <w:sz w:val="23"/>
      <w:szCs w:val="23"/>
      <w:shd w:val="clear" w:color="auto" w:fill="FFFFFF"/>
    </w:rPr>
  </w:style>
  <w:style w:type="character" w:customStyle="1" w:styleId="94">
    <w:name w:val="Основной текст (9)"/>
    <w:uiPriority w:val="99"/>
    <w:rsid w:val="00662012"/>
    <w:rPr>
      <w:rFonts w:ascii="Times New Roman" w:hAnsi="Times New Roman"/>
      <w:i/>
      <w:iCs/>
      <w:sz w:val="23"/>
      <w:szCs w:val="23"/>
      <w:shd w:val="clear" w:color="auto" w:fill="FFFFFF"/>
    </w:rPr>
  </w:style>
  <w:style w:type="character" w:customStyle="1" w:styleId="940">
    <w:name w:val="Основной текст (9)4"/>
    <w:uiPriority w:val="99"/>
    <w:rsid w:val="00662012"/>
    <w:rPr>
      <w:rFonts w:ascii="Times New Roman" w:hAnsi="Times New Roman"/>
      <w:i/>
      <w:iCs/>
      <w:sz w:val="23"/>
      <w:szCs w:val="23"/>
      <w:shd w:val="clear" w:color="auto" w:fill="FFFFFF"/>
    </w:rPr>
  </w:style>
  <w:style w:type="paragraph" w:customStyle="1" w:styleId="810">
    <w:name w:val="Основной текст (8)1"/>
    <w:basedOn w:val="a0"/>
    <w:link w:val="85"/>
    <w:uiPriority w:val="99"/>
    <w:rsid w:val="00662012"/>
    <w:pPr>
      <w:shd w:val="clear" w:color="auto" w:fill="FFFFFF"/>
      <w:spacing w:after="0" w:line="240" w:lineRule="atLeast"/>
    </w:pPr>
    <w:rPr>
      <w:rFonts w:ascii="Times New Roman" w:eastAsiaTheme="minorHAnsi" w:hAnsi="Times New Roman"/>
      <w:noProof/>
      <w:sz w:val="8"/>
      <w:szCs w:val="8"/>
      <w:lang w:val="ru-UA" w:eastAsia="en-US"/>
    </w:rPr>
  </w:style>
  <w:style w:type="paragraph" w:customStyle="1" w:styleId="910">
    <w:name w:val="Основной текст (9)1"/>
    <w:basedOn w:val="a0"/>
    <w:link w:val="93"/>
    <w:uiPriority w:val="99"/>
    <w:rsid w:val="00662012"/>
    <w:pPr>
      <w:shd w:val="clear" w:color="auto" w:fill="FFFFFF"/>
      <w:spacing w:after="0" w:line="288" w:lineRule="exact"/>
      <w:jc w:val="center"/>
    </w:pPr>
    <w:rPr>
      <w:rFonts w:ascii="Times New Roman" w:eastAsiaTheme="minorHAnsi" w:hAnsi="Times New Roman"/>
      <w:i/>
      <w:iCs/>
      <w:sz w:val="23"/>
      <w:szCs w:val="23"/>
      <w:lang w:val="ru-UA" w:eastAsia="en-US"/>
    </w:rPr>
  </w:style>
  <w:style w:type="character" w:customStyle="1" w:styleId="560">
    <w:name w:val="Основной текст (5)6"/>
    <w:uiPriority w:val="99"/>
    <w:rsid w:val="00662012"/>
    <w:rPr>
      <w:rFonts w:ascii="Times New Roman" w:eastAsia="Times New Roman" w:hAnsi="Times New Roman" w:cs="Times New Roman"/>
      <w:b/>
      <w:bCs/>
      <w:spacing w:val="0"/>
      <w:sz w:val="22"/>
      <w:szCs w:val="22"/>
      <w:shd w:val="clear" w:color="auto" w:fill="FFFFFF"/>
    </w:rPr>
  </w:style>
  <w:style w:type="character" w:customStyle="1" w:styleId="41pt">
    <w:name w:val="Основной текст (4) + Интервал 1 pt"/>
    <w:uiPriority w:val="99"/>
    <w:rsid w:val="00662012"/>
    <w:rPr>
      <w:rFonts w:ascii="Times New Roman" w:eastAsia="Times New Roman" w:hAnsi="Times New Roman" w:cs="Times New Roman"/>
      <w:b/>
      <w:bCs/>
      <w:spacing w:val="20"/>
      <w:sz w:val="23"/>
      <w:szCs w:val="23"/>
      <w:shd w:val="clear" w:color="auto" w:fill="FFFFFF"/>
    </w:rPr>
  </w:style>
  <w:style w:type="character" w:customStyle="1" w:styleId="102">
    <w:name w:val="Подпись к таблице10"/>
    <w:uiPriority w:val="99"/>
    <w:rsid w:val="00662012"/>
    <w:rPr>
      <w:rFonts w:ascii="Times New Roman" w:eastAsia="Times New Roman" w:hAnsi="Times New Roman" w:cs="Times New Roman"/>
      <w:b w:val="0"/>
      <w:bCs w:val="0"/>
      <w:i/>
      <w:iCs/>
      <w:smallCaps w:val="0"/>
      <w:strike w:val="0"/>
      <w:spacing w:val="0"/>
      <w:sz w:val="23"/>
      <w:szCs w:val="23"/>
    </w:rPr>
  </w:style>
  <w:style w:type="character" w:customStyle="1" w:styleId="930">
    <w:name w:val="Основной текст (9)3"/>
    <w:uiPriority w:val="99"/>
    <w:rsid w:val="00662012"/>
    <w:rPr>
      <w:rFonts w:ascii="Times New Roman" w:hAnsi="Times New Roman" w:cs="Times New Roman"/>
      <w:i/>
      <w:iCs/>
      <w:noProof/>
      <w:spacing w:val="0"/>
      <w:sz w:val="23"/>
      <w:szCs w:val="23"/>
      <w:shd w:val="clear" w:color="auto" w:fill="FFFFFF"/>
    </w:rPr>
  </w:style>
  <w:style w:type="character" w:customStyle="1" w:styleId="470">
    <w:name w:val="Основной текст (4)7"/>
    <w:uiPriority w:val="99"/>
    <w:rsid w:val="00662012"/>
    <w:rPr>
      <w:rFonts w:ascii="Times New Roman" w:eastAsia="Times New Roman" w:hAnsi="Times New Roman" w:cs="Times New Roman"/>
      <w:b/>
      <w:bCs/>
      <w:spacing w:val="0"/>
      <w:sz w:val="23"/>
      <w:szCs w:val="23"/>
      <w:shd w:val="clear" w:color="auto" w:fill="FFFFFF"/>
    </w:rPr>
  </w:style>
  <w:style w:type="character" w:customStyle="1" w:styleId="95">
    <w:name w:val="Подпись к таблице9"/>
    <w:uiPriority w:val="99"/>
    <w:rsid w:val="00662012"/>
    <w:rPr>
      <w:rFonts w:ascii="Times New Roman" w:eastAsia="Times New Roman" w:hAnsi="Times New Roman" w:cs="Times New Roman"/>
      <w:b w:val="0"/>
      <w:bCs w:val="0"/>
      <w:i/>
      <w:iCs/>
      <w:smallCaps w:val="0"/>
      <w:strike w:val="0"/>
      <w:spacing w:val="0"/>
      <w:sz w:val="23"/>
      <w:szCs w:val="23"/>
    </w:rPr>
  </w:style>
  <w:style w:type="character" w:customStyle="1" w:styleId="103">
    <w:name w:val="Основной текст (10)_"/>
    <w:link w:val="1010"/>
    <w:uiPriority w:val="99"/>
    <w:rsid w:val="00662012"/>
    <w:rPr>
      <w:rFonts w:ascii="Times New Roman" w:hAnsi="Times New Roman"/>
      <w:b/>
      <w:bCs/>
      <w:noProof/>
      <w:sz w:val="24"/>
      <w:szCs w:val="24"/>
      <w:shd w:val="clear" w:color="auto" w:fill="FFFFFF"/>
    </w:rPr>
  </w:style>
  <w:style w:type="character" w:customStyle="1" w:styleId="104">
    <w:name w:val="Основной текст (10)"/>
    <w:uiPriority w:val="99"/>
    <w:rsid w:val="00662012"/>
    <w:rPr>
      <w:rFonts w:ascii="Times New Roman" w:hAnsi="Times New Roman"/>
      <w:b/>
      <w:bCs/>
      <w:noProof/>
      <w:sz w:val="24"/>
      <w:szCs w:val="24"/>
      <w:shd w:val="clear" w:color="auto" w:fill="FFFFFF"/>
    </w:rPr>
  </w:style>
  <w:style w:type="character" w:customStyle="1" w:styleId="550">
    <w:name w:val="Основной текст (5)5"/>
    <w:uiPriority w:val="99"/>
    <w:rsid w:val="00662012"/>
    <w:rPr>
      <w:rFonts w:ascii="Times New Roman" w:eastAsia="Times New Roman" w:hAnsi="Times New Roman" w:cs="Times New Roman"/>
      <w:b/>
      <w:bCs/>
      <w:spacing w:val="0"/>
      <w:sz w:val="22"/>
      <w:szCs w:val="22"/>
      <w:shd w:val="clear" w:color="auto" w:fill="FFFFFF"/>
    </w:rPr>
  </w:style>
  <w:style w:type="character" w:customStyle="1" w:styleId="87">
    <w:name w:val="Подпись к таблице8"/>
    <w:uiPriority w:val="99"/>
    <w:rsid w:val="00662012"/>
    <w:rPr>
      <w:rFonts w:ascii="Times New Roman" w:eastAsia="Times New Roman" w:hAnsi="Times New Roman" w:cs="Times New Roman"/>
      <w:b w:val="0"/>
      <w:bCs w:val="0"/>
      <w:i/>
      <w:iCs/>
      <w:smallCaps w:val="0"/>
      <w:strike w:val="0"/>
      <w:spacing w:val="0"/>
      <w:sz w:val="23"/>
      <w:szCs w:val="23"/>
    </w:rPr>
  </w:style>
  <w:style w:type="character" w:customStyle="1" w:styleId="920">
    <w:name w:val="Основной текст (9)2"/>
    <w:uiPriority w:val="99"/>
    <w:rsid w:val="00662012"/>
    <w:rPr>
      <w:rFonts w:ascii="Times New Roman" w:hAnsi="Times New Roman" w:cs="Times New Roman"/>
      <w:i/>
      <w:iCs/>
      <w:noProof/>
      <w:spacing w:val="0"/>
      <w:sz w:val="23"/>
      <w:szCs w:val="23"/>
      <w:shd w:val="clear" w:color="auto" w:fill="FFFFFF"/>
    </w:rPr>
  </w:style>
  <w:style w:type="character" w:customStyle="1" w:styleId="460">
    <w:name w:val="Основной текст (4)6"/>
    <w:uiPriority w:val="99"/>
    <w:rsid w:val="00662012"/>
    <w:rPr>
      <w:rFonts w:ascii="Times New Roman" w:eastAsia="Times New Roman" w:hAnsi="Times New Roman" w:cs="Times New Roman"/>
      <w:b/>
      <w:bCs/>
      <w:spacing w:val="0"/>
      <w:sz w:val="23"/>
      <w:szCs w:val="23"/>
      <w:shd w:val="clear" w:color="auto" w:fill="FFFFFF"/>
      <w:lang w:val="ru-RU" w:eastAsia="ru-RU"/>
    </w:rPr>
  </w:style>
  <w:style w:type="paragraph" w:customStyle="1" w:styleId="1010">
    <w:name w:val="Основной текст (10)1"/>
    <w:basedOn w:val="a0"/>
    <w:link w:val="103"/>
    <w:uiPriority w:val="99"/>
    <w:rsid w:val="00662012"/>
    <w:pPr>
      <w:shd w:val="clear" w:color="auto" w:fill="FFFFFF"/>
      <w:spacing w:after="60" w:line="240" w:lineRule="atLeast"/>
    </w:pPr>
    <w:rPr>
      <w:rFonts w:ascii="Times New Roman" w:eastAsiaTheme="minorHAnsi" w:hAnsi="Times New Roman"/>
      <w:b/>
      <w:bCs/>
      <w:noProof/>
      <w:sz w:val="24"/>
      <w:szCs w:val="24"/>
      <w:lang w:val="ru-UA" w:eastAsia="en-US"/>
    </w:rPr>
  </w:style>
  <w:style w:type="character" w:customStyle="1" w:styleId="77">
    <w:name w:val="Подпись к таблице7"/>
    <w:uiPriority w:val="99"/>
    <w:rsid w:val="00662012"/>
    <w:rPr>
      <w:rFonts w:ascii="Times New Roman" w:eastAsia="Times New Roman" w:hAnsi="Times New Roman" w:cs="Times New Roman"/>
      <w:b w:val="0"/>
      <w:bCs w:val="0"/>
      <w:i/>
      <w:iCs/>
      <w:smallCaps w:val="0"/>
      <w:strike w:val="0"/>
      <w:spacing w:val="0"/>
      <w:sz w:val="23"/>
      <w:szCs w:val="23"/>
    </w:rPr>
  </w:style>
  <w:style w:type="character" w:customStyle="1" w:styleId="115">
    <w:name w:val="Основной текст (11)_"/>
    <w:link w:val="1110"/>
    <w:uiPriority w:val="99"/>
    <w:rsid w:val="00662012"/>
    <w:rPr>
      <w:rFonts w:ascii="Times New Roman" w:hAnsi="Times New Roman"/>
      <w:b/>
      <w:bCs/>
      <w:noProof/>
      <w:sz w:val="24"/>
      <w:szCs w:val="24"/>
      <w:shd w:val="clear" w:color="auto" w:fill="FFFFFF"/>
    </w:rPr>
  </w:style>
  <w:style w:type="character" w:customStyle="1" w:styleId="116">
    <w:name w:val="Основной текст (11)"/>
    <w:uiPriority w:val="99"/>
    <w:rsid w:val="00662012"/>
    <w:rPr>
      <w:rFonts w:ascii="Times New Roman" w:hAnsi="Times New Roman"/>
      <w:b/>
      <w:bCs/>
      <w:noProof/>
      <w:sz w:val="24"/>
      <w:szCs w:val="24"/>
      <w:shd w:val="clear" w:color="auto" w:fill="FFFFFF"/>
    </w:rPr>
  </w:style>
  <w:style w:type="character" w:customStyle="1" w:styleId="540">
    <w:name w:val="Основной текст (5)4"/>
    <w:uiPriority w:val="99"/>
    <w:rsid w:val="00662012"/>
    <w:rPr>
      <w:rFonts w:ascii="Times New Roman" w:eastAsia="Times New Roman" w:hAnsi="Times New Roman" w:cs="Times New Roman"/>
      <w:b/>
      <w:bCs/>
      <w:spacing w:val="0"/>
      <w:sz w:val="22"/>
      <w:szCs w:val="22"/>
      <w:shd w:val="clear" w:color="auto" w:fill="FFFFFF"/>
    </w:rPr>
  </w:style>
  <w:style w:type="character" w:customStyle="1" w:styleId="69">
    <w:name w:val="Подпись к таблице6"/>
    <w:uiPriority w:val="99"/>
    <w:rsid w:val="00662012"/>
    <w:rPr>
      <w:rFonts w:ascii="Times New Roman" w:eastAsia="Times New Roman" w:hAnsi="Times New Roman" w:cs="Times New Roman"/>
      <w:b w:val="0"/>
      <w:bCs w:val="0"/>
      <w:i/>
      <w:iCs/>
      <w:smallCaps w:val="0"/>
      <w:strike w:val="0"/>
      <w:spacing w:val="0"/>
      <w:sz w:val="23"/>
      <w:szCs w:val="23"/>
      <w:u w:val="single"/>
    </w:rPr>
  </w:style>
  <w:style w:type="character" w:customStyle="1" w:styleId="450">
    <w:name w:val="Основной текст (4)5"/>
    <w:uiPriority w:val="99"/>
    <w:rsid w:val="00662012"/>
    <w:rPr>
      <w:rFonts w:ascii="Times New Roman" w:eastAsia="Times New Roman" w:hAnsi="Times New Roman" w:cs="Times New Roman"/>
      <w:b/>
      <w:bCs/>
      <w:spacing w:val="0"/>
      <w:sz w:val="23"/>
      <w:szCs w:val="23"/>
      <w:shd w:val="clear" w:color="auto" w:fill="FFFFFF"/>
      <w:lang w:val="ru-RU" w:eastAsia="ru-RU"/>
    </w:rPr>
  </w:style>
  <w:style w:type="paragraph" w:customStyle="1" w:styleId="1110">
    <w:name w:val="Основной текст (11)1"/>
    <w:basedOn w:val="a0"/>
    <w:link w:val="115"/>
    <w:uiPriority w:val="99"/>
    <w:rsid w:val="00662012"/>
    <w:pPr>
      <w:shd w:val="clear" w:color="auto" w:fill="FFFFFF"/>
      <w:spacing w:after="0" w:line="240" w:lineRule="atLeast"/>
    </w:pPr>
    <w:rPr>
      <w:rFonts w:ascii="Times New Roman" w:eastAsiaTheme="minorHAnsi" w:hAnsi="Times New Roman"/>
      <w:b/>
      <w:bCs/>
      <w:noProof/>
      <w:sz w:val="24"/>
      <w:szCs w:val="24"/>
      <w:lang w:val="ru-UA" w:eastAsia="en-US"/>
    </w:rPr>
  </w:style>
  <w:style w:type="paragraph" w:customStyle="1" w:styleId="1210">
    <w:name w:val="Основной текст (12)1"/>
    <w:basedOn w:val="a0"/>
    <w:link w:val="121"/>
    <w:rsid w:val="00662012"/>
    <w:pPr>
      <w:shd w:val="clear" w:color="auto" w:fill="FFFFFF"/>
      <w:spacing w:after="0" w:line="240" w:lineRule="atLeast"/>
    </w:pPr>
    <w:rPr>
      <w:rFonts w:ascii="Times New Roman" w:eastAsia="Times New Roman" w:hAnsi="Times New Roman" w:cs="Times New Roman"/>
      <w:sz w:val="17"/>
      <w:szCs w:val="17"/>
      <w:lang w:val="ru-UA" w:eastAsia="en-US"/>
    </w:rPr>
  </w:style>
  <w:style w:type="character" w:customStyle="1" w:styleId="5a">
    <w:name w:val="Подпись к таблице5"/>
    <w:uiPriority w:val="99"/>
    <w:rsid w:val="00662012"/>
    <w:rPr>
      <w:rFonts w:ascii="Times New Roman" w:eastAsia="Times New Roman" w:hAnsi="Times New Roman" w:cs="Times New Roman"/>
      <w:b w:val="0"/>
      <w:bCs w:val="0"/>
      <w:i/>
      <w:iCs/>
      <w:smallCaps w:val="0"/>
      <w:strike w:val="0"/>
      <w:spacing w:val="0"/>
      <w:sz w:val="23"/>
      <w:szCs w:val="23"/>
    </w:rPr>
  </w:style>
  <w:style w:type="character" w:customStyle="1" w:styleId="4f">
    <w:name w:val="Подпись к таблице4"/>
    <w:uiPriority w:val="99"/>
    <w:rsid w:val="00662012"/>
    <w:rPr>
      <w:rFonts w:ascii="Times New Roman" w:eastAsia="Times New Roman" w:hAnsi="Times New Roman" w:cs="Times New Roman"/>
      <w:b w:val="0"/>
      <w:bCs w:val="0"/>
      <w:i/>
      <w:iCs/>
      <w:smallCaps w:val="0"/>
      <w:strike w:val="0"/>
      <w:spacing w:val="0"/>
      <w:sz w:val="23"/>
      <w:szCs w:val="23"/>
    </w:rPr>
  </w:style>
  <w:style w:type="character" w:customStyle="1" w:styleId="131">
    <w:name w:val="Основной текст (13)_"/>
    <w:link w:val="1310"/>
    <w:rsid w:val="00662012"/>
    <w:rPr>
      <w:rFonts w:ascii="Times New Roman" w:hAnsi="Times New Roman"/>
      <w:noProof/>
      <w:sz w:val="24"/>
      <w:szCs w:val="24"/>
      <w:shd w:val="clear" w:color="auto" w:fill="FFFFFF"/>
    </w:rPr>
  </w:style>
  <w:style w:type="character" w:customStyle="1" w:styleId="132">
    <w:name w:val="Основной текст (13)"/>
    <w:uiPriority w:val="99"/>
    <w:rsid w:val="00662012"/>
    <w:rPr>
      <w:rFonts w:ascii="Times New Roman" w:hAnsi="Times New Roman"/>
      <w:noProof/>
      <w:sz w:val="24"/>
      <w:szCs w:val="24"/>
      <w:shd w:val="clear" w:color="auto" w:fill="FFFFFF"/>
    </w:rPr>
  </w:style>
  <w:style w:type="character" w:customStyle="1" w:styleId="530">
    <w:name w:val="Основной текст (5)3"/>
    <w:uiPriority w:val="99"/>
    <w:rsid w:val="00662012"/>
    <w:rPr>
      <w:rFonts w:ascii="Times New Roman" w:eastAsia="Times New Roman" w:hAnsi="Times New Roman" w:cs="Times New Roman"/>
      <w:b/>
      <w:bCs/>
      <w:spacing w:val="0"/>
      <w:sz w:val="22"/>
      <w:szCs w:val="22"/>
      <w:shd w:val="clear" w:color="auto" w:fill="FFFFFF"/>
    </w:rPr>
  </w:style>
  <w:style w:type="paragraph" w:customStyle="1" w:styleId="1310">
    <w:name w:val="Основной текст (13)1"/>
    <w:basedOn w:val="a0"/>
    <w:link w:val="131"/>
    <w:rsid w:val="00662012"/>
    <w:pPr>
      <w:shd w:val="clear" w:color="auto" w:fill="FFFFFF"/>
      <w:spacing w:after="0" w:line="240" w:lineRule="atLeast"/>
    </w:pPr>
    <w:rPr>
      <w:rFonts w:ascii="Times New Roman" w:eastAsiaTheme="minorHAnsi" w:hAnsi="Times New Roman"/>
      <w:noProof/>
      <w:sz w:val="24"/>
      <w:szCs w:val="24"/>
      <w:lang w:val="ru-UA" w:eastAsia="en-US"/>
    </w:rPr>
  </w:style>
  <w:style w:type="character" w:customStyle="1" w:styleId="3f8">
    <w:name w:val="Подпись к таблице3"/>
    <w:uiPriority w:val="99"/>
    <w:rsid w:val="00662012"/>
    <w:rPr>
      <w:rFonts w:ascii="Times New Roman" w:eastAsia="Times New Roman" w:hAnsi="Times New Roman" w:cs="Times New Roman"/>
      <w:b w:val="0"/>
      <w:bCs w:val="0"/>
      <w:i/>
      <w:iCs/>
      <w:smallCaps w:val="0"/>
      <w:strike w:val="0"/>
      <w:spacing w:val="0"/>
      <w:sz w:val="23"/>
      <w:szCs w:val="23"/>
    </w:rPr>
  </w:style>
  <w:style w:type="character" w:customStyle="1" w:styleId="2ff5">
    <w:name w:val="Подпись к таблице2"/>
    <w:uiPriority w:val="99"/>
    <w:rsid w:val="00662012"/>
    <w:rPr>
      <w:rFonts w:ascii="Times New Roman" w:eastAsia="Times New Roman" w:hAnsi="Times New Roman" w:cs="Times New Roman"/>
      <w:b w:val="0"/>
      <w:bCs w:val="0"/>
      <w:i/>
      <w:iCs/>
      <w:smallCaps w:val="0"/>
      <w:strike w:val="0"/>
      <w:spacing w:val="0"/>
      <w:sz w:val="23"/>
      <w:szCs w:val="23"/>
    </w:rPr>
  </w:style>
  <w:style w:type="character" w:customStyle="1" w:styleId="520">
    <w:name w:val="Основной текст (5)2"/>
    <w:uiPriority w:val="99"/>
    <w:rsid w:val="00662012"/>
    <w:rPr>
      <w:rFonts w:ascii="Times New Roman" w:eastAsia="Times New Roman" w:hAnsi="Times New Roman" w:cs="Times New Roman"/>
      <w:b/>
      <w:bCs/>
      <w:spacing w:val="0"/>
      <w:sz w:val="22"/>
      <w:szCs w:val="22"/>
      <w:shd w:val="clear" w:color="auto" w:fill="FFFFFF"/>
    </w:rPr>
  </w:style>
  <w:style w:type="character" w:customStyle="1" w:styleId="440">
    <w:name w:val="Основной текст (4)4"/>
    <w:uiPriority w:val="99"/>
    <w:rsid w:val="00662012"/>
    <w:rPr>
      <w:rFonts w:ascii="Times New Roman" w:eastAsia="Times New Roman" w:hAnsi="Times New Roman" w:cs="Times New Roman"/>
      <w:b/>
      <w:bCs/>
      <w:spacing w:val="0"/>
      <w:sz w:val="23"/>
      <w:szCs w:val="23"/>
      <w:shd w:val="clear" w:color="auto" w:fill="FFFFFF"/>
      <w:lang w:val="ru-RU" w:eastAsia="ru-RU"/>
    </w:rPr>
  </w:style>
  <w:style w:type="paragraph" w:styleId="4f0">
    <w:name w:val="toc 4"/>
    <w:basedOn w:val="a0"/>
    <w:next w:val="a0"/>
    <w:autoRedefine/>
    <w:rsid w:val="00662012"/>
    <w:pPr>
      <w:tabs>
        <w:tab w:val="left" w:pos="1680"/>
        <w:tab w:val="right" w:leader="dot" w:pos="9679"/>
      </w:tabs>
      <w:spacing w:after="0" w:line="240" w:lineRule="auto"/>
      <w:ind w:left="720"/>
    </w:pPr>
    <w:rPr>
      <w:rFonts w:ascii="Times New Roman" w:eastAsia="Times New Roman" w:hAnsi="Times New Roman" w:cs="Times New Roman"/>
      <w:noProof/>
      <w:sz w:val="24"/>
      <w:szCs w:val="24"/>
    </w:rPr>
  </w:style>
  <w:style w:type="paragraph" w:styleId="5b">
    <w:name w:val="toc 5"/>
    <w:basedOn w:val="a0"/>
    <w:next w:val="a0"/>
    <w:autoRedefine/>
    <w:rsid w:val="00662012"/>
    <w:pPr>
      <w:spacing w:after="0" w:line="240" w:lineRule="auto"/>
      <w:ind w:left="960"/>
    </w:pPr>
    <w:rPr>
      <w:rFonts w:ascii="Times New Roman" w:eastAsia="Times New Roman" w:hAnsi="Times New Roman" w:cs="Times New Roman"/>
      <w:sz w:val="24"/>
      <w:szCs w:val="24"/>
    </w:rPr>
  </w:style>
  <w:style w:type="paragraph" w:styleId="6a">
    <w:name w:val="toc 6"/>
    <w:basedOn w:val="a0"/>
    <w:next w:val="a0"/>
    <w:autoRedefine/>
    <w:rsid w:val="00662012"/>
    <w:pPr>
      <w:spacing w:after="0" w:line="240" w:lineRule="auto"/>
      <w:ind w:left="1200"/>
    </w:pPr>
    <w:rPr>
      <w:rFonts w:ascii="Times New Roman" w:eastAsia="Times New Roman" w:hAnsi="Times New Roman" w:cs="Times New Roman"/>
      <w:sz w:val="24"/>
      <w:szCs w:val="24"/>
    </w:rPr>
  </w:style>
  <w:style w:type="paragraph" w:styleId="78">
    <w:name w:val="toc 7"/>
    <w:basedOn w:val="a0"/>
    <w:next w:val="a0"/>
    <w:autoRedefine/>
    <w:rsid w:val="00662012"/>
    <w:pPr>
      <w:spacing w:after="0" w:line="240" w:lineRule="auto"/>
      <w:ind w:left="1440"/>
    </w:pPr>
    <w:rPr>
      <w:rFonts w:ascii="Times New Roman" w:eastAsia="Times New Roman" w:hAnsi="Times New Roman" w:cs="Times New Roman"/>
      <w:sz w:val="24"/>
      <w:szCs w:val="24"/>
    </w:rPr>
  </w:style>
  <w:style w:type="paragraph" w:styleId="88">
    <w:name w:val="toc 8"/>
    <w:basedOn w:val="a0"/>
    <w:next w:val="a0"/>
    <w:autoRedefine/>
    <w:rsid w:val="00662012"/>
    <w:pPr>
      <w:spacing w:after="0" w:line="240" w:lineRule="auto"/>
      <w:ind w:left="1680"/>
    </w:pPr>
    <w:rPr>
      <w:rFonts w:ascii="Times New Roman" w:eastAsia="Times New Roman" w:hAnsi="Times New Roman" w:cs="Times New Roman"/>
      <w:sz w:val="24"/>
      <w:szCs w:val="24"/>
    </w:rPr>
  </w:style>
  <w:style w:type="paragraph" w:styleId="96">
    <w:name w:val="toc 9"/>
    <w:basedOn w:val="a0"/>
    <w:next w:val="a0"/>
    <w:autoRedefine/>
    <w:rsid w:val="00662012"/>
    <w:pPr>
      <w:spacing w:after="0" w:line="240" w:lineRule="auto"/>
      <w:ind w:left="1920"/>
    </w:pPr>
    <w:rPr>
      <w:rFonts w:ascii="Times New Roman" w:eastAsia="Times New Roman" w:hAnsi="Times New Roman" w:cs="Times New Roman"/>
      <w:sz w:val="24"/>
      <w:szCs w:val="24"/>
    </w:rPr>
  </w:style>
  <w:style w:type="character" w:customStyle="1" w:styleId="bonus1">
    <w:name w:val="bonus1"/>
    <w:rsid w:val="00662012"/>
    <w:rPr>
      <w:color w:val="666666"/>
    </w:rPr>
  </w:style>
  <w:style w:type="paragraph" w:customStyle="1" w:styleId="xl34">
    <w:name w:val="xl34"/>
    <w:basedOn w:val="a0"/>
    <w:rsid w:val="0066201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Unicode MS" w:eastAsia="Arial Unicode MS" w:hAnsi="Arial Unicode MS" w:cs="Arial Unicode MS"/>
      <w:sz w:val="24"/>
      <w:szCs w:val="24"/>
    </w:rPr>
  </w:style>
  <w:style w:type="paragraph" w:styleId="1ffb">
    <w:name w:val="index 1"/>
    <w:basedOn w:val="a0"/>
    <w:next w:val="a0"/>
    <w:autoRedefine/>
    <w:semiHidden/>
    <w:rsid w:val="00662012"/>
    <w:pPr>
      <w:spacing w:after="0" w:line="240" w:lineRule="auto"/>
      <w:ind w:left="240" w:hanging="240"/>
    </w:pPr>
    <w:rPr>
      <w:rFonts w:ascii="Times New Roman" w:eastAsia="Times New Roman" w:hAnsi="Times New Roman" w:cs="Times New Roman"/>
      <w:sz w:val="24"/>
      <w:szCs w:val="24"/>
    </w:rPr>
  </w:style>
  <w:style w:type="paragraph" w:styleId="2ff6">
    <w:name w:val="index 2"/>
    <w:basedOn w:val="a0"/>
    <w:next w:val="a0"/>
    <w:autoRedefine/>
    <w:semiHidden/>
    <w:rsid w:val="00662012"/>
    <w:pPr>
      <w:spacing w:after="0" w:line="240" w:lineRule="auto"/>
      <w:ind w:left="480" w:hanging="240"/>
    </w:pPr>
    <w:rPr>
      <w:rFonts w:ascii="Times New Roman" w:eastAsia="Times New Roman" w:hAnsi="Times New Roman" w:cs="Times New Roman"/>
      <w:sz w:val="24"/>
      <w:szCs w:val="24"/>
    </w:rPr>
  </w:style>
  <w:style w:type="paragraph" w:styleId="3f9">
    <w:name w:val="index 3"/>
    <w:basedOn w:val="a0"/>
    <w:next w:val="a0"/>
    <w:autoRedefine/>
    <w:semiHidden/>
    <w:rsid w:val="00662012"/>
    <w:pPr>
      <w:spacing w:after="0" w:line="240" w:lineRule="auto"/>
      <w:ind w:left="720" w:hanging="240"/>
    </w:pPr>
    <w:rPr>
      <w:rFonts w:ascii="Times New Roman" w:eastAsia="Times New Roman" w:hAnsi="Times New Roman" w:cs="Times New Roman"/>
      <w:sz w:val="24"/>
      <w:szCs w:val="24"/>
    </w:rPr>
  </w:style>
  <w:style w:type="paragraph" w:styleId="4f1">
    <w:name w:val="index 4"/>
    <w:basedOn w:val="a0"/>
    <w:next w:val="a0"/>
    <w:autoRedefine/>
    <w:semiHidden/>
    <w:rsid w:val="00662012"/>
    <w:pPr>
      <w:spacing w:after="0" w:line="240" w:lineRule="auto"/>
      <w:ind w:left="960" w:hanging="240"/>
    </w:pPr>
    <w:rPr>
      <w:rFonts w:ascii="Times New Roman" w:eastAsia="Times New Roman" w:hAnsi="Times New Roman" w:cs="Times New Roman"/>
      <w:sz w:val="24"/>
      <w:szCs w:val="24"/>
    </w:rPr>
  </w:style>
  <w:style w:type="paragraph" w:styleId="5c">
    <w:name w:val="index 5"/>
    <w:basedOn w:val="a0"/>
    <w:next w:val="a0"/>
    <w:autoRedefine/>
    <w:semiHidden/>
    <w:rsid w:val="00662012"/>
    <w:pPr>
      <w:spacing w:after="0" w:line="240" w:lineRule="auto"/>
      <w:ind w:left="1200" w:hanging="240"/>
    </w:pPr>
    <w:rPr>
      <w:rFonts w:ascii="Times New Roman" w:eastAsia="Times New Roman" w:hAnsi="Times New Roman" w:cs="Times New Roman"/>
      <w:sz w:val="24"/>
      <w:szCs w:val="24"/>
    </w:rPr>
  </w:style>
  <w:style w:type="paragraph" w:styleId="6b">
    <w:name w:val="index 6"/>
    <w:basedOn w:val="a0"/>
    <w:next w:val="a0"/>
    <w:autoRedefine/>
    <w:semiHidden/>
    <w:rsid w:val="00662012"/>
    <w:pPr>
      <w:spacing w:after="0" w:line="240" w:lineRule="auto"/>
      <w:ind w:left="1440" w:hanging="240"/>
    </w:pPr>
    <w:rPr>
      <w:rFonts w:ascii="Times New Roman" w:eastAsia="Times New Roman" w:hAnsi="Times New Roman" w:cs="Times New Roman"/>
      <w:sz w:val="24"/>
      <w:szCs w:val="24"/>
    </w:rPr>
  </w:style>
  <w:style w:type="paragraph" w:styleId="79">
    <w:name w:val="index 7"/>
    <w:basedOn w:val="a0"/>
    <w:next w:val="a0"/>
    <w:autoRedefine/>
    <w:semiHidden/>
    <w:rsid w:val="00662012"/>
    <w:pPr>
      <w:spacing w:after="0" w:line="240" w:lineRule="auto"/>
      <w:ind w:left="1680" w:hanging="240"/>
    </w:pPr>
    <w:rPr>
      <w:rFonts w:ascii="Times New Roman" w:eastAsia="Times New Roman" w:hAnsi="Times New Roman" w:cs="Times New Roman"/>
      <w:sz w:val="24"/>
      <w:szCs w:val="24"/>
    </w:rPr>
  </w:style>
  <w:style w:type="paragraph" w:styleId="89">
    <w:name w:val="index 8"/>
    <w:basedOn w:val="a0"/>
    <w:next w:val="a0"/>
    <w:autoRedefine/>
    <w:semiHidden/>
    <w:rsid w:val="00662012"/>
    <w:pPr>
      <w:spacing w:after="0" w:line="240" w:lineRule="auto"/>
      <w:ind w:left="1920" w:hanging="240"/>
    </w:pPr>
    <w:rPr>
      <w:rFonts w:ascii="Times New Roman" w:eastAsia="Times New Roman" w:hAnsi="Times New Roman" w:cs="Times New Roman"/>
      <w:sz w:val="24"/>
      <w:szCs w:val="24"/>
    </w:rPr>
  </w:style>
  <w:style w:type="paragraph" w:styleId="97">
    <w:name w:val="index 9"/>
    <w:basedOn w:val="a0"/>
    <w:next w:val="a0"/>
    <w:autoRedefine/>
    <w:semiHidden/>
    <w:rsid w:val="00662012"/>
    <w:pPr>
      <w:spacing w:after="0" w:line="240" w:lineRule="auto"/>
      <w:ind w:left="2160" w:hanging="240"/>
    </w:pPr>
    <w:rPr>
      <w:rFonts w:ascii="Times New Roman" w:eastAsia="Times New Roman" w:hAnsi="Times New Roman" w:cs="Times New Roman"/>
      <w:sz w:val="24"/>
      <w:szCs w:val="24"/>
    </w:rPr>
  </w:style>
  <w:style w:type="paragraph" w:styleId="affffff3">
    <w:name w:val="index heading"/>
    <w:basedOn w:val="a0"/>
    <w:next w:val="1ffb"/>
    <w:semiHidden/>
    <w:rsid w:val="00662012"/>
    <w:pPr>
      <w:spacing w:after="0" w:line="240" w:lineRule="auto"/>
    </w:pPr>
    <w:rPr>
      <w:rFonts w:ascii="Times New Roman" w:eastAsia="Times New Roman" w:hAnsi="Times New Roman" w:cs="Times New Roman"/>
      <w:sz w:val="24"/>
      <w:szCs w:val="24"/>
    </w:rPr>
  </w:style>
  <w:style w:type="character" w:styleId="affffff4">
    <w:name w:val="annotation reference"/>
    <w:uiPriority w:val="99"/>
    <w:semiHidden/>
    <w:rsid w:val="00662012"/>
    <w:rPr>
      <w:sz w:val="16"/>
      <w:szCs w:val="16"/>
    </w:rPr>
  </w:style>
  <w:style w:type="table" w:styleId="1ffc">
    <w:name w:val="Table Grid 1"/>
    <w:basedOn w:val="a2"/>
    <w:rsid w:val="00662012"/>
    <w:pPr>
      <w:spacing w:after="0" w:line="240" w:lineRule="auto"/>
    </w:pPr>
    <w:rPr>
      <w:rFonts w:ascii="Times New Roman" w:eastAsia="Times New Roman" w:hAnsi="Times New Roman" w:cs="Times New Roman"/>
      <w:sz w:val="20"/>
      <w:szCs w:val="20"/>
      <w:lang w:eastAsia="ru-R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13">
    <w:name w:val="Table Web 1"/>
    <w:basedOn w:val="a2"/>
    <w:rsid w:val="00662012"/>
    <w:pPr>
      <w:spacing w:after="0" w:line="240" w:lineRule="auto"/>
    </w:pPr>
    <w:rPr>
      <w:rFonts w:ascii="Times New Roman" w:eastAsia="Times New Roman" w:hAnsi="Times New Roman" w:cs="Times New Roman"/>
      <w:sz w:val="20"/>
      <w:szCs w:val="20"/>
      <w:lang w:eastAsia="ru-RU"/>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numbering" w:customStyle="1" w:styleId="3fa">
    <w:name w:val="Нет списка3"/>
    <w:next w:val="a3"/>
    <w:uiPriority w:val="99"/>
    <w:semiHidden/>
    <w:unhideWhenUsed/>
    <w:rsid w:val="00662012"/>
  </w:style>
  <w:style w:type="table" w:customStyle="1" w:styleId="3fb">
    <w:name w:val="Сетка таблицы3"/>
    <w:basedOn w:val="a2"/>
    <w:next w:val="ab"/>
    <w:uiPriority w:val="59"/>
    <w:rsid w:val="00662012"/>
    <w:pPr>
      <w:spacing w:after="0" w:line="240" w:lineRule="auto"/>
    </w:pPr>
    <w:rPr>
      <w:rFonts w:ascii="Times New Roman" w:eastAsia="Calibri" w:hAnsi="Times New Roman"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9">
    <w:name w:val="Сетка таблицы21"/>
    <w:basedOn w:val="a2"/>
    <w:next w:val="ab"/>
    <w:uiPriority w:val="59"/>
    <w:rsid w:val="00662012"/>
    <w:pPr>
      <w:spacing w:after="0" w:line="240" w:lineRule="auto"/>
    </w:pPr>
    <w:rPr>
      <w:rFonts w:ascii="Times New Roman" w:eastAsia="Calibri" w:hAnsi="Times New Roman"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lt-edited">
    <w:name w:val="alt-edited"/>
    <w:basedOn w:val="a1"/>
    <w:rsid w:val="00662012"/>
  </w:style>
  <w:style w:type="paragraph" w:customStyle="1" w:styleId="CharChar1">
    <w:name w:val="Char Char"/>
    <w:basedOn w:val="a0"/>
    <w:rsid w:val="00662012"/>
    <w:pPr>
      <w:spacing w:after="0" w:line="240" w:lineRule="auto"/>
    </w:pPr>
    <w:rPr>
      <w:rFonts w:ascii="Verdana" w:eastAsia="Times New Roman" w:hAnsi="Verdana" w:cs="Verdana"/>
      <w:color w:val="000000"/>
      <w:sz w:val="20"/>
      <w:szCs w:val="20"/>
      <w:lang w:val="en-US" w:eastAsia="en-US"/>
    </w:rPr>
  </w:style>
  <w:style w:type="character" w:customStyle="1" w:styleId="3fc">
    <w:name w:val="Заголовок №3_"/>
    <w:link w:val="3fd"/>
    <w:rsid w:val="00662012"/>
    <w:rPr>
      <w:rFonts w:ascii="Times New Roman" w:eastAsia="Times New Roman" w:hAnsi="Times New Roman"/>
      <w:sz w:val="23"/>
      <w:szCs w:val="23"/>
      <w:shd w:val="clear" w:color="auto" w:fill="FFFFFF"/>
    </w:rPr>
  </w:style>
  <w:style w:type="character" w:customStyle="1" w:styleId="311pt">
    <w:name w:val="Заголовок №3 + 11 pt;Не курсив"/>
    <w:rsid w:val="00662012"/>
    <w:rPr>
      <w:rFonts w:ascii="Times New Roman" w:eastAsia="Times New Roman" w:hAnsi="Times New Roman"/>
      <w:i/>
      <w:iCs/>
      <w:spacing w:val="0"/>
      <w:sz w:val="22"/>
      <w:szCs w:val="22"/>
      <w:shd w:val="clear" w:color="auto" w:fill="FFFFFF"/>
    </w:rPr>
  </w:style>
  <w:style w:type="character" w:customStyle="1" w:styleId="115pt">
    <w:name w:val="Основной текст + 11;5 pt;Курсив"/>
    <w:rsid w:val="00662012"/>
    <w:rPr>
      <w:rFonts w:ascii="Times New Roman" w:eastAsia="Times New Roman" w:hAnsi="Times New Roman" w:cs="Times New Roman"/>
      <w:b w:val="0"/>
      <w:bCs w:val="0"/>
      <w:i/>
      <w:iCs/>
      <w:smallCaps w:val="0"/>
      <w:strike w:val="0"/>
      <w:spacing w:val="0"/>
      <w:sz w:val="23"/>
      <w:szCs w:val="23"/>
      <w:shd w:val="clear" w:color="auto" w:fill="FFFFFF"/>
    </w:rPr>
  </w:style>
  <w:style w:type="paragraph" w:customStyle="1" w:styleId="3fd">
    <w:name w:val="Заголовок №3"/>
    <w:basedOn w:val="a0"/>
    <w:link w:val="3fc"/>
    <w:rsid w:val="00662012"/>
    <w:pPr>
      <w:shd w:val="clear" w:color="auto" w:fill="FFFFFF"/>
      <w:spacing w:after="0" w:line="274" w:lineRule="exact"/>
      <w:outlineLvl w:val="2"/>
    </w:pPr>
    <w:rPr>
      <w:rFonts w:ascii="Times New Roman" w:eastAsia="Times New Roman" w:hAnsi="Times New Roman"/>
      <w:sz w:val="23"/>
      <w:szCs w:val="23"/>
      <w:lang w:val="ru-UA" w:eastAsia="en-US"/>
    </w:rPr>
  </w:style>
  <w:style w:type="character" w:customStyle="1" w:styleId="affffff5">
    <w:name w:val="Оглавление + Курсив"/>
    <w:rsid w:val="00662012"/>
    <w:rPr>
      <w:rFonts w:ascii="Times New Roman" w:eastAsia="Times New Roman" w:hAnsi="Times New Roman" w:cs="Times New Roman"/>
      <w:b w:val="0"/>
      <w:bCs w:val="0"/>
      <w:i/>
      <w:iCs/>
      <w:smallCaps w:val="0"/>
      <w:strike w:val="0"/>
      <w:spacing w:val="0"/>
      <w:sz w:val="21"/>
      <w:szCs w:val="21"/>
    </w:rPr>
  </w:style>
  <w:style w:type="character" w:customStyle="1" w:styleId="affffff6">
    <w:name w:val="Оглавление_"/>
    <w:link w:val="affffff7"/>
    <w:rsid w:val="00662012"/>
    <w:rPr>
      <w:rFonts w:ascii="Times New Roman" w:eastAsia="Times New Roman" w:hAnsi="Times New Roman"/>
      <w:sz w:val="21"/>
      <w:szCs w:val="21"/>
      <w:shd w:val="clear" w:color="auto" w:fill="FFFFFF"/>
    </w:rPr>
  </w:style>
  <w:style w:type="paragraph" w:customStyle="1" w:styleId="affffff7">
    <w:name w:val="Оглавление"/>
    <w:basedOn w:val="a0"/>
    <w:link w:val="affffff6"/>
    <w:rsid w:val="00662012"/>
    <w:pPr>
      <w:shd w:val="clear" w:color="auto" w:fill="FFFFFF"/>
      <w:spacing w:after="0" w:line="250" w:lineRule="exact"/>
      <w:ind w:hanging="5600"/>
    </w:pPr>
    <w:rPr>
      <w:rFonts w:ascii="Times New Roman" w:eastAsia="Times New Roman" w:hAnsi="Times New Roman"/>
      <w:sz w:val="21"/>
      <w:szCs w:val="21"/>
      <w:lang w:val="ru-UA" w:eastAsia="en-US"/>
    </w:rPr>
  </w:style>
  <w:style w:type="character" w:customStyle="1" w:styleId="2ff7">
    <w:name w:val="Оглавление (2)_"/>
    <w:link w:val="2ff8"/>
    <w:rsid w:val="00662012"/>
    <w:rPr>
      <w:rFonts w:ascii="Times New Roman" w:eastAsia="Times New Roman" w:hAnsi="Times New Roman"/>
      <w:sz w:val="21"/>
      <w:szCs w:val="21"/>
      <w:shd w:val="clear" w:color="auto" w:fill="FFFFFF"/>
    </w:rPr>
  </w:style>
  <w:style w:type="character" w:customStyle="1" w:styleId="2ff9">
    <w:name w:val="Оглавление (2) + Не полужирный"/>
    <w:rsid w:val="00662012"/>
    <w:rPr>
      <w:rFonts w:ascii="Times New Roman" w:eastAsia="Times New Roman" w:hAnsi="Times New Roman"/>
      <w:b/>
      <w:bCs/>
      <w:sz w:val="21"/>
      <w:szCs w:val="21"/>
      <w:shd w:val="clear" w:color="auto" w:fill="FFFFFF"/>
    </w:rPr>
  </w:style>
  <w:style w:type="paragraph" w:customStyle="1" w:styleId="2ff8">
    <w:name w:val="Оглавление (2)"/>
    <w:basedOn w:val="a0"/>
    <w:link w:val="2ff7"/>
    <w:rsid w:val="00662012"/>
    <w:pPr>
      <w:shd w:val="clear" w:color="auto" w:fill="FFFFFF"/>
      <w:spacing w:before="300" w:after="60" w:line="0" w:lineRule="atLeast"/>
    </w:pPr>
    <w:rPr>
      <w:rFonts w:ascii="Times New Roman" w:eastAsia="Times New Roman" w:hAnsi="Times New Roman"/>
      <w:sz w:val="21"/>
      <w:szCs w:val="21"/>
      <w:lang w:val="ru-UA" w:eastAsia="en-US"/>
    </w:rPr>
  </w:style>
  <w:style w:type="paragraph" w:customStyle="1" w:styleId="811">
    <w:name w:val="Основной текст81"/>
    <w:basedOn w:val="a0"/>
    <w:rsid w:val="00662012"/>
    <w:pPr>
      <w:shd w:val="clear" w:color="auto" w:fill="FFFFFF"/>
      <w:spacing w:after="0" w:line="0" w:lineRule="atLeast"/>
      <w:ind w:hanging="5600"/>
    </w:pPr>
    <w:rPr>
      <w:rFonts w:ascii="Times New Roman" w:eastAsia="Times New Roman" w:hAnsi="Times New Roman" w:cs="Times New Roman"/>
      <w:color w:val="000000"/>
      <w:sz w:val="21"/>
      <w:szCs w:val="21"/>
    </w:rPr>
  </w:style>
  <w:style w:type="character" w:customStyle="1" w:styleId="117">
    <w:name w:val="Заголовок №11_"/>
    <w:rsid w:val="00662012"/>
    <w:rPr>
      <w:rFonts w:ascii="Arial" w:eastAsia="Arial" w:hAnsi="Arial" w:cs="Arial"/>
      <w:b w:val="0"/>
      <w:bCs w:val="0"/>
      <w:i w:val="0"/>
      <w:iCs w:val="0"/>
      <w:smallCaps w:val="0"/>
      <w:strike w:val="0"/>
      <w:spacing w:val="0"/>
      <w:sz w:val="21"/>
      <w:szCs w:val="21"/>
    </w:rPr>
  </w:style>
  <w:style w:type="character" w:customStyle="1" w:styleId="118">
    <w:name w:val="Заголовок №11 + Не полужирный"/>
    <w:rsid w:val="00662012"/>
    <w:rPr>
      <w:rFonts w:ascii="Arial" w:eastAsia="Arial" w:hAnsi="Arial" w:cs="Arial"/>
      <w:b/>
      <w:bCs/>
      <w:i w:val="0"/>
      <w:iCs w:val="0"/>
      <w:smallCaps w:val="0"/>
      <w:strike w:val="0"/>
      <w:spacing w:val="0"/>
      <w:sz w:val="21"/>
      <w:szCs w:val="21"/>
    </w:rPr>
  </w:style>
  <w:style w:type="character" w:customStyle="1" w:styleId="119">
    <w:name w:val="Заголовок №11"/>
    <w:rsid w:val="00662012"/>
    <w:rPr>
      <w:rFonts w:ascii="Arial" w:eastAsia="Arial" w:hAnsi="Arial" w:cs="Arial"/>
      <w:b w:val="0"/>
      <w:bCs w:val="0"/>
      <w:i w:val="0"/>
      <w:iCs w:val="0"/>
      <w:smallCaps w:val="0"/>
      <w:strike w:val="0"/>
      <w:spacing w:val="0"/>
      <w:sz w:val="21"/>
      <w:szCs w:val="21"/>
      <w:u w:val="single"/>
    </w:rPr>
  </w:style>
  <w:style w:type="character" w:customStyle="1" w:styleId="2ffa">
    <w:name w:val="Подпись к картинке (2)_"/>
    <w:link w:val="2ffb"/>
    <w:rsid w:val="00662012"/>
    <w:rPr>
      <w:rFonts w:ascii="Times New Roman" w:eastAsia="Times New Roman" w:hAnsi="Times New Roman"/>
      <w:shd w:val="clear" w:color="auto" w:fill="FFFFFF"/>
    </w:rPr>
  </w:style>
  <w:style w:type="character" w:customStyle="1" w:styleId="1220">
    <w:name w:val="Заголовок №12 (2)_"/>
    <w:link w:val="1221"/>
    <w:rsid w:val="00662012"/>
    <w:rPr>
      <w:rFonts w:ascii="Times New Roman" w:eastAsia="Times New Roman" w:hAnsi="Times New Roman"/>
      <w:sz w:val="21"/>
      <w:szCs w:val="21"/>
      <w:shd w:val="clear" w:color="auto" w:fill="FFFFFF"/>
    </w:rPr>
  </w:style>
  <w:style w:type="character" w:customStyle="1" w:styleId="10pt1pt">
    <w:name w:val="Основной текст + 10 pt;Полужирный;Интервал 1 pt"/>
    <w:rsid w:val="00662012"/>
    <w:rPr>
      <w:rFonts w:ascii="Times New Roman" w:eastAsia="Times New Roman" w:hAnsi="Times New Roman" w:cs="Times New Roman"/>
      <w:b/>
      <w:bCs/>
      <w:i w:val="0"/>
      <w:iCs w:val="0"/>
      <w:smallCaps w:val="0"/>
      <w:strike w:val="0"/>
      <w:spacing w:val="20"/>
      <w:sz w:val="20"/>
      <w:szCs w:val="20"/>
      <w:shd w:val="clear" w:color="auto" w:fill="FFFFFF"/>
    </w:rPr>
  </w:style>
  <w:style w:type="character" w:customStyle="1" w:styleId="127">
    <w:name w:val="Заголовок №12_"/>
    <w:link w:val="128"/>
    <w:rsid w:val="00662012"/>
    <w:rPr>
      <w:rFonts w:ascii="Times New Roman" w:eastAsia="Times New Roman" w:hAnsi="Times New Roman"/>
      <w:sz w:val="21"/>
      <w:szCs w:val="21"/>
      <w:shd w:val="clear" w:color="auto" w:fill="FFFFFF"/>
    </w:rPr>
  </w:style>
  <w:style w:type="character" w:customStyle="1" w:styleId="1210pt1pt">
    <w:name w:val="Заголовок №12 + 10 pt;Полужирный;Интервал 1 pt"/>
    <w:rsid w:val="00662012"/>
    <w:rPr>
      <w:rFonts w:ascii="Times New Roman" w:eastAsia="Times New Roman" w:hAnsi="Times New Roman"/>
      <w:b/>
      <w:bCs/>
      <w:spacing w:val="20"/>
      <w:sz w:val="20"/>
      <w:szCs w:val="20"/>
      <w:shd w:val="clear" w:color="auto" w:fill="FFFFFF"/>
    </w:rPr>
  </w:style>
  <w:style w:type="character" w:customStyle="1" w:styleId="133">
    <w:name w:val="Основной текст (13) + Не курсив"/>
    <w:rsid w:val="00662012"/>
    <w:rPr>
      <w:rFonts w:ascii="Times New Roman" w:eastAsia="Times New Roman" w:hAnsi="Times New Roman" w:cs="Times New Roman"/>
      <w:b w:val="0"/>
      <w:bCs w:val="0"/>
      <w:i/>
      <w:iCs/>
      <w:smallCaps w:val="0"/>
      <w:strike w:val="0"/>
      <w:noProof/>
      <w:spacing w:val="0"/>
      <w:sz w:val="21"/>
      <w:szCs w:val="21"/>
      <w:shd w:val="clear" w:color="auto" w:fill="FFFFFF"/>
    </w:rPr>
  </w:style>
  <w:style w:type="paragraph" w:customStyle="1" w:styleId="2ffb">
    <w:name w:val="Подпись к картинке (2)"/>
    <w:basedOn w:val="a0"/>
    <w:link w:val="2ffa"/>
    <w:rsid w:val="00662012"/>
    <w:pPr>
      <w:shd w:val="clear" w:color="auto" w:fill="FFFFFF"/>
      <w:spacing w:after="0" w:line="0" w:lineRule="atLeast"/>
    </w:pPr>
    <w:rPr>
      <w:rFonts w:ascii="Times New Roman" w:eastAsia="Times New Roman" w:hAnsi="Times New Roman"/>
      <w:lang w:val="ru-UA" w:eastAsia="en-US"/>
    </w:rPr>
  </w:style>
  <w:style w:type="paragraph" w:customStyle="1" w:styleId="1221">
    <w:name w:val="Заголовок №12 (2)"/>
    <w:basedOn w:val="a0"/>
    <w:link w:val="1220"/>
    <w:rsid w:val="00662012"/>
    <w:pPr>
      <w:shd w:val="clear" w:color="auto" w:fill="FFFFFF"/>
      <w:spacing w:after="0" w:line="0" w:lineRule="atLeast"/>
    </w:pPr>
    <w:rPr>
      <w:rFonts w:ascii="Times New Roman" w:eastAsia="Times New Roman" w:hAnsi="Times New Roman"/>
      <w:sz w:val="21"/>
      <w:szCs w:val="21"/>
      <w:lang w:val="ru-UA" w:eastAsia="en-US"/>
    </w:rPr>
  </w:style>
  <w:style w:type="paragraph" w:customStyle="1" w:styleId="128">
    <w:name w:val="Заголовок №12"/>
    <w:basedOn w:val="a0"/>
    <w:link w:val="127"/>
    <w:rsid w:val="00662012"/>
    <w:pPr>
      <w:shd w:val="clear" w:color="auto" w:fill="FFFFFF"/>
      <w:spacing w:after="0" w:line="250" w:lineRule="exact"/>
      <w:ind w:hanging="960"/>
    </w:pPr>
    <w:rPr>
      <w:rFonts w:ascii="Times New Roman" w:eastAsia="Times New Roman" w:hAnsi="Times New Roman"/>
      <w:sz w:val="21"/>
      <w:szCs w:val="21"/>
      <w:lang w:val="ru-UA" w:eastAsia="en-US"/>
    </w:rPr>
  </w:style>
  <w:style w:type="character" w:customStyle="1" w:styleId="95pt0pt80">
    <w:name w:val="Основной текст + 9;5 pt;Полужирный;Курсив;Интервал 0 pt;Масштаб 80%"/>
    <w:rsid w:val="00662012"/>
    <w:rPr>
      <w:rFonts w:ascii="Times New Roman" w:eastAsia="Times New Roman" w:hAnsi="Times New Roman" w:cs="Times New Roman"/>
      <w:b/>
      <w:bCs/>
      <w:i/>
      <w:iCs/>
      <w:smallCaps w:val="0"/>
      <w:strike w:val="0"/>
      <w:spacing w:val="10"/>
      <w:w w:val="80"/>
      <w:sz w:val="19"/>
      <w:szCs w:val="19"/>
      <w:shd w:val="clear" w:color="auto" w:fill="FFFFFF"/>
    </w:rPr>
  </w:style>
  <w:style w:type="character" w:customStyle="1" w:styleId="1395pt0pt80">
    <w:name w:val="Основной текст (13) + 9;5 pt;Полужирный;Интервал 0 pt;Масштаб 80%"/>
    <w:rsid w:val="00662012"/>
    <w:rPr>
      <w:rFonts w:ascii="Times New Roman" w:eastAsia="Times New Roman" w:hAnsi="Times New Roman" w:cs="Times New Roman"/>
      <w:b/>
      <w:bCs/>
      <w:i w:val="0"/>
      <w:iCs w:val="0"/>
      <w:smallCaps w:val="0"/>
      <w:strike w:val="0"/>
      <w:noProof/>
      <w:spacing w:val="10"/>
      <w:w w:val="80"/>
      <w:sz w:val="19"/>
      <w:szCs w:val="19"/>
      <w:shd w:val="clear" w:color="auto" w:fill="FFFFFF"/>
    </w:rPr>
  </w:style>
  <w:style w:type="character" w:customStyle="1" w:styleId="1310pt1pt">
    <w:name w:val="Основной текст (13) + 10 pt;Полужирный;Не курсив;Интервал 1 pt"/>
    <w:rsid w:val="00662012"/>
    <w:rPr>
      <w:rFonts w:ascii="Times New Roman" w:eastAsia="Times New Roman" w:hAnsi="Times New Roman" w:cs="Times New Roman"/>
      <w:b/>
      <w:bCs/>
      <w:i/>
      <w:iCs/>
      <w:smallCaps w:val="0"/>
      <w:strike w:val="0"/>
      <w:noProof/>
      <w:spacing w:val="20"/>
      <w:sz w:val="20"/>
      <w:szCs w:val="20"/>
      <w:shd w:val="clear" w:color="auto" w:fill="FFFFFF"/>
    </w:rPr>
  </w:style>
  <w:style w:type="character" w:customStyle="1" w:styleId="141">
    <w:name w:val="Основной текст (14)_"/>
    <w:link w:val="142"/>
    <w:rsid w:val="00662012"/>
    <w:rPr>
      <w:rFonts w:ascii="Times New Roman" w:eastAsia="Times New Roman" w:hAnsi="Times New Roman"/>
      <w:w w:val="80"/>
      <w:sz w:val="12"/>
      <w:szCs w:val="12"/>
      <w:shd w:val="clear" w:color="auto" w:fill="FFFFFF"/>
    </w:rPr>
  </w:style>
  <w:style w:type="character" w:customStyle="1" w:styleId="1495pt0pt">
    <w:name w:val="Основной текст (14) + 9;5 pt;Интервал 0 pt"/>
    <w:rsid w:val="00662012"/>
    <w:rPr>
      <w:rFonts w:ascii="Times New Roman" w:eastAsia="Times New Roman" w:hAnsi="Times New Roman"/>
      <w:spacing w:val="10"/>
      <w:w w:val="80"/>
      <w:sz w:val="19"/>
      <w:szCs w:val="19"/>
      <w:shd w:val="clear" w:color="auto" w:fill="FFFFFF"/>
    </w:rPr>
  </w:style>
  <w:style w:type="character" w:customStyle="1" w:styleId="14105pt100">
    <w:name w:val="Основной текст (14) + 10;5 pt;Не полужирный;Масштаб 100%"/>
    <w:rsid w:val="00662012"/>
    <w:rPr>
      <w:rFonts w:ascii="Times New Roman" w:eastAsia="Times New Roman" w:hAnsi="Times New Roman"/>
      <w:b/>
      <w:bCs/>
      <w:w w:val="100"/>
      <w:sz w:val="21"/>
      <w:szCs w:val="21"/>
      <w:shd w:val="clear" w:color="auto" w:fill="FFFFFF"/>
    </w:rPr>
  </w:style>
  <w:style w:type="character" w:customStyle="1" w:styleId="14105pt1000">
    <w:name w:val="Основной текст (14) + 10;5 pt;Не полужирный;Не курсив;Масштаб 100%"/>
    <w:rsid w:val="00662012"/>
    <w:rPr>
      <w:rFonts w:ascii="Times New Roman" w:eastAsia="Times New Roman" w:hAnsi="Times New Roman"/>
      <w:b/>
      <w:bCs/>
      <w:i/>
      <w:iCs/>
      <w:w w:val="100"/>
      <w:sz w:val="21"/>
      <w:szCs w:val="21"/>
      <w:shd w:val="clear" w:color="auto" w:fill="FFFFFF"/>
    </w:rPr>
  </w:style>
  <w:style w:type="character" w:customStyle="1" w:styleId="1230">
    <w:name w:val="Заголовок №12 (3)_"/>
    <w:link w:val="1231"/>
    <w:rsid w:val="00662012"/>
    <w:rPr>
      <w:rFonts w:ascii="Times New Roman" w:eastAsia="Times New Roman" w:hAnsi="Times New Roman"/>
      <w:w w:val="80"/>
      <w:sz w:val="12"/>
      <w:szCs w:val="12"/>
      <w:shd w:val="clear" w:color="auto" w:fill="FFFFFF"/>
    </w:rPr>
  </w:style>
  <w:style w:type="character" w:customStyle="1" w:styleId="12395pt0pt">
    <w:name w:val="Заголовок №12 (3) + 9;5 pt;Интервал 0 pt"/>
    <w:rsid w:val="00662012"/>
    <w:rPr>
      <w:rFonts w:ascii="Times New Roman" w:eastAsia="Times New Roman" w:hAnsi="Times New Roman"/>
      <w:spacing w:val="10"/>
      <w:w w:val="80"/>
      <w:sz w:val="19"/>
      <w:szCs w:val="19"/>
      <w:shd w:val="clear" w:color="auto" w:fill="FFFFFF"/>
    </w:rPr>
  </w:style>
  <w:style w:type="character" w:customStyle="1" w:styleId="123105pt100">
    <w:name w:val="Заголовок №12 (3) + 10;5 pt;Не полужирный;Не курсив;Масштаб 100%"/>
    <w:rsid w:val="00662012"/>
    <w:rPr>
      <w:rFonts w:ascii="Times New Roman" w:eastAsia="Times New Roman" w:hAnsi="Times New Roman"/>
      <w:b/>
      <w:bCs/>
      <w:i/>
      <w:iCs/>
      <w:w w:val="100"/>
      <w:sz w:val="21"/>
      <w:szCs w:val="21"/>
      <w:shd w:val="clear" w:color="auto" w:fill="FFFFFF"/>
    </w:rPr>
  </w:style>
  <w:style w:type="character" w:customStyle="1" w:styleId="6pt80">
    <w:name w:val="Основной текст + 6 pt;Полужирный;Курсив;Масштаб 80%"/>
    <w:rsid w:val="00662012"/>
    <w:rPr>
      <w:rFonts w:ascii="Times New Roman" w:eastAsia="Times New Roman" w:hAnsi="Times New Roman" w:cs="Times New Roman"/>
      <w:b/>
      <w:bCs/>
      <w:i/>
      <w:iCs/>
      <w:smallCaps w:val="0"/>
      <w:strike w:val="0"/>
      <w:spacing w:val="0"/>
      <w:w w:val="80"/>
      <w:sz w:val="12"/>
      <w:szCs w:val="12"/>
      <w:shd w:val="clear" w:color="auto" w:fill="FFFFFF"/>
    </w:rPr>
  </w:style>
  <w:style w:type="character" w:customStyle="1" w:styleId="65pt">
    <w:name w:val="Основной текст + 6;5 pt"/>
    <w:rsid w:val="00662012"/>
    <w:rPr>
      <w:rFonts w:ascii="Times New Roman" w:eastAsia="Times New Roman" w:hAnsi="Times New Roman" w:cs="Times New Roman"/>
      <w:b w:val="0"/>
      <w:bCs w:val="0"/>
      <w:i w:val="0"/>
      <w:iCs w:val="0"/>
      <w:smallCaps w:val="0"/>
      <w:strike w:val="0"/>
      <w:spacing w:val="0"/>
      <w:sz w:val="13"/>
      <w:szCs w:val="13"/>
      <w:u w:val="single"/>
      <w:shd w:val="clear" w:color="auto" w:fill="FFFFFF"/>
    </w:rPr>
  </w:style>
  <w:style w:type="character" w:customStyle="1" w:styleId="129">
    <w:name w:val="Заголовок №12 + Курсив"/>
    <w:rsid w:val="00662012"/>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1295pt0pt80">
    <w:name w:val="Заголовок №12 + 9;5 pt;Полужирный;Курсив;Интервал 0 pt;Масштаб 80%"/>
    <w:rsid w:val="00662012"/>
    <w:rPr>
      <w:rFonts w:ascii="Times New Roman" w:eastAsia="Times New Roman" w:hAnsi="Times New Roman" w:cs="Times New Roman"/>
      <w:b/>
      <w:bCs/>
      <w:i/>
      <w:iCs/>
      <w:smallCaps w:val="0"/>
      <w:strike w:val="0"/>
      <w:spacing w:val="10"/>
      <w:w w:val="80"/>
      <w:sz w:val="19"/>
      <w:szCs w:val="19"/>
      <w:shd w:val="clear" w:color="auto" w:fill="FFFFFF"/>
    </w:rPr>
  </w:style>
  <w:style w:type="character" w:customStyle="1" w:styleId="1265pt">
    <w:name w:val="Заголовок №12 + 6;5 pt"/>
    <w:rsid w:val="00662012"/>
    <w:rPr>
      <w:rFonts w:ascii="Times New Roman" w:eastAsia="Times New Roman" w:hAnsi="Times New Roman" w:cs="Times New Roman"/>
      <w:b w:val="0"/>
      <w:bCs w:val="0"/>
      <w:i w:val="0"/>
      <w:iCs w:val="0"/>
      <w:smallCaps w:val="0"/>
      <w:strike/>
      <w:spacing w:val="0"/>
      <w:sz w:val="13"/>
      <w:szCs w:val="13"/>
      <w:shd w:val="clear" w:color="auto" w:fill="FFFFFF"/>
    </w:rPr>
  </w:style>
  <w:style w:type="character" w:customStyle="1" w:styleId="9pt80">
    <w:name w:val="Основной текст + 9 pt;Полужирный;Курсив;Малые прописные;Масштаб 80%"/>
    <w:rsid w:val="00662012"/>
    <w:rPr>
      <w:rFonts w:ascii="Times New Roman" w:eastAsia="Times New Roman" w:hAnsi="Times New Roman" w:cs="Times New Roman"/>
      <w:b/>
      <w:bCs/>
      <w:i/>
      <w:iCs/>
      <w:smallCaps/>
      <w:strike w:val="0"/>
      <w:spacing w:val="0"/>
      <w:w w:val="80"/>
      <w:sz w:val="18"/>
      <w:szCs w:val="18"/>
      <w:shd w:val="clear" w:color="auto" w:fill="FFFFFF"/>
    </w:rPr>
  </w:style>
  <w:style w:type="character" w:customStyle="1" w:styleId="136pt80">
    <w:name w:val="Основной текст (13) + 6 pt;Полужирный;Масштаб 80%"/>
    <w:rsid w:val="00662012"/>
    <w:rPr>
      <w:rFonts w:ascii="Times New Roman" w:eastAsia="Times New Roman" w:hAnsi="Times New Roman" w:cs="Times New Roman"/>
      <w:b/>
      <w:bCs/>
      <w:i w:val="0"/>
      <w:iCs w:val="0"/>
      <w:smallCaps w:val="0"/>
      <w:strike w:val="0"/>
      <w:noProof/>
      <w:spacing w:val="0"/>
      <w:w w:val="80"/>
      <w:sz w:val="12"/>
      <w:szCs w:val="12"/>
      <w:shd w:val="clear" w:color="auto" w:fill="FFFFFF"/>
    </w:rPr>
  </w:style>
  <w:style w:type="character" w:customStyle="1" w:styleId="1105pt">
    <w:name w:val="Заголовок №1 + 10;5 pt"/>
    <w:rsid w:val="00662012"/>
    <w:rPr>
      <w:rFonts w:ascii="Times New Roman" w:eastAsia="Times New Roman" w:hAnsi="Times New Roman" w:cs="Times New Roman"/>
      <w:b w:val="0"/>
      <w:bCs w:val="0"/>
      <w:i w:val="0"/>
      <w:iCs w:val="0"/>
      <w:smallCaps w:val="0"/>
      <w:strike w:val="0"/>
      <w:spacing w:val="0"/>
      <w:sz w:val="21"/>
      <w:szCs w:val="21"/>
      <w:shd w:val="clear" w:color="auto" w:fill="FFFFFF"/>
    </w:rPr>
  </w:style>
  <w:style w:type="character" w:customStyle="1" w:styleId="110pt1pt">
    <w:name w:val="Заголовок №1 + 10 pt;Полужирный;Интервал 1 pt"/>
    <w:rsid w:val="00662012"/>
    <w:rPr>
      <w:rFonts w:ascii="Times New Roman" w:eastAsia="Times New Roman" w:hAnsi="Times New Roman" w:cs="Times New Roman"/>
      <w:b/>
      <w:bCs/>
      <w:i w:val="0"/>
      <w:iCs w:val="0"/>
      <w:smallCaps w:val="0"/>
      <w:strike w:val="0"/>
      <w:spacing w:val="20"/>
      <w:sz w:val="20"/>
      <w:szCs w:val="20"/>
      <w:shd w:val="clear" w:color="auto" w:fill="FFFFFF"/>
    </w:rPr>
  </w:style>
  <w:style w:type="character" w:customStyle="1" w:styleId="16pt80">
    <w:name w:val="Заголовок №1 + 6 pt;Полужирный;Курсив;Масштаб 80%"/>
    <w:rsid w:val="00662012"/>
    <w:rPr>
      <w:rFonts w:ascii="Times New Roman" w:eastAsia="Times New Roman" w:hAnsi="Times New Roman" w:cs="Times New Roman"/>
      <w:b/>
      <w:bCs/>
      <w:i/>
      <w:iCs/>
      <w:smallCaps w:val="0"/>
      <w:strike w:val="0"/>
      <w:spacing w:val="0"/>
      <w:w w:val="80"/>
      <w:sz w:val="12"/>
      <w:szCs w:val="12"/>
      <w:shd w:val="clear" w:color="auto" w:fill="FFFFFF"/>
    </w:rPr>
  </w:style>
  <w:style w:type="character" w:customStyle="1" w:styleId="12310pt1pt100">
    <w:name w:val="Заголовок №12 (3) + 10 pt;Не курсив;Интервал 1 pt;Масштаб 100%"/>
    <w:rsid w:val="00662012"/>
    <w:rPr>
      <w:rFonts w:ascii="Times New Roman" w:eastAsia="Times New Roman" w:hAnsi="Times New Roman"/>
      <w:i/>
      <w:iCs/>
      <w:spacing w:val="20"/>
      <w:w w:val="100"/>
      <w:sz w:val="20"/>
      <w:szCs w:val="20"/>
      <w:shd w:val="clear" w:color="auto" w:fill="FFFFFF"/>
    </w:rPr>
  </w:style>
  <w:style w:type="character" w:customStyle="1" w:styleId="12365pt100">
    <w:name w:val="Заголовок №12 (3) + 6;5 pt;Не полужирный;Не курсив;Масштаб 100%"/>
    <w:rsid w:val="00662012"/>
    <w:rPr>
      <w:rFonts w:ascii="Times New Roman" w:eastAsia="Times New Roman" w:hAnsi="Times New Roman"/>
      <w:b/>
      <w:bCs/>
      <w:i/>
      <w:iCs/>
      <w:w w:val="100"/>
      <w:sz w:val="13"/>
      <w:szCs w:val="13"/>
      <w:shd w:val="clear" w:color="auto" w:fill="FFFFFF"/>
    </w:rPr>
  </w:style>
  <w:style w:type="paragraph" w:customStyle="1" w:styleId="142">
    <w:name w:val="Основной текст (14)"/>
    <w:basedOn w:val="a0"/>
    <w:link w:val="141"/>
    <w:rsid w:val="00662012"/>
    <w:pPr>
      <w:shd w:val="clear" w:color="auto" w:fill="FFFFFF"/>
      <w:spacing w:after="0" w:line="0" w:lineRule="atLeast"/>
      <w:ind w:firstLine="400"/>
      <w:jc w:val="both"/>
    </w:pPr>
    <w:rPr>
      <w:rFonts w:ascii="Times New Roman" w:eastAsia="Times New Roman" w:hAnsi="Times New Roman"/>
      <w:w w:val="80"/>
      <w:sz w:val="12"/>
      <w:szCs w:val="12"/>
      <w:lang w:val="ru-UA" w:eastAsia="en-US"/>
    </w:rPr>
  </w:style>
  <w:style w:type="paragraph" w:customStyle="1" w:styleId="1231">
    <w:name w:val="Заголовок №12 (3)"/>
    <w:basedOn w:val="a0"/>
    <w:link w:val="1230"/>
    <w:rsid w:val="00662012"/>
    <w:pPr>
      <w:shd w:val="clear" w:color="auto" w:fill="FFFFFF"/>
      <w:spacing w:after="180" w:line="0" w:lineRule="atLeast"/>
      <w:ind w:firstLine="300"/>
      <w:jc w:val="both"/>
    </w:pPr>
    <w:rPr>
      <w:rFonts w:ascii="Times New Roman" w:eastAsia="Times New Roman" w:hAnsi="Times New Roman"/>
      <w:w w:val="80"/>
      <w:sz w:val="12"/>
      <w:szCs w:val="12"/>
      <w:lang w:val="ru-UA" w:eastAsia="en-US"/>
    </w:rPr>
  </w:style>
  <w:style w:type="character" w:customStyle="1" w:styleId="160">
    <w:name w:val="Основной текст (16)_"/>
    <w:link w:val="161"/>
    <w:rsid w:val="00662012"/>
    <w:rPr>
      <w:rFonts w:ascii="Times New Roman" w:eastAsia="Times New Roman" w:hAnsi="Times New Roman"/>
      <w:shd w:val="clear" w:color="auto" w:fill="FFFFFF"/>
    </w:rPr>
  </w:style>
  <w:style w:type="character" w:customStyle="1" w:styleId="16105pt">
    <w:name w:val="Основной текст (16) + 10;5 pt;Курсив"/>
    <w:rsid w:val="00662012"/>
    <w:rPr>
      <w:rFonts w:ascii="Times New Roman" w:eastAsia="Times New Roman" w:hAnsi="Times New Roman"/>
      <w:i/>
      <w:iCs/>
      <w:sz w:val="21"/>
      <w:szCs w:val="21"/>
      <w:shd w:val="clear" w:color="auto" w:fill="FFFFFF"/>
    </w:rPr>
  </w:style>
  <w:style w:type="character" w:customStyle="1" w:styleId="161pt">
    <w:name w:val="Основной текст (16) + Полужирный;Интервал 1 pt"/>
    <w:rsid w:val="00662012"/>
    <w:rPr>
      <w:rFonts w:ascii="Times New Roman" w:eastAsia="Times New Roman" w:hAnsi="Times New Roman"/>
      <w:b/>
      <w:bCs/>
      <w:spacing w:val="20"/>
      <w:shd w:val="clear" w:color="auto" w:fill="FFFFFF"/>
    </w:rPr>
  </w:style>
  <w:style w:type="character" w:customStyle="1" w:styleId="16105pt0">
    <w:name w:val="Основной текст (16) + 10;5 pt"/>
    <w:rsid w:val="00662012"/>
    <w:rPr>
      <w:rFonts w:ascii="Times New Roman" w:eastAsia="Times New Roman" w:hAnsi="Times New Roman"/>
      <w:sz w:val="21"/>
      <w:szCs w:val="21"/>
      <w:shd w:val="clear" w:color="auto" w:fill="FFFFFF"/>
    </w:rPr>
  </w:style>
  <w:style w:type="paragraph" w:customStyle="1" w:styleId="161">
    <w:name w:val="Основной текст (16)"/>
    <w:basedOn w:val="a0"/>
    <w:link w:val="160"/>
    <w:rsid w:val="00662012"/>
    <w:pPr>
      <w:shd w:val="clear" w:color="auto" w:fill="FFFFFF"/>
      <w:spacing w:before="420" w:after="0" w:line="250" w:lineRule="exact"/>
    </w:pPr>
    <w:rPr>
      <w:rFonts w:ascii="Times New Roman" w:eastAsia="Times New Roman" w:hAnsi="Times New Roman"/>
      <w:lang w:val="ru-UA" w:eastAsia="en-US"/>
    </w:rPr>
  </w:style>
  <w:style w:type="character" w:customStyle="1" w:styleId="200">
    <w:name w:val="Основной текст (20)_"/>
    <w:link w:val="201"/>
    <w:rsid w:val="00662012"/>
    <w:rPr>
      <w:rFonts w:ascii="Times New Roman" w:eastAsia="Times New Roman" w:hAnsi="Times New Roman"/>
      <w:spacing w:val="10"/>
      <w:w w:val="80"/>
      <w:sz w:val="19"/>
      <w:szCs w:val="19"/>
      <w:shd w:val="clear" w:color="auto" w:fill="FFFFFF"/>
    </w:rPr>
  </w:style>
  <w:style w:type="character" w:customStyle="1" w:styleId="170">
    <w:name w:val="Основной текст (17)_"/>
    <w:link w:val="171"/>
    <w:rsid w:val="00662012"/>
    <w:rPr>
      <w:rFonts w:ascii="Times New Roman" w:eastAsia="Times New Roman" w:hAnsi="Times New Roman"/>
      <w:sz w:val="13"/>
      <w:szCs w:val="13"/>
      <w:shd w:val="clear" w:color="auto" w:fill="FFFFFF"/>
    </w:rPr>
  </w:style>
  <w:style w:type="character" w:customStyle="1" w:styleId="1365pt">
    <w:name w:val="Основной текст (13) + 6;5 pt;Не курсив"/>
    <w:rsid w:val="00662012"/>
    <w:rPr>
      <w:rFonts w:ascii="Times New Roman" w:eastAsia="Times New Roman" w:hAnsi="Times New Roman" w:cs="Times New Roman"/>
      <w:b w:val="0"/>
      <w:bCs w:val="0"/>
      <w:i/>
      <w:iCs/>
      <w:smallCaps w:val="0"/>
      <w:strike w:val="0"/>
      <w:noProof/>
      <w:spacing w:val="0"/>
      <w:sz w:val="13"/>
      <w:szCs w:val="13"/>
      <w:shd w:val="clear" w:color="auto" w:fill="FFFFFF"/>
    </w:rPr>
  </w:style>
  <w:style w:type="character" w:customStyle="1" w:styleId="180">
    <w:name w:val="Основной текст (18)_"/>
    <w:link w:val="181"/>
    <w:rsid w:val="00662012"/>
    <w:rPr>
      <w:rFonts w:ascii="Times New Roman" w:eastAsia="Times New Roman" w:hAnsi="Times New Roman"/>
      <w:sz w:val="17"/>
      <w:szCs w:val="17"/>
      <w:shd w:val="clear" w:color="auto" w:fill="FFFFFF"/>
    </w:rPr>
  </w:style>
  <w:style w:type="character" w:customStyle="1" w:styleId="190">
    <w:name w:val="Основной текст (19)_"/>
    <w:link w:val="191"/>
    <w:rsid w:val="00662012"/>
    <w:rPr>
      <w:rFonts w:ascii="Times New Roman" w:eastAsia="Times New Roman" w:hAnsi="Times New Roman"/>
      <w:spacing w:val="-10"/>
      <w:sz w:val="15"/>
      <w:szCs w:val="15"/>
      <w:shd w:val="clear" w:color="auto" w:fill="FFFFFF"/>
    </w:rPr>
  </w:style>
  <w:style w:type="character" w:customStyle="1" w:styleId="21a">
    <w:name w:val="Основной текст (21)_"/>
    <w:link w:val="21b"/>
    <w:rsid w:val="00662012"/>
    <w:rPr>
      <w:rFonts w:ascii="Times New Roman" w:eastAsia="Times New Roman" w:hAnsi="Times New Roman"/>
      <w:spacing w:val="10"/>
      <w:shd w:val="clear" w:color="auto" w:fill="FFFFFF"/>
    </w:rPr>
  </w:style>
  <w:style w:type="character" w:customStyle="1" w:styleId="21105pt0pt">
    <w:name w:val="Основной текст (21) + 10;5 pt;Не малые прописные;Интервал 0 pt"/>
    <w:rsid w:val="00662012"/>
    <w:rPr>
      <w:rFonts w:ascii="Times New Roman" w:eastAsia="Times New Roman" w:hAnsi="Times New Roman"/>
      <w:smallCaps/>
      <w:spacing w:val="0"/>
      <w:sz w:val="21"/>
      <w:szCs w:val="21"/>
      <w:shd w:val="clear" w:color="auto" w:fill="FFFFFF"/>
    </w:rPr>
  </w:style>
  <w:style w:type="character" w:customStyle="1" w:styleId="225">
    <w:name w:val="Основной текст (22)_"/>
    <w:link w:val="226"/>
    <w:rsid w:val="00662012"/>
    <w:rPr>
      <w:rFonts w:ascii="Times New Roman" w:eastAsia="Times New Roman" w:hAnsi="Times New Roman"/>
      <w:w w:val="80"/>
      <w:sz w:val="12"/>
      <w:szCs w:val="12"/>
      <w:shd w:val="clear" w:color="auto" w:fill="FFFFFF"/>
    </w:rPr>
  </w:style>
  <w:style w:type="character" w:customStyle="1" w:styleId="235">
    <w:name w:val="Основной текст (23)_"/>
    <w:link w:val="236"/>
    <w:rsid w:val="00662012"/>
    <w:rPr>
      <w:rFonts w:ascii="Times New Roman" w:eastAsia="Times New Roman" w:hAnsi="Times New Roman"/>
      <w:sz w:val="13"/>
      <w:szCs w:val="13"/>
      <w:shd w:val="clear" w:color="auto" w:fill="FFFFFF"/>
    </w:rPr>
  </w:style>
  <w:style w:type="character" w:customStyle="1" w:styleId="236pt80">
    <w:name w:val="Основной текст (23) + 6 pt;Полужирный;Курсив;Масштаб 80%"/>
    <w:rsid w:val="00662012"/>
    <w:rPr>
      <w:rFonts w:ascii="Times New Roman" w:eastAsia="Times New Roman" w:hAnsi="Times New Roman"/>
      <w:b/>
      <w:bCs/>
      <w:i/>
      <w:iCs/>
      <w:w w:val="80"/>
      <w:sz w:val="12"/>
      <w:szCs w:val="12"/>
      <w:shd w:val="clear" w:color="auto" w:fill="FFFFFF"/>
    </w:rPr>
  </w:style>
  <w:style w:type="paragraph" w:customStyle="1" w:styleId="201">
    <w:name w:val="Основной текст (20)"/>
    <w:basedOn w:val="a0"/>
    <w:link w:val="200"/>
    <w:rsid w:val="00662012"/>
    <w:pPr>
      <w:shd w:val="clear" w:color="auto" w:fill="FFFFFF"/>
      <w:spacing w:before="1200" w:after="660" w:line="0" w:lineRule="atLeast"/>
    </w:pPr>
    <w:rPr>
      <w:rFonts w:ascii="Times New Roman" w:eastAsia="Times New Roman" w:hAnsi="Times New Roman"/>
      <w:spacing w:val="10"/>
      <w:w w:val="80"/>
      <w:sz w:val="19"/>
      <w:szCs w:val="19"/>
      <w:lang w:val="ru-UA" w:eastAsia="en-US"/>
    </w:rPr>
  </w:style>
  <w:style w:type="paragraph" w:customStyle="1" w:styleId="171">
    <w:name w:val="Основной текст (17)"/>
    <w:basedOn w:val="a0"/>
    <w:link w:val="170"/>
    <w:rsid w:val="00662012"/>
    <w:pPr>
      <w:shd w:val="clear" w:color="auto" w:fill="FFFFFF"/>
      <w:spacing w:after="120" w:line="0" w:lineRule="atLeast"/>
    </w:pPr>
    <w:rPr>
      <w:rFonts w:ascii="Times New Roman" w:eastAsia="Times New Roman" w:hAnsi="Times New Roman"/>
      <w:sz w:val="13"/>
      <w:szCs w:val="13"/>
      <w:lang w:val="ru-UA" w:eastAsia="en-US"/>
    </w:rPr>
  </w:style>
  <w:style w:type="paragraph" w:customStyle="1" w:styleId="181">
    <w:name w:val="Основной текст (18)"/>
    <w:basedOn w:val="a0"/>
    <w:link w:val="180"/>
    <w:rsid w:val="00662012"/>
    <w:pPr>
      <w:shd w:val="clear" w:color="auto" w:fill="FFFFFF"/>
      <w:spacing w:after="120" w:line="0" w:lineRule="atLeast"/>
    </w:pPr>
    <w:rPr>
      <w:rFonts w:ascii="Times New Roman" w:eastAsia="Times New Roman" w:hAnsi="Times New Roman"/>
      <w:sz w:val="17"/>
      <w:szCs w:val="17"/>
      <w:lang w:val="ru-UA" w:eastAsia="en-US"/>
    </w:rPr>
  </w:style>
  <w:style w:type="paragraph" w:customStyle="1" w:styleId="191">
    <w:name w:val="Основной текст (19)"/>
    <w:basedOn w:val="a0"/>
    <w:link w:val="190"/>
    <w:rsid w:val="00662012"/>
    <w:pPr>
      <w:shd w:val="clear" w:color="auto" w:fill="FFFFFF"/>
      <w:spacing w:before="120" w:after="1200" w:line="0" w:lineRule="atLeast"/>
    </w:pPr>
    <w:rPr>
      <w:rFonts w:ascii="Times New Roman" w:eastAsia="Times New Roman" w:hAnsi="Times New Roman"/>
      <w:spacing w:val="-10"/>
      <w:sz w:val="15"/>
      <w:szCs w:val="15"/>
      <w:lang w:val="ru-UA" w:eastAsia="en-US"/>
    </w:rPr>
  </w:style>
  <w:style w:type="paragraph" w:customStyle="1" w:styleId="21b">
    <w:name w:val="Основной текст (21)"/>
    <w:basedOn w:val="a0"/>
    <w:link w:val="21a"/>
    <w:rsid w:val="00662012"/>
    <w:pPr>
      <w:shd w:val="clear" w:color="auto" w:fill="FFFFFF"/>
      <w:spacing w:before="120" w:after="120" w:line="0" w:lineRule="atLeast"/>
    </w:pPr>
    <w:rPr>
      <w:rFonts w:ascii="Times New Roman" w:eastAsia="Times New Roman" w:hAnsi="Times New Roman"/>
      <w:spacing w:val="10"/>
      <w:lang w:val="ru-UA" w:eastAsia="en-US"/>
    </w:rPr>
  </w:style>
  <w:style w:type="paragraph" w:customStyle="1" w:styleId="226">
    <w:name w:val="Основной текст (22)"/>
    <w:basedOn w:val="a0"/>
    <w:link w:val="225"/>
    <w:rsid w:val="00662012"/>
    <w:pPr>
      <w:shd w:val="clear" w:color="auto" w:fill="FFFFFF"/>
      <w:spacing w:before="120" w:after="0" w:line="0" w:lineRule="atLeast"/>
    </w:pPr>
    <w:rPr>
      <w:rFonts w:ascii="Times New Roman" w:eastAsia="Times New Roman" w:hAnsi="Times New Roman"/>
      <w:w w:val="80"/>
      <w:sz w:val="12"/>
      <w:szCs w:val="12"/>
      <w:lang w:val="ru-UA" w:eastAsia="en-US"/>
    </w:rPr>
  </w:style>
  <w:style w:type="paragraph" w:customStyle="1" w:styleId="236">
    <w:name w:val="Основной текст (23)"/>
    <w:basedOn w:val="a0"/>
    <w:link w:val="235"/>
    <w:rsid w:val="00662012"/>
    <w:pPr>
      <w:shd w:val="clear" w:color="auto" w:fill="FFFFFF"/>
      <w:spacing w:before="120" w:after="0" w:line="269" w:lineRule="exact"/>
      <w:ind w:hanging="1100"/>
    </w:pPr>
    <w:rPr>
      <w:rFonts w:ascii="Times New Roman" w:eastAsia="Times New Roman" w:hAnsi="Times New Roman"/>
      <w:sz w:val="13"/>
      <w:szCs w:val="13"/>
      <w:lang w:val="ru-UA" w:eastAsia="en-US"/>
    </w:rPr>
  </w:style>
  <w:style w:type="character" w:customStyle="1" w:styleId="12210pt1pt">
    <w:name w:val="Заголовок №12 (2) + 10 pt;Полужирный;Не курсив;Интервал 1 pt"/>
    <w:rsid w:val="00662012"/>
    <w:rPr>
      <w:rFonts w:ascii="Times New Roman" w:eastAsia="Times New Roman" w:hAnsi="Times New Roman" w:cs="Times New Roman"/>
      <w:b/>
      <w:bCs/>
      <w:i/>
      <w:iCs/>
      <w:smallCaps w:val="0"/>
      <w:strike w:val="0"/>
      <w:spacing w:val="20"/>
      <w:sz w:val="20"/>
      <w:szCs w:val="20"/>
      <w:shd w:val="clear" w:color="auto" w:fill="FFFFFF"/>
    </w:rPr>
  </w:style>
  <w:style w:type="character" w:customStyle="1" w:styleId="1222">
    <w:name w:val="Заголовок №12 (2) + Не курсив"/>
    <w:rsid w:val="00662012"/>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1221pt">
    <w:name w:val="Заголовок №12 + Интервал 21 pt"/>
    <w:rsid w:val="00662012"/>
    <w:rPr>
      <w:rFonts w:ascii="Times New Roman" w:eastAsia="Times New Roman" w:hAnsi="Times New Roman" w:cs="Times New Roman"/>
      <w:b w:val="0"/>
      <w:bCs w:val="0"/>
      <w:i w:val="0"/>
      <w:iCs w:val="0"/>
      <w:smallCaps w:val="0"/>
      <w:strike w:val="0"/>
      <w:spacing w:val="430"/>
      <w:sz w:val="21"/>
      <w:szCs w:val="21"/>
      <w:shd w:val="clear" w:color="auto" w:fill="FFFFFF"/>
    </w:rPr>
  </w:style>
  <w:style w:type="character" w:customStyle="1" w:styleId="1pt">
    <w:name w:val="Основной текст + Интервал 1 pt"/>
    <w:rsid w:val="00662012"/>
    <w:rPr>
      <w:rFonts w:ascii="Times New Roman" w:eastAsia="Times New Roman" w:hAnsi="Times New Roman" w:cs="Times New Roman"/>
      <w:b w:val="0"/>
      <w:bCs w:val="0"/>
      <w:i w:val="0"/>
      <w:iCs w:val="0"/>
      <w:smallCaps w:val="0"/>
      <w:strike w:val="0"/>
      <w:spacing w:val="20"/>
      <w:sz w:val="21"/>
      <w:szCs w:val="21"/>
      <w:shd w:val="clear" w:color="auto" w:fill="FFFFFF"/>
    </w:rPr>
  </w:style>
  <w:style w:type="character" w:customStyle="1" w:styleId="29pt">
    <w:name w:val="Основной текст + Интервал 29 pt"/>
    <w:rsid w:val="00662012"/>
    <w:rPr>
      <w:rFonts w:ascii="Times New Roman" w:eastAsia="Times New Roman" w:hAnsi="Times New Roman" w:cs="Times New Roman"/>
      <w:b w:val="0"/>
      <w:bCs w:val="0"/>
      <w:i w:val="0"/>
      <w:iCs w:val="0"/>
      <w:smallCaps w:val="0"/>
      <w:strike w:val="0"/>
      <w:spacing w:val="590"/>
      <w:sz w:val="21"/>
      <w:szCs w:val="21"/>
      <w:shd w:val="clear" w:color="auto" w:fill="FFFFFF"/>
    </w:rPr>
  </w:style>
  <w:style w:type="character" w:customStyle="1" w:styleId="150">
    <w:name w:val="Основной текст (15)_"/>
    <w:link w:val="151"/>
    <w:rsid w:val="00662012"/>
    <w:rPr>
      <w:rFonts w:ascii="Arial" w:eastAsia="Arial" w:hAnsi="Arial" w:cs="Arial"/>
      <w:sz w:val="21"/>
      <w:szCs w:val="21"/>
      <w:shd w:val="clear" w:color="auto" w:fill="FFFFFF"/>
    </w:rPr>
  </w:style>
  <w:style w:type="character" w:customStyle="1" w:styleId="13-1pt">
    <w:name w:val="Основной текст (13) + Интервал -1 pt"/>
    <w:rsid w:val="00662012"/>
    <w:rPr>
      <w:rFonts w:ascii="Times New Roman" w:eastAsia="Times New Roman" w:hAnsi="Times New Roman" w:cs="Times New Roman"/>
      <w:b w:val="0"/>
      <w:bCs w:val="0"/>
      <w:i w:val="0"/>
      <w:iCs w:val="0"/>
      <w:smallCaps w:val="0"/>
      <w:strike w:val="0"/>
      <w:noProof/>
      <w:spacing w:val="-20"/>
      <w:sz w:val="21"/>
      <w:szCs w:val="21"/>
      <w:shd w:val="clear" w:color="auto" w:fill="FFFFFF"/>
    </w:rPr>
  </w:style>
  <w:style w:type="character" w:customStyle="1" w:styleId="3fe">
    <w:name w:val="Оглавление (3)_"/>
    <w:link w:val="3ff"/>
    <w:rsid w:val="00662012"/>
    <w:rPr>
      <w:rFonts w:ascii="Times New Roman" w:eastAsia="Times New Roman" w:hAnsi="Times New Roman"/>
      <w:spacing w:val="20"/>
      <w:shd w:val="clear" w:color="auto" w:fill="FFFFFF"/>
    </w:rPr>
  </w:style>
  <w:style w:type="character" w:customStyle="1" w:styleId="3105pt0pt">
    <w:name w:val="Оглавление (3) + 10;5 pt;Не полужирный;Курсив;Интервал 0 pt"/>
    <w:rsid w:val="00662012"/>
    <w:rPr>
      <w:rFonts w:ascii="Times New Roman" w:eastAsia="Times New Roman" w:hAnsi="Times New Roman"/>
      <w:b/>
      <w:bCs/>
      <w:i/>
      <w:iCs/>
      <w:spacing w:val="0"/>
      <w:sz w:val="21"/>
      <w:szCs w:val="21"/>
      <w:shd w:val="clear" w:color="auto" w:fill="FFFFFF"/>
    </w:rPr>
  </w:style>
  <w:style w:type="character" w:customStyle="1" w:styleId="3105pt0pt0">
    <w:name w:val="Оглавление (3) + 10;5 pt;Не полужирный;Интервал 0 pt"/>
    <w:rsid w:val="00662012"/>
    <w:rPr>
      <w:rFonts w:ascii="Times New Roman" w:eastAsia="Times New Roman" w:hAnsi="Times New Roman"/>
      <w:b/>
      <w:bCs/>
      <w:spacing w:val="0"/>
      <w:sz w:val="21"/>
      <w:szCs w:val="21"/>
      <w:shd w:val="clear" w:color="auto" w:fill="FFFFFF"/>
    </w:rPr>
  </w:style>
  <w:style w:type="character" w:customStyle="1" w:styleId="4f2">
    <w:name w:val="Оглавление (4)_"/>
    <w:link w:val="4f3"/>
    <w:rsid w:val="00662012"/>
    <w:rPr>
      <w:rFonts w:ascii="Times New Roman" w:eastAsia="Times New Roman" w:hAnsi="Times New Roman"/>
      <w:sz w:val="21"/>
      <w:szCs w:val="21"/>
      <w:shd w:val="clear" w:color="auto" w:fill="FFFFFF"/>
    </w:rPr>
  </w:style>
  <w:style w:type="character" w:customStyle="1" w:styleId="410pt1pt">
    <w:name w:val="Оглавление (4) + 10 pt;Полужирный;Не курсив;Интервал 1 pt"/>
    <w:rsid w:val="00662012"/>
    <w:rPr>
      <w:rFonts w:ascii="Times New Roman" w:eastAsia="Times New Roman" w:hAnsi="Times New Roman"/>
      <w:b/>
      <w:bCs/>
      <w:i/>
      <w:iCs/>
      <w:spacing w:val="20"/>
      <w:sz w:val="20"/>
      <w:szCs w:val="20"/>
      <w:shd w:val="clear" w:color="auto" w:fill="FFFFFF"/>
    </w:rPr>
  </w:style>
  <w:style w:type="character" w:customStyle="1" w:styleId="4f4">
    <w:name w:val="Оглавление (4) + Не курсив"/>
    <w:rsid w:val="00662012"/>
    <w:rPr>
      <w:rFonts w:ascii="Times New Roman" w:eastAsia="Times New Roman" w:hAnsi="Times New Roman"/>
      <w:i/>
      <w:iCs/>
      <w:sz w:val="21"/>
      <w:szCs w:val="21"/>
      <w:shd w:val="clear" w:color="auto" w:fill="FFFFFF"/>
    </w:rPr>
  </w:style>
  <w:style w:type="character" w:customStyle="1" w:styleId="49pt80">
    <w:name w:val="Оглавление (4) + 9 pt;Полужирный;Малые прописные;Масштаб 80%"/>
    <w:rsid w:val="00662012"/>
    <w:rPr>
      <w:rFonts w:ascii="Times New Roman" w:eastAsia="Times New Roman" w:hAnsi="Times New Roman"/>
      <w:b/>
      <w:bCs/>
      <w:smallCaps/>
      <w:w w:val="80"/>
      <w:sz w:val="18"/>
      <w:szCs w:val="18"/>
      <w:shd w:val="clear" w:color="auto" w:fill="FFFFFF"/>
    </w:rPr>
  </w:style>
  <w:style w:type="paragraph" w:customStyle="1" w:styleId="151">
    <w:name w:val="Основной текст (15)"/>
    <w:basedOn w:val="a0"/>
    <w:link w:val="150"/>
    <w:rsid w:val="00662012"/>
    <w:pPr>
      <w:shd w:val="clear" w:color="auto" w:fill="FFFFFF"/>
      <w:spacing w:after="420" w:line="0" w:lineRule="atLeast"/>
    </w:pPr>
    <w:rPr>
      <w:rFonts w:ascii="Arial" w:eastAsia="Arial" w:hAnsi="Arial" w:cs="Arial"/>
      <w:sz w:val="21"/>
      <w:szCs w:val="21"/>
      <w:lang w:val="ru-UA" w:eastAsia="en-US"/>
    </w:rPr>
  </w:style>
  <w:style w:type="paragraph" w:customStyle="1" w:styleId="3ff">
    <w:name w:val="Оглавление (3)"/>
    <w:basedOn w:val="a0"/>
    <w:link w:val="3fe"/>
    <w:rsid w:val="00662012"/>
    <w:pPr>
      <w:shd w:val="clear" w:color="auto" w:fill="FFFFFF"/>
      <w:spacing w:after="0" w:line="0" w:lineRule="atLeast"/>
    </w:pPr>
    <w:rPr>
      <w:rFonts w:ascii="Times New Roman" w:eastAsia="Times New Roman" w:hAnsi="Times New Roman"/>
      <w:spacing w:val="20"/>
      <w:lang w:val="ru-UA" w:eastAsia="en-US"/>
    </w:rPr>
  </w:style>
  <w:style w:type="paragraph" w:customStyle="1" w:styleId="4f3">
    <w:name w:val="Оглавление (4)"/>
    <w:basedOn w:val="a0"/>
    <w:link w:val="4f2"/>
    <w:rsid w:val="00662012"/>
    <w:pPr>
      <w:shd w:val="clear" w:color="auto" w:fill="FFFFFF"/>
      <w:spacing w:after="120" w:line="0" w:lineRule="atLeast"/>
    </w:pPr>
    <w:rPr>
      <w:rFonts w:ascii="Times New Roman" w:eastAsia="Times New Roman" w:hAnsi="Times New Roman"/>
      <w:sz w:val="21"/>
      <w:szCs w:val="21"/>
      <w:lang w:val="ru-UA" w:eastAsia="en-US"/>
    </w:rPr>
  </w:style>
  <w:style w:type="character" w:customStyle="1" w:styleId="105">
    <w:name w:val="Заголовок №10_"/>
    <w:link w:val="106"/>
    <w:rsid w:val="00662012"/>
    <w:rPr>
      <w:rFonts w:ascii="Times New Roman" w:eastAsia="Times New Roman" w:hAnsi="Times New Roman"/>
      <w:sz w:val="21"/>
      <w:szCs w:val="21"/>
      <w:shd w:val="clear" w:color="auto" w:fill="FFFFFF"/>
    </w:rPr>
  </w:style>
  <w:style w:type="character" w:customStyle="1" w:styleId="1010pt1pt">
    <w:name w:val="Заголовок №10 + 10 pt;Полужирный;Интервал 1 pt"/>
    <w:rsid w:val="00662012"/>
    <w:rPr>
      <w:rFonts w:ascii="Times New Roman" w:eastAsia="Times New Roman" w:hAnsi="Times New Roman"/>
      <w:b/>
      <w:bCs/>
      <w:spacing w:val="20"/>
      <w:sz w:val="20"/>
      <w:szCs w:val="20"/>
      <w:shd w:val="clear" w:color="auto" w:fill="FFFFFF"/>
    </w:rPr>
  </w:style>
  <w:style w:type="character" w:customStyle="1" w:styleId="107">
    <w:name w:val="Заголовок №10 + Курсив"/>
    <w:rsid w:val="00662012"/>
    <w:rPr>
      <w:rFonts w:ascii="Times New Roman" w:eastAsia="Times New Roman" w:hAnsi="Times New Roman"/>
      <w:i/>
      <w:iCs/>
      <w:spacing w:val="0"/>
      <w:sz w:val="21"/>
      <w:szCs w:val="21"/>
      <w:shd w:val="clear" w:color="auto" w:fill="FFFFFF"/>
    </w:rPr>
  </w:style>
  <w:style w:type="character" w:customStyle="1" w:styleId="3ff0">
    <w:name w:val="Подпись к картинке (3)_"/>
    <w:link w:val="3ff1"/>
    <w:rsid w:val="00662012"/>
    <w:rPr>
      <w:rFonts w:ascii="Times New Roman" w:eastAsia="Times New Roman" w:hAnsi="Times New Roman"/>
      <w:w w:val="80"/>
      <w:sz w:val="9"/>
      <w:szCs w:val="9"/>
      <w:shd w:val="clear" w:color="auto" w:fill="FFFFFF"/>
    </w:rPr>
  </w:style>
  <w:style w:type="paragraph" w:customStyle="1" w:styleId="106">
    <w:name w:val="Заголовок №10"/>
    <w:basedOn w:val="a0"/>
    <w:link w:val="105"/>
    <w:rsid w:val="00662012"/>
    <w:pPr>
      <w:shd w:val="clear" w:color="auto" w:fill="FFFFFF"/>
      <w:spacing w:after="180" w:line="0" w:lineRule="atLeast"/>
    </w:pPr>
    <w:rPr>
      <w:rFonts w:ascii="Times New Roman" w:eastAsia="Times New Roman" w:hAnsi="Times New Roman"/>
      <w:sz w:val="21"/>
      <w:szCs w:val="21"/>
      <w:lang w:val="ru-UA" w:eastAsia="en-US"/>
    </w:rPr>
  </w:style>
  <w:style w:type="paragraph" w:customStyle="1" w:styleId="3ff1">
    <w:name w:val="Подпись к картинке (3)"/>
    <w:basedOn w:val="a0"/>
    <w:link w:val="3ff0"/>
    <w:rsid w:val="00662012"/>
    <w:pPr>
      <w:shd w:val="clear" w:color="auto" w:fill="FFFFFF"/>
      <w:spacing w:after="0" w:line="0" w:lineRule="atLeast"/>
    </w:pPr>
    <w:rPr>
      <w:rFonts w:ascii="Times New Roman" w:eastAsia="Times New Roman" w:hAnsi="Times New Roman"/>
      <w:w w:val="80"/>
      <w:sz w:val="9"/>
      <w:szCs w:val="9"/>
      <w:lang w:val="ru-UA" w:eastAsia="en-US"/>
    </w:rPr>
  </w:style>
  <w:style w:type="character" w:customStyle="1" w:styleId="9pt1pt80">
    <w:name w:val="Основной текст + 9 pt;Полужирный;Курсив;Малые прописные;Интервал 1 pt;Масштаб 80%"/>
    <w:rsid w:val="00662012"/>
    <w:rPr>
      <w:rFonts w:ascii="Times New Roman" w:eastAsia="Times New Roman" w:hAnsi="Times New Roman" w:cs="Times New Roman"/>
      <w:b/>
      <w:bCs/>
      <w:i/>
      <w:iCs/>
      <w:smallCaps/>
      <w:strike w:val="0"/>
      <w:spacing w:val="30"/>
      <w:w w:val="80"/>
      <w:sz w:val="18"/>
      <w:szCs w:val="18"/>
      <w:shd w:val="clear" w:color="auto" w:fill="FFFFFF"/>
    </w:rPr>
  </w:style>
  <w:style w:type="character" w:customStyle="1" w:styleId="224pt100">
    <w:name w:val="Основной текст (22) + 4 pt;Не полужирный;Не курсив;Масштаб 100%"/>
    <w:rsid w:val="00662012"/>
    <w:rPr>
      <w:rFonts w:ascii="Times New Roman" w:eastAsia="Times New Roman" w:hAnsi="Times New Roman" w:cs="Times New Roman"/>
      <w:b/>
      <w:bCs/>
      <w:i/>
      <w:iCs/>
      <w:smallCaps w:val="0"/>
      <w:strike w:val="0"/>
      <w:spacing w:val="0"/>
      <w:w w:val="100"/>
      <w:sz w:val="8"/>
      <w:szCs w:val="8"/>
      <w:shd w:val="clear" w:color="auto" w:fill="FFFFFF"/>
    </w:rPr>
  </w:style>
  <w:style w:type="character" w:customStyle="1" w:styleId="11TimesNewRoman">
    <w:name w:val="Заголовок №11 + Times New Roman;Не полужирный"/>
    <w:rsid w:val="00662012"/>
    <w:rPr>
      <w:rFonts w:ascii="Times New Roman" w:eastAsia="Times New Roman" w:hAnsi="Times New Roman" w:cs="Times New Roman"/>
      <w:b/>
      <w:bCs/>
      <w:i w:val="0"/>
      <w:iCs w:val="0"/>
      <w:smallCaps w:val="0"/>
      <w:strike w:val="0"/>
      <w:spacing w:val="0"/>
      <w:sz w:val="21"/>
      <w:szCs w:val="21"/>
    </w:rPr>
  </w:style>
  <w:style w:type="character" w:customStyle="1" w:styleId="11TimesNewRoman8pt">
    <w:name w:val="Заголовок №11 + Times New Roman;8 pt;Не полужирный;Не курсив"/>
    <w:rsid w:val="00662012"/>
    <w:rPr>
      <w:rFonts w:ascii="Times New Roman" w:eastAsia="Times New Roman" w:hAnsi="Times New Roman" w:cs="Times New Roman"/>
      <w:b/>
      <w:bCs/>
      <w:i/>
      <w:iCs/>
      <w:smallCaps w:val="0"/>
      <w:strike w:val="0"/>
      <w:spacing w:val="0"/>
      <w:sz w:val="16"/>
      <w:szCs w:val="16"/>
    </w:rPr>
  </w:style>
  <w:style w:type="character" w:customStyle="1" w:styleId="6c">
    <w:name w:val="Заголовок №6_"/>
    <w:link w:val="6d"/>
    <w:rsid w:val="00662012"/>
    <w:rPr>
      <w:rFonts w:ascii="Times New Roman" w:eastAsia="Times New Roman" w:hAnsi="Times New Roman"/>
      <w:sz w:val="21"/>
      <w:szCs w:val="21"/>
      <w:shd w:val="clear" w:color="auto" w:fill="FFFFFF"/>
    </w:rPr>
  </w:style>
  <w:style w:type="character" w:customStyle="1" w:styleId="610pt1pt">
    <w:name w:val="Заголовок №6 + 10 pt;Полужирный;Интервал 1 pt"/>
    <w:rsid w:val="00662012"/>
    <w:rPr>
      <w:rFonts w:ascii="Times New Roman" w:eastAsia="Times New Roman" w:hAnsi="Times New Roman"/>
      <w:b/>
      <w:bCs/>
      <w:spacing w:val="20"/>
      <w:sz w:val="20"/>
      <w:szCs w:val="20"/>
      <w:shd w:val="clear" w:color="auto" w:fill="FFFFFF"/>
    </w:rPr>
  </w:style>
  <w:style w:type="character" w:customStyle="1" w:styleId="665pt">
    <w:name w:val="Заголовок №6 + 6;5 pt"/>
    <w:rsid w:val="00662012"/>
    <w:rPr>
      <w:rFonts w:ascii="Times New Roman" w:eastAsia="Times New Roman" w:hAnsi="Times New Roman"/>
      <w:spacing w:val="0"/>
      <w:sz w:val="13"/>
      <w:szCs w:val="13"/>
      <w:shd w:val="clear" w:color="auto" w:fill="FFFFFF"/>
    </w:rPr>
  </w:style>
  <w:style w:type="character" w:customStyle="1" w:styleId="11pt1pt80">
    <w:name w:val="Основной текст + 11 pt;Полужирный;Курсив;Интервал 1 pt;Масштаб 80%"/>
    <w:rsid w:val="00662012"/>
    <w:rPr>
      <w:rFonts w:ascii="Times New Roman" w:eastAsia="Times New Roman" w:hAnsi="Times New Roman" w:cs="Times New Roman"/>
      <w:b/>
      <w:bCs/>
      <w:i/>
      <w:iCs/>
      <w:smallCaps w:val="0"/>
      <w:strike w:val="0"/>
      <w:spacing w:val="20"/>
      <w:w w:val="80"/>
      <w:sz w:val="22"/>
      <w:szCs w:val="22"/>
      <w:shd w:val="clear" w:color="auto" w:fill="FFFFFF"/>
    </w:rPr>
  </w:style>
  <w:style w:type="character" w:customStyle="1" w:styleId="133pt">
    <w:name w:val="Основной текст (13) + Интервал 3 pt"/>
    <w:rsid w:val="00662012"/>
    <w:rPr>
      <w:rFonts w:ascii="Times New Roman" w:eastAsia="Times New Roman" w:hAnsi="Times New Roman" w:cs="Times New Roman"/>
      <w:b w:val="0"/>
      <w:bCs w:val="0"/>
      <w:i w:val="0"/>
      <w:iCs w:val="0"/>
      <w:smallCaps w:val="0"/>
      <w:strike w:val="0"/>
      <w:noProof/>
      <w:spacing w:val="60"/>
      <w:sz w:val="21"/>
      <w:szCs w:val="21"/>
      <w:shd w:val="clear" w:color="auto" w:fill="FFFFFF"/>
    </w:rPr>
  </w:style>
  <w:style w:type="character" w:customStyle="1" w:styleId="2265pt100">
    <w:name w:val="Основной текст (22) + 6;5 pt;Не полужирный;Не курсив;Масштаб 100%"/>
    <w:rsid w:val="00662012"/>
    <w:rPr>
      <w:rFonts w:ascii="Times New Roman" w:eastAsia="Times New Roman" w:hAnsi="Times New Roman" w:cs="Times New Roman"/>
      <w:b/>
      <w:bCs/>
      <w:i/>
      <w:iCs/>
      <w:smallCaps w:val="0"/>
      <w:strike w:val="0"/>
      <w:spacing w:val="0"/>
      <w:w w:val="100"/>
      <w:sz w:val="13"/>
      <w:szCs w:val="13"/>
      <w:shd w:val="clear" w:color="auto" w:fill="FFFFFF"/>
    </w:rPr>
  </w:style>
  <w:style w:type="paragraph" w:customStyle="1" w:styleId="6d">
    <w:name w:val="Заголовок №6"/>
    <w:basedOn w:val="a0"/>
    <w:link w:val="6c"/>
    <w:rsid w:val="00662012"/>
    <w:pPr>
      <w:shd w:val="clear" w:color="auto" w:fill="FFFFFF"/>
      <w:spacing w:after="120" w:line="0" w:lineRule="atLeast"/>
      <w:outlineLvl w:val="5"/>
    </w:pPr>
    <w:rPr>
      <w:rFonts w:ascii="Times New Roman" w:eastAsia="Times New Roman" w:hAnsi="Times New Roman"/>
      <w:sz w:val="21"/>
      <w:szCs w:val="21"/>
      <w:lang w:val="ru-UA" w:eastAsia="en-US"/>
    </w:rPr>
  </w:style>
  <w:style w:type="character" w:customStyle="1" w:styleId="6e">
    <w:name w:val="Заголовок №6 + Курсив"/>
    <w:rsid w:val="00662012"/>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127pt2pt">
    <w:name w:val="Заголовок №12 + 7 pt;Интервал 2 pt"/>
    <w:rsid w:val="00662012"/>
    <w:rPr>
      <w:rFonts w:ascii="Times New Roman" w:eastAsia="Times New Roman" w:hAnsi="Times New Roman" w:cs="Times New Roman"/>
      <w:b w:val="0"/>
      <w:bCs w:val="0"/>
      <w:i w:val="0"/>
      <w:iCs w:val="0"/>
      <w:smallCaps w:val="0"/>
      <w:strike w:val="0"/>
      <w:spacing w:val="50"/>
      <w:sz w:val="14"/>
      <w:szCs w:val="14"/>
      <w:shd w:val="clear" w:color="auto" w:fill="FFFFFF"/>
    </w:rPr>
  </w:style>
  <w:style w:type="character" w:customStyle="1" w:styleId="242">
    <w:name w:val="Основной текст (24)_"/>
    <w:link w:val="243"/>
    <w:rsid w:val="00662012"/>
    <w:rPr>
      <w:rFonts w:ascii="Times New Roman" w:eastAsia="Times New Roman" w:hAnsi="Times New Roman"/>
      <w:spacing w:val="20"/>
      <w:shd w:val="clear" w:color="auto" w:fill="FFFFFF"/>
    </w:rPr>
  </w:style>
  <w:style w:type="character" w:customStyle="1" w:styleId="24105pt0pt">
    <w:name w:val="Основной текст (24) + 10;5 pt;Не полужирный;Интервал 0 pt"/>
    <w:rsid w:val="00662012"/>
    <w:rPr>
      <w:rFonts w:ascii="Times New Roman" w:eastAsia="Times New Roman" w:hAnsi="Times New Roman"/>
      <w:b/>
      <w:bCs/>
      <w:spacing w:val="0"/>
      <w:sz w:val="21"/>
      <w:szCs w:val="21"/>
      <w:shd w:val="clear" w:color="auto" w:fill="FFFFFF"/>
    </w:rPr>
  </w:style>
  <w:style w:type="character" w:customStyle="1" w:styleId="250">
    <w:name w:val="Основной текст (25)_"/>
    <w:link w:val="251"/>
    <w:rsid w:val="00662012"/>
    <w:rPr>
      <w:rFonts w:ascii="Times New Roman" w:eastAsia="Times New Roman" w:hAnsi="Times New Roman"/>
      <w:sz w:val="29"/>
      <w:szCs w:val="29"/>
      <w:shd w:val="clear" w:color="auto" w:fill="FFFFFF"/>
    </w:rPr>
  </w:style>
  <w:style w:type="character" w:customStyle="1" w:styleId="25105pt">
    <w:name w:val="Основной текст (25) + 10;5 pt;Курсив"/>
    <w:rsid w:val="00662012"/>
    <w:rPr>
      <w:rFonts w:ascii="Times New Roman" w:eastAsia="Times New Roman" w:hAnsi="Times New Roman"/>
      <w:i/>
      <w:iCs/>
      <w:spacing w:val="0"/>
      <w:sz w:val="21"/>
      <w:szCs w:val="21"/>
      <w:shd w:val="clear" w:color="auto" w:fill="FFFFFF"/>
    </w:rPr>
  </w:style>
  <w:style w:type="character" w:customStyle="1" w:styleId="1065pt">
    <w:name w:val="Заголовок №10 + 6;5 pt"/>
    <w:rsid w:val="00662012"/>
    <w:rPr>
      <w:rFonts w:ascii="Times New Roman" w:eastAsia="Times New Roman" w:hAnsi="Times New Roman" w:cs="Times New Roman"/>
      <w:b w:val="0"/>
      <w:bCs w:val="0"/>
      <w:i w:val="0"/>
      <w:iCs w:val="0"/>
      <w:smallCaps w:val="0"/>
      <w:strike w:val="0"/>
      <w:spacing w:val="0"/>
      <w:sz w:val="13"/>
      <w:szCs w:val="13"/>
      <w:shd w:val="clear" w:color="auto" w:fill="FFFFFF"/>
    </w:rPr>
  </w:style>
  <w:style w:type="character" w:customStyle="1" w:styleId="-1pt">
    <w:name w:val="Основной текст + Интервал -1 pt"/>
    <w:rsid w:val="00662012"/>
    <w:rPr>
      <w:rFonts w:ascii="Times New Roman" w:eastAsia="Times New Roman" w:hAnsi="Times New Roman" w:cs="Times New Roman"/>
      <w:b w:val="0"/>
      <w:bCs w:val="0"/>
      <w:i w:val="0"/>
      <w:iCs w:val="0"/>
      <w:smallCaps w:val="0"/>
      <w:strike w:val="0"/>
      <w:spacing w:val="-20"/>
      <w:sz w:val="21"/>
      <w:szCs w:val="21"/>
      <w:shd w:val="clear" w:color="auto" w:fill="FFFFFF"/>
    </w:rPr>
  </w:style>
  <w:style w:type="character" w:customStyle="1" w:styleId="1027pt2pt">
    <w:name w:val="Заголовок №10 + 27 pt;Курсив;Интервал 2 pt"/>
    <w:rsid w:val="00662012"/>
    <w:rPr>
      <w:rFonts w:ascii="Times New Roman" w:eastAsia="Times New Roman" w:hAnsi="Times New Roman" w:cs="Times New Roman"/>
      <w:b w:val="0"/>
      <w:bCs w:val="0"/>
      <w:i/>
      <w:iCs/>
      <w:smallCaps w:val="0"/>
      <w:strike w:val="0"/>
      <w:spacing w:val="50"/>
      <w:sz w:val="54"/>
      <w:szCs w:val="54"/>
      <w:shd w:val="clear" w:color="auto" w:fill="FFFFFF"/>
    </w:rPr>
  </w:style>
  <w:style w:type="paragraph" w:customStyle="1" w:styleId="243">
    <w:name w:val="Основной текст (24)"/>
    <w:basedOn w:val="a0"/>
    <w:link w:val="242"/>
    <w:rsid w:val="00662012"/>
    <w:pPr>
      <w:shd w:val="clear" w:color="auto" w:fill="FFFFFF"/>
      <w:spacing w:before="120" w:after="60" w:line="0" w:lineRule="atLeast"/>
    </w:pPr>
    <w:rPr>
      <w:rFonts w:ascii="Times New Roman" w:eastAsia="Times New Roman" w:hAnsi="Times New Roman"/>
      <w:spacing w:val="20"/>
      <w:lang w:val="ru-UA" w:eastAsia="en-US"/>
    </w:rPr>
  </w:style>
  <w:style w:type="paragraph" w:customStyle="1" w:styleId="251">
    <w:name w:val="Основной текст (25)"/>
    <w:basedOn w:val="a0"/>
    <w:link w:val="250"/>
    <w:rsid w:val="00662012"/>
    <w:pPr>
      <w:shd w:val="clear" w:color="auto" w:fill="FFFFFF"/>
      <w:spacing w:before="60" w:after="120" w:line="0" w:lineRule="atLeast"/>
    </w:pPr>
    <w:rPr>
      <w:rFonts w:ascii="Times New Roman" w:eastAsia="Times New Roman" w:hAnsi="Times New Roman"/>
      <w:sz w:val="29"/>
      <w:szCs w:val="29"/>
      <w:lang w:val="ru-UA" w:eastAsia="en-US"/>
    </w:rPr>
  </w:style>
  <w:style w:type="character" w:customStyle="1" w:styleId="107pt2pt">
    <w:name w:val="Заголовок №10 + 7 pt;Интервал 2 pt"/>
    <w:rsid w:val="00662012"/>
    <w:rPr>
      <w:rFonts w:ascii="Times New Roman" w:eastAsia="Times New Roman" w:hAnsi="Times New Roman" w:cs="Times New Roman"/>
      <w:b w:val="0"/>
      <w:bCs w:val="0"/>
      <w:i w:val="0"/>
      <w:iCs w:val="0"/>
      <w:smallCaps w:val="0"/>
      <w:strike w:val="0"/>
      <w:spacing w:val="50"/>
      <w:sz w:val="14"/>
      <w:szCs w:val="14"/>
      <w:shd w:val="clear" w:color="auto" w:fill="FFFFFF"/>
    </w:rPr>
  </w:style>
  <w:style w:type="character" w:customStyle="1" w:styleId="4f5">
    <w:name w:val="Подпись к картинке (4)_"/>
    <w:link w:val="4f6"/>
    <w:rsid w:val="00662012"/>
    <w:rPr>
      <w:rFonts w:ascii="Times New Roman" w:eastAsia="Times New Roman" w:hAnsi="Times New Roman"/>
      <w:sz w:val="17"/>
      <w:szCs w:val="17"/>
      <w:shd w:val="clear" w:color="auto" w:fill="FFFFFF"/>
    </w:rPr>
  </w:style>
  <w:style w:type="character" w:customStyle="1" w:styleId="5d">
    <w:name w:val="Подпись к картинке (5)_"/>
    <w:link w:val="5e"/>
    <w:rsid w:val="00662012"/>
    <w:rPr>
      <w:rFonts w:ascii="Times New Roman" w:eastAsia="Times New Roman" w:hAnsi="Times New Roman"/>
      <w:sz w:val="15"/>
      <w:szCs w:val="15"/>
      <w:shd w:val="clear" w:color="auto" w:fill="FFFFFF"/>
    </w:rPr>
  </w:style>
  <w:style w:type="character" w:customStyle="1" w:styleId="270">
    <w:name w:val="Основной текст (27)_"/>
    <w:link w:val="271"/>
    <w:rsid w:val="00662012"/>
    <w:rPr>
      <w:rFonts w:ascii="Times New Roman" w:eastAsia="Times New Roman" w:hAnsi="Times New Roman"/>
      <w:w w:val="80"/>
      <w:sz w:val="14"/>
      <w:szCs w:val="14"/>
      <w:shd w:val="clear" w:color="auto" w:fill="FFFFFF"/>
    </w:rPr>
  </w:style>
  <w:style w:type="character" w:customStyle="1" w:styleId="921">
    <w:name w:val="Заголовок №9 (2)_"/>
    <w:link w:val="922"/>
    <w:rsid w:val="00662012"/>
    <w:rPr>
      <w:rFonts w:ascii="Times New Roman" w:eastAsia="Times New Roman" w:hAnsi="Times New Roman"/>
      <w:sz w:val="17"/>
      <w:szCs w:val="17"/>
      <w:shd w:val="clear" w:color="auto" w:fill="FFFFFF"/>
    </w:rPr>
  </w:style>
  <w:style w:type="character" w:customStyle="1" w:styleId="24105pt0pt0">
    <w:name w:val="Основной текст (24) + 10;5 pt;Не полужирный;Курсив;Интервал 0 pt"/>
    <w:rsid w:val="00662012"/>
    <w:rPr>
      <w:rFonts w:ascii="Times New Roman" w:eastAsia="Times New Roman" w:hAnsi="Times New Roman" w:cs="Times New Roman"/>
      <w:b/>
      <w:bCs/>
      <w:i/>
      <w:iCs/>
      <w:smallCaps w:val="0"/>
      <w:strike w:val="0"/>
      <w:spacing w:val="0"/>
      <w:sz w:val="21"/>
      <w:szCs w:val="21"/>
      <w:shd w:val="clear" w:color="auto" w:fill="FFFFFF"/>
    </w:rPr>
  </w:style>
  <w:style w:type="paragraph" w:customStyle="1" w:styleId="4f6">
    <w:name w:val="Подпись к картинке (4)"/>
    <w:basedOn w:val="a0"/>
    <w:link w:val="4f5"/>
    <w:rsid w:val="00662012"/>
    <w:pPr>
      <w:shd w:val="clear" w:color="auto" w:fill="FFFFFF"/>
      <w:spacing w:after="0" w:line="0" w:lineRule="atLeast"/>
    </w:pPr>
    <w:rPr>
      <w:rFonts w:ascii="Times New Roman" w:eastAsia="Times New Roman" w:hAnsi="Times New Roman"/>
      <w:sz w:val="17"/>
      <w:szCs w:val="17"/>
      <w:lang w:val="ru-UA" w:eastAsia="en-US"/>
    </w:rPr>
  </w:style>
  <w:style w:type="paragraph" w:customStyle="1" w:styleId="5e">
    <w:name w:val="Подпись к картинке (5)"/>
    <w:basedOn w:val="a0"/>
    <w:link w:val="5d"/>
    <w:rsid w:val="00662012"/>
    <w:pPr>
      <w:shd w:val="clear" w:color="auto" w:fill="FFFFFF"/>
      <w:spacing w:after="0" w:line="0" w:lineRule="atLeast"/>
    </w:pPr>
    <w:rPr>
      <w:rFonts w:ascii="Times New Roman" w:eastAsia="Times New Roman" w:hAnsi="Times New Roman"/>
      <w:sz w:val="15"/>
      <w:szCs w:val="15"/>
      <w:lang w:val="ru-UA" w:eastAsia="en-US"/>
    </w:rPr>
  </w:style>
  <w:style w:type="paragraph" w:customStyle="1" w:styleId="271">
    <w:name w:val="Основной текст (27)"/>
    <w:basedOn w:val="a0"/>
    <w:link w:val="270"/>
    <w:rsid w:val="00662012"/>
    <w:pPr>
      <w:shd w:val="clear" w:color="auto" w:fill="FFFFFF"/>
      <w:spacing w:after="0" w:line="0" w:lineRule="atLeast"/>
    </w:pPr>
    <w:rPr>
      <w:rFonts w:ascii="Times New Roman" w:eastAsia="Times New Roman" w:hAnsi="Times New Roman"/>
      <w:w w:val="80"/>
      <w:sz w:val="14"/>
      <w:szCs w:val="14"/>
      <w:lang w:val="ru-UA" w:eastAsia="en-US"/>
    </w:rPr>
  </w:style>
  <w:style w:type="paragraph" w:customStyle="1" w:styleId="922">
    <w:name w:val="Заголовок №9 (2)"/>
    <w:basedOn w:val="a0"/>
    <w:link w:val="921"/>
    <w:rsid w:val="00662012"/>
    <w:pPr>
      <w:shd w:val="clear" w:color="auto" w:fill="FFFFFF"/>
      <w:spacing w:before="300" w:after="960" w:line="0" w:lineRule="atLeast"/>
      <w:outlineLvl w:val="8"/>
    </w:pPr>
    <w:rPr>
      <w:rFonts w:ascii="Times New Roman" w:eastAsia="Times New Roman" w:hAnsi="Times New Roman"/>
      <w:sz w:val="17"/>
      <w:szCs w:val="17"/>
      <w:lang w:val="ru-UA" w:eastAsia="en-US"/>
    </w:rPr>
  </w:style>
  <w:style w:type="character" w:customStyle="1" w:styleId="1020">
    <w:name w:val="Заголовок №10 (2)_"/>
    <w:link w:val="1021"/>
    <w:rsid w:val="00662012"/>
    <w:rPr>
      <w:rFonts w:ascii="Times New Roman" w:eastAsia="Times New Roman" w:hAnsi="Times New Roman"/>
      <w:sz w:val="21"/>
      <w:szCs w:val="21"/>
      <w:shd w:val="clear" w:color="auto" w:fill="FFFFFF"/>
    </w:rPr>
  </w:style>
  <w:style w:type="character" w:customStyle="1" w:styleId="1022">
    <w:name w:val="Заголовок №10 (2) + Не курсив"/>
    <w:rsid w:val="00662012"/>
    <w:rPr>
      <w:rFonts w:ascii="Times New Roman" w:eastAsia="Times New Roman" w:hAnsi="Times New Roman"/>
      <w:i/>
      <w:iCs/>
      <w:sz w:val="21"/>
      <w:szCs w:val="21"/>
      <w:shd w:val="clear" w:color="auto" w:fill="FFFFFF"/>
    </w:rPr>
  </w:style>
  <w:style w:type="character" w:customStyle="1" w:styleId="10295pt0pt80">
    <w:name w:val="Заголовок №10 (2) + 9;5 pt;Полужирный;Интервал 0 pt;Масштаб 80%"/>
    <w:rsid w:val="00662012"/>
    <w:rPr>
      <w:rFonts w:ascii="Times New Roman" w:eastAsia="Times New Roman" w:hAnsi="Times New Roman"/>
      <w:b/>
      <w:bCs/>
      <w:spacing w:val="10"/>
      <w:w w:val="80"/>
      <w:sz w:val="19"/>
      <w:szCs w:val="19"/>
      <w:shd w:val="clear" w:color="auto" w:fill="FFFFFF"/>
    </w:rPr>
  </w:style>
  <w:style w:type="character" w:customStyle="1" w:styleId="10210pt1pt">
    <w:name w:val="Заголовок №10 (2) + 10 pt;Полужирный;Не курсив;Интервал 1 pt"/>
    <w:rsid w:val="00662012"/>
    <w:rPr>
      <w:rFonts w:ascii="Times New Roman" w:eastAsia="Times New Roman" w:hAnsi="Times New Roman"/>
      <w:b/>
      <w:bCs/>
      <w:i/>
      <w:iCs/>
      <w:spacing w:val="20"/>
      <w:sz w:val="20"/>
      <w:szCs w:val="20"/>
      <w:shd w:val="clear" w:color="auto" w:fill="FFFFFF"/>
    </w:rPr>
  </w:style>
  <w:style w:type="paragraph" w:customStyle="1" w:styleId="1021">
    <w:name w:val="Заголовок №10 (2)"/>
    <w:basedOn w:val="a0"/>
    <w:link w:val="1020"/>
    <w:rsid w:val="00662012"/>
    <w:pPr>
      <w:shd w:val="clear" w:color="auto" w:fill="FFFFFF"/>
      <w:spacing w:after="0" w:line="0" w:lineRule="atLeast"/>
    </w:pPr>
    <w:rPr>
      <w:rFonts w:ascii="Times New Roman" w:eastAsia="Times New Roman" w:hAnsi="Times New Roman"/>
      <w:sz w:val="21"/>
      <w:szCs w:val="21"/>
      <w:lang w:val="ru-UA" w:eastAsia="en-US"/>
    </w:rPr>
  </w:style>
  <w:style w:type="character" w:customStyle="1" w:styleId="280">
    <w:name w:val="Основной текст (28)_"/>
    <w:link w:val="281"/>
    <w:rsid w:val="00662012"/>
    <w:rPr>
      <w:rFonts w:ascii="Times New Roman" w:eastAsia="Times New Roman" w:hAnsi="Times New Roman"/>
      <w:w w:val="80"/>
      <w:sz w:val="8"/>
      <w:szCs w:val="8"/>
      <w:shd w:val="clear" w:color="auto" w:fill="FFFFFF"/>
    </w:rPr>
  </w:style>
  <w:style w:type="character" w:customStyle="1" w:styleId="23105pt">
    <w:name w:val="Основной текст (23) + 10;5 pt;Курсив"/>
    <w:rsid w:val="00662012"/>
    <w:rPr>
      <w:rFonts w:ascii="Times New Roman" w:eastAsia="Times New Roman" w:hAnsi="Times New Roman" w:cs="Times New Roman"/>
      <w:b w:val="0"/>
      <w:bCs w:val="0"/>
      <w:i/>
      <w:iCs/>
      <w:smallCaps w:val="0"/>
      <w:strike w:val="0"/>
      <w:spacing w:val="0"/>
      <w:sz w:val="21"/>
      <w:szCs w:val="21"/>
      <w:shd w:val="clear" w:color="auto" w:fill="FFFFFF"/>
    </w:rPr>
  </w:style>
  <w:style w:type="paragraph" w:customStyle="1" w:styleId="281">
    <w:name w:val="Основной текст (28)"/>
    <w:basedOn w:val="a0"/>
    <w:link w:val="280"/>
    <w:rsid w:val="00662012"/>
    <w:pPr>
      <w:shd w:val="clear" w:color="auto" w:fill="FFFFFF"/>
      <w:spacing w:after="0" w:line="0" w:lineRule="atLeast"/>
    </w:pPr>
    <w:rPr>
      <w:rFonts w:ascii="Times New Roman" w:eastAsia="Times New Roman" w:hAnsi="Times New Roman"/>
      <w:w w:val="80"/>
      <w:sz w:val="8"/>
      <w:szCs w:val="8"/>
      <w:lang w:val="ru-UA" w:eastAsia="en-US"/>
    </w:rPr>
  </w:style>
  <w:style w:type="character" w:customStyle="1" w:styleId="95pt">
    <w:name w:val="Основной текст + 9;5 pt"/>
    <w:rsid w:val="00662012"/>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17105pt">
    <w:name w:val="Основной текст (17) + 10;5 pt"/>
    <w:rsid w:val="00662012"/>
    <w:rPr>
      <w:rFonts w:ascii="Times New Roman" w:eastAsia="Times New Roman" w:hAnsi="Times New Roman" w:cs="Times New Roman"/>
      <w:b w:val="0"/>
      <w:bCs w:val="0"/>
      <w:i w:val="0"/>
      <w:iCs w:val="0"/>
      <w:smallCaps w:val="0"/>
      <w:strike w:val="0"/>
      <w:spacing w:val="0"/>
      <w:sz w:val="21"/>
      <w:szCs w:val="21"/>
      <w:shd w:val="clear" w:color="auto" w:fill="FFFFFF"/>
    </w:rPr>
  </w:style>
  <w:style w:type="character" w:customStyle="1" w:styleId="1710pt1pt">
    <w:name w:val="Основной текст (17) + 10 pt;Полужирный;Интервал 1 pt"/>
    <w:rsid w:val="00662012"/>
    <w:rPr>
      <w:rFonts w:ascii="Times New Roman" w:eastAsia="Times New Roman" w:hAnsi="Times New Roman" w:cs="Times New Roman"/>
      <w:b/>
      <w:bCs/>
      <w:i w:val="0"/>
      <w:iCs w:val="0"/>
      <w:smallCaps w:val="0"/>
      <w:strike w:val="0"/>
      <w:spacing w:val="20"/>
      <w:sz w:val="20"/>
      <w:szCs w:val="20"/>
      <w:shd w:val="clear" w:color="auto" w:fill="FFFFFF"/>
    </w:rPr>
  </w:style>
  <w:style w:type="character" w:customStyle="1" w:styleId="290">
    <w:name w:val="Основной текст (29)_"/>
    <w:link w:val="291"/>
    <w:rsid w:val="00662012"/>
    <w:rPr>
      <w:rFonts w:ascii="Times New Roman" w:eastAsia="Times New Roman" w:hAnsi="Times New Roman"/>
      <w:spacing w:val="30"/>
      <w:w w:val="80"/>
      <w:sz w:val="18"/>
      <w:szCs w:val="18"/>
      <w:shd w:val="clear" w:color="auto" w:fill="FFFFFF"/>
    </w:rPr>
  </w:style>
  <w:style w:type="character" w:customStyle="1" w:styleId="2465pt0pt">
    <w:name w:val="Основной текст (24) + 6;5 pt;Не полужирный;Интервал 0 pt"/>
    <w:rsid w:val="00662012"/>
    <w:rPr>
      <w:rFonts w:ascii="Times New Roman" w:eastAsia="Times New Roman" w:hAnsi="Times New Roman" w:cs="Times New Roman"/>
      <w:b/>
      <w:bCs/>
      <w:i w:val="0"/>
      <w:iCs w:val="0"/>
      <w:smallCaps w:val="0"/>
      <w:strike w:val="0"/>
      <w:spacing w:val="0"/>
      <w:sz w:val="13"/>
      <w:szCs w:val="13"/>
      <w:shd w:val="clear" w:color="auto" w:fill="FFFFFF"/>
    </w:rPr>
  </w:style>
  <w:style w:type="character" w:customStyle="1" w:styleId="2475pt0pt">
    <w:name w:val="Основной текст (24) + 7;5 pt;Не полужирный;Курсив;Малые прописные;Интервал 0 pt"/>
    <w:rsid w:val="00662012"/>
    <w:rPr>
      <w:rFonts w:ascii="Times New Roman" w:eastAsia="Times New Roman" w:hAnsi="Times New Roman" w:cs="Times New Roman"/>
      <w:b/>
      <w:bCs/>
      <w:i/>
      <w:iCs/>
      <w:smallCaps/>
      <w:strike w:val="0"/>
      <w:spacing w:val="0"/>
      <w:sz w:val="15"/>
      <w:szCs w:val="15"/>
      <w:shd w:val="clear" w:color="auto" w:fill="FFFFFF"/>
    </w:rPr>
  </w:style>
  <w:style w:type="paragraph" w:customStyle="1" w:styleId="291">
    <w:name w:val="Основной текст (29)"/>
    <w:basedOn w:val="a0"/>
    <w:link w:val="290"/>
    <w:rsid w:val="00662012"/>
    <w:pPr>
      <w:shd w:val="clear" w:color="auto" w:fill="FFFFFF"/>
      <w:spacing w:after="0" w:line="0" w:lineRule="atLeast"/>
    </w:pPr>
    <w:rPr>
      <w:rFonts w:ascii="Times New Roman" w:eastAsia="Times New Roman" w:hAnsi="Times New Roman"/>
      <w:spacing w:val="30"/>
      <w:w w:val="80"/>
      <w:sz w:val="18"/>
      <w:szCs w:val="18"/>
      <w:lang w:val="ru-UA" w:eastAsia="en-US"/>
    </w:rPr>
  </w:style>
  <w:style w:type="character" w:customStyle="1" w:styleId="7a">
    <w:name w:val="Заголовок №7_"/>
    <w:link w:val="7b"/>
    <w:rsid w:val="00662012"/>
    <w:rPr>
      <w:rFonts w:ascii="Times New Roman" w:eastAsia="Times New Roman" w:hAnsi="Times New Roman"/>
      <w:sz w:val="21"/>
      <w:szCs w:val="21"/>
      <w:shd w:val="clear" w:color="auto" w:fill="FFFFFF"/>
    </w:rPr>
  </w:style>
  <w:style w:type="paragraph" w:customStyle="1" w:styleId="7b">
    <w:name w:val="Заголовок №7"/>
    <w:basedOn w:val="a0"/>
    <w:link w:val="7a"/>
    <w:rsid w:val="00662012"/>
    <w:pPr>
      <w:shd w:val="clear" w:color="auto" w:fill="FFFFFF"/>
      <w:spacing w:after="0" w:line="0" w:lineRule="atLeast"/>
      <w:outlineLvl w:val="6"/>
    </w:pPr>
    <w:rPr>
      <w:rFonts w:ascii="Times New Roman" w:eastAsia="Times New Roman" w:hAnsi="Times New Roman"/>
      <w:sz w:val="21"/>
      <w:szCs w:val="21"/>
      <w:lang w:val="ru-UA" w:eastAsia="en-US"/>
    </w:rPr>
  </w:style>
  <w:style w:type="character" w:customStyle="1" w:styleId="12265pt">
    <w:name w:val="Заголовок №12 (2) + 6;5 pt;Не курсив"/>
    <w:rsid w:val="00662012"/>
    <w:rPr>
      <w:rFonts w:ascii="Times New Roman" w:eastAsia="Times New Roman" w:hAnsi="Times New Roman" w:cs="Times New Roman"/>
      <w:b w:val="0"/>
      <w:bCs w:val="0"/>
      <w:i/>
      <w:iCs/>
      <w:smallCaps w:val="0"/>
      <w:strike w:val="0"/>
      <w:spacing w:val="0"/>
      <w:sz w:val="13"/>
      <w:szCs w:val="13"/>
      <w:shd w:val="clear" w:color="auto" w:fill="FFFFFF"/>
    </w:rPr>
  </w:style>
  <w:style w:type="character" w:customStyle="1" w:styleId="2210pt1pt100">
    <w:name w:val="Основной текст (22) + 10 pt;Не курсив;Интервал 1 pt;Масштаб 100%"/>
    <w:rsid w:val="00662012"/>
    <w:rPr>
      <w:rFonts w:ascii="Times New Roman" w:eastAsia="Times New Roman" w:hAnsi="Times New Roman" w:cs="Times New Roman"/>
      <w:b w:val="0"/>
      <w:bCs w:val="0"/>
      <w:i/>
      <w:iCs/>
      <w:smallCaps w:val="0"/>
      <w:strike w:val="0"/>
      <w:spacing w:val="20"/>
      <w:w w:val="100"/>
      <w:sz w:val="20"/>
      <w:szCs w:val="20"/>
      <w:shd w:val="clear" w:color="auto" w:fill="FFFFFF"/>
    </w:rPr>
  </w:style>
  <w:style w:type="character" w:customStyle="1" w:styleId="101pt">
    <w:name w:val="Заголовок №10 + Интервал 1 pt"/>
    <w:rsid w:val="00662012"/>
    <w:rPr>
      <w:rFonts w:ascii="Times New Roman" w:eastAsia="Times New Roman" w:hAnsi="Times New Roman" w:cs="Times New Roman"/>
      <w:b w:val="0"/>
      <w:bCs w:val="0"/>
      <w:i w:val="0"/>
      <w:iCs w:val="0"/>
      <w:smallCaps w:val="0"/>
      <w:strike w:val="0"/>
      <w:spacing w:val="20"/>
      <w:sz w:val="21"/>
      <w:szCs w:val="21"/>
      <w:shd w:val="clear" w:color="auto" w:fill="FFFFFF"/>
    </w:rPr>
  </w:style>
  <w:style w:type="character" w:customStyle="1" w:styleId="107pt">
    <w:name w:val="Заголовок №10 + Интервал 7 pt"/>
    <w:rsid w:val="00662012"/>
    <w:rPr>
      <w:rFonts w:ascii="Times New Roman" w:eastAsia="Times New Roman" w:hAnsi="Times New Roman" w:cs="Times New Roman"/>
      <w:b w:val="0"/>
      <w:bCs w:val="0"/>
      <w:i w:val="0"/>
      <w:iCs w:val="0"/>
      <w:smallCaps w:val="0"/>
      <w:strike w:val="0"/>
      <w:spacing w:val="150"/>
      <w:sz w:val="21"/>
      <w:szCs w:val="21"/>
      <w:shd w:val="clear" w:color="auto" w:fill="FFFFFF"/>
    </w:rPr>
  </w:style>
  <w:style w:type="character" w:customStyle="1" w:styleId="820">
    <w:name w:val="Заголовок №8 (2)_"/>
    <w:link w:val="821"/>
    <w:rsid w:val="00662012"/>
    <w:rPr>
      <w:rFonts w:ascii="Times New Roman" w:eastAsia="Times New Roman" w:hAnsi="Times New Roman"/>
      <w:spacing w:val="20"/>
      <w:sz w:val="35"/>
      <w:szCs w:val="35"/>
      <w:shd w:val="clear" w:color="auto" w:fill="FFFFFF"/>
    </w:rPr>
  </w:style>
  <w:style w:type="paragraph" w:customStyle="1" w:styleId="821">
    <w:name w:val="Заголовок №8 (2)"/>
    <w:basedOn w:val="a0"/>
    <w:link w:val="820"/>
    <w:rsid w:val="00662012"/>
    <w:pPr>
      <w:shd w:val="clear" w:color="auto" w:fill="FFFFFF"/>
      <w:spacing w:before="180" w:after="0" w:line="0" w:lineRule="atLeast"/>
      <w:outlineLvl w:val="7"/>
    </w:pPr>
    <w:rPr>
      <w:rFonts w:ascii="Times New Roman" w:eastAsia="Times New Roman" w:hAnsi="Times New Roman"/>
      <w:spacing w:val="20"/>
      <w:sz w:val="35"/>
      <w:szCs w:val="35"/>
      <w:lang w:val="ru-UA" w:eastAsia="en-US"/>
    </w:rPr>
  </w:style>
  <w:style w:type="character" w:customStyle="1" w:styleId="1211pt2pt80">
    <w:name w:val="Заголовок №12 + 11 pt;Полужирный;Курсив;Интервал 2 pt;Масштаб 80%"/>
    <w:rsid w:val="00662012"/>
    <w:rPr>
      <w:rFonts w:ascii="Times New Roman" w:eastAsia="Times New Roman" w:hAnsi="Times New Roman" w:cs="Times New Roman"/>
      <w:b/>
      <w:bCs/>
      <w:i/>
      <w:iCs/>
      <w:smallCaps w:val="0"/>
      <w:strike w:val="0"/>
      <w:spacing w:val="40"/>
      <w:w w:val="80"/>
      <w:sz w:val="22"/>
      <w:szCs w:val="22"/>
      <w:shd w:val="clear" w:color="auto" w:fill="FFFFFF"/>
    </w:rPr>
  </w:style>
  <w:style w:type="character" w:customStyle="1" w:styleId="12175pt1pt">
    <w:name w:val="Заголовок №12 + 17;5 pt;Полужирный;Интервал 1 pt"/>
    <w:rsid w:val="00662012"/>
    <w:rPr>
      <w:rFonts w:ascii="Times New Roman" w:eastAsia="Times New Roman" w:hAnsi="Times New Roman" w:cs="Times New Roman"/>
      <w:b/>
      <w:bCs/>
      <w:i w:val="0"/>
      <w:iCs w:val="0"/>
      <w:smallCaps w:val="0"/>
      <w:strike w:val="0"/>
      <w:spacing w:val="20"/>
      <w:sz w:val="35"/>
      <w:szCs w:val="35"/>
      <w:shd w:val="clear" w:color="auto" w:fill="FFFFFF"/>
    </w:rPr>
  </w:style>
  <w:style w:type="character" w:customStyle="1" w:styleId="126pt80">
    <w:name w:val="Заголовок №12 + 6 pt;Полужирный;Курсив;Масштаб 80%"/>
    <w:rsid w:val="00662012"/>
    <w:rPr>
      <w:rFonts w:ascii="Times New Roman" w:eastAsia="Times New Roman" w:hAnsi="Times New Roman" w:cs="Times New Roman"/>
      <w:b/>
      <w:bCs/>
      <w:i/>
      <w:iCs/>
      <w:smallCaps w:val="0"/>
      <w:strike w:val="0"/>
      <w:spacing w:val="0"/>
      <w:w w:val="80"/>
      <w:sz w:val="12"/>
      <w:szCs w:val="12"/>
      <w:shd w:val="clear" w:color="auto" w:fill="FFFFFF"/>
    </w:rPr>
  </w:style>
  <w:style w:type="character" w:customStyle="1" w:styleId="175pt1pt">
    <w:name w:val="Основной текст + 17;5 pt;Полужирный;Интервал 1 pt"/>
    <w:rsid w:val="00662012"/>
    <w:rPr>
      <w:rFonts w:ascii="Times New Roman" w:eastAsia="Times New Roman" w:hAnsi="Times New Roman" w:cs="Times New Roman"/>
      <w:b/>
      <w:bCs/>
      <w:i w:val="0"/>
      <w:iCs w:val="0"/>
      <w:smallCaps w:val="0"/>
      <w:strike w:val="0"/>
      <w:spacing w:val="20"/>
      <w:sz w:val="35"/>
      <w:szCs w:val="35"/>
      <w:shd w:val="clear" w:color="auto" w:fill="FFFFFF"/>
    </w:rPr>
  </w:style>
  <w:style w:type="character" w:customStyle="1" w:styleId="720">
    <w:name w:val="Заголовок №7 (2)_"/>
    <w:link w:val="721"/>
    <w:rsid w:val="00662012"/>
    <w:rPr>
      <w:rFonts w:ascii="Times New Roman" w:eastAsia="Times New Roman" w:hAnsi="Times New Roman"/>
      <w:sz w:val="13"/>
      <w:szCs w:val="13"/>
      <w:shd w:val="clear" w:color="auto" w:fill="FFFFFF"/>
    </w:rPr>
  </w:style>
  <w:style w:type="paragraph" w:customStyle="1" w:styleId="721">
    <w:name w:val="Заголовок №7 (2)"/>
    <w:basedOn w:val="a0"/>
    <w:link w:val="720"/>
    <w:rsid w:val="00662012"/>
    <w:pPr>
      <w:shd w:val="clear" w:color="auto" w:fill="FFFFFF"/>
      <w:spacing w:after="0" w:line="163" w:lineRule="exact"/>
      <w:outlineLvl w:val="6"/>
    </w:pPr>
    <w:rPr>
      <w:rFonts w:ascii="Times New Roman" w:eastAsia="Times New Roman" w:hAnsi="Times New Roman"/>
      <w:sz w:val="13"/>
      <w:szCs w:val="13"/>
      <w:lang w:val="ru-UA" w:eastAsia="en-US"/>
    </w:rPr>
  </w:style>
  <w:style w:type="character" w:customStyle="1" w:styleId="4pt">
    <w:name w:val="Основной текст + Курсив;Интервал 4 pt"/>
    <w:rsid w:val="00662012"/>
    <w:rPr>
      <w:rFonts w:ascii="Times New Roman" w:eastAsia="Times New Roman" w:hAnsi="Times New Roman" w:cs="Times New Roman"/>
      <w:b w:val="0"/>
      <w:bCs w:val="0"/>
      <w:i/>
      <w:iCs/>
      <w:smallCaps w:val="0"/>
      <w:strike w:val="0"/>
      <w:spacing w:val="90"/>
      <w:sz w:val="21"/>
      <w:szCs w:val="21"/>
      <w:shd w:val="clear" w:color="auto" w:fill="FFFFFF"/>
    </w:rPr>
  </w:style>
  <w:style w:type="character" w:customStyle="1" w:styleId="1240">
    <w:name w:val="Заголовок №12 (4)_"/>
    <w:link w:val="1241"/>
    <w:rsid w:val="00662012"/>
    <w:rPr>
      <w:rFonts w:ascii="Times New Roman" w:eastAsia="Times New Roman" w:hAnsi="Times New Roman"/>
      <w:spacing w:val="20"/>
      <w:shd w:val="clear" w:color="auto" w:fill="FFFFFF"/>
    </w:rPr>
  </w:style>
  <w:style w:type="character" w:customStyle="1" w:styleId="124105pt0pt">
    <w:name w:val="Заголовок №12 (4) + 10;5 pt;Не полужирный;Интервал 0 pt"/>
    <w:rsid w:val="00662012"/>
    <w:rPr>
      <w:rFonts w:ascii="Times New Roman" w:eastAsia="Times New Roman" w:hAnsi="Times New Roman"/>
      <w:b/>
      <w:bCs/>
      <w:spacing w:val="0"/>
      <w:sz w:val="21"/>
      <w:szCs w:val="21"/>
      <w:shd w:val="clear" w:color="auto" w:fill="FFFFFF"/>
    </w:rPr>
  </w:style>
  <w:style w:type="character" w:customStyle="1" w:styleId="124105pt0pt0">
    <w:name w:val="Заголовок №12 (4) + 10;5 pt;Не полужирный;Курсив;Интервал 0 pt"/>
    <w:rsid w:val="00662012"/>
    <w:rPr>
      <w:rFonts w:ascii="Times New Roman" w:eastAsia="Times New Roman" w:hAnsi="Times New Roman"/>
      <w:b/>
      <w:bCs/>
      <w:i/>
      <w:iCs/>
      <w:spacing w:val="0"/>
      <w:sz w:val="21"/>
      <w:szCs w:val="21"/>
      <w:shd w:val="clear" w:color="auto" w:fill="FFFFFF"/>
    </w:rPr>
  </w:style>
  <w:style w:type="character" w:customStyle="1" w:styleId="65pt0pt">
    <w:name w:val="Основной текст + 6;5 pt;Курсив;Интервал 0 pt"/>
    <w:rsid w:val="00662012"/>
    <w:rPr>
      <w:rFonts w:ascii="Times New Roman" w:eastAsia="Times New Roman" w:hAnsi="Times New Roman" w:cs="Times New Roman"/>
      <w:b w:val="0"/>
      <w:bCs w:val="0"/>
      <w:i/>
      <w:iCs/>
      <w:smallCaps w:val="0"/>
      <w:strike w:val="0"/>
      <w:spacing w:val="10"/>
      <w:sz w:val="13"/>
      <w:szCs w:val="13"/>
      <w:shd w:val="clear" w:color="auto" w:fill="FFFFFF"/>
    </w:rPr>
  </w:style>
  <w:style w:type="paragraph" w:customStyle="1" w:styleId="1241">
    <w:name w:val="Заголовок №12 (4)"/>
    <w:basedOn w:val="a0"/>
    <w:link w:val="1240"/>
    <w:rsid w:val="00662012"/>
    <w:pPr>
      <w:shd w:val="clear" w:color="auto" w:fill="FFFFFF"/>
      <w:spacing w:after="180" w:line="0" w:lineRule="atLeast"/>
      <w:jc w:val="center"/>
    </w:pPr>
    <w:rPr>
      <w:rFonts w:ascii="Times New Roman" w:eastAsia="Times New Roman" w:hAnsi="Times New Roman"/>
      <w:spacing w:val="20"/>
      <w:lang w:val="ru-UA" w:eastAsia="en-US"/>
    </w:rPr>
  </w:style>
  <w:style w:type="character" w:customStyle="1" w:styleId="12a">
    <w:name w:val="Основной текст (12) + Не полужирный"/>
    <w:rsid w:val="00662012"/>
    <w:rPr>
      <w:rFonts w:ascii="Times New Roman" w:eastAsia="Times New Roman" w:hAnsi="Times New Roman" w:cs="Times New Roman"/>
      <w:b/>
      <w:bCs/>
      <w:i w:val="0"/>
      <w:iCs w:val="0"/>
      <w:smallCaps w:val="0"/>
      <w:strike w:val="0"/>
      <w:spacing w:val="0"/>
      <w:sz w:val="21"/>
      <w:szCs w:val="21"/>
    </w:rPr>
  </w:style>
  <w:style w:type="character" w:customStyle="1" w:styleId="12465pt0pt">
    <w:name w:val="Заголовок №12 (4) + 6;5 pt;Не полужирный;Курсив;Интервал 0 pt"/>
    <w:rsid w:val="00662012"/>
    <w:rPr>
      <w:rFonts w:ascii="Times New Roman" w:eastAsia="Times New Roman" w:hAnsi="Times New Roman" w:cs="Times New Roman"/>
      <w:b/>
      <w:bCs/>
      <w:i/>
      <w:iCs/>
      <w:smallCaps w:val="0"/>
      <w:strike w:val="0"/>
      <w:spacing w:val="10"/>
      <w:sz w:val="13"/>
      <w:szCs w:val="13"/>
      <w:shd w:val="clear" w:color="auto" w:fill="FFFFFF"/>
    </w:rPr>
  </w:style>
  <w:style w:type="character" w:customStyle="1" w:styleId="12465pt0pt0">
    <w:name w:val="Заголовок №12 (4) + 6;5 pt;Не полужирный;Интервал 0 pt"/>
    <w:rsid w:val="00662012"/>
    <w:rPr>
      <w:rFonts w:ascii="Times New Roman" w:eastAsia="Times New Roman" w:hAnsi="Times New Roman" w:cs="Times New Roman"/>
      <w:b/>
      <w:bCs/>
      <w:i w:val="0"/>
      <w:iCs w:val="0"/>
      <w:smallCaps w:val="0"/>
      <w:strike w:val="0"/>
      <w:spacing w:val="0"/>
      <w:sz w:val="13"/>
      <w:szCs w:val="13"/>
      <w:shd w:val="clear" w:color="auto" w:fill="FFFFFF"/>
    </w:rPr>
  </w:style>
  <w:style w:type="character" w:customStyle="1" w:styleId="231pt">
    <w:name w:val="Основной текст (23) + Интервал 1 pt"/>
    <w:rsid w:val="00662012"/>
    <w:rPr>
      <w:rFonts w:ascii="Times New Roman" w:eastAsia="Times New Roman" w:hAnsi="Times New Roman" w:cs="Times New Roman"/>
      <w:b w:val="0"/>
      <w:bCs w:val="0"/>
      <w:i w:val="0"/>
      <w:iCs w:val="0"/>
      <w:smallCaps w:val="0"/>
      <w:strike w:val="0"/>
      <w:spacing w:val="30"/>
      <w:sz w:val="13"/>
      <w:szCs w:val="13"/>
      <w:shd w:val="clear" w:color="auto" w:fill="FFFFFF"/>
    </w:rPr>
  </w:style>
  <w:style w:type="character" w:customStyle="1" w:styleId="1pt80">
    <w:name w:val="Основной текст + Полужирный;Курсив;Малые прописные;Интервал 1 pt;Масштаб 80%"/>
    <w:rsid w:val="00662012"/>
    <w:rPr>
      <w:rFonts w:ascii="Times New Roman" w:eastAsia="Times New Roman" w:hAnsi="Times New Roman" w:cs="Times New Roman"/>
      <w:b/>
      <w:bCs/>
      <w:i/>
      <w:iCs/>
      <w:smallCaps/>
      <w:strike w:val="0"/>
      <w:spacing w:val="20"/>
      <w:w w:val="80"/>
      <w:sz w:val="21"/>
      <w:szCs w:val="21"/>
      <w:shd w:val="clear" w:color="auto" w:fill="FFFFFF"/>
    </w:rPr>
  </w:style>
  <w:style w:type="character" w:customStyle="1" w:styleId="Arial7pt">
    <w:name w:val="Основной текст + Arial;7 pt"/>
    <w:rsid w:val="00662012"/>
    <w:rPr>
      <w:rFonts w:ascii="Arial" w:eastAsia="Arial" w:hAnsi="Arial" w:cs="Arial"/>
      <w:b w:val="0"/>
      <w:bCs w:val="0"/>
      <w:i w:val="0"/>
      <w:iCs w:val="0"/>
      <w:smallCaps w:val="0"/>
      <w:strike w:val="0"/>
      <w:spacing w:val="0"/>
      <w:sz w:val="14"/>
      <w:szCs w:val="14"/>
      <w:shd w:val="clear" w:color="auto" w:fill="FFFFFF"/>
    </w:rPr>
  </w:style>
  <w:style w:type="character" w:customStyle="1" w:styleId="98">
    <w:name w:val="Заголовок №9_"/>
    <w:link w:val="99"/>
    <w:rsid w:val="00662012"/>
    <w:rPr>
      <w:rFonts w:ascii="Times New Roman" w:eastAsia="Times New Roman" w:hAnsi="Times New Roman"/>
      <w:sz w:val="21"/>
      <w:szCs w:val="21"/>
      <w:shd w:val="clear" w:color="auto" w:fill="FFFFFF"/>
    </w:rPr>
  </w:style>
  <w:style w:type="paragraph" w:customStyle="1" w:styleId="99">
    <w:name w:val="Заголовок №9"/>
    <w:basedOn w:val="a0"/>
    <w:link w:val="98"/>
    <w:rsid w:val="00662012"/>
    <w:pPr>
      <w:shd w:val="clear" w:color="auto" w:fill="FFFFFF"/>
      <w:spacing w:after="240" w:line="0" w:lineRule="atLeast"/>
      <w:outlineLvl w:val="8"/>
    </w:pPr>
    <w:rPr>
      <w:rFonts w:ascii="Times New Roman" w:eastAsia="Times New Roman" w:hAnsi="Times New Roman"/>
      <w:sz w:val="21"/>
      <w:szCs w:val="21"/>
      <w:lang w:val="ru-UA" w:eastAsia="en-US"/>
    </w:rPr>
  </w:style>
  <w:style w:type="character" w:customStyle="1" w:styleId="8a">
    <w:name w:val="Заголовок №8_"/>
    <w:link w:val="8b"/>
    <w:rsid w:val="00662012"/>
    <w:rPr>
      <w:rFonts w:ascii="Times New Roman" w:eastAsia="Times New Roman" w:hAnsi="Times New Roman"/>
      <w:sz w:val="21"/>
      <w:szCs w:val="21"/>
      <w:shd w:val="clear" w:color="auto" w:fill="FFFFFF"/>
    </w:rPr>
  </w:style>
  <w:style w:type="character" w:customStyle="1" w:styleId="865pt">
    <w:name w:val="Заголовок №8 + 6;5 pt;Курсив"/>
    <w:rsid w:val="00662012"/>
    <w:rPr>
      <w:rFonts w:ascii="Times New Roman" w:eastAsia="Times New Roman" w:hAnsi="Times New Roman"/>
      <w:i/>
      <w:iCs/>
      <w:sz w:val="13"/>
      <w:szCs w:val="13"/>
      <w:shd w:val="clear" w:color="auto" w:fill="FFFFFF"/>
    </w:rPr>
  </w:style>
  <w:style w:type="character" w:customStyle="1" w:styleId="810pt1pt">
    <w:name w:val="Заголовок №8 + 10 pt;Полужирный;Интервал 1 pt"/>
    <w:rsid w:val="00662012"/>
    <w:rPr>
      <w:rFonts w:ascii="Times New Roman" w:eastAsia="Times New Roman" w:hAnsi="Times New Roman"/>
      <w:b/>
      <w:bCs/>
      <w:spacing w:val="20"/>
      <w:sz w:val="20"/>
      <w:szCs w:val="20"/>
      <w:shd w:val="clear" w:color="auto" w:fill="FFFFFF"/>
    </w:rPr>
  </w:style>
  <w:style w:type="character" w:customStyle="1" w:styleId="81pt">
    <w:name w:val="Заголовок №8 + Интервал 1 pt"/>
    <w:rsid w:val="00662012"/>
    <w:rPr>
      <w:rFonts w:ascii="Times New Roman" w:eastAsia="Times New Roman" w:hAnsi="Times New Roman"/>
      <w:spacing w:val="20"/>
      <w:sz w:val="21"/>
      <w:szCs w:val="21"/>
      <w:shd w:val="clear" w:color="auto" w:fill="FFFFFF"/>
    </w:rPr>
  </w:style>
  <w:style w:type="character" w:customStyle="1" w:styleId="121pt">
    <w:name w:val="Заголовок №12 + Интервал 1 pt"/>
    <w:rsid w:val="00662012"/>
    <w:rPr>
      <w:rFonts w:ascii="Times New Roman" w:eastAsia="Times New Roman" w:hAnsi="Times New Roman" w:cs="Times New Roman"/>
      <w:b w:val="0"/>
      <w:bCs w:val="0"/>
      <w:i w:val="0"/>
      <w:iCs w:val="0"/>
      <w:smallCaps w:val="0"/>
      <w:strike w:val="0"/>
      <w:spacing w:val="20"/>
      <w:sz w:val="21"/>
      <w:szCs w:val="21"/>
      <w:shd w:val="clear" w:color="auto" w:fill="FFFFFF"/>
    </w:rPr>
  </w:style>
  <w:style w:type="character" w:customStyle="1" w:styleId="10pt1pt0">
    <w:name w:val="Оглавление + 10 pt;Полужирный;Интервал 1 pt"/>
    <w:rsid w:val="00662012"/>
    <w:rPr>
      <w:rFonts w:ascii="Times New Roman" w:eastAsia="Times New Roman" w:hAnsi="Times New Roman" w:cs="Times New Roman"/>
      <w:b/>
      <w:bCs/>
      <w:i w:val="0"/>
      <w:iCs w:val="0"/>
      <w:smallCaps w:val="0"/>
      <w:strike w:val="0"/>
      <w:spacing w:val="20"/>
      <w:sz w:val="20"/>
      <w:szCs w:val="20"/>
      <w:shd w:val="clear" w:color="auto" w:fill="FFFFFF"/>
    </w:rPr>
  </w:style>
  <w:style w:type="character" w:customStyle="1" w:styleId="10pt0pt">
    <w:name w:val="Оглавление + 10 pt;Малые прописные;Интервал 0 pt"/>
    <w:rsid w:val="00662012"/>
    <w:rPr>
      <w:rFonts w:ascii="Times New Roman" w:eastAsia="Times New Roman" w:hAnsi="Times New Roman" w:cs="Times New Roman"/>
      <w:b w:val="0"/>
      <w:bCs w:val="0"/>
      <w:i w:val="0"/>
      <w:iCs w:val="0"/>
      <w:smallCaps/>
      <w:strike w:val="0"/>
      <w:spacing w:val="10"/>
      <w:sz w:val="20"/>
      <w:szCs w:val="20"/>
      <w:shd w:val="clear" w:color="auto" w:fill="FFFFFF"/>
    </w:rPr>
  </w:style>
  <w:style w:type="character" w:customStyle="1" w:styleId="65pt0">
    <w:name w:val="Оглавление + 6;5 pt"/>
    <w:rsid w:val="00662012"/>
    <w:rPr>
      <w:rFonts w:ascii="Times New Roman" w:eastAsia="Times New Roman" w:hAnsi="Times New Roman" w:cs="Times New Roman"/>
      <w:b w:val="0"/>
      <w:bCs w:val="0"/>
      <w:i w:val="0"/>
      <w:iCs w:val="0"/>
      <w:smallCaps w:val="0"/>
      <w:strike w:val="0"/>
      <w:spacing w:val="0"/>
      <w:sz w:val="13"/>
      <w:szCs w:val="13"/>
      <w:shd w:val="clear" w:color="auto" w:fill="FFFFFF"/>
    </w:rPr>
  </w:style>
  <w:style w:type="character" w:customStyle="1" w:styleId="5f">
    <w:name w:val="Оглавление (5)_"/>
    <w:link w:val="5f0"/>
    <w:rsid w:val="00662012"/>
    <w:rPr>
      <w:rFonts w:ascii="Times New Roman" w:eastAsia="Times New Roman" w:hAnsi="Times New Roman"/>
      <w:spacing w:val="30"/>
      <w:w w:val="80"/>
      <w:sz w:val="18"/>
      <w:szCs w:val="18"/>
      <w:shd w:val="clear" w:color="auto" w:fill="FFFFFF"/>
    </w:rPr>
  </w:style>
  <w:style w:type="paragraph" w:customStyle="1" w:styleId="8b">
    <w:name w:val="Заголовок №8"/>
    <w:basedOn w:val="a0"/>
    <w:link w:val="8a"/>
    <w:rsid w:val="00662012"/>
    <w:pPr>
      <w:shd w:val="clear" w:color="auto" w:fill="FFFFFF"/>
      <w:spacing w:before="120" w:after="0" w:line="0" w:lineRule="atLeast"/>
      <w:outlineLvl w:val="7"/>
    </w:pPr>
    <w:rPr>
      <w:rFonts w:ascii="Times New Roman" w:eastAsia="Times New Roman" w:hAnsi="Times New Roman"/>
      <w:sz w:val="21"/>
      <w:szCs w:val="21"/>
      <w:lang w:val="ru-UA" w:eastAsia="en-US"/>
    </w:rPr>
  </w:style>
  <w:style w:type="paragraph" w:customStyle="1" w:styleId="5f0">
    <w:name w:val="Оглавление (5)"/>
    <w:basedOn w:val="a0"/>
    <w:link w:val="5f"/>
    <w:rsid w:val="00662012"/>
    <w:pPr>
      <w:shd w:val="clear" w:color="auto" w:fill="FFFFFF"/>
      <w:spacing w:before="120" w:after="0" w:line="0" w:lineRule="atLeast"/>
    </w:pPr>
    <w:rPr>
      <w:rFonts w:ascii="Times New Roman" w:eastAsia="Times New Roman" w:hAnsi="Times New Roman"/>
      <w:spacing w:val="30"/>
      <w:w w:val="80"/>
      <w:sz w:val="18"/>
      <w:szCs w:val="18"/>
      <w:lang w:val="ru-UA" w:eastAsia="en-US"/>
    </w:rPr>
  </w:style>
  <w:style w:type="character" w:customStyle="1" w:styleId="2232pt100">
    <w:name w:val="Основной текст (22) + 32 pt;Не полужирный;Не курсив;Масштаб 100%"/>
    <w:rsid w:val="00662012"/>
    <w:rPr>
      <w:rFonts w:ascii="Times New Roman" w:eastAsia="Times New Roman" w:hAnsi="Times New Roman" w:cs="Times New Roman"/>
      <w:b/>
      <w:bCs/>
      <w:i/>
      <w:iCs/>
      <w:smallCaps w:val="0"/>
      <w:strike w:val="0"/>
      <w:spacing w:val="0"/>
      <w:w w:val="100"/>
      <w:sz w:val="64"/>
      <w:szCs w:val="64"/>
      <w:shd w:val="clear" w:color="auto" w:fill="FFFFFF"/>
    </w:rPr>
  </w:style>
  <w:style w:type="character" w:customStyle="1" w:styleId="1pt0">
    <w:name w:val="Основной текст + Курсив;Интервал 1 pt"/>
    <w:rsid w:val="00662012"/>
    <w:rPr>
      <w:rFonts w:ascii="Times New Roman" w:eastAsia="Times New Roman" w:hAnsi="Times New Roman" w:cs="Times New Roman"/>
      <w:b w:val="0"/>
      <w:bCs w:val="0"/>
      <w:i/>
      <w:iCs/>
      <w:smallCaps w:val="0"/>
      <w:strike w:val="0"/>
      <w:spacing w:val="30"/>
      <w:sz w:val="21"/>
      <w:szCs w:val="21"/>
      <w:shd w:val="clear" w:color="auto" w:fill="FFFFFF"/>
    </w:rPr>
  </w:style>
  <w:style w:type="character" w:customStyle="1" w:styleId="124pt">
    <w:name w:val="Заголовок №12 + 4 pt;Курсив"/>
    <w:rsid w:val="00662012"/>
    <w:rPr>
      <w:rFonts w:ascii="Times New Roman" w:eastAsia="Times New Roman" w:hAnsi="Times New Roman" w:cs="Times New Roman"/>
      <w:b w:val="0"/>
      <w:bCs w:val="0"/>
      <w:i/>
      <w:iCs/>
      <w:smallCaps w:val="0"/>
      <w:strike w:val="0"/>
      <w:sz w:val="8"/>
      <w:szCs w:val="8"/>
      <w:shd w:val="clear" w:color="auto" w:fill="FFFFFF"/>
    </w:rPr>
  </w:style>
  <w:style w:type="character" w:customStyle="1" w:styleId="1895pt0pt80">
    <w:name w:val="Основной текст (18) + 9;5 pt;Полужирный;Курсив;Интервал 0 pt;Масштаб 80%"/>
    <w:rsid w:val="00662012"/>
    <w:rPr>
      <w:rFonts w:ascii="Times New Roman" w:eastAsia="Times New Roman" w:hAnsi="Times New Roman" w:cs="Times New Roman"/>
      <w:b/>
      <w:bCs/>
      <w:i/>
      <w:iCs/>
      <w:smallCaps w:val="0"/>
      <w:strike w:val="0"/>
      <w:spacing w:val="10"/>
      <w:w w:val="80"/>
      <w:sz w:val="19"/>
      <w:szCs w:val="19"/>
      <w:shd w:val="clear" w:color="auto" w:fill="FFFFFF"/>
    </w:rPr>
  </w:style>
  <w:style w:type="character" w:customStyle="1" w:styleId="18Arial105pt">
    <w:name w:val="Основной текст (18) + Arial;10;5 pt"/>
    <w:rsid w:val="00662012"/>
    <w:rPr>
      <w:rFonts w:ascii="Arial" w:eastAsia="Arial" w:hAnsi="Arial" w:cs="Arial"/>
      <w:b w:val="0"/>
      <w:bCs w:val="0"/>
      <w:i w:val="0"/>
      <w:iCs w:val="0"/>
      <w:smallCaps w:val="0"/>
      <w:strike w:val="0"/>
      <w:spacing w:val="0"/>
      <w:sz w:val="21"/>
      <w:szCs w:val="21"/>
      <w:shd w:val="clear" w:color="auto" w:fill="FFFFFF"/>
    </w:rPr>
  </w:style>
  <w:style w:type="character" w:customStyle="1" w:styleId="1814pt">
    <w:name w:val="Основной текст (18) + Интервал 14 pt"/>
    <w:rsid w:val="00662012"/>
    <w:rPr>
      <w:rFonts w:ascii="Times New Roman" w:eastAsia="Times New Roman" w:hAnsi="Times New Roman" w:cs="Times New Roman"/>
      <w:b w:val="0"/>
      <w:bCs w:val="0"/>
      <w:i w:val="0"/>
      <w:iCs w:val="0"/>
      <w:smallCaps w:val="0"/>
      <w:strike w:val="0"/>
      <w:spacing w:val="290"/>
      <w:sz w:val="17"/>
      <w:szCs w:val="17"/>
      <w:shd w:val="clear" w:color="auto" w:fill="FFFFFF"/>
    </w:rPr>
  </w:style>
  <w:style w:type="character" w:customStyle="1" w:styleId="410pt">
    <w:name w:val="Заголовок №4 + 10 pt;Полужирный"/>
    <w:rsid w:val="00662012"/>
    <w:rPr>
      <w:rFonts w:ascii="Times New Roman" w:eastAsia="Times New Roman" w:hAnsi="Times New Roman" w:cs="Times New Roman"/>
      <w:b/>
      <w:bCs/>
      <w:i w:val="0"/>
      <w:iCs w:val="0"/>
      <w:smallCaps w:val="0"/>
      <w:strike w:val="0"/>
      <w:sz w:val="20"/>
      <w:szCs w:val="20"/>
      <w:shd w:val="clear" w:color="auto" w:fill="FFFFFF"/>
    </w:rPr>
  </w:style>
  <w:style w:type="character" w:customStyle="1" w:styleId="411pt2pt80">
    <w:name w:val="Заголовок №4 + 11 pt;Полужирный;Курсив;Интервал 2 pt;Масштаб 80%"/>
    <w:rsid w:val="00662012"/>
    <w:rPr>
      <w:rFonts w:ascii="Times New Roman" w:eastAsia="Times New Roman" w:hAnsi="Times New Roman" w:cs="Times New Roman"/>
      <w:b/>
      <w:bCs/>
      <w:i/>
      <w:iCs/>
      <w:smallCaps w:val="0"/>
      <w:strike w:val="0"/>
      <w:spacing w:val="40"/>
      <w:w w:val="80"/>
      <w:shd w:val="clear" w:color="auto" w:fill="FFFFFF"/>
    </w:rPr>
  </w:style>
  <w:style w:type="character" w:customStyle="1" w:styleId="7pt2pt">
    <w:name w:val="Основной текст + 7 pt;Интервал 2 pt"/>
    <w:rsid w:val="00662012"/>
    <w:rPr>
      <w:rFonts w:ascii="Times New Roman" w:eastAsia="Times New Roman" w:hAnsi="Times New Roman" w:cs="Times New Roman"/>
      <w:b w:val="0"/>
      <w:bCs w:val="0"/>
      <w:i w:val="0"/>
      <w:iCs w:val="0"/>
      <w:smallCaps w:val="0"/>
      <w:strike w:val="0"/>
      <w:spacing w:val="50"/>
      <w:sz w:val="14"/>
      <w:szCs w:val="14"/>
      <w:shd w:val="clear" w:color="auto" w:fill="FFFFFF"/>
    </w:rPr>
  </w:style>
  <w:style w:type="character" w:customStyle="1" w:styleId="1250">
    <w:name w:val="Заголовок №12 (5)_"/>
    <w:link w:val="1251"/>
    <w:rsid w:val="00662012"/>
    <w:rPr>
      <w:rFonts w:ascii="Times New Roman" w:eastAsia="Times New Roman" w:hAnsi="Times New Roman"/>
      <w:sz w:val="13"/>
      <w:szCs w:val="13"/>
      <w:shd w:val="clear" w:color="auto" w:fill="FFFFFF"/>
    </w:rPr>
  </w:style>
  <w:style w:type="character" w:customStyle="1" w:styleId="12510pt1pt">
    <w:name w:val="Заголовок №12 (5) + 10 pt;Полужирный;Интервал 1 pt"/>
    <w:rsid w:val="00662012"/>
    <w:rPr>
      <w:rFonts w:ascii="Times New Roman" w:eastAsia="Times New Roman" w:hAnsi="Times New Roman"/>
      <w:b/>
      <w:bCs/>
      <w:spacing w:val="20"/>
      <w:sz w:val="20"/>
      <w:szCs w:val="20"/>
      <w:shd w:val="clear" w:color="auto" w:fill="FFFFFF"/>
    </w:rPr>
  </w:style>
  <w:style w:type="character" w:customStyle="1" w:styleId="1251pt">
    <w:name w:val="Заголовок №12 (5) + Интервал 1 pt"/>
    <w:rsid w:val="00662012"/>
    <w:rPr>
      <w:rFonts w:ascii="Times New Roman" w:eastAsia="Times New Roman" w:hAnsi="Times New Roman"/>
      <w:spacing w:val="30"/>
      <w:sz w:val="13"/>
      <w:szCs w:val="13"/>
      <w:shd w:val="clear" w:color="auto" w:fill="FFFFFF"/>
    </w:rPr>
  </w:style>
  <w:style w:type="character" w:customStyle="1" w:styleId="125105pt">
    <w:name w:val="Заголовок №12 (5) + 10;5 pt"/>
    <w:rsid w:val="00662012"/>
    <w:rPr>
      <w:rFonts w:ascii="Times New Roman" w:eastAsia="Times New Roman" w:hAnsi="Times New Roman"/>
      <w:sz w:val="21"/>
      <w:szCs w:val="21"/>
      <w:shd w:val="clear" w:color="auto" w:fill="FFFFFF"/>
    </w:rPr>
  </w:style>
  <w:style w:type="paragraph" w:customStyle="1" w:styleId="1251">
    <w:name w:val="Заголовок №12 (5)"/>
    <w:basedOn w:val="a0"/>
    <w:link w:val="1250"/>
    <w:rsid w:val="00662012"/>
    <w:pPr>
      <w:shd w:val="clear" w:color="auto" w:fill="FFFFFF"/>
      <w:spacing w:before="120" w:after="240" w:line="0" w:lineRule="atLeast"/>
    </w:pPr>
    <w:rPr>
      <w:rFonts w:ascii="Times New Roman" w:eastAsia="Times New Roman" w:hAnsi="Times New Roman"/>
      <w:sz w:val="13"/>
      <w:szCs w:val="13"/>
      <w:lang w:val="ru-UA" w:eastAsia="en-US"/>
    </w:rPr>
  </w:style>
  <w:style w:type="character" w:customStyle="1" w:styleId="18105pt">
    <w:name w:val="Основной текст (18) + 10;5 pt;Курсив"/>
    <w:rsid w:val="00662012"/>
    <w:rPr>
      <w:rFonts w:ascii="Times New Roman" w:eastAsia="Times New Roman" w:hAnsi="Times New Roman" w:cs="Times New Roman"/>
      <w:b w:val="0"/>
      <w:bCs w:val="0"/>
      <w:i/>
      <w:iCs/>
      <w:smallCaps w:val="0"/>
      <w:strike w:val="0"/>
      <w:spacing w:val="0"/>
      <w:sz w:val="21"/>
      <w:szCs w:val="21"/>
      <w:shd w:val="clear" w:color="auto" w:fill="FFFFFF"/>
    </w:rPr>
  </w:style>
  <w:style w:type="character" w:customStyle="1" w:styleId="18105pt0">
    <w:name w:val="Основной текст (18) + 10;5 pt"/>
    <w:rsid w:val="00662012"/>
    <w:rPr>
      <w:rFonts w:ascii="Times New Roman" w:eastAsia="Times New Roman" w:hAnsi="Times New Roman" w:cs="Times New Roman"/>
      <w:b w:val="0"/>
      <w:bCs w:val="0"/>
      <w:i w:val="0"/>
      <w:iCs w:val="0"/>
      <w:smallCaps w:val="0"/>
      <w:strike w:val="0"/>
      <w:sz w:val="21"/>
      <w:szCs w:val="21"/>
      <w:shd w:val="clear" w:color="auto" w:fill="FFFFFF"/>
    </w:rPr>
  </w:style>
  <w:style w:type="table" w:customStyle="1" w:styleId="11a">
    <w:name w:val="Средний список 11"/>
    <w:basedOn w:val="a2"/>
    <w:uiPriority w:val="65"/>
    <w:rsid w:val="00662012"/>
    <w:pPr>
      <w:spacing w:after="0" w:line="240" w:lineRule="auto"/>
    </w:pPr>
    <w:rPr>
      <w:rFonts w:ascii="Calibri" w:eastAsia="Calibri" w:hAnsi="Calibri" w:cs="Times New Roman"/>
      <w:color w:val="000000"/>
      <w:sz w:val="20"/>
      <w:szCs w:val="20"/>
      <w:lang w:eastAsia="ru-UA"/>
    </w:rPr>
    <w:tblPr>
      <w:tblStyleRowBandSize w:val="1"/>
      <w:tblStyleColBandSize w:val="1"/>
      <w:tblBorders>
        <w:top w:val="single" w:sz="8" w:space="0" w:color="000000"/>
        <w:bottom w:val="single" w:sz="8" w:space="0" w:color="000000"/>
      </w:tblBorders>
    </w:tblPr>
    <w:tblStylePr w:type="firstRow">
      <w:rPr>
        <w:rFonts w:ascii="Verdana" w:eastAsia="Times New Roman" w:hAnsi="Verdana"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character" w:customStyle="1" w:styleId="y2iqfc">
    <w:name w:val="y2iqfc"/>
    <w:basedOn w:val="a1"/>
    <w:rsid w:val="00662012"/>
  </w:style>
  <w:style w:type="character" w:customStyle="1" w:styleId="q4iawc">
    <w:name w:val="q4iawc"/>
    <w:basedOn w:val="a1"/>
    <w:rsid w:val="00662012"/>
  </w:style>
  <w:style w:type="character" w:customStyle="1" w:styleId="viiyi">
    <w:name w:val="viiyi"/>
    <w:basedOn w:val="a1"/>
    <w:rsid w:val="00662012"/>
  </w:style>
  <w:style w:type="character" w:customStyle="1" w:styleId="xfm35160665">
    <w:name w:val="xfm_35160665"/>
    <w:basedOn w:val="a1"/>
    <w:rsid w:val="00662012"/>
  </w:style>
  <w:style w:type="paragraph" w:customStyle="1" w:styleId="11b">
    <w:name w:val="Обычный11"/>
    <w:rsid w:val="00662012"/>
    <w:pPr>
      <w:spacing w:after="0" w:line="240" w:lineRule="auto"/>
    </w:pPr>
    <w:rPr>
      <w:rFonts w:ascii="Times New Roman" w:eastAsia="Times New Roman" w:hAnsi="Times New Roman" w:cs="Times New Roman"/>
      <w:snapToGrid w:val="0"/>
      <w:sz w:val="28"/>
      <w:szCs w:val="28"/>
      <w:lang w:val="ru-RU" w:eastAsia="ru-RU"/>
    </w:rPr>
  </w:style>
  <w:style w:type="character" w:customStyle="1" w:styleId="franch1">
    <w:name w:val="franch1"/>
    <w:basedOn w:val="a1"/>
    <w:rsid w:val="00662012"/>
  </w:style>
  <w:style w:type="character" w:customStyle="1" w:styleId="1ffd">
    <w:name w:val="1"/>
    <w:basedOn w:val="a1"/>
    <w:rsid w:val="00662012"/>
  </w:style>
  <w:style w:type="paragraph" w:customStyle="1" w:styleId="a00">
    <w:name w:val="a0"/>
    <w:basedOn w:val="a0"/>
    <w:rsid w:val="00662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8">
    <w:name w:val="Назв табл"/>
    <w:basedOn w:val="a0"/>
    <w:rsid w:val="00662012"/>
    <w:pPr>
      <w:spacing w:before="120" w:after="120" w:line="240" w:lineRule="auto"/>
      <w:jc w:val="center"/>
    </w:pPr>
    <w:rPr>
      <w:rFonts w:ascii="Times New Roman" w:eastAsia="Times New Roman" w:hAnsi="Times New Roman" w:cs="Times New Roman"/>
      <w:b/>
      <w:sz w:val="30"/>
      <w:szCs w:val="28"/>
    </w:rPr>
  </w:style>
  <w:style w:type="character" w:customStyle="1" w:styleId="contribdegrees">
    <w:name w:val="contribdegrees"/>
    <w:basedOn w:val="a1"/>
    <w:rsid w:val="00662012"/>
  </w:style>
  <w:style w:type="character" w:customStyle="1" w:styleId="a-list-item">
    <w:name w:val="a-list-item"/>
    <w:basedOn w:val="a1"/>
    <w:rsid w:val="00662012"/>
  </w:style>
  <w:style w:type="character" w:customStyle="1" w:styleId="label">
    <w:name w:val="label"/>
    <w:basedOn w:val="a1"/>
    <w:rsid w:val="00662012"/>
  </w:style>
  <w:style w:type="character" w:customStyle="1" w:styleId="l6">
    <w:name w:val="l6"/>
    <w:basedOn w:val="a1"/>
    <w:rsid w:val="00662012"/>
  </w:style>
  <w:style w:type="character" w:customStyle="1" w:styleId="typography-modulelvnit">
    <w:name w:val="typography-module__lvnit"/>
    <w:rsid w:val="00662012"/>
  </w:style>
  <w:style w:type="paragraph" w:customStyle="1" w:styleId="affffff9">
    <w:basedOn w:val="a0"/>
    <w:next w:val="a9"/>
    <w:uiPriority w:val="99"/>
    <w:unhideWhenUsed/>
    <w:rsid w:val="00113886"/>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customStyle="1" w:styleId="fontstyle01">
    <w:name w:val="fontstyle01"/>
    <w:basedOn w:val="a1"/>
    <w:rsid w:val="00DB21B7"/>
    <w:rPr>
      <w:rFonts w:ascii="WarnockPro-Regular" w:hAnsi="WarnockPro-Regular" w:hint="default"/>
      <w:b w:val="0"/>
      <w:bCs w:val="0"/>
      <w:i w:val="0"/>
      <w:iCs w:val="0"/>
      <w:color w:val="242021"/>
      <w:sz w:val="22"/>
      <w:szCs w:val="22"/>
    </w:rPr>
  </w:style>
  <w:style w:type="character" w:styleId="HTML2">
    <w:name w:val="HTML Code"/>
    <w:basedOn w:val="a1"/>
    <w:uiPriority w:val="99"/>
    <w:semiHidden/>
    <w:unhideWhenUsed/>
    <w:rsid w:val="00DB21B7"/>
    <w:rPr>
      <w:rFonts w:ascii="Courier New" w:eastAsia="Times New Roman" w:hAnsi="Courier New" w:cs="Courier New"/>
      <w:sz w:val="20"/>
      <w:szCs w:val="20"/>
    </w:rPr>
  </w:style>
  <w:style w:type="character" w:customStyle="1" w:styleId="fontstyle21">
    <w:name w:val="fontstyle21"/>
    <w:basedOn w:val="a1"/>
    <w:rsid w:val="00DB21B7"/>
    <w:rPr>
      <w:rFonts w:ascii="TimesNewRoman" w:hAnsi="TimesNewRoman" w:hint="default"/>
      <w:b w:val="0"/>
      <w:bCs w:val="0"/>
      <w:i w:val="0"/>
      <w:iCs w:val="0"/>
      <w:color w:val="000000"/>
      <w:sz w:val="20"/>
      <w:szCs w:val="20"/>
    </w:rPr>
  </w:style>
  <w:style w:type="character" w:styleId="affffffa">
    <w:name w:val="line number"/>
    <w:basedOn w:val="a1"/>
    <w:uiPriority w:val="99"/>
    <w:semiHidden/>
    <w:unhideWhenUsed/>
    <w:rsid w:val="00DB21B7"/>
  </w:style>
  <w:style w:type="paragraph" w:customStyle="1" w:styleId="patriotat">
    <w:name w:val="patriotat"/>
    <w:basedOn w:val="a0"/>
    <w:rsid w:val="005F0419"/>
    <w:pPr>
      <w:spacing w:before="60" w:after="0" w:line="240" w:lineRule="auto"/>
      <w:ind w:left="567" w:right="284" w:firstLine="567"/>
      <w:jc w:val="both"/>
    </w:pPr>
    <w:rPr>
      <w:rFonts w:ascii="Arial" w:eastAsia="Times New Roman" w:hAnsi="Arial" w:cs="Arial"/>
      <w:sz w:val="20"/>
      <w:szCs w:val="20"/>
    </w:rPr>
  </w:style>
  <w:style w:type="character" w:customStyle="1" w:styleId="contributor-unlinked">
    <w:name w:val="contributor-unlinked"/>
    <w:basedOn w:val="a1"/>
    <w:rsid w:val="00571B42"/>
  </w:style>
  <w:style w:type="character" w:customStyle="1" w:styleId="contributor-separator">
    <w:name w:val="contributor-separator"/>
    <w:basedOn w:val="a1"/>
    <w:rsid w:val="00571B42"/>
  </w:style>
  <w:style w:type="character" w:customStyle="1" w:styleId="typography-body">
    <w:name w:val="typography-body"/>
    <w:basedOn w:val="a1"/>
    <w:rsid w:val="00571B42"/>
  </w:style>
  <w:style w:type="character" w:customStyle="1" w:styleId="name">
    <w:name w:val="name"/>
    <w:basedOn w:val="a1"/>
    <w:rsid w:val="00571B42"/>
  </w:style>
  <w:style w:type="character" w:customStyle="1" w:styleId="accordion-tabbedtab-mobile">
    <w:name w:val="accordion-tabbed__tab-mobile"/>
    <w:basedOn w:val="a1"/>
    <w:rsid w:val="00571B42"/>
  </w:style>
  <w:style w:type="character" w:customStyle="1" w:styleId="comma-separator">
    <w:name w:val="comma-separator"/>
    <w:basedOn w:val="a1"/>
    <w:rsid w:val="00571B42"/>
  </w:style>
  <w:style w:type="character" w:customStyle="1" w:styleId="epub-state">
    <w:name w:val="epub-state"/>
    <w:basedOn w:val="a1"/>
    <w:rsid w:val="00571B42"/>
  </w:style>
  <w:style w:type="character" w:customStyle="1" w:styleId="epub-date">
    <w:name w:val="epub-date"/>
    <w:basedOn w:val="a1"/>
    <w:rsid w:val="00571B42"/>
  </w:style>
  <w:style w:type="paragraph" w:customStyle="1" w:styleId="volume-issue">
    <w:name w:val="volume-issue"/>
    <w:basedOn w:val="a0"/>
    <w:rsid w:val="00571B42"/>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val">
    <w:name w:val="val"/>
    <w:basedOn w:val="a1"/>
    <w:rsid w:val="00571B42"/>
  </w:style>
  <w:style w:type="paragraph" w:customStyle="1" w:styleId="page-range">
    <w:name w:val="page-range"/>
    <w:basedOn w:val="a0"/>
    <w:rsid w:val="00571B42"/>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5108365">
      <w:bodyDiv w:val="1"/>
      <w:marLeft w:val="0"/>
      <w:marRight w:val="0"/>
      <w:marTop w:val="0"/>
      <w:marBottom w:val="0"/>
      <w:divBdr>
        <w:top w:val="none" w:sz="0" w:space="0" w:color="auto"/>
        <w:left w:val="none" w:sz="0" w:space="0" w:color="auto"/>
        <w:bottom w:val="none" w:sz="0" w:space="0" w:color="auto"/>
        <w:right w:val="none" w:sz="0" w:space="0" w:color="auto"/>
      </w:divBdr>
    </w:div>
    <w:div w:id="923102232">
      <w:bodyDiv w:val="1"/>
      <w:marLeft w:val="0"/>
      <w:marRight w:val="0"/>
      <w:marTop w:val="0"/>
      <w:marBottom w:val="0"/>
      <w:divBdr>
        <w:top w:val="none" w:sz="0" w:space="0" w:color="auto"/>
        <w:left w:val="none" w:sz="0" w:space="0" w:color="auto"/>
        <w:bottom w:val="none" w:sz="0" w:space="0" w:color="auto"/>
        <w:right w:val="none" w:sz="0" w:space="0" w:color="auto"/>
      </w:divBdr>
    </w:div>
    <w:div w:id="1206677721">
      <w:bodyDiv w:val="1"/>
      <w:marLeft w:val="0"/>
      <w:marRight w:val="0"/>
      <w:marTop w:val="0"/>
      <w:marBottom w:val="0"/>
      <w:divBdr>
        <w:top w:val="none" w:sz="0" w:space="0" w:color="auto"/>
        <w:left w:val="none" w:sz="0" w:space="0" w:color="auto"/>
        <w:bottom w:val="none" w:sz="0" w:space="0" w:color="auto"/>
        <w:right w:val="none" w:sz="0" w:space="0" w:color="auto"/>
      </w:divBdr>
    </w:div>
    <w:div w:id="1262450773">
      <w:bodyDiv w:val="1"/>
      <w:marLeft w:val="0"/>
      <w:marRight w:val="0"/>
      <w:marTop w:val="0"/>
      <w:marBottom w:val="0"/>
      <w:divBdr>
        <w:top w:val="none" w:sz="0" w:space="0" w:color="auto"/>
        <w:left w:val="none" w:sz="0" w:space="0" w:color="auto"/>
        <w:bottom w:val="none" w:sz="0" w:space="0" w:color="auto"/>
        <w:right w:val="none" w:sz="0" w:space="0" w:color="auto"/>
      </w:divBdr>
    </w:div>
    <w:div w:id="1495947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microsoft.com/office/2007/relationships/diagramDrawing" Target="diagrams/drawing5.xml"/><Relationship Id="rId299" Type="http://schemas.openxmlformats.org/officeDocument/2006/relationships/image" Target="media/image44.wmf"/><Relationship Id="rId21" Type="http://schemas.openxmlformats.org/officeDocument/2006/relationships/hyperlink" Target="https://dse.org.ua/arhcive/15/12.pdf" TargetMode="External"/><Relationship Id="rId63" Type="http://schemas.openxmlformats.org/officeDocument/2006/relationships/chart" Target="charts/chart7.xml"/><Relationship Id="rId159" Type="http://schemas.openxmlformats.org/officeDocument/2006/relationships/oleObject" Target="embeddings/oleObject8.bin"/><Relationship Id="rId324" Type="http://schemas.openxmlformats.org/officeDocument/2006/relationships/oleObject" Target="embeddings/oleObject38.bin"/><Relationship Id="rId366" Type="http://schemas.openxmlformats.org/officeDocument/2006/relationships/image" Target="media/image77.wmf"/><Relationship Id="rId170" Type="http://schemas.openxmlformats.org/officeDocument/2006/relationships/hyperlink" Target="https://doi.org/10.1080/1331677X.2022.2126991" TargetMode="External"/><Relationship Id="rId226" Type="http://schemas.openxmlformats.org/officeDocument/2006/relationships/chart" Target="charts/chart23.xml"/><Relationship Id="rId433" Type="http://schemas.openxmlformats.org/officeDocument/2006/relationships/chart" Target="charts/chart37.xml"/><Relationship Id="rId268" Type="http://schemas.openxmlformats.org/officeDocument/2006/relationships/hyperlink" Target="http://ukrstat.gov.ua" TargetMode="External"/><Relationship Id="rId475" Type="http://schemas.openxmlformats.org/officeDocument/2006/relationships/image" Target="media/image105.png"/><Relationship Id="rId32" Type="http://schemas.openxmlformats.org/officeDocument/2006/relationships/hyperlink" Target="https://zakon.rada.gov.ua/laws/show/n0048525-21" TargetMode="External"/><Relationship Id="rId74" Type="http://schemas.openxmlformats.org/officeDocument/2006/relationships/hyperlink" Target="https://doi.org/10.1002/2016EF000518" TargetMode="External"/><Relationship Id="rId128" Type="http://schemas.openxmlformats.org/officeDocument/2006/relationships/diagramData" Target="diagrams/data8.xml"/><Relationship Id="rId335" Type="http://schemas.openxmlformats.org/officeDocument/2006/relationships/image" Target="media/image62.wmf"/><Relationship Id="rId377" Type="http://schemas.openxmlformats.org/officeDocument/2006/relationships/oleObject" Target="embeddings/oleObject65.bin"/><Relationship Id="rId5" Type="http://schemas.openxmlformats.org/officeDocument/2006/relationships/footnotes" Target="footnotes.xml"/><Relationship Id="rId181" Type="http://schemas.openxmlformats.org/officeDocument/2006/relationships/image" Target="media/image15.png"/><Relationship Id="rId237" Type="http://schemas.openxmlformats.org/officeDocument/2006/relationships/hyperlink" Target="http://www.frontmanagement.org/fomants-127-2.html" TargetMode="External"/><Relationship Id="rId402" Type="http://schemas.openxmlformats.org/officeDocument/2006/relationships/image" Target="media/image95.wmf"/><Relationship Id="rId279" Type="http://schemas.openxmlformats.org/officeDocument/2006/relationships/image" Target="media/image34.wmf"/><Relationship Id="rId444" Type="http://schemas.openxmlformats.org/officeDocument/2006/relationships/hyperlink" Target="https://uk.wikivoyage.org/wiki/%D0%86%D0%B2%D0%B0%D0%BD%D0%BE-%D0%A4%D1%80%D0%B0%D0%BD%D0%BA%D1%96%D0%B2%D1%81%D1%8C%D0%BA%D0%B0_%D0%BE%D0%B1%D0%BB%D0%B0%D1%81%D1%82%D1%8C" TargetMode="External"/><Relationship Id="rId486" Type="http://schemas.openxmlformats.org/officeDocument/2006/relationships/image" Target="media/image116.png"/><Relationship Id="rId43" Type="http://schemas.openxmlformats.org/officeDocument/2006/relationships/hyperlink" Target="https://reicst.com.ua/pmt/article/view/2022-5-03-01/2022-5-03-01" TargetMode="External"/><Relationship Id="rId139" Type="http://schemas.openxmlformats.org/officeDocument/2006/relationships/hyperlink" Target="http://surl.li/hguow" TargetMode="External"/><Relationship Id="rId290" Type="http://schemas.openxmlformats.org/officeDocument/2006/relationships/oleObject" Target="embeddings/oleObject21.bin"/><Relationship Id="rId304" Type="http://schemas.openxmlformats.org/officeDocument/2006/relationships/oleObject" Target="embeddings/oleObject28.bin"/><Relationship Id="rId346" Type="http://schemas.openxmlformats.org/officeDocument/2006/relationships/image" Target="media/image67.wmf"/><Relationship Id="rId388" Type="http://schemas.openxmlformats.org/officeDocument/2006/relationships/image" Target="media/image88.wmf"/><Relationship Id="rId85" Type="http://schemas.openxmlformats.org/officeDocument/2006/relationships/hyperlink" Target="https://doi.org/10.1016/j.jenvman.2020.111829" TargetMode="External"/><Relationship Id="rId150" Type="http://schemas.openxmlformats.org/officeDocument/2006/relationships/image" Target="media/image6.wmf"/><Relationship Id="rId192" Type="http://schemas.openxmlformats.org/officeDocument/2006/relationships/image" Target="media/image25.png"/><Relationship Id="rId206" Type="http://schemas.openxmlformats.org/officeDocument/2006/relationships/hyperlink" Target="https://www.dnu.dp.ua/docs/visnik/fgg/program_60b88924bb29c.pdf" TargetMode="External"/><Relationship Id="rId413" Type="http://schemas.openxmlformats.org/officeDocument/2006/relationships/oleObject" Target="embeddings/oleObject83.bin"/><Relationship Id="rId248" Type="http://schemas.openxmlformats.org/officeDocument/2006/relationships/hyperlink" Target="http://global-national.in.ua/archive/17-2017/116.pdf" TargetMode="External"/><Relationship Id="rId455" Type="http://schemas.openxmlformats.org/officeDocument/2006/relationships/hyperlink" Target="https://uk.wikivoyage.org/wiki/%D0%A5%D0%BC%D0%B5%D0%BB%D1%8C%D0%BD%D0%B8%D1%86%D1%8C%D0%BA%D0%B0_%D0%BE%D0%B1%D0%BB%D0%B0%D1%81%D1%82%D1%8C" TargetMode="External"/><Relationship Id="rId12" Type="http://schemas.openxmlformats.org/officeDocument/2006/relationships/hyperlink" Target="http://zakon1.rada.gov.ua/cgi-bin/laws/main.cgi?nreg=2464-17" TargetMode="External"/><Relationship Id="rId108" Type="http://schemas.openxmlformats.org/officeDocument/2006/relationships/diagramData" Target="diagrams/data4.xml"/><Relationship Id="rId315" Type="http://schemas.openxmlformats.org/officeDocument/2006/relationships/image" Target="media/image52.wmf"/><Relationship Id="rId357" Type="http://schemas.openxmlformats.org/officeDocument/2006/relationships/oleObject" Target="embeddings/oleObject55.bin"/><Relationship Id="rId54" Type="http://schemas.openxmlformats.org/officeDocument/2006/relationships/hyperlink" Target="https://scholar.google.com/citations?user=-UdEBvIAAAAJ&amp;hl=ru&amp;oi=sra" TargetMode="External"/><Relationship Id="rId96" Type="http://schemas.openxmlformats.org/officeDocument/2006/relationships/diagramColors" Target="diagrams/colors1.xml"/><Relationship Id="rId161" Type="http://schemas.openxmlformats.org/officeDocument/2006/relationships/oleObject" Target="embeddings/oleObject9.bin"/><Relationship Id="rId217" Type="http://schemas.openxmlformats.org/officeDocument/2006/relationships/diagramLayout" Target="diagrams/layout9.xml"/><Relationship Id="rId399" Type="http://schemas.openxmlformats.org/officeDocument/2006/relationships/oleObject" Target="embeddings/oleObject76.bin"/><Relationship Id="rId259" Type="http://schemas.openxmlformats.org/officeDocument/2006/relationships/hyperlink" Target="http://dspace.oneu.edu.ua" TargetMode="External"/><Relationship Id="rId424" Type="http://schemas.openxmlformats.org/officeDocument/2006/relationships/oleObject" Target="embeddings/oleObject90.bin"/><Relationship Id="rId466" Type="http://schemas.openxmlformats.org/officeDocument/2006/relationships/hyperlink" Target="http://www.stejka.com/ukr" TargetMode="External"/><Relationship Id="rId23" Type="http://schemas.openxmlformats.org/officeDocument/2006/relationships/hyperlink" Target="https://www.kadrovik.ua/content/dystantsijna-robota-pid-chas-voyennogo-stanu" TargetMode="External"/><Relationship Id="rId119" Type="http://schemas.openxmlformats.org/officeDocument/2006/relationships/diagramLayout" Target="diagrams/layout6.xml"/><Relationship Id="rId270" Type="http://schemas.openxmlformats.org/officeDocument/2006/relationships/hyperlink" Target="http://franchising.org.ua" TargetMode="External"/><Relationship Id="rId326" Type="http://schemas.openxmlformats.org/officeDocument/2006/relationships/oleObject" Target="embeddings/oleObject39.bin"/><Relationship Id="rId65" Type="http://schemas.openxmlformats.org/officeDocument/2006/relationships/chart" Target="charts/chart9.xml"/><Relationship Id="rId130" Type="http://schemas.openxmlformats.org/officeDocument/2006/relationships/diagramQuickStyle" Target="diagrams/quickStyle8.xml"/><Relationship Id="rId368" Type="http://schemas.openxmlformats.org/officeDocument/2006/relationships/image" Target="media/image78.wmf"/><Relationship Id="rId172" Type="http://schemas.openxmlformats.org/officeDocument/2006/relationships/hyperlink" Target="http://www.market-infr.od.ua/uk/72-2023" TargetMode="External"/><Relationship Id="rId228" Type="http://schemas.openxmlformats.org/officeDocument/2006/relationships/chart" Target="charts/chart25.xml"/><Relationship Id="rId435" Type="http://schemas.openxmlformats.org/officeDocument/2006/relationships/chart" Target="charts/chart39.xml"/><Relationship Id="rId477" Type="http://schemas.openxmlformats.org/officeDocument/2006/relationships/image" Target="media/image107.png"/><Relationship Id="rId281" Type="http://schemas.openxmlformats.org/officeDocument/2006/relationships/image" Target="media/image35.wmf"/><Relationship Id="rId337" Type="http://schemas.openxmlformats.org/officeDocument/2006/relationships/image" Target="media/image63.wmf"/><Relationship Id="rId34" Type="http://schemas.openxmlformats.org/officeDocument/2006/relationships/hyperlink" Target="https://ukraineinvest.gov.ua/fdi-strategy/" TargetMode="External"/><Relationship Id="rId76" Type="http://schemas.openxmlformats.org/officeDocument/2006/relationships/hyperlink" Target="https://zakon.rada.gov.ua/laws/show/z1517-11" TargetMode="External"/><Relationship Id="rId141" Type="http://schemas.openxmlformats.org/officeDocument/2006/relationships/image" Target="media/image3.png"/><Relationship Id="rId379" Type="http://schemas.openxmlformats.org/officeDocument/2006/relationships/oleObject" Target="embeddings/oleObject66.bin"/><Relationship Id="rId7" Type="http://schemas.openxmlformats.org/officeDocument/2006/relationships/hyperlink" Target="https://doi.org/10.32837/11300.27539" TargetMode="External"/><Relationship Id="rId183" Type="http://schemas.openxmlformats.org/officeDocument/2006/relationships/image" Target="media/image17.png"/><Relationship Id="rId239" Type="http://schemas.openxmlformats.org/officeDocument/2006/relationships/hyperlink" Target="http://surl.li/rarsb" TargetMode="External"/><Relationship Id="rId390" Type="http://schemas.openxmlformats.org/officeDocument/2006/relationships/image" Target="media/image89.wmf"/><Relationship Id="rId404" Type="http://schemas.openxmlformats.org/officeDocument/2006/relationships/image" Target="media/image96.wmf"/><Relationship Id="rId446" Type="http://schemas.openxmlformats.org/officeDocument/2006/relationships/hyperlink" Target="https://uk.wikivoyage.org/wiki/%D0%A2%D0%B5%D1%80%D0%BD%D0%BE%D0%BF%D1%96%D0%BB%D1%8C%D1%81%D1%8C%D0%BA%D0%B0_%D0%BE%D0%B1%D0%BB%D0%B0%D1%81%D1%82%D1%8C" TargetMode="External"/><Relationship Id="rId250" Type="http://schemas.openxmlformats.org/officeDocument/2006/relationships/hyperlink" Target="http://bludn.blogspot.com/p/blog-page_8.html" TargetMode="External"/><Relationship Id="rId292" Type="http://schemas.openxmlformats.org/officeDocument/2006/relationships/oleObject" Target="embeddings/oleObject22.bin"/><Relationship Id="rId306" Type="http://schemas.openxmlformats.org/officeDocument/2006/relationships/oleObject" Target="embeddings/oleObject29.bin"/><Relationship Id="rId488" Type="http://schemas.openxmlformats.org/officeDocument/2006/relationships/hyperlink" Target="https://towardsdatascience.com/how-to-use-monte-carlo-simulation-to-help-decision-making-a0a164bc8619" TargetMode="External"/><Relationship Id="rId45" Type="http://schemas.openxmlformats.org/officeDocument/2006/relationships/hyperlink" Target="https://doi.org/10.1002/1099-050X(200024)39:43.0.CO;2-C" TargetMode="External"/><Relationship Id="rId87" Type="http://schemas.openxmlformats.org/officeDocument/2006/relationships/hyperlink" Target="https://doi.org/10.3303/CET1870086" TargetMode="External"/><Relationship Id="rId110" Type="http://schemas.openxmlformats.org/officeDocument/2006/relationships/diagramQuickStyle" Target="diagrams/quickStyle4.xml"/><Relationship Id="rId348" Type="http://schemas.openxmlformats.org/officeDocument/2006/relationships/image" Target="media/image68.wmf"/><Relationship Id="rId152" Type="http://schemas.openxmlformats.org/officeDocument/2006/relationships/image" Target="media/image7.wmf"/><Relationship Id="rId194" Type="http://schemas.openxmlformats.org/officeDocument/2006/relationships/chart" Target="charts/chart20.xml"/><Relationship Id="rId208" Type="http://schemas.openxmlformats.org/officeDocument/2006/relationships/hyperlink" Target="http://nbuv.gov.ua/UJRN/Tippp_2022_2_7" TargetMode="External"/><Relationship Id="rId415" Type="http://schemas.openxmlformats.org/officeDocument/2006/relationships/oleObject" Target="embeddings/oleObject84.bin"/><Relationship Id="rId457" Type="http://schemas.openxmlformats.org/officeDocument/2006/relationships/chart" Target="charts/chart44.xml"/><Relationship Id="rId261" Type="http://schemas.openxmlformats.org/officeDocument/2006/relationships/hyperlink" Target="https://www.ihg.com/holidayinn/hotels/ru/ru/kiev/kbpuk/hoteldetail" TargetMode="External"/><Relationship Id="rId14" Type="http://schemas.openxmlformats.org/officeDocument/2006/relationships/hyperlink" Target="http://zakon1.rada.gov.ua/cgi-bin/laws/main.cgi?nreg=2464-17" TargetMode="External"/><Relationship Id="rId56" Type="http://schemas.openxmlformats.org/officeDocument/2006/relationships/hyperlink" Target="https://irep.ntu.ac.uk/6273/" TargetMode="External"/><Relationship Id="rId317" Type="http://schemas.openxmlformats.org/officeDocument/2006/relationships/image" Target="media/image53.wmf"/><Relationship Id="rId359" Type="http://schemas.openxmlformats.org/officeDocument/2006/relationships/oleObject" Target="embeddings/oleObject56.bin"/><Relationship Id="rId98" Type="http://schemas.openxmlformats.org/officeDocument/2006/relationships/diagramData" Target="diagrams/data2.xml"/><Relationship Id="rId121" Type="http://schemas.openxmlformats.org/officeDocument/2006/relationships/diagramColors" Target="diagrams/colors6.xml"/><Relationship Id="rId163" Type="http://schemas.openxmlformats.org/officeDocument/2006/relationships/oleObject" Target="embeddings/oleObject10.bin"/><Relationship Id="rId219" Type="http://schemas.openxmlformats.org/officeDocument/2006/relationships/diagramColors" Target="diagrams/colors9.xml"/><Relationship Id="rId370" Type="http://schemas.openxmlformats.org/officeDocument/2006/relationships/image" Target="media/image79.wmf"/><Relationship Id="rId426" Type="http://schemas.openxmlformats.org/officeDocument/2006/relationships/chart" Target="charts/chart30.xml"/><Relationship Id="rId230" Type="http://schemas.openxmlformats.org/officeDocument/2006/relationships/chart" Target="charts/chart27.xml"/><Relationship Id="rId468" Type="http://schemas.openxmlformats.org/officeDocument/2006/relationships/hyperlink" Target="https://data.worldbank.org/indicator/ST.INT.TRNX.CD" TargetMode="External"/><Relationship Id="rId25" Type="http://schemas.openxmlformats.org/officeDocument/2006/relationships/hyperlink" Target="https://management-journal.org.ua/index.php/journal/article/view/63" TargetMode="External"/><Relationship Id="rId67" Type="http://schemas.openxmlformats.org/officeDocument/2006/relationships/chart" Target="charts/chart11.xml"/><Relationship Id="rId272" Type="http://schemas.openxmlformats.org/officeDocument/2006/relationships/oleObject" Target="embeddings/oleObject12.bin"/><Relationship Id="rId328" Type="http://schemas.openxmlformats.org/officeDocument/2006/relationships/oleObject" Target="embeddings/oleObject40.bin"/><Relationship Id="rId132" Type="http://schemas.microsoft.com/office/2007/relationships/diagramDrawing" Target="diagrams/drawing8.xml"/><Relationship Id="rId174" Type="http://schemas.openxmlformats.org/officeDocument/2006/relationships/hyperlink" Target="http://nbuv.gov.ua/UJRN/eui_2011_2_20" TargetMode="External"/><Relationship Id="rId381" Type="http://schemas.openxmlformats.org/officeDocument/2006/relationships/oleObject" Target="embeddings/oleObject67.bin"/><Relationship Id="rId241" Type="http://schemas.openxmlformats.org/officeDocument/2006/relationships/hyperlink" Target="http://surl.li/rarul" TargetMode="External"/><Relationship Id="rId437" Type="http://schemas.openxmlformats.org/officeDocument/2006/relationships/chart" Target="charts/chart41.xml"/><Relationship Id="rId479" Type="http://schemas.openxmlformats.org/officeDocument/2006/relationships/image" Target="media/image109.png"/><Relationship Id="rId36" Type="http://schemas.openxmlformats.org/officeDocument/2006/relationships/hyperlink" Target="https://mautic.appau.org.ua/asset/42:strategia-rozvitku-4-0-v3pdf" TargetMode="External"/><Relationship Id="rId283" Type="http://schemas.openxmlformats.org/officeDocument/2006/relationships/image" Target="media/image36.wmf"/><Relationship Id="rId339" Type="http://schemas.openxmlformats.org/officeDocument/2006/relationships/image" Target="media/image64.wmf"/><Relationship Id="rId490" Type="http://schemas.openxmlformats.org/officeDocument/2006/relationships/hyperlink" Target="https://www.researchgate.net/publication/369452739_&#1052;ethods_for_decision-making_under_conditions_of_uncertainty_and_risk" TargetMode="External"/><Relationship Id="rId78" Type="http://schemas.openxmlformats.org/officeDocument/2006/relationships/hyperlink" Target="https://doi.org/10.1016/j.jclepro.2020.125117" TargetMode="External"/><Relationship Id="rId101" Type="http://schemas.openxmlformats.org/officeDocument/2006/relationships/diagramColors" Target="diagrams/colors2.xml"/><Relationship Id="rId143" Type="http://schemas.openxmlformats.org/officeDocument/2006/relationships/chart" Target="charts/chart14.xml"/><Relationship Id="rId185" Type="http://schemas.openxmlformats.org/officeDocument/2006/relationships/image" Target="media/image19.png"/><Relationship Id="rId350" Type="http://schemas.openxmlformats.org/officeDocument/2006/relationships/image" Target="media/image69.wmf"/><Relationship Id="rId406" Type="http://schemas.openxmlformats.org/officeDocument/2006/relationships/image" Target="media/image97.wmf"/><Relationship Id="rId9" Type="http://schemas.openxmlformats.org/officeDocument/2006/relationships/oleObject" Target="embeddings/oleObject1.bin"/><Relationship Id="rId210" Type="http://schemas.openxmlformats.org/officeDocument/2006/relationships/hyperlink" Target="https://tourlib.net/statti_ukr/kyfjak5.htm" TargetMode="External"/><Relationship Id="rId392" Type="http://schemas.openxmlformats.org/officeDocument/2006/relationships/image" Target="media/image90.wmf"/><Relationship Id="rId448" Type="http://schemas.openxmlformats.org/officeDocument/2006/relationships/hyperlink" Target="https://uk.wikivoyage.org/wiki/%D0%9F%D0%BE%D0%BB%D1%82%D0%B0%D0%B2%D1%81%D1%8C%D0%BA%D0%B0_%D0%BE%D0%B1%D0%BB%D0%B0%D1%81%D1%82%D1%8C" TargetMode="External"/><Relationship Id="rId252" Type="http://schemas.openxmlformats.org/officeDocument/2006/relationships/hyperlink" Target="https://doi.org/10.36477/tourismhospcee-5-12" TargetMode="External"/><Relationship Id="rId294" Type="http://schemas.openxmlformats.org/officeDocument/2006/relationships/oleObject" Target="embeddings/oleObject23.bin"/><Relationship Id="rId308" Type="http://schemas.openxmlformats.org/officeDocument/2006/relationships/oleObject" Target="embeddings/oleObject30.bin"/><Relationship Id="rId47" Type="http://schemas.openxmlformats.org/officeDocument/2006/relationships/hyperlink" Target="https://doi.org/10.1108/13620431011066231" TargetMode="External"/><Relationship Id="rId89" Type="http://schemas.openxmlformats.org/officeDocument/2006/relationships/hyperlink" Target="https://www.wri.org/" TargetMode="External"/><Relationship Id="rId112" Type="http://schemas.microsoft.com/office/2007/relationships/diagramDrawing" Target="diagrams/drawing4.xml"/><Relationship Id="rId154" Type="http://schemas.openxmlformats.org/officeDocument/2006/relationships/image" Target="media/image8.wmf"/><Relationship Id="rId361" Type="http://schemas.openxmlformats.org/officeDocument/2006/relationships/oleObject" Target="embeddings/oleObject57.bin"/><Relationship Id="rId196" Type="http://schemas.openxmlformats.org/officeDocument/2006/relationships/hyperlink" Target="http://nbuv.gov.ua/UJRN/VSUNU_2013_16_44" TargetMode="External"/><Relationship Id="rId417" Type="http://schemas.openxmlformats.org/officeDocument/2006/relationships/oleObject" Target="embeddings/oleObject85.bin"/><Relationship Id="rId459" Type="http://schemas.openxmlformats.org/officeDocument/2006/relationships/hyperlink" Target="URL:http://ekhsuir.kspu.edu/bitstream/handle/" TargetMode="External"/><Relationship Id="rId16" Type="http://schemas.openxmlformats.org/officeDocument/2006/relationships/hyperlink" Target="https://economyandsociety.in.ua/index.php/journal/article/view/1461/1406" TargetMode="External"/><Relationship Id="rId221" Type="http://schemas.openxmlformats.org/officeDocument/2006/relationships/image" Target="media/image26.gif"/><Relationship Id="rId263" Type="http://schemas.openxmlformats.org/officeDocument/2006/relationships/hyperlink" Target="https://blacksea-hotels/com" TargetMode="External"/><Relationship Id="rId319" Type="http://schemas.openxmlformats.org/officeDocument/2006/relationships/image" Target="media/image54.wmf"/><Relationship Id="rId470" Type="http://schemas.openxmlformats.org/officeDocument/2006/relationships/hyperlink" Target="https://data.worldbank.org/indicator/ST.INT.RCPT.XP" TargetMode="External"/><Relationship Id="rId58" Type="http://schemas.openxmlformats.org/officeDocument/2006/relationships/hyperlink" Target="http://dx.doi.org/10.1108/14754390980000998" TargetMode="External"/><Relationship Id="rId123" Type="http://schemas.openxmlformats.org/officeDocument/2006/relationships/diagramData" Target="diagrams/data7.xml"/><Relationship Id="rId330" Type="http://schemas.openxmlformats.org/officeDocument/2006/relationships/oleObject" Target="embeddings/oleObject41.bin"/><Relationship Id="rId165" Type="http://schemas.openxmlformats.org/officeDocument/2006/relationships/oleObject" Target="embeddings/oleObject11.bin"/><Relationship Id="rId372" Type="http://schemas.openxmlformats.org/officeDocument/2006/relationships/image" Target="media/image80.wmf"/><Relationship Id="rId428" Type="http://schemas.openxmlformats.org/officeDocument/2006/relationships/chart" Target="charts/chart32.xml"/><Relationship Id="rId232" Type="http://schemas.openxmlformats.org/officeDocument/2006/relationships/image" Target="media/image29.jpeg"/><Relationship Id="rId274" Type="http://schemas.openxmlformats.org/officeDocument/2006/relationships/oleObject" Target="embeddings/oleObject13.bin"/><Relationship Id="rId481" Type="http://schemas.openxmlformats.org/officeDocument/2006/relationships/image" Target="media/image111.png"/><Relationship Id="rId27" Type="http://schemas.openxmlformats.org/officeDocument/2006/relationships/hyperlink" Target="https://zakon.rada.gov.ua/laws/show/2136-20" TargetMode="External"/><Relationship Id="rId69" Type="http://schemas.openxmlformats.org/officeDocument/2006/relationships/hyperlink" Target="https://www.unfpa.org/data/world-populationdashboard" TargetMode="External"/><Relationship Id="rId134" Type="http://schemas.openxmlformats.org/officeDocument/2006/relationships/hyperlink" Target="http://surl.li/hvbhh" TargetMode="External"/><Relationship Id="rId80" Type="http://schemas.openxmlformats.org/officeDocument/2006/relationships/hyperlink" Target="https://doi.org/10.1002/2016EF000518" TargetMode="External"/><Relationship Id="rId176" Type="http://schemas.openxmlformats.org/officeDocument/2006/relationships/hyperlink" Target="http://www.ukrstat.gov.ua" TargetMode="External"/><Relationship Id="rId341" Type="http://schemas.openxmlformats.org/officeDocument/2006/relationships/oleObject" Target="embeddings/oleObject47.bin"/><Relationship Id="rId383" Type="http://schemas.openxmlformats.org/officeDocument/2006/relationships/oleObject" Target="embeddings/oleObject68.bin"/><Relationship Id="rId439" Type="http://schemas.openxmlformats.org/officeDocument/2006/relationships/hyperlink" Target="https://uk.wikivoyage.org/wiki/%D0%9A%D0%B8%D1%97%D0%B2" TargetMode="External"/><Relationship Id="rId201" Type="http://schemas.openxmlformats.org/officeDocument/2006/relationships/hyperlink" Target="http://nbuv.gov.ua/UJRN/esprstp_2012_1%282%29__34" TargetMode="External"/><Relationship Id="rId243" Type="http://schemas.openxmlformats.org/officeDocument/2006/relationships/hyperlink" Target="http://www.smart-edu.com" TargetMode="External"/><Relationship Id="rId285" Type="http://schemas.openxmlformats.org/officeDocument/2006/relationships/image" Target="media/image37.wmf"/><Relationship Id="rId450" Type="http://schemas.openxmlformats.org/officeDocument/2006/relationships/hyperlink" Target="https://uk.wikivoyage.org/wiki/%D0%92%D1%96%D0%BD%D0%BD%D0%B8%D1%86%D1%8C%D0%BA%D0%B0_%D0%BE%D0%B1%D0%BB%D0%B0%D1%81%D1%82%D1%8C" TargetMode="External"/><Relationship Id="rId38" Type="http://schemas.openxmlformats.org/officeDocument/2006/relationships/hyperlink" Target="https://strategy.uifuture.org/kraina-z-rozvinutoyu-cifrovoyu-ekonomikoyu.html" TargetMode="External"/><Relationship Id="rId103" Type="http://schemas.openxmlformats.org/officeDocument/2006/relationships/diagramData" Target="diagrams/data3.xml"/><Relationship Id="rId310" Type="http://schemas.openxmlformats.org/officeDocument/2006/relationships/oleObject" Target="embeddings/oleObject31.bin"/><Relationship Id="rId492" Type="http://schemas.openxmlformats.org/officeDocument/2006/relationships/footer" Target="footer1.xml"/><Relationship Id="rId91" Type="http://schemas.openxmlformats.org/officeDocument/2006/relationships/hyperlink" Target="https://www.iso.org/standard/59521.html" TargetMode="External"/><Relationship Id="rId145" Type="http://schemas.openxmlformats.org/officeDocument/2006/relationships/chart" Target="charts/chart16.xml"/><Relationship Id="rId187" Type="http://schemas.openxmlformats.org/officeDocument/2006/relationships/image" Target="media/image21.png"/><Relationship Id="rId352" Type="http://schemas.openxmlformats.org/officeDocument/2006/relationships/image" Target="media/image70.wmf"/><Relationship Id="rId394" Type="http://schemas.openxmlformats.org/officeDocument/2006/relationships/image" Target="media/image91.wmf"/><Relationship Id="rId408" Type="http://schemas.openxmlformats.org/officeDocument/2006/relationships/image" Target="media/image98.wmf"/><Relationship Id="rId212" Type="http://schemas.openxmlformats.org/officeDocument/2006/relationships/hyperlink" Target="http://surl.li/mmegz" TargetMode="External"/><Relationship Id="rId254" Type="http://schemas.openxmlformats.org/officeDocument/2006/relationships/hyperlink" Target="https://doi.org/10.30525/2256-0742/2023-9-2-104-109" TargetMode="External"/><Relationship Id="rId49" Type="http://schemas.openxmlformats.org/officeDocument/2006/relationships/hyperlink" Target="https://scholar.google.com.ua/scholar?oi=bibs&amp;cluster=12246698183378328230&amp;btnI=1&amp;hl=ru" TargetMode="External"/><Relationship Id="rId114" Type="http://schemas.openxmlformats.org/officeDocument/2006/relationships/diagramLayout" Target="diagrams/layout5.xml"/><Relationship Id="rId296" Type="http://schemas.openxmlformats.org/officeDocument/2006/relationships/oleObject" Target="embeddings/oleObject24.bin"/><Relationship Id="rId461" Type="http://schemas.openxmlformats.org/officeDocument/2006/relationships/hyperlink" Target="https://www.scopus.com/authid/detail.uri?authorId=57219630365" TargetMode="External"/><Relationship Id="rId60" Type="http://schemas.openxmlformats.org/officeDocument/2006/relationships/chart" Target="charts/chart4.xml"/><Relationship Id="rId156" Type="http://schemas.openxmlformats.org/officeDocument/2006/relationships/oleObject" Target="embeddings/oleObject7.bin"/><Relationship Id="rId198" Type="http://schemas.openxmlformats.org/officeDocument/2006/relationships/hyperlink" Target="http://nbuv.gov.ua/UJRN/ecan_2013_12(1)__47" TargetMode="External"/><Relationship Id="rId321" Type="http://schemas.openxmlformats.org/officeDocument/2006/relationships/image" Target="media/image55.wmf"/><Relationship Id="rId363" Type="http://schemas.openxmlformats.org/officeDocument/2006/relationships/oleObject" Target="embeddings/oleObject58.bin"/><Relationship Id="rId419" Type="http://schemas.openxmlformats.org/officeDocument/2006/relationships/oleObject" Target="embeddings/oleObject86.bin"/><Relationship Id="rId223" Type="http://schemas.openxmlformats.org/officeDocument/2006/relationships/image" Target="media/image28.jpeg"/><Relationship Id="rId430" Type="http://schemas.openxmlformats.org/officeDocument/2006/relationships/chart" Target="charts/chart34.xml"/><Relationship Id="rId18" Type="http://schemas.openxmlformats.org/officeDocument/2006/relationships/chart" Target="charts/chart2.xml"/><Relationship Id="rId265" Type="http://schemas.openxmlformats.org/officeDocument/2006/relationships/hyperlink" Target="https://reikartz.com/uk/" TargetMode="External"/><Relationship Id="rId472" Type="http://schemas.openxmlformats.org/officeDocument/2006/relationships/hyperlink" Target="https://webunwto.s3.eu-west1.amazonaws.com/s3fs-public/2022" TargetMode="External"/><Relationship Id="rId125" Type="http://schemas.openxmlformats.org/officeDocument/2006/relationships/diagramQuickStyle" Target="diagrams/quickStyle7.xml"/><Relationship Id="rId167" Type="http://schemas.openxmlformats.org/officeDocument/2006/relationships/hyperlink" Target="https://doi.org/10.31521/modecon.V39(2023)-24" TargetMode="External"/><Relationship Id="rId332" Type="http://schemas.openxmlformats.org/officeDocument/2006/relationships/oleObject" Target="embeddings/oleObject42.bin"/><Relationship Id="rId374" Type="http://schemas.openxmlformats.org/officeDocument/2006/relationships/image" Target="media/image81.wmf"/><Relationship Id="rId71" Type="http://schemas.openxmlformats.org/officeDocument/2006/relationships/hyperlink" Target="https://portals.iucn.org/library/dir/publications-list?field_pub_organization_tid=%22IUCN%20Global%20Ecosystem%20Management%20Programme%22" TargetMode="External"/><Relationship Id="rId234" Type="http://schemas.openxmlformats.org/officeDocument/2006/relationships/hyperlink" Target="http://surl.li/rarop" TargetMode="External"/><Relationship Id="rId2" Type="http://schemas.openxmlformats.org/officeDocument/2006/relationships/styles" Target="styles.xml"/><Relationship Id="rId29" Type="http://schemas.openxmlformats.org/officeDocument/2006/relationships/hyperlink" Target="http://nbuv.gov.ua/UJRN/binf_2013_9_34" TargetMode="External"/><Relationship Id="rId276" Type="http://schemas.openxmlformats.org/officeDocument/2006/relationships/oleObject" Target="embeddings/oleObject14.bin"/><Relationship Id="rId441" Type="http://schemas.openxmlformats.org/officeDocument/2006/relationships/hyperlink" Target="https://uk.wikivoyage.org/wiki/%D0%9A%D0%B8%D1%97%D0%B2%D1%81%D1%8C%D0%BA%D0%B0_%D0%BE%D0%B1%D0%BB%D0%B0%D1%81%D1%82%D1%8C" TargetMode="External"/><Relationship Id="rId483" Type="http://schemas.openxmlformats.org/officeDocument/2006/relationships/image" Target="media/image113.png"/><Relationship Id="rId40" Type="http://schemas.openxmlformats.org/officeDocument/2006/relationships/hyperlink" Target="https://joint-research-centre.ec.europa.eu/scientific-activities-z/digital-economy_en" TargetMode="External"/><Relationship Id="rId136" Type="http://schemas.openxmlformats.org/officeDocument/2006/relationships/hyperlink" Target="http://surl.li/iqmth" TargetMode="External"/><Relationship Id="rId178" Type="http://schemas.openxmlformats.org/officeDocument/2006/relationships/hyperlink" Target="https://uk.recrutement-asicsystem.com/4291261-portfolio-theory-markowitz-themethod-of-forming-the-investment-portfolio" TargetMode="External"/><Relationship Id="rId301" Type="http://schemas.openxmlformats.org/officeDocument/2006/relationships/image" Target="media/image45.wmf"/><Relationship Id="rId343" Type="http://schemas.openxmlformats.org/officeDocument/2006/relationships/oleObject" Target="embeddings/oleObject48.bin"/><Relationship Id="rId82" Type="http://schemas.openxmlformats.org/officeDocument/2006/relationships/hyperlink" Target="https://doi.org/10.1016/j.scitotenv.2021.148230" TargetMode="External"/><Relationship Id="rId203" Type="http://schemas.openxmlformats.org/officeDocument/2006/relationships/hyperlink" Target="http://nbuv.gov.ua/UJRN/frvu_2016_5_19" TargetMode="External"/><Relationship Id="rId385" Type="http://schemas.openxmlformats.org/officeDocument/2006/relationships/oleObject" Target="embeddings/oleObject69.bin"/><Relationship Id="rId245" Type="http://schemas.openxmlformats.org/officeDocument/2006/relationships/hyperlink" Target="https://www.staff.ua/uk/blog/shedovinh-abo-robota-z-tiniu" TargetMode="External"/><Relationship Id="rId287" Type="http://schemas.openxmlformats.org/officeDocument/2006/relationships/image" Target="media/image38.wmf"/><Relationship Id="rId410" Type="http://schemas.openxmlformats.org/officeDocument/2006/relationships/image" Target="media/image99.wmf"/><Relationship Id="rId452" Type="http://schemas.openxmlformats.org/officeDocument/2006/relationships/hyperlink" Target="https://uk.wikivoyage.org/wiki/%D0%92%D0%BE%D0%BB%D0%B8%D0%BD%D1%81%D1%8C%D0%BA%D0%B0_%D0%BE%D0%B1%D0%BB%D0%B0%D1%81%D1%82%D1%8C" TargetMode="External"/><Relationship Id="rId494" Type="http://schemas.openxmlformats.org/officeDocument/2006/relationships/theme" Target="theme/theme1.xml"/><Relationship Id="rId105" Type="http://schemas.openxmlformats.org/officeDocument/2006/relationships/diagramQuickStyle" Target="diagrams/quickStyle3.xml"/><Relationship Id="rId147" Type="http://schemas.openxmlformats.org/officeDocument/2006/relationships/oleObject" Target="embeddings/oleObject2.bin"/><Relationship Id="rId312" Type="http://schemas.openxmlformats.org/officeDocument/2006/relationships/oleObject" Target="embeddings/oleObject32.bin"/><Relationship Id="rId354" Type="http://schemas.openxmlformats.org/officeDocument/2006/relationships/image" Target="media/image71.wmf"/><Relationship Id="rId51" Type="http://schemas.openxmlformats.org/officeDocument/2006/relationships/hyperlink" Target="https://doi.org/10.1080/095851998340937" TargetMode="External"/><Relationship Id="rId93" Type="http://schemas.openxmlformats.org/officeDocument/2006/relationships/diagramData" Target="diagrams/data1.xml"/><Relationship Id="rId189" Type="http://schemas.openxmlformats.org/officeDocument/2006/relationships/image" Target="media/image22.png"/><Relationship Id="rId396" Type="http://schemas.openxmlformats.org/officeDocument/2006/relationships/image" Target="media/image92.wmf"/><Relationship Id="rId214" Type="http://schemas.openxmlformats.org/officeDocument/2006/relationships/hyperlink" Target="http://surl.li/ngcgl" TargetMode="External"/><Relationship Id="rId256" Type="http://schemas.openxmlformats.org/officeDocument/2006/relationships/hyperlink" Target="https://doi.org/10.18371/fcaptp.v3i38.237477" TargetMode="External"/><Relationship Id="rId298" Type="http://schemas.openxmlformats.org/officeDocument/2006/relationships/oleObject" Target="embeddings/oleObject25.bin"/><Relationship Id="rId421" Type="http://schemas.openxmlformats.org/officeDocument/2006/relationships/oleObject" Target="embeddings/oleObject87.bin"/><Relationship Id="rId463" Type="http://schemas.openxmlformats.org/officeDocument/2006/relationships/hyperlink" Target="http://www.ukrstat.gov.ua/operativ/operativ2007/tyr/tyr_u/potoki2006_u.htm" TargetMode="External"/><Relationship Id="rId116" Type="http://schemas.openxmlformats.org/officeDocument/2006/relationships/diagramColors" Target="diagrams/colors5.xml"/><Relationship Id="rId158" Type="http://schemas.openxmlformats.org/officeDocument/2006/relationships/image" Target="media/image9.wmf"/><Relationship Id="rId323" Type="http://schemas.openxmlformats.org/officeDocument/2006/relationships/image" Target="media/image56.wmf"/><Relationship Id="rId20" Type="http://schemas.openxmlformats.org/officeDocument/2006/relationships/hyperlink" Target="http://surl.li/ralob" TargetMode="External"/><Relationship Id="rId62" Type="http://schemas.openxmlformats.org/officeDocument/2006/relationships/chart" Target="charts/chart6.xml"/><Relationship Id="rId365" Type="http://schemas.openxmlformats.org/officeDocument/2006/relationships/oleObject" Target="embeddings/oleObject59.bin"/><Relationship Id="rId190" Type="http://schemas.openxmlformats.org/officeDocument/2006/relationships/image" Target="media/image23.png"/><Relationship Id="rId204" Type="http://schemas.openxmlformats.org/officeDocument/2006/relationships/hyperlink" Target="http://nbuv.gov.ua/UJRN/VSUNU_2013_16_44" TargetMode="External"/><Relationship Id="rId225" Type="http://schemas.openxmlformats.org/officeDocument/2006/relationships/chart" Target="charts/chart22.xml"/><Relationship Id="rId246" Type="http://schemas.openxmlformats.org/officeDocument/2006/relationships/hyperlink" Target="http://4ua.co.ua/management/ra3bd69a5c53b89521206d27_0.html" TargetMode="External"/><Relationship Id="rId267" Type="http://schemas.openxmlformats.org/officeDocument/2006/relationships/hyperlink" Target="https://dspace.uzhnu.edu.ua/jspui/handle/lib/10747" TargetMode="External"/><Relationship Id="rId288" Type="http://schemas.openxmlformats.org/officeDocument/2006/relationships/oleObject" Target="embeddings/oleObject20.bin"/><Relationship Id="rId411" Type="http://schemas.openxmlformats.org/officeDocument/2006/relationships/oleObject" Target="embeddings/oleObject82.bin"/><Relationship Id="rId432" Type="http://schemas.openxmlformats.org/officeDocument/2006/relationships/chart" Target="charts/chart36.xml"/><Relationship Id="rId453" Type="http://schemas.openxmlformats.org/officeDocument/2006/relationships/hyperlink" Target="https://uk.wikivoyage.org/wiki/%D0%97%D0%B0%D0%BA%D0%B0%D1%80%D0%BF%D0%B0%D1%82%D1%81%D1%8C%D0%BA%D0%B0_%D0%BE%D0%B1%D0%BB%D0%B0%D1%81%D1%82%D1%8C" TargetMode="External"/><Relationship Id="rId474" Type="http://schemas.openxmlformats.org/officeDocument/2006/relationships/hyperlink" Target="https://www.unstats.un.org/unsd/publication/Series/F" TargetMode="External"/><Relationship Id="rId106" Type="http://schemas.openxmlformats.org/officeDocument/2006/relationships/diagramColors" Target="diagrams/colors3.xml"/><Relationship Id="rId127" Type="http://schemas.microsoft.com/office/2007/relationships/diagramDrawing" Target="diagrams/drawing7.xml"/><Relationship Id="rId313" Type="http://schemas.openxmlformats.org/officeDocument/2006/relationships/image" Target="media/image51.wmf"/><Relationship Id="rId10" Type="http://schemas.openxmlformats.org/officeDocument/2006/relationships/hyperlink" Target="https://zakon.rada.gov.ua/laws/show/108/95-%D0%B2%D1%80" TargetMode="External"/><Relationship Id="rId31" Type="http://schemas.openxmlformats.org/officeDocument/2006/relationships/hyperlink" Target="https://zakon.rada.gov.ua/laws/show/167-2021-%D1%80" TargetMode="External"/><Relationship Id="rId52" Type="http://schemas.openxmlformats.org/officeDocument/2006/relationships/hyperlink" Target="https://doi.org/10.1108/978-1-80117-834-120221001" TargetMode="External"/><Relationship Id="rId73" Type="http://schemas.openxmlformats.org/officeDocument/2006/relationships/hyperlink" Target="https://doi.org/10.3303/CET1870086" TargetMode="External"/><Relationship Id="rId94" Type="http://schemas.openxmlformats.org/officeDocument/2006/relationships/diagramLayout" Target="diagrams/layout1.xml"/><Relationship Id="rId148" Type="http://schemas.openxmlformats.org/officeDocument/2006/relationships/image" Target="media/image5.wmf"/><Relationship Id="rId169" Type="http://schemas.openxmlformats.org/officeDocument/2006/relationships/hyperlink" Target="https://doi.org/10.1016/j.heliyon.2023.e15642" TargetMode="External"/><Relationship Id="rId334" Type="http://schemas.openxmlformats.org/officeDocument/2006/relationships/oleObject" Target="embeddings/oleObject43.bin"/><Relationship Id="rId355" Type="http://schemas.openxmlformats.org/officeDocument/2006/relationships/oleObject" Target="embeddings/oleObject54.bin"/><Relationship Id="rId376" Type="http://schemas.openxmlformats.org/officeDocument/2006/relationships/image" Target="media/image82.wmf"/><Relationship Id="rId397" Type="http://schemas.openxmlformats.org/officeDocument/2006/relationships/oleObject" Target="embeddings/oleObject75.bin"/><Relationship Id="rId4" Type="http://schemas.openxmlformats.org/officeDocument/2006/relationships/webSettings" Target="webSettings.xml"/><Relationship Id="rId180" Type="http://schemas.openxmlformats.org/officeDocument/2006/relationships/image" Target="media/image14.png"/><Relationship Id="rId215" Type="http://schemas.openxmlformats.org/officeDocument/2006/relationships/hyperlink" Target="http://surl.li/rarbq" TargetMode="External"/><Relationship Id="rId236" Type="http://schemas.openxmlformats.org/officeDocument/2006/relationships/hyperlink" Target="https://ips.ligazakon.net/document/DG080606" TargetMode="External"/><Relationship Id="rId257" Type="http://schemas.openxmlformats.org/officeDocument/2006/relationships/hyperlink" Target="https://zakon.rada.gov.ua/laws/main/40-15" TargetMode="External"/><Relationship Id="rId278" Type="http://schemas.openxmlformats.org/officeDocument/2006/relationships/oleObject" Target="embeddings/oleObject15.bin"/><Relationship Id="rId401" Type="http://schemas.openxmlformats.org/officeDocument/2006/relationships/oleObject" Target="embeddings/oleObject77.bin"/><Relationship Id="rId422" Type="http://schemas.openxmlformats.org/officeDocument/2006/relationships/oleObject" Target="embeddings/oleObject88.bin"/><Relationship Id="rId443" Type="http://schemas.openxmlformats.org/officeDocument/2006/relationships/hyperlink" Target="https://uk.wikivoyage.org/wiki/%D0%A7%D0%B5%D1%80%D0%BD%D1%96%D0%B3%D1%96%D0%B2%D1%81%D1%8C%D0%BA%D0%B0_%D0%BE%D0%B1%D0%BB%D0%B0%D1%81%D1%82%D1%8C" TargetMode="External"/><Relationship Id="rId464" Type="http://schemas.openxmlformats.org/officeDocument/2006/relationships/hyperlink" Target="https://www.unwto.org/unwto-tourism-dashboard" TargetMode="External"/><Relationship Id="rId303" Type="http://schemas.openxmlformats.org/officeDocument/2006/relationships/image" Target="media/image46.wmf"/><Relationship Id="rId485" Type="http://schemas.openxmlformats.org/officeDocument/2006/relationships/image" Target="media/image115.png"/><Relationship Id="rId42" Type="http://schemas.openxmlformats.org/officeDocument/2006/relationships/hyperlink" Target="https://diia.gov.ua/" TargetMode="External"/><Relationship Id="rId84" Type="http://schemas.openxmlformats.org/officeDocument/2006/relationships/hyperlink" Target="https://doi.org/10.1061/(asce)wr.1943-5452.0000984" TargetMode="External"/><Relationship Id="rId138" Type="http://schemas.openxmlformats.org/officeDocument/2006/relationships/hyperlink" Target="https://social-science.uu.edu.ua/article/695" TargetMode="External"/><Relationship Id="rId345" Type="http://schemas.openxmlformats.org/officeDocument/2006/relationships/oleObject" Target="embeddings/oleObject49.bin"/><Relationship Id="rId387" Type="http://schemas.openxmlformats.org/officeDocument/2006/relationships/oleObject" Target="embeddings/oleObject70.bin"/><Relationship Id="rId191" Type="http://schemas.openxmlformats.org/officeDocument/2006/relationships/image" Target="media/image24.png"/><Relationship Id="rId205" Type="http://schemas.openxmlformats.org/officeDocument/2006/relationships/hyperlink" Target="https://doi.org/10.30892/gtg.23316-330" TargetMode="External"/><Relationship Id="rId247" Type="http://schemas.openxmlformats.org/officeDocument/2006/relationships/hyperlink" Target="https://stud.com.ua/136628/psihologiya/navchannya_diyeyu_action_learning" TargetMode="External"/><Relationship Id="rId412" Type="http://schemas.openxmlformats.org/officeDocument/2006/relationships/image" Target="media/image100.wmf"/><Relationship Id="rId107" Type="http://schemas.microsoft.com/office/2007/relationships/diagramDrawing" Target="diagrams/drawing3.xml"/><Relationship Id="rId289" Type="http://schemas.openxmlformats.org/officeDocument/2006/relationships/image" Target="media/image39.wmf"/><Relationship Id="rId454" Type="http://schemas.openxmlformats.org/officeDocument/2006/relationships/hyperlink" Target="https://uk.wikivoyage.org/wiki/%D0%A0%D1%96%D0%B2%D0%BD%D0%B5%D0%BD%D1%81%D1%8C%D0%BA%D0%B0_%D0%BE%D0%B1%D0%BB%D0%B0%D1%81%D1%82%D1%8C" TargetMode="External"/><Relationship Id="rId11" Type="http://schemas.openxmlformats.org/officeDocument/2006/relationships/hyperlink" Target="https://zakon.rada.gov.ua/laws/show/322-08" TargetMode="External"/><Relationship Id="rId53" Type="http://schemas.openxmlformats.org/officeDocument/2006/relationships/hyperlink" Target="https://scholar.google.com/citations?user=Uejh3QcAAAAJ&amp;hl=ru&amp;oi=sra" TargetMode="External"/><Relationship Id="rId149" Type="http://schemas.openxmlformats.org/officeDocument/2006/relationships/oleObject" Target="embeddings/oleObject3.bin"/><Relationship Id="rId314" Type="http://schemas.openxmlformats.org/officeDocument/2006/relationships/oleObject" Target="embeddings/oleObject33.bin"/><Relationship Id="rId356" Type="http://schemas.openxmlformats.org/officeDocument/2006/relationships/image" Target="media/image72.wmf"/><Relationship Id="rId398" Type="http://schemas.openxmlformats.org/officeDocument/2006/relationships/image" Target="media/image93.wmf"/><Relationship Id="rId95" Type="http://schemas.openxmlformats.org/officeDocument/2006/relationships/diagramQuickStyle" Target="diagrams/quickStyle1.xml"/><Relationship Id="rId160" Type="http://schemas.openxmlformats.org/officeDocument/2006/relationships/image" Target="media/image10.wmf"/><Relationship Id="rId216" Type="http://schemas.openxmlformats.org/officeDocument/2006/relationships/diagramData" Target="diagrams/data9.xml"/><Relationship Id="rId423" Type="http://schemas.openxmlformats.org/officeDocument/2006/relationships/oleObject" Target="embeddings/oleObject89.bin"/><Relationship Id="rId258" Type="http://schemas.openxmlformats.org/officeDocument/2006/relationships/hyperlink" Target="https://zakon.rada.gov.ua/laws/show/168-2017-%D1%80" TargetMode="External"/><Relationship Id="rId465" Type="http://schemas.openxmlformats.org/officeDocument/2006/relationships/hyperlink" Target="https://visitukraine.today/blog/1789/" TargetMode="External"/><Relationship Id="rId22" Type="http://schemas.openxmlformats.org/officeDocument/2006/relationships/hyperlink" Target="https://www.work.ua/news/ukraine/2172/" TargetMode="External"/><Relationship Id="rId64" Type="http://schemas.openxmlformats.org/officeDocument/2006/relationships/chart" Target="charts/chart8.xml"/><Relationship Id="rId118" Type="http://schemas.openxmlformats.org/officeDocument/2006/relationships/diagramData" Target="diagrams/data6.xml"/><Relationship Id="rId325" Type="http://schemas.openxmlformats.org/officeDocument/2006/relationships/image" Target="media/image57.wmf"/><Relationship Id="rId367" Type="http://schemas.openxmlformats.org/officeDocument/2006/relationships/oleObject" Target="embeddings/oleObject60.bin"/><Relationship Id="rId171" Type="http://schemas.openxmlformats.org/officeDocument/2006/relationships/hyperlink" Target="https://doi.org/10.3390/agriculture13030616" TargetMode="External"/><Relationship Id="rId227" Type="http://schemas.openxmlformats.org/officeDocument/2006/relationships/chart" Target="charts/chart24.xml"/><Relationship Id="rId269" Type="http://schemas.openxmlformats.org/officeDocument/2006/relationships/hyperlink" Target="https://economy" TargetMode="External"/><Relationship Id="rId434" Type="http://schemas.openxmlformats.org/officeDocument/2006/relationships/chart" Target="charts/chart38.xml"/><Relationship Id="rId476" Type="http://schemas.openxmlformats.org/officeDocument/2006/relationships/image" Target="media/image106.png"/><Relationship Id="rId33" Type="http://schemas.openxmlformats.org/officeDocument/2006/relationships/hyperlink" Target="https://zakon.rada.gov.ua/laws/show/179-2021-%D0%BF" TargetMode="External"/><Relationship Id="rId129" Type="http://schemas.openxmlformats.org/officeDocument/2006/relationships/diagramLayout" Target="diagrams/layout8.xml"/><Relationship Id="rId280" Type="http://schemas.openxmlformats.org/officeDocument/2006/relationships/oleObject" Target="embeddings/oleObject16.bin"/><Relationship Id="rId336" Type="http://schemas.openxmlformats.org/officeDocument/2006/relationships/oleObject" Target="embeddings/oleObject44.bin"/><Relationship Id="rId75" Type="http://schemas.openxmlformats.org/officeDocument/2006/relationships/hyperlink" Target="file:///C:\Users\admin\Desktop\%D1%82%D0%B5%D0%BC%D0%B0\%D0%B7%D0%B5%D0%BC%D0%B5%D0%BB%D1%8C%D0%BD%D0%B8%D0%B9%20%D1%81%D0%BB%D1%96%D0%B4\FoEE_Briefing_Europe_Global_Land_Demand_1011.pdf" TargetMode="External"/><Relationship Id="rId140" Type="http://schemas.openxmlformats.org/officeDocument/2006/relationships/image" Target="media/image2.png"/><Relationship Id="rId182" Type="http://schemas.openxmlformats.org/officeDocument/2006/relationships/image" Target="media/image16.png"/><Relationship Id="rId378" Type="http://schemas.openxmlformats.org/officeDocument/2006/relationships/image" Target="media/image83.wmf"/><Relationship Id="rId403" Type="http://schemas.openxmlformats.org/officeDocument/2006/relationships/oleObject" Target="embeddings/oleObject78.bin"/><Relationship Id="rId6" Type="http://schemas.openxmlformats.org/officeDocument/2006/relationships/endnotes" Target="endnotes.xml"/><Relationship Id="rId238" Type="http://schemas.openxmlformats.org/officeDocument/2006/relationships/hyperlink" Target="https://www.sworld.com.ua/konfer37/518.pdf" TargetMode="External"/><Relationship Id="rId445" Type="http://schemas.openxmlformats.org/officeDocument/2006/relationships/hyperlink" Target="https://uk.wikivoyage.org/wiki/%D0%9B%D1%8C%D0%B2%D1%96%D0%B2%D1%81%D1%8C%D0%BA%D0%B0_%D0%BE%D0%B1%D0%BB%D0%B0%D1%81%D1%82%D1%8C" TargetMode="External"/><Relationship Id="rId487" Type="http://schemas.openxmlformats.org/officeDocument/2006/relationships/hyperlink" Target="URL:https://ua.boell.org/uk/2023/02/22/chomu-vidnovlyuvana-enerhetyka-tse-zaporuka-bezpeky-dlya-ukrayiny-pid-chas-ta-pislya" TargetMode="External"/><Relationship Id="rId291" Type="http://schemas.openxmlformats.org/officeDocument/2006/relationships/image" Target="media/image40.wmf"/><Relationship Id="rId305" Type="http://schemas.openxmlformats.org/officeDocument/2006/relationships/image" Target="media/image47.wmf"/><Relationship Id="rId347" Type="http://schemas.openxmlformats.org/officeDocument/2006/relationships/oleObject" Target="embeddings/oleObject50.bin"/><Relationship Id="rId44" Type="http://schemas.openxmlformats.org/officeDocument/2006/relationships/hyperlink" Target="http://www.economy.nayka.com.ua/pdf/1_2018/8.pdf" TargetMode="External"/><Relationship Id="rId86" Type="http://schemas.openxmlformats.org/officeDocument/2006/relationships/hyperlink" Target="https://doi.org/10.1080/0969160x.2011.593864" TargetMode="External"/><Relationship Id="rId151" Type="http://schemas.openxmlformats.org/officeDocument/2006/relationships/oleObject" Target="embeddings/oleObject4.bin"/><Relationship Id="rId389" Type="http://schemas.openxmlformats.org/officeDocument/2006/relationships/oleObject" Target="embeddings/oleObject71.bin"/><Relationship Id="rId193" Type="http://schemas.openxmlformats.org/officeDocument/2006/relationships/chart" Target="charts/chart19.xml"/><Relationship Id="rId207" Type="http://schemas.openxmlformats.org/officeDocument/2006/relationships/hyperlink" Target="http://nbuv.gov.ua/UJRN/Vnaou_2020_5_23" TargetMode="External"/><Relationship Id="rId249" Type="http://schemas.openxmlformats.org/officeDocument/2006/relationships/hyperlink" Target="https://www.facebook.com/zharovnya.na.zamku/" TargetMode="External"/><Relationship Id="rId414" Type="http://schemas.openxmlformats.org/officeDocument/2006/relationships/image" Target="media/image101.wmf"/><Relationship Id="rId456" Type="http://schemas.openxmlformats.org/officeDocument/2006/relationships/chart" Target="charts/chart43.xml"/><Relationship Id="rId13" Type="http://schemas.openxmlformats.org/officeDocument/2006/relationships/hyperlink" Target="http://zakon1.rada.gov.ua/cgi-bin/laws/main.cgi?nreg=2464-17" TargetMode="External"/><Relationship Id="rId109" Type="http://schemas.openxmlformats.org/officeDocument/2006/relationships/diagramLayout" Target="diagrams/layout4.xml"/><Relationship Id="rId260" Type="http://schemas.openxmlformats.org/officeDocument/2006/relationships/hyperlink" Target="https://economy" TargetMode="External"/><Relationship Id="rId316" Type="http://schemas.openxmlformats.org/officeDocument/2006/relationships/oleObject" Target="embeddings/oleObject34.bin"/><Relationship Id="rId55" Type="http://schemas.openxmlformats.org/officeDocument/2006/relationships/hyperlink" Target="https://scholar.google.com/citations?user=cLnVbDAAAAAJ&amp;hl=ru&amp;oi=sra" TargetMode="External"/><Relationship Id="rId97" Type="http://schemas.microsoft.com/office/2007/relationships/diagramDrawing" Target="diagrams/drawing1.xml"/><Relationship Id="rId120" Type="http://schemas.openxmlformats.org/officeDocument/2006/relationships/diagramQuickStyle" Target="diagrams/quickStyle6.xml"/><Relationship Id="rId358" Type="http://schemas.openxmlformats.org/officeDocument/2006/relationships/image" Target="media/image73.wmf"/><Relationship Id="rId162" Type="http://schemas.openxmlformats.org/officeDocument/2006/relationships/image" Target="media/image11.wmf"/><Relationship Id="rId218" Type="http://schemas.openxmlformats.org/officeDocument/2006/relationships/diagramQuickStyle" Target="diagrams/quickStyle9.xml"/><Relationship Id="rId425" Type="http://schemas.openxmlformats.org/officeDocument/2006/relationships/chart" Target="charts/chart29.xml"/><Relationship Id="rId467" Type="http://schemas.openxmlformats.org/officeDocument/2006/relationships/hyperlink" Target="https://data.worldbank.org/indicator/ST.INT.XPND" TargetMode="External"/><Relationship Id="rId271" Type="http://schemas.openxmlformats.org/officeDocument/2006/relationships/image" Target="media/image30.wmf"/><Relationship Id="rId24" Type="http://schemas.openxmlformats.org/officeDocument/2006/relationships/hyperlink" Target="https://razumkov.org.ua/images/2022/07/18/2022-ANALIT-ZAPIS-PISHULINA-2.pdf" TargetMode="External"/><Relationship Id="rId66" Type="http://schemas.openxmlformats.org/officeDocument/2006/relationships/chart" Target="charts/chart10.xml"/><Relationship Id="rId131" Type="http://schemas.openxmlformats.org/officeDocument/2006/relationships/diagramColors" Target="diagrams/colors8.xml"/><Relationship Id="rId327" Type="http://schemas.openxmlformats.org/officeDocument/2006/relationships/image" Target="media/image58.wmf"/><Relationship Id="rId369" Type="http://schemas.openxmlformats.org/officeDocument/2006/relationships/oleObject" Target="embeddings/oleObject61.bin"/><Relationship Id="rId173" Type="http://schemas.openxmlformats.org/officeDocument/2006/relationships/hyperlink" Target="https://doi.org/10.32680/2409-9260-2023-1-2-302-303-135-143" TargetMode="External"/><Relationship Id="rId229" Type="http://schemas.openxmlformats.org/officeDocument/2006/relationships/chart" Target="charts/chart26.xml"/><Relationship Id="rId380" Type="http://schemas.openxmlformats.org/officeDocument/2006/relationships/image" Target="media/image84.wmf"/><Relationship Id="rId436" Type="http://schemas.openxmlformats.org/officeDocument/2006/relationships/chart" Target="charts/chart40.xml"/><Relationship Id="rId240" Type="http://schemas.openxmlformats.org/officeDocument/2006/relationships/hyperlink" Target="https://elar.khmnu.edu.ua/server/api/core/bitstreams/2b725a63-79cb-4543-80b9-a7c63c0094ec/content" TargetMode="External"/><Relationship Id="rId478" Type="http://schemas.openxmlformats.org/officeDocument/2006/relationships/image" Target="media/image108.png"/><Relationship Id="rId35" Type="http://schemas.openxmlformats.org/officeDocument/2006/relationships/hyperlink" Target="https://strategy.uifuture.org/kraina-z-rozvinutoyu-cifrovoyu-ekonomikoyu.html" TargetMode="External"/><Relationship Id="rId77" Type="http://schemas.openxmlformats.org/officeDocument/2006/relationships/hyperlink" Target="https://doi.org/10.1016/j.agwat.2020.106080" TargetMode="External"/><Relationship Id="rId100" Type="http://schemas.openxmlformats.org/officeDocument/2006/relationships/diagramQuickStyle" Target="diagrams/quickStyle2.xml"/><Relationship Id="rId282" Type="http://schemas.openxmlformats.org/officeDocument/2006/relationships/oleObject" Target="embeddings/oleObject17.bin"/><Relationship Id="rId338" Type="http://schemas.openxmlformats.org/officeDocument/2006/relationships/oleObject" Target="embeddings/oleObject45.bin"/><Relationship Id="rId8" Type="http://schemas.openxmlformats.org/officeDocument/2006/relationships/image" Target="media/image1.wmf"/><Relationship Id="rId142" Type="http://schemas.openxmlformats.org/officeDocument/2006/relationships/chart" Target="charts/chart13.xml"/><Relationship Id="rId184" Type="http://schemas.openxmlformats.org/officeDocument/2006/relationships/image" Target="media/image18.png"/><Relationship Id="rId391" Type="http://schemas.openxmlformats.org/officeDocument/2006/relationships/oleObject" Target="embeddings/oleObject72.bin"/><Relationship Id="rId405" Type="http://schemas.openxmlformats.org/officeDocument/2006/relationships/oleObject" Target="embeddings/oleObject79.bin"/><Relationship Id="rId447" Type="http://schemas.openxmlformats.org/officeDocument/2006/relationships/hyperlink" Target="https://uk.wikivoyage.org/wiki/%D0%9A%D1%96%D1%80%D0%BE%D0%B2%D0%BE%D0%B3%D1%80%D0%B0%D0%B4%D1%81%D1%8C%D0%BA%D0%B0_%D0%BE%D0%B1%D0%BB%D0%B0%D1%81%D1%82%D1%8C" TargetMode="External"/><Relationship Id="rId251" Type="http://schemas.openxmlformats.org/officeDocument/2006/relationships/hyperlink" Target="https://core.ac.uk/download/pdf/77240859.pdf" TargetMode="External"/><Relationship Id="rId489" Type="http://schemas.openxmlformats.org/officeDocument/2006/relationships/hyperlink" Target="https://stud.com.ua/39338/tovaroznavstvo/normalniy_zakon_rozpodilu" TargetMode="External"/><Relationship Id="rId46" Type="http://schemas.openxmlformats.org/officeDocument/2006/relationships/hyperlink" Target="https://psycnet.apa.org/doi/10.1111/j.1744-6570.2005.00515.x" TargetMode="External"/><Relationship Id="rId293" Type="http://schemas.openxmlformats.org/officeDocument/2006/relationships/image" Target="media/image41.wmf"/><Relationship Id="rId307" Type="http://schemas.openxmlformats.org/officeDocument/2006/relationships/image" Target="media/image48.wmf"/><Relationship Id="rId349" Type="http://schemas.openxmlformats.org/officeDocument/2006/relationships/oleObject" Target="embeddings/oleObject51.bin"/><Relationship Id="rId88" Type="http://schemas.openxmlformats.org/officeDocument/2006/relationships/hyperlink" Target="https://www.bsigroup.com/" TargetMode="External"/><Relationship Id="rId111" Type="http://schemas.openxmlformats.org/officeDocument/2006/relationships/diagramColors" Target="diagrams/colors4.xml"/><Relationship Id="rId153" Type="http://schemas.openxmlformats.org/officeDocument/2006/relationships/oleObject" Target="embeddings/oleObject5.bin"/><Relationship Id="rId195" Type="http://schemas.openxmlformats.org/officeDocument/2006/relationships/hyperlink" Target="http://chtei-knteu.cv.ua/herald/content/download/archive/2021/v1/1.pdf" TargetMode="External"/><Relationship Id="rId209" Type="http://schemas.openxmlformats.org/officeDocument/2006/relationships/hyperlink" Target="https://doi.org/10.18111/9789284424986" TargetMode="External"/><Relationship Id="rId360" Type="http://schemas.openxmlformats.org/officeDocument/2006/relationships/image" Target="media/image74.wmf"/><Relationship Id="rId416" Type="http://schemas.openxmlformats.org/officeDocument/2006/relationships/image" Target="media/image102.wmf"/><Relationship Id="rId220" Type="http://schemas.microsoft.com/office/2007/relationships/diagramDrawing" Target="diagrams/drawing9.xml"/><Relationship Id="rId458" Type="http://schemas.openxmlformats.org/officeDocument/2006/relationships/chart" Target="charts/chart45.xml"/><Relationship Id="rId15" Type="http://schemas.openxmlformats.org/officeDocument/2006/relationships/hyperlink" Target="https://economyandsociety.in.ua/journals/16_ukr/60.pdf" TargetMode="External"/><Relationship Id="rId57" Type="http://schemas.openxmlformats.org/officeDocument/2006/relationships/hyperlink" Target="http://dx.doi.org/10.1504/EJIM.2011.042173" TargetMode="External"/><Relationship Id="rId262" Type="http://schemas.openxmlformats.org/officeDocument/2006/relationships/hyperlink" Target="https://premier-palace.phnr.com/ua" TargetMode="External"/><Relationship Id="rId318" Type="http://schemas.openxmlformats.org/officeDocument/2006/relationships/oleObject" Target="embeddings/oleObject35.bin"/><Relationship Id="rId99" Type="http://schemas.openxmlformats.org/officeDocument/2006/relationships/diagramLayout" Target="diagrams/layout2.xml"/><Relationship Id="rId122" Type="http://schemas.microsoft.com/office/2007/relationships/diagramDrawing" Target="diagrams/drawing6.xml"/><Relationship Id="rId164" Type="http://schemas.openxmlformats.org/officeDocument/2006/relationships/image" Target="media/image12.wmf"/><Relationship Id="rId371" Type="http://schemas.openxmlformats.org/officeDocument/2006/relationships/oleObject" Target="embeddings/oleObject62.bin"/><Relationship Id="rId427" Type="http://schemas.openxmlformats.org/officeDocument/2006/relationships/chart" Target="charts/chart31.xml"/><Relationship Id="rId469" Type="http://schemas.openxmlformats.org/officeDocument/2006/relationships/hyperlink" Target="https://data.worldbank.org/indicator/ST.INT.TVLX.CD" TargetMode="External"/><Relationship Id="rId26" Type="http://schemas.openxmlformats.org/officeDocument/2006/relationships/hyperlink" Target="http://www.psv.org.ua/arts/pidsumki_roku/view-4979.html" TargetMode="External"/><Relationship Id="rId231" Type="http://schemas.openxmlformats.org/officeDocument/2006/relationships/chart" Target="charts/chart28.xml"/><Relationship Id="rId273" Type="http://schemas.openxmlformats.org/officeDocument/2006/relationships/image" Target="media/image31.wmf"/><Relationship Id="rId329" Type="http://schemas.openxmlformats.org/officeDocument/2006/relationships/image" Target="media/image59.wmf"/><Relationship Id="rId480" Type="http://schemas.openxmlformats.org/officeDocument/2006/relationships/image" Target="media/image110.png"/><Relationship Id="rId68" Type="http://schemas.openxmlformats.org/officeDocument/2006/relationships/chart" Target="charts/chart12.xml"/><Relationship Id="rId133" Type="http://schemas.openxmlformats.org/officeDocument/2006/relationships/hyperlink" Target="http://surl.li/ppnmw" TargetMode="External"/><Relationship Id="rId175" Type="http://schemas.openxmlformats.org/officeDocument/2006/relationships/hyperlink" Target="https://data.worldbank.org/indicator/NV.AGR.TOTL.ZS?locations=UA" TargetMode="External"/><Relationship Id="rId340" Type="http://schemas.openxmlformats.org/officeDocument/2006/relationships/oleObject" Target="embeddings/oleObject46.bin"/><Relationship Id="rId200" Type="http://schemas.openxmlformats.org/officeDocument/2006/relationships/hyperlink" Target="http://nbuv.gov.ua/UJRN/Vnuvgp_ekon_2016_1_19" TargetMode="External"/><Relationship Id="rId382" Type="http://schemas.openxmlformats.org/officeDocument/2006/relationships/image" Target="media/image85.wmf"/><Relationship Id="rId438" Type="http://schemas.openxmlformats.org/officeDocument/2006/relationships/chart" Target="charts/chart42.xml"/><Relationship Id="rId242" Type="http://schemas.openxmlformats.org/officeDocument/2006/relationships/hyperlink" Target="https://dspace.kntu.kr.ua/items/e2423571-ad4e-415c-8df0-1161e363338f" TargetMode="External"/><Relationship Id="rId284" Type="http://schemas.openxmlformats.org/officeDocument/2006/relationships/oleObject" Target="embeddings/oleObject18.bin"/><Relationship Id="rId491" Type="http://schemas.openxmlformats.org/officeDocument/2006/relationships/hyperlink" Target="http://faculty.washington.edu/yenchic/17Sp_302/R11.pdf" TargetMode="External"/><Relationship Id="rId37" Type="http://schemas.openxmlformats.org/officeDocument/2006/relationships/hyperlink" Target="http://surl.li/ranin" TargetMode="External"/><Relationship Id="rId79" Type="http://schemas.openxmlformats.org/officeDocument/2006/relationships/hyperlink" Target="https://doi.org/10.1016/j.ecolind.2020.106819" TargetMode="External"/><Relationship Id="rId102" Type="http://schemas.microsoft.com/office/2007/relationships/diagramDrawing" Target="diagrams/drawing2.xml"/><Relationship Id="rId144" Type="http://schemas.openxmlformats.org/officeDocument/2006/relationships/chart" Target="charts/chart15.xml"/><Relationship Id="rId90" Type="http://schemas.openxmlformats.org/officeDocument/2006/relationships/hyperlink" Target="https://www.wbcsd.org/" TargetMode="External"/><Relationship Id="rId186" Type="http://schemas.openxmlformats.org/officeDocument/2006/relationships/image" Target="media/image20.png"/><Relationship Id="rId351" Type="http://schemas.openxmlformats.org/officeDocument/2006/relationships/oleObject" Target="embeddings/oleObject52.bin"/><Relationship Id="rId393" Type="http://schemas.openxmlformats.org/officeDocument/2006/relationships/oleObject" Target="embeddings/oleObject73.bin"/><Relationship Id="rId407" Type="http://schemas.openxmlformats.org/officeDocument/2006/relationships/oleObject" Target="embeddings/oleObject80.bin"/><Relationship Id="rId449" Type="http://schemas.openxmlformats.org/officeDocument/2006/relationships/hyperlink" Target="https://uk.wikivoyage.org/wiki/%D0%A1%D1%83%D0%BC%D1%81%D1%8C%D0%BA%D0%B0_%D0%BE%D0%B1%D0%BB%D0%B0%D1%81%D1%82%D1%8C" TargetMode="External"/><Relationship Id="rId211" Type="http://schemas.openxmlformats.org/officeDocument/2006/relationships/hyperlink" Target="http://surl.li/catlt" TargetMode="External"/><Relationship Id="rId253" Type="http://schemas.openxmlformats.org/officeDocument/2006/relationships/hyperlink" Target="https://doi.org/10.32782/2524-0072/2023-56-31" TargetMode="External"/><Relationship Id="rId295" Type="http://schemas.openxmlformats.org/officeDocument/2006/relationships/image" Target="media/image42.wmf"/><Relationship Id="rId309" Type="http://schemas.openxmlformats.org/officeDocument/2006/relationships/image" Target="media/image49.wmf"/><Relationship Id="rId460" Type="http://schemas.openxmlformats.org/officeDocument/2006/relationships/hyperlink" Target="https://www.scopus.com/authid/detail.uri?authorId=56606135100" TargetMode="External"/><Relationship Id="rId48" Type="http://schemas.openxmlformats.org/officeDocument/2006/relationships/hyperlink" Target="https://doi.org/10.1108/17422040810849749" TargetMode="External"/><Relationship Id="rId113" Type="http://schemas.openxmlformats.org/officeDocument/2006/relationships/diagramData" Target="diagrams/data5.xml"/><Relationship Id="rId320" Type="http://schemas.openxmlformats.org/officeDocument/2006/relationships/oleObject" Target="embeddings/oleObject36.bin"/><Relationship Id="rId155" Type="http://schemas.openxmlformats.org/officeDocument/2006/relationships/oleObject" Target="embeddings/oleObject6.bin"/><Relationship Id="rId197" Type="http://schemas.openxmlformats.org/officeDocument/2006/relationships/hyperlink" Target="http://nbuv.gov.ua/UJRN/eui_2014_2_17" TargetMode="External"/><Relationship Id="rId362" Type="http://schemas.openxmlformats.org/officeDocument/2006/relationships/image" Target="media/image75.wmf"/><Relationship Id="rId418" Type="http://schemas.openxmlformats.org/officeDocument/2006/relationships/image" Target="media/image103.wmf"/><Relationship Id="rId222" Type="http://schemas.openxmlformats.org/officeDocument/2006/relationships/image" Target="media/image27.jpeg"/><Relationship Id="rId264" Type="http://schemas.openxmlformats.org/officeDocument/2006/relationships/hyperlink" Target="https://www.bestodessahotels/com" TargetMode="External"/><Relationship Id="rId471" Type="http://schemas.openxmlformats.org/officeDocument/2006/relationships/hyperlink" Target="https://www.unwto.org/tourism-data/unwtotourism-dashboard" TargetMode="External"/><Relationship Id="rId17" Type="http://schemas.openxmlformats.org/officeDocument/2006/relationships/chart" Target="charts/chart1.xml"/><Relationship Id="rId59" Type="http://schemas.openxmlformats.org/officeDocument/2006/relationships/chart" Target="charts/chart3.xml"/><Relationship Id="rId124" Type="http://schemas.openxmlformats.org/officeDocument/2006/relationships/diagramLayout" Target="diagrams/layout7.xml"/><Relationship Id="rId70" Type="http://schemas.openxmlformats.org/officeDocument/2006/relationships/hyperlink" Target="https://www.fao.org/3/I9542EN/i9542en.pdf" TargetMode="External"/><Relationship Id="rId166" Type="http://schemas.openxmlformats.org/officeDocument/2006/relationships/hyperlink" Target="https://zakon.rada.gov.ua/laws/show/806-2013-%D1%80" TargetMode="External"/><Relationship Id="rId331" Type="http://schemas.openxmlformats.org/officeDocument/2006/relationships/image" Target="media/image60.wmf"/><Relationship Id="rId373" Type="http://schemas.openxmlformats.org/officeDocument/2006/relationships/oleObject" Target="embeddings/oleObject63.bin"/><Relationship Id="rId429" Type="http://schemas.openxmlformats.org/officeDocument/2006/relationships/chart" Target="charts/chart33.xml"/><Relationship Id="rId1" Type="http://schemas.openxmlformats.org/officeDocument/2006/relationships/numbering" Target="numbering.xml"/><Relationship Id="rId233" Type="http://schemas.openxmlformats.org/officeDocument/2006/relationships/hyperlink" Target="http://www.frontmanagement.org/fomants-127-1.html" TargetMode="External"/><Relationship Id="rId440" Type="http://schemas.openxmlformats.org/officeDocument/2006/relationships/hyperlink" Target="https://uk.wikivoyage.org/wiki/%D0%96%D0%B8%D1%82%D0%BE%D0%BC%D0%B8%D1%80%D1%81%D1%8C%D0%BA%D0%B0_%D0%BE%D0%B1%D0%BB%D0%B0%D1%81%D1%82%D1%8C" TargetMode="External"/><Relationship Id="rId28" Type="http://schemas.openxmlformats.org/officeDocument/2006/relationships/hyperlink" Target="http://pravoisuspilstvo.org.ua/archive/2022/4_2022/28.pdf" TargetMode="External"/><Relationship Id="rId275" Type="http://schemas.openxmlformats.org/officeDocument/2006/relationships/image" Target="media/image32.wmf"/><Relationship Id="rId300" Type="http://schemas.openxmlformats.org/officeDocument/2006/relationships/oleObject" Target="embeddings/oleObject26.bin"/><Relationship Id="rId482" Type="http://schemas.openxmlformats.org/officeDocument/2006/relationships/image" Target="media/image112.png"/><Relationship Id="rId81" Type="http://schemas.openxmlformats.org/officeDocument/2006/relationships/hyperlink" Target="https://doi.org/10.1016/j.jclepro.2014.03.014" TargetMode="External"/><Relationship Id="rId135" Type="http://schemas.openxmlformats.org/officeDocument/2006/relationships/hyperlink" Target="http://surl.li/ppnke" TargetMode="External"/><Relationship Id="rId177" Type="http://schemas.openxmlformats.org/officeDocument/2006/relationships/hyperlink" Target="http://www.e-m-h.org/Mark91.pdf" TargetMode="External"/><Relationship Id="rId342" Type="http://schemas.openxmlformats.org/officeDocument/2006/relationships/image" Target="media/image65.wmf"/><Relationship Id="rId384" Type="http://schemas.openxmlformats.org/officeDocument/2006/relationships/image" Target="media/image86.wmf"/><Relationship Id="rId202" Type="http://schemas.openxmlformats.org/officeDocument/2006/relationships/hyperlink" Target="http://nbuv.gov.ua/UJRN/ipd_2016_21_11" TargetMode="External"/><Relationship Id="rId244" Type="http://schemas.openxmlformats.org/officeDocument/2006/relationships/hyperlink" Target="http://ni.biz.ua/18/18_3/18_36884_obuchenie-po-metodu-Shadowing.html" TargetMode="External"/><Relationship Id="rId39" Type="http://schemas.openxmlformats.org/officeDocument/2006/relationships/hyperlink" Target="https://www.oecd.org/sti/ieconomy/" TargetMode="External"/><Relationship Id="rId286" Type="http://schemas.openxmlformats.org/officeDocument/2006/relationships/oleObject" Target="embeddings/oleObject19.bin"/><Relationship Id="rId451" Type="http://schemas.openxmlformats.org/officeDocument/2006/relationships/hyperlink" Target="https://uk.wikivoyage.org/wiki/%D0%A7%D0%B5%D1%80%D0%BD%D1%96%D0%B2%D0%B5%D1%86%D1%8C%D0%BA%D0%B0_%D0%BE%D0%B1%D0%BB%D0%B0%D1%81%D1%82%D1%8C" TargetMode="External"/><Relationship Id="rId493" Type="http://schemas.openxmlformats.org/officeDocument/2006/relationships/fontTable" Target="fontTable.xml"/><Relationship Id="rId50" Type="http://schemas.openxmlformats.org/officeDocument/2006/relationships/hyperlink" Target="https://doi.org/10.4337/9781800884045.ch10" TargetMode="External"/><Relationship Id="rId104" Type="http://schemas.openxmlformats.org/officeDocument/2006/relationships/diagramLayout" Target="diagrams/layout3.xml"/><Relationship Id="rId146" Type="http://schemas.openxmlformats.org/officeDocument/2006/relationships/image" Target="media/image4.wmf"/><Relationship Id="rId188" Type="http://schemas.openxmlformats.org/officeDocument/2006/relationships/chart" Target="charts/chart18.xml"/><Relationship Id="rId311" Type="http://schemas.openxmlformats.org/officeDocument/2006/relationships/image" Target="media/image50.wmf"/><Relationship Id="rId353" Type="http://schemas.openxmlformats.org/officeDocument/2006/relationships/oleObject" Target="embeddings/oleObject53.bin"/><Relationship Id="rId395" Type="http://schemas.openxmlformats.org/officeDocument/2006/relationships/oleObject" Target="embeddings/oleObject74.bin"/><Relationship Id="rId409" Type="http://schemas.openxmlformats.org/officeDocument/2006/relationships/oleObject" Target="embeddings/oleObject81.bin"/><Relationship Id="rId92" Type="http://schemas.openxmlformats.org/officeDocument/2006/relationships/hyperlink" Target="http://surl.li/raopl" TargetMode="External"/><Relationship Id="rId213" Type="http://schemas.openxmlformats.org/officeDocument/2006/relationships/hyperlink" Target="http://surl.li/ncodi" TargetMode="External"/><Relationship Id="rId420" Type="http://schemas.openxmlformats.org/officeDocument/2006/relationships/image" Target="media/image104.wmf"/><Relationship Id="rId255" Type="http://schemas.openxmlformats.org/officeDocument/2006/relationships/hyperlink" Target="https://doi.org/10.55643/fcaptp.3.44.2022.3596" TargetMode="External"/><Relationship Id="rId297" Type="http://schemas.openxmlformats.org/officeDocument/2006/relationships/image" Target="media/image43.wmf"/><Relationship Id="rId462" Type="http://schemas.openxmlformats.org/officeDocument/2006/relationships/hyperlink" Target="https://www.unstats.un.org/unsd/publication/Series/F" TargetMode="External"/><Relationship Id="rId115" Type="http://schemas.openxmlformats.org/officeDocument/2006/relationships/diagramQuickStyle" Target="diagrams/quickStyle5.xml"/><Relationship Id="rId157" Type="http://schemas.openxmlformats.org/officeDocument/2006/relationships/chart" Target="charts/chart17.xml"/><Relationship Id="rId322" Type="http://schemas.openxmlformats.org/officeDocument/2006/relationships/oleObject" Target="embeddings/oleObject37.bin"/><Relationship Id="rId364" Type="http://schemas.openxmlformats.org/officeDocument/2006/relationships/image" Target="media/image76.wmf"/><Relationship Id="rId61" Type="http://schemas.openxmlformats.org/officeDocument/2006/relationships/chart" Target="charts/chart5.xml"/><Relationship Id="rId199" Type="http://schemas.openxmlformats.org/officeDocument/2006/relationships/hyperlink" Target="http://nbuv.gov.ua/UJRN/VSUNU_2013_16_44" TargetMode="External"/><Relationship Id="rId19" Type="http://schemas.openxmlformats.org/officeDocument/2006/relationships/hyperlink" Target="https://abstracts.donnu.edu.ua/article/view/9734" TargetMode="External"/><Relationship Id="rId224" Type="http://schemas.openxmlformats.org/officeDocument/2006/relationships/chart" Target="charts/chart21.xml"/><Relationship Id="rId266" Type="http://schemas.openxmlformats.org/officeDocument/2006/relationships/hyperlink" Target="https://ribas.ua/about" TargetMode="External"/><Relationship Id="rId431" Type="http://schemas.openxmlformats.org/officeDocument/2006/relationships/chart" Target="charts/chart35.xml"/><Relationship Id="rId473" Type="http://schemas.openxmlformats.org/officeDocument/2006/relationships/hyperlink" Target="https://www.bloomconsulting.com/journal/bloom-consulting-international-data-partner-for-the-2021-travel-tourism-competitivenessreport-ttcr-for-the-world-economic" TargetMode="External"/><Relationship Id="rId30" Type="http://schemas.openxmlformats.org/officeDocument/2006/relationships/hyperlink" Target="https://zakon.rada.gov.ua/laws/show/1089-20" TargetMode="External"/><Relationship Id="rId126" Type="http://schemas.openxmlformats.org/officeDocument/2006/relationships/diagramColors" Target="diagrams/colors7.xml"/><Relationship Id="rId168" Type="http://schemas.openxmlformats.org/officeDocument/2006/relationships/hyperlink" Target="https://www.cell.com/heliyon" TargetMode="External"/><Relationship Id="rId333" Type="http://schemas.openxmlformats.org/officeDocument/2006/relationships/image" Target="media/image61.wmf"/><Relationship Id="rId72" Type="http://schemas.openxmlformats.org/officeDocument/2006/relationships/hyperlink" Target="https://doi.org/10.2305/IUCN.CH.2020.10.en" TargetMode="External"/><Relationship Id="rId375" Type="http://schemas.openxmlformats.org/officeDocument/2006/relationships/oleObject" Target="embeddings/oleObject64.bin"/><Relationship Id="rId3" Type="http://schemas.openxmlformats.org/officeDocument/2006/relationships/settings" Target="settings.xml"/><Relationship Id="rId235" Type="http://schemas.openxmlformats.org/officeDocument/2006/relationships/hyperlink" Target="https://osvita.ua/legislation/law/2245/" TargetMode="External"/><Relationship Id="rId277" Type="http://schemas.openxmlformats.org/officeDocument/2006/relationships/image" Target="media/image33.wmf"/><Relationship Id="rId400" Type="http://schemas.openxmlformats.org/officeDocument/2006/relationships/image" Target="media/image94.wmf"/><Relationship Id="rId442" Type="http://schemas.openxmlformats.org/officeDocument/2006/relationships/hyperlink" Target="https://uk.wikivoyage.org/wiki/%D0%A7%D0%B5%D1%80%D0%BA%D0%B0%D1%81%D1%8C%D0%BA%D0%B0_%D0%BE%D0%B1%D0%BB%D0%B0%D1%81%D1%82%D1%8C" TargetMode="External"/><Relationship Id="rId484" Type="http://schemas.openxmlformats.org/officeDocument/2006/relationships/image" Target="media/image114.png"/><Relationship Id="rId137" Type="http://schemas.openxmlformats.org/officeDocument/2006/relationships/hyperlink" Target="http://surl.li/gsghn" TargetMode="External"/><Relationship Id="rId302" Type="http://schemas.openxmlformats.org/officeDocument/2006/relationships/oleObject" Target="embeddings/oleObject27.bin"/><Relationship Id="rId344" Type="http://schemas.openxmlformats.org/officeDocument/2006/relationships/image" Target="media/image66.wmf"/><Relationship Id="rId41" Type="http://schemas.openxmlformats.org/officeDocument/2006/relationships/hyperlink" Target="http://surl.li/ranit" TargetMode="External"/><Relationship Id="rId83" Type="http://schemas.openxmlformats.org/officeDocument/2006/relationships/hyperlink" Target="https://doi.org/10.3303/CET2188120" TargetMode="External"/><Relationship Id="rId179" Type="http://schemas.openxmlformats.org/officeDocument/2006/relationships/image" Target="media/image13.png"/><Relationship Id="rId386" Type="http://schemas.openxmlformats.org/officeDocument/2006/relationships/image" Target="media/image87.wmf"/></Relationships>
</file>

<file path=word/charts/_rels/chart1.xml.rels><?xml version="1.0" encoding="UTF-8" standalone="yes"?>
<Relationships xmlns="http://schemas.openxmlformats.org/package/2006/relationships"><Relationship Id="rId3" Type="http://schemas.openxmlformats.org/officeDocument/2006/relationships/oleObject" Target="file:///D:\!!!&#1059;&#1052;&#1057;&#1060;_2021\&#1052;&#1054;&#1053;&#1054;&#1043;&#1056;&#1040;&#1060;&#1030;&#1071;_2024_&#1072;&#1074;&#1090;.&#1089;&#1074;&#1110;&#1076;&#1086;&#1094;&#1090;&#1074;&#1086;\&#1056;&#1080;&#1089;.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1055;&#1050;\Desktop\&#1057;&#1090;&#1072;&#1090;&#1080;&#1089;&#1090;&#1080;&#1082;&#1072;%20&#1079;&#1072;%2030%20&#1088;&#1086;&#1082;&#1110;&#1074;.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1055;&#1050;\Desktop\&#1057;&#1090;&#1072;&#1090;&#1080;&#1089;&#1090;&#1080;&#1082;&#1072;%20&#1079;&#1072;%2030%20&#1088;&#1086;&#1082;&#1110;&#1074;.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1055;&#1050;\Desktop\&#1057;&#1090;&#1072;&#1090;&#1080;&#1089;&#1090;&#1080;&#1082;&#1072;%20&#1079;&#1072;%2030%20&#1088;&#1086;&#1082;&#1110;&#1074;.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file:///D:\Documents\Desktop\&#1052;&#1043;&#1059;-2023\grafik.xlsx" TargetMode="Externa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oleObject" Target="file:///D:\Documents\Desktop\&#1052;&#1043;&#1059;-2023\grafik.xlsx" TargetMode="Externa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oleObject" Target="file:///D:\Documents\Desktop\&#1052;&#1043;&#1059;-2023\grafik.xlsx" TargetMode="Externa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oleObject" Target="file:///D:\Documents\Desktop\&#1052;&#1043;&#1059;-2023\grafik.xlsx" TargetMode="External"/></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oleObject" Target="file:///D:\Documents\Desktop\&#1052;&#1043;&#1059;-2023\&#1057;&#1090;&#1088;&#1091;&#1082;&#1090;&#1091;&#1088;&#1072;%20(max%20prybutok).xlsx" TargetMode="Externa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6.xml"/></Relationships>
</file>

<file path=word/charts/_rels/chart2.xml.rels><?xml version="1.0" encoding="UTF-8" standalone="yes"?>
<Relationships xmlns="http://schemas.openxmlformats.org/package/2006/relationships"><Relationship Id="rId3" Type="http://schemas.openxmlformats.org/officeDocument/2006/relationships/oleObject" Target="file:///D:\!!!&#1059;&#1052;&#1057;&#1060;_2021\&#1052;&#1054;&#1053;&#1054;&#1043;&#1056;&#1040;&#1060;&#1030;&#1071;_2024_&#1072;&#1074;&#1090;.&#1089;&#1074;&#1110;&#1076;&#1086;&#1094;&#1090;&#1074;&#1086;\&#1056;&#1080;&#1089;.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7.xml"/></Relationships>
</file>

<file path=word/charts/_rels/chart21.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8.xml"/></Relationships>
</file>

<file path=word/charts/_rels/chart22.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9.xml"/></Relationships>
</file>

<file path=word/charts/_rels/chart23.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10.xml"/></Relationships>
</file>

<file path=word/charts/_rels/chart24.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11.xml"/></Relationships>
</file>

<file path=word/charts/_rels/chart25.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12.xml"/></Relationships>
</file>

<file path=word/charts/_rels/chart26.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13.xml"/></Relationships>
</file>

<file path=word/charts/_rels/chart27.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4.xml"/></Relationships>
</file>

<file path=word/charts/_rels/chart28.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5.xml"/></Relationships>
</file>

<file path=word/charts/_rels/chart29.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6.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MD\Desktop\&#1047;&#1077;&#1084;&#1077;&#1083;&#1100;&#1085;&#1080;&#1081;%20&#1110;%20&#1074;&#1086;&#1076;&#1085;&#1080;&#1081;%20&#1089;&#1083;&#1110;&#1076;.xlsx" TargetMode="External"/><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7.xml"/></Relationships>
</file>

<file path=word/charts/_rels/chart31.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8.xml"/></Relationships>
</file>

<file path=word/charts/_rels/chart32.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9.xml"/></Relationships>
</file>

<file path=word/charts/_rels/chart33.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20.xml"/></Relationships>
</file>

<file path=word/charts/_rels/chart34.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21.xml"/></Relationships>
</file>

<file path=word/charts/_rels/chart35.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22.xml"/></Relationships>
</file>

<file path=word/charts/_rels/chart36.xml.rels><?xml version="1.0" encoding="UTF-8" standalone="yes"?>
<Relationships xmlns="http://schemas.openxmlformats.org/package/2006/relationships"><Relationship Id="rId2" Type="http://schemas.openxmlformats.org/officeDocument/2006/relationships/package" Target="../embeddings/Microsoft_Excel_Worksheet18.xlsx"/><Relationship Id="rId1" Type="http://schemas.openxmlformats.org/officeDocument/2006/relationships/themeOverride" Target="../theme/themeOverride23.xml"/></Relationships>
</file>

<file path=word/charts/_rels/chart37.xml.rels><?xml version="1.0" encoding="UTF-8" standalone="yes"?>
<Relationships xmlns="http://schemas.openxmlformats.org/package/2006/relationships"><Relationship Id="rId2" Type="http://schemas.openxmlformats.org/officeDocument/2006/relationships/package" Target="../embeddings/Microsoft_Excel_Worksheet19.xlsx"/><Relationship Id="rId1" Type="http://schemas.openxmlformats.org/officeDocument/2006/relationships/themeOverride" Target="../theme/themeOverride24.xml"/></Relationships>
</file>

<file path=word/charts/_rels/chart38.xml.rels><?xml version="1.0" encoding="UTF-8" standalone="yes"?>
<Relationships xmlns="http://schemas.openxmlformats.org/package/2006/relationships"><Relationship Id="rId2" Type="http://schemas.openxmlformats.org/officeDocument/2006/relationships/package" Target="../embeddings/Microsoft_Excel_Worksheet20.xlsx"/><Relationship Id="rId1" Type="http://schemas.openxmlformats.org/officeDocument/2006/relationships/themeOverride" Target="../theme/themeOverride25.xml"/></Relationships>
</file>

<file path=word/charts/_rels/chart39.xml.rels><?xml version="1.0" encoding="UTF-8" standalone="yes"?>
<Relationships xmlns="http://schemas.openxmlformats.org/package/2006/relationships"><Relationship Id="rId2" Type="http://schemas.openxmlformats.org/officeDocument/2006/relationships/package" Target="../embeddings/Microsoft_Excel_Worksheet21.xlsx"/><Relationship Id="rId1" Type="http://schemas.openxmlformats.org/officeDocument/2006/relationships/themeOverride" Target="../theme/themeOverride26.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MD\Desktop\&#1047;&#1077;&#1084;&#1077;&#1083;&#1100;&#1085;&#1080;&#1081;%20&#1110;%20&#1074;&#1086;&#1076;&#1085;&#1080;&#1081;%20&#1089;&#1083;&#1110;&#1076;.xlsx" TargetMode="External"/><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2" Type="http://schemas.openxmlformats.org/officeDocument/2006/relationships/package" Target="../embeddings/Microsoft_Excel_Worksheet22.xlsx"/><Relationship Id="rId1" Type="http://schemas.openxmlformats.org/officeDocument/2006/relationships/themeOverride" Target="../theme/themeOverride27.xml"/></Relationships>
</file>

<file path=word/charts/_rels/chart41.xml.rels><?xml version="1.0" encoding="UTF-8" standalone="yes"?>
<Relationships xmlns="http://schemas.openxmlformats.org/package/2006/relationships"><Relationship Id="rId2" Type="http://schemas.openxmlformats.org/officeDocument/2006/relationships/package" Target="../embeddings/Microsoft_Excel_Worksheet23.xlsx"/><Relationship Id="rId1" Type="http://schemas.openxmlformats.org/officeDocument/2006/relationships/themeOverride" Target="../theme/themeOverride28.xml"/></Relationships>
</file>

<file path=word/charts/_rels/chart42.xml.rels><?xml version="1.0" encoding="UTF-8" standalone="yes"?>
<Relationships xmlns="http://schemas.openxmlformats.org/package/2006/relationships"><Relationship Id="rId2" Type="http://schemas.openxmlformats.org/officeDocument/2006/relationships/package" Target="../embeddings/Microsoft_Excel_Worksheet24.xlsx"/><Relationship Id="rId1" Type="http://schemas.openxmlformats.org/officeDocument/2006/relationships/themeOverride" Target="../theme/themeOverride29.xml"/></Relationships>
</file>

<file path=word/charts/_rels/chart43.xml.rels><?xml version="1.0" encoding="UTF-8" standalone="yes"?>
<Relationships xmlns="http://schemas.openxmlformats.org/package/2006/relationships"><Relationship Id="rId2" Type="http://schemas.openxmlformats.org/officeDocument/2006/relationships/package" Target="../embeddings/Microsoft_Excel_Worksheet25.xlsx"/><Relationship Id="rId1" Type="http://schemas.openxmlformats.org/officeDocument/2006/relationships/themeOverride" Target="../theme/themeOverride30.xml"/></Relationships>
</file>

<file path=word/charts/_rels/chart44.xml.rels><?xml version="1.0" encoding="UTF-8" standalone="yes"?>
<Relationships xmlns="http://schemas.openxmlformats.org/package/2006/relationships"><Relationship Id="rId2" Type="http://schemas.openxmlformats.org/officeDocument/2006/relationships/package" Target="../embeddings/Microsoft_Excel_Worksheet26.xlsx"/><Relationship Id="rId1" Type="http://schemas.openxmlformats.org/officeDocument/2006/relationships/themeOverride" Target="../theme/themeOverride31.xml"/></Relationships>
</file>

<file path=word/charts/_rels/chart45.xml.rels><?xml version="1.0" encoding="UTF-8" standalone="yes"?>
<Relationships xmlns="http://schemas.openxmlformats.org/package/2006/relationships"><Relationship Id="rId2" Type="http://schemas.openxmlformats.org/officeDocument/2006/relationships/package" Target="../embeddings/Microsoft_Excel_Worksheet27.xlsx"/><Relationship Id="rId1" Type="http://schemas.openxmlformats.org/officeDocument/2006/relationships/themeOverride" Target="../theme/themeOverride32.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AMD\Desktop\&#1047;&#1077;&#1084;&#1077;&#1083;&#1100;&#1085;&#1080;&#1081;%20&#1110;%20&#1074;&#1086;&#1076;&#1085;&#1080;&#1081;%20&#1089;&#1083;&#1110;&#1076;.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MD\Desktop\&#1047;&#1077;&#1084;&#1077;&#1083;&#1100;&#1085;&#1080;&#1081;%20&#1110;%20&#1074;&#1086;&#1076;&#1085;&#1080;&#1081;%20&#1089;&#1083;&#1110;&#1076;.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1055;&#1050;\Desktop\&#1057;&#1090;&#1072;&#1090;&#1080;&#1089;&#1090;&#1080;&#1082;&#1072;%20&#1079;&#1072;%2030%20&#1088;&#1086;&#1082;&#1110;&#1074;.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1055;&#1050;\Desktop\&#1057;&#1090;&#1072;&#1090;&#1080;&#1089;&#1090;&#1080;&#1082;&#1072;%20&#1079;&#1072;%2030%20&#1088;&#1086;&#1082;&#1110;&#107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1055;&#1050;\Desktop\&#1057;&#1090;&#1072;&#1090;&#1080;&#1089;&#1090;&#1080;&#1082;&#1072;%20&#1079;&#1072;%2030%20&#1088;&#1086;&#1082;&#1110;&#107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361111111111111E-2"/>
          <c:y val="4.6295931758530182E-2"/>
          <c:w val="0.96111111111111114"/>
          <c:h val="0.56944298629337997"/>
        </c:manualLayout>
      </c:layout>
      <c:pie3DChart>
        <c:varyColors val="1"/>
        <c:ser>
          <c:idx val="0"/>
          <c:order val="0"/>
          <c:dPt>
            <c:idx val="0"/>
            <c:bubble3D val="0"/>
            <c:spPr>
              <a:solidFill>
                <a:schemeClr val="bg2"/>
              </a:solidFill>
              <a:ln w="25400">
                <a:solidFill>
                  <a:schemeClr val="lt1"/>
                </a:solidFill>
              </a:ln>
              <a:effectLst/>
              <a:sp3d contourW="25400">
                <a:contourClr>
                  <a:schemeClr val="lt1"/>
                </a:contourClr>
              </a:sp3d>
            </c:spPr>
            <c:extLst>
              <c:ext xmlns:c16="http://schemas.microsoft.com/office/drawing/2014/chart" uri="{C3380CC4-5D6E-409C-BE32-E72D297353CC}">
                <c16:uniqueId val="{00000001-F69E-4532-A873-F23E5A655BC4}"/>
              </c:ext>
            </c:extLst>
          </c:dPt>
          <c:dPt>
            <c:idx val="1"/>
            <c:bubble3D val="0"/>
            <c:spPr>
              <a:pattFill prst="pct5">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F69E-4532-A873-F23E5A655BC4}"/>
              </c:ext>
            </c:extLst>
          </c:dPt>
          <c:dPt>
            <c:idx val="2"/>
            <c:bubble3D val="0"/>
            <c:spPr>
              <a:pattFill prst="ltVert">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5-F69E-4532-A873-F23E5A655BC4}"/>
              </c:ext>
            </c:extLst>
          </c:dPt>
          <c:dPt>
            <c:idx val="3"/>
            <c:bubble3D val="0"/>
            <c:spPr>
              <a:solidFill>
                <a:schemeClr val="bg1">
                  <a:lumMod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F69E-4532-A873-F23E5A655BC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Lit>
              <c:ptCount val="4"/>
              <c:pt idx="0">
                <c:v>Працюють дистанційно</c:v>
              </c:pt>
              <c:pt idx="1">
                <c:v> Працюють в офісі</c:v>
              </c:pt>
              <c:pt idx="2">
                <c:v> Працюють змішано, проте більше дистанційно</c:v>
              </c:pt>
              <c:pt idx="3">
                <c:v> Працюють змішано,проте більше в офісі</c:v>
              </c:pt>
            </c:strLit>
          </c:cat>
          <c:val>
            <c:numRef>
              <c:f>Sheet1!$B$2:$B$5</c:f>
              <c:numCache>
                <c:formatCode>General</c:formatCode>
                <c:ptCount val="4"/>
                <c:pt idx="0">
                  <c:v>44</c:v>
                </c:pt>
                <c:pt idx="1">
                  <c:v>39</c:v>
                </c:pt>
                <c:pt idx="2">
                  <c:v>10</c:v>
                </c:pt>
                <c:pt idx="3">
                  <c:v>7</c:v>
                </c:pt>
              </c:numCache>
            </c:numRef>
          </c:val>
          <c:extLst>
            <c:ext xmlns:c16="http://schemas.microsoft.com/office/drawing/2014/chart" uri="{C3380CC4-5D6E-409C-BE32-E72D297353CC}">
              <c16:uniqueId val="{00000008-F69E-4532-A873-F23E5A655BC4}"/>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5.8121043693067767E-2"/>
          <c:y val="0.66203484981044036"/>
          <c:w val="0.88744605453730052"/>
          <c:h val="0.3101873724117819"/>
        </c:manualLayout>
      </c:layout>
      <c:overlay val="0"/>
      <c:spPr>
        <a:noFill/>
        <a:ln>
          <a:noFill/>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spPr>
            <a:pattFill prst="narHorz">
              <a:fgClr>
                <a:schemeClr val="dk1">
                  <a:tint val="88500"/>
                </a:schemeClr>
              </a:fgClr>
              <a:bgClr>
                <a:schemeClr val="dk1">
                  <a:tint val="88500"/>
                  <a:lumMod val="20000"/>
                  <a:lumOff val="80000"/>
                </a:schemeClr>
              </a:bgClr>
            </a:pattFill>
            <a:ln>
              <a:noFill/>
            </a:ln>
            <a:effectLst>
              <a:innerShdw blurRad="114300">
                <a:schemeClr val="dk1">
                  <a:tint val="88500"/>
                </a:schemeClr>
              </a:innerShdw>
            </a:effectLst>
          </c:spPr>
          <c:invertIfNegative val="0"/>
          <c:dLbls>
            <c:dLbl>
              <c:idx val="0"/>
              <c:layout>
                <c:manualLayout>
                  <c:x val="-1.1560693641618524E-2"/>
                  <c:y val="2.5750896291619467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7A4-4E54-94BB-5CF0FC54AEB1}"/>
                </c:ext>
              </c:extLst>
            </c:dLbl>
            <c:dLbl>
              <c:idx val="1"/>
              <c:layout>
                <c:manualLayout>
                  <c:x val="-2.8901734104046775E-3"/>
                  <c:y val="3.281553776106489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7A4-4E54-94BB-5CF0FC54AEB1}"/>
                </c:ext>
              </c:extLst>
            </c:dLbl>
            <c:dLbl>
              <c:idx val="2"/>
              <c:layout>
                <c:manualLayout>
                  <c:x val="0"/>
                  <c:y val="4.5569718832831905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7A4-4E54-94BB-5CF0FC54AEB1}"/>
                </c:ext>
              </c:extLst>
            </c:dLbl>
            <c:dLbl>
              <c:idx val="3"/>
              <c:layout>
                <c:manualLayout>
                  <c:x val="2.8901734104045183E-3"/>
                  <c:y val="4.5569718832832225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7A4-4E54-94BB-5CF0FC54AEB1}"/>
                </c:ext>
              </c:extLst>
            </c:dLbl>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'Земельний слід Костопільський'!$N$38:$N$41</c:f>
              <c:numCache>
                <c:formatCode>General</c:formatCode>
                <c:ptCount val="4"/>
                <c:pt idx="0">
                  <c:v>1990</c:v>
                </c:pt>
                <c:pt idx="1">
                  <c:v>2002</c:v>
                </c:pt>
                <c:pt idx="2">
                  <c:v>2011</c:v>
                </c:pt>
                <c:pt idx="3">
                  <c:v>2020</c:v>
                </c:pt>
              </c:numCache>
            </c:numRef>
          </c:cat>
          <c:val>
            <c:numRef>
              <c:f>'Земельний слід Костопільський'!$R$38:$R$41</c:f>
              <c:numCache>
                <c:formatCode>0.00</c:formatCode>
                <c:ptCount val="4"/>
                <c:pt idx="0">
                  <c:v>1.2327530286402524</c:v>
                </c:pt>
                <c:pt idx="1">
                  <c:v>1.1636432802565078</c:v>
                </c:pt>
                <c:pt idx="2">
                  <c:v>1.2567707973274667</c:v>
                </c:pt>
                <c:pt idx="3">
                  <c:v>1.4423087505597851</c:v>
                </c:pt>
              </c:numCache>
            </c:numRef>
          </c:val>
          <c:extLst>
            <c:ext xmlns:c16="http://schemas.microsoft.com/office/drawing/2014/chart" uri="{C3380CC4-5D6E-409C-BE32-E72D297353CC}">
              <c16:uniqueId val="{00000004-A7A4-4E54-94BB-5CF0FC54AEB1}"/>
            </c:ext>
          </c:extLst>
        </c:ser>
        <c:dLbls>
          <c:dLblPos val="inEnd"/>
          <c:showLegendKey val="0"/>
          <c:showVal val="1"/>
          <c:showCatName val="0"/>
          <c:showSerName val="0"/>
          <c:showPercent val="0"/>
          <c:showBubbleSize val="0"/>
        </c:dLbls>
        <c:gapWidth val="164"/>
        <c:overlap val="-22"/>
        <c:axId val="369255472"/>
        <c:axId val="369243320"/>
      </c:barChart>
      <c:catAx>
        <c:axId val="36925547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69243320"/>
        <c:crosses val="autoZero"/>
        <c:auto val="0"/>
        <c:lblAlgn val="ctr"/>
        <c:lblOffset val="100"/>
        <c:noMultiLvlLbl val="0"/>
      </c:catAx>
      <c:valAx>
        <c:axId val="369243320"/>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6925547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1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598795926802916E-2"/>
          <c:y val="6.3633211222389893E-2"/>
          <c:w val="0.90040125948118754"/>
          <c:h val="0.80703323231954827"/>
        </c:manualLayout>
      </c:layout>
      <c:barChart>
        <c:barDir val="col"/>
        <c:grouping val="clustered"/>
        <c:varyColors val="0"/>
        <c:ser>
          <c:idx val="0"/>
          <c:order val="0"/>
          <c:tx>
            <c:strRef>
              <c:f>'Земельний слід Радивилівський'!$O$37</c:f>
              <c:strCache>
                <c:ptCount val="1"/>
                <c:pt idx="0">
                  <c:v>N</c:v>
                </c:pt>
              </c:strCache>
            </c:strRef>
          </c:tx>
          <c:spPr>
            <a:pattFill prst="pct70">
              <a:fgClr>
                <a:schemeClr val="tx1">
                  <a:lumMod val="50000"/>
                  <a:lumOff val="50000"/>
                </a:schemeClr>
              </a:fgClr>
              <a:bgClr>
                <a:schemeClr val="bg1"/>
              </a:bgClr>
            </a:patt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'Земельний слід Радивилівський'!$N$38:$N$41</c:f>
              <c:numCache>
                <c:formatCode>General</c:formatCode>
                <c:ptCount val="4"/>
                <c:pt idx="0">
                  <c:v>1990</c:v>
                </c:pt>
                <c:pt idx="1">
                  <c:v>2002</c:v>
                </c:pt>
                <c:pt idx="2">
                  <c:v>2011</c:v>
                </c:pt>
                <c:pt idx="3">
                  <c:v>2020</c:v>
                </c:pt>
              </c:numCache>
            </c:numRef>
          </c:cat>
          <c:val>
            <c:numRef>
              <c:f>'Земельний слід Радивилівський'!$O$38:$O$41</c:f>
              <c:numCache>
                <c:formatCode>0.00</c:formatCode>
                <c:ptCount val="4"/>
                <c:pt idx="0">
                  <c:v>98.341670263001532</c:v>
                </c:pt>
                <c:pt idx="1">
                  <c:v>37.780156723426494</c:v>
                </c:pt>
                <c:pt idx="2">
                  <c:v>62.265006219296616</c:v>
                </c:pt>
                <c:pt idx="3">
                  <c:v>120.55209014503622</c:v>
                </c:pt>
              </c:numCache>
            </c:numRef>
          </c:val>
          <c:extLst>
            <c:ext xmlns:c16="http://schemas.microsoft.com/office/drawing/2014/chart" uri="{C3380CC4-5D6E-409C-BE32-E72D297353CC}">
              <c16:uniqueId val="{00000000-6212-4820-AF0C-C31C6107F564}"/>
            </c:ext>
          </c:extLst>
        </c:ser>
        <c:ser>
          <c:idx val="1"/>
          <c:order val="1"/>
          <c:tx>
            <c:strRef>
              <c:f>'Земельний слід Радивилівський'!$P$37</c:f>
              <c:strCache>
                <c:ptCount val="1"/>
                <c:pt idx="0">
                  <c:v>P</c:v>
                </c:pt>
              </c:strCache>
            </c:strRef>
          </c:tx>
          <c:spPr>
            <a:pattFill prst="pct25">
              <a:fgClr>
                <a:schemeClr val="tx1">
                  <a:lumMod val="50000"/>
                  <a:lumOff val="50000"/>
                </a:schemeClr>
              </a:fgClr>
              <a:bgClr>
                <a:schemeClr val="bg1"/>
              </a:bgClr>
            </a:patt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'Земельний слід Радивилівський'!$N$38:$N$41</c:f>
              <c:numCache>
                <c:formatCode>General</c:formatCode>
                <c:ptCount val="4"/>
                <c:pt idx="0">
                  <c:v>1990</c:v>
                </c:pt>
                <c:pt idx="1">
                  <c:v>2002</c:v>
                </c:pt>
                <c:pt idx="2">
                  <c:v>2011</c:v>
                </c:pt>
                <c:pt idx="3">
                  <c:v>2020</c:v>
                </c:pt>
              </c:numCache>
            </c:numRef>
          </c:cat>
          <c:val>
            <c:numRef>
              <c:f>'Земельний слід Радивилівський'!$P$38:$P$41</c:f>
              <c:numCache>
                <c:formatCode>0.00</c:formatCode>
                <c:ptCount val="4"/>
                <c:pt idx="0">
                  <c:v>32.588849485567749</c:v>
                </c:pt>
                <c:pt idx="1">
                  <c:v>13.500004674505666</c:v>
                </c:pt>
                <c:pt idx="2">
                  <c:v>22.081155953673985</c:v>
                </c:pt>
                <c:pt idx="3">
                  <c:v>64.858624239582085</c:v>
                </c:pt>
              </c:numCache>
            </c:numRef>
          </c:val>
          <c:extLst>
            <c:ext xmlns:c16="http://schemas.microsoft.com/office/drawing/2014/chart" uri="{C3380CC4-5D6E-409C-BE32-E72D297353CC}">
              <c16:uniqueId val="{00000001-6212-4820-AF0C-C31C6107F564}"/>
            </c:ext>
          </c:extLst>
        </c:ser>
        <c:ser>
          <c:idx val="2"/>
          <c:order val="2"/>
          <c:tx>
            <c:strRef>
              <c:f>'Земельний слід Радивилівський'!$Q$37</c:f>
              <c:strCache>
                <c:ptCount val="1"/>
                <c:pt idx="0">
                  <c:v>K</c:v>
                </c:pt>
              </c:strCache>
            </c:strRef>
          </c:tx>
          <c:spPr>
            <a:pattFill prst="dkUpDiag">
              <a:fgClr>
                <a:schemeClr val="tx1">
                  <a:lumMod val="50000"/>
                  <a:lumOff val="50000"/>
                </a:schemeClr>
              </a:fgClr>
              <a:bgClr>
                <a:schemeClr val="bg1"/>
              </a:bgClr>
            </a:patt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'Земельний слід Радивилівський'!$N$38:$N$41</c:f>
              <c:numCache>
                <c:formatCode>General</c:formatCode>
                <c:ptCount val="4"/>
                <c:pt idx="0">
                  <c:v>1990</c:v>
                </c:pt>
                <c:pt idx="1">
                  <c:v>2002</c:v>
                </c:pt>
                <c:pt idx="2">
                  <c:v>2011</c:v>
                </c:pt>
                <c:pt idx="3">
                  <c:v>2020</c:v>
                </c:pt>
              </c:numCache>
            </c:numRef>
          </c:cat>
          <c:val>
            <c:numRef>
              <c:f>'Земельний слід Радивилівський'!$Q$38:$Q$41</c:f>
              <c:numCache>
                <c:formatCode>0.00</c:formatCode>
                <c:ptCount val="4"/>
                <c:pt idx="0">
                  <c:v>60.367936954686186</c:v>
                </c:pt>
                <c:pt idx="1">
                  <c:v>18.482956327368381</c:v>
                </c:pt>
                <c:pt idx="2">
                  <c:v>25.06651799183841</c:v>
                </c:pt>
                <c:pt idx="3">
                  <c:v>32.050924568241996</c:v>
                </c:pt>
              </c:numCache>
            </c:numRef>
          </c:val>
          <c:extLst>
            <c:ext xmlns:c16="http://schemas.microsoft.com/office/drawing/2014/chart" uri="{C3380CC4-5D6E-409C-BE32-E72D297353CC}">
              <c16:uniqueId val="{00000002-6212-4820-AF0C-C31C6107F564}"/>
            </c:ext>
          </c:extLst>
        </c:ser>
        <c:dLbls>
          <c:showLegendKey val="0"/>
          <c:showVal val="0"/>
          <c:showCatName val="0"/>
          <c:showSerName val="0"/>
          <c:showPercent val="0"/>
          <c:showBubbleSize val="0"/>
        </c:dLbls>
        <c:gapWidth val="219"/>
        <c:overlap val="-27"/>
        <c:axId val="418959568"/>
        <c:axId val="418958392"/>
      </c:barChart>
      <c:catAx>
        <c:axId val="418959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418958392"/>
        <c:crosses val="autoZero"/>
        <c:auto val="1"/>
        <c:lblAlgn val="ctr"/>
        <c:lblOffset val="100"/>
        <c:noMultiLvlLbl val="0"/>
      </c:catAx>
      <c:valAx>
        <c:axId val="418958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кг</a:t>
                </a:r>
                <a:r>
                  <a:rPr lang="en-US"/>
                  <a:t>/</a:t>
                </a:r>
                <a:r>
                  <a:rPr lang="uk-UA"/>
                  <a:t>га</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418959568"/>
        <c:crosses val="autoZero"/>
        <c:crossBetween val="between"/>
      </c:valAx>
      <c:spPr>
        <a:noFill/>
        <a:ln w="25400">
          <a:noFill/>
        </a:ln>
        <a:effectLst/>
      </c:spPr>
    </c:plotArea>
    <c:legend>
      <c:legendPos val="b"/>
      <c:layout>
        <c:manualLayout>
          <c:xMode val="edge"/>
          <c:yMode val="edge"/>
          <c:x val="0.44745980816281611"/>
          <c:y val="0.91733343268642709"/>
          <c:w val="0.17545490717915604"/>
          <c:h val="6.606414244444779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4.3706856384374132E-2"/>
          <c:y val="0.11710221170225138"/>
          <c:w val="0.94137519234760003"/>
          <c:h val="0.74109676745748287"/>
        </c:manualLayout>
      </c:layout>
      <c:barChart>
        <c:barDir val="col"/>
        <c:grouping val="clustered"/>
        <c:varyColors val="0"/>
        <c:ser>
          <c:idx val="0"/>
          <c:order val="0"/>
          <c:spPr>
            <a:pattFill prst="narHorz">
              <a:fgClr>
                <a:schemeClr val="dk1">
                  <a:tint val="88500"/>
                </a:schemeClr>
              </a:fgClr>
              <a:bgClr>
                <a:schemeClr val="dk1">
                  <a:tint val="88500"/>
                  <a:lumMod val="20000"/>
                  <a:lumOff val="80000"/>
                </a:schemeClr>
              </a:bgClr>
            </a:pattFill>
            <a:ln>
              <a:noFill/>
            </a:ln>
            <a:effectLst>
              <a:innerShdw blurRad="114300">
                <a:schemeClr val="dk1">
                  <a:tint val="88500"/>
                </a:schemeClr>
              </a:innerShdw>
            </a:effectLst>
          </c:spPr>
          <c:invertIfNegative val="0"/>
          <c:dLbls>
            <c:dLbl>
              <c:idx val="0"/>
              <c:layout>
                <c:manualLayout>
                  <c:x val="-2.4863252113376429E-3"/>
                  <c:y val="-1.0082364923298864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C0D-4343-B592-B833492158CC}"/>
                </c:ext>
              </c:extLst>
            </c:dLbl>
            <c:dLbl>
              <c:idx val="1"/>
              <c:layout>
                <c:manualLayout>
                  <c:x val="-2.4863252113377339E-3"/>
                  <c:y val="9.932646335145059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C0D-4343-B592-B833492158CC}"/>
                </c:ext>
              </c:extLst>
            </c:dLbl>
            <c:dLbl>
              <c:idx val="2"/>
              <c:layout>
                <c:manualLayout>
                  <c:x val="0"/>
                  <c:y val="-5.078612108687815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C0D-4343-B592-B833492158CC}"/>
                </c:ext>
              </c:extLst>
            </c:dLbl>
            <c:dLbl>
              <c:idx val="3"/>
              <c:layout>
                <c:manualLayout>
                  <c:x val="0"/>
                  <c:y val="4.9288935205340787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C0D-4343-B592-B833492158CC}"/>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'Земельний слід Радивилівський'!$N$38:$N$41</c:f>
              <c:numCache>
                <c:formatCode>General</c:formatCode>
                <c:ptCount val="4"/>
                <c:pt idx="0">
                  <c:v>1990</c:v>
                </c:pt>
                <c:pt idx="1">
                  <c:v>2002</c:v>
                </c:pt>
                <c:pt idx="2">
                  <c:v>2011</c:v>
                </c:pt>
                <c:pt idx="3">
                  <c:v>2020</c:v>
                </c:pt>
              </c:numCache>
            </c:numRef>
          </c:cat>
          <c:val>
            <c:numRef>
              <c:f>'Земельний слід Радивилівський'!$R$38:$R$41</c:f>
              <c:numCache>
                <c:formatCode>0.00</c:formatCode>
                <c:ptCount val="4"/>
                <c:pt idx="0">
                  <c:v>1.1820505363229818</c:v>
                </c:pt>
                <c:pt idx="1">
                  <c:v>1.204749510239292</c:v>
                </c:pt>
                <c:pt idx="2">
                  <c:v>1.4028567740578826</c:v>
                </c:pt>
                <c:pt idx="3">
                  <c:v>1.3879733630032931</c:v>
                </c:pt>
              </c:numCache>
            </c:numRef>
          </c:val>
          <c:extLst>
            <c:ext xmlns:c16="http://schemas.microsoft.com/office/drawing/2014/chart" uri="{C3380CC4-5D6E-409C-BE32-E72D297353CC}">
              <c16:uniqueId val="{00000004-0C0D-4343-B592-B833492158CC}"/>
            </c:ext>
          </c:extLst>
        </c:ser>
        <c:dLbls>
          <c:dLblPos val="inEnd"/>
          <c:showLegendKey val="0"/>
          <c:showVal val="1"/>
          <c:showCatName val="0"/>
          <c:showSerName val="0"/>
          <c:showPercent val="0"/>
          <c:showBubbleSize val="0"/>
        </c:dLbls>
        <c:gapWidth val="164"/>
        <c:overlap val="-22"/>
        <c:axId val="418956040"/>
        <c:axId val="418955648"/>
      </c:barChart>
      <c:catAx>
        <c:axId val="41895604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418955648"/>
        <c:crosses val="autoZero"/>
        <c:auto val="1"/>
        <c:lblAlgn val="ctr"/>
        <c:lblOffset val="100"/>
        <c:noMultiLvlLbl val="0"/>
      </c:catAx>
      <c:valAx>
        <c:axId val="418955648"/>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41895604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mn-cs"/>
            </a:defRPr>
          </a:pPr>
          <a:endParaRPr lang="ru-UA"/>
        </a:p>
      </c:txPr>
    </c:title>
    <c:autoTitleDeleted val="0"/>
    <c:plotArea>
      <c:layout/>
      <c:scatterChart>
        <c:scatterStyle val="lineMarker"/>
        <c:varyColors val="0"/>
        <c:ser>
          <c:idx val="0"/>
          <c:order val="0"/>
          <c:tx>
            <c:strRef>
              <c:f>Лист1!$B$27</c:f>
              <c:strCache>
                <c:ptCount val="1"/>
                <c:pt idx="0">
                  <c:v>вирощування багаторічних культур</c:v>
                </c:pt>
              </c:strCache>
            </c:strRef>
          </c:tx>
          <c:spPr>
            <a:ln w="19050" cap="rnd">
              <a:solidFill>
                <a:schemeClr val="accent1"/>
              </a:solidFill>
              <a:round/>
            </a:ln>
            <a:effectLst/>
          </c:spPr>
          <c:marker>
            <c:symbol val="circle"/>
            <c:size val="5"/>
            <c:spPr>
              <a:solidFill>
                <a:schemeClr val="tx1"/>
              </a:solidFill>
              <a:ln w="9525">
                <a:solidFill>
                  <a:sysClr val="windowText" lastClr="000000"/>
                </a:solidFill>
              </a:ln>
              <a:effectLst/>
            </c:spPr>
          </c:marker>
          <c:dPt>
            <c:idx val="1"/>
            <c:marker>
              <c:symbol val="circle"/>
              <c:size val="5"/>
              <c:spPr>
                <a:solidFill>
                  <a:schemeClr val="tx1"/>
                </a:solidFill>
                <a:ln w="9525">
                  <a:solidFill>
                    <a:sysClr val="windowText" lastClr="000000"/>
                  </a:solidFill>
                </a:ln>
                <a:effectLst/>
              </c:spPr>
            </c:marker>
            <c:bubble3D val="0"/>
            <c:spPr>
              <a:ln w="19050" cap="rnd">
                <a:solidFill>
                  <a:schemeClr val="tx1"/>
                </a:solidFill>
                <a:round/>
              </a:ln>
              <a:effectLst/>
            </c:spPr>
            <c:extLst>
              <c:ext xmlns:c16="http://schemas.microsoft.com/office/drawing/2014/chart" uri="{C3380CC4-5D6E-409C-BE32-E72D297353CC}">
                <c16:uniqueId val="{00000001-C0EB-4C84-8217-422F15E3C16E}"/>
              </c:ext>
            </c:extLst>
          </c:dPt>
          <c:dPt>
            <c:idx val="2"/>
            <c:marker>
              <c:symbol val="circle"/>
              <c:size val="5"/>
              <c:spPr>
                <a:solidFill>
                  <a:schemeClr val="tx1"/>
                </a:solidFill>
                <a:ln w="9525">
                  <a:solidFill>
                    <a:sysClr val="windowText" lastClr="000000"/>
                  </a:solidFill>
                </a:ln>
                <a:effectLst/>
              </c:spPr>
            </c:marker>
            <c:bubble3D val="0"/>
            <c:spPr>
              <a:ln w="19050" cap="rnd">
                <a:solidFill>
                  <a:schemeClr val="tx1"/>
                </a:solidFill>
                <a:round/>
              </a:ln>
              <a:effectLst/>
            </c:spPr>
            <c:extLst>
              <c:ext xmlns:c16="http://schemas.microsoft.com/office/drawing/2014/chart" uri="{C3380CC4-5D6E-409C-BE32-E72D297353CC}">
                <c16:uniqueId val="{00000003-C0EB-4C84-8217-422F15E3C16E}"/>
              </c:ext>
            </c:extLst>
          </c:dPt>
          <c:dPt>
            <c:idx val="3"/>
            <c:marker>
              <c:symbol val="circle"/>
              <c:size val="5"/>
              <c:spPr>
                <a:solidFill>
                  <a:schemeClr val="tx1"/>
                </a:solidFill>
                <a:ln w="9525">
                  <a:solidFill>
                    <a:sysClr val="windowText" lastClr="000000"/>
                  </a:solidFill>
                </a:ln>
                <a:effectLst/>
              </c:spPr>
            </c:marker>
            <c:bubble3D val="0"/>
            <c:spPr>
              <a:ln w="19050" cap="rnd">
                <a:solidFill>
                  <a:schemeClr val="tx1"/>
                </a:solidFill>
                <a:round/>
              </a:ln>
              <a:effectLst/>
            </c:spPr>
            <c:extLst>
              <c:ext xmlns:c16="http://schemas.microsoft.com/office/drawing/2014/chart" uri="{C3380CC4-5D6E-409C-BE32-E72D297353CC}">
                <c16:uniqueId val="{00000005-C0EB-4C84-8217-422F15E3C16E}"/>
              </c:ext>
            </c:extLst>
          </c:dPt>
          <c:dPt>
            <c:idx val="4"/>
            <c:marker>
              <c:symbol val="circle"/>
              <c:size val="5"/>
              <c:spPr>
                <a:solidFill>
                  <a:schemeClr val="tx1"/>
                </a:solidFill>
                <a:ln w="9525">
                  <a:solidFill>
                    <a:sysClr val="windowText" lastClr="000000"/>
                  </a:solidFill>
                </a:ln>
                <a:effectLst/>
              </c:spPr>
            </c:marker>
            <c:bubble3D val="0"/>
            <c:spPr>
              <a:ln w="19050" cap="rnd">
                <a:solidFill>
                  <a:schemeClr val="tx1"/>
                </a:solidFill>
                <a:round/>
              </a:ln>
              <a:effectLst/>
            </c:spPr>
            <c:extLst>
              <c:ext xmlns:c16="http://schemas.microsoft.com/office/drawing/2014/chart" uri="{C3380CC4-5D6E-409C-BE32-E72D297353CC}">
                <c16:uniqueId val="{00000007-C0EB-4C84-8217-422F15E3C16E}"/>
              </c:ext>
            </c:extLst>
          </c:dPt>
          <c:dPt>
            <c:idx val="5"/>
            <c:marker>
              <c:symbol val="circle"/>
              <c:size val="5"/>
              <c:spPr>
                <a:solidFill>
                  <a:schemeClr val="tx1"/>
                </a:solidFill>
                <a:ln w="9525">
                  <a:solidFill>
                    <a:sysClr val="windowText" lastClr="000000"/>
                  </a:solidFill>
                </a:ln>
                <a:effectLst/>
              </c:spPr>
            </c:marker>
            <c:bubble3D val="0"/>
            <c:spPr>
              <a:ln w="19050" cap="rnd">
                <a:solidFill>
                  <a:schemeClr val="tx1"/>
                </a:solidFill>
                <a:round/>
              </a:ln>
              <a:effectLst/>
            </c:spPr>
            <c:extLst>
              <c:ext xmlns:c16="http://schemas.microsoft.com/office/drawing/2014/chart" uri="{C3380CC4-5D6E-409C-BE32-E72D297353CC}">
                <c16:uniqueId val="{00000009-C0EB-4C84-8217-422F15E3C16E}"/>
              </c:ext>
            </c:extLst>
          </c:dPt>
          <c:dPt>
            <c:idx val="6"/>
            <c:marker>
              <c:symbol val="circle"/>
              <c:size val="5"/>
              <c:spPr>
                <a:solidFill>
                  <a:schemeClr val="tx1"/>
                </a:solidFill>
                <a:ln w="9525">
                  <a:solidFill>
                    <a:sysClr val="windowText" lastClr="000000"/>
                  </a:solidFill>
                </a:ln>
                <a:effectLst/>
              </c:spPr>
            </c:marker>
            <c:bubble3D val="0"/>
            <c:spPr>
              <a:ln w="19050" cap="rnd">
                <a:solidFill>
                  <a:schemeClr val="tx1"/>
                </a:solidFill>
                <a:round/>
              </a:ln>
              <a:effectLst/>
            </c:spPr>
            <c:extLst>
              <c:ext xmlns:c16="http://schemas.microsoft.com/office/drawing/2014/chart" uri="{C3380CC4-5D6E-409C-BE32-E72D297353CC}">
                <c16:uniqueId val="{0000000B-C0EB-4C84-8217-422F15E3C16E}"/>
              </c:ext>
            </c:extLst>
          </c:dPt>
          <c:dPt>
            <c:idx val="7"/>
            <c:marker>
              <c:symbol val="circle"/>
              <c:size val="5"/>
              <c:spPr>
                <a:solidFill>
                  <a:schemeClr val="tx1"/>
                </a:solidFill>
                <a:ln w="9525">
                  <a:solidFill>
                    <a:sysClr val="windowText" lastClr="000000"/>
                  </a:solidFill>
                </a:ln>
                <a:effectLst/>
              </c:spPr>
            </c:marker>
            <c:bubble3D val="0"/>
            <c:spPr>
              <a:ln w="19050" cap="rnd">
                <a:solidFill>
                  <a:schemeClr val="tx1"/>
                </a:solidFill>
                <a:round/>
              </a:ln>
              <a:effectLst/>
            </c:spPr>
            <c:extLst>
              <c:ext xmlns:c16="http://schemas.microsoft.com/office/drawing/2014/chart" uri="{C3380CC4-5D6E-409C-BE32-E72D297353CC}">
                <c16:uniqueId val="{0000000D-C0EB-4C84-8217-422F15E3C16E}"/>
              </c:ext>
            </c:extLst>
          </c:dPt>
          <c:dPt>
            <c:idx val="8"/>
            <c:marker>
              <c:symbol val="circle"/>
              <c:size val="5"/>
              <c:spPr>
                <a:solidFill>
                  <a:schemeClr val="tx1"/>
                </a:solidFill>
                <a:ln w="9525">
                  <a:solidFill>
                    <a:sysClr val="windowText" lastClr="000000"/>
                  </a:solidFill>
                </a:ln>
                <a:effectLst/>
              </c:spPr>
            </c:marker>
            <c:bubble3D val="0"/>
            <c:spPr>
              <a:ln w="19050" cap="rnd">
                <a:solidFill>
                  <a:schemeClr val="tx1"/>
                </a:solidFill>
                <a:round/>
              </a:ln>
              <a:effectLst/>
            </c:spPr>
            <c:extLst>
              <c:ext xmlns:c16="http://schemas.microsoft.com/office/drawing/2014/chart" uri="{C3380CC4-5D6E-409C-BE32-E72D297353CC}">
                <c16:uniqueId val="{0000000F-C0EB-4C84-8217-422F15E3C16E}"/>
              </c:ext>
            </c:extLst>
          </c:dPt>
          <c:dPt>
            <c:idx val="9"/>
            <c:marker>
              <c:symbol val="circle"/>
              <c:size val="5"/>
              <c:spPr>
                <a:solidFill>
                  <a:schemeClr val="tx1"/>
                </a:solidFill>
                <a:ln w="9525">
                  <a:solidFill>
                    <a:sysClr val="windowText" lastClr="000000"/>
                  </a:solidFill>
                </a:ln>
                <a:effectLst/>
              </c:spPr>
            </c:marker>
            <c:bubble3D val="0"/>
            <c:spPr>
              <a:ln w="19050" cap="rnd">
                <a:solidFill>
                  <a:schemeClr val="tx1"/>
                </a:solidFill>
                <a:round/>
              </a:ln>
              <a:effectLst/>
            </c:spPr>
            <c:extLst>
              <c:ext xmlns:c16="http://schemas.microsoft.com/office/drawing/2014/chart" uri="{C3380CC4-5D6E-409C-BE32-E72D297353CC}">
                <c16:uniqueId val="{00000011-C0EB-4C84-8217-422F15E3C16E}"/>
              </c:ext>
            </c:extLst>
          </c:dPt>
          <c:dPt>
            <c:idx val="10"/>
            <c:marker>
              <c:symbol val="circle"/>
              <c:size val="5"/>
              <c:spPr>
                <a:solidFill>
                  <a:schemeClr val="tx1"/>
                </a:solidFill>
                <a:ln w="9525">
                  <a:solidFill>
                    <a:sysClr val="windowText" lastClr="000000"/>
                  </a:solidFill>
                </a:ln>
                <a:effectLst/>
              </c:spPr>
            </c:marker>
            <c:bubble3D val="0"/>
            <c:spPr>
              <a:ln w="19050" cap="rnd">
                <a:solidFill>
                  <a:schemeClr val="tx1"/>
                </a:solidFill>
                <a:round/>
              </a:ln>
              <a:effectLst/>
            </c:spPr>
            <c:extLst>
              <c:ext xmlns:c16="http://schemas.microsoft.com/office/drawing/2014/chart" uri="{C3380CC4-5D6E-409C-BE32-E72D297353CC}">
                <c16:uniqueId val="{00000013-C0EB-4C84-8217-422F15E3C16E}"/>
              </c:ext>
            </c:extLst>
          </c:dPt>
          <c:dPt>
            <c:idx val="11"/>
            <c:marker>
              <c:symbol val="circle"/>
              <c:size val="5"/>
              <c:spPr>
                <a:solidFill>
                  <a:schemeClr val="tx1"/>
                </a:solidFill>
                <a:ln w="9525">
                  <a:solidFill>
                    <a:sysClr val="windowText" lastClr="000000"/>
                  </a:solidFill>
                </a:ln>
                <a:effectLst/>
              </c:spPr>
            </c:marker>
            <c:bubble3D val="0"/>
            <c:spPr>
              <a:ln w="19050" cap="rnd">
                <a:solidFill>
                  <a:schemeClr val="tx1"/>
                </a:solidFill>
                <a:round/>
              </a:ln>
              <a:effectLst/>
            </c:spPr>
            <c:extLst>
              <c:ext xmlns:c16="http://schemas.microsoft.com/office/drawing/2014/chart" uri="{C3380CC4-5D6E-409C-BE32-E72D297353CC}">
                <c16:uniqueId val="{00000015-C0EB-4C84-8217-422F15E3C16E}"/>
              </c:ext>
            </c:extLst>
          </c:dPt>
          <c:xVal>
            <c:numRef>
              <c:f>Лист1!$D$3:$D$14</c:f>
              <c:numCache>
                <c:formatCode>0</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xVal>
          <c:yVal>
            <c:numRef>
              <c:f>Лист1!$H$27:$H$38</c:f>
              <c:numCache>
                <c:formatCode>0.00</c:formatCode>
                <c:ptCount val="12"/>
                <c:pt idx="0">
                  <c:v>10.06335461583719</c:v>
                </c:pt>
                <c:pt idx="1">
                  <c:v>14.613030264506571</c:v>
                </c:pt>
                <c:pt idx="2">
                  <c:v>34.443082610631343</c:v>
                </c:pt>
                <c:pt idx="3">
                  <c:v>45.994743912745264</c:v>
                </c:pt>
                <c:pt idx="4">
                  <c:v>49.235129642000437</c:v>
                </c:pt>
                <c:pt idx="5">
                  <c:v>34.170544568379952</c:v>
                </c:pt>
                <c:pt idx="6">
                  <c:v>17.07482885342116</c:v>
                </c:pt>
                <c:pt idx="7">
                  <c:v>19.429075358730188</c:v>
                </c:pt>
                <c:pt idx="8">
                  <c:v>10.614938418287931</c:v>
                </c:pt>
                <c:pt idx="9">
                  <c:v>16.715176122838411</c:v>
                </c:pt>
                <c:pt idx="10">
                  <c:v>3.5472974555640002</c:v>
                </c:pt>
                <c:pt idx="11">
                  <c:v>11.767208303730095</c:v>
                </c:pt>
              </c:numCache>
            </c:numRef>
          </c:yVal>
          <c:smooth val="0"/>
          <c:extLst>
            <c:ext xmlns:c16="http://schemas.microsoft.com/office/drawing/2014/chart" uri="{C3380CC4-5D6E-409C-BE32-E72D297353CC}">
              <c16:uniqueId val="{00000016-C0EB-4C84-8217-422F15E3C16E}"/>
            </c:ext>
          </c:extLst>
        </c:ser>
        <c:dLbls>
          <c:showLegendKey val="0"/>
          <c:showVal val="0"/>
          <c:showCatName val="0"/>
          <c:showSerName val="0"/>
          <c:showPercent val="0"/>
          <c:showBubbleSize val="0"/>
        </c:dLbls>
        <c:axId val="376478008"/>
        <c:axId val="376478336"/>
      </c:scatterChart>
      <c:valAx>
        <c:axId val="37647800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UA"/>
          </a:p>
        </c:txPr>
        <c:crossAx val="376478336"/>
        <c:crosses val="autoZero"/>
        <c:crossBetween val="midCat"/>
      </c:valAx>
      <c:valAx>
        <c:axId val="3764783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UA"/>
          </a:p>
        </c:txPr>
        <c:crossAx val="3764780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scatterChart>
        <c:scatterStyle val="lineMarker"/>
        <c:varyColors val="0"/>
        <c:ser>
          <c:idx val="0"/>
          <c:order val="0"/>
          <c:tx>
            <c:strRef>
              <c:f>Лист1!$B$39</c:f>
              <c:strCache>
                <c:ptCount val="1"/>
                <c:pt idx="0">
                  <c:v>відтворення рослин</c:v>
                </c:pt>
              </c:strCache>
            </c:strRef>
          </c:tx>
          <c:spPr>
            <a:ln w="19050" cap="rnd">
              <a:solidFill>
                <a:schemeClr val="tx1"/>
              </a:solidFill>
              <a:round/>
            </a:ln>
            <a:effectLst/>
          </c:spPr>
          <c:marker>
            <c:symbol val="circle"/>
            <c:size val="5"/>
            <c:spPr>
              <a:solidFill>
                <a:schemeClr val="tx1"/>
              </a:solidFill>
              <a:ln w="9525">
                <a:solidFill>
                  <a:sysClr val="windowText" lastClr="000000"/>
                </a:solidFill>
              </a:ln>
              <a:effectLst/>
            </c:spPr>
          </c:marker>
          <c:xVal>
            <c:numRef>
              <c:f>Лист1!$D$3:$D$14</c:f>
              <c:numCache>
                <c:formatCode>0</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xVal>
          <c:yVal>
            <c:numRef>
              <c:f>Лист1!$H$39:$H$50</c:f>
              <c:numCache>
                <c:formatCode>0.00</c:formatCode>
                <c:ptCount val="12"/>
                <c:pt idx="0">
                  <c:v>10.851320767230492</c:v>
                </c:pt>
                <c:pt idx="1">
                  <c:v>9.3878864307473542</c:v>
                </c:pt>
                <c:pt idx="2">
                  <c:v>35.732412246714915</c:v>
                </c:pt>
                <c:pt idx="3">
                  <c:v>20.967401331510565</c:v>
                </c:pt>
                <c:pt idx="4">
                  <c:v>22.553693005804558</c:v>
                </c:pt>
                <c:pt idx="5">
                  <c:v>25.910936886757597</c:v>
                </c:pt>
                <c:pt idx="6">
                  <c:v>30.770894863296643</c:v>
                </c:pt>
                <c:pt idx="7">
                  <c:v>14.612545644114272</c:v>
                </c:pt>
                <c:pt idx="8">
                  <c:v>-3.1411643474795046</c:v>
                </c:pt>
                <c:pt idx="9">
                  <c:v>13.107617142275425</c:v>
                </c:pt>
                <c:pt idx="10">
                  <c:v>13.067270237025241</c:v>
                </c:pt>
                <c:pt idx="11">
                  <c:v>8.1668910985713463</c:v>
                </c:pt>
              </c:numCache>
            </c:numRef>
          </c:yVal>
          <c:smooth val="0"/>
          <c:extLst>
            <c:ext xmlns:c16="http://schemas.microsoft.com/office/drawing/2014/chart" uri="{C3380CC4-5D6E-409C-BE32-E72D297353CC}">
              <c16:uniqueId val="{00000000-097E-4971-9598-F1B932E5347A}"/>
            </c:ext>
          </c:extLst>
        </c:ser>
        <c:dLbls>
          <c:showLegendKey val="0"/>
          <c:showVal val="0"/>
          <c:showCatName val="0"/>
          <c:showSerName val="0"/>
          <c:showPercent val="0"/>
          <c:showBubbleSize val="0"/>
        </c:dLbls>
        <c:axId val="376478008"/>
        <c:axId val="376478336"/>
      </c:scatterChart>
      <c:valAx>
        <c:axId val="37647800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76478336"/>
        <c:crosses val="autoZero"/>
        <c:crossBetween val="midCat"/>
      </c:valAx>
      <c:valAx>
        <c:axId val="3764783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764780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UA"/>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manualLayout>
          <c:xMode val="edge"/>
          <c:yMode val="edge"/>
          <c:x val="0.37608333333333327"/>
          <c:y val="3.7037037037037035E-2"/>
        </c:manualLayout>
      </c:layout>
      <c:overlay val="0"/>
      <c:spPr>
        <a:noFill/>
        <a:ln>
          <a:noFill/>
        </a:ln>
        <a:effectLst/>
      </c:spPr>
      <c:txPr>
        <a:bodyPr rot="0" spcFirstLastPara="1" vertOverflow="ellipsis" vert="horz" wrap="square" anchor="ctr" anchorCtr="1"/>
        <a:lstStyle/>
        <a:p>
          <a:pPr>
            <a:defRPr sz="1680" b="0" i="0" u="none" strike="noStrike" kern="1200" spc="0" baseline="0">
              <a:solidFill>
                <a:schemeClr val="tx1">
                  <a:lumMod val="65000"/>
                  <a:lumOff val="35000"/>
                </a:schemeClr>
              </a:solidFill>
              <a:latin typeface="Times New Roman" panose="02020603050405020304" pitchFamily="18" charset="0"/>
              <a:ea typeface="+mn-ea"/>
              <a:cs typeface="+mn-cs"/>
            </a:defRPr>
          </a:pPr>
          <a:endParaRPr lang="ru-UA"/>
        </a:p>
      </c:txPr>
    </c:title>
    <c:autoTitleDeleted val="0"/>
    <c:plotArea>
      <c:layout>
        <c:manualLayout>
          <c:layoutTarget val="inner"/>
          <c:xMode val="edge"/>
          <c:yMode val="edge"/>
          <c:x val="8.7252405949256359E-2"/>
          <c:y val="0.1808912948381452"/>
          <c:w val="0.84052537182852138"/>
          <c:h val="0.66947105570137067"/>
        </c:manualLayout>
      </c:layout>
      <c:scatterChart>
        <c:scatterStyle val="lineMarker"/>
        <c:varyColors val="0"/>
        <c:ser>
          <c:idx val="0"/>
          <c:order val="0"/>
          <c:tx>
            <c:strRef>
              <c:f>Лист3!$A$2</c:f>
              <c:strCache>
                <c:ptCount val="1"/>
                <c:pt idx="0">
                  <c:v>тваринництво</c:v>
                </c:pt>
              </c:strCache>
            </c:strRef>
          </c:tx>
          <c:spPr>
            <a:ln w="19050" cap="rnd">
              <a:solidFill>
                <a:sysClr val="windowText" lastClr="000000"/>
              </a:solidFill>
              <a:round/>
            </a:ln>
            <a:effectLst/>
          </c:spPr>
          <c:marker>
            <c:symbol val="circle"/>
            <c:size val="5"/>
            <c:spPr>
              <a:solidFill>
                <a:schemeClr val="tx1"/>
              </a:solidFill>
              <a:ln w="9525">
                <a:solidFill>
                  <a:sysClr val="windowText" lastClr="000000"/>
                </a:solidFill>
              </a:ln>
              <a:effectLst/>
            </c:spPr>
          </c:marker>
          <c:xVal>
            <c:numRef>
              <c:f>Лист3!$C$2:$C$13</c:f>
              <c:numCache>
                <c:formatCode>0</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xVal>
          <c:yVal>
            <c:numRef>
              <c:f>Лист3!$D$2:$D$13</c:f>
              <c:numCache>
                <c:formatCode>General</c:formatCode>
                <c:ptCount val="12"/>
                <c:pt idx="0">
                  <c:v>15.493863238771166</c:v>
                </c:pt>
                <c:pt idx="1">
                  <c:v>15.326077661835352</c:v>
                </c:pt>
                <c:pt idx="2">
                  <c:v>21.763588209950996</c:v>
                </c:pt>
                <c:pt idx="3">
                  <c:v>19.844523029668618</c:v>
                </c:pt>
                <c:pt idx="4">
                  <c:v>17.61470047609409</c:v>
                </c:pt>
                <c:pt idx="5">
                  <c:v>24.907005575114422</c:v>
                </c:pt>
                <c:pt idx="6">
                  <c:v>12.276181470686028</c:v>
                </c:pt>
                <c:pt idx="7">
                  <c:v>15.625434769687836</c:v>
                </c:pt>
                <c:pt idx="8">
                  <c:v>11.482825549608197</c:v>
                </c:pt>
                <c:pt idx="9">
                  <c:v>10.043235373880936</c:v>
                </c:pt>
                <c:pt idx="10">
                  <c:v>1.3391710823123084</c:v>
                </c:pt>
                <c:pt idx="11">
                  <c:v>12.613992173143265</c:v>
                </c:pt>
              </c:numCache>
            </c:numRef>
          </c:yVal>
          <c:smooth val="0"/>
          <c:extLst>
            <c:ext xmlns:c16="http://schemas.microsoft.com/office/drawing/2014/chart" uri="{C3380CC4-5D6E-409C-BE32-E72D297353CC}">
              <c16:uniqueId val="{00000000-C2B7-408A-8EAD-B47C10D2FCB9}"/>
            </c:ext>
          </c:extLst>
        </c:ser>
        <c:dLbls>
          <c:showLegendKey val="0"/>
          <c:showVal val="0"/>
          <c:showCatName val="0"/>
          <c:showSerName val="0"/>
          <c:showPercent val="0"/>
          <c:showBubbleSize val="0"/>
        </c:dLbls>
        <c:axId val="371030240"/>
        <c:axId val="371033192"/>
      </c:scatterChart>
      <c:valAx>
        <c:axId val="371030240"/>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UA"/>
          </a:p>
        </c:txPr>
        <c:crossAx val="371033192"/>
        <c:crosses val="autoZero"/>
        <c:crossBetween val="midCat"/>
      </c:valAx>
      <c:valAx>
        <c:axId val="371033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UA"/>
          </a:p>
        </c:txPr>
        <c:crossAx val="37103024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baseline="0">
          <a:latin typeface="Times New Roman" panose="02020603050405020304" pitchFamily="18" charset="0"/>
        </a:defRPr>
      </a:pPr>
      <a:endParaRPr lang="ru-UA"/>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mn-cs"/>
            </a:defRPr>
          </a:pPr>
          <a:endParaRPr lang="ru-UA"/>
        </a:p>
      </c:txPr>
    </c:title>
    <c:autoTitleDeleted val="0"/>
    <c:plotArea>
      <c:layout/>
      <c:scatterChart>
        <c:scatterStyle val="lineMarker"/>
        <c:varyColors val="0"/>
        <c:ser>
          <c:idx val="0"/>
          <c:order val="0"/>
          <c:tx>
            <c:strRef>
              <c:f>Лист1!$B$3</c:f>
              <c:strCache>
                <c:ptCount val="1"/>
                <c:pt idx="0">
                  <c:v>Сільське, лісове та рибне господарство</c:v>
                </c:pt>
              </c:strCache>
            </c:strRef>
          </c:tx>
          <c:spPr>
            <a:ln w="38100" cap="rnd">
              <a:solidFill>
                <a:sysClr val="windowText" lastClr="000000"/>
              </a:solidFill>
              <a:round/>
            </a:ln>
            <a:effectLst/>
          </c:spPr>
          <c:marker>
            <c:symbol val="circle"/>
            <c:size val="5"/>
            <c:spPr>
              <a:solidFill>
                <a:schemeClr val="tx1"/>
              </a:solidFill>
              <a:ln w="9525">
                <a:solidFill>
                  <a:sysClr val="windowText" lastClr="000000"/>
                </a:solidFill>
              </a:ln>
              <a:effectLst/>
            </c:spPr>
          </c:marker>
          <c:xVal>
            <c:numRef>
              <c:f>Лист1!$D$3:$D$14</c:f>
              <c:numCache>
                <c:formatCode>0</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xVal>
          <c:yVal>
            <c:numRef>
              <c:f>Лист1!$U$3:$U$14</c:f>
              <c:numCache>
                <c:formatCode>0.00</c:formatCode>
                <c:ptCount val="12"/>
                <c:pt idx="0">
                  <c:v>17.189223708827249</c:v>
                </c:pt>
                <c:pt idx="1">
                  <c:v>19.959892060037859</c:v>
                </c:pt>
                <c:pt idx="2">
                  <c:v>16.473183417593738</c:v>
                </c:pt>
                <c:pt idx="3">
                  <c:v>9.2995788825265038</c:v>
                </c:pt>
                <c:pt idx="4">
                  <c:v>10.041304231810813</c:v>
                </c:pt>
                <c:pt idx="5">
                  <c:v>28.387036218670403</c:v>
                </c:pt>
                <c:pt idx="6">
                  <c:v>22.448679798286442</c:v>
                </c:pt>
                <c:pt idx="7">
                  <c:v>15.154388276684191</c:v>
                </c:pt>
                <c:pt idx="8">
                  <c:v>13.521807777359848</c:v>
                </c:pt>
                <c:pt idx="9">
                  <c:v>16.762724398917992</c:v>
                </c:pt>
                <c:pt idx="10">
                  <c:v>13.47990249562071</c:v>
                </c:pt>
                <c:pt idx="11">
                  <c:v>25.99510724316411</c:v>
                </c:pt>
              </c:numCache>
            </c:numRef>
          </c:yVal>
          <c:smooth val="0"/>
          <c:extLst>
            <c:ext xmlns:c16="http://schemas.microsoft.com/office/drawing/2014/chart" uri="{C3380CC4-5D6E-409C-BE32-E72D297353CC}">
              <c16:uniqueId val="{00000000-BE5A-45C4-A2F1-15F831FF9FAB}"/>
            </c:ext>
          </c:extLst>
        </c:ser>
        <c:dLbls>
          <c:showLegendKey val="0"/>
          <c:showVal val="0"/>
          <c:showCatName val="0"/>
          <c:showSerName val="0"/>
          <c:showPercent val="0"/>
          <c:showBubbleSize val="0"/>
        </c:dLbls>
        <c:axId val="376478008"/>
        <c:axId val="376478336"/>
      </c:scatterChart>
      <c:valAx>
        <c:axId val="37647800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UA"/>
          </a:p>
        </c:txPr>
        <c:crossAx val="376478336"/>
        <c:crosses val="autoZero"/>
        <c:crossBetween val="midCat"/>
      </c:valAx>
      <c:valAx>
        <c:axId val="3764783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UA"/>
          </a:p>
        </c:txPr>
        <c:crossAx val="37647800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80" b="0" i="0" u="none" strike="noStrike" kern="1200" spc="0" baseline="0">
                <a:solidFill>
                  <a:schemeClr val="tx1">
                    <a:lumMod val="65000"/>
                    <a:lumOff val="35000"/>
                  </a:schemeClr>
                </a:solidFill>
                <a:latin typeface="Times New Roman" panose="02020603050405020304" pitchFamily="18" charset="0"/>
                <a:ea typeface="+mn-ea"/>
                <a:cs typeface="+mn-cs"/>
              </a:defRPr>
            </a:pPr>
            <a:r>
              <a:rPr lang="ru-RU"/>
              <a:t>Множина допустимих значень</a:t>
            </a:r>
          </a:p>
        </c:rich>
      </c:tx>
      <c:overlay val="0"/>
      <c:spPr>
        <a:noFill/>
        <a:ln>
          <a:noFill/>
        </a:ln>
        <a:effectLst/>
      </c:spPr>
      <c:txPr>
        <a:bodyPr rot="0" spcFirstLastPara="1" vertOverflow="ellipsis" vert="horz" wrap="square" anchor="ctr" anchorCtr="1"/>
        <a:lstStyle/>
        <a:p>
          <a:pPr>
            <a:defRPr sz="1680" b="0" i="0" u="none" strike="noStrike" kern="1200" spc="0" baseline="0">
              <a:solidFill>
                <a:schemeClr val="tx1">
                  <a:lumMod val="65000"/>
                  <a:lumOff val="35000"/>
                </a:schemeClr>
              </a:solidFill>
              <a:latin typeface="Times New Roman" panose="02020603050405020304" pitchFamily="18" charset="0"/>
              <a:ea typeface="+mn-ea"/>
              <a:cs typeface="+mn-cs"/>
            </a:defRPr>
          </a:pPr>
          <a:endParaRPr lang="ru-UA"/>
        </a:p>
      </c:txPr>
    </c:title>
    <c:autoTitleDeleted val="0"/>
    <c:plotArea>
      <c:layout/>
      <c:scatterChart>
        <c:scatterStyle val="lineMarker"/>
        <c:varyColors val="0"/>
        <c:ser>
          <c:idx val="0"/>
          <c:order val="0"/>
          <c:spPr>
            <a:ln w="31750" cap="rnd">
              <a:solidFill>
                <a:schemeClr val="tx1"/>
              </a:solidFill>
              <a:round/>
            </a:ln>
            <a:effectLst/>
          </c:spPr>
          <c:marker>
            <c:symbol val="circle"/>
            <c:size val="5"/>
            <c:spPr>
              <a:solidFill>
                <a:schemeClr val="accent1"/>
              </a:solidFill>
              <a:ln w="9525">
                <a:solidFill>
                  <a:schemeClr val="accent1"/>
                </a:solidFill>
              </a:ln>
              <a:effectLst/>
            </c:spPr>
          </c:marker>
          <c:xVal>
            <c:numRef>
              <c:f>Лист2!$C$2:$C$3</c:f>
              <c:numCache>
                <c:formatCode>General</c:formatCode>
                <c:ptCount val="2"/>
                <c:pt idx="0">
                  <c:v>3</c:v>
                </c:pt>
                <c:pt idx="1">
                  <c:v>5</c:v>
                </c:pt>
              </c:numCache>
            </c:numRef>
          </c:xVal>
          <c:yVal>
            <c:numRef>
              <c:f>Лист2!$B$2:$B$3</c:f>
              <c:numCache>
                <c:formatCode>General</c:formatCode>
                <c:ptCount val="2"/>
                <c:pt idx="0">
                  <c:v>21</c:v>
                </c:pt>
                <c:pt idx="1">
                  <c:v>21</c:v>
                </c:pt>
              </c:numCache>
            </c:numRef>
          </c:yVal>
          <c:smooth val="0"/>
          <c:extLst>
            <c:ext xmlns:c16="http://schemas.microsoft.com/office/drawing/2014/chart" uri="{C3380CC4-5D6E-409C-BE32-E72D297353CC}">
              <c16:uniqueId val="{00000000-16F9-485C-98CC-B045E8050811}"/>
            </c:ext>
          </c:extLst>
        </c:ser>
        <c:ser>
          <c:idx val="4"/>
          <c:order val="1"/>
          <c:spPr>
            <a:ln w="31750" cap="rnd">
              <a:solidFill>
                <a:schemeClr val="tx1"/>
              </a:solidFill>
              <a:round/>
            </a:ln>
            <a:effectLst/>
          </c:spPr>
          <c:marker>
            <c:symbol val="circle"/>
            <c:size val="5"/>
            <c:spPr>
              <a:solidFill>
                <a:schemeClr val="accent5"/>
              </a:solidFill>
              <a:ln w="9525">
                <a:solidFill>
                  <a:schemeClr val="accent5"/>
                </a:solidFill>
              </a:ln>
              <a:effectLst/>
            </c:spPr>
          </c:marker>
          <c:xVal>
            <c:numRef>
              <c:f>Лист2!$C$6:$C$7</c:f>
              <c:numCache>
                <c:formatCode>General</c:formatCode>
                <c:ptCount val="2"/>
                <c:pt idx="0">
                  <c:v>3</c:v>
                </c:pt>
                <c:pt idx="1">
                  <c:v>5</c:v>
                </c:pt>
              </c:numCache>
            </c:numRef>
          </c:xVal>
          <c:yVal>
            <c:numRef>
              <c:f>Лист2!$B$6:$B$7</c:f>
              <c:numCache>
                <c:formatCode>General</c:formatCode>
                <c:ptCount val="2"/>
                <c:pt idx="0">
                  <c:v>10</c:v>
                </c:pt>
                <c:pt idx="1">
                  <c:v>10</c:v>
                </c:pt>
              </c:numCache>
            </c:numRef>
          </c:yVal>
          <c:smooth val="0"/>
          <c:extLst>
            <c:ext xmlns:c16="http://schemas.microsoft.com/office/drawing/2014/chart" uri="{C3380CC4-5D6E-409C-BE32-E72D297353CC}">
              <c16:uniqueId val="{00000001-16F9-485C-98CC-B045E8050811}"/>
            </c:ext>
          </c:extLst>
        </c:ser>
        <c:ser>
          <c:idx val="5"/>
          <c:order val="2"/>
          <c:spPr>
            <a:ln w="19050" cap="rnd">
              <a:solidFill>
                <a:schemeClr val="accent6"/>
              </a:solidFill>
              <a:round/>
            </a:ln>
            <a:effectLst/>
          </c:spPr>
          <c:marker>
            <c:symbol val="circle"/>
            <c:size val="5"/>
            <c:spPr>
              <a:solidFill>
                <a:schemeClr val="accent6"/>
              </a:solidFill>
              <a:ln w="9525">
                <a:solidFill>
                  <a:schemeClr val="accent6"/>
                </a:solidFill>
              </a:ln>
              <a:effectLst/>
            </c:spPr>
          </c:marker>
          <c:dPt>
            <c:idx val="1"/>
            <c:marker>
              <c:symbol val="circle"/>
              <c:size val="5"/>
              <c:spPr>
                <a:solidFill>
                  <a:schemeClr val="accent6"/>
                </a:solidFill>
                <a:ln w="9525">
                  <a:solidFill>
                    <a:schemeClr val="accent6"/>
                  </a:solidFill>
                </a:ln>
                <a:effectLst/>
              </c:spPr>
            </c:marker>
            <c:bubble3D val="0"/>
            <c:spPr>
              <a:ln w="31750" cap="rnd">
                <a:solidFill>
                  <a:schemeClr val="tx1"/>
                </a:solidFill>
                <a:round/>
              </a:ln>
              <a:effectLst/>
            </c:spPr>
            <c:extLst>
              <c:ext xmlns:c16="http://schemas.microsoft.com/office/drawing/2014/chart" uri="{C3380CC4-5D6E-409C-BE32-E72D297353CC}">
                <c16:uniqueId val="{00000003-16F9-485C-98CC-B045E8050811}"/>
              </c:ext>
            </c:extLst>
          </c:dPt>
          <c:xVal>
            <c:numRef>
              <c:f>Лист2!$F$3:$F$4</c:f>
              <c:numCache>
                <c:formatCode>General</c:formatCode>
                <c:ptCount val="2"/>
                <c:pt idx="0">
                  <c:v>5</c:v>
                </c:pt>
                <c:pt idx="1">
                  <c:v>5</c:v>
                </c:pt>
              </c:numCache>
            </c:numRef>
          </c:xVal>
          <c:yVal>
            <c:numRef>
              <c:f>Лист2!$E$3:$E$4</c:f>
              <c:numCache>
                <c:formatCode>General</c:formatCode>
                <c:ptCount val="2"/>
                <c:pt idx="0">
                  <c:v>21</c:v>
                </c:pt>
                <c:pt idx="1">
                  <c:v>10</c:v>
                </c:pt>
              </c:numCache>
            </c:numRef>
          </c:yVal>
          <c:smooth val="0"/>
          <c:extLst>
            <c:ext xmlns:c16="http://schemas.microsoft.com/office/drawing/2014/chart" uri="{C3380CC4-5D6E-409C-BE32-E72D297353CC}">
              <c16:uniqueId val="{00000004-16F9-485C-98CC-B045E8050811}"/>
            </c:ext>
          </c:extLst>
        </c:ser>
        <c:ser>
          <c:idx val="1"/>
          <c:order val="3"/>
          <c:spPr>
            <a:ln w="31750" cap="rnd">
              <a:solidFill>
                <a:schemeClr val="tx1"/>
              </a:solidFill>
              <a:round/>
            </a:ln>
            <a:effectLst/>
          </c:spPr>
          <c:marker>
            <c:symbol val="circle"/>
            <c:size val="5"/>
            <c:spPr>
              <a:solidFill>
                <a:schemeClr val="accent2"/>
              </a:solidFill>
              <a:ln w="9525">
                <a:solidFill>
                  <a:schemeClr val="accent2"/>
                </a:solidFill>
              </a:ln>
              <a:effectLst/>
            </c:spPr>
          </c:marker>
          <c:xVal>
            <c:numRef>
              <c:f>Лист2!$F$6:$F$7</c:f>
              <c:numCache>
                <c:formatCode>General</c:formatCode>
                <c:ptCount val="2"/>
                <c:pt idx="0">
                  <c:v>3</c:v>
                </c:pt>
                <c:pt idx="1">
                  <c:v>3</c:v>
                </c:pt>
              </c:numCache>
            </c:numRef>
          </c:xVal>
          <c:yVal>
            <c:numRef>
              <c:f>Лист2!$E$6:$E$7</c:f>
              <c:numCache>
                <c:formatCode>General</c:formatCode>
                <c:ptCount val="2"/>
                <c:pt idx="0">
                  <c:v>21</c:v>
                </c:pt>
                <c:pt idx="1">
                  <c:v>10</c:v>
                </c:pt>
              </c:numCache>
            </c:numRef>
          </c:yVal>
          <c:smooth val="0"/>
          <c:extLst>
            <c:ext xmlns:c16="http://schemas.microsoft.com/office/drawing/2014/chart" uri="{C3380CC4-5D6E-409C-BE32-E72D297353CC}">
              <c16:uniqueId val="{00000005-16F9-485C-98CC-B045E8050811}"/>
            </c:ext>
          </c:extLst>
        </c:ser>
        <c:ser>
          <c:idx val="2"/>
          <c:order val="4"/>
          <c:spPr>
            <a:ln w="12700" cap="rnd">
              <a:solidFill>
                <a:schemeClr val="tx1"/>
              </a:solidFill>
              <a:round/>
            </a:ln>
            <a:effectLst/>
          </c:spPr>
          <c:marker>
            <c:symbol val="circle"/>
            <c:size val="5"/>
            <c:spPr>
              <a:solidFill>
                <a:schemeClr val="accent3"/>
              </a:solidFill>
              <a:ln w="9525">
                <a:solidFill>
                  <a:schemeClr val="accent3"/>
                </a:solidFill>
              </a:ln>
              <a:effectLst/>
            </c:spPr>
          </c:marker>
          <c:xVal>
            <c:numRef>
              <c:f>Лист2!$F$7:$F$8</c:f>
              <c:numCache>
                <c:formatCode>General</c:formatCode>
                <c:ptCount val="2"/>
                <c:pt idx="0">
                  <c:v>3</c:v>
                </c:pt>
                <c:pt idx="1">
                  <c:v>5</c:v>
                </c:pt>
              </c:numCache>
            </c:numRef>
          </c:xVal>
          <c:yVal>
            <c:numRef>
              <c:f>Лист2!$E$7:$E$8</c:f>
              <c:numCache>
                <c:formatCode>General</c:formatCode>
                <c:ptCount val="2"/>
                <c:pt idx="0">
                  <c:v>10</c:v>
                </c:pt>
                <c:pt idx="1">
                  <c:v>21</c:v>
                </c:pt>
              </c:numCache>
            </c:numRef>
          </c:yVal>
          <c:smooth val="0"/>
          <c:extLst>
            <c:ext xmlns:c16="http://schemas.microsoft.com/office/drawing/2014/chart" uri="{C3380CC4-5D6E-409C-BE32-E72D297353CC}">
              <c16:uniqueId val="{00000006-16F9-485C-98CC-B045E8050811}"/>
            </c:ext>
          </c:extLst>
        </c:ser>
        <c:ser>
          <c:idx val="3"/>
          <c:order val="5"/>
          <c:spPr>
            <a:ln w="12700" cap="rnd">
              <a:solidFill>
                <a:schemeClr val="tx1"/>
              </a:solidFill>
              <a:round/>
            </a:ln>
            <a:effectLst/>
          </c:spPr>
          <c:marker>
            <c:symbol val="circle"/>
            <c:size val="5"/>
            <c:spPr>
              <a:solidFill>
                <a:schemeClr val="accent4"/>
              </a:solidFill>
              <a:ln w="9525">
                <a:solidFill>
                  <a:schemeClr val="tx1"/>
                </a:solidFill>
              </a:ln>
              <a:effectLst/>
            </c:spPr>
          </c:marker>
          <c:xVal>
            <c:numRef>
              <c:f>Лист2!$F$10:$F$11</c:f>
              <c:numCache>
                <c:formatCode>General</c:formatCode>
                <c:ptCount val="2"/>
                <c:pt idx="0">
                  <c:v>4</c:v>
                </c:pt>
                <c:pt idx="1">
                  <c:v>3</c:v>
                </c:pt>
              </c:numCache>
            </c:numRef>
          </c:xVal>
          <c:yVal>
            <c:numRef>
              <c:f>Лист2!$E$10:$E$11</c:f>
              <c:numCache>
                <c:formatCode>General</c:formatCode>
                <c:ptCount val="2"/>
                <c:pt idx="0">
                  <c:v>21</c:v>
                </c:pt>
                <c:pt idx="1">
                  <c:v>15.5</c:v>
                </c:pt>
              </c:numCache>
            </c:numRef>
          </c:yVal>
          <c:smooth val="0"/>
          <c:extLst>
            <c:ext xmlns:c16="http://schemas.microsoft.com/office/drawing/2014/chart" uri="{C3380CC4-5D6E-409C-BE32-E72D297353CC}">
              <c16:uniqueId val="{00000007-16F9-485C-98CC-B045E8050811}"/>
            </c:ext>
          </c:extLst>
        </c:ser>
        <c:ser>
          <c:idx val="6"/>
          <c:order val="6"/>
          <c:spPr>
            <a:ln w="12700" cap="rnd">
              <a:solidFill>
                <a:schemeClr val="tx1"/>
              </a:solidFill>
              <a:round/>
            </a:ln>
            <a:effectLst/>
          </c:spPr>
          <c:marker>
            <c:symbol val="circle"/>
            <c:size val="5"/>
            <c:spPr>
              <a:solidFill>
                <a:schemeClr val="accent1">
                  <a:lumMod val="60000"/>
                </a:schemeClr>
              </a:solidFill>
              <a:ln w="9525">
                <a:solidFill>
                  <a:schemeClr val="accent1">
                    <a:lumMod val="60000"/>
                  </a:schemeClr>
                </a:solidFill>
              </a:ln>
              <a:effectLst/>
            </c:spPr>
          </c:marker>
          <c:xVal>
            <c:numRef>
              <c:f>Лист2!$F$13:$F$14</c:f>
              <c:numCache>
                <c:formatCode>General</c:formatCode>
                <c:ptCount val="2"/>
                <c:pt idx="0">
                  <c:v>4.5</c:v>
                </c:pt>
                <c:pt idx="1">
                  <c:v>5</c:v>
                </c:pt>
              </c:numCache>
            </c:numRef>
          </c:xVal>
          <c:yVal>
            <c:numRef>
              <c:f>Лист2!$E$13:$E$14</c:f>
              <c:numCache>
                <c:formatCode>General</c:formatCode>
                <c:ptCount val="2"/>
                <c:pt idx="0">
                  <c:v>10</c:v>
                </c:pt>
                <c:pt idx="1">
                  <c:v>13.35</c:v>
                </c:pt>
              </c:numCache>
            </c:numRef>
          </c:yVal>
          <c:smooth val="0"/>
          <c:extLst>
            <c:ext xmlns:c16="http://schemas.microsoft.com/office/drawing/2014/chart" uri="{C3380CC4-5D6E-409C-BE32-E72D297353CC}">
              <c16:uniqueId val="{00000008-16F9-485C-98CC-B045E8050811}"/>
            </c:ext>
          </c:extLst>
        </c:ser>
        <c:ser>
          <c:idx val="7"/>
          <c:order val="7"/>
          <c:tx>
            <c:strRef>
              <c:f>Лист2!$F$16:$F$17</c:f>
              <c:strCache>
                <c:ptCount val="2"/>
                <c:pt idx="0">
                  <c:v>4</c:v>
                </c:pt>
                <c:pt idx="1">
                  <c:v>5</c:v>
                </c:pt>
              </c:strCache>
            </c:strRef>
          </c:tx>
          <c:spPr>
            <a:ln w="12700" cap="rnd">
              <a:solidFill>
                <a:schemeClr val="tx1"/>
              </a:solidFill>
              <a:round/>
            </a:ln>
            <a:effectLst/>
          </c:spPr>
          <c:marker>
            <c:symbol val="circle"/>
            <c:size val="5"/>
            <c:spPr>
              <a:solidFill>
                <a:schemeClr val="accent2">
                  <a:lumMod val="60000"/>
                </a:schemeClr>
              </a:solidFill>
              <a:ln w="9525">
                <a:solidFill>
                  <a:schemeClr val="accent2">
                    <a:lumMod val="60000"/>
                  </a:schemeClr>
                </a:solidFill>
              </a:ln>
              <a:effectLst/>
            </c:spPr>
          </c:marker>
          <c:xVal>
            <c:numRef>
              <c:f>Лист2!$F$16:$F$17</c:f>
              <c:numCache>
                <c:formatCode>General</c:formatCode>
                <c:ptCount val="2"/>
                <c:pt idx="0">
                  <c:v>4</c:v>
                </c:pt>
                <c:pt idx="1">
                  <c:v>5</c:v>
                </c:pt>
              </c:numCache>
            </c:numRef>
          </c:xVal>
          <c:yVal>
            <c:numRef>
              <c:f>Лист2!$E$16:$E$17</c:f>
              <c:numCache>
                <c:formatCode>General</c:formatCode>
                <c:ptCount val="2"/>
                <c:pt idx="0">
                  <c:v>10</c:v>
                </c:pt>
                <c:pt idx="1">
                  <c:v>16</c:v>
                </c:pt>
              </c:numCache>
            </c:numRef>
          </c:yVal>
          <c:smooth val="0"/>
          <c:extLst>
            <c:ext xmlns:c16="http://schemas.microsoft.com/office/drawing/2014/chart" uri="{C3380CC4-5D6E-409C-BE32-E72D297353CC}">
              <c16:uniqueId val="{00000009-16F9-485C-98CC-B045E8050811}"/>
            </c:ext>
          </c:extLst>
        </c:ser>
        <c:ser>
          <c:idx val="8"/>
          <c:order val="8"/>
          <c:spPr>
            <a:ln w="12700" cap="rnd">
              <a:solidFill>
                <a:schemeClr val="tx1"/>
              </a:solidFill>
              <a:round/>
            </a:ln>
            <a:effectLst/>
          </c:spPr>
          <c:marker>
            <c:symbol val="circle"/>
            <c:size val="5"/>
            <c:spPr>
              <a:solidFill>
                <a:schemeClr val="accent3">
                  <a:lumMod val="60000"/>
                </a:schemeClr>
              </a:solidFill>
              <a:ln w="9525">
                <a:solidFill>
                  <a:schemeClr val="accent3">
                    <a:lumMod val="60000"/>
                  </a:schemeClr>
                </a:solidFill>
              </a:ln>
              <a:effectLst/>
            </c:spPr>
          </c:marker>
          <c:xVal>
            <c:numRef>
              <c:f>Лист2!$C$16:$C$17</c:f>
              <c:numCache>
                <c:formatCode>General</c:formatCode>
                <c:ptCount val="2"/>
                <c:pt idx="0">
                  <c:v>3.5</c:v>
                </c:pt>
                <c:pt idx="1">
                  <c:v>5</c:v>
                </c:pt>
              </c:numCache>
            </c:numRef>
          </c:xVal>
          <c:yVal>
            <c:numRef>
              <c:f>Лист2!$B$16:$B$17</c:f>
              <c:numCache>
                <c:formatCode>General</c:formatCode>
                <c:ptCount val="2"/>
                <c:pt idx="0">
                  <c:v>10</c:v>
                </c:pt>
                <c:pt idx="1">
                  <c:v>18.5</c:v>
                </c:pt>
              </c:numCache>
            </c:numRef>
          </c:yVal>
          <c:smooth val="0"/>
          <c:extLst>
            <c:ext xmlns:c16="http://schemas.microsoft.com/office/drawing/2014/chart" uri="{C3380CC4-5D6E-409C-BE32-E72D297353CC}">
              <c16:uniqueId val="{0000000A-16F9-485C-98CC-B045E8050811}"/>
            </c:ext>
          </c:extLst>
        </c:ser>
        <c:ser>
          <c:idx val="9"/>
          <c:order val="9"/>
          <c:spPr>
            <a:ln w="12700" cap="rnd">
              <a:solidFill>
                <a:schemeClr val="tx1"/>
              </a:solidFill>
              <a:round/>
            </a:ln>
            <a:effectLst/>
          </c:spPr>
          <c:marker>
            <c:symbol val="circle"/>
            <c:size val="5"/>
            <c:spPr>
              <a:solidFill>
                <a:schemeClr val="accent4">
                  <a:lumMod val="60000"/>
                </a:schemeClr>
              </a:solidFill>
              <a:ln w="9525">
                <a:solidFill>
                  <a:schemeClr val="accent4">
                    <a:lumMod val="60000"/>
                  </a:schemeClr>
                </a:solidFill>
              </a:ln>
              <a:effectLst/>
            </c:spPr>
          </c:marker>
          <c:xVal>
            <c:numRef>
              <c:f>Лист2!$S$5:$S$6</c:f>
              <c:numCache>
                <c:formatCode>General</c:formatCode>
                <c:ptCount val="2"/>
                <c:pt idx="0">
                  <c:v>3</c:v>
                </c:pt>
                <c:pt idx="1">
                  <c:v>4.5</c:v>
                </c:pt>
              </c:numCache>
            </c:numRef>
          </c:xVal>
          <c:yVal>
            <c:numRef>
              <c:f>Лист2!$R$5:$R$6</c:f>
              <c:numCache>
                <c:formatCode>General</c:formatCode>
                <c:ptCount val="2"/>
                <c:pt idx="0">
                  <c:v>13</c:v>
                </c:pt>
                <c:pt idx="1">
                  <c:v>21</c:v>
                </c:pt>
              </c:numCache>
            </c:numRef>
          </c:yVal>
          <c:smooth val="0"/>
          <c:extLst>
            <c:ext xmlns:c16="http://schemas.microsoft.com/office/drawing/2014/chart" uri="{C3380CC4-5D6E-409C-BE32-E72D297353CC}">
              <c16:uniqueId val="{0000000B-16F9-485C-98CC-B045E8050811}"/>
            </c:ext>
          </c:extLst>
        </c:ser>
        <c:ser>
          <c:idx val="10"/>
          <c:order val="10"/>
          <c:spPr>
            <a:ln w="12700" cap="rnd">
              <a:solidFill>
                <a:sysClr val="windowText" lastClr="000000"/>
              </a:solidFill>
              <a:round/>
            </a:ln>
            <a:effectLst/>
          </c:spPr>
          <c:marker>
            <c:symbol val="circle"/>
            <c:size val="5"/>
            <c:spPr>
              <a:solidFill>
                <a:schemeClr val="tx1"/>
              </a:solidFill>
              <a:ln w="9525">
                <a:solidFill>
                  <a:sysClr val="windowText" lastClr="000000"/>
                </a:solidFill>
              </a:ln>
              <a:effectLst/>
            </c:spPr>
          </c:marker>
          <c:xVal>
            <c:numRef>
              <c:f>Лист2!$S$8:$S$9</c:f>
              <c:numCache>
                <c:formatCode>General</c:formatCode>
                <c:ptCount val="2"/>
                <c:pt idx="0">
                  <c:v>3</c:v>
                </c:pt>
                <c:pt idx="1">
                  <c:v>3.5</c:v>
                </c:pt>
              </c:numCache>
            </c:numRef>
          </c:xVal>
          <c:yVal>
            <c:numRef>
              <c:f>Лист2!$R$8:$R$9</c:f>
              <c:numCache>
                <c:formatCode>General</c:formatCode>
                <c:ptCount val="2"/>
                <c:pt idx="0">
                  <c:v>18.5</c:v>
                </c:pt>
                <c:pt idx="1">
                  <c:v>21</c:v>
                </c:pt>
              </c:numCache>
            </c:numRef>
          </c:yVal>
          <c:smooth val="0"/>
          <c:extLst>
            <c:ext xmlns:c16="http://schemas.microsoft.com/office/drawing/2014/chart" uri="{C3380CC4-5D6E-409C-BE32-E72D297353CC}">
              <c16:uniqueId val="{0000000C-16F9-485C-98CC-B045E8050811}"/>
            </c:ext>
          </c:extLst>
        </c:ser>
        <c:dLbls>
          <c:showLegendKey val="0"/>
          <c:showVal val="0"/>
          <c:showCatName val="0"/>
          <c:showSerName val="0"/>
          <c:showPercent val="0"/>
          <c:showBubbleSize val="0"/>
        </c:dLbls>
        <c:axId val="256376880"/>
        <c:axId val="256379176"/>
      </c:scatterChart>
      <c:valAx>
        <c:axId val="256376880"/>
        <c:scaling>
          <c:orientation val="minMax"/>
          <c:min val="2"/>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UA"/>
          </a:p>
        </c:txPr>
        <c:crossAx val="256379176"/>
        <c:crosses val="autoZero"/>
        <c:crossBetween val="midCat"/>
      </c:valAx>
      <c:valAx>
        <c:axId val="256379176"/>
        <c:scaling>
          <c:orientation val="minMax"/>
          <c:min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UA"/>
          </a:p>
        </c:txPr>
        <c:crossAx val="25637688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400" baseline="0">
          <a:latin typeface="Times New Roman" panose="02020603050405020304" pitchFamily="18" charset="0"/>
        </a:defRPr>
      </a:pPr>
      <a:endParaRPr lang="ru-UA"/>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Аркуш1!$A$2:$A$17</c:f>
              <c:strCache>
                <c:ptCount val="16"/>
                <c:pt idx="0">
                  <c:v>Поради друзів, колег, близьких</c:v>
                </c:pt>
                <c:pt idx="1">
                  <c:v>Соцмережі</c:v>
                </c:pt>
                <c:pt idx="2">
                  <c:v>Знаходжу все необхідне через пошукову систему (Google, Yandex та інші)</c:v>
                </c:pt>
                <c:pt idx="3">
                  <c:v>YouTube</c:v>
                </c:pt>
                <c:pt idx="4">
                  <c:v>Booking</c:v>
                </c:pt>
                <c:pt idx="5">
                  <c:v>Навігатори / мапи (Google Maps, 2GIS, Waze та ін.)</c:v>
                </c:pt>
                <c:pt idx="6">
                  <c:v>OLX</c:v>
                </c:pt>
                <c:pt idx="7">
                  <c:v>Заходжу безпосередньо на сайт готелю чи перевізника</c:v>
                </c:pt>
                <c:pt idx="8">
                  <c:v>BUSFOR</c:v>
                </c:pt>
                <c:pt idx="9">
                  <c:v>Телепрограми на телебаченні про подорожі/сюжети про подорожі</c:v>
                </c:pt>
                <c:pt idx="10">
                  <c:v>Туристично-інформаційні центри (ТІЦ)</c:v>
                </c:pt>
                <c:pt idx="11">
                  <c:v>Тревел-блоги</c:v>
                </c:pt>
                <c:pt idx="12">
                  <c:v>Tripadvisor</c:v>
                </c:pt>
                <c:pt idx="13">
                  <c:v>Airbnb</c:v>
                </c:pt>
                <c:pt idx="14">
                  <c:v>Tripmydream</c:v>
                </c:pt>
                <c:pt idx="15">
                  <c:v>Інші</c:v>
                </c:pt>
              </c:strCache>
            </c:strRef>
          </c:cat>
          <c:val>
            <c:numRef>
              <c:f>Аркуш1!$B$2:$B$17</c:f>
              <c:numCache>
                <c:formatCode>General</c:formatCode>
                <c:ptCount val="16"/>
                <c:pt idx="0">
                  <c:v>33</c:v>
                </c:pt>
                <c:pt idx="1">
                  <c:v>25</c:v>
                </c:pt>
                <c:pt idx="2">
                  <c:v>23</c:v>
                </c:pt>
                <c:pt idx="3">
                  <c:v>19</c:v>
                </c:pt>
                <c:pt idx="4">
                  <c:v>18</c:v>
                </c:pt>
                <c:pt idx="5">
                  <c:v>17</c:v>
                </c:pt>
                <c:pt idx="6">
                  <c:v>7</c:v>
                </c:pt>
                <c:pt idx="7">
                  <c:v>7</c:v>
                </c:pt>
                <c:pt idx="8">
                  <c:v>4</c:v>
                </c:pt>
                <c:pt idx="9">
                  <c:v>4</c:v>
                </c:pt>
                <c:pt idx="10">
                  <c:v>4</c:v>
                </c:pt>
                <c:pt idx="11">
                  <c:v>3</c:v>
                </c:pt>
                <c:pt idx="12">
                  <c:v>2</c:v>
                </c:pt>
                <c:pt idx="13">
                  <c:v>2</c:v>
                </c:pt>
                <c:pt idx="14">
                  <c:v>0.4</c:v>
                </c:pt>
                <c:pt idx="15">
                  <c:v>1</c:v>
                </c:pt>
              </c:numCache>
            </c:numRef>
          </c:val>
          <c:extLst>
            <c:ext xmlns:c16="http://schemas.microsoft.com/office/drawing/2014/chart" uri="{C3380CC4-5D6E-409C-BE32-E72D297353CC}">
              <c16:uniqueId val="{00000000-3A7D-4CCA-B235-BA9C490C5EB1}"/>
            </c:ext>
          </c:extLst>
        </c:ser>
        <c:dLbls>
          <c:dLblPos val="inEnd"/>
          <c:showLegendKey val="0"/>
          <c:showVal val="1"/>
          <c:showCatName val="0"/>
          <c:showSerName val="0"/>
          <c:showPercent val="0"/>
          <c:showBubbleSize val="0"/>
        </c:dLbls>
        <c:gapWidth val="100"/>
        <c:axId val="1135286079"/>
        <c:axId val="1135294399"/>
      </c:barChart>
      <c:catAx>
        <c:axId val="113528607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UA"/>
          </a:p>
        </c:txPr>
        <c:crossAx val="1135294399"/>
        <c:crosses val="autoZero"/>
        <c:auto val="1"/>
        <c:lblAlgn val="ctr"/>
        <c:lblOffset val="100"/>
        <c:noMultiLvlLbl val="0"/>
      </c:catAx>
      <c:valAx>
        <c:axId val="113529439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UA"/>
          </a:p>
        </c:txPr>
        <c:crossAx val="11352860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'2.2'!$A$5</c:f>
              <c:strCache>
                <c:ptCount val="1"/>
                <c:pt idx="0">
                  <c:v>Кількість номерів</c:v>
                </c:pt>
              </c:strCache>
            </c:strRef>
          </c:tx>
          <c:dPt>
            <c:idx val="0"/>
            <c:bubble3D val="0"/>
            <c:extLst>
              <c:ext xmlns:c16="http://schemas.microsoft.com/office/drawing/2014/chart" uri="{C3380CC4-5D6E-409C-BE32-E72D297353CC}">
                <c16:uniqueId val="{00000000-E8C6-46EF-852C-52DBED4496B4}"/>
              </c:ext>
            </c:extLst>
          </c:dPt>
          <c:dPt>
            <c:idx val="1"/>
            <c:bubble3D val="0"/>
            <c:extLst>
              <c:ext xmlns:c16="http://schemas.microsoft.com/office/drawing/2014/chart" uri="{C3380CC4-5D6E-409C-BE32-E72D297353CC}">
                <c16:uniqueId val="{00000001-E8C6-46EF-852C-52DBED4496B4}"/>
              </c:ext>
            </c:extLst>
          </c:dPt>
          <c:dPt>
            <c:idx val="2"/>
            <c:bubble3D val="0"/>
            <c:extLst>
              <c:ext xmlns:c16="http://schemas.microsoft.com/office/drawing/2014/chart" uri="{C3380CC4-5D6E-409C-BE32-E72D297353CC}">
                <c16:uniqueId val="{00000002-E8C6-46EF-852C-52DBED4496B4}"/>
              </c:ext>
            </c:extLst>
          </c:dPt>
          <c:dPt>
            <c:idx val="3"/>
            <c:bubble3D val="0"/>
            <c:extLst>
              <c:ext xmlns:c16="http://schemas.microsoft.com/office/drawing/2014/chart" uri="{C3380CC4-5D6E-409C-BE32-E72D297353CC}">
                <c16:uniqueId val="{00000003-E8C6-46EF-852C-52DBED4496B4}"/>
              </c:ext>
            </c:extLst>
          </c:dPt>
          <c:dPt>
            <c:idx val="4"/>
            <c:bubble3D val="0"/>
            <c:extLst>
              <c:ext xmlns:c16="http://schemas.microsoft.com/office/drawing/2014/chart" uri="{C3380CC4-5D6E-409C-BE32-E72D297353CC}">
                <c16:uniqueId val="{00000004-E8C6-46EF-852C-52DBED4496B4}"/>
              </c:ext>
            </c:extLst>
          </c:dPt>
          <c:dPt>
            <c:idx val="5"/>
            <c:bubble3D val="0"/>
            <c:extLst>
              <c:ext xmlns:c16="http://schemas.microsoft.com/office/drawing/2014/chart" uri="{C3380CC4-5D6E-409C-BE32-E72D297353CC}">
                <c16:uniqueId val="{00000005-E8C6-46EF-852C-52DBED4496B4}"/>
              </c:ext>
            </c:extLst>
          </c:dPt>
          <c:dLbls>
            <c:spPr>
              <a:noFill/>
              <a:ln>
                <a:noFill/>
              </a:ln>
              <a:effectLst/>
            </c:spPr>
            <c:txPr>
              <a:bodyPr/>
              <a:lstStyle/>
              <a:p>
                <a:pPr>
                  <a:defRPr sz="1199" b="1"/>
                </a:pPr>
                <a:endParaRPr lang="ru-UA"/>
              </a:p>
            </c:txPr>
            <c:showLegendKey val="0"/>
            <c:showVal val="0"/>
            <c:showCatName val="1"/>
            <c:showSerName val="0"/>
            <c:showPercent val="1"/>
            <c:showBubbleSize val="0"/>
            <c:showLeaderLines val="1"/>
            <c:extLst>
              <c:ext xmlns:c15="http://schemas.microsoft.com/office/drawing/2012/chart" uri="{CE6537A1-D6FC-4f65-9D91-7224C49458BB}"/>
            </c:extLst>
          </c:dLbls>
          <c:cat>
            <c:strRef>
              <c:f>'2.2'!$B$4:$G$4</c:f>
              <c:strCache>
                <c:ptCount val="6"/>
                <c:pt idx="0">
                  <c:v>Карпатська Вежа</c:v>
                </c:pt>
                <c:pt idx="1">
                  <c:v>Саторі</c:v>
                </c:pt>
                <c:pt idx="2">
                  <c:v>Гірський Світанок</c:v>
                </c:pt>
                <c:pt idx="3">
                  <c:v>Едельвейс</c:v>
                </c:pt>
                <c:pt idx="4">
                  <c:v>Карпати</c:v>
                </c:pt>
                <c:pt idx="5">
                  <c:v>Норіс</c:v>
                </c:pt>
              </c:strCache>
            </c:strRef>
          </c:cat>
          <c:val>
            <c:numRef>
              <c:f>'2.2'!$B$5:$G$5</c:f>
              <c:numCache>
                <c:formatCode>General</c:formatCode>
                <c:ptCount val="6"/>
                <c:pt idx="0">
                  <c:v>31</c:v>
                </c:pt>
                <c:pt idx="1">
                  <c:v>16</c:v>
                </c:pt>
                <c:pt idx="2">
                  <c:v>36</c:v>
                </c:pt>
                <c:pt idx="3">
                  <c:v>51</c:v>
                </c:pt>
                <c:pt idx="4">
                  <c:v>64</c:v>
                </c:pt>
                <c:pt idx="5">
                  <c:v>4</c:v>
                </c:pt>
              </c:numCache>
            </c:numRef>
          </c:val>
          <c:extLst>
            <c:ext xmlns:c16="http://schemas.microsoft.com/office/drawing/2014/chart" uri="{C3380CC4-5D6E-409C-BE32-E72D297353CC}">
              <c16:uniqueId val="{00000006-E8C6-46EF-852C-52DBED4496B4}"/>
            </c:ext>
          </c:extLst>
        </c:ser>
        <c:dLbls>
          <c:showLegendKey val="0"/>
          <c:showVal val="0"/>
          <c:showCatName val="0"/>
          <c:showSerName val="0"/>
          <c:showPercent val="0"/>
          <c:showBubbleSize val="0"/>
          <c:showLeaderLines val="1"/>
        </c:dLbls>
      </c:pie3DChart>
      <c:spPr>
        <a:noFill/>
        <a:ln w="25385">
          <a:noFill/>
        </a:ln>
      </c:spPr>
    </c:plotArea>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8"/>
              <c:pt idx="0">
                <c:v>2015</c:v>
              </c:pt>
              <c:pt idx="1">
                <c:v>2016</c:v>
              </c:pt>
              <c:pt idx="2">
                <c:v>2017</c:v>
              </c:pt>
              <c:pt idx="3">
                <c:v>2018</c:v>
              </c:pt>
              <c:pt idx="4">
                <c:v>2019</c:v>
              </c:pt>
              <c:pt idx="5">
                <c:v>2020</c:v>
              </c:pt>
              <c:pt idx="6">
                <c:v>2021</c:v>
              </c:pt>
              <c:pt idx="7">
                <c:v>2022</c:v>
              </c:pt>
            </c:numLit>
          </c:cat>
          <c:val>
            <c:numRef>
              <c:f>Sheet1!$B$24:$B$31</c:f>
              <c:numCache>
                <c:formatCode>General</c:formatCode>
                <c:ptCount val="8"/>
                <c:pt idx="0">
                  <c:v>7</c:v>
                </c:pt>
                <c:pt idx="1">
                  <c:v>4.4000000000000004</c:v>
                </c:pt>
                <c:pt idx="2">
                  <c:v>3.4</c:v>
                </c:pt>
                <c:pt idx="3">
                  <c:v>3.4</c:v>
                </c:pt>
                <c:pt idx="4">
                  <c:v>3.2</c:v>
                </c:pt>
                <c:pt idx="5">
                  <c:v>3.3</c:v>
                </c:pt>
                <c:pt idx="6">
                  <c:v>3</c:v>
                </c:pt>
                <c:pt idx="7">
                  <c:v>2.5</c:v>
                </c:pt>
              </c:numCache>
            </c:numRef>
          </c:val>
          <c:extLst>
            <c:ext xmlns:c16="http://schemas.microsoft.com/office/drawing/2014/chart" uri="{C3380CC4-5D6E-409C-BE32-E72D297353CC}">
              <c16:uniqueId val="{00000000-FB5B-4114-AFC4-27D81B19B5B2}"/>
            </c:ext>
          </c:extLst>
        </c:ser>
        <c:dLbls>
          <c:showLegendKey val="0"/>
          <c:showVal val="0"/>
          <c:showCatName val="0"/>
          <c:showSerName val="0"/>
          <c:showPercent val="0"/>
          <c:showBubbleSize val="0"/>
        </c:dLbls>
        <c:gapWidth val="150"/>
        <c:shape val="box"/>
        <c:axId val="551143848"/>
        <c:axId val="551142408"/>
        <c:axId val="0"/>
      </c:bar3DChart>
      <c:catAx>
        <c:axId val="551143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1142408"/>
        <c:crosses val="autoZero"/>
        <c:auto val="1"/>
        <c:lblAlgn val="ctr"/>
        <c:lblOffset val="100"/>
        <c:noMultiLvlLbl val="0"/>
      </c:catAx>
      <c:valAx>
        <c:axId val="551142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11438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'2.2'!$A$59</c:f>
              <c:strCache>
                <c:ptCount val="1"/>
                <c:pt idx="0">
                  <c:v>Рейтинг, балів</c:v>
                </c:pt>
              </c:strCache>
            </c:strRef>
          </c:tx>
          <c:invertIfNegative val="0"/>
          <c:cat>
            <c:strRef>
              <c:f>'2.2'!$B$58:$G$58</c:f>
              <c:strCache>
                <c:ptCount val="6"/>
                <c:pt idx="0">
                  <c:v>Карпатська Вежа</c:v>
                </c:pt>
                <c:pt idx="1">
                  <c:v>Саторі</c:v>
                </c:pt>
                <c:pt idx="2">
                  <c:v>Гірський Світанок</c:v>
                </c:pt>
                <c:pt idx="3">
                  <c:v>Едельвейс</c:v>
                </c:pt>
                <c:pt idx="4">
                  <c:v>Карпати</c:v>
                </c:pt>
                <c:pt idx="5">
                  <c:v>Норіс</c:v>
                </c:pt>
              </c:strCache>
            </c:strRef>
          </c:cat>
          <c:val>
            <c:numRef>
              <c:f>'2.2'!$B$59:$G$59</c:f>
              <c:numCache>
                <c:formatCode>0</c:formatCode>
                <c:ptCount val="6"/>
                <c:pt idx="0">
                  <c:v>26.603960396039604</c:v>
                </c:pt>
                <c:pt idx="1">
                  <c:v>34.376237623762378</c:v>
                </c:pt>
                <c:pt idx="2">
                  <c:v>38.346534653465348</c:v>
                </c:pt>
                <c:pt idx="3">
                  <c:v>24.574257425742573</c:v>
                </c:pt>
                <c:pt idx="4">
                  <c:v>34.504950495049506</c:v>
                </c:pt>
                <c:pt idx="5">
                  <c:v>35.594059405940598</c:v>
                </c:pt>
              </c:numCache>
            </c:numRef>
          </c:val>
          <c:extLst>
            <c:ext xmlns:c16="http://schemas.microsoft.com/office/drawing/2014/chart" uri="{C3380CC4-5D6E-409C-BE32-E72D297353CC}">
              <c16:uniqueId val="{00000000-DA21-49FF-9D96-6A8A7DC0ECFA}"/>
            </c:ext>
          </c:extLst>
        </c:ser>
        <c:dLbls>
          <c:showLegendKey val="0"/>
          <c:showVal val="0"/>
          <c:showCatName val="0"/>
          <c:showSerName val="0"/>
          <c:showPercent val="0"/>
          <c:showBubbleSize val="0"/>
        </c:dLbls>
        <c:gapWidth val="150"/>
        <c:axId val="2032198848"/>
        <c:axId val="1"/>
      </c:barChart>
      <c:catAx>
        <c:axId val="2032198848"/>
        <c:scaling>
          <c:orientation val="minMax"/>
        </c:scaling>
        <c:delete val="0"/>
        <c:axPos val="b"/>
        <c:numFmt formatCode="General" sourceLinked="1"/>
        <c:majorTickMark val="out"/>
        <c:minorTickMark val="none"/>
        <c:tickLblPos val="nextTo"/>
        <c:crossAx val="1"/>
        <c:crosses val="autoZero"/>
        <c:auto val="1"/>
        <c:lblAlgn val="ctr"/>
        <c:lblOffset val="100"/>
        <c:noMultiLvlLbl val="0"/>
      </c:catAx>
      <c:valAx>
        <c:axId val="1"/>
        <c:scaling>
          <c:orientation val="minMax"/>
        </c:scaling>
        <c:delete val="0"/>
        <c:axPos val="l"/>
        <c:majorGridlines/>
        <c:numFmt formatCode="0" sourceLinked="1"/>
        <c:majorTickMark val="out"/>
        <c:minorTickMark val="none"/>
        <c:tickLblPos val="nextTo"/>
        <c:crossAx val="2032198848"/>
        <c:crosses val="autoZero"/>
        <c:crossBetween val="between"/>
      </c:valAx>
    </c:plotArea>
    <c:legend>
      <c:legendPos val="b"/>
      <c:overlay val="0"/>
    </c:legend>
    <c:plotVisOnly val="1"/>
    <c:dispBlanksAs val="gap"/>
    <c:showDLblsOverMax val="0"/>
  </c:chart>
  <c:spPr>
    <a:ln>
      <a:noFill/>
    </a:ln>
  </c:spPr>
  <c:txPr>
    <a:bodyPr/>
    <a:lstStyle/>
    <a:p>
      <a:pPr>
        <a:defRPr>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2"/>
    </mc:Choice>
    <mc:Fallback>
      <c:style val="1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invertIfNegative val="0"/>
          <c:dPt>
            <c:idx val="0"/>
            <c:invertIfNegative val="0"/>
            <c:bubble3D val="0"/>
            <c:spPr>
              <a:solidFill>
                <a:schemeClr val="accent2">
                  <a:lumMod val="50000"/>
                </a:schemeClr>
              </a:solidFill>
            </c:spPr>
            <c:extLst>
              <c:ext xmlns:c16="http://schemas.microsoft.com/office/drawing/2014/chart" uri="{C3380CC4-5D6E-409C-BE32-E72D297353CC}">
                <c16:uniqueId val="{00000001-63D0-43A5-86FF-A9453DC1CCC2}"/>
              </c:ext>
            </c:extLst>
          </c:dPt>
          <c:dPt>
            <c:idx val="1"/>
            <c:invertIfNegative val="0"/>
            <c:bubble3D val="0"/>
            <c:spPr>
              <a:solidFill>
                <a:schemeClr val="accent2">
                  <a:lumMod val="75000"/>
                </a:schemeClr>
              </a:solidFill>
            </c:spPr>
            <c:extLst>
              <c:ext xmlns:c16="http://schemas.microsoft.com/office/drawing/2014/chart" uri="{C3380CC4-5D6E-409C-BE32-E72D297353CC}">
                <c16:uniqueId val="{00000003-63D0-43A5-86FF-A9453DC1CCC2}"/>
              </c:ext>
            </c:extLst>
          </c:dPt>
          <c:dPt>
            <c:idx val="2"/>
            <c:invertIfNegative val="0"/>
            <c:bubble3D val="0"/>
            <c:spPr>
              <a:solidFill>
                <a:schemeClr val="accent2">
                  <a:lumMod val="60000"/>
                  <a:lumOff val="40000"/>
                </a:schemeClr>
              </a:solidFill>
            </c:spPr>
            <c:extLst>
              <c:ext xmlns:c16="http://schemas.microsoft.com/office/drawing/2014/chart" uri="{C3380CC4-5D6E-409C-BE32-E72D297353CC}">
                <c16:uniqueId val="{00000005-63D0-43A5-86FF-A9453DC1CCC2}"/>
              </c:ext>
            </c:extLst>
          </c:dPt>
          <c:dPt>
            <c:idx val="3"/>
            <c:invertIfNegative val="0"/>
            <c:bubble3D val="0"/>
            <c:spPr>
              <a:solidFill>
                <a:schemeClr val="accent2">
                  <a:lumMod val="40000"/>
                  <a:lumOff val="60000"/>
                </a:schemeClr>
              </a:solidFill>
            </c:spPr>
            <c:extLst>
              <c:ext xmlns:c16="http://schemas.microsoft.com/office/drawing/2014/chart" uri="{C3380CC4-5D6E-409C-BE32-E72D297353CC}">
                <c16:uniqueId val="{00000007-63D0-43A5-86FF-A9453DC1CCC2}"/>
              </c:ext>
            </c:extLst>
          </c:dPt>
          <c:cat>
            <c:strRef>
              <c:f>Лист3!$A$3:$D$3</c:f>
              <c:strCache>
                <c:ptCount val="4"/>
                <c:pt idx="0">
                  <c:v>менеджер ресторану </c:v>
                </c:pt>
                <c:pt idx="1">
                  <c:v>наставник/старший офіціант</c:v>
                </c:pt>
                <c:pt idx="2">
                  <c:v>менеджер з персоналу </c:v>
                </c:pt>
                <c:pt idx="3">
                  <c:v>зовнішній тренер</c:v>
                </c:pt>
              </c:strCache>
            </c:strRef>
          </c:cat>
          <c:val>
            <c:numRef>
              <c:f>Лист3!$A$4:$D$4</c:f>
              <c:numCache>
                <c:formatCode>General</c:formatCode>
                <c:ptCount val="4"/>
                <c:pt idx="0">
                  <c:v>3</c:v>
                </c:pt>
                <c:pt idx="1">
                  <c:v>6</c:v>
                </c:pt>
                <c:pt idx="2">
                  <c:v>7</c:v>
                </c:pt>
                <c:pt idx="3">
                  <c:v>5</c:v>
                </c:pt>
              </c:numCache>
            </c:numRef>
          </c:val>
          <c:extLst>
            <c:ext xmlns:c16="http://schemas.microsoft.com/office/drawing/2014/chart" uri="{C3380CC4-5D6E-409C-BE32-E72D297353CC}">
              <c16:uniqueId val="{00000008-63D0-43A5-86FF-A9453DC1CCC2}"/>
            </c:ext>
          </c:extLst>
        </c:ser>
        <c:dLbls>
          <c:showLegendKey val="0"/>
          <c:showVal val="0"/>
          <c:showCatName val="0"/>
          <c:showSerName val="0"/>
          <c:showPercent val="0"/>
          <c:showBubbleSize val="0"/>
        </c:dLbls>
        <c:gapWidth val="150"/>
        <c:axId val="103754240"/>
        <c:axId val="31406272"/>
      </c:barChart>
      <c:catAx>
        <c:axId val="103754240"/>
        <c:scaling>
          <c:orientation val="minMax"/>
        </c:scaling>
        <c:delete val="0"/>
        <c:axPos val="l"/>
        <c:numFmt formatCode="General" sourceLinked="0"/>
        <c:majorTickMark val="out"/>
        <c:minorTickMark val="none"/>
        <c:tickLblPos val="nextTo"/>
        <c:crossAx val="31406272"/>
        <c:crosses val="autoZero"/>
        <c:auto val="1"/>
        <c:lblAlgn val="ctr"/>
        <c:lblOffset val="100"/>
        <c:noMultiLvlLbl val="0"/>
      </c:catAx>
      <c:valAx>
        <c:axId val="31406272"/>
        <c:scaling>
          <c:orientation val="minMax"/>
        </c:scaling>
        <c:delete val="0"/>
        <c:axPos val="b"/>
        <c:majorGridlines/>
        <c:numFmt formatCode="General" sourceLinked="1"/>
        <c:majorTickMark val="out"/>
        <c:minorTickMark val="none"/>
        <c:tickLblPos val="nextTo"/>
        <c:crossAx val="103754240"/>
        <c:crosses val="autoZero"/>
        <c:crossBetween val="between"/>
      </c:valAx>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Лист5!$A$3:$C$3</c:f>
              <c:strCache>
                <c:ptCount val="3"/>
                <c:pt idx="0">
                  <c:v>внутрішні - на робочому місці</c:v>
                </c:pt>
                <c:pt idx="1">
                  <c:v>зовнішні - в навчальних закладах, спеціалізованих центрах</c:v>
                </c:pt>
                <c:pt idx="2">
                  <c:v>внутрішні та зовнішні </c:v>
                </c:pt>
              </c:strCache>
            </c:strRef>
          </c:cat>
          <c:val>
            <c:numRef>
              <c:f>Лист5!$A$4:$C$4</c:f>
              <c:numCache>
                <c:formatCode>General</c:formatCode>
                <c:ptCount val="3"/>
                <c:pt idx="0">
                  <c:v>6</c:v>
                </c:pt>
                <c:pt idx="1">
                  <c:v>1</c:v>
                </c:pt>
                <c:pt idx="2">
                  <c:v>8</c:v>
                </c:pt>
              </c:numCache>
            </c:numRef>
          </c:val>
          <c:extLst>
            <c:ext xmlns:c16="http://schemas.microsoft.com/office/drawing/2014/chart" uri="{C3380CC4-5D6E-409C-BE32-E72D297353CC}">
              <c16:uniqueId val="{00000000-437C-482E-A53B-D4D93519CCF6}"/>
            </c:ext>
          </c:extLst>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Лист4!$A$3:$F$3</c:f>
              <c:strCache>
                <c:ptCount val="6"/>
                <c:pt idx="0">
                  <c:v>читаю цікаву літературу </c:v>
                </c:pt>
                <c:pt idx="1">
                  <c:v>читаю книги</c:v>
                </c:pt>
                <c:pt idx="2">
                  <c:v>беру участь у вебінарах </c:v>
                </c:pt>
                <c:pt idx="3">
                  <c:v>слухаю онлайн-лекції</c:v>
                </c:pt>
                <c:pt idx="4">
                  <c:v>відвідую майстер-класи, тренінги</c:v>
                </c:pt>
                <c:pt idx="5">
                  <c:v>не займаюся самоосвітою</c:v>
                </c:pt>
              </c:strCache>
            </c:strRef>
          </c:cat>
          <c:val>
            <c:numRef>
              <c:f>Лист4!$A$4:$F$4</c:f>
              <c:numCache>
                <c:formatCode>General</c:formatCode>
                <c:ptCount val="6"/>
                <c:pt idx="0">
                  <c:v>7</c:v>
                </c:pt>
                <c:pt idx="1">
                  <c:v>5</c:v>
                </c:pt>
                <c:pt idx="2">
                  <c:v>5</c:v>
                </c:pt>
                <c:pt idx="3">
                  <c:v>4</c:v>
                </c:pt>
                <c:pt idx="4">
                  <c:v>6</c:v>
                </c:pt>
                <c:pt idx="5">
                  <c:v>2</c:v>
                </c:pt>
              </c:numCache>
            </c:numRef>
          </c:val>
          <c:extLst>
            <c:ext xmlns:c16="http://schemas.microsoft.com/office/drawing/2014/chart" uri="{C3380CC4-5D6E-409C-BE32-E72D297353CC}">
              <c16:uniqueId val="{00000000-91C7-4D4A-B339-736AFD42D066}"/>
            </c:ext>
          </c:extLst>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floor>
    <c:sideWall>
      <c:thickness val="0"/>
    </c:sideWall>
    <c:backWall>
      <c:thickness val="0"/>
    </c:backWall>
    <c:plotArea>
      <c:layout>
        <c:manualLayout>
          <c:layoutTarget val="inner"/>
          <c:xMode val="edge"/>
          <c:yMode val="edge"/>
          <c:x val="3.3333333333333333E-2"/>
          <c:y val="4.4998977295970549E-2"/>
          <c:w val="0.93888888888888888"/>
          <c:h val="0.48059906297763094"/>
        </c:manualLayout>
      </c:layout>
      <c:bar3D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Лист8!$A$3:$E$3</c:f>
              <c:strCache>
                <c:ptCount val="5"/>
                <c:pt idx="0">
                  <c:v>тренінги</c:v>
                </c:pt>
                <c:pt idx="1">
                  <c:v>контакт керівника і новачка</c:v>
                </c:pt>
                <c:pt idx="2">
                  <c:v>поступове ускладення завдань </c:v>
                </c:pt>
                <c:pt idx="3">
                  <c:v>тімбілдінг</c:v>
                </c:pt>
                <c:pt idx="4">
                  <c:v>корпоративний PR</c:v>
                </c:pt>
              </c:strCache>
            </c:strRef>
          </c:cat>
          <c:val>
            <c:numRef>
              <c:f>Лист8!$A$4:$E$4</c:f>
              <c:numCache>
                <c:formatCode>General</c:formatCode>
                <c:ptCount val="5"/>
                <c:pt idx="0">
                  <c:v>4</c:v>
                </c:pt>
                <c:pt idx="1">
                  <c:v>10</c:v>
                </c:pt>
                <c:pt idx="2">
                  <c:v>9</c:v>
                </c:pt>
                <c:pt idx="3">
                  <c:v>5</c:v>
                </c:pt>
              </c:numCache>
            </c:numRef>
          </c:val>
          <c:extLst>
            <c:ext xmlns:c16="http://schemas.microsoft.com/office/drawing/2014/chart" uri="{C3380CC4-5D6E-409C-BE32-E72D297353CC}">
              <c16:uniqueId val="{00000000-E93A-43EC-B39F-B3322DC85472}"/>
            </c:ext>
          </c:extLst>
        </c:ser>
        <c:dLbls>
          <c:showLegendKey val="0"/>
          <c:showVal val="1"/>
          <c:showCatName val="0"/>
          <c:showSerName val="0"/>
          <c:showPercent val="0"/>
          <c:showBubbleSize val="0"/>
        </c:dLbls>
        <c:gapWidth val="150"/>
        <c:shape val="cylinder"/>
        <c:axId val="103828992"/>
        <c:axId val="61463296"/>
        <c:axId val="0"/>
      </c:bar3DChart>
      <c:catAx>
        <c:axId val="103828992"/>
        <c:scaling>
          <c:orientation val="minMax"/>
        </c:scaling>
        <c:delete val="0"/>
        <c:axPos val="b"/>
        <c:numFmt formatCode="General" sourceLinked="0"/>
        <c:majorTickMark val="none"/>
        <c:minorTickMark val="none"/>
        <c:tickLblPos val="nextTo"/>
        <c:crossAx val="61463296"/>
        <c:crosses val="autoZero"/>
        <c:auto val="1"/>
        <c:lblAlgn val="ctr"/>
        <c:lblOffset val="100"/>
        <c:noMultiLvlLbl val="0"/>
      </c:catAx>
      <c:valAx>
        <c:axId val="61463296"/>
        <c:scaling>
          <c:orientation val="minMax"/>
        </c:scaling>
        <c:delete val="1"/>
        <c:axPos val="l"/>
        <c:numFmt formatCode="General" sourceLinked="1"/>
        <c:majorTickMark val="out"/>
        <c:minorTickMark val="none"/>
        <c:tickLblPos val="nextTo"/>
        <c:crossAx val="103828992"/>
        <c:crosses val="autoZero"/>
        <c:crossBetween val="between"/>
      </c:valAx>
    </c:plotArea>
    <c:plotVisOnly val="1"/>
    <c:dispBlanksAs val="gap"/>
    <c:showDLblsOverMax val="0"/>
  </c:chart>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Лист11!$A$3:$C$3</c:f>
              <c:strCache>
                <c:ptCount val="3"/>
                <c:pt idx="0">
                  <c:v>психологічні тести </c:v>
                </c:pt>
                <c:pt idx="1">
                  <c:v>перевірка професійних вмінь </c:v>
                </c:pt>
                <c:pt idx="2">
                  <c:v>атестація </c:v>
                </c:pt>
              </c:strCache>
            </c:strRef>
          </c:cat>
          <c:val>
            <c:numRef>
              <c:f>Лист11!$A$4:$C$4</c:f>
              <c:numCache>
                <c:formatCode>General</c:formatCode>
                <c:ptCount val="3"/>
                <c:pt idx="0">
                  <c:v>3</c:v>
                </c:pt>
                <c:pt idx="1">
                  <c:v>12</c:v>
                </c:pt>
                <c:pt idx="2">
                  <c:v>7</c:v>
                </c:pt>
              </c:numCache>
            </c:numRef>
          </c:val>
          <c:extLst>
            <c:ext xmlns:c16="http://schemas.microsoft.com/office/drawing/2014/chart" uri="{C3380CC4-5D6E-409C-BE32-E72D297353CC}">
              <c16:uniqueId val="{00000000-0D58-47C0-9317-EFA046A9B979}"/>
            </c:ext>
          </c:extLst>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1"/>
    </mc:Choice>
    <mc:Fallback>
      <c:style val="3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Лист6!$A$3:$J$3</c:f>
              <c:strCache>
                <c:ptCount val="10"/>
                <c:pt idx="0">
                  <c:v>заробітна плата</c:v>
                </c:pt>
                <c:pt idx="1">
                  <c:v>премії</c:v>
                </c:pt>
                <c:pt idx="2">
                  <c:v>пільги</c:v>
                </c:pt>
                <c:pt idx="3">
                  <c:v>похвала перед колективом</c:v>
                </c:pt>
                <c:pt idx="4">
                  <c:v>можливість кар'єрного росту </c:v>
                </c:pt>
                <c:pt idx="5">
                  <c:v>спільні корпоративні заходи </c:v>
                </c:pt>
                <c:pt idx="6">
                  <c:v>нагородження грамотою, відзнакою </c:v>
                </c:pt>
                <c:pt idx="7">
                  <c:v>хороші умови праці</c:v>
                </c:pt>
                <c:pt idx="8">
                  <c:v>безкоштовне харчування</c:v>
                </c:pt>
                <c:pt idx="9">
                  <c:v>подарунки</c:v>
                </c:pt>
              </c:strCache>
            </c:strRef>
          </c:cat>
          <c:val>
            <c:numRef>
              <c:f>Лист6!$A$4:$J$4</c:f>
              <c:numCache>
                <c:formatCode>General</c:formatCode>
                <c:ptCount val="10"/>
                <c:pt idx="0">
                  <c:v>6.9</c:v>
                </c:pt>
                <c:pt idx="1">
                  <c:v>5.3</c:v>
                </c:pt>
                <c:pt idx="2">
                  <c:v>2.7</c:v>
                </c:pt>
                <c:pt idx="3">
                  <c:v>5.4</c:v>
                </c:pt>
                <c:pt idx="4">
                  <c:v>8.3000000000000007</c:v>
                </c:pt>
                <c:pt idx="5">
                  <c:v>6.6</c:v>
                </c:pt>
                <c:pt idx="6">
                  <c:v>3.3</c:v>
                </c:pt>
                <c:pt idx="7">
                  <c:v>9.1</c:v>
                </c:pt>
                <c:pt idx="8">
                  <c:v>4.3</c:v>
                </c:pt>
                <c:pt idx="9">
                  <c:v>3.8</c:v>
                </c:pt>
              </c:numCache>
            </c:numRef>
          </c:val>
          <c:extLst>
            <c:ext xmlns:c16="http://schemas.microsoft.com/office/drawing/2014/chart" uri="{C3380CC4-5D6E-409C-BE32-E72D297353CC}">
              <c16:uniqueId val="{00000000-4C9F-4A92-B7CF-7C51FDCC9103}"/>
            </c:ext>
          </c:extLst>
        </c:ser>
        <c:dLbls>
          <c:showLegendKey val="0"/>
          <c:showVal val="1"/>
          <c:showCatName val="0"/>
          <c:showSerName val="0"/>
          <c:showPercent val="0"/>
          <c:showBubbleSize val="0"/>
        </c:dLbls>
        <c:gapWidth val="150"/>
        <c:overlap val="-25"/>
        <c:axId val="105339904"/>
        <c:axId val="82564160"/>
      </c:barChart>
      <c:catAx>
        <c:axId val="105339904"/>
        <c:scaling>
          <c:orientation val="minMax"/>
        </c:scaling>
        <c:delete val="0"/>
        <c:axPos val="b"/>
        <c:numFmt formatCode="General" sourceLinked="0"/>
        <c:majorTickMark val="none"/>
        <c:minorTickMark val="none"/>
        <c:tickLblPos val="nextTo"/>
        <c:txPr>
          <a:bodyPr/>
          <a:lstStyle/>
          <a:p>
            <a:pPr>
              <a:defRPr sz="1000"/>
            </a:pPr>
            <a:endParaRPr lang="ru-UA"/>
          </a:p>
        </c:txPr>
        <c:crossAx val="82564160"/>
        <c:crosses val="autoZero"/>
        <c:auto val="1"/>
        <c:lblAlgn val="ctr"/>
        <c:lblOffset val="100"/>
        <c:noMultiLvlLbl val="0"/>
      </c:catAx>
      <c:valAx>
        <c:axId val="82564160"/>
        <c:scaling>
          <c:orientation val="minMax"/>
        </c:scaling>
        <c:delete val="1"/>
        <c:axPos val="l"/>
        <c:numFmt formatCode="General" sourceLinked="1"/>
        <c:majorTickMark val="out"/>
        <c:minorTickMark val="none"/>
        <c:tickLblPos val="nextTo"/>
        <c:crossAx val="105339904"/>
        <c:crosses val="autoZero"/>
        <c:crossBetween val="between"/>
      </c:valAx>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spPr>
            <a:solidFill>
              <a:schemeClr val="accent5">
                <a:lumMod val="60000"/>
                <a:lumOff val="40000"/>
              </a:schemeClr>
            </a:solidFill>
          </c:spPr>
          <c:dPt>
            <c:idx val="0"/>
            <c:bubble3D val="0"/>
            <c:spPr>
              <a:solidFill>
                <a:srgbClr val="92D050"/>
              </a:solidFill>
            </c:spPr>
            <c:extLst>
              <c:ext xmlns:c16="http://schemas.microsoft.com/office/drawing/2014/chart" uri="{C3380CC4-5D6E-409C-BE32-E72D297353CC}">
                <c16:uniqueId val="{00000001-45C5-4333-A568-B3FFAD75463D}"/>
              </c:ext>
            </c:extLst>
          </c:dPt>
          <c:dPt>
            <c:idx val="1"/>
            <c:bubble3D val="0"/>
            <c:spPr>
              <a:solidFill>
                <a:srgbClr val="FFC000"/>
              </a:solidFill>
            </c:spPr>
            <c:extLst>
              <c:ext xmlns:c16="http://schemas.microsoft.com/office/drawing/2014/chart" uri="{C3380CC4-5D6E-409C-BE32-E72D297353CC}">
                <c16:uniqueId val="{00000003-45C5-4333-A568-B3FFAD75463D}"/>
              </c:ext>
            </c:extLst>
          </c:dPt>
          <c:dPt>
            <c:idx val="2"/>
            <c:bubble3D val="0"/>
            <c:spPr>
              <a:solidFill>
                <a:srgbClr val="00B0F0"/>
              </a:solidFill>
            </c:spPr>
            <c:extLst>
              <c:ext xmlns:c16="http://schemas.microsoft.com/office/drawing/2014/chart" uri="{C3380CC4-5D6E-409C-BE32-E72D297353CC}">
                <c16:uniqueId val="{00000005-45C5-4333-A568-B3FFAD75463D}"/>
              </c:ext>
            </c:extLst>
          </c:dPt>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Лист14!$A$3:$C$3</c:f>
              <c:strCache>
                <c:ptCount val="3"/>
                <c:pt idx="0">
                  <c:v>так</c:v>
                </c:pt>
                <c:pt idx="1">
                  <c:v>не знаю</c:v>
                </c:pt>
                <c:pt idx="2">
                  <c:v>ні </c:v>
                </c:pt>
              </c:strCache>
            </c:strRef>
          </c:cat>
          <c:val>
            <c:numRef>
              <c:f>Лист14!$A$4:$C$4</c:f>
              <c:numCache>
                <c:formatCode>General</c:formatCode>
                <c:ptCount val="3"/>
                <c:pt idx="0">
                  <c:v>8</c:v>
                </c:pt>
                <c:pt idx="1">
                  <c:v>5</c:v>
                </c:pt>
                <c:pt idx="2">
                  <c:v>2</c:v>
                </c:pt>
              </c:numCache>
            </c:numRef>
          </c:val>
          <c:extLst>
            <c:ext xmlns:c16="http://schemas.microsoft.com/office/drawing/2014/chart" uri="{C3380CC4-5D6E-409C-BE32-E72D297353CC}">
              <c16:uniqueId val="{00000006-45C5-4333-A568-B3FFAD75463D}"/>
            </c:ext>
          </c:extLst>
        </c:ser>
        <c:dLbls>
          <c:showLegendKey val="0"/>
          <c:showVal val="0"/>
          <c:showCatName val="1"/>
          <c:showSerName val="0"/>
          <c:showPercent val="1"/>
          <c:showBubbleSize val="0"/>
          <c:showLeaderLines val="1"/>
        </c:dLbls>
        <c:firstSliceAng val="0"/>
      </c:pieChart>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Лист13!$A$3:$E$3</c:f>
              <c:strCache>
                <c:ptCount val="5"/>
                <c:pt idx="0">
                  <c:v>заробітна плата </c:v>
                </c:pt>
                <c:pt idx="1">
                  <c:v>кар'єрний ріст </c:v>
                </c:pt>
                <c:pt idx="2">
                  <c:v>робота у колективі </c:v>
                </c:pt>
                <c:pt idx="3">
                  <c:v>гнучкий графік роботи </c:v>
                </c:pt>
                <c:pt idx="4">
                  <c:v>здоровий клімат у колективі </c:v>
                </c:pt>
              </c:strCache>
            </c:strRef>
          </c:cat>
          <c:val>
            <c:numRef>
              <c:f>Лист13!$A$19:$E$19</c:f>
              <c:numCache>
                <c:formatCode>General</c:formatCode>
                <c:ptCount val="5"/>
                <c:pt idx="0">
                  <c:v>3.8</c:v>
                </c:pt>
                <c:pt idx="1">
                  <c:v>4.1333333333333337</c:v>
                </c:pt>
                <c:pt idx="2">
                  <c:v>4.4666666666666668</c:v>
                </c:pt>
                <c:pt idx="3">
                  <c:v>3.8666666666666667</c:v>
                </c:pt>
                <c:pt idx="4">
                  <c:v>4.7333333333333334</c:v>
                </c:pt>
              </c:numCache>
            </c:numRef>
          </c:val>
          <c:extLst>
            <c:ext xmlns:c16="http://schemas.microsoft.com/office/drawing/2014/chart" uri="{C3380CC4-5D6E-409C-BE32-E72D297353CC}">
              <c16:uniqueId val="{00000000-3AFF-4F68-86B8-EE90E0E66DB0}"/>
            </c:ext>
          </c:extLst>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5162037037037624E-2"/>
          <c:y val="4.3650793650793704E-2"/>
          <c:w val="0.89921356259039054"/>
          <c:h val="0.45489338457682477"/>
        </c:manualLayout>
      </c:layout>
      <c:lineChart>
        <c:grouping val="standard"/>
        <c:varyColors val="0"/>
        <c:ser>
          <c:idx val="0"/>
          <c:order val="0"/>
          <c:tx>
            <c:strRef>
              <c:f>Лист1!$B$1</c:f>
              <c:strCache>
                <c:ptCount val="1"/>
                <c:pt idx="0">
                  <c:v>Туристичний збір, млн. USD</c:v>
                </c:pt>
              </c:strCache>
            </c:strRef>
          </c:tx>
          <c:cat>
            <c:strRef>
              <c:f>Лист1!$A$2:$A$12</c:f>
              <c:strCache>
                <c:ptCount val="11"/>
                <c:pt idx="0">
                  <c:v>2021</c:v>
                </c:pt>
                <c:pt idx="1">
                  <c:v>м. Київ</c:v>
                </c:pt>
                <c:pt idx="2">
                  <c:v>Закарпатський регіон</c:v>
                </c:pt>
                <c:pt idx="3">
                  <c:v>Івано-Франківський регіон</c:v>
                </c:pt>
                <c:pt idx="4">
                  <c:v>Київський регіон</c:v>
                </c:pt>
                <c:pt idx="5">
                  <c:v>Кіровоградський регіон</c:v>
                </c:pt>
                <c:pt idx="6">
                  <c:v>Львівський регіон</c:v>
                </c:pt>
                <c:pt idx="7">
                  <c:v>Тернопільський регіон</c:v>
                </c:pt>
                <c:pt idx="8">
                  <c:v>Хмельницький регіон</c:v>
                </c:pt>
                <c:pt idx="9">
                  <c:v>Чернівецький регіон</c:v>
                </c:pt>
                <c:pt idx="10">
                  <c:v>2022</c:v>
                </c:pt>
              </c:strCache>
            </c:strRef>
          </c:cat>
          <c:val>
            <c:numRef>
              <c:f>Лист1!$B$2:$B$12</c:f>
              <c:numCache>
                <c:formatCode>\О\с\н\о\в\н\о\й</c:formatCode>
                <c:ptCount val="11"/>
                <c:pt idx="0">
                  <c:v>1.85</c:v>
                </c:pt>
                <c:pt idx="1">
                  <c:v>0.54500000000000004</c:v>
                </c:pt>
                <c:pt idx="2">
                  <c:v>0.23699999999999999</c:v>
                </c:pt>
                <c:pt idx="3">
                  <c:v>0.24199999999999999</c:v>
                </c:pt>
                <c:pt idx="4">
                  <c:v>0.125</c:v>
                </c:pt>
                <c:pt idx="5">
                  <c:v>1.9E-2</c:v>
                </c:pt>
                <c:pt idx="6">
                  <c:v>0.52800000000000002</c:v>
                </c:pt>
                <c:pt idx="7">
                  <c:v>1.9E-2</c:v>
                </c:pt>
                <c:pt idx="8">
                  <c:v>5.8000000000000003E-2</c:v>
                </c:pt>
                <c:pt idx="9">
                  <c:v>2.1000000000000001E-2</c:v>
                </c:pt>
                <c:pt idx="10">
                  <c:v>2.39</c:v>
                </c:pt>
              </c:numCache>
            </c:numRef>
          </c:val>
          <c:smooth val="0"/>
          <c:extLst>
            <c:ext xmlns:c16="http://schemas.microsoft.com/office/drawing/2014/chart" uri="{C3380CC4-5D6E-409C-BE32-E72D297353CC}">
              <c16:uniqueId val="{00000000-65F0-47EB-B4C4-2906703F7A9D}"/>
            </c:ext>
          </c:extLst>
        </c:ser>
        <c:dLbls>
          <c:showLegendKey val="0"/>
          <c:showVal val="0"/>
          <c:showCatName val="0"/>
          <c:showSerName val="0"/>
          <c:showPercent val="0"/>
          <c:showBubbleSize val="0"/>
        </c:dLbls>
        <c:marker val="1"/>
        <c:smooth val="0"/>
        <c:axId val="330311439"/>
        <c:axId val="1"/>
      </c:lineChart>
      <c:catAx>
        <c:axId val="330311439"/>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UA"/>
          </a:p>
        </c:txPr>
        <c:crossAx val="1"/>
        <c:crosses val="autoZero"/>
        <c:auto val="1"/>
        <c:lblAlgn val="ctr"/>
        <c:lblOffset val="100"/>
        <c:noMultiLvlLbl val="0"/>
      </c:catAx>
      <c:valAx>
        <c:axId val="1"/>
        <c:scaling>
          <c:orientation val="minMax"/>
        </c:scaling>
        <c:delete val="0"/>
        <c:axPos val="l"/>
        <c:majorGridlines/>
        <c:numFmt formatCode="\О\с\н\о\в\н\о\й" sourceLinked="1"/>
        <c:majorTickMark val="out"/>
        <c:minorTickMark val="none"/>
        <c:tickLblPos val="nextTo"/>
        <c:txPr>
          <a:bodyPr/>
          <a:lstStyle/>
          <a:p>
            <a:pPr>
              <a:defRPr>
                <a:latin typeface="Times New Roman" pitchFamily="18" charset="0"/>
                <a:cs typeface="Times New Roman" pitchFamily="18" charset="0"/>
              </a:defRPr>
            </a:pPr>
            <a:endParaRPr lang="ru-UA"/>
          </a:p>
        </c:txPr>
        <c:crossAx val="330311439"/>
        <c:crosses val="autoZero"/>
        <c:crossBetween val="between"/>
      </c:valAx>
    </c:plotArea>
    <c:plotVisOnly val="1"/>
    <c:dispBlanksAs val="gap"/>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1806239186469404"/>
          <c:y val="4.7734840133336086E-2"/>
          <c:w val="0.82700487270929701"/>
          <c:h val="0.65918819215817648"/>
        </c:manualLayout>
      </c:layout>
      <c:barChart>
        <c:barDir val="bar"/>
        <c:grouping val="stacked"/>
        <c:varyColors val="0"/>
        <c:ser>
          <c:idx val="0"/>
          <c:order val="0"/>
          <c:tx>
            <c:strRef>
              <c:f>'Структура область'!$D$2</c:f>
              <c:strCache>
                <c:ptCount val="1"/>
                <c:pt idx="0">
                  <c:v>Зернові та зернобобові</c:v>
                </c:pt>
              </c:strCache>
            </c:strRef>
          </c:tx>
          <c:spPr>
            <a:solidFill>
              <a:schemeClr val="bg1">
                <a:lumMod val="50000"/>
              </a:schemeClr>
            </a:solidFill>
            <a:ln>
              <a:noFill/>
            </a:ln>
            <a:effectLst/>
          </c:spPr>
          <c:invertIfNegative val="0"/>
          <c:cat>
            <c:numRef>
              <c:f>'Структура область'!$B$3:$B$10</c:f>
              <c:numCache>
                <c:formatCode>General</c:formatCode>
                <c:ptCount val="8"/>
                <c:pt idx="0">
                  <c:v>1990</c:v>
                </c:pt>
                <c:pt idx="1">
                  <c:v>1994</c:v>
                </c:pt>
                <c:pt idx="2">
                  <c:v>2002</c:v>
                </c:pt>
                <c:pt idx="3">
                  <c:v>2008</c:v>
                </c:pt>
                <c:pt idx="4">
                  <c:v>2011</c:v>
                </c:pt>
                <c:pt idx="5">
                  <c:v>2014</c:v>
                </c:pt>
                <c:pt idx="6">
                  <c:v>2017</c:v>
                </c:pt>
                <c:pt idx="7">
                  <c:v>2020</c:v>
                </c:pt>
              </c:numCache>
            </c:numRef>
          </c:cat>
          <c:val>
            <c:numRef>
              <c:f>'Структура область'!$D$3:$D$10</c:f>
              <c:numCache>
                <c:formatCode>General</c:formatCode>
                <c:ptCount val="8"/>
                <c:pt idx="0">
                  <c:v>283878</c:v>
                </c:pt>
                <c:pt idx="1">
                  <c:v>237869</c:v>
                </c:pt>
                <c:pt idx="2">
                  <c:v>173629.7</c:v>
                </c:pt>
                <c:pt idx="3">
                  <c:v>134898.92000000001</c:v>
                </c:pt>
                <c:pt idx="4">
                  <c:v>131127.57</c:v>
                </c:pt>
                <c:pt idx="5">
                  <c:v>134727.54999999999</c:v>
                </c:pt>
                <c:pt idx="6">
                  <c:v>138013.47</c:v>
                </c:pt>
                <c:pt idx="7">
                  <c:v>155121.81</c:v>
                </c:pt>
              </c:numCache>
            </c:numRef>
          </c:val>
          <c:extLst>
            <c:ext xmlns:c16="http://schemas.microsoft.com/office/drawing/2014/chart" uri="{C3380CC4-5D6E-409C-BE32-E72D297353CC}">
              <c16:uniqueId val="{00000000-6EC2-4902-B0AF-577F607304FB}"/>
            </c:ext>
          </c:extLst>
        </c:ser>
        <c:ser>
          <c:idx val="1"/>
          <c:order val="1"/>
          <c:tx>
            <c:strRef>
              <c:f>'Структура область'!$E$2</c:f>
              <c:strCache>
                <c:ptCount val="1"/>
                <c:pt idx="0">
                  <c:v>Технічні</c:v>
                </c:pt>
              </c:strCache>
            </c:strRef>
          </c:tx>
          <c:spPr>
            <a:pattFill prst="pct70">
              <a:fgClr>
                <a:schemeClr val="bg1">
                  <a:lumMod val="65000"/>
                </a:schemeClr>
              </a:fgClr>
              <a:bgClr>
                <a:schemeClr val="bg1"/>
              </a:bgClr>
            </a:pattFill>
            <a:ln>
              <a:noFill/>
            </a:ln>
            <a:effectLst/>
          </c:spPr>
          <c:invertIfNegative val="0"/>
          <c:cat>
            <c:numRef>
              <c:f>'Структура область'!$B$3:$B$10</c:f>
              <c:numCache>
                <c:formatCode>General</c:formatCode>
                <c:ptCount val="8"/>
                <c:pt idx="0">
                  <c:v>1990</c:v>
                </c:pt>
                <c:pt idx="1">
                  <c:v>1994</c:v>
                </c:pt>
                <c:pt idx="2">
                  <c:v>2002</c:v>
                </c:pt>
                <c:pt idx="3">
                  <c:v>2008</c:v>
                </c:pt>
                <c:pt idx="4">
                  <c:v>2011</c:v>
                </c:pt>
                <c:pt idx="5">
                  <c:v>2014</c:v>
                </c:pt>
                <c:pt idx="6">
                  <c:v>2017</c:v>
                </c:pt>
                <c:pt idx="7">
                  <c:v>2020</c:v>
                </c:pt>
              </c:numCache>
            </c:numRef>
          </c:cat>
          <c:val>
            <c:numRef>
              <c:f>'Структура область'!$E$3:$E$10</c:f>
              <c:numCache>
                <c:formatCode>General</c:formatCode>
                <c:ptCount val="8"/>
                <c:pt idx="0">
                  <c:v>75705</c:v>
                </c:pt>
                <c:pt idx="1">
                  <c:v>58584</c:v>
                </c:pt>
                <c:pt idx="2">
                  <c:v>21108.73</c:v>
                </c:pt>
                <c:pt idx="3">
                  <c:v>54863.54</c:v>
                </c:pt>
                <c:pt idx="4">
                  <c:v>85805.28</c:v>
                </c:pt>
                <c:pt idx="5">
                  <c:v>92163.3</c:v>
                </c:pt>
                <c:pt idx="6">
                  <c:v>122395.63</c:v>
                </c:pt>
                <c:pt idx="7">
                  <c:v>162706.12</c:v>
                </c:pt>
              </c:numCache>
            </c:numRef>
          </c:val>
          <c:extLst>
            <c:ext xmlns:c16="http://schemas.microsoft.com/office/drawing/2014/chart" uri="{C3380CC4-5D6E-409C-BE32-E72D297353CC}">
              <c16:uniqueId val="{00000001-6EC2-4902-B0AF-577F607304FB}"/>
            </c:ext>
          </c:extLst>
        </c:ser>
        <c:ser>
          <c:idx val="2"/>
          <c:order val="2"/>
          <c:tx>
            <c:strRef>
              <c:f>'Структура область'!$F$2</c:f>
              <c:strCache>
                <c:ptCount val="1"/>
                <c:pt idx="0">
                  <c:v>Овочі (відкритого і закритого  грунту грунту) </c:v>
                </c:pt>
              </c:strCache>
            </c:strRef>
          </c:tx>
          <c:spPr>
            <a:solidFill>
              <a:schemeClr val="tx1"/>
            </a:solidFill>
            <a:ln>
              <a:noFill/>
            </a:ln>
            <a:effectLst/>
          </c:spPr>
          <c:invertIfNegative val="0"/>
          <c:cat>
            <c:numRef>
              <c:f>'Структура область'!$B$3:$B$10</c:f>
              <c:numCache>
                <c:formatCode>General</c:formatCode>
                <c:ptCount val="8"/>
                <c:pt idx="0">
                  <c:v>1990</c:v>
                </c:pt>
                <c:pt idx="1">
                  <c:v>1994</c:v>
                </c:pt>
                <c:pt idx="2">
                  <c:v>2002</c:v>
                </c:pt>
                <c:pt idx="3">
                  <c:v>2008</c:v>
                </c:pt>
                <c:pt idx="4">
                  <c:v>2011</c:v>
                </c:pt>
                <c:pt idx="5">
                  <c:v>2014</c:v>
                </c:pt>
                <c:pt idx="6">
                  <c:v>2017</c:v>
                </c:pt>
                <c:pt idx="7">
                  <c:v>2020</c:v>
                </c:pt>
              </c:numCache>
            </c:numRef>
          </c:cat>
          <c:val>
            <c:numRef>
              <c:f>'Структура область'!$F$3:$F$10</c:f>
              <c:numCache>
                <c:formatCode>General</c:formatCode>
                <c:ptCount val="8"/>
                <c:pt idx="0">
                  <c:v>9643</c:v>
                </c:pt>
                <c:pt idx="1">
                  <c:v>2486.1999999999998</c:v>
                </c:pt>
                <c:pt idx="2">
                  <c:v>1051.3</c:v>
                </c:pt>
                <c:pt idx="3">
                  <c:v>1084.75</c:v>
                </c:pt>
                <c:pt idx="4">
                  <c:v>1028.03</c:v>
                </c:pt>
                <c:pt idx="5">
                  <c:v>744.72</c:v>
                </c:pt>
                <c:pt idx="6">
                  <c:v>586.63</c:v>
                </c:pt>
                <c:pt idx="7">
                  <c:v>582.74</c:v>
                </c:pt>
              </c:numCache>
            </c:numRef>
          </c:val>
          <c:extLst>
            <c:ext xmlns:c16="http://schemas.microsoft.com/office/drawing/2014/chart" uri="{C3380CC4-5D6E-409C-BE32-E72D297353CC}">
              <c16:uniqueId val="{00000002-6EC2-4902-B0AF-577F607304FB}"/>
            </c:ext>
          </c:extLst>
        </c:ser>
        <c:ser>
          <c:idx val="3"/>
          <c:order val="3"/>
          <c:tx>
            <c:strRef>
              <c:f>'Структура область'!$G$2</c:f>
              <c:strCache>
                <c:ptCount val="1"/>
                <c:pt idx="0">
                  <c:v>Кормові культури</c:v>
                </c:pt>
              </c:strCache>
            </c:strRef>
          </c:tx>
          <c:spPr>
            <a:pattFill prst="wdUpDiag">
              <a:fgClr>
                <a:schemeClr val="tx1">
                  <a:lumMod val="50000"/>
                  <a:lumOff val="50000"/>
                </a:schemeClr>
              </a:fgClr>
              <a:bgClr>
                <a:schemeClr val="bg1"/>
              </a:bgClr>
            </a:pattFill>
            <a:ln>
              <a:noFill/>
            </a:ln>
            <a:effectLst/>
          </c:spPr>
          <c:invertIfNegative val="0"/>
          <c:cat>
            <c:numRef>
              <c:f>'Структура область'!$B$3:$B$10</c:f>
              <c:numCache>
                <c:formatCode>General</c:formatCode>
                <c:ptCount val="8"/>
                <c:pt idx="0">
                  <c:v>1990</c:v>
                </c:pt>
                <c:pt idx="1">
                  <c:v>1994</c:v>
                </c:pt>
                <c:pt idx="2">
                  <c:v>2002</c:v>
                </c:pt>
                <c:pt idx="3">
                  <c:v>2008</c:v>
                </c:pt>
                <c:pt idx="4">
                  <c:v>2011</c:v>
                </c:pt>
                <c:pt idx="5">
                  <c:v>2014</c:v>
                </c:pt>
                <c:pt idx="6">
                  <c:v>2017</c:v>
                </c:pt>
                <c:pt idx="7">
                  <c:v>2020</c:v>
                </c:pt>
              </c:numCache>
            </c:numRef>
          </c:cat>
          <c:val>
            <c:numRef>
              <c:f>'Структура область'!$G$3:$G$10</c:f>
              <c:numCache>
                <c:formatCode>General</c:formatCode>
                <c:ptCount val="8"/>
                <c:pt idx="0">
                  <c:v>261163</c:v>
                </c:pt>
                <c:pt idx="1">
                  <c:v>176321</c:v>
                </c:pt>
                <c:pt idx="2">
                  <c:v>145745.79999999999</c:v>
                </c:pt>
                <c:pt idx="3">
                  <c:v>50026.22</c:v>
                </c:pt>
                <c:pt idx="4">
                  <c:v>27664.84</c:v>
                </c:pt>
                <c:pt idx="5">
                  <c:v>19322.21</c:v>
                </c:pt>
                <c:pt idx="6">
                  <c:v>13042.98</c:v>
                </c:pt>
                <c:pt idx="7">
                  <c:v>7243.73</c:v>
                </c:pt>
              </c:numCache>
            </c:numRef>
          </c:val>
          <c:extLst>
            <c:ext xmlns:c16="http://schemas.microsoft.com/office/drawing/2014/chart" uri="{C3380CC4-5D6E-409C-BE32-E72D297353CC}">
              <c16:uniqueId val="{00000003-6EC2-4902-B0AF-577F607304FB}"/>
            </c:ext>
          </c:extLst>
        </c:ser>
        <c:ser>
          <c:idx val="4"/>
          <c:order val="4"/>
          <c:tx>
            <c:strRef>
              <c:f>'Структура область'!$H$2</c:f>
              <c:strCache>
                <c:ptCount val="1"/>
                <c:pt idx="0">
                  <c:v>Інші</c:v>
                </c:pt>
              </c:strCache>
            </c:strRef>
          </c:tx>
          <c:spPr>
            <a:solidFill>
              <a:schemeClr val="bg1">
                <a:lumMod val="75000"/>
              </a:schemeClr>
            </a:solidFill>
            <a:ln>
              <a:noFill/>
            </a:ln>
            <a:effectLst/>
          </c:spPr>
          <c:invertIfNegative val="0"/>
          <c:cat>
            <c:numRef>
              <c:f>'Структура область'!$B$3:$B$10</c:f>
              <c:numCache>
                <c:formatCode>General</c:formatCode>
                <c:ptCount val="8"/>
                <c:pt idx="0">
                  <c:v>1990</c:v>
                </c:pt>
                <c:pt idx="1">
                  <c:v>1994</c:v>
                </c:pt>
                <c:pt idx="2">
                  <c:v>2002</c:v>
                </c:pt>
                <c:pt idx="3">
                  <c:v>2008</c:v>
                </c:pt>
                <c:pt idx="4">
                  <c:v>2011</c:v>
                </c:pt>
                <c:pt idx="5">
                  <c:v>2014</c:v>
                </c:pt>
                <c:pt idx="6">
                  <c:v>2017</c:v>
                </c:pt>
                <c:pt idx="7">
                  <c:v>2020</c:v>
                </c:pt>
              </c:numCache>
            </c:numRef>
          </c:cat>
          <c:val>
            <c:numRef>
              <c:f>'Структура область'!$H$3:$H$10</c:f>
              <c:numCache>
                <c:formatCode>General</c:formatCode>
                <c:ptCount val="8"/>
                <c:pt idx="0">
                  <c:v>66871</c:v>
                </c:pt>
                <c:pt idx="1">
                  <c:v>66972.799999999988</c:v>
                </c:pt>
                <c:pt idx="2">
                  <c:v>23742.540000000008</c:v>
                </c:pt>
                <c:pt idx="3">
                  <c:v>25551.97</c:v>
                </c:pt>
                <c:pt idx="4">
                  <c:v>3905.9500000000116</c:v>
                </c:pt>
                <c:pt idx="5">
                  <c:v>3296.8600000000224</c:v>
                </c:pt>
              </c:numCache>
            </c:numRef>
          </c:val>
          <c:extLst>
            <c:ext xmlns:c16="http://schemas.microsoft.com/office/drawing/2014/chart" uri="{C3380CC4-5D6E-409C-BE32-E72D297353CC}">
              <c16:uniqueId val="{00000004-6EC2-4902-B0AF-577F607304FB}"/>
            </c:ext>
          </c:extLst>
        </c:ser>
        <c:dLbls>
          <c:showLegendKey val="0"/>
          <c:showVal val="0"/>
          <c:showCatName val="0"/>
          <c:showSerName val="0"/>
          <c:showPercent val="0"/>
          <c:showBubbleSize val="0"/>
        </c:dLbls>
        <c:gapWidth val="150"/>
        <c:overlap val="100"/>
        <c:axId val="337235056"/>
        <c:axId val="337235840"/>
      </c:barChart>
      <c:catAx>
        <c:axId val="33723505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Роки</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37235840"/>
        <c:crosses val="autoZero"/>
        <c:auto val="1"/>
        <c:lblAlgn val="ctr"/>
        <c:lblOffset val="100"/>
        <c:noMultiLvlLbl val="0"/>
      </c:catAx>
      <c:valAx>
        <c:axId val="33723584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Площа, га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37235056"/>
        <c:crosses val="autoZero"/>
        <c:crossBetween val="between"/>
      </c:valAx>
      <c:spPr>
        <a:noFill/>
        <a:ln>
          <a:noFill/>
        </a:ln>
        <a:effectLst/>
      </c:spPr>
    </c:plotArea>
    <c:legend>
      <c:legendPos val="b"/>
      <c:layout>
        <c:manualLayout>
          <c:xMode val="edge"/>
          <c:yMode val="edge"/>
          <c:x val="2.7241269729176185E-4"/>
          <c:y val="0.86463231769941806"/>
          <c:w val="0.99272871720631328"/>
          <c:h val="0.1330318493645180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5162037037037679E-2"/>
          <c:y val="4.3650793650793704E-2"/>
          <c:w val="0.88146038887995837"/>
          <c:h val="0.45489338457682477"/>
        </c:manualLayout>
      </c:layout>
      <c:lineChart>
        <c:grouping val="standard"/>
        <c:varyColors val="0"/>
        <c:ser>
          <c:idx val="0"/>
          <c:order val="0"/>
          <c:tx>
            <c:strRef>
              <c:f>Лист1!$B$1</c:f>
              <c:strCache>
                <c:ptCount val="1"/>
                <c:pt idx="0">
                  <c:v>Приріст 2022 р. по відношенню до 2021 р.,%</c:v>
                </c:pt>
              </c:strCache>
            </c:strRef>
          </c:tx>
          <c:cat>
            <c:strRef>
              <c:f>Лист1!$A$2:$A$11</c:f>
              <c:strCache>
                <c:ptCount val="10"/>
                <c:pt idx="0">
                  <c:v>м. Київ</c:v>
                </c:pt>
                <c:pt idx="1">
                  <c:v>Закарпатський регіон</c:v>
                </c:pt>
                <c:pt idx="2">
                  <c:v>Івано-Франківський регіон</c:v>
                </c:pt>
                <c:pt idx="3">
                  <c:v>Київський регіон</c:v>
                </c:pt>
                <c:pt idx="4">
                  <c:v>Кіровоградський регіон</c:v>
                </c:pt>
                <c:pt idx="5">
                  <c:v>Львівський регіон</c:v>
                </c:pt>
                <c:pt idx="6">
                  <c:v>Тернопільський регіон</c:v>
                </c:pt>
                <c:pt idx="7">
                  <c:v>Хмельницький регіон</c:v>
                </c:pt>
                <c:pt idx="8">
                  <c:v>Чернівецький регіон</c:v>
                </c:pt>
                <c:pt idx="9">
                  <c:v>2022</c:v>
                </c:pt>
              </c:strCache>
            </c:strRef>
          </c:cat>
          <c:val>
            <c:numRef>
              <c:f>Лист1!$B$2:$B$11</c:f>
              <c:numCache>
                <c:formatCode>0%</c:formatCode>
                <c:ptCount val="10"/>
                <c:pt idx="0" formatCode="#,000%">
                  <c:v>4.8000000000000001E-2</c:v>
                </c:pt>
                <c:pt idx="1">
                  <c:v>1.079</c:v>
                </c:pt>
                <c:pt idx="2">
                  <c:v>0.76400000000000001</c:v>
                </c:pt>
                <c:pt idx="3">
                  <c:v>-0.23400000000000001</c:v>
                </c:pt>
                <c:pt idx="4">
                  <c:v>1.05</c:v>
                </c:pt>
                <c:pt idx="5">
                  <c:v>1.927</c:v>
                </c:pt>
                <c:pt idx="6">
                  <c:v>1.454</c:v>
                </c:pt>
                <c:pt idx="7">
                  <c:v>1.165</c:v>
                </c:pt>
                <c:pt idx="8" formatCode="#,000%">
                  <c:v>1.0309999999999999</c:v>
                </c:pt>
                <c:pt idx="9" formatCode="#,000%">
                  <c:v>0.28799999999999998</c:v>
                </c:pt>
              </c:numCache>
            </c:numRef>
          </c:val>
          <c:smooth val="0"/>
          <c:extLst>
            <c:ext xmlns:c16="http://schemas.microsoft.com/office/drawing/2014/chart" uri="{C3380CC4-5D6E-409C-BE32-E72D297353CC}">
              <c16:uniqueId val="{00000000-8862-44AB-8447-A881123EB536}"/>
            </c:ext>
          </c:extLst>
        </c:ser>
        <c:dLbls>
          <c:showLegendKey val="0"/>
          <c:showVal val="0"/>
          <c:showCatName val="0"/>
          <c:showSerName val="0"/>
          <c:showPercent val="0"/>
          <c:showBubbleSize val="0"/>
        </c:dLbls>
        <c:marker val="1"/>
        <c:smooth val="0"/>
        <c:axId val="330557119"/>
        <c:axId val="1"/>
      </c:lineChart>
      <c:catAx>
        <c:axId val="330557119"/>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UA"/>
          </a:p>
        </c:txPr>
        <c:crossAx val="1"/>
        <c:crosses val="autoZero"/>
        <c:auto val="1"/>
        <c:lblAlgn val="ctr"/>
        <c:lblOffset val="100"/>
        <c:noMultiLvlLbl val="0"/>
      </c:catAx>
      <c:valAx>
        <c:axId val="1"/>
        <c:scaling>
          <c:orientation val="minMax"/>
        </c:scaling>
        <c:delete val="0"/>
        <c:axPos val="l"/>
        <c:majorGridlines/>
        <c:numFmt formatCode="#,000%" sourceLinked="1"/>
        <c:majorTickMark val="out"/>
        <c:minorTickMark val="none"/>
        <c:tickLblPos val="nextTo"/>
        <c:txPr>
          <a:bodyPr/>
          <a:lstStyle/>
          <a:p>
            <a:pPr>
              <a:defRPr>
                <a:latin typeface="Times New Roman" pitchFamily="18" charset="0"/>
                <a:cs typeface="Times New Roman" pitchFamily="18" charset="0"/>
              </a:defRPr>
            </a:pPr>
            <a:endParaRPr lang="ru-UA"/>
          </a:p>
        </c:txPr>
        <c:crossAx val="330557119"/>
        <c:crosses val="autoZero"/>
        <c:crossBetween val="between"/>
      </c:valAx>
    </c:plotArea>
    <c:plotVisOnly val="1"/>
    <c:dispBlanksAs val="gap"/>
    <c:showDLblsOverMax val="0"/>
  </c:chart>
  <c:spPr>
    <a:ln>
      <a:noFill/>
    </a:ln>
  </c:spPr>
  <c:externalData r:id="rId2">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3435897435897429E-2"/>
          <c:y val="6.358381502890173E-2"/>
          <c:w val="0.73461029678982781"/>
          <c:h val="0.81891076115485562"/>
        </c:manualLayout>
      </c:layout>
      <c:barChart>
        <c:barDir val="col"/>
        <c:grouping val="clustered"/>
        <c:varyColors val="0"/>
        <c:ser>
          <c:idx val="0"/>
          <c:order val="0"/>
          <c:tx>
            <c:strRef>
              <c:f>Лист1!$A$2</c:f>
              <c:strCache>
                <c:ptCount val="1"/>
                <c:pt idx="0">
                  <c:v>Податки 2021 р., млн. дол. США</c:v>
                </c:pt>
              </c:strCache>
            </c:strRef>
          </c:tx>
          <c:invertIfNegative val="0"/>
          <c:dLbls>
            <c:dLbl>
              <c:idx val="2"/>
              <c:layout>
                <c:manualLayout>
                  <c:x val="-2.6639344262295254E-2"/>
                  <c:y val="-1.156023849619954E-2"/>
                </c:manualLayout>
              </c:layout>
              <c:spPr>
                <a:noFill/>
                <a:ln w="25369">
                  <a:noFill/>
                </a:ln>
              </c:spPr>
              <c:txPr>
                <a:bodyPr wrap="square" lIns="38100" tIns="19050" rIns="38100" bIns="19050" anchor="ctr">
                  <a:spAutoFit/>
                </a:bodyPr>
                <a:lstStyle/>
                <a:p>
                  <a:pPr>
                    <a:defRPr/>
                  </a:pPr>
                  <a:endParaRPr lang="ru-UA"/>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688-45F4-91D4-4D165D1DA667}"/>
                </c:ext>
              </c:extLst>
            </c:dLbl>
            <c:spPr>
              <a:noFill/>
              <a:ln w="25369">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Всього</c:v>
                </c:pt>
                <c:pt idx="1">
                  <c:v>Юридичні особи</c:v>
                </c:pt>
                <c:pt idx="2">
                  <c:v>Фізичні особи</c:v>
                </c:pt>
              </c:strCache>
            </c:strRef>
          </c:cat>
          <c:val>
            <c:numRef>
              <c:f>Лист1!$B$2:$D$2</c:f>
              <c:numCache>
                <c:formatCode>\О\с\н\о\в\н\о\й</c:formatCode>
                <c:ptCount val="3"/>
                <c:pt idx="0">
                  <c:v>0.51200000000000001</c:v>
                </c:pt>
                <c:pt idx="1">
                  <c:v>0.154</c:v>
                </c:pt>
                <c:pt idx="2">
                  <c:v>0.35699999999999998</c:v>
                </c:pt>
              </c:numCache>
            </c:numRef>
          </c:val>
          <c:extLst>
            <c:ext xmlns:c16="http://schemas.microsoft.com/office/drawing/2014/chart" uri="{C3380CC4-5D6E-409C-BE32-E72D297353CC}">
              <c16:uniqueId val="{00000001-D688-45F4-91D4-4D165D1DA667}"/>
            </c:ext>
          </c:extLst>
        </c:ser>
        <c:ser>
          <c:idx val="1"/>
          <c:order val="1"/>
          <c:tx>
            <c:strRef>
              <c:f>Лист1!$A$3</c:f>
              <c:strCache>
                <c:ptCount val="1"/>
                <c:pt idx="0">
                  <c:v>Податки 2022 р., млн. дол. США</c:v>
                </c:pt>
              </c:strCache>
            </c:strRef>
          </c:tx>
          <c:invertIfNegative val="0"/>
          <c:dLbls>
            <c:spPr>
              <a:noFill/>
              <a:ln w="25369">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Всього</c:v>
                </c:pt>
                <c:pt idx="1">
                  <c:v>Юридичні особи</c:v>
                </c:pt>
                <c:pt idx="2">
                  <c:v>Фізичні особи</c:v>
                </c:pt>
              </c:strCache>
            </c:strRef>
          </c:cat>
          <c:val>
            <c:numRef>
              <c:f>Лист1!$B$3:$D$3</c:f>
              <c:numCache>
                <c:formatCode>\О\с\н\о\в\н\о\й</c:formatCode>
                <c:ptCount val="3"/>
                <c:pt idx="0">
                  <c:v>0.42499999999999999</c:v>
                </c:pt>
                <c:pt idx="1">
                  <c:v>0.11700000000000001</c:v>
                </c:pt>
                <c:pt idx="2">
                  <c:v>0.309</c:v>
                </c:pt>
              </c:numCache>
            </c:numRef>
          </c:val>
          <c:extLst>
            <c:ext xmlns:c16="http://schemas.microsoft.com/office/drawing/2014/chart" uri="{C3380CC4-5D6E-409C-BE32-E72D297353CC}">
              <c16:uniqueId val="{00000002-D688-45F4-91D4-4D165D1DA667}"/>
            </c:ext>
          </c:extLst>
        </c:ser>
        <c:dLbls>
          <c:showLegendKey val="0"/>
          <c:showVal val="0"/>
          <c:showCatName val="0"/>
          <c:showSerName val="0"/>
          <c:showPercent val="0"/>
          <c:showBubbleSize val="0"/>
        </c:dLbls>
        <c:gapWidth val="150"/>
        <c:axId val="327381519"/>
        <c:axId val="1"/>
      </c:barChart>
      <c:catAx>
        <c:axId val="327381519"/>
        <c:scaling>
          <c:orientation val="minMax"/>
        </c:scaling>
        <c:delete val="0"/>
        <c:axPos val="b"/>
        <c:numFmt formatCode="\О\с\н\о\в\н\о\й" sourceLinked="0"/>
        <c:majorTickMark val="out"/>
        <c:minorTickMark val="none"/>
        <c:tickLblPos val="nextTo"/>
        <c:txPr>
          <a:bodyPr/>
          <a:lstStyle/>
          <a:p>
            <a:pPr>
              <a:defRPr b="1"/>
            </a:pPr>
            <a:endParaRPr lang="ru-UA"/>
          </a:p>
        </c:txPr>
        <c:crossAx val="1"/>
        <c:crosses val="autoZero"/>
        <c:auto val="1"/>
        <c:lblAlgn val="ctr"/>
        <c:lblOffset val="100"/>
        <c:noMultiLvlLbl val="0"/>
      </c:catAx>
      <c:valAx>
        <c:axId val="1"/>
        <c:scaling>
          <c:orientation val="minMax"/>
        </c:scaling>
        <c:delete val="0"/>
        <c:axPos val="l"/>
        <c:majorGridlines/>
        <c:numFmt formatCode="\О\с\н\о\в\н\о\й" sourceLinked="1"/>
        <c:majorTickMark val="out"/>
        <c:minorTickMark val="none"/>
        <c:tickLblPos val="nextTo"/>
        <c:crossAx val="327381519"/>
        <c:crosses val="autoZero"/>
        <c:crossBetween val="between"/>
      </c:valAx>
    </c:plotArea>
    <c:legend>
      <c:legendPos val="r"/>
      <c:layout>
        <c:manualLayout>
          <c:xMode val="edge"/>
          <c:yMode val="edge"/>
          <c:x val="0.82644125839553362"/>
          <c:y val="7.7593824757145199E-2"/>
          <c:w val="0.15966960485222659"/>
          <c:h val="0.61008842529370177"/>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ru-UA"/>
    </a:p>
  </c:txPr>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Лист1!$A$2</c:f>
              <c:strCache>
                <c:ptCount val="1"/>
                <c:pt idx="0">
                  <c:v>Податки 2021 р., млн. дол. США</c:v>
                </c:pt>
              </c:strCache>
            </c:strRef>
          </c:tx>
          <c:spPr>
            <a:solidFill>
              <a:schemeClr val="tx1">
                <a:lumMod val="50000"/>
                <a:lumOff val="50000"/>
              </a:schemeClr>
            </a:solidFill>
          </c:spPr>
          <c:invertIfNegative val="0"/>
          <c:dLbls>
            <c:dLbl>
              <c:idx val="2"/>
              <c:layout>
                <c:manualLayout>
                  <c:x val="2.0703933747412092E-3"/>
                  <c:y val="0.1318681318681325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830-4A8C-B587-05EEEA31F89A}"/>
                </c:ext>
              </c:extLst>
            </c:dLbl>
            <c:spPr>
              <a:noFill/>
              <a:ln w="25387">
                <a:noFill/>
              </a:ln>
            </c:spPr>
            <c:txPr>
              <a:bodyPr/>
              <a:lstStyle/>
              <a:p>
                <a:pPr>
                  <a:defRPr b="1"/>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Лист1!$B$1:$F$1</c:f>
              <c:strCache>
                <c:ptCount val="5"/>
                <c:pt idx="0">
                  <c:v>Діяльнсть готелів і подібних засобів тимчасового розміщення  </c:v>
                </c:pt>
                <c:pt idx="1">
                  <c:v>Діяльність туристичних агенцій</c:v>
                </c:pt>
                <c:pt idx="2">
                  <c:v>Діяльність туристичних операторів</c:v>
                </c:pt>
                <c:pt idx="3">
                  <c:v>Діяльність засобів розміщення на період відпустки та іншого тимчасового проживання</c:v>
                </c:pt>
                <c:pt idx="4">
                  <c:v>Діяльність інших засобів тимчасового розміщення</c:v>
                </c:pt>
              </c:strCache>
            </c:strRef>
          </c:cat>
          <c:val>
            <c:numRef>
              <c:f>Лист1!$B$2:$F$2</c:f>
              <c:numCache>
                <c:formatCode>\О\с\н\о\в\н\о\й</c:formatCode>
                <c:ptCount val="5"/>
                <c:pt idx="0">
                  <c:v>16.09</c:v>
                </c:pt>
                <c:pt idx="1">
                  <c:v>2.23</c:v>
                </c:pt>
                <c:pt idx="2">
                  <c:v>2.7</c:v>
                </c:pt>
                <c:pt idx="3">
                  <c:v>3.1</c:v>
                </c:pt>
                <c:pt idx="4">
                  <c:v>0.82</c:v>
                </c:pt>
              </c:numCache>
            </c:numRef>
          </c:val>
          <c:extLst>
            <c:ext xmlns:c16="http://schemas.microsoft.com/office/drawing/2014/chart" uri="{C3380CC4-5D6E-409C-BE32-E72D297353CC}">
              <c16:uniqueId val="{00000001-2830-4A8C-B587-05EEEA31F89A}"/>
            </c:ext>
          </c:extLst>
        </c:ser>
        <c:ser>
          <c:idx val="1"/>
          <c:order val="1"/>
          <c:tx>
            <c:strRef>
              <c:f>Лист1!$A$3</c:f>
              <c:strCache>
                <c:ptCount val="1"/>
                <c:pt idx="0">
                  <c:v>Податки 2022 р., млн. дол. США</c:v>
                </c:pt>
              </c:strCache>
            </c:strRef>
          </c:tx>
          <c:spPr>
            <a:solidFill>
              <a:schemeClr val="tx1"/>
            </a:solidFill>
          </c:spPr>
          <c:invertIfNegative val="0"/>
          <c:cat>
            <c:strRef>
              <c:f>Лист1!$B$1:$F$1</c:f>
              <c:strCache>
                <c:ptCount val="5"/>
                <c:pt idx="0">
                  <c:v>Діяльнсть готелів і подібних засобів тимчасового розміщення  </c:v>
                </c:pt>
                <c:pt idx="1">
                  <c:v>Діяльність туристичних агенцій</c:v>
                </c:pt>
                <c:pt idx="2">
                  <c:v>Діяльність туристичних операторів</c:v>
                </c:pt>
                <c:pt idx="3">
                  <c:v>Діяльність засобів розміщення на період відпустки та іншого тимчасового проживання</c:v>
                </c:pt>
                <c:pt idx="4">
                  <c:v>Діяльність інших засобів тимчасового розміщення</c:v>
                </c:pt>
              </c:strCache>
            </c:strRef>
          </c:cat>
          <c:val>
            <c:numRef>
              <c:f>Лист1!$B$3:$F$3</c:f>
              <c:numCache>
                <c:formatCode>\О\с\н\о\в\н\о\й</c:formatCode>
                <c:ptCount val="5"/>
                <c:pt idx="0">
                  <c:v>12.3</c:v>
                </c:pt>
                <c:pt idx="1">
                  <c:v>3.78</c:v>
                </c:pt>
                <c:pt idx="2">
                  <c:v>2.23</c:v>
                </c:pt>
                <c:pt idx="3">
                  <c:v>1.95</c:v>
                </c:pt>
                <c:pt idx="4">
                  <c:v>1.34</c:v>
                </c:pt>
              </c:numCache>
            </c:numRef>
          </c:val>
          <c:extLst>
            <c:ext xmlns:c16="http://schemas.microsoft.com/office/drawing/2014/chart" uri="{C3380CC4-5D6E-409C-BE32-E72D297353CC}">
              <c16:uniqueId val="{00000002-2830-4A8C-B587-05EEEA31F89A}"/>
            </c:ext>
          </c:extLst>
        </c:ser>
        <c:ser>
          <c:idx val="2"/>
          <c:order val="2"/>
          <c:tx>
            <c:strRef>
              <c:f>Лист1!$A$4</c:f>
              <c:strCache>
                <c:ptCount val="1"/>
                <c:pt idx="0">
                  <c:v>Темп падіння (приріст) 2022 р. у % до 2021 р.</c:v>
                </c:pt>
              </c:strCache>
            </c:strRef>
          </c:tx>
          <c:spPr>
            <a:solidFill>
              <a:schemeClr val="bg1">
                <a:lumMod val="85000"/>
              </a:schemeClr>
            </a:solidFill>
          </c:spPr>
          <c:invertIfNegative val="0"/>
          <c:cat>
            <c:strRef>
              <c:f>Лист1!$B$1:$F$1</c:f>
              <c:strCache>
                <c:ptCount val="5"/>
                <c:pt idx="0">
                  <c:v>Діяльнсть готелів і подібних засобів тимчасового розміщення  </c:v>
                </c:pt>
                <c:pt idx="1">
                  <c:v>Діяльність туристичних агенцій</c:v>
                </c:pt>
                <c:pt idx="2">
                  <c:v>Діяльність туристичних операторів</c:v>
                </c:pt>
                <c:pt idx="3">
                  <c:v>Діяльність засобів розміщення на період відпустки та іншого тимчасового проживання</c:v>
                </c:pt>
                <c:pt idx="4">
                  <c:v>Діяльність інших засобів тимчасового розміщення</c:v>
                </c:pt>
              </c:strCache>
            </c:strRef>
          </c:cat>
          <c:val>
            <c:numRef>
              <c:f>Лист1!$B$4:$F$4</c:f>
              <c:numCache>
                <c:formatCode>0%</c:formatCode>
                <c:ptCount val="5"/>
                <c:pt idx="0" formatCode="#,000%">
                  <c:v>-0.308</c:v>
                </c:pt>
                <c:pt idx="1">
                  <c:v>0.41</c:v>
                </c:pt>
                <c:pt idx="2" formatCode="#,000%">
                  <c:v>-0.21299999999999999</c:v>
                </c:pt>
                <c:pt idx="3">
                  <c:v>-0.59</c:v>
                </c:pt>
                <c:pt idx="4">
                  <c:v>0.39</c:v>
                </c:pt>
              </c:numCache>
            </c:numRef>
          </c:val>
          <c:extLst>
            <c:ext xmlns:c16="http://schemas.microsoft.com/office/drawing/2014/chart" uri="{C3380CC4-5D6E-409C-BE32-E72D297353CC}">
              <c16:uniqueId val="{00000003-2830-4A8C-B587-05EEEA31F89A}"/>
            </c:ext>
          </c:extLst>
        </c:ser>
        <c:dLbls>
          <c:showLegendKey val="0"/>
          <c:showVal val="0"/>
          <c:showCatName val="0"/>
          <c:showSerName val="0"/>
          <c:showPercent val="0"/>
          <c:showBubbleSize val="0"/>
        </c:dLbls>
        <c:gapWidth val="75"/>
        <c:axId val="327650015"/>
        <c:axId val="1"/>
      </c:barChart>
      <c:catAx>
        <c:axId val="327650015"/>
        <c:scaling>
          <c:orientation val="minMax"/>
        </c:scaling>
        <c:delete val="0"/>
        <c:axPos val="b"/>
        <c:numFmt formatCode="\О\с\н\о\в\н\о\й" sourceLinked="0"/>
        <c:majorTickMark val="none"/>
        <c:minorTickMark val="none"/>
        <c:tickLblPos val="nextTo"/>
        <c:crossAx val="1"/>
        <c:crosses val="autoZero"/>
        <c:auto val="1"/>
        <c:lblAlgn val="ctr"/>
        <c:lblOffset val="100"/>
        <c:noMultiLvlLbl val="0"/>
      </c:catAx>
      <c:valAx>
        <c:axId val="1"/>
        <c:scaling>
          <c:orientation val="minMax"/>
        </c:scaling>
        <c:delete val="0"/>
        <c:axPos val="l"/>
        <c:majorGridlines/>
        <c:numFmt formatCode="\О\с\н\о\в\н\о\й" sourceLinked="1"/>
        <c:majorTickMark val="none"/>
        <c:minorTickMark val="none"/>
        <c:tickLblPos val="nextTo"/>
        <c:crossAx val="327650015"/>
        <c:crosses val="autoZero"/>
        <c:crossBetween val="between"/>
      </c:valAx>
    </c:plotArea>
    <c:legend>
      <c:legendPos val="r"/>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ru-UA"/>
    </a:p>
  </c:txPr>
  <c:externalData r:id="rId2">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0"/>
    <c:plotArea>
      <c:layout/>
      <c:lineChart>
        <c:grouping val="stacked"/>
        <c:varyColors val="0"/>
        <c:ser>
          <c:idx val="0"/>
          <c:order val="0"/>
          <c:tx>
            <c:strRef>
              <c:f>Лист1!$B$1</c:f>
              <c:strCache>
                <c:ptCount val="1"/>
                <c:pt idx="0">
                  <c:v>2019</c:v>
                </c:pt>
              </c:strCache>
            </c:strRef>
          </c:tx>
          <c:cat>
            <c:strRef>
              <c:f>Лист1!$A$2:$A$9</c:f>
              <c:strCache>
                <c:ptCount val="8"/>
                <c:pt idx="0">
                  <c:v>Болгарія</c:v>
                </c:pt>
                <c:pt idx="1">
                  <c:v>Ізраїль</c:v>
                </c:pt>
                <c:pt idx="2">
                  <c:v>Молдова</c:v>
                </c:pt>
                <c:pt idx="3">
                  <c:v>Німеччина</c:v>
                </c:pt>
                <c:pt idx="4">
                  <c:v>Польща</c:v>
                </c:pt>
                <c:pt idx="5">
                  <c:v>Румунія</c:v>
                </c:pt>
                <c:pt idx="6">
                  <c:v>Туреччина</c:v>
                </c:pt>
                <c:pt idx="7">
                  <c:v>Угорщина</c:v>
                </c:pt>
              </c:strCache>
            </c:strRef>
          </c:cat>
          <c:val>
            <c:numRef>
              <c:f>Лист1!$B$2:$B$9</c:f>
              <c:numCache>
                <c:formatCode>0%</c:formatCode>
                <c:ptCount val="8"/>
                <c:pt idx="0">
                  <c:v>0.38</c:v>
                </c:pt>
                <c:pt idx="1">
                  <c:v>0.57999999999999996</c:v>
                </c:pt>
                <c:pt idx="2">
                  <c:v>0.06</c:v>
                </c:pt>
                <c:pt idx="3">
                  <c:v>0.34</c:v>
                </c:pt>
                <c:pt idx="4">
                  <c:v>0.24</c:v>
                </c:pt>
                <c:pt idx="5">
                  <c:v>0.25</c:v>
                </c:pt>
                <c:pt idx="6">
                  <c:v>0.77</c:v>
                </c:pt>
                <c:pt idx="7">
                  <c:v>0.28000000000000003</c:v>
                </c:pt>
              </c:numCache>
            </c:numRef>
          </c:val>
          <c:smooth val="0"/>
          <c:extLst>
            <c:ext xmlns:c16="http://schemas.microsoft.com/office/drawing/2014/chart" uri="{C3380CC4-5D6E-409C-BE32-E72D297353CC}">
              <c16:uniqueId val="{00000000-3D94-45BD-9043-EBD78F5469C8}"/>
            </c:ext>
          </c:extLst>
        </c:ser>
        <c:ser>
          <c:idx val="1"/>
          <c:order val="1"/>
          <c:tx>
            <c:strRef>
              <c:f>Лист1!$C$1</c:f>
              <c:strCache>
                <c:ptCount val="1"/>
                <c:pt idx="0">
                  <c:v>2020</c:v>
                </c:pt>
              </c:strCache>
            </c:strRef>
          </c:tx>
          <c:cat>
            <c:strRef>
              <c:f>Лист1!$A$2:$A$9</c:f>
              <c:strCache>
                <c:ptCount val="8"/>
                <c:pt idx="0">
                  <c:v>Болгарія</c:v>
                </c:pt>
                <c:pt idx="1">
                  <c:v>Ізраїль</c:v>
                </c:pt>
                <c:pt idx="2">
                  <c:v>Молдова</c:v>
                </c:pt>
                <c:pt idx="3">
                  <c:v>Німеччина</c:v>
                </c:pt>
                <c:pt idx="4">
                  <c:v>Польща</c:v>
                </c:pt>
                <c:pt idx="5">
                  <c:v>Румунія</c:v>
                </c:pt>
                <c:pt idx="6">
                  <c:v>Туреччина</c:v>
                </c:pt>
                <c:pt idx="7">
                  <c:v>Угорщина</c:v>
                </c:pt>
              </c:strCache>
            </c:strRef>
          </c:cat>
          <c:val>
            <c:numRef>
              <c:f>Лист1!$C$2:$C$9</c:f>
              <c:numCache>
                <c:formatCode>0%</c:formatCode>
                <c:ptCount val="8"/>
                <c:pt idx="0">
                  <c:v>-0.14000000000000001</c:v>
                </c:pt>
                <c:pt idx="1">
                  <c:v>-0.14000000000000001</c:v>
                </c:pt>
                <c:pt idx="2">
                  <c:v>-0.18</c:v>
                </c:pt>
                <c:pt idx="3">
                  <c:v>-0.12</c:v>
                </c:pt>
                <c:pt idx="4">
                  <c:v>-0.14000000000000001</c:v>
                </c:pt>
                <c:pt idx="5">
                  <c:v>-0.14000000000000001</c:v>
                </c:pt>
                <c:pt idx="6">
                  <c:v>7.0000000000000007E-2</c:v>
                </c:pt>
                <c:pt idx="7">
                  <c:v>-0.18</c:v>
                </c:pt>
              </c:numCache>
            </c:numRef>
          </c:val>
          <c:smooth val="0"/>
          <c:extLst>
            <c:ext xmlns:c16="http://schemas.microsoft.com/office/drawing/2014/chart" uri="{C3380CC4-5D6E-409C-BE32-E72D297353CC}">
              <c16:uniqueId val="{00000001-3D94-45BD-9043-EBD78F5469C8}"/>
            </c:ext>
          </c:extLst>
        </c:ser>
        <c:ser>
          <c:idx val="2"/>
          <c:order val="2"/>
          <c:tx>
            <c:strRef>
              <c:f>Лист1!$D$1</c:f>
              <c:strCache>
                <c:ptCount val="1"/>
                <c:pt idx="0">
                  <c:v>2021</c:v>
                </c:pt>
              </c:strCache>
            </c:strRef>
          </c:tx>
          <c:cat>
            <c:strRef>
              <c:f>Лист1!$A$2:$A$9</c:f>
              <c:strCache>
                <c:ptCount val="8"/>
                <c:pt idx="0">
                  <c:v>Болгарія</c:v>
                </c:pt>
                <c:pt idx="1">
                  <c:v>Ізраїль</c:v>
                </c:pt>
                <c:pt idx="2">
                  <c:v>Молдова</c:v>
                </c:pt>
                <c:pt idx="3">
                  <c:v>Німеччина</c:v>
                </c:pt>
                <c:pt idx="4">
                  <c:v>Польща</c:v>
                </c:pt>
                <c:pt idx="5">
                  <c:v>Румунія</c:v>
                </c:pt>
                <c:pt idx="6">
                  <c:v>Туреччина</c:v>
                </c:pt>
                <c:pt idx="7">
                  <c:v>Угорщина</c:v>
                </c:pt>
              </c:strCache>
            </c:strRef>
          </c:cat>
          <c:val>
            <c:numRef>
              <c:f>Лист1!$D$2:$D$9</c:f>
              <c:numCache>
                <c:formatCode>0%</c:formatCode>
                <c:ptCount val="8"/>
                <c:pt idx="0">
                  <c:v>-0.32</c:v>
                </c:pt>
                <c:pt idx="1">
                  <c:v>-0.35</c:v>
                </c:pt>
                <c:pt idx="2">
                  <c:v>-0.17</c:v>
                </c:pt>
                <c:pt idx="3">
                  <c:v>-0.33</c:v>
                </c:pt>
                <c:pt idx="4">
                  <c:v>-0.28000000000000003</c:v>
                </c:pt>
                <c:pt idx="5">
                  <c:v>-0.27</c:v>
                </c:pt>
                <c:pt idx="6">
                  <c:v>0.14000000000000001</c:v>
                </c:pt>
                <c:pt idx="7">
                  <c:v>-0.38</c:v>
                </c:pt>
              </c:numCache>
            </c:numRef>
          </c:val>
          <c:smooth val="0"/>
          <c:extLst>
            <c:ext xmlns:c16="http://schemas.microsoft.com/office/drawing/2014/chart" uri="{C3380CC4-5D6E-409C-BE32-E72D297353CC}">
              <c16:uniqueId val="{00000002-3D94-45BD-9043-EBD78F5469C8}"/>
            </c:ext>
          </c:extLst>
        </c:ser>
        <c:ser>
          <c:idx val="3"/>
          <c:order val="3"/>
          <c:tx>
            <c:strRef>
              <c:f>Лист1!$E$1</c:f>
              <c:strCache>
                <c:ptCount val="1"/>
                <c:pt idx="0">
                  <c:v>2022</c:v>
                </c:pt>
              </c:strCache>
            </c:strRef>
          </c:tx>
          <c:cat>
            <c:strRef>
              <c:f>Лист1!$A$2:$A$9</c:f>
              <c:strCache>
                <c:ptCount val="8"/>
                <c:pt idx="0">
                  <c:v>Болгарія</c:v>
                </c:pt>
                <c:pt idx="1">
                  <c:v>Ізраїль</c:v>
                </c:pt>
                <c:pt idx="2">
                  <c:v>Молдова</c:v>
                </c:pt>
                <c:pt idx="3">
                  <c:v>Німеччина</c:v>
                </c:pt>
                <c:pt idx="4">
                  <c:v>Польща</c:v>
                </c:pt>
                <c:pt idx="5">
                  <c:v>Румунія</c:v>
                </c:pt>
                <c:pt idx="6">
                  <c:v>Туреччина</c:v>
                </c:pt>
                <c:pt idx="7">
                  <c:v>Угорщина</c:v>
                </c:pt>
              </c:strCache>
            </c:strRef>
          </c:cat>
          <c:val>
            <c:numRef>
              <c:f>Лист1!$E$2:$E$9</c:f>
              <c:numCache>
                <c:formatCode>0%</c:formatCode>
                <c:ptCount val="8"/>
                <c:pt idx="0">
                  <c:v>0.17</c:v>
                </c:pt>
                <c:pt idx="1">
                  <c:v>0.87</c:v>
                </c:pt>
                <c:pt idx="2">
                  <c:v>0.28999999999999998</c:v>
                </c:pt>
                <c:pt idx="3">
                  <c:v>0.47</c:v>
                </c:pt>
                <c:pt idx="4">
                  <c:v>0.68</c:v>
                </c:pt>
                <c:pt idx="5">
                  <c:v>0.14000000000000001</c:v>
                </c:pt>
                <c:pt idx="6">
                  <c:v>0.17</c:v>
                </c:pt>
                <c:pt idx="7">
                  <c:v>0.44</c:v>
                </c:pt>
              </c:numCache>
            </c:numRef>
          </c:val>
          <c:smooth val="0"/>
          <c:extLst>
            <c:ext xmlns:c16="http://schemas.microsoft.com/office/drawing/2014/chart" uri="{C3380CC4-5D6E-409C-BE32-E72D297353CC}">
              <c16:uniqueId val="{00000003-3D94-45BD-9043-EBD78F5469C8}"/>
            </c:ext>
          </c:extLst>
        </c:ser>
        <c:dLbls>
          <c:showLegendKey val="0"/>
          <c:showVal val="0"/>
          <c:showCatName val="0"/>
          <c:showSerName val="0"/>
          <c:showPercent val="0"/>
          <c:showBubbleSize val="0"/>
        </c:dLbls>
        <c:marker val="1"/>
        <c:smooth val="0"/>
        <c:axId val="325678303"/>
        <c:axId val="1"/>
      </c:lineChart>
      <c:catAx>
        <c:axId val="325678303"/>
        <c:scaling>
          <c:orientation val="minMax"/>
        </c:scaling>
        <c:delete val="0"/>
        <c:axPos val="b"/>
        <c:numFmt formatCode="\О\с\н\о\в\н\о\й" sourceLinked="0"/>
        <c:majorTickMark val="out"/>
        <c:minorTickMark val="none"/>
        <c:tickLblPos val="nextTo"/>
        <c:txPr>
          <a:bodyPr/>
          <a:lstStyle/>
          <a:p>
            <a:pPr>
              <a:defRPr b="1">
                <a:latin typeface="Times New Roman" pitchFamily="18" charset="0"/>
                <a:cs typeface="Times New Roman" pitchFamily="18" charset="0"/>
              </a:defRPr>
            </a:pPr>
            <a:endParaRPr lang="ru-UA"/>
          </a:p>
        </c:txPr>
        <c:crossAx val="1"/>
        <c:crosses val="autoZero"/>
        <c:auto val="1"/>
        <c:lblAlgn val="ctr"/>
        <c:lblOffset val="100"/>
        <c:noMultiLvlLbl val="0"/>
      </c:catAx>
      <c:valAx>
        <c:axId val="1"/>
        <c:scaling>
          <c:orientation val="minMax"/>
        </c:scaling>
        <c:delete val="0"/>
        <c:axPos val="l"/>
        <c:majorGridlines/>
        <c:numFmt formatCode="0%" sourceLinked="1"/>
        <c:majorTickMark val="out"/>
        <c:minorTickMark val="none"/>
        <c:tickLblPos val="nextTo"/>
        <c:txPr>
          <a:bodyPr/>
          <a:lstStyle/>
          <a:p>
            <a:pPr>
              <a:defRPr>
                <a:latin typeface="Times New Roman" pitchFamily="18" charset="0"/>
                <a:cs typeface="Times New Roman" pitchFamily="18" charset="0"/>
              </a:defRPr>
            </a:pPr>
            <a:endParaRPr lang="ru-UA"/>
          </a:p>
        </c:txPr>
        <c:crossAx val="325678303"/>
        <c:crosses val="autoZero"/>
        <c:crossBetween val="between"/>
      </c:valAx>
    </c:plotArea>
    <c:legend>
      <c:legendPos val="r"/>
      <c:layout>
        <c:manualLayout>
          <c:xMode val="edge"/>
          <c:yMode val="edge"/>
          <c:x val="0.91215602766635295"/>
          <c:y val="6.103000073198022E-2"/>
          <c:w val="8.7843972333646936E-2"/>
          <c:h val="0.36046052012422752"/>
        </c:manualLayout>
      </c:layout>
      <c:overlay val="0"/>
      <c:txPr>
        <a:bodyPr/>
        <a:lstStyle/>
        <a:p>
          <a:pPr>
            <a:defRPr>
              <a:latin typeface="Times New Roman" pitchFamily="18" charset="0"/>
              <a:cs typeface="Times New Roman" pitchFamily="18" charset="0"/>
            </a:defRPr>
          </a:pPr>
          <a:endParaRPr lang="ru-UA"/>
        </a:p>
      </c:txPr>
    </c:legend>
    <c:plotVisOnly val="1"/>
    <c:dispBlanksAs val="gap"/>
    <c:showDLblsOverMax val="0"/>
  </c:chart>
  <c:spPr>
    <a:ln>
      <a:noFill/>
    </a:ln>
  </c:spPr>
  <c:externalData r:id="rId2">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2416184971098186E-2"/>
          <c:y val="6.7484662576687116E-2"/>
          <c:w val="0.55004050794228754"/>
          <c:h val="0.73944785276073877"/>
        </c:manualLayout>
      </c:layout>
      <c:lineChart>
        <c:grouping val="stacked"/>
        <c:varyColors val="0"/>
        <c:ser>
          <c:idx val="0"/>
          <c:order val="0"/>
          <c:tx>
            <c:strRef>
              <c:f>Лист1!$A$2</c:f>
              <c:strCache>
                <c:ptCount val="1"/>
                <c:pt idx="0">
                  <c:v>2020</c:v>
                </c:pt>
              </c:strCache>
            </c:strRef>
          </c:tx>
          <c:cat>
            <c:strRef>
              <c:f>Лист1!$B$1:$D$1</c:f>
              <c:strCache>
                <c:ptCount val="3"/>
                <c:pt idx="0">
                  <c:v>Вартість путівок реалізованих турагентами (фізичними-особами підприємцями), млн. дол. США</c:v>
                </c:pt>
                <c:pt idx="1">
                  <c:v>Вартість путівок реалізованих турагенствами, млн. дол. США</c:v>
                </c:pt>
                <c:pt idx="2">
                  <c:v>Вартість путівок реалізованих туроператорами, млн. дол. США</c:v>
                </c:pt>
              </c:strCache>
            </c:strRef>
          </c:cat>
          <c:val>
            <c:numRef>
              <c:f>Лист1!$B$2:$D$2</c:f>
              <c:numCache>
                <c:formatCode>\О\с\н\о\в\н\о\й</c:formatCode>
                <c:ptCount val="3"/>
                <c:pt idx="0">
                  <c:v>0.13700000000000001</c:v>
                </c:pt>
                <c:pt idx="1">
                  <c:v>0.183</c:v>
                </c:pt>
                <c:pt idx="2">
                  <c:v>0.55500000000000005</c:v>
                </c:pt>
              </c:numCache>
            </c:numRef>
          </c:val>
          <c:smooth val="0"/>
          <c:extLst>
            <c:ext xmlns:c16="http://schemas.microsoft.com/office/drawing/2014/chart" uri="{C3380CC4-5D6E-409C-BE32-E72D297353CC}">
              <c16:uniqueId val="{00000000-4DCB-49AA-A345-99459CDB0A94}"/>
            </c:ext>
          </c:extLst>
        </c:ser>
        <c:ser>
          <c:idx val="1"/>
          <c:order val="1"/>
          <c:tx>
            <c:strRef>
              <c:f>Лист1!$A$3</c:f>
              <c:strCache>
                <c:ptCount val="1"/>
                <c:pt idx="0">
                  <c:v>2021</c:v>
                </c:pt>
              </c:strCache>
            </c:strRef>
          </c:tx>
          <c:dLbls>
            <c:dLbl>
              <c:idx val="0"/>
              <c:layout>
                <c:manualLayout>
                  <c:x val="4.6242774566473965E-3"/>
                  <c:y val="6.1344862567025748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DCB-49AA-A345-99459CDB0A94}"/>
                </c:ext>
              </c:extLst>
            </c:dLbl>
            <c:dLbl>
              <c:idx val="1"/>
              <c:layout>
                <c:manualLayout>
                  <c:x val="1.3872832369942254E-2"/>
                  <c:y val="-1.226993865030674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DCB-49AA-A345-99459CDB0A94}"/>
                </c:ext>
              </c:extLst>
            </c:dLbl>
            <c:spPr>
              <a:noFill/>
              <a:ln w="25402">
                <a:noFill/>
              </a:ln>
            </c:spPr>
            <c:txPr>
              <a:bodyPr/>
              <a:lstStyle/>
              <a:p>
                <a:pPr>
                  <a:defRPr b="1"/>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Лист1!$B$1:$D$1</c:f>
              <c:strCache>
                <c:ptCount val="3"/>
                <c:pt idx="0">
                  <c:v>Вартість путівок реалізованих турагентами (фізичними-особами підприємцями), млн. дол. США</c:v>
                </c:pt>
                <c:pt idx="1">
                  <c:v>Вартість путівок реалізованих турагенствами, млн. дол. США</c:v>
                </c:pt>
                <c:pt idx="2">
                  <c:v>Вартість путівок реалізованих туроператорами, млн. дол. США</c:v>
                </c:pt>
              </c:strCache>
            </c:strRef>
          </c:cat>
          <c:val>
            <c:numRef>
              <c:f>Лист1!$B$3:$D$3</c:f>
              <c:numCache>
                <c:formatCode>\О\с\н\о\в\н\о\й</c:formatCode>
                <c:ptCount val="3"/>
                <c:pt idx="0">
                  <c:v>0.25900000000000001</c:v>
                </c:pt>
                <c:pt idx="1">
                  <c:v>0.64</c:v>
                </c:pt>
                <c:pt idx="2">
                  <c:v>0.96299999999999997</c:v>
                </c:pt>
              </c:numCache>
            </c:numRef>
          </c:val>
          <c:smooth val="0"/>
          <c:extLst>
            <c:ext xmlns:c16="http://schemas.microsoft.com/office/drawing/2014/chart" uri="{C3380CC4-5D6E-409C-BE32-E72D297353CC}">
              <c16:uniqueId val="{00000003-4DCB-49AA-A345-99459CDB0A94}"/>
            </c:ext>
          </c:extLst>
        </c:ser>
        <c:dLbls>
          <c:showLegendKey val="0"/>
          <c:showVal val="0"/>
          <c:showCatName val="0"/>
          <c:showSerName val="0"/>
          <c:showPercent val="0"/>
          <c:showBubbleSize val="0"/>
        </c:dLbls>
        <c:marker val="1"/>
        <c:smooth val="0"/>
        <c:axId val="327356911"/>
        <c:axId val="1"/>
      </c:lineChart>
      <c:catAx>
        <c:axId val="327356911"/>
        <c:scaling>
          <c:orientation val="minMax"/>
        </c:scaling>
        <c:delete val="0"/>
        <c:axPos val="b"/>
        <c:numFmt formatCode="General" sourceLinked="1"/>
        <c:majorTickMark val="out"/>
        <c:minorTickMark val="none"/>
        <c:tickLblPos val="nextTo"/>
        <c:crossAx val="1"/>
        <c:crosses val="autoZero"/>
        <c:auto val="1"/>
        <c:lblAlgn val="ctr"/>
        <c:lblOffset val="100"/>
        <c:noMultiLvlLbl val="0"/>
      </c:catAx>
      <c:valAx>
        <c:axId val="1"/>
        <c:scaling>
          <c:orientation val="minMax"/>
        </c:scaling>
        <c:delete val="0"/>
        <c:axPos val="l"/>
        <c:majorGridlines/>
        <c:numFmt formatCode="\О\с\н\о\в\н\о\й" sourceLinked="1"/>
        <c:majorTickMark val="out"/>
        <c:minorTickMark val="none"/>
        <c:tickLblPos val="nextTo"/>
        <c:crossAx val="327356911"/>
        <c:crosses val="autoZero"/>
        <c:crossBetween val="between"/>
      </c:valAx>
    </c:plotArea>
    <c:legend>
      <c:legendPos val="r"/>
      <c:layout>
        <c:manualLayout>
          <c:xMode val="edge"/>
          <c:yMode val="edge"/>
          <c:x val="0.65014466991308117"/>
          <c:y val="8.0217934843452618E-2"/>
          <c:w val="0.11376571569253369"/>
          <c:h val="0.21439713400753813"/>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ru-UA"/>
    </a:p>
  </c:txPr>
  <c:externalData r:id="rId2">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2416184971098186E-2"/>
          <c:y val="6.7484662576687116E-2"/>
          <c:w val="0.72490854027861906"/>
          <c:h val="0.73407882154265602"/>
        </c:manualLayout>
      </c:layout>
      <c:barChart>
        <c:barDir val="col"/>
        <c:grouping val="clustered"/>
        <c:varyColors val="0"/>
        <c:ser>
          <c:idx val="0"/>
          <c:order val="0"/>
          <c:tx>
            <c:strRef>
              <c:f>Лист1!$B$1</c:f>
              <c:strCache>
                <c:ptCount val="1"/>
                <c:pt idx="0">
                  <c:v>Частка сектора туризму у ВВП України, %</c:v>
                </c:pt>
              </c:strCache>
            </c:strRef>
          </c:tx>
          <c:invertIfNegative val="0"/>
          <c:cat>
            <c:numRef>
              <c:f>Лист1!$A$2:$A$6</c:f>
              <c:numCache>
                <c:formatCode>\О\с\н\о\в\н\о\й</c:formatCode>
                <c:ptCount val="5"/>
                <c:pt idx="0">
                  <c:v>2018</c:v>
                </c:pt>
                <c:pt idx="1">
                  <c:v>2019</c:v>
                </c:pt>
                <c:pt idx="2">
                  <c:v>2020</c:v>
                </c:pt>
                <c:pt idx="3">
                  <c:v>2021</c:v>
                </c:pt>
                <c:pt idx="4">
                  <c:v>2022</c:v>
                </c:pt>
              </c:numCache>
            </c:numRef>
          </c:cat>
          <c:val>
            <c:numRef>
              <c:f>Лист1!$B$2:$B$6</c:f>
              <c:numCache>
                <c:formatCode>\О\с\н\о\в\н\о\й</c:formatCode>
                <c:ptCount val="5"/>
                <c:pt idx="0">
                  <c:v>1.4</c:v>
                </c:pt>
                <c:pt idx="1">
                  <c:v>1.4</c:v>
                </c:pt>
                <c:pt idx="2">
                  <c:v>0.6</c:v>
                </c:pt>
                <c:pt idx="3">
                  <c:v>0.3</c:v>
                </c:pt>
                <c:pt idx="4">
                  <c:v>0.2</c:v>
                </c:pt>
              </c:numCache>
            </c:numRef>
          </c:val>
          <c:extLst>
            <c:ext xmlns:c16="http://schemas.microsoft.com/office/drawing/2014/chart" uri="{C3380CC4-5D6E-409C-BE32-E72D297353CC}">
              <c16:uniqueId val="{00000000-B26C-44E6-A743-E3E9AF06818C}"/>
            </c:ext>
          </c:extLst>
        </c:ser>
        <c:dLbls>
          <c:showLegendKey val="0"/>
          <c:showVal val="0"/>
          <c:showCatName val="0"/>
          <c:showSerName val="0"/>
          <c:showPercent val="0"/>
          <c:showBubbleSize val="0"/>
        </c:dLbls>
        <c:gapWidth val="150"/>
        <c:axId val="325724015"/>
        <c:axId val="1"/>
      </c:barChart>
      <c:catAx>
        <c:axId val="325724015"/>
        <c:scaling>
          <c:orientation val="minMax"/>
        </c:scaling>
        <c:delete val="0"/>
        <c:axPos val="b"/>
        <c:numFmt formatCode="\О\с\н\о\в\н\о\й" sourceLinked="1"/>
        <c:majorTickMark val="out"/>
        <c:minorTickMark val="none"/>
        <c:tickLblPos val="nextTo"/>
        <c:crossAx val="1"/>
        <c:crosses val="autoZero"/>
        <c:auto val="1"/>
        <c:lblAlgn val="ctr"/>
        <c:lblOffset val="100"/>
        <c:noMultiLvlLbl val="0"/>
      </c:catAx>
      <c:valAx>
        <c:axId val="1"/>
        <c:scaling>
          <c:orientation val="minMax"/>
        </c:scaling>
        <c:delete val="0"/>
        <c:axPos val="l"/>
        <c:majorGridlines/>
        <c:numFmt formatCode="\О\с\н\о\в\н\о\й" sourceLinked="1"/>
        <c:majorTickMark val="out"/>
        <c:minorTickMark val="none"/>
        <c:tickLblPos val="nextTo"/>
        <c:crossAx val="325724015"/>
        <c:crosses val="autoZero"/>
        <c:crossBetween val="between"/>
      </c:valAx>
    </c:plotArea>
    <c:legend>
      <c:legendPos val="r"/>
      <c:layout>
        <c:manualLayout>
          <c:xMode val="edge"/>
          <c:yMode val="edge"/>
          <c:x val="0.82513171371871208"/>
          <c:y val="5.2726552038138093E-2"/>
          <c:w val="0.15892836566160939"/>
          <c:h val="0.91978231292516999"/>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ru-UA"/>
    </a:p>
  </c:txPr>
  <c:externalData r:id="rId2">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5"/>
    </mc:Choice>
    <mc:Fallback>
      <c:style val="25"/>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Лист1!$B$1</c:f>
              <c:strCache>
                <c:ptCount val="1"/>
                <c:pt idx="0">
                  <c:v>2018</c:v>
                </c:pt>
              </c:strCache>
            </c:strRef>
          </c:tx>
          <c:invertIfNegative val="0"/>
          <c:cat>
            <c:strRef>
              <c:f>Лист1!$A$2:$A$6</c:f>
              <c:strCache>
                <c:ptCount val="5"/>
                <c:pt idx="0">
                  <c:v>Азія</c:v>
                </c:pt>
                <c:pt idx="1">
                  <c:v>Америка</c:v>
                </c:pt>
                <c:pt idx="2">
                  <c:v>Африка</c:v>
                </c:pt>
                <c:pt idx="3">
                  <c:v>Середній Схід</c:v>
                </c:pt>
                <c:pt idx="4">
                  <c:v>Європа</c:v>
                </c:pt>
              </c:strCache>
            </c:strRef>
          </c:cat>
          <c:val>
            <c:numRef>
              <c:f>Лист1!$B$2:$B$6</c:f>
              <c:numCache>
                <c:formatCode>0%</c:formatCode>
                <c:ptCount val="5"/>
                <c:pt idx="0">
                  <c:v>0.04</c:v>
                </c:pt>
                <c:pt idx="1">
                  <c:v>0.04</c:v>
                </c:pt>
                <c:pt idx="2">
                  <c:v>0.02</c:v>
                </c:pt>
                <c:pt idx="3">
                  <c:v>7.0000000000000007E-2</c:v>
                </c:pt>
                <c:pt idx="4">
                  <c:v>0.04</c:v>
                </c:pt>
              </c:numCache>
            </c:numRef>
          </c:val>
          <c:extLst>
            <c:ext xmlns:c16="http://schemas.microsoft.com/office/drawing/2014/chart" uri="{C3380CC4-5D6E-409C-BE32-E72D297353CC}">
              <c16:uniqueId val="{00000000-456F-43FB-8C47-56695DDAE8DD}"/>
            </c:ext>
          </c:extLst>
        </c:ser>
        <c:ser>
          <c:idx val="1"/>
          <c:order val="1"/>
          <c:tx>
            <c:strRef>
              <c:f>Лист1!$C$1</c:f>
              <c:strCache>
                <c:ptCount val="1"/>
                <c:pt idx="0">
                  <c:v>2019</c:v>
                </c:pt>
              </c:strCache>
            </c:strRef>
          </c:tx>
          <c:invertIfNegative val="0"/>
          <c:cat>
            <c:strRef>
              <c:f>Лист1!$A$2:$A$6</c:f>
              <c:strCache>
                <c:ptCount val="5"/>
                <c:pt idx="0">
                  <c:v>Азія</c:v>
                </c:pt>
                <c:pt idx="1">
                  <c:v>Америка</c:v>
                </c:pt>
                <c:pt idx="2">
                  <c:v>Африка</c:v>
                </c:pt>
                <c:pt idx="3">
                  <c:v>Середній Схід</c:v>
                </c:pt>
                <c:pt idx="4">
                  <c:v>Європа</c:v>
                </c:pt>
              </c:strCache>
            </c:strRef>
          </c:cat>
          <c:val>
            <c:numRef>
              <c:f>Лист1!$C$2:$C$6</c:f>
              <c:numCache>
                <c:formatCode>0%</c:formatCode>
                <c:ptCount val="5"/>
                <c:pt idx="0">
                  <c:v>0.04</c:v>
                </c:pt>
                <c:pt idx="1">
                  <c:v>0.02</c:v>
                </c:pt>
                <c:pt idx="2">
                  <c:v>0.02</c:v>
                </c:pt>
                <c:pt idx="3">
                  <c:v>7.0000000000000007E-2</c:v>
                </c:pt>
                <c:pt idx="4">
                  <c:v>0.04</c:v>
                </c:pt>
              </c:numCache>
            </c:numRef>
          </c:val>
          <c:extLst>
            <c:ext xmlns:c16="http://schemas.microsoft.com/office/drawing/2014/chart" uri="{C3380CC4-5D6E-409C-BE32-E72D297353CC}">
              <c16:uniqueId val="{00000001-456F-43FB-8C47-56695DDAE8DD}"/>
            </c:ext>
          </c:extLst>
        </c:ser>
        <c:ser>
          <c:idx val="2"/>
          <c:order val="2"/>
          <c:tx>
            <c:strRef>
              <c:f>Лист1!$D$1</c:f>
              <c:strCache>
                <c:ptCount val="1"/>
                <c:pt idx="0">
                  <c:v>2020</c:v>
                </c:pt>
              </c:strCache>
            </c:strRef>
          </c:tx>
          <c:invertIfNegative val="0"/>
          <c:cat>
            <c:strRef>
              <c:f>Лист1!$A$2:$A$6</c:f>
              <c:strCache>
                <c:ptCount val="5"/>
                <c:pt idx="0">
                  <c:v>Азія</c:v>
                </c:pt>
                <c:pt idx="1">
                  <c:v>Америка</c:v>
                </c:pt>
                <c:pt idx="2">
                  <c:v>Африка</c:v>
                </c:pt>
                <c:pt idx="3">
                  <c:v>Середній Схід</c:v>
                </c:pt>
                <c:pt idx="4">
                  <c:v>Європа</c:v>
                </c:pt>
              </c:strCache>
            </c:strRef>
          </c:cat>
          <c:val>
            <c:numRef>
              <c:f>Лист1!$D$2:$D$6</c:f>
              <c:numCache>
                <c:formatCode>0%</c:formatCode>
                <c:ptCount val="5"/>
                <c:pt idx="0">
                  <c:v>-0.84</c:v>
                </c:pt>
                <c:pt idx="1">
                  <c:v>-0.68</c:v>
                </c:pt>
                <c:pt idx="2">
                  <c:v>-0.74</c:v>
                </c:pt>
                <c:pt idx="3">
                  <c:v>-0.74</c:v>
                </c:pt>
                <c:pt idx="4">
                  <c:v>-0.68</c:v>
                </c:pt>
              </c:numCache>
            </c:numRef>
          </c:val>
          <c:extLst>
            <c:ext xmlns:c16="http://schemas.microsoft.com/office/drawing/2014/chart" uri="{C3380CC4-5D6E-409C-BE32-E72D297353CC}">
              <c16:uniqueId val="{00000002-456F-43FB-8C47-56695DDAE8DD}"/>
            </c:ext>
          </c:extLst>
        </c:ser>
        <c:ser>
          <c:idx val="3"/>
          <c:order val="3"/>
          <c:tx>
            <c:strRef>
              <c:f>Лист1!$E$1</c:f>
              <c:strCache>
                <c:ptCount val="1"/>
                <c:pt idx="0">
                  <c:v>2021</c:v>
                </c:pt>
              </c:strCache>
            </c:strRef>
          </c:tx>
          <c:invertIfNegative val="0"/>
          <c:cat>
            <c:strRef>
              <c:f>Лист1!$A$2:$A$6</c:f>
              <c:strCache>
                <c:ptCount val="5"/>
                <c:pt idx="0">
                  <c:v>Азія</c:v>
                </c:pt>
                <c:pt idx="1">
                  <c:v>Америка</c:v>
                </c:pt>
                <c:pt idx="2">
                  <c:v>Африка</c:v>
                </c:pt>
                <c:pt idx="3">
                  <c:v>Середній Схід</c:v>
                </c:pt>
                <c:pt idx="4">
                  <c:v>Європа</c:v>
                </c:pt>
              </c:strCache>
            </c:strRef>
          </c:cat>
          <c:val>
            <c:numRef>
              <c:f>Лист1!$E$2:$E$6</c:f>
              <c:numCache>
                <c:formatCode>0%</c:formatCode>
                <c:ptCount val="5"/>
                <c:pt idx="0">
                  <c:v>-0.98</c:v>
                </c:pt>
                <c:pt idx="1">
                  <c:v>-0.68</c:v>
                </c:pt>
                <c:pt idx="2">
                  <c:v>-0.77</c:v>
                </c:pt>
                <c:pt idx="3">
                  <c:v>-0.82</c:v>
                </c:pt>
                <c:pt idx="4">
                  <c:v>-0.77</c:v>
                </c:pt>
              </c:numCache>
            </c:numRef>
          </c:val>
          <c:extLst>
            <c:ext xmlns:c16="http://schemas.microsoft.com/office/drawing/2014/chart" uri="{C3380CC4-5D6E-409C-BE32-E72D297353CC}">
              <c16:uniqueId val="{00000003-456F-43FB-8C47-56695DDAE8DD}"/>
            </c:ext>
          </c:extLst>
        </c:ser>
        <c:ser>
          <c:idx val="4"/>
          <c:order val="4"/>
          <c:tx>
            <c:strRef>
              <c:f>Лист1!$F$1</c:f>
              <c:strCache>
                <c:ptCount val="1"/>
                <c:pt idx="0">
                  <c:v>2022</c:v>
                </c:pt>
              </c:strCache>
            </c:strRef>
          </c:tx>
          <c:invertIfNegative val="0"/>
          <c:cat>
            <c:strRef>
              <c:f>Лист1!$A$2:$A$6</c:f>
              <c:strCache>
                <c:ptCount val="5"/>
                <c:pt idx="0">
                  <c:v>Азія</c:v>
                </c:pt>
                <c:pt idx="1">
                  <c:v>Америка</c:v>
                </c:pt>
                <c:pt idx="2">
                  <c:v>Африка</c:v>
                </c:pt>
                <c:pt idx="3">
                  <c:v>Середній Схід</c:v>
                </c:pt>
                <c:pt idx="4">
                  <c:v>Європа</c:v>
                </c:pt>
              </c:strCache>
            </c:strRef>
          </c:cat>
          <c:val>
            <c:numRef>
              <c:f>Лист1!$F$2:$F$6</c:f>
              <c:numCache>
                <c:formatCode>0%</c:formatCode>
                <c:ptCount val="5"/>
                <c:pt idx="0">
                  <c:v>-0.72</c:v>
                </c:pt>
                <c:pt idx="1">
                  <c:v>-0.48</c:v>
                </c:pt>
                <c:pt idx="2">
                  <c:v>-0.62</c:v>
                </c:pt>
                <c:pt idx="3">
                  <c:v>-0.64</c:v>
                </c:pt>
                <c:pt idx="4">
                  <c:v>-0.54</c:v>
                </c:pt>
              </c:numCache>
            </c:numRef>
          </c:val>
          <c:extLst>
            <c:ext xmlns:c16="http://schemas.microsoft.com/office/drawing/2014/chart" uri="{C3380CC4-5D6E-409C-BE32-E72D297353CC}">
              <c16:uniqueId val="{00000004-456F-43FB-8C47-56695DDAE8DD}"/>
            </c:ext>
          </c:extLst>
        </c:ser>
        <c:dLbls>
          <c:showLegendKey val="0"/>
          <c:showVal val="0"/>
          <c:showCatName val="0"/>
          <c:showSerName val="0"/>
          <c:showPercent val="0"/>
          <c:showBubbleSize val="0"/>
        </c:dLbls>
        <c:gapWidth val="150"/>
        <c:axId val="328770751"/>
        <c:axId val="1"/>
      </c:barChart>
      <c:catAx>
        <c:axId val="328770751"/>
        <c:scaling>
          <c:orientation val="minMax"/>
        </c:scaling>
        <c:delete val="0"/>
        <c:axPos val="l"/>
        <c:numFmt formatCode="\О\с\н\о\в\н\о\й" sourceLinked="0"/>
        <c:majorTickMark val="out"/>
        <c:minorTickMark val="none"/>
        <c:tickLblPos val="nextTo"/>
        <c:txPr>
          <a:bodyPr/>
          <a:lstStyle/>
          <a:p>
            <a:pPr>
              <a:defRPr b="1">
                <a:latin typeface="Times New Roman" pitchFamily="18" charset="0"/>
                <a:cs typeface="Times New Roman" pitchFamily="18" charset="0"/>
              </a:defRPr>
            </a:pPr>
            <a:endParaRPr lang="ru-UA"/>
          </a:p>
        </c:txPr>
        <c:crossAx val="1"/>
        <c:crosses val="autoZero"/>
        <c:auto val="1"/>
        <c:lblAlgn val="ctr"/>
        <c:lblOffset val="100"/>
        <c:noMultiLvlLbl val="0"/>
      </c:catAx>
      <c:valAx>
        <c:axId val="1"/>
        <c:scaling>
          <c:orientation val="minMax"/>
        </c:scaling>
        <c:delete val="0"/>
        <c:axPos val="b"/>
        <c:majorGridlines/>
        <c:numFmt formatCode="0%" sourceLinked="1"/>
        <c:majorTickMark val="out"/>
        <c:minorTickMark val="none"/>
        <c:tickLblPos val="nextTo"/>
        <c:crossAx val="328770751"/>
        <c:crosses val="autoZero"/>
        <c:crossBetween val="between"/>
      </c:valAx>
    </c:plotArea>
    <c:legend>
      <c:legendPos val="r"/>
      <c:overlay val="0"/>
      <c:txPr>
        <a:bodyPr/>
        <a:lstStyle/>
        <a:p>
          <a:pPr>
            <a:defRPr>
              <a:latin typeface="Times New Roman" pitchFamily="18" charset="0"/>
              <a:cs typeface="Times New Roman" pitchFamily="18" charset="0"/>
            </a:defRPr>
          </a:pPr>
          <a:endParaRPr lang="ru-UA"/>
        </a:p>
      </c:txPr>
    </c:legend>
    <c:plotVisOnly val="1"/>
    <c:dispBlanksAs val="gap"/>
    <c:showDLblsOverMax val="0"/>
  </c:chart>
  <c:spPr>
    <a:ln>
      <a:noFill/>
    </a:ln>
  </c:spPr>
  <c:externalData r:id="rId2">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Міжнародні туристичні потоки, млн. осіб</c:v>
                </c:pt>
              </c:strCache>
            </c:strRef>
          </c:tx>
          <c:spPr>
            <a:solidFill>
              <a:schemeClr val="bg1">
                <a:lumMod val="65000"/>
              </a:schemeClr>
            </a:solidFill>
          </c:spPr>
          <c:invertIfNegative val="0"/>
          <c:cat>
            <c:numRef>
              <c:f>Лист1!$A$2:$A$6</c:f>
              <c:numCache>
                <c:formatCode>\О\с\н\о\в\н\о\й</c:formatCode>
                <c:ptCount val="5"/>
                <c:pt idx="0">
                  <c:v>2018</c:v>
                </c:pt>
                <c:pt idx="1">
                  <c:v>2019</c:v>
                </c:pt>
                <c:pt idx="2">
                  <c:v>2020</c:v>
                </c:pt>
                <c:pt idx="3">
                  <c:v>2021</c:v>
                </c:pt>
                <c:pt idx="4">
                  <c:v>2022</c:v>
                </c:pt>
              </c:numCache>
            </c:numRef>
          </c:cat>
          <c:val>
            <c:numRef>
              <c:f>Лист1!$B$2:$B$6</c:f>
              <c:numCache>
                <c:formatCode>\О\с\н\о\в\н\о\й</c:formatCode>
                <c:ptCount val="5"/>
                <c:pt idx="0">
                  <c:v>1114</c:v>
                </c:pt>
                <c:pt idx="1">
                  <c:v>1242</c:v>
                </c:pt>
                <c:pt idx="2">
                  <c:v>1187</c:v>
                </c:pt>
                <c:pt idx="3">
                  <c:v>1138</c:v>
                </c:pt>
                <c:pt idx="4">
                  <c:v>1012</c:v>
                </c:pt>
              </c:numCache>
            </c:numRef>
          </c:val>
          <c:extLst>
            <c:ext xmlns:c16="http://schemas.microsoft.com/office/drawing/2014/chart" uri="{C3380CC4-5D6E-409C-BE32-E72D297353CC}">
              <c16:uniqueId val="{00000000-AFEC-494B-8819-E99F908D8C71}"/>
            </c:ext>
          </c:extLst>
        </c:ser>
        <c:dLbls>
          <c:showLegendKey val="0"/>
          <c:showVal val="0"/>
          <c:showCatName val="0"/>
          <c:showSerName val="0"/>
          <c:showPercent val="0"/>
          <c:showBubbleSize val="0"/>
        </c:dLbls>
        <c:gapWidth val="75"/>
        <c:axId val="325380255"/>
        <c:axId val="1"/>
      </c:barChart>
      <c:catAx>
        <c:axId val="325380255"/>
        <c:scaling>
          <c:orientation val="minMax"/>
        </c:scaling>
        <c:delete val="0"/>
        <c:axPos val="b"/>
        <c:numFmt formatCode="\О\с\н\о\в\н\о\й" sourceLinked="1"/>
        <c:majorTickMark val="none"/>
        <c:minorTickMark val="none"/>
        <c:tickLblPos val="nextTo"/>
        <c:crossAx val="1"/>
        <c:crosses val="autoZero"/>
        <c:auto val="1"/>
        <c:lblAlgn val="ctr"/>
        <c:lblOffset val="100"/>
        <c:noMultiLvlLbl val="0"/>
      </c:catAx>
      <c:valAx>
        <c:axId val="1"/>
        <c:scaling>
          <c:orientation val="minMax"/>
        </c:scaling>
        <c:delete val="0"/>
        <c:axPos val="l"/>
        <c:majorGridlines/>
        <c:numFmt formatCode="\О\с\н\о\в\н\о\й" sourceLinked="1"/>
        <c:majorTickMark val="none"/>
        <c:minorTickMark val="none"/>
        <c:tickLblPos val="nextTo"/>
        <c:spPr>
          <a:ln w="9514">
            <a:noFill/>
          </a:ln>
        </c:spPr>
        <c:crossAx val="325380255"/>
        <c:crosses val="autoZero"/>
        <c:crossBetween val="between"/>
      </c:valAx>
    </c:plotArea>
    <c:legend>
      <c:legendPos val="b"/>
      <c:overlay val="0"/>
    </c:legend>
    <c:plotVisOnly val="1"/>
    <c:dispBlanksAs val="gap"/>
    <c:showDLblsOverMax val="0"/>
  </c:chart>
  <c:spPr>
    <a:ln>
      <a:noFill/>
    </a:ln>
  </c:spPr>
  <c:txPr>
    <a:bodyPr/>
    <a:lstStyle/>
    <a:p>
      <a:pPr>
        <a:defRPr sz="1100">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Розподіл макрорегіональний систем на міжнародному туристичному ринку, % </c:v>
                </c:pt>
              </c:strCache>
            </c:strRef>
          </c:tx>
          <c:spPr>
            <a:solidFill>
              <a:schemeClr val="bg1">
                <a:lumMod val="65000"/>
              </a:schemeClr>
            </a:solidFill>
          </c:spPr>
          <c:invertIfNegative val="0"/>
          <c:dLbls>
            <c:spPr>
              <a:noFill/>
              <a:ln w="25373">
                <a:noFill/>
              </a:ln>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Західна Європа</c:v>
                </c:pt>
                <c:pt idx="1">
                  <c:v>Північна та Південна Америка</c:v>
                </c:pt>
                <c:pt idx="2">
                  <c:v>Азія, Африка і Австралія</c:v>
                </c:pt>
              </c:strCache>
            </c:strRef>
          </c:cat>
          <c:val>
            <c:numRef>
              <c:f>Лист1!$B$2:$B$4</c:f>
              <c:numCache>
                <c:formatCode>\О\с\н\о\в\н\о\й</c:formatCode>
                <c:ptCount val="3"/>
                <c:pt idx="0">
                  <c:v>70</c:v>
                </c:pt>
                <c:pt idx="1">
                  <c:v>20</c:v>
                </c:pt>
                <c:pt idx="2">
                  <c:v>10</c:v>
                </c:pt>
              </c:numCache>
            </c:numRef>
          </c:val>
          <c:extLst>
            <c:ext xmlns:c16="http://schemas.microsoft.com/office/drawing/2014/chart" uri="{C3380CC4-5D6E-409C-BE32-E72D297353CC}">
              <c16:uniqueId val="{00000000-3868-4F91-9F73-57F16F1E013F}"/>
            </c:ext>
          </c:extLst>
        </c:ser>
        <c:dLbls>
          <c:showLegendKey val="0"/>
          <c:showVal val="0"/>
          <c:showCatName val="0"/>
          <c:showSerName val="0"/>
          <c:showPercent val="0"/>
          <c:showBubbleSize val="0"/>
        </c:dLbls>
        <c:gapWidth val="75"/>
        <c:axId val="326907599"/>
        <c:axId val="1"/>
      </c:barChart>
      <c:catAx>
        <c:axId val="326907599"/>
        <c:scaling>
          <c:orientation val="minMax"/>
        </c:scaling>
        <c:delete val="0"/>
        <c:axPos val="b"/>
        <c:numFmt formatCode="General" sourceLinked="1"/>
        <c:majorTickMark val="none"/>
        <c:minorTickMark val="none"/>
        <c:tickLblPos val="nextTo"/>
        <c:crossAx val="1"/>
        <c:crosses val="autoZero"/>
        <c:auto val="1"/>
        <c:lblAlgn val="ctr"/>
        <c:lblOffset val="100"/>
        <c:noMultiLvlLbl val="0"/>
      </c:catAx>
      <c:valAx>
        <c:axId val="1"/>
        <c:scaling>
          <c:orientation val="minMax"/>
        </c:scaling>
        <c:delete val="0"/>
        <c:axPos val="l"/>
        <c:majorGridlines/>
        <c:numFmt formatCode="\О\с\н\о\в\н\о\й" sourceLinked="1"/>
        <c:majorTickMark val="none"/>
        <c:minorTickMark val="none"/>
        <c:tickLblPos val="nextTo"/>
        <c:spPr>
          <a:ln w="9515">
            <a:noFill/>
          </a:ln>
        </c:spPr>
        <c:crossAx val="326907599"/>
        <c:crosses val="autoZero"/>
        <c:crossBetween val="between"/>
      </c:valAx>
    </c:plotArea>
    <c:legend>
      <c:legendPos val="b"/>
      <c:overlay val="0"/>
    </c:legend>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0"/>
    </c:view3D>
    <c:floor>
      <c:thickness val="0"/>
    </c:floor>
    <c:sideWall>
      <c:thickness val="0"/>
    </c:sideWall>
    <c:backWall>
      <c:thickness val="0"/>
    </c:backWall>
    <c:plotArea>
      <c:layout>
        <c:manualLayout>
          <c:layoutTarget val="inner"/>
          <c:xMode val="edge"/>
          <c:yMode val="edge"/>
          <c:x val="4.5401332525741973E-2"/>
          <c:y val="3.7606837606837612E-2"/>
          <c:w val="0.95459866747425803"/>
          <c:h val="0.82590287458086886"/>
        </c:manualLayout>
      </c:layout>
      <c:bar3DChart>
        <c:barDir val="col"/>
        <c:grouping val="clustered"/>
        <c:varyColors val="0"/>
        <c:ser>
          <c:idx val="0"/>
          <c:order val="0"/>
          <c:tx>
            <c:strRef>
              <c:f>Лист1!$A$2</c:f>
              <c:strCache>
                <c:ptCount val="1"/>
                <c:pt idx="0">
                  <c:v>2018</c:v>
                </c:pt>
              </c:strCache>
            </c:strRef>
          </c:tx>
          <c:invertIfNegative val="0"/>
          <c:cat>
            <c:strRef>
              <c:f>Лист1!$B$1:$F$1</c:f>
              <c:strCache>
                <c:ptCount val="5"/>
                <c:pt idx="0">
                  <c:v> Азійсько-Тихоокеанська макро-регіональна сисема </c:v>
                </c:pt>
                <c:pt idx="1">
                  <c:v>Американська макро-регіональна сисема</c:v>
                </c:pt>
                <c:pt idx="2">
                  <c:v>Африканська макро-регіональна сисема</c:v>
                </c:pt>
                <c:pt idx="3">
                  <c:v>Близькосхідна макро-регіональна сисема</c:v>
                </c:pt>
                <c:pt idx="4">
                  <c:v>Європейська макро-регінальна система</c:v>
                </c:pt>
              </c:strCache>
            </c:strRef>
          </c:cat>
          <c:val>
            <c:numRef>
              <c:f>Лист1!$B$2:$F$2</c:f>
              <c:numCache>
                <c:formatCode>\О\с\н\о\в\н\о\й</c:formatCode>
                <c:ptCount val="5"/>
                <c:pt idx="0">
                  <c:v>6.9</c:v>
                </c:pt>
                <c:pt idx="1">
                  <c:v>3.1</c:v>
                </c:pt>
                <c:pt idx="2">
                  <c:v>4.4000000000000004</c:v>
                </c:pt>
                <c:pt idx="3">
                  <c:v>-2.9</c:v>
                </c:pt>
                <c:pt idx="4">
                  <c:v>4.8</c:v>
                </c:pt>
              </c:numCache>
            </c:numRef>
          </c:val>
          <c:extLst>
            <c:ext xmlns:c16="http://schemas.microsoft.com/office/drawing/2014/chart" uri="{C3380CC4-5D6E-409C-BE32-E72D297353CC}">
              <c16:uniqueId val="{00000000-5CD1-4101-A612-75DD9488F3CC}"/>
            </c:ext>
          </c:extLst>
        </c:ser>
        <c:ser>
          <c:idx val="1"/>
          <c:order val="1"/>
          <c:tx>
            <c:strRef>
              <c:f>Лист1!$A$3</c:f>
              <c:strCache>
                <c:ptCount val="1"/>
                <c:pt idx="0">
                  <c:v>2019</c:v>
                </c:pt>
              </c:strCache>
            </c:strRef>
          </c:tx>
          <c:invertIfNegative val="0"/>
          <c:cat>
            <c:strRef>
              <c:f>Лист1!$B$1:$F$1</c:f>
              <c:strCache>
                <c:ptCount val="5"/>
                <c:pt idx="0">
                  <c:v> Азійсько-Тихоокеанська макро-регіональна сисема </c:v>
                </c:pt>
                <c:pt idx="1">
                  <c:v>Американська макро-регіональна сисема</c:v>
                </c:pt>
                <c:pt idx="2">
                  <c:v>Африканська макро-регіональна сисема</c:v>
                </c:pt>
                <c:pt idx="3">
                  <c:v>Близькосхідна макро-регіональна сисема</c:v>
                </c:pt>
                <c:pt idx="4">
                  <c:v>Європейська макро-регінальна система</c:v>
                </c:pt>
              </c:strCache>
            </c:strRef>
          </c:cat>
          <c:val>
            <c:numRef>
              <c:f>Лист1!$B$3:$F$3</c:f>
              <c:numCache>
                <c:formatCode>\О\с\н\о\в\н\о\й</c:formatCode>
                <c:ptCount val="5"/>
                <c:pt idx="0">
                  <c:v>6.1</c:v>
                </c:pt>
                <c:pt idx="1">
                  <c:v>8.5</c:v>
                </c:pt>
                <c:pt idx="2">
                  <c:v>0.6</c:v>
                </c:pt>
                <c:pt idx="3">
                  <c:v>8.6999999999999993</c:v>
                </c:pt>
                <c:pt idx="4">
                  <c:v>1.7</c:v>
                </c:pt>
              </c:numCache>
            </c:numRef>
          </c:val>
          <c:extLst>
            <c:ext xmlns:c16="http://schemas.microsoft.com/office/drawing/2014/chart" uri="{C3380CC4-5D6E-409C-BE32-E72D297353CC}">
              <c16:uniqueId val="{00000001-5CD1-4101-A612-75DD9488F3CC}"/>
            </c:ext>
          </c:extLst>
        </c:ser>
        <c:ser>
          <c:idx val="2"/>
          <c:order val="2"/>
          <c:tx>
            <c:strRef>
              <c:f>Лист1!$A$4</c:f>
              <c:strCache>
                <c:ptCount val="1"/>
                <c:pt idx="0">
                  <c:v>2020</c:v>
                </c:pt>
              </c:strCache>
            </c:strRef>
          </c:tx>
          <c:invertIfNegative val="0"/>
          <c:cat>
            <c:strRef>
              <c:f>Лист1!$B$1:$F$1</c:f>
              <c:strCache>
                <c:ptCount val="5"/>
                <c:pt idx="0">
                  <c:v> Азійсько-Тихоокеанська макро-регіональна сисема </c:v>
                </c:pt>
                <c:pt idx="1">
                  <c:v>Американська макро-регіональна сисема</c:v>
                </c:pt>
                <c:pt idx="2">
                  <c:v>Африканська макро-регіональна сисема</c:v>
                </c:pt>
                <c:pt idx="3">
                  <c:v>Близькосхідна макро-регіональна сисема</c:v>
                </c:pt>
                <c:pt idx="4">
                  <c:v>Європейська макро-регінальна система</c:v>
                </c:pt>
              </c:strCache>
            </c:strRef>
          </c:cat>
          <c:val>
            <c:numRef>
              <c:f>Лист1!$B$4:$F$4</c:f>
              <c:numCache>
                <c:formatCode>\О\с\н\о\в\н\о\й</c:formatCode>
                <c:ptCount val="5"/>
                <c:pt idx="0">
                  <c:v>5.4</c:v>
                </c:pt>
                <c:pt idx="1">
                  <c:v>5.9</c:v>
                </c:pt>
                <c:pt idx="2">
                  <c:v>-2.9</c:v>
                </c:pt>
                <c:pt idx="3">
                  <c:v>0.6</c:v>
                </c:pt>
                <c:pt idx="4">
                  <c:v>4.8</c:v>
                </c:pt>
              </c:numCache>
            </c:numRef>
          </c:val>
          <c:extLst>
            <c:ext xmlns:c16="http://schemas.microsoft.com/office/drawing/2014/chart" uri="{C3380CC4-5D6E-409C-BE32-E72D297353CC}">
              <c16:uniqueId val="{00000002-5CD1-4101-A612-75DD9488F3CC}"/>
            </c:ext>
          </c:extLst>
        </c:ser>
        <c:ser>
          <c:idx val="3"/>
          <c:order val="3"/>
          <c:tx>
            <c:strRef>
              <c:f>Лист1!$A$5</c:f>
              <c:strCache>
                <c:ptCount val="1"/>
                <c:pt idx="0">
                  <c:v>2021</c:v>
                </c:pt>
              </c:strCache>
            </c:strRef>
          </c:tx>
          <c:invertIfNegative val="0"/>
          <c:cat>
            <c:strRef>
              <c:f>Лист1!$B$1:$F$1</c:f>
              <c:strCache>
                <c:ptCount val="5"/>
                <c:pt idx="0">
                  <c:v> Азійсько-Тихоокеанська макро-регіональна сисема </c:v>
                </c:pt>
                <c:pt idx="1">
                  <c:v>Американська макро-регіональна сисема</c:v>
                </c:pt>
                <c:pt idx="2">
                  <c:v>Африканська макро-регіональна сисема</c:v>
                </c:pt>
                <c:pt idx="3">
                  <c:v>Близькосхідна макро-регіональна сисема</c:v>
                </c:pt>
                <c:pt idx="4">
                  <c:v>Європейська макро-регінальна система</c:v>
                </c:pt>
              </c:strCache>
            </c:strRef>
          </c:cat>
          <c:val>
            <c:numRef>
              <c:f>Лист1!$B$5:$F$5</c:f>
              <c:numCache>
                <c:formatCode>\О\с\н\о\в\н\о\й</c:formatCode>
                <c:ptCount val="5"/>
                <c:pt idx="0">
                  <c:v>8.6</c:v>
                </c:pt>
                <c:pt idx="1">
                  <c:v>3.5</c:v>
                </c:pt>
                <c:pt idx="2">
                  <c:v>8.1</c:v>
                </c:pt>
                <c:pt idx="3">
                  <c:v>-3.7</c:v>
                </c:pt>
                <c:pt idx="4">
                  <c:v>2.1</c:v>
                </c:pt>
              </c:numCache>
            </c:numRef>
          </c:val>
          <c:extLst>
            <c:ext xmlns:c16="http://schemas.microsoft.com/office/drawing/2014/chart" uri="{C3380CC4-5D6E-409C-BE32-E72D297353CC}">
              <c16:uniqueId val="{00000003-5CD1-4101-A612-75DD9488F3CC}"/>
            </c:ext>
          </c:extLst>
        </c:ser>
        <c:ser>
          <c:idx val="4"/>
          <c:order val="4"/>
          <c:tx>
            <c:strRef>
              <c:f>Лист1!$A$6</c:f>
              <c:strCache>
                <c:ptCount val="1"/>
                <c:pt idx="0">
                  <c:v>2022</c:v>
                </c:pt>
              </c:strCache>
            </c:strRef>
          </c:tx>
          <c:invertIfNegative val="0"/>
          <c:cat>
            <c:strRef>
              <c:f>Лист1!$B$1:$F$1</c:f>
              <c:strCache>
                <c:ptCount val="5"/>
                <c:pt idx="0">
                  <c:v> Азійсько-Тихоокеанська макро-регіональна сисема </c:v>
                </c:pt>
                <c:pt idx="1">
                  <c:v>Американська макро-регіональна сисема</c:v>
                </c:pt>
                <c:pt idx="2">
                  <c:v>Африканська макро-регіональна сисема</c:v>
                </c:pt>
                <c:pt idx="3">
                  <c:v>Близькосхідна макро-регіональна сисема</c:v>
                </c:pt>
                <c:pt idx="4">
                  <c:v>Європейська макро-регінальна система</c:v>
                </c:pt>
              </c:strCache>
            </c:strRef>
          </c:cat>
          <c:val>
            <c:numRef>
              <c:f>Лист1!$B$6:$F$6</c:f>
              <c:numCache>
                <c:formatCode>\О\с\н\о\в\н\о\й</c:formatCode>
                <c:ptCount val="5"/>
                <c:pt idx="0">
                  <c:v>5.6</c:v>
                </c:pt>
                <c:pt idx="1">
                  <c:v>3.3</c:v>
                </c:pt>
                <c:pt idx="2">
                  <c:v>9</c:v>
                </c:pt>
                <c:pt idx="3">
                  <c:v>4</c:v>
                </c:pt>
                <c:pt idx="4">
                  <c:v>8.4</c:v>
                </c:pt>
              </c:numCache>
            </c:numRef>
          </c:val>
          <c:extLst>
            <c:ext xmlns:c16="http://schemas.microsoft.com/office/drawing/2014/chart" uri="{C3380CC4-5D6E-409C-BE32-E72D297353CC}">
              <c16:uniqueId val="{00000004-5CD1-4101-A612-75DD9488F3CC}"/>
            </c:ext>
          </c:extLst>
        </c:ser>
        <c:dLbls>
          <c:showLegendKey val="0"/>
          <c:showVal val="0"/>
          <c:showCatName val="0"/>
          <c:showSerName val="0"/>
          <c:showPercent val="0"/>
          <c:showBubbleSize val="0"/>
        </c:dLbls>
        <c:gapWidth val="150"/>
        <c:shape val="box"/>
        <c:axId val="325942575"/>
        <c:axId val="1"/>
        <c:axId val="0"/>
      </c:bar3DChart>
      <c:catAx>
        <c:axId val="325942575"/>
        <c:scaling>
          <c:orientation val="minMax"/>
        </c:scaling>
        <c:delete val="0"/>
        <c:axPos val="b"/>
        <c:numFmt formatCode="General" sourceLinked="1"/>
        <c:majorTickMark val="none"/>
        <c:minorTickMark val="none"/>
        <c:tickLblPos val="nextTo"/>
        <c:crossAx val="1"/>
        <c:crosses val="autoZero"/>
        <c:auto val="1"/>
        <c:lblAlgn val="ctr"/>
        <c:lblOffset val="100"/>
        <c:noMultiLvlLbl val="0"/>
      </c:catAx>
      <c:valAx>
        <c:axId val="1"/>
        <c:scaling>
          <c:orientation val="minMax"/>
        </c:scaling>
        <c:delete val="0"/>
        <c:axPos val="l"/>
        <c:majorGridlines/>
        <c:title>
          <c:tx>
            <c:rich>
              <a:bodyPr/>
              <a:lstStyle/>
              <a:p>
                <a:pPr>
                  <a:defRPr sz="997" b="1" i="0" u="none" strike="noStrike" baseline="0">
                    <a:solidFill>
                      <a:srgbClr val="000000"/>
                    </a:solidFill>
                    <a:latin typeface="Times New Roman"/>
                    <a:ea typeface="Times New Roman"/>
                    <a:cs typeface="Times New Roman"/>
                  </a:defRPr>
                </a:pPr>
                <a:r>
                  <a:rPr lang="ru-UA"/>
                  <a:t>%</a:t>
                </a:r>
              </a:p>
            </c:rich>
          </c:tx>
          <c:overlay val="0"/>
        </c:title>
        <c:numFmt formatCode="\О\с\н\о\в\н\о\й" sourceLinked="1"/>
        <c:majorTickMark val="out"/>
        <c:minorTickMark val="none"/>
        <c:tickLblPos val="nextTo"/>
        <c:crossAx val="325942575"/>
        <c:crosses val="autoZero"/>
        <c:crossBetween val="between"/>
      </c:valAx>
      <c:spPr>
        <a:noFill/>
        <a:ln w="25324">
          <a:noFill/>
        </a:ln>
      </c:spPr>
    </c:plotArea>
    <c:legend>
      <c:legendPos val="r"/>
      <c:layout>
        <c:manualLayout>
          <c:xMode val="edge"/>
          <c:yMode val="edge"/>
          <c:x val="0.91679612356147799"/>
          <c:y val="0.71571546257447749"/>
          <c:w val="7.3779446799919213E-2"/>
          <c:h val="0.27056088791820732"/>
        </c:manualLayout>
      </c:layout>
      <c:overlay val="0"/>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ru-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5.3706303661194894E-2"/>
          <c:y val="5.9139784946236562E-2"/>
          <c:w val="0.9214349392766582"/>
          <c:h val="0.73738407699037634"/>
        </c:manualLayout>
      </c:layout>
      <c:barChart>
        <c:barDir val="col"/>
        <c:grouping val="clustered"/>
        <c:varyColors val="1"/>
        <c:ser>
          <c:idx val="0"/>
          <c:order val="0"/>
          <c:invertIfNegative val="1"/>
          <c:dPt>
            <c:idx val="0"/>
            <c:invertIfNegative val="1"/>
            <c:bubble3D val="0"/>
            <c:spPr>
              <a:solidFill>
                <a:schemeClr val="accent3">
                  <a:tint val="35000"/>
                </a:schemeClr>
              </a:solidFill>
              <a:ln>
                <a:noFill/>
              </a:ln>
              <a:effectLst/>
            </c:spPr>
            <c:extLst>
              <c:ext xmlns:c16="http://schemas.microsoft.com/office/drawing/2014/chart" uri="{C3380CC4-5D6E-409C-BE32-E72D297353CC}">
                <c16:uniqueId val="{00000001-517D-4F37-A7D4-707762DC38DD}"/>
              </c:ext>
            </c:extLst>
          </c:dPt>
          <c:dPt>
            <c:idx val="1"/>
            <c:invertIfNegative val="1"/>
            <c:bubble3D val="0"/>
            <c:spPr>
              <a:solidFill>
                <a:schemeClr val="accent3">
                  <a:tint val="40000"/>
                </a:schemeClr>
              </a:solidFill>
              <a:ln>
                <a:noFill/>
              </a:ln>
              <a:effectLst/>
            </c:spPr>
            <c:extLst>
              <c:ext xmlns:c16="http://schemas.microsoft.com/office/drawing/2014/chart" uri="{C3380CC4-5D6E-409C-BE32-E72D297353CC}">
                <c16:uniqueId val="{00000003-517D-4F37-A7D4-707762DC38DD}"/>
              </c:ext>
            </c:extLst>
          </c:dPt>
          <c:dPt>
            <c:idx val="2"/>
            <c:invertIfNegative val="1"/>
            <c:bubble3D val="0"/>
            <c:spPr>
              <a:solidFill>
                <a:schemeClr val="accent3">
                  <a:tint val="44000"/>
                </a:schemeClr>
              </a:solidFill>
              <a:ln>
                <a:noFill/>
              </a:ln>
              <a:effectLst/>
            </c:spPr>
            <c:extLst>
              <c:ext xmlns:c16="http://schemas.microsoft.com/office/drawing/2014/chart" uri="{C3380CC4-5D6E-409C-BE32-E72D297353CC}">
                <c16:uniqueId val="{00000005-517D-4F37-A7D4-707762DC38DD}"/>
              </c:ext>
            </c:extLst>
          </c:dPt>
          <c:dPt>
            <c:idx val="3"/>
            <c:invertIfNegative val="1"/>
            <c:bubble3D val="0"/>
            <c:spPr>
              <a:solidFill>
                <a:schemeClr val="accent3">
                  <a:tint val="49000"/>
                </a:schemeClr>
              </a:solidFill>
              <a:ln>
                <a:noFill/>
              </a:ln>
              <a:effectLst/>
            </c:spPr>
            <c:extLst>
              <c:ext xmlns:c16="http://schemas.microsoft.com/office/drawing/2014/chart" uri="{C3380CC4-5D6E-409C-BE32-E72D297353CC}">
                <c16:uniqueId val="{00000007-517D-4F37-A7D4-707762DC38DD}"/>
              </c:ext>
            </c:extLst>
          </c:dPt>
          <c:dPt>
            <c:idx val="4"/>
            <c:invertIfNegative val="1"/>
            <c:bubble3D val="0"/>
            <c:spPr>
              <a:solidFill>
                <a:schemeClr val="accent3">
                  <a:tint val="53000"/>
                </a:schemeClr>
              </a:solidFill>
              <a:ln>
                <a:noFill/>
              </a:ln>
              <a:effectLst/>
            </c:spPr>
            <c:extLst>
              <c:ext xmlns:c16="http://schemas.microsoft.com/office/drawing/2014/chart" uri="{C3380CC4-5D6E-409C-BE32-E72D297353CC}">
                <c16:uniqueId val="{00000009-517D-4F37-A7D4-707762DC38DD}"/>
              </c:ext>
            </c:extLst>
          </c:dPt>
          <c:dPt>
            <c:idx val="5"/>
            <c:invertIfNegative val="1"/>
            <c:bubble3D val="0"/>
            <c:spPr>
              <a:solidFill>
                <a:schemeClr val="accent3">
                  <a:tint val="58000"/>
                </a:schemeClr>
              </a:solidFill>
              <a:ln>
                <a:noFill/>
              </a:ln>
              <a:effectLst/>
            </c:spPr>
            <c:extLst>
              <c:ext xmlns:c16="http://schemas.microsoft.com/office/drawing/2014/chart" uri="{C3380CC4-5D6E-409C-BE32-E72D297353CC}">
                <c16:uniqueId val="{0000000B-517D-4F37-A7D4-707762DC38DD}"/>
              </c:ext>
            </c:extLst>
          </c:dPt>
          <c:dPt>
            <c:idx val="6"/>
            <c:invertIfNegative val="1"/>
            <c:bubble3D val="0"/>
            <c:spPr>
              <a:solidFill>
                <a:schemeClr val="accent3">
                  <a:tint val="62000"/>
                </a:schemeClr>
              </a:solidFill>
              <a:ln>
                <a:noFill/>
              </a:ln>
              <a:effectLst/>
            </c:spPr>
            <c:extLst>
              <c:ext xmlns:c16="http://schemas.microsoft.com/office/drawing/2014/chart" uri="{C3380CC4-5D6E-409C-BE32-E72D297353CC}">
                <c16:uniqueId val="{0000000D-517D-4F37-A7D4-707762DC38DD}"/>
              </c:ext>
            </c:extLst>
          </c:dPt>
          <c:dPt>
            <c:idx val="7"/>
            <c:invertIfNegative val="1"/>
            <c:bubble3D val="0"/>
            <c:spPr>
              <a:solidFill>
                <a:schemeClr val="accent3">
                  <a:tint val="67000"/>
                </a:schemeClr>
              </a:solidFill>
              <a:ln>
                <a:noFill/>
              </a:ln>
              <a:effectLst/>
            </c:spPr>
            <c:extLst>
              <c:ext xmlns:c16="http://schemas.microsoft.com/office/drawing/2014/chart" uri="{C3380CC4-5D6E-409C-BE32-E72D297353CC}">
                <c16:uniqueId val="{0000000F-517D-4F37-A7D4-707762DC38DD}"/>
              </c:ext>
            </c:extLst>
          </c:dPt>
          <c:dPt>
            <c:idx val="8"/>
            <c:invertIfNegative val="1"/>
            <c:bubble3D val="0"/>
            <c:spPr>
              <a:solidFill>
                <a:schemeClr val="accent3">
                  <a:tint val="71000"/>
                </a:schemeClr>
              </a:solidFill>
              <a:ln>
                <a:noFill/>
              </a:ln>
              <a:effectLst/>
            </c:spPr>
            <c:extLst>
              <c:ext xmlns:c16="http://schemas.microsoft.com/office/drawing/2014/chart" uri="{C3380CC4-5D6E-409C-BE32-E72D297353CC}">
                <c16:uniqueId val="{00000011-517D-4F37-A7D4-707762DC38DD}"/>
              </c:ext>
            </c:extLst>
          </c:dPt>
          <c:dPt>
            <c:idx val="9"/>
            <c:invertIfNegative val="1"/>
            <c:bubble3D val="0"/>
            <c:spPr>
              <a:solidFill>
                <a:schemeClr val="accent3">
                  <a:tint val="76000"/>
                </a:schemeClr>
              </a:solidFill>
              <a:ln>
                <a:noFill/>
              </a:ln>
              <a:effectLst/>
            </c:spPr>
            <c:extLst>
              <c:ext xmlns:c16="http://schemas.microsoft.com/office/drawing/2014/chart" uri="{C3380CC4-5D6E-409C-BE32-E72D297353CC}">
                <c16:uniqueId val="{00000013-517D-4F37-A7D4-707762DC38DD}"/>
              </c:ext>
            </c:extLst>
          </c:dPt>
          <c:dPt>
            <c:idx val="10"/>
            <c:invertIfNegative val="1"/>
            <c:bubble3D val="0"/>
            <c:spPr>
              <a:solidFill>
                <a:schemeClr val="accent3">
                  <a:tint val="80000"/>
                </a:schemeClr>
              </a:solidFill>
              <a:ln>
                <a:noFill/>
              </a:ln>
              <a:effectLst/>
            </c:spPr>
            <c:extLst>
              <c:ext xmlns:c16="http://schemas.microsoft.com/office/drawing/2014/chart" uri="{C3380CC4-5D6E-409C-BE32-E72D297353CC}">
                <c16:uniqueId val="{00000015-517D-4F37-A7D4-707762DC38DD}"/>
              </c:ext>
            </c:extLst>
          </c:dPt>
          <c:dPt>
            <c:idx val="11"/>
            <c:invertIfNegative val="1"/>
            <c:bubble3D val="0"/>
            <c:spPr>
              <a:solidFill>
                <a:schemeClr val="accent3">
                  <a:tint val="85000"/>
                </a:schemeClr>
              </a:solidFill>
              <a:ln>
                <a:noFill/>
              </a:ln>
              <a:effectLst/>
            </c:spPr>
            <c:extLst>
              <c:ext xmlns:c16="http://schemas.microsoft.com/office/drawing/2014/chart" uri="{C3380CC4-5D6E-409C-BE32-E72D297353CC}">
                <c16:uniqueId val="{00000017-517D-4F37-A7D4-707762DC38DD}"/>
              </c:ext>
            </c:extLst>
          </c:dPt>
          <c:dPt>
            <c:idx val="12"/>
            <c:invertIfNegative val="1"/>
            <c:bubble3D val="0"/>
            <c:spPr>
              <a:solidFill>
                <a:schemeClr val="accent3">
                  <a:tint val="89000"/>
                </a:schemeClr>
              </a:solidFill>
              <a:ln>
                <a:noFill/>
              </a:ln>
              <a:effectLst/>
            </c:spPr>
            <c:extLst>
              <c:ext xmlns:c16="http://schemas.microsoft.com/office/drawing/2014/chart" uri="{C3380CC4-5D6E-409C-BE32-E72D297353CC}">
                <c16:uniqueId val="{00000019-517D-4F37-A7D4-707762DC38DD}"/>
              </c:ext>
            </c:extLst>
          </c:dPt>
          <c:dPt>
            <c:idx val="13"/>
            <c:invertIfNegative val="1"/>
            <c:bubble3D val="0"/>
            <c:spPr>
              <a:solidFill>
                <a:schemeClr val="accent3">
                  <a:tint val="94000"/>
                </a:schemeClr>
              </a:solidFill>
              <a:ln>
                <a:noFill/>
              </a:ln>
              <a:effectLst/>
            </c:spPr>
            <c:extLst>
              <c:ext xmlns:c16="http://schemas.microsoft.com/office/drawing/2014/chart" uri="{C3380CC4-5D6E-409C-BE32-E72D297353CC}">
                <c16:uniqueId val="{0000001B-517D-4F37-A7D4-707762DC38DD}"/>
              </c:ext>
            </c:extLst>
          </c:dPt>
          <c:dPt>
            <c:idx val="14"/>
            <c:invertIfNegative val="1"/>
            <c:bubble3D val="0"/>
            <c:spPr>
              <a:solidFill>
                <a:schemeClr val="accent3">
                  <a:tint val="98000"/>
                </a:schemeClr>
              </a:solidFill>
              <a:ln>
                <a:noFill/>
              </a:ln>
              <a:effectLst/>
            </c:spPr>
            <c:extLst>
              <c:ext xmlns:c16="http://schemas.microsoft.com/office/drawing/2014/chart" uri="{C3380CC4-5D6E-409C-BE32-E72D297353CC}">
                <c16:uniqueId val="{0000001D-517D-4F37-A7D4-707762DC38DD}"/>
              </c:ext>
            </c:extLst>
          </c:dPt>
          <c:dPt>
            <c:idx val="15"/>
            <c:invertIfNegative val="1"/>
            <c:bubble3D val="0"/>
            <c:spPr>
              <a:solidFill>
                <a:schemeClr val="accent3">
                  <a:shade val="97000"/>
                </a:schemeClr>
              </a:solidFill>
              <a:ln>
                <a:noFill/>
              </a:ln>
              <a:effectLst/>
            </c:spPr>
            <c:extLst>
              <c:ext xmlns:c16="http://schemas.microsoft.com/office/drawing/2014/chart" uri="{C3380CC4-5D6E-409C-BE32-E72D297353CC}">
                <c16:uniqueId val="{0000001F-517D-4F37-A7D4-707762DC38DD}"/>
              </c:ext>
            </c:extLst>
          </c:dPt>
          <c:dPt>
            <c:idx val="16"/>
            <c:invertIfNegative val="1"/>
            <c:bubble3D val="0"/>
            <c:spPr>
              <a:solidFill>
                <a:schemeClr val="accent3">
                  <a:shade val="93000"/>
                </a:schemeClr>
              </a:solidFill>
              <a:ln>
                <a:noFill/>
              </a:ln>
              <a:effectLst/>
            </c:spPr>
            <c:extLst>
              <c:ext xmlns:c16="http://schemas.microsoft.com/office/drawing/2014/chart" uri="{C3380CC4-5D6E-409C-BE32-E72D297353CC}">
                <c16:uniqueId val="{00000021-517D-4F37-A7D4-707762DC38DD}"/>
              </c:ext>
            </c:extLst>
          </c:dPt>
          <c:dPt>
            <c:idx val="17"/>
            <c:invertIfNegative val="1"/>
            <c:bubble3D val="0"/>
            <c:spPr>
              <a:solidFill>
                <a:schemeClr val="accent3">
                  <a:shade val="88000"/>
                </a:schemeClr>
              </a:solidFill>
              <a:ln>
                <a:noFill/>
              </a:ln>
              <a:effectLst/>
            </c:spPr>
            <c:extLst>
              <c:ext xmlns:c16="http://schemas.microsoft.com/office/drawing/2014/chart" uri="{C3380CC4-5D6E-409C-BE32-E72D297353CC}">
                <c16:uniqueId val="{00000023-517D-4F37-A7D4-707762DC38DD}"/>
              </c:ext>
            </c:extLst>
          </c:dPt>
          <c:dPt>
            <c:idx val="18"/>
            <c:invertIfNegative val="1"/>
            <c:bubble3D val="0"/>
            <c:spPr>
              <a:solidFill>
                <a:schemeClr val="accent3">
                  <a:shade val="84000"/>
                </a:schemeClr>
              </a:solidFill>
              <a:ln>
                <a:noFill/>
              </a:ln>
              <a:effectLst/>
            </c:spPr>
            <c:extLst>
              <c:ext xmlns:c16="http://schemas.microsoft.com/office/drawing/2014/chart" uri="{C3380CC4-5D6E-409C-BE32-E72D297353CC}">
                <c16:uniqueId val="{00000025-517D-4F37-A7D4-707762DC38DD}"/>
              </c:ext>
            </c:extLst>
          </c:dPt>
          <c:dPt>
            <c:idx val="19"/>
            <c:invertIfNegative val="1"/>
            <c:bubble3D val="0"/>
            <c:spPr>
              <a:solidFill>
                <a:schemeClr val="accent3">
                  <a:shade val="79000"/>
                </a:schemeClr>
              </a:solidFill>
              <a:ln>
                <a:noFill/>
              </a:ln>
              <a:effectLst/>
            </c:spPr>
            <c:extLst>
              <c:ext xmlns:c16="http://schemas.microsoft.com/office/drawing/2014/chart" uri="{C3380CC4-5D6E-409C-BE32-E72D297353CC}">
                <c16:uniqueId val="{00000027-517D-4F37-A7D4-707762DC38DD}"/>
              </c:ext>
            </c:extLst>
          </c:dPt>
          <c:dPt>
            <c:idx val="20"/>
            <c:invertIfNegative val="1"/>
            <c:bubble3D val="0"/>
            <c:spPr>
              <a:solidFill>
                <a:schemeClr val="accent3">
                  <a:shade val="75000"/>
                </a:schemeClr>
              </a:solidFill>
              <a:ln>
                <a:noFill/>
              </a:ln>
              <a:effectLst/>
            </c:spPr>
            <c:extLst>
              <c:ext xmlns:c16="http://schemas.microsoft.com/office/drawing/2014/chart" uri="{C3380CC4-5D6E-409C-BE32-E72D297353CC}">
                <c16:uniqueId val="{00000029-517D-4F37-A7D4-707762DC38DD}"/>
              </c:ext>
            </c:extLst>
          </c:dPt>
          <c:dPt>
            <c:idx val="21"/>
            <c:invertIfNegative val="1"/>
            <c:bubble3D val="0"/>
            <c:spPr>
              <a:solidFill>
                <a:schemeClr val="accent3">
                  <a:shade val="70000"/>
                </a:schemeClr>
              </a:solidFill>
              <a:ln>
                <a:noFill/>
              </a:ln>
              <a:effectLst/>
            </c:spPr>
            <c:extLst>
              <c:ext xmlns:c16="http://schemas.microsoft.com/office/drawing/2014/chart" uri="{C3380CC4-5D6E-409C-BE32-E72D297353CC}">
                <c16:uniqueId val="{0000002B-517D-4F37-A7D4-707762DC38DD}"/>
              </c:ext>
            </c:extLst>
          </c:dPt>
          <c:dPt>
            <c:idx val="22"/>
            <c:invertIfNegative val="1"/>
            <c:bubble3D val="0"/>
            <c:spPr>
              <a:solidFill>
                <a:schemeClr val="accent3">
                  <a:shade val="66000"/>
                </a:schemeClr>
              </a:solidFill>
              <a:ln>
                <a:noFill/>
              </a:ln>
              <a:effectLst/>
            </c:spPr>
            <c:extLst>
              <c:ext xmlns:c16="http://schemas.microsoft.com/office/drawing/2014/chart" uri="{C3380CC4-5D6E-409C-BE32-E72D297353CC}">
                <c16:uniqueId val="{0000002D-517D-4F37-A7D4-707762DC38DD}"/>
              </c:ext>
            </c:extLst>
          </c:dPt>
          <c:dPt>
            <c:idx val="23"/>
            <c:invertIfNegative val="1"/>
            <c:bubble3D val="0"/>
            <c:spPr>
              <a:solidFill>
                <a:schemeClr val="accent3">
                  <a:shade val="61000"/>
                </a:schemeClr>
              </a:solidFill>
              <a:ln>
                <a:noFill/>
              </a:ln>
              <a:effectLst/>
            </c:spPr>
            <c:extLst>
              <c:ext xmlns:c16="http://schemas.microsoft.com/office/drawing/2014/chart" uri="{C3380CC4-5D6E-409C-BE32-E72D297353CC}">
                <c16:uniqueId val="{0000002F-517D-4F37-A7D4-707762DC38DD}"/>
              </c:ext>
            </c:extLst>
          </c:dPt>
          <c:dPt>
            <c:idx val="24"/>
            <c:invertIfNegative val="1"/>
            <c:bubble3D val="0"/>
            <c:spPr>
              <a:solidFill>
                <a:schemeClr val="accent3">
                  <a:shade val="57000"/>
                </a:schemeClr>
              </a:solidFill>
              <a:ln>
                <a:noFill/>
              </a:ln>
              <a:effectLst/>
            </c:spPr>
            <c:extLst>
              <c:ext xmlns:c16="http://schemas.microsoft.com/office/drawing/2014/chart" uri="{C3380CC4-5D6E-409C-BE32-E72D297353CC}">
                <c16:uniqueId val="{00000031-517D-4F37-A7D4-707762DC38DD}"/>
              </c:ext>
            </c:extLst>
          </c:dPt>
          <c:dPt>
            <c:idx val="25"/>
            <c:invertIfNegative val="1"/>
            <c:bubble3D val="0"/>
            <c:spPr>
              <a:solidFill>
                <a:schemeClr val="accent3">
                  <a:shade val="52000"/>
                </a:schemeClr>
              </a:solidFill>
              <a:ln>
                <a:noFill/>
              </a:ln>
              <a:effectLst/>
            </c:spPr>
            <c:extLst>
              <c:ext xmlns:c16="http://schemas.microsoft.com/office/drawing/2014/chart" uri="{C3380CC4-5D6E-409C-BE32-E72D297353CC}">
                <c16:uniqueId val="{00000033-517D-4F37-A7D4-707762DC38DD}"/>
              </c:ext>
            </c:extLst>
          </c:dPt>
          <c:dPt>
            <c:idx val="26"/>
            <c:invertIfNegative val="1"/>
            <c:bubble3D val="0"/>
            <c:spPr>
              <a:solidFill>
                <a:schemeClr val="accent3">
                  <a:shade val="48000"/>
                </a:schemeClr>
              </a:solidFill>
              <a:ln>
                <a:noFill/>
              </a:ln>
              <a:effectLst/>
            </c:spPr>
            <c:extLst>
              <c:ext xmlns:c16="http://schemas.microsoft.com/office/drawing/2014/chart" uri="{C3380CC4-5D6E-409C-BE32-E72D297353CC}">
                <c16:uniqueId val="{00000035-517D-4F37-A7D4-707762DC38DD}"/>
              </c:ext>
            </c:extLst>
          </c:dPt>
          <c:dPt>
            <c:idx val="27"/>
            <c:invertIfNegative val="1"/>
            <c:bubble3D val="0"/>
            <c:spPr>
              <a:solidFill>
                <a:schemeClr val="accent3">
                  <a:shade val="43000"/>
                </a:schemeClr>
              </a:solidFill>
              <a:ln>
                <a:noFill/>
              </a:ln>
              <a:effectLst/>
            </c:spPr>
            <c:extLst>
              <c:ext xmlns:c16="http://schemas.microsoft.com/office/drawing/2014/chart" uri="{C3380CC4-5D6E-409C-BE32-E72D297353CC}">
                <c16:uniqueId val="{00000037-517D-4F37-A7D4-707762DC38DD}"/>
              </c:ext>
            </c:extLst>
          </c:dPt>
          <c:dPt>
            <c:idx val="28"/>
            <c:invertIfNegative val="1"/>
            <c:bubble3D val="0"/>
            <c:spPr>
              <a:solidFill>
                <a:schemeClr val="accent3">
                  <a:shade val="39000"/>
                </a:schemeClr>
              </a:solidFill>
              <a:ln>
                <a:noFill/>
              </a:ln>
              <a:effectLst/>
            </c:spPr>
            <c:extLst>
              <c:ext xmlns:c16="http://schemas.microsoft.com/office/drawing/2014/chart" uri="{C3380CC4-5D6E-409C-BE32-E72D297353CC}">
                <c16:uniqueId val="{00000039-517D-4F37-A7D4-707762DC38DD}"/>
              </c:ext>
            </c:extLst>
          </c:dPt>
          <c:dPt>
            <c:idx val="29"/>
            <c:invertIfNegative val="1"/>
            <c:bubble3D val="0"/>
            <c:spPr>
              <a:solidFill>
                <a:schemeClr val="accent3">
                  <a:shade val="34000"/>
                </a:schemeClr>
              </a:solidFill>
              <a:ln>
                <a:noFill/>
              </a:ln>
              <a:effectLst/>
            </c:spPr>
            <c:extLst>
              <c:ext xmlns:c16="http://schemas.microsoft.com/office/drawing/2014/chart" uri="{C3380CC4-5D6E-409C-BE32-E72D297353CC}">
                <c16:uniqueId val="{0000003B-517D-4F37-A7D4-707762DC38DD}"/>
              </c:ext>
            </c:extLst>
          </c:dPt>
          <c:dPt>
            <c:idx val="30"/>
            <c:invertIfNegative val="1"/>
            <c:bubble3D val="0"/>
            <c:spPr>
              <a:solidFill>
                <a:schemeClr val="accent3">
                  <a:shade val="42000"/>
                </a:schemeClr>
              </a:solidFill>
              <a:ln>
                <a:noFill/>
              </a:ln>
              <a:effectLst/>
            </c:spPr>
            <c:extLst>
              <c:ext xmlns:c16="http://schemas.microsoft.com/office/drawing/2014/chart" uri="{C3380CC4-5D6E-409C-BE32-E72D297353CC}">
                <c16:uniqueId val="{0000003D-517D-4F37-A7D4-707762DC38DD}"/>
              </c:ext>
            </c:extLst>
          </c:dPt>
          <c:dPt>
            <c:idx val="31"/>
            <c:invertIfNegative val="1"/>
            <c:bubble3D val="0"/>
            <c:spPr>
              <a:solidFill>
                <a:schemeClr val="accent3">
                  <a:shade val="38000"/>
                </a:schemeClr>
              </a:solidFill>
              <a:ln>
                <a:noFill/>
              </a:ln>
              <a:effectLst/>
            </c:spPr>
            <c:extLst>
              <c:ext xmlns:c16="http://schemas.microsoft.com/office/drawing/2014/chart" uri="{C3380CC4-5D6E-409C-BE32-E72D297353CC}">
                <c16:uniqueId val="{0000003F-517D-4F37-A7D4-707762DC38DD}"/>
              </c:ext>
            </c:extLst>
          </c:dPt>
          <c:dPt>
            <c:idx val="32"/>
            <c:invertIfNegative val="1"/>
            <c:bubble3D val="0"/>
            <c:spPr>
              <a:solidFill>
                <a:schemeClr val="accent3">
                  <a:shade val="34000"/>
                </a:schemeClr>
              </a:solidFill>
              <a:ln>
                <a:noFill/>
              </a:ln>
              <a:effectLst/>
            </c:spPr>
            <c:extLst>
              <c:ext xmlns:c16="http://schemas.microsoft.com/office/drawing/2014/chart" uri="{C3380CC4-5D6E-409C-BE32-E72D297353CC}">
                <c16:uniqueId val="{00000041-517D-4F37-A7D4-707762DC38DD}"/>
              </c:ext>
            </c:extLst>
          </c:dPt>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Область!$B$3:$B$35</c:f>
              <c:numCache>
                <c:formatCode>General</c:formatCode>
                <c:ptCount val="33"/>
                <c:pt idx="0">
                  <c:v>1988</c:v>
                </c:pt>
                <c:pt idx="1">
                  <c:v>1989</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pt idx="30">
                  <c:v>2018</c:v>
                </c:pt>
                <c:pt idx="31">
                  <c:v>2019</c:v>
                </c:pt>
                <c:pt idx="32">
                  <c:v>2020</c:v>
                </c:pt>
              </c:numCache>
            </c:numRef>
          </c:cat>
          <c:val>
            <c:numRef>
              <c:f>Область!$K$3:$K$35</c:f>
              <c:numCache>
                <c:formatCode>General</c:formatCode>
                <c:ptCount val="33"/>
                <c:pt idx="0">
                  <c:v>0</c:v>
                </c:pt>
                <c:pt idx="1">
                  <c:v>0</c:v>
                </c:pt>
                <c:pt idx="2">
                  <c:v>0</c:v>
                </c:pt>
                <c:pt idx="3">
                  <c:v>0</c:v>
                </c:pt>
                <c:pt idx="4">
                  <c:v>0</c:v>
                </c:pt>
                <c:pt idx="5">
                  <c:v>0</c:v>
                </c:pt>
                <c:pt idx="6">
                  <c:v>0</c:v>
                </c:pt>
                <c:pt idx="7">
                  <c:v>0</c:v>
                </c:pt>
                <c:pt idx="8">
                  <c:v>90</c:v>
                </c:pt>
                <c:pt idx="9">
                  <c:v>5</c:v>
                </c:pt>
                <c:pt idx="10">
                  <c:v>129</c:v>
                </c:pt>
                <c:pt idx="11">
                  <c:v>387</c:v>
                </c:pt>
                <c:pt idx="12">
                  <c:v>455</c:v>
                </c:pt>
                <c:pt idx="13">
                  <c:v>338</c:v>
                </c:pt>
                <c:pt idx="14">
                  <c:v>0</c:v>
                </c:pt>
                <c:pt idx="15">
                  <c:v>2523</c:v>
                </c:pt>
                <c:pt idx="16">
                  <c:v>1128.5500000000002</c:v>
                </c:pt>
                <c:pt idx="17">
                  <c:v>778.34000000000015</c:v>
                </c:pt>
                <c:pt idx="18">
                  <c:v>925.69000000000051</c:v>
                </c:pt>
                <c:pt idx="19">
                  <c:v>276</c:v>
                </c:pt>
                <c:pt idx="20">
                  <c:v>1493.18</c:v>
                </c:pt>
                <c:pt idx="21">
                  <c:v>1118</c:v>
                </c:pt>
                <c:pt idx="22">
                  <c:v>2636</c:v>
                </c:pt>
                <c:pt idx="23">
                  <c:v>3114.19</c:v>
                </c:pt>
                <c:pt idx="24">
                  <c:v>6524.16</c:v>
                </c:pt>
                <c:pt idx="25">
                  <c:v>1943.12</c:v>
                </c:pt>
                <c:pt idx="26">
                  <c:v>3098.54</c:v>
                </c:pt>
                <c:pt idx="27">
                  <c:v>4197.43</c:v>
                </c:pt>
                <c:pt idx="28">
                  <c:v>13220.72</c:v>
                </c:pt>
                <c:pt idx="29">
                  <c:v>24690.13</c:v>
                </c:pt>
                <c:pt idx="30">
                  <c:v>24242</c:v>
                </c:pt>
                <c:pt idx="31">
                  <c:v>27715</c:v>
                </c:pt>
                <c:pt idx="32">
                  <c:v>37730</c:v>
                </c:pt>
              </c:numCache>
            </c:numRef>
          </c:val>
          <c:extLst>
            <c:ext xmlns:c16="http://schemas.microsoft.com/office/drawing/2014/chart" uri="{C3380CC4-5D6E-409C-BE32-E72D297353CC}">
              <c16:uniqueId val="{00000042-517D-4F37-A7D4-707762DC38DD}"/>
            </c:ext>
          </c:extLst>
        </c:ser>
        <c:dLbls>
          <c:dLblPos val="outEnd"/>
          <c:showLegendKey val="0"/>
          <c:showVal val="1"/>
          <c:showCatName val="0"/>
          <c:showSerName val="0"/>
          <c:showPercent val="0"/>
          <c:showBubbleSize val="0"/>
        </c:dLbls>
        <c:gapWidth val="444"/>
        <c:overlap val="-90"/>
        <c:axId val="337237016"/>
        <c:axId val="337237408"/>
      </c:barChart>
      <c:dateAx>
        <c:axId val="33723701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uk-UA"/>
                  <a:t>Роки</a:t>
                </a:r>
              </a:p>
            </c:rich>
          </c:tx>
          <c:layout>
            <c:manualLayout>
              <c:xMode val="edge"/>
              <c:yMode val="edge"/>
              <c:x val="0.48627683159105217"/>
              <c:y val="0.92469100453352426"/>
            </c:manualLayout>
          </c:layout>
          <c:overlay val="0"/>
          <c:spPr>
            <a:noFill/>
            <a:ln>
              <a:noFill/>
            </a:ln>
            <a:effectLst/>
          </c:spPr>
          <c:txPr>
            <a:bodyPr rot="0" spcFirstLastPara="1" vertOverflow="ellipsis" vert="horz" wrap="square" anchor="ctr" anchorCtr="1"/>
            <a:lstStyle/>
            <a:p>
              <a:pPr>
                <a:defRPr sz="800" b="0" i="0" u="none" strike="noStrike" kern="1200" cap="all"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37237408"/>
        <c:crosses val="autoZero"/>
        <c:auto val="0"/>
        <c:lblOffset val="100"/>
        <c:baseTimeUnit val="days"/>
      </c:dateAx>
      <c:valAx>
        <c:axId val="337237408"/>
        <c:scaling>
          <c:orientation val="minMax"/>
        </c:scaling>
        <c:delete val="1"/>
        <c:axPos val="l"/>
        <c:title>
          <c:tx>
            <c:rich>
              <a:bodyPr rot="-5400000" spcFirstLastPara="1" vertOverflow="ellipsis" vert="horz" wrap="square" anchor="ctr" anchorCtr="1"/>
              <a:lstStyle/>
              <a:p>
                <a:pPr>
                  <a:defRPr sz="800" b="0" i="0" u="none" strike="noStrike" kern="1200" cap="all" baseline="0">
                    <a:solidFill>
                      <a:schemeClr val="tx1">
                        <a:lumMod val="65000"/>
                        <a:lumOff val="35000"/>
                      </a:schemeClr>
                    </a:solidFill>
                    <a:latin typeface="Calibri" panose="020F0502020204030204" pitchFamily="34" charset="0"/>
                    <a:ea typeface="+mn-ea"/>
                    <a:cs typeface="Calibri" panose="020F0502020204030204" pitchFamily="34" charset="0"/>
                  </a:defRPr>
                </a:pPr>
                <a:r>
                  <a:rPr lang="uk-UA"/>
                  <a:t>Площа, га</a:t>
                </a:r>
              </a:p>
            </c:rich>
          </c:tx>
          <c:overlay val="0"/>
          <c:spPr>
            <a:noFill/>
            <a:ln>
              <a:noFill/>
            </a:ln>
            <a:effectLst/>
          </c:spPr>
          <c:txPr>
            <a:bodyPr rot="-5400000" spcFirstLastPara="1" vertOverflow="ellipsis" vert="horz" wrap="square" anchor="ctr" anchorCtr="1"/>
            <a:lstStyle/>
            <a:p>
              <a:pPr>
                <a:defRPr sz="800" b="0" i="0" u="none" strike="noStrike" kern="1200" cap="all" baseline="0">
                  <a:solidFill>
                    <a:schemeClr val="tx1">
                      <a:lumMod val="65000"/>
                      <a:lumOff val="35000"/>
                    </a:schemeClr>
                  </a:solidFill>
                  <a:latin typeface="Calibri" panose="020F0502020204030204" pitchFamily="34" charset="0"/>
                  <a:ea typeface="+mn-ea"/>
                  <a:cs typeface="Calibri" panose="020F0502020204030204" pitchFamily="34" charset="0"/>
                </a:defRPr>
              </a:pPr>
              <a:endParaRPr lang="ru-UA"/>
            </a:p>
          </c:txPr>
        </c:title>
        <c:numFmt formatCode="General" sourceLinked="1"/>
        <c:majorTickMark val="none"/>
        <c:minorTickMark val="none"/>
        <c:tickLblPos val="nextTo"/>
        <c:crossAx val="337237016"/>
        <c:crosses val="autoZero"/>
        <c:crossBetween val="between"/>
      </c:valAx>
      <c:spPr>
        <a:noFill/>
        <a:ln>
          <a:noFill/>
        </a:ln>
        <a:effectLst/>
      </c:spPr>
    </c:plotArea>
    <c:plotVisOnly val="1"/>
    <c:dispBlanksAs val="zero"/>
    <c:showDLblsOverMax val="1"/>
  </c:chart>
  <c:spPr>
    <a:solidFill>
      <a:schemeClr val="lt1"/>
    </a:solidFill>
    <a:ln w="9525" cap="flat" cmpd="sng" algn="ctr">
      <a:noFill/>
      <a:round/>
    </a:ln>
    <a:effectLst/>
  </c:spPr>
  <c:txPr>
    <a:bodyPr/>
    <a:lstStyle/>
    <a:p>
      <a:pPr>
        <a:defRPr sz="800">
          <a:latin typeface="Calibri" panose="020F0502020204030204" pitchFamily="34" charset="0"/>
          <a:cs typeface="Calibri" panose="020F0502020204030204" pitchFamily="34" charset="0"/>
        </a:defRPr>
      </a:pPr>
      <a:endParaRPr lang="ru-UA"/>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104231166150665"/>
          <c:y val="3.7606837606837612E-2"/>
          <c:w val="0.86931960428023425"/>
          <c:h val="0.92478632478631906"/>
        </c:manualLayout>
      </c:layout>
      <c:barChart>
        <c:barDir val="col"/>
        <c:grouping val="clustered"/>
        <c:varyColors val="0"/>
        <c:ser>
          <c:idx val="0"/>
          <c:order val="0"/>
          <c:tx>
            <c:strRef>
              <c:f>Лист1!$B$1</c:f>
              <c:strCache>
                <c:ptCount val="1"/>
                <c:pt idx="0">
                  <c:v>2022</c:v>
                </c:pt>
              </c:strCache>
            </c:strRef>
          </c:tx>
          <c:invertIfNegative val="0"/>
          <c:cat>
            <c:strRef>
              <c:f>Лист1!$A$2:$A$11</c:f>
              <c:strCache>
                <c:ptCount val="10"/>
                <c:pt idx="0">
                  <c:v>Франція</c:v>
                </c:pt>
                <c:pt idx="1">
                  <c:v>США</c:v>
                </c:pt>
                <c:pt idx="2">
                  <c:v>Іспанія</c:v>
                </c:pt>
                <c:pt idx="3">
                  <c:v>Китай</c:v>
                </c:pt>
                <c:pt idx="4">
                  <c:v>Італія</c:v>
                </c:pt>
                <c:pt idx="5">
                  <c:v>Туреччина</c:v>
                </c:pt>
                <c:pt idx="6">
                  <c:v>Німеччина</c:v>
                </c:pt>
                <c:pt idx="7">
                  <c:v>Великобританія</c:v>
                </c:pt>
                <c:pt idx="8">
                  <c:v>Мексика</c:v>
                </c:pt>
                <c:pt idx="9">
                  <c:v>Таїланд</c:v>
                </c:pt>
              </c:strCache>
            </c:strRef>
          </c:cat>
          <c:val>
            <c:numRef>
              <c:f>Лист1!$B$2:$B$11</c:f>
              <c:numCache>
                <c:formatCode>\О\с\н\о\в\н\о\й</c:formatCode>
                <c:ptCount val="10"/>
                <c:pt idx="0">
                  <c:v>82.6</c:v>
                </c:pt>
                <c:pt idx="1">
                  <c:v>75.599999999999994</c:v>
                </c:pt>
                <c:pt idx="2">
                  <c:v>75.599999999999994</c:v>
                </c:pt>
                <c:pt idx="3">
                  <c:v>59.3</c:v>
                </c:pt>
                <c:pt idx="4">
                  <c:v>52.4</c:v>
                </c:pt>
                <c:pt idx="5">
                  <c:v>35.799999999999997</c:v>
                </c:pt>
                <c:pt idx="6">
                  <c:v>35.6</c:v>
                </c:pt>
                <c:pt idx="7">
                  <c:v>38.700000000000003</c:v>
                </c:pt>
                <c:pt idx="8">
                  <c:v>32.6</c:v>
                </c:pt>
                <c:pt idx="9">
                  <c:v>33.4</c:v>
                </c:pt>
              </c:numCache>
            </c:numRef>
          </c:val>
          <c:extLst>
            <c:ext xmlns:c16="http://schemas.microsoft.com/office/drawing/2014/chart" uri="{C3380CC4-5D6E-409C-BE32-E72D297353CC}">
              <c16:uniqueId val="{00000000-48D5-4C40-AD0E-FEA136BADB0E}"/>
            </c:ext>
          </c:extLst>
        </c:ser>
        <c:dLbls>
          <c:showLegendKey val="0"/>
          <c:showVal val="0"/>
          <c:showCatName val="0"/>
          <c:showSerName val="0"/>
          <c:showPercent val="0"/>
          <c:showBubbleSize val="0"/>
        </c:dLbls>
        <c:gapWidth val="150"/>
        <c:axId val="326084223"/>
        <c:axId val="1"/>
      </c:barChart>
      <c:catAx>
        <c:axId val="326084223"/>
        <c:scaling>
          <c:orientation val="minMax"/>
        </c:scaling>
        <c:delete val="0"/>
        <c:axPos val="b"/>
        <c:majorGridlines/>
        <c:numFmt formatCode="General" sourceLinked="1"/>
        <c:majorTickMark val="none"/>
        <c:minorTickMark val="none"/>
        <c:tickLblPos val="nextTo"/>
        <c:crossAx val="1"/>
        <c:crosses val="autoZero"/>
        <c:auto val="1"/>
        <c:lblAlgn val="ctr"/>
        <c:lblOffset val="100"/>
        <c:noMultiLvlLbl val="0"/>
      </c:catAx>
      <c:valAx>
        <c:axId val="1"/>
        <c:scaling>
          <c:orientation val="minMax"/>
        </c:scaling>
        <c:delete val="0"/>
        <c:axPos val="l"/>
        <c:majorGridlines/>
        <c:title>
          <c:tx>
            <c:rich>
              <a:bodyPr/>
              <a:lstStyle/>
              <a:p>
                <a:pPr>
                  <a:defRPr sz="1000" b="0" i="0" u="none" strike="noStrike" baseline="0">
                    <a:solidFill>
                      <a:srgbClr val="000000"/>
                    </a:solidFill>
                    <a:latin typeface="Times New Roman"/>
                    <a:ea typeface="Times New Roman"/>
                    <a:cs typeface="Times New Roman"/>
                  </a:defRPr>
                </a:pPr>
                <a:r>
                  <a:rPr lang="ru-RU"/>
                  <a:t>млн. осіб</a:t>
                </a:r>
              </a:p>
            </c:rich>
          </c:tx>
          <c:overlay val="0"/>
        </c:title>
        <c:numFmt formatCode="\О\с\н\о\в\н\о\й" sourceLinked="1"/>
        <c:majorTickMark val="out"/>
        <c:minorTickMark val="none"/>
        <c:tickLblPos val="nextTo"/>
        <c:crossAx val="326084223"/>
        <c:crosses val="autoZero"/>
        <c:crossBetween val="between"/>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ru-UA"/>
    </a:p>
  </c:txPr>
  <c:externalData r:id="rId2">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2497420020639867E-2"/>
          <c:y val="5.4522924411400782E-2"/>
          <c:w val="0.89479876160990712"/>
          <c:h val="0.49014860131331373"/>
        </c:manualLayout>
      </c:layout>
      <c:barChart>
        <c:barDir val="col"/>
        <c:grouping val="clustered"/>
        <c:varyColors val="0"/>
        <c:ser>
          <c:idx val="0"/>
          <c:order val="0"/>
          <c:tx>
            <c:strRef>
              <c:f>Лист1!$B$1</c:f>
              <c:strCache>
                <c:ptCount val="1"/>
                <c:pt idx="0">
                  <c:v>Країни з розвиненою геоекономікою індустрії туризму, млн. осіб</c:v>
                </c:pt>
              </c:strCache>
            </c:strRef>
          </c:tx>
          <c:invertIfNegative val="0"/>
          <c:cat>
            <c:numRef>
              <c:f>Лист1!$A$2:$A$4</c:f>
              <c:numCache>
                <c:formatCode>\О\с\н\о\в\н\о\й</c:formatCode>
                <c:ptCount val="3"/>
                <c:pt idx="0">
                  <c:v>2024</c:v>
                </c:pt>
                <c:pt idx="1">
                  <c:v>2025</c:v>
                </c:pt>
                <c:pt idx="2">
                  <c:v>2026</c:v>
                </c:pt>
              </c:numCache>
            </c:numRef>
          </c:cat>
          <c:val>
            <c:numRef>
              <c:f>Лист1!$B$2:$B$4</c:f>
              <c:numCache>
                <c:formatCode>\О\с\н\о\в\н\о\й</c:formatCode>
                <c:ptCount val="3"/>
                <c:pt idx="0">
                  <c:v>495</c:v>
                </c:pt>
                <c:pt idx="1">
                  <c:v>1360</c:v>
                </c:pt>
                <c:pt idx="2">
                  <c:v>1890</c:v>
                </c:pt>
              </c:numCache>
            </c:numRef>
          </c:val>
          <c:extLst>
            <c:ext xmlns:c16="http://schemas.microsoft.com/office/drawing/2014/chart" uri="{C3380CC4-5D6E-409C-BE32-E72D297353CC}">
              <c16:uniqueId val="{00000000-3895-47A5-A40D-5366419EB4A5}"/>
            </c:ext>
          </c:extLst>
        </c:ser>
        <c:ser>
          <c:idx val="1"/>
          <c:order val="1"/>
          <c:tx>
            <c:strRef>
              <c:f>Лист1!$C$1</c:f>
              <c:strCache>
                <c:ptCount val="1"/>
                <c:pt idx="0">
                  <c:v>Країни  зі слаборозвиненою геоекономікою індустрії туризму, млн. осіб</c:v>
                </c:pt>
              </c:strCache>
            </c:strRef>
          </c:tx>
          <c:invertIfNegative val="0"/>
          <c:cat>
            <c:numRef>
              <c:f>Лист1!$A$2:$A$4</c:f>
              <c:numCache>
                <c:formatCode>\О\с\н\о\в\н\о\й</c:formatCode>
                <c:ptCount val="3"/>
                <c:pt idx="0">
                  <c:v>2024</c:v>
                </c:pt>
                <c:pt idx="1">
                  <c:v>2025</c:v>
                </c:pt>
                <c:pt idx="2">
                  <c:v>2026</c:v>
                </c:pt>
              </c:numCache>
            </c:numRef>
          </c:cat>
          <c:val>
            <c:numRef>
              <c:f>Лист1!$C$2:$C$4</c:f>
              <c:numCache>
                <c:formatCode>\О\с\н\о\в\н\о\й</c:formatCode>
                <c:ptCount val="3"/>
                <c:pt idx="0">
                  <c:v>442</c:v>
                </c:pt>
                <c:pt idx="1">
                  <c:v>717</c:v>
                </c:pt>
                <c:pt idx="2">
                  <c:v>1037</c:v>
                </c:pt>
              </c:numCache>
            </c:numRef>
          </c:val>
          <c:extLst>
            <c:ext xmlns:c16="http://schemas.microsoft.com/office/drawing/2014/chart" uri="{C3380CC4-5D6E-409C-BE32-E72D297353CC}">
              <c16:uniqueId val="{00000001-3895-47A5-A40D-5366419EB4A5}"/>
            </c:ext>
          </c:extLst>
        </c:ser>
        <c:dLbls>
          <c:showLegendKey val="0"/>
          <c:showVal val="0"/>
          <c:showCatName val="0"/>
          <c:showSerName val="0"/>
          <c:showPercent val="0"/>
          <c:showBubbleSize val="0"/>
        </c:dLbls>
        <c:gapWidth val="150"/>
        <c:axId val="325391855"/>
        <c:axId val="1"/>
      </c:barChart>
      <c:catAx>
        <c:axId val="325391855"/>
        <c:scaling>
          <c:orientation val="minMax"/>
        </c:scaling>
        <c:delete val="0"/>
        <c:axPos val="b"/>
        <c:numFmt formatCode="\О\с\н\о\в\н\о\й" sourceLinked="1"/>
        <c:majorTickMark val="none"/>
        <c:minorTickMark val="none"/>
        <c:tickLblPos val="nextTo"/>
        <c:crossAx val="1"/>
        <c:crosses val="autoZero"/>
        <c:auto val="1"/>
        <c:lblAlgn val="ctr"/>
        <c:lblOffset val="100"/>
        <c:noMultiLvlLbl val="0"/>
      </c:catAx>
      <c:valAx>
        <c:axId val="1"/>
        <c:scaling>
          <c:orientation val="minMax"/>
        </c:scaling>
        <c:delete val="0"/>
        <c:axPos val="l"/>
        <c:majorGridlines/>
        <c:numFmt formatCode="\О\с\н\о\в\н\о\й" sourceLinked="1"/>
        <c:majorTickMark val="none"/>
        <c:minorTickMark val="none"/>
        <c:tickLblPos val="nextTo"/>
        <c:spPr>
          <a:ln w="9517">
            <a:noFill/>
          </a:ln>
        </c:spPr>
        <c:crossAx val="325391855"/>
        <c:crosses val="autoZero"/>
        <c:crossBetween val="between"/>
      </c:valAx>
    </c:plotArea>
    <c:legend>
      <c:legendPos val="b"/>
      <c:layout>
        <c:manualLayout>
          <c:xMode val="edge"/>
          <c:yMode val="edge"/>
          <c:x val="0.19563467143294205"/>
          <c:y val="0.66668481254657985"/>
          <c:w val="0.65862051752733364"/>
          <c:h val="0.18943823380102176"/>
        </c:manualLayout>
      </c:layout>
      <c:overlay val="0"/>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ru-UA"/>
    </a:p>
  </c:txPr>
  <c:externalData r:id="rId2">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3"/>
    </mc:Choice>
    <mc:Fallback>
      <c:style val="33"/>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Лист1!$B$1</c:f>
              <c:strCache>
                <c:ptCount val="1"/>
                <c:pt idx="0">
                  <c:v>Макро-регіональна система Африки, %</c:v>
                </c:pt>
              </c:strCache>
            </c:strRef>
          </c:tx>
          <c:spPr>
            <a:solidFill>
              <a:schemeClr val="bg1">
                <a:lumMod val="75000"/>
              </a:schemeClr>
            </a:solidFill>
          </c:spPr>
          <c:invertIfNegative val="0"/>
          <c:cat>
            <c:numRef>
              <c:f>Лист1!$A$2:$A$4</c:f>
              <c:numCache>
                <c:formatCode>\О\с\н\о\в\н\о\й</c:formatCode>
                <c:ptCount val="3"/>
                <c:pt idx="0">
                  <c:v>2024</c:v>
                </c:pt>
                <c:pt idx="1">
                  <c:v>2025</c:v>
                </c:pt>
                <c:pt idx="2">
                  <c:v>2026</c:v>
                </c:pt>
              </c:numCache>
            </c:numRef>
          </c:cat>
          <c:val>
            <c:numRef>
              <c:f>Лист1!$B$2:$B$4</c:f>
              <c:numCache>
                <c:formatCode>\О\с\н\о\в\н\о\й</c:formatCode>
                <c:ptCount val="3"/>
                <c:pt idx="0">
                  <c:v>3.3</c:v>
                </c:pt>
                <c:pt idx="1">
                  <c:v>3.7</c:v>
                </c:pt>
                <c:pt idx="2">
                  <c:v>3.8</c:v>
                </c:pt>
              </c:numCache>
            </c:numRef>
          </c:val>
          <c:extLst>
            <c:ext xmlns:c16="http://schemas.microsoft.com/office/drawing/2014/chart" uri="{C3380CC4-5D6E-409C-BE32-E72D297353CC}">
              <c16:uniqueId val="{00000000-88D7-4207-9757-DE7EDC1F993F}"/>
            </c:ext>
          </c:extLst>
        </c:ser>
        <c:ser>
          <c:idx val="1"/>
          <c:order val="1"/>
          <c:tx>
            <c:strRef>
              <c:f>Лист1!$C$1</c:f>
              <c:strCache>
                <c:ptCount val="1"/>
                <c:pt idx="0">
                  <c:v>Макро-регіональна система Північної та Південної Америки, %</c:v>
                </c:pt>
              </c:strCache>
            </c:strRef>
          </c:tx>
          <c:spPr>
            <a:solidFill>
              <a:schemeClr val="accent2">
                <a:lumMod val="40000"/>
                <a:lumOff val="60000"/>
              </a:schemeClr>
            </a:solidFill>
          </c:spPr>
          <c:invertIfNegative val="0"/>
          <c:cat>
            <c:numRef>
              <c:f>Лист1!$A$2:$A$4</c:f>
              <c:numCache>
                <c:formatCode>\О\с\н\о\в\н\о\й</c:formatCode>
                <c:ptCount val="3"/>
                <c:pt idx="0">
                  <c:v>2024</c:v>
                </c:pt>
                <c:pt idx="1">
                  <c:v>2025</c:v>
                </c:pt>
                <c:pt idx="2">
                  <c:v>2026</c:v>
                </c:pt>
              </c:numCache>
            </c:numRef>
          </c:cat>
          <c:val>
            <c:numRef>
              <c:f>Лист1!$C$2:$C$4</c:f>
              <c:numCache>
                <c:formatCode>\О\с\н\о\в\н\о\й</c:formatCode>
                <c:ptCount val="3"/>
                <c:pt idx="0">
                  <c:v>4.5999999999999996</c:v>
                </c:pt>
                <c:pt idx="1">
                  <c:v>4.9000000000000004</c:v>
                </c:pt>
                <c:pt idx="2">
                  <c:v>5.2</c:v>
                </c:pt>
              </c:numCache>
            </c:numRef>
          </c:val>
          <c:extLst>
            <c:ext xmlns:c16="http://schemas.microsoft.com/office/drawing/2014/chart" uri="{C3380CC4-5D6E-409C-BE32-E72D297353CC}">
              <c16:uniqueId val="{00000001-88D7-4207-9757-DE7EDC1F993F}"/>
            </c:ext>
          </c:extLst>
        </c:ser>
        <c:ser>
          <c:idx val="2"/>
          <c:order val="2"/>
          <c:tx>
            <c:strRef>
              <c:f>Лист1!$D$1</c:f>
              <c:strCache>
                <c:ptCount val="1"/>
                <c:pt idx="0">
                  <c:v>Макро-регіональна система Азії та Тихоокеанського регіону, %</c:v>
                </c:pt>
              </c:strCache>
            </c:strRef>
          </c:tx>
          <c:invertIfNegative val="0"/>
          <c:cat>
            <c:numRef>
              <c:f>Лист1!$A$2:$A$4</c:f>
              <c:numCache>
                <c:formatCode>\О\с\н\о\в\н\о\й</c:formatCode>
                <c:ptCount val="3"/>
                <c:pt idx="0">
                  <c:v>2024</c:v>
                </c:pt>
                <c:pt idx="1">
                  <c:v>2025</c:v>
                </c:pt>
                <c:pt idx="2">
                  <c:v>2026</c:v>
                </c:pt>
              </c:numCache>
            </c:numRef>
          </c:cat>
          <c:val>
            <c:numRef>
              <c:f>Лист1!$D$2:$D$4</c:f>
              <c:numCache>
                <c:formatCode>\О\с\н\о\в\н\о\й</c:formatCode>
                <c:ptCount val="3"/>
                <c:pt idx="0">
                  <c:v>4.9000000000000004</c:v>
                </c:pt>
                <c:pt idx="1">
                  <c:v>5.7</c:v>
                </c:pt>
                <c:pt idx="2">
                  <c:v>6.2</c:v>
                </c:pt>
              </c:numCache>
            </c:numRef>
          </c:val>
          <c:extLst>
            <c:ext xmlns:c16="http://schemas.microsoft.com/office/drawing/2014/chart" uri="{C3380CC4-5D6E-409C-BE32-E72D297353CC}">
              <c16:uniqueId val="{00000002-88D7-4207-9757-DE7EDC1F993F}"/>
            </c:ext>
          </c:extLst>
        </c:ser>
        <c:ser>
          <c:idx val="3"/>
          <c:order val="3"/>
          <c:tx>
            <c:strRef>
              <c:f>Лист1!$E$1</c:f>
              <c:strCache>
                <c:ptCount val="1"/>
                <c:pt idx="0">
                  <c:v>Макро-регіональна система Європи, %</c:v>
                </c:pt>
              </c:strCache>
            </c:strRef>
          </c:tx>
          <c:spPr>
            <a:solidFill>
              <a:schemeClr val="bg1">
                <a:lumMod val="95000"/>
              </a:schemeClr>
            </a:solidFill>
          </c:spPr>
          <c:invertIfNegative val="0"/>
          <c:cat>
            <c:numRef>
              <c:f>Лист1!$A$2:$A$4</c:f>
              <c:numCache>
                <c:formatCode>\О\с\н\о\в\н\о\й</c:formatCode>
                <c:ptCount val="3"/>
                <c:pt idx="0">
                  <c:v>2024</c:v>
                </c:pt>
                <c:pt idx="1">
                  <c:v>2025</c:v>
                </c:pt>
                <c:pt idx="2">
                  <c:v>2026</c:v>
                </c:pt>
              </c:numCache>
            </c:numRef>
          </c:cat>
          <c:val>
            <c:numRef>
              <c:f>Лист1!$E$2:$E$4</c:f>
              <c:numCache>
                <c:formatCode>\О\с\н\о\в\н\о\й</c:formatCode>
                <c:ptCount val="3"/>
                <c:pt idx="0">
                  <c:v>7.2</c:v>
                </c:pt>
                <c:pt idx="1">
                  <c:v>7.4</c:v>
                </c:pt>
                <c:pt idx="2">
                  <c:v>7.6</c:v>
                </c:pt>
              </c:numCache>
            </c:numRef>
          </c:val>
          <c:extLst>
            <c:ext xmlns:c16="http://schemas.microsoft.com/office/drawing/2014/chart" uri="{C3380CC4-5D6E-409C-BE32-E72D297353CC}">
              <c16:uniqueId val="{00000003-88D7-4207-9757-DE7EDC1F993F}"/>
            </c:ext>
          </c:extLst>
        </c:ser>
        <c:ser>
          <c:idx val="4"/>
          <c:order val="4"/>
          <c:tx>
            <c:strRef>
              <c:f>Лист1!$F$1</c:f>
              <c:strCache>
                <c:ptCount val="1"/>
                <c:pt idx="0">
                  <c:v>Макро-регіональна система Близького Сходу, %</c:v>
                </c:pt>
              </c:strCache>
            </c:strRef>
          </c:tx>
          <c:spPr>
            <a:solidFill>
              <a:schemeClr val="tx1"/>
            </a:solidFill>
          </c:spPr>
          <c:invertIfNegative val="0"/>
          <c:cat>
            <c:numRef>
              <c:f>Лист1!$A$2:$A$4</c:f>
              <c:numCache>
                <c:formatCode>\О\с\н\о\в\н\о\й</c:formatCode>
                <c:ptCount val="3"/>
                <c:pt idx="0">
                  <c:v>2024</c:v>
                </c:pt>
                <c:pt idx="1">
                  <c:v>2025</c:v>
                </c:pt>
                <c:pt idx="2">
                  <c:v>2026</c:v>
                </c:pt>
              </c:numCache>
            </c:numRef>
          </c:cat>
          <c:val>
            <c:numRef>
              <c:f>Лист1!$F$2:$F$4</c:f>
              <c:numCache>
                <c:formatCode>\О\с\н\о\в\н\о\й</c:formatCode>
                <c:ptCount val="3"/>
                <c:pt idx="0">
                  <c:v>8.6</c:v>
                </c:pt>
                <c:pt idx="1">
                  <c:v>8.6999999999999993</c:v>
                </c:pt>
                <c:pt idx="2">
                  <c:v>8.8000000000000007</c:v>
                </c:pt>
              </c:numCache>
            </c:numRef>
          </c:val>
          <c:extLst>
            <c:ext xmlns:c16="http://schemas.microsoft.com/office/drawing/2014/chart" uri="{C3380CC4-5D6E-409C-BE32-E72D297353CC}">
              <c16:uniqueId val="{00000004-88D7-4207-9757-DE7EDC1F993F}"/>
            </c:ext>
          </c:extLst>
        </c:ser>
        <c:dLbls>
          <c:showLegendKey val="0"/>
          <c:showVal val="0"/>
          <c:showCatName val="0"/>
          <c:showSerName val="0"/>
          <c:showPercent val="0"/>
          <c:showBubbleSize val="0"/>
        </c:dLbls>
        <c:gapWidth val="300"/>
        <c:axId val="324755311"/>
        <c:axId val="1"/>
      </c:barChart>
      <c:catAx>
        <c:axId val="324755311"/>
        <c:scaling>
          <c:orientation val="minMax"/>
        </c:scaling>
        <c:delete val="0"/>
        <c:axPos val="l"/>
        <c:numFmt formatCode="\О\с\н\о\в\н\о\й" sourceLinked="1"/>
        <c:majorTickMark val="none"/>
        <c:minorTickMark val="none"/>
        <c:tickLblPos val="nextTo"/>
        <c:txPr>
          <a:bodyPr/>
          <a:lstStyle/>
          <a:p>
            <a:pPr>
              <a:defRPr>
                <a:latin typeface="Times New Roman" pitchFamily="18" charset="0"/>
                <a:cs typeface="Times New Roman" pitchFamily="18" charset="0"/>
              </a:defRPr>
            </a:pPr>
            <a:endParaRPr lang="ru-UA"/>
          </a:p>
        </c:txPr>
        <c:crossAx val="1"/>
        <c:crosses val="autoZero"/>
        <c:auto val="1"/>
        <c:lblAlgn val="ctr"/>
        <c:lblOffset val="100"/>
        <c:noMultiLvlLbl val="0"/>
      </c:catAx>
      <c:valAx>
        <c:axId val="1"/>
        <c:scaling>
          <c:orientation val="minMax"/>
        </c:scaling>
        <c:delete val="0"/>
        <c:axPos val="b"/>
        <c:majorGridlines/>
        <c:title>
          <c:tx>
            <c:rich>
              <a:bodyPr/>
              <a:lstStyle/>
              <a:p>
                <a:pPr>
                  <a:defRPr sz="1000" b="1" i="0" u="none" strike="noStrike" baseline="0">
                    <a:solidFill>
                      <a:srgbClr val="000000"/>
                    </a:solidFill>
                    <a:latin typeface="Times New Roman"/>
                    <a:ea typeface="Times New Roman"/>
                    <a:cs typeface="Times New Roman"/>
                  </a:defRPr>
                </a:pPr>
                <a:r>
                  <a:rPr lang="ru-UA"/>
                  <a:t>%</a:t>
                </a:r>
              </a:p>
            </c:rich>
          </c:tx>
          <c:overlay val="0"/>
        </c:title>
        <c:numFmt formatCode="\О\с\н\о\в\н\о\й" sourceLinked="1"/>
        <c:majorTickMark val="out"/>
        <c:minorTickMark val="none"/>
        <c:tickLblPos val="nextTo"/>
        <c:txPr>
          <a:bodyPr/>
          <a:lstStyle/>
          <a:p>
            <a:pPr>
              <a:defRPr>
                <a:latin typeface="Times New Roman" pitchFamily="18" charset="0"/>
                <a:cs typeface="Times New Roman" pitchFamily="18" charset="0"/>
              </a:defRPr>
            </a:pPr>
            <a:endParaRPr lang="ru-UA"/>
          </a:p>
        </c:txPr>
        <c:crossAx val="324755311"/>
        <c:crosses val="autoZero"/>
        <c:crossBetween val="between"/>
      </c:valAx>
      <c:spPr>
        <a:noFill/>
        <a:ln w="25400">
          <a:noFill/>
        </a:ln>
      </c:spPr>
    </c:plotArea>
    <c:legend>
      <c:legendPos val="r"/>
      <c:layout>
        <c:manualLayout>
          <c:xMode val="edge"/>
          <c:yMode val="edge"/>
          <c:x val="0.62332307362678563"/>
          <c:y val="1.4405009462837917E-2"/>
          <c:w val="0.36723931486586148"/>
          <c:h val="0.91847566531928315"/>
        </c:manualLayout>
      </c:layout>
      <c:overlay val="0"/>
      <c:txPr>
        <a:bodyPr/>
        <a:lstStyle/>
        <a:p>
          <a:pPr>
            <a:defRPr>
              <a:latin typeface="Times New Roman" pitchFamily="18" charset="0"/>
              <a:cs typeface="Times New Roman" pitchFamily="18" charset="0"/>
            </a:defRPr>
          </a:pPr>
          <a:endParaRPr lang="ru-UA"/>
        </a:p>
      </c:txPr>
    </c:legend>
    <c:plotVisOnly val="1"/>
    <c:dispBlanksAs val="gap"/>
    <c:showDLblsOverMax val="0"/>
  </c:chart>
  <c:externalData r:id="rId2">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Лист1!$B$1</c:f>
              <c:strCache>
                <c:ptCount val="1"/>
                <c:pt idx="0">
                  <c:v>Кластер 1</c:v>
                </c:pt>
              </c:strCache>
            </c:strRef>
          </c:tx>
          <c:cat>
            <c:strRef>
              <c:f>Лист1!$A$2:$A$8</c:f>
              <c:strCache>
                <c:ptCount val="7"/>
                <c:pt idx="0">
                  <c:v>Кластер 1</c:v>
                </c:pt>
                <c:pt idx="1">
                  <c:v>Кластер 2</c:v>
                </c:pt>
                <c:pt idx="2">
                  <c:v>Кластер 3</c:v>
                </c:pt>
                <c:pt idx="3">
                  <c:v>Кластер 4</c:v>
                </c:pt>
                <c:pt idx="4">
                  <c:v>Кластер 5</c:v>
                </c:pt>
                <c:pt idx="5">
                  <c:v>Кластер 6</c:v>
                </c:pt>
                <c:pt idx="6">
                  <c:v>Кластер 7</c:v>
                </c:pt>
              </c:strCache>
            </c:strRef>
          </c:cat>
          <c:val>
            <c:numRef>
              <c:f>Лист1!$B$2:$B$8</c:f>
              <c:numCache>
                <c:formatCode>\О\с\н\о\в\н\о\й</c:formatCode>
                <c:ptCount val="7"/>
                <c:pt idx="1">
                  <c:v>0.71667000000000003</c:v>
                </c:pt>
                <c:pt idx="2">
                  <c:v>1.2445200000000001</c:v>
                </c:pt>
                <c:pt idx="3">
                  <c:v>0.65041000000000004</c:v>
                </c:pt>
                <c:pt idx="4">
                  <c:v>0.78839999999999999</c:v>
                </c:pt>
                <c:pt idx="5">
                  <c:v>0.74333000000000005</c:v>
                </c:pt>
                <c:pt idx="6">
                  <c:v>1.16744</c:v>
                </c:pt>
              </c:numCache>
            </c:numRef>
          </c:val>
          <c:smooth val="0"/>
          <c:extLst>
            <c:ext xmlns:c16="http://schemas.microsoft.com/office/drawing/2014/chart" uri="{C3380CC4-5D6E-409C-BE32-E72D297353CC}">
              <c16:uniqueId val="{00000000-151E-4321-8811-5FD776478B97}"/>
            </c:ext>
          </c:extLst>
        </c:ser>
        <c:ser>
          <c:idx val="1"/>
          <c:order val="1"/>
          <c:tx>
            <c:strRef>
              <c:f>Лист1!$C$1</c:f>
              <c:strCache>
                <c:ptCount val="1"/>
                <c:pt idx="0">
                  <c:v>Кластер 2</c:v>
                </c:pt>
              </c:strCache>
            </c:strRef>
          </c:tx>
          <c:cat>
            <c:strRef>
              <c:f>Лист1!$A$2:$A$8</c:f>
              <c:strCache>
                <c:ptCount val="7"/>
                <c:pt idx="0">
                  <c:v>Кластер 1</c:v>
                </c:pt>
                <c:pt idx="1">
                  <c:v>Кластер 2</c:v>
                </c:pt>
                <c:pt idx="2">
                  <c:v>Кластер 3</c:v>
                </c:pt>
                <c:pt idx="3">
                  <c:v>Кластер 4</c:v>
                </c:pt>
                <c:pt idx="4">
                  <c:v>Кластер 5</c:v>
                </c:pt>
                <c:pt idx="5">
                  <c:v>Кластер 6</c:v>
                </c:pt>
                <c:pt idx="6">
                  <c:v>Кластер 7</c:v>
                </c:pt>
              </c:strCache>
            </c:strRef>
          </c:cat>
          <c:val>
            <c:numRef>
              <c:f>Лист1!$C$2:$C$8</c:f>
              <c:numCache>
                <c:formatCode>General</c:formatCode>
                <c:ptCount val="7"/>
                <c:pt idx="0" formatCode="\О\с\н\о\в\н\о\й">
                  <c:v>0.51361999999999997</c:v>
                </c:pt>
                <c:pt idx="2" formatCode="\О\с\н\о\в\н\о\й">
                  <c:v>1.10381</c:v>
                </c:pt>
                <c:pt idx="3" formatCode="\О\с\н\о\в\н\о\й">
                  <c:v>0.31949</c:v>
                </c:pt>
                <c:pt idx="4" formatCode="\О\с\н\о\в\н\о\й">
                  <c:v>0.50866</c:v>
                </c:pt>
                <c:pt idx="5" formatCode="\О\с\н\о\в\н\о\й">
                  <c:v>0.43889</c:v>
                </c:pt>
                <c:pt idx="6" formatCode="\О\с\н\о\в\н\о\й">
                  <c:v>0.93672999999999995</c:v>
                </c:pt>
              </c:numCache>
            </c:numRef>
          </c:val>
          <c:smooth val="0"/>
          <c:extLst>
            <c:ext xmlns:c16="http://schemas.microsoft.com/office/drawing/2014/chart" uri="{C3380CC4-5D6E-409C-BE32-E72D297353CC}">
              <c16:uniqueId val="{00000001-151E-4321-8811-5FD776478B97}"/>
            </c:ext>
          </c:extLst>
        </c:ser>
        <c:ser>
          <c:idx val="2"/>
          <c:order val="2"/>
          <c:tx>
            <c:strRef>
              <c:f>Лист1!$D$1</c:f>
              <c:strCache>
                <c:ptCount val="1"/>
                <c:pt idx="0">
                  <c:v>Кластер 3</c:v>
                </c:pt>
              </c:strCache>
            </c:strRef>
          </c:tx>
          <c:cat>
            <c:strRef>
              <c:f>Лист1!$A$2:$A$8</c:f>
              <c:strCache>
                <c:ptCount val="7"/>
                <c:pt idx="0">
                  <c:v>Кластер 1</c:v>
                </c:pt>
                <c:pt idx="1">
                  <c:v>Кластер 2</c:v>
                </c:pt>
                <c:pt idx="2">
                  <c:v>Кластер 3</c:v>
                </c:pt>
                <c:pt idx="3">
                  <c:v>Кластер 4</c:v>
                </c:pt>
                <c:pt idx="4">
                  <c:v>Кластер 5</c:v>
                </c:pt>
                <c:pt idx="5">
                  <c:v>Кластер 6</c:v>
                </c:pt>
                <c:pt idx="6">
                  <c:v>Кластер 7</c:v>
                </c:pt>
              </c:strCache>
            </c:strRef>
          </c:cat>
          <c:val>
            <c:numRef>
              <c:f>Лист1!$D$2:$D$8</c:f>
              <c:numCache>
                <c:formatCode>\О\с\н\о\в\н\о\й</c:formatCode>
                <c:ptCount val="7"/>
                <c:pt idx="0">
                  <c:v>1.5488500000000001</c:v>
                </c:pt>
                <c:pt idx="1">
                  <c:v>1.2183999999999999</c:v>
                </c:pt>
                <c:pt idx="3">
                  <c:v>1.00946</c:v>
                </c:pt>
                <c:pt idx="4">
                  <c:v>1.2478199999999999</c:v>
                </c:pt>
                <c:pt idx="5">
                  <c:v>1.2118899999999999</c:v>
                </c:pt>
                <c:pt idx="6">
                  <c:v>0.92398999999999998</c:v>
                </c:pt>
              </c:numCache>
            </c:numRef>
          </c:val>
          <c:smooth val="0"/>
          <c:extLst>
            <c:ext xmlns:c16="http://schemas.microsoft.com/office/drawing/2014/chart" uri="{C3380CC4-5D6E-409C-BE32-E72D297353CC}">
              <c16:uniqueId val="{00000002-151E-4321-8811-5FD776478B97}"/>
            </c:ext>
          </c:extLst>
        </c:ser>
        <c:ser>
          <c:idx val="3"/>
          <c:order val="3"/>
          <c:tx>
            <c:strRef>
              <c:f>Лист1!$E$1</c:f>
              <c:strCache>
                <c:ptCount val="1"/>
                <c:pt idx="0">
                  <c:v>Кластер 4</c:v>
                </c:pt>
              </c:strCache>
            </c:strRef>
          </c:tx>
          <c:cat>
            <c:strRef>
              <c:f>Лист1!$A$2:$A$8</c:f>
              <c:strCache>
                <c:ptCount val="7"/>
                <c:pt idx="0">
                  <c:v>Кластер 1</c:v>
                </c:pt>
                <c:pt idx="1">
                  <c:v>Кластер 2</c:v>
                </c:pt>
                <c:pt idx="2">
                  <c:v>Кластер 3</c:v>
                </c:pt>
                <c:pt idx="3">
                  <c:v>Кластер 4</c:v>
                </c:pt>
                <c:pt idx="4">
                  <c:v>Кластер 5</c:v>
                </c:pt>
                <c:pt idx="5">
                  <c:v>Кластер 6</c:v>
                </c:pt>
                <c:pt idx="6">
                  <c:v>Кластер 7</c:v>
                </c:pt>
              </c:strCache>
            </c:strRef>
          </c:cat>
          <c:val>
            <c:numRef>
              <c:f>Лист1!$E$2:$E$8</c:f>
              <c:numCache>
                <c:formatCode>\О\с\н\о\в\н\о\й</c:formatCode>
                <c:ptCount val="7"/>
                <c:pt idx="0">
                  <c:v>0.42303000000000002</c:v>
                </c:pt>
                <c:pt idx="1">
                  <c:v>0.10206999999999999</c:v>
                </c:pt>
                <c:pt idx="2">
                  <c:v>1.0189999999999999</c:v>
                </c:pt>
                <c:pt idx="4">
                  <c:v>0.52009000000000005</c:v>
                </c:pt>
                <c:pt idx="5">
                  <c:v>0.43571199999999999</c:v>
                </c:pt>
                <c:pt idx="6">
                  <c:v>0.86570999999999998</c:v>
                </c:pt>
              </c:numCache>
            </c:numRef>
          </c:val>
          <c:smooth val="0"/>
          <c:extLst>
            <c:ext xmlns:c16="http://schemas.microsoft.com/office/drawing/2014/chart" uri="{C3380CC4-5D6E-409C-BE32-E72D297353CC}">
              <c16:uniqueId val="{00000003-151E-4321-8811-5FD776478B97}"/>
            </c:ext>
          </c:extLst>
        </c:ser>
        <c:ser>
          <c:idx val="4"/>
          <c:order val="4"/>
          <c:tx>
            <c:strRef>
              <c:f>Лист1!$F$1</c:f>
              <c:strCache>
                <c:ptCount val="1"/>
                <c:pt idx="0">
                  <c:v>Кластер 5</c:v>
                </c:pt>
              </c:strCache>
            </c:strRef>
          </c:tx>
          <c:cat>
            <c:strRef>
              <c:f>Лист1!$A$2:$A$8</c:f>
              <c:strCache>
                <c:ptCount val="7"/>
                <c:pt idx="0">
                  <c:v>Кластер 1</c:v>
                </c:pt>
                <c:pt idx="1">
                  <c:v>Кластер 2</c:v>
                </c:pt>
                <c:pt idx="2">
                  <c:v>Кластер 3</c:v>
                </c:pt>
                <c:pt idx="3">
                  <c:v>Кластер 4</c:v>
                </c:pt>
                <c:pt idx="4">
                  <c:v>Кластер 5</c:v>
                </c:pt>
                <c:pt idx="5">
                  <c:v>Кластер 6</c:v>
                </c:pt>
                <c:pt idx="6">
                  <c:v>Кластер 7</c:v>
                </c:pt>
              </c:strCache>
            </c:strRef>
          </c:cat>
          <c:val>
            <c:numRef>
              <c:f>Лист1!$F$2:$F$8</c:f>
              <c:numCache>
                <c:formatCode>\О\с\н\о\в\н\о\й</c:formatCode>
                <c:ptCount val="7"/>
                <c:pt idx="0">
                  <c:v>0.62158000000000002</c:v>
                </c:pt>
                <c:pt idx="1">
                  <c:v>0.25874000000000003</c:v>
                </c:pt>
                <c:pt idx="2">
                  <c:v>1.55705</c:v>
                </c:pt>
                <c:pt idx="3">
                  <c:v>0.27045000000000002</c:v>
                </c:pt>
                <c:pt idx="5">
                  <c:v>0.64468000000000003</c:v>
                </c:pt>
                <c:pt idx="6">
                  <c:v>1.06359</c:v>
                </c:pt>
              </c:numCache>
            </c:numRef>
          </c:val>
          <c:smooth val="0"/>
          <c:extLst>
            <c:ext xmlns:c16="http://schemas.microsoft.com/office/drawing/2014/chart" uri="{C3380CC4-5D6E-409C-BE32-E72D297353CC}">
              <c16:uniqueId val="{00000004-151E-4321-8811-5FD776478B97}"/>
            </c:ext>
          </c:extLst>
        </c:ser>
        <c:ser>
          <c:idx val="5"/>
          <c:order val="5"/>
          <c:tx>
            <c:strRef>
              <c:f>Лист1!$G$1</c:f>
              <c:strCache>
                <c:ptCount val="1"/>
                <c:pt idx="0">
                  <c:v>Кластер 6</c:v>
                </c:pt>
              </c:strCache>
            </c:strRef>
          </c:tx>
          <c:cat>
            <c:strRef>
              <c:f>Лист1!$A$2:$A$8</c:f>
              <c:strCache>
                <c:ptCount val="7"/>
                <c:pt idx="0">
                  <c:v>Кластер 1</c:v>
                </c:pt>
                <c:pt idx="1">
                  <c:v>Кластер 2</c:v>
                </c:pt>
                <c:pt idx="2">
                  <c:v>Кластер 3</c:v>
                </c:pt>
                <c:pt idx="3">
                  <c:v>Кластер 4</c:v>
                </c:pt>
                <c:pt idx="4">
                  <c:v>Кластер 5</c:v>
                </c:pt>
                <c:pt idx="5">
                  <c:v>Кластер 6</c:v>
                </c:pt>
                <c:pt idx="6">
                  <c:v>Кластер 7</c:v>
                </c:pt>
              </c:strCache>
            </c:strRef>
          </c:cat>
          <c:val>
            <c:numRef>
              <c:f>Лист1!$G$2:$G$8</c:f>
              <c:numCache>
                <c:formatCode>\О\с\н\о\в\н\о\й</c:formatCode>
                <c:ptCount val="7"/>
                <c:pt idx="0">
                  <c:v>0.55254000000000003</c:v>
                </c:pt>
                <c:pt idx="1">
                  <c:v>0.19263</c:v>
                </c:pt>
                <c:pt idx="2">
                  <c:v>1.46868</c:v>
                </c:pt>
                <c:pt idx="3">
                  <c:v>0.18984000000000001</c:v>
                </c:pt>
                <c:pt idx="4">
                  <c:v>0.41560999999999998</c:v>
                </c:pt>
                <c:pt idx="6">
                  <c:v>1.1044400000000001</c:v>
                </c:pt>
              </c:numCache>
            </c:numRef>
          </c:val>
          <c:smooth val="0"/>
          <c:extLst>
            <c:ext xmlns:c16="http://schemas.microsoft.com/office/drawing/2014/chart" uri="{C3380CC4-5D6E-409C-BE32-E72D297353CC}">
              <c16:uniqueId val="{00000005-151E-4321-8811-5FD776478B97}"/>
            </c:ext>
          </c:extLst>
        </c:ser>
        <c:ser>
          <c:idx val="6"/>
          <c:order val="6"/>
          <c:tx>
            <c:strRef>
              <c:f>Лист1!$H$1</c:f>
              <c:strCache>
                <c:ptCount val="1"/>
                <c:pt idx="0">
                  <c:v>Кластер 7</c:v>
                </c:pt>
              </c:strCache>
            </c:strRef>
          </c:tx>
          <c:cat>
            <c:strRef>
              <c:f>Лист1!$A$2:$A$8</c:f>
              <c:strCache>
                <c:ptCount val="7"/>
                <c:pt idx="0">
                  <c:v>Кластер 1</c:v>
                </c:pt>
                <c:pt idx="1">
                  <c:v>Кластер 2</c:v>
                </c:pt>
                <c:pt idx="2">
                  <c:v>Кластер 3</c:v>
                </c:pt>
                <c:pt idx="3">
                  <c:v>Кластер 4</c:v>
                </c:pt>
                <c:pt idx="4">
                  <c:v>Кластер 5</c:v>
                </c:pt>
                <c:pt idx="5">
                  <c:v>Кластер 6</c:v>
                </c:pt>
                <c:pt idx="6">
                  <c:v>Кластер 7</c:v>
                </c:pt>
              </c:strCache>
            </c:strRef>
          </c:cat>
          <c:val>
            <c:numRef>
              <c:f>Лист1!$H$2:$H$8</c:f>
              <c:numCache>
                <c:formatCode>\О\с\н\о\в\н\о\й</c:formatCode>
                <c:ptCount val="7"/>
                <c:pt idx="0">
                  <c:v>1.3629100000000001</c:v>
                </c:pt>
                <c:pt idx="1">
                  <c:v>0.87746999999999997</c:v>
                </c:pt>
                <c:pt idx="2">
                  <c:v>0.85377999999999998</c:v>
                </c:pt>
                <c:pt idx="3">
                  <c:v>0.74944999999999995</c:v>
                </c:pt>
                <c:pt idx="4">
                  <c:v>1.13123</c:v>
                </c:pt>
                <c:pt idx="5">
                  <c:v>1.2197800000000001</c:v>
                </c:pt>
              </c:numCache>
            </c:numRef>
          </c:val>
          <c:smooth val="0"/>
          <c:extLst>
            <c:ext xmlns:c16="http://schemas.microsoft.com/office/drawing/2014/chart" uri="{C3380CC4-5D6E-409C-BE32-E72D297353CC}">
              <c16:uniqueId val="{00000006-151E-4321-8811-5FD776478B97}"/>
            </c:ext>
          </c:extLst>
        </c:ser>
        <c:dLbls>
          <c:showLegendKey val="0"/>
          <c:showVal val="0"/>
          <c:showCatName val="0"/>
          <c:showSerName val="0"/>
          <c:showPercent val="0"/>
          <c:showBubbleSize val="0"/>
        </c:dLbls>
        <c:marker val="1"/>
        <c:smooth val="0"/>
        <c:axId val="202408175"/>
        <c:axId val="1"/>
      </c:lineChart>
      <c:catAx>
        <c:axId val="202408175"/>
        <c:scaling>
          <c:orientation val="minMax"/>
        </c:scaling>
        <c:delete val="0"/>
        <c:axPos val="b"/>
        <c:numFmt formatCode="\О\с\н\о\в\н\о\й" sourceLinked="0"/>
        <c:majorTickMark val="out"/>
        <c:minorTickMark val="none"/>
        <c:tickLblPos val="nextTo"/>
        <c:crossAx val="1"/>
        <c:crosses val="autoZero"/>
        <c:auto val="1"/>
        <c:lblAlgn val="ctr"/>
        <c:lblOffset val="100"/>
        <c:noMultiLvlLbl val="0"/>
      </c:catAx>
      <c:valAx>
        <c:axId val="1"/>
        <c:scaling>
          <c:orientation val="minMax"/>
        </c:scaling>
        <c:delete val="0"/>
        <c:axPos val="l"/>
        <c:majorGridlines/>
        <c:numFmt formatCode="\О\с\н\о\в\н\о\й" sourceLinked="1"/>
        <c:majorTickMark val="out"/>
        <c:minorTickMark val="none"/>
        <c:tickLblPos val="nextTo"/>
        <c:crossAx val="202408175"/>
        <c:crosses val="autoZero"/>
        <c:crossBetween val="between"/>
      </c:valAx>
    </c:plotArea>
    <c:legend>
      <c:legendPos val="r"/>
      <c:overlay val="0"/>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ru-UA"/>
    </a:p>
  </c:txPr>
  <c:externalData r:id="rId2">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34467093329402654"/>
          <c:y val="6.8492653371599599E-2"/>
          <c:w val="0.47856422056831938"/>
          <c:h val="0.70326465892794332"/>
        </c:manualLayout>
      </c:layout>
      <c:radarChart>
        <c:radarStyle val="marker"/>
        <c:varyColors val="0"/>
        <c:ser>
          <c:idx val="0"/>
          <c:order val="0"/>
          <c:tx>
            <c:strRef>
              <c:f>Лист1!$A$2</c:f>
              <c:strCache>
                <c:ptCount val="1"/>
                <c:pt idx="0">
                  <c:v>Кластер 1</c:v>
                </c:pt>
              </c:strCache>
            </c:strRef>
          </c:tx>
          <c:marker>
            <c:symbol val="none"/>
          </c:marker>
          <c:cat>
            <c:strRef>
              <c:f>Лист1!$B$1:$L$1</c:f>
              <c:strCache>
                <c:ptCount val="11"/>
                <c:pt idx="0">
                  <c:v>Рівень сприятливого геоекономічного середовища</c:v>
                </c:pt>
                <c:pt idx="1">
                  <c:v>Рівень розвитку міжнародного співробітництва у сфері подорожей</c:v>
                </c:pt>
                <c:pt idx="2">
                  <c:v>Рівень розвитку туристичної інфраструктури</c:v>
                </c:pt>
                <c:pt idx="3">
                  <c:v>Рівень двосторонніх туристичних потоків</c:v>
                </c:pt>
                <c:pt idx="4">
                  <c:v>Рівень природних та культурних ресурсів</c:v>
                </c:pt>
                <c:pt idx="5">
                  <c:v>Рівень залучення прямих іноземних інвестицій на розвиток локально-регіональних систем</c:v>
                </c:pt>
                <c:pt idx="6">
                  <c:v>Рівень приросту доходів суб’єктів туристичної діяльності в об’єднаному геоекономічному просторі</c:v>
                </c:pt>
                <c:pt idx="7">
                  <c:v>Рівень податкових надходжень від туристичної галузі</c:v>
                </c:pt>
                <c:pt idx="8">
                  <c:v>Частка обсягу ВРП на душу населення від залучення ПІІ</c:v>
                </c:pt>
                <c:pt idx="9">
                  <c:v>Часткою експорту туристичних послуг у ВРП </c:v>
                </c:pt>
                <c:pt idx="10">
                  <c:v>Рівень приросту вартості робочої сили в туристичній галузі</c:v>
                </c:pt>
              </c:strCache>
            </c:strRef>
          </c:cat>
          <c:val>
            <c:numRef>
              <c:f>Лист1!$B$2:$L$2</c:f>
              <c:numCache>
                <c:formatCode>\О\с\н\о\в\н\о\й</c:formatCode>
                <c:ptCount val="11"/>
                <c:pt idx="0">
                  <c:v>4.1769999999999996</c:v>
                </c:pt>
                <c:pt idx="1">
                  <c:v>5.1361999999999997</c:v>
                </c:pt>
                <c:pt idx="2">
                  <c:v>15.4885</c:v>
                </c:pt>
                <c:pt idx="3">
                  <c:v>4.2302999999999997</c:v>
                </c:pt>
                <c:pt idx="4">
                  <c:v>6.2157999999999998</c:v>
                </c:pt>
                <c:pt idx="5">
                  <c:v>5.5254000000000003</c:v>
                </c:pt>
                <c:pt idx="6">
                  <c:v>1.3629</c:v>
                </c:pt>
                <c:pt idx="7">
                  <c:v>12.7887</c:v>
                </c:pt>
                <c:pt idx="8">
                  <c:v>7.8446999999999996</c:v>
                </c:pt>
                <c:pt idx="9">
                  <c:v>12.007999999999999</c:v>
                </c:pt>
                <c:pt idx="10">
                  <c:v>1.1204000000000001</c:v>
                </c:pt>
              </c:numCache>
            </c:numRef>
          </c:val>
          <c:extLst>
            <c:ext xmlns:c16="http://schemas.microsoft.com/office/drawing/2014/chart" uri="{C3380CC4-5D6E-409C-BE32-E72D297353CC}">
              <c16:uniqueId val="{00000000-63C8-4916-86EE-1339B2DFD2E3}"/>
            </c:ext>
          </c:extLst>
        </c:ser>
        <c:ser>
          <c:idx val="1"/>
          <c:order val="1"/>
          <c:tx>
            <c:strRef>
              <c:f>Лист1!$A$3</c:f>
              <c:strCache>
                <c:ptCount val="1"/>
                <c:pt idx="0">
                  <c:v>Кластер 2</c:v>
                </c:pt>
              </c:strCache>
            </c:strRef>
          </c:tx>
          <c:marker>
            <c:symbol val="none"/>
          </c:marker>
          <c:cat>
            <c:strRef>
              <c:f>Лист1!$B$1:$L$1</c:f>
              <c:strCache>
                <c:ptCount val="11"/>
                <c:pt idx="0">
                  <c:v>Рівень сприятливого геоекономічного середовища</c:v>
                </c:pt>
                <c:pt idx="1">
                  <c:v>Рівень розвитку міжнародного співробітництва у сфері подорожей</c:v>
                </c:pt>
                <c:pt idx="2">
                  <c:v>Рівень розвитку туристичної інфраструктури</c:v>
                </c:pt>
                <c:pt idx="3">
                  <c:v>Рівень двосторонніх туристичних потоків</c:v>
                </c:pt>
                <c:pt idx="4">
                  <c:v>Рівень природних та культурних ресурсів</c:v>
                </c:pt>
                <c:pt idx="5">
                  <c:v>Рівень залучення прямих іноземних інвестицій на розвиток локально-регіональних систем</c:v>
                </c:pt>
                <c:pt idx="6">
                  <c:v>Рівень приросту доходів суб’єктів туристичної діяльності в об’єднаному геоекономічному просторі</c:v>
                </c:pt>
                <c:pt idx="7">
                  <c:v>Рівень податкових надходжень від туристичної галузі</c:v>
                </c:pt>
                <c:pt idx="8">
                  <c:v>Частка обсягу ВРП на душу населення від залучення ПІІ</c:v>
                </c:pt>
                <c:pt idx="9">
                  <c:v>Часткою експорту туристичних послуг у ВРП </c:v>
                </c:pt>
                <c:pt idx="10">
                  <c:v>Рівень приросту вартості робочої сили в туристичній галузі</c:v>
                </c:pt>
              </c:strCache>
            </c:strRef>
          </c:cat>
          <c:val>
            <c:numRef>
              <c:f>Лист1!$B$3:$L$3</c:f>
              <c:numCache>
                <c:formatCode>\О\с\н\о\в\н\о\й</c:formatCode>
                <c:ptCount val="11"/>
                <c:pt idx="0">
                  <c:v>7.1666999999999996</c:v>
                </c:pt>
                <c:pt idx="1">
                  <c:v>6.4442000000000004</c:v>
                </c:pt>
                <c:pt idx="2">
                  <c:v>12.183999999999999</c:v>
                </c:pt>
                <c:pt idx="3">
                  <c:v>10.207000000000001</c:v>
                </c:pt>
                <c:pt idx="4">
                  <c:v>12.587400000000001</c:v>
                </c:pt>
                <c:pt idx="5">
                  <c:v>9.2629999999999999</c:v>
                </c:pt>
                <c:pt idx="6">
                  <c:v>1.8776999999999999</c:v>
                </c:pt>
                <c:pt idx="7">
                  <c:v>17.347999999999999</c:v>
                </c:pt>
                <c:pt idx="8">
                  <c:v>8.7733000000000008</c:v>
                </c:pt>
                <c:pt idx="9">
                  <c:v>19.478000000000002</c:v>
                </c:pt>
                <c:pt idx="10">
                  <c:v>2.2587999999999999</c:v>
                </c:pt>
              </c:numCache>
            </c:numRef>
          </c:val>
          <c:extLst>
            <c:ext xmlns:c16="http://schemas.microsoft.com/office/drawing/2014/chart" uri="{C3380CC4-5D6E-409C-BE32-E72D297353CC}">
              <c16:uniqueId val="{00000001-63C8-4916-86EE-1339B2DFD2E3}"/>
            </c:ext>
          </c:extLst>
        </c:ser>
        <c:ser>
          <c:idx val="2"/>
          <c:order val="2"/>
          <c:tx>
            <c:strRef>
              <c:f>Лист1!$A$4</c:f>
              <c:strCache>
                <c:ptCount val="1"/>
                <c:pt idx="0">
                  <c:v>Кластер 3</c:v>
                </c:pt>
              </c:strCache>
            </c:strRef>
          </c:tx>
          <c:marker>
            <c:symbol val="none"/>
          </c:marker>
          <c:cat>
            <c:strRef>
              <c:f>Лист1!$B$1:$L$1</c:f>
              <c:strCache>
                <c:ptCount val="11"/>
                <c:pt idx="0">
                  <c:v>Рівень сприятливого геоекономічного середовища</c:v>
                </c:pt>
                <c:pt idx="1">
                  <c:v>Рівень розвитку міжнародного співробітництва у сфері подорожей</c:v>
                </c:pt>
                <c:pt idx="2">
                  <c:v>Рівень розвитку туристичної інфраструктури</c:v>
                </c:pt>
                <c:pt idx="3">
                  <c:v>Рівень двосторонніх туристичних потоків</c:v>
                </c:pt>
                <c:pt idx="4">
                  <c:v>Рівень природних та культурних ресурсів</c:v>
                </c:pt>
                <c:pt idx="5">
                  <c:v>Рівень залучення прямих іноземних інвестицій на розвиток локально-регіональних систем</c:v>
                </c:pt>
                <c:pt idx="6">
                  <c:v>Рівень приросту доходів суб’єктів туристичної діяльності в об’єднаному геоекономічному просторі</c:v>
                </c:pt>
                <c:pt idx="7">
                  <c:v>Рівень податкових надходжень від туристичної галузі</c:v>
                </c:pt>
                <c:pt idx="8">
                  <c:v>Частка обсягу ВРП на душу населення від залучення ПІІ</c:v>
                </c:pt>
                <c:pt idx="9">
                  <c:v>Часткою експорту туристичних послуг у ВРП </c:v>
                </c:pt>
                <c:pt idx="10">
                  <c:v>Рівень приросту вартості робочої сили в туристичній галузі</c:v>
                </c:pt>
              </c:strCache>
            </c:strRef>
          </c:cat>
          <c:val>
            <c:numRef>
              <c:f>Лист1!$B$4:$L$4</c:f>
              <c:numCache>
                <c:formatCode>\О\с\н\о\в\н\о\й</c:formatCode>
                <c:ptCount val="11"/>
                <c:pt idx="0">
                  <c:v>12.4452</c:v>
                </c:pt>
                <c:pt idx="1">
                  <c:v>8.0381</c:v>
                </c:pt>
                <c:pt idx="2">
                  <c:v>10.777900000000001</c:v>
                </c:pt>
                <c:pt idx="3">
                  <c:v>10.19</c:v>
                </c:pt>
                <c:pt idx="4">
                  <c:v>15.570499999999999</c:v>
                </c:pt>
                <c:pt idx="5">
                  <c:v>4.6867999999999999</c:v>
                </c:pt>
                <c:pt idx="6">
                  <c:v>1.8537999999999999</c:v>
                </c:pt>
                <c:pt idx="7">
                  <c:v>17.347999999999999</c:v>
                </c:pt>
                <c:pt idx="8">
                  <c:v>5.4789000000000003</c:v>
                </c:pt>
                <c:pt idx="9">
                  <c:v>10.4468</c:v>
                </c:pt>
                <c:pt idx="10">
                  <c:v>2.4087000000000001</c:v>
                </c:pt>
              </c:numCache>
            </c:numRef>
          </c:val>
          <c:extLst>
            <c:ext xmlns:c16="http://schemas.microsoft.com/office/drawing/2014/chart" uri="{C3380CC4-5D6E-409C-BE32-E72D297353CC}">
              <c16:uniqueId val="{00000002-63C8-4916-86EE-1339B2DFD2E3}"/>
            </c:ext>
          </c:extLst>
        </c:ser>
        <c:ser>
          <c:idx val="3"/>
          <c:order val="3"/>
          <c:tx>
            <c:strRef>
              <c:f>Лист1!$A$5</c:f>
              <c:strCache>
                <c:ptCount val="1"/>
                <c:pt idx="0">
                  <c:v>Кластер 4</c:v>
                </c:pt>
              </c:strCache>
            </c:strRef>
          </c:tx>
          <c:marker>
            <c:symbol val="none"/>
          </c:marker>
          <c:cat>
            <c:strRef>
              <c:f>Лист1!$B$1:$L$1</c:f>
              <c:strCache>
                <c:ptCount val="11"/>
                <c:pt idx="0">
                  <c:v>Рівень сприятливого геоекономічного середовища</c:v>
                </c:pt>
                <c:pt idx="1">
                  <c:v>Рівень розвитку міжнародного співробітництва у сфері подорожей</c:v>
                </c:pt>
                <c:pt idx="2">
                  <c:v>Рівень розвитку туристичної інфраструктури</c:v>
                </c:pt>
                <c:pt idx="3">
                  <c:v>Рівень двосторонніх туристичних потоків</c:v>
                </c:pt>
                <c:pt idx="4">
                  <c:v>Рівень природних та культурних ресурсів</c:v>
                </c:pt>
                <c:pt idx="5">
                  <c:v>Рівень залучення прямих іноземних інвестицій на розвиток локально-регіональних систем</c:v>
                </c:pt>
                <c:pt idx="6">
                  <c:v>Рівень приросту доходів суб’єктів туристичної діяльності в об’єднаному геоекономічному просторі</c:v>
                </c:pt>
                <c:pt idx="7">
                  <c:v>Рівень податкових надходжень від туристичної галузі</c:v>
                </c:pt>
                <c:pt idx="8">
                  <c:v>Частка обсягу ВРП на душу населення від залучення ПІІ</c:v>
                </c:pt>
                <c:pt idx="9">
                  <c:v>Часткою експорту туристичних послуг у ВРП </c:v>
                </c:pt>
                <c:pt idx="10">
                  <c:v>Рівень приросту вартості робочої сили в туристичній галузі</c:v>
                </c:pt>
              </c:strCache>
            </c:strRef>
          </c:cat>
          <c:val>
            <c:numRef>
              <c:f>Лист1!$B$5:$L$5</c:f>
              <c:numCache>
                <c:formatCode>\О\с\н\о\в\н\о\й</c:formatCode>
                <c:ptCount val="11"/>
                <c:pt idx="0">
                  <c:v>6.5041000000000002</c:v>
                </c:pt>
                <c:pt idx="1">
                  <c:v>7.1948999999999996</c:v>
                </c:pt>
                <c:pt idx="2">
                  <c:v>10.0946</c:v>
                </c:pt>
                <c:pt idx="3">
                  <c:v>8.7723999999999993</c:v>
                </c:pt>
                <c:pt idx="4">
                  <c:v>12.704499999999999</c:v>
                </c:pt>
                <c:pt idx="5">
                  <c:v>8.984</c:v>
                </c:pt>
                <c:pt idx="6">
                  <c:v>1.7495000000000001</c:v>
                </c:pt>
                <c:pt idx="7">
                  <c:v>17.222799999999999</c:v>
                </c:pt>
                <c:pt idx="8">
                  <c:v>9.4410000000000007</c:v>
                </c:pt>
                <c:pt idx="9">
                  <c:v>18.443000000000001</c:v>
                </c:pt>
                <c:pt idx="10">
                  <c:v>2.4403000000000001</c:v>
                </c:pt>
              </c:numCache>
            </c:numRef>
          </c:val>
          <c:extLst>
            <c:ext xmlns:c16="http://schemas.microsoft.com/office/drawing/2014/chart" uri="{C3380CC4-5D6E-409C-BE32-E72D297353CC}">
              <c16:uniqueId val="{00000003-63C8-4916-86EE-1339B2DFD2E3}"/>
            </c:ext>
          </c:extLst>
        </c:ser>
        <c:ser>
          <c:idx val="4"/>
          <c:order val="4"/>
          <c:tx>
            <c:strRef>
              <c:f>Лист1!$A$6</c:f>
              <c:strCache>
                <c:ptCount val="1"/>
                <c:pt idx="0">
                  <c:v>Кластер 5</c:v>
                </c:pt>
              </c:strCache>
            </c:strRef>
          </c:tx>
          <c:marker>
            <c:symbol val="none"/>
          </c:marker>
          <c:cat>
            <c:strRef>
              <c:f>Лист1!$B$1:$L$1</c:f>
              <c:strCache>
                <c:ptCount val="11"/>
                <c:pt idx="0">
                  <c:v>Рівень сприятливого геоекономічного середовища</c:v>
                </c:pt>
                <c:pt idx="1">
                  <c:v>Рівень розвитку міжнародного співробітництва у сфері подорожей</c:v>
                </c:pt>
                <c:pt idx="2">
                  <c:v>Рівень розвитку туристичної інфраструктури</c:v>
                </c:pt>
                <c:pt idx="3">
                  <c:v>Рівень двосторонніх туристичних потоків</c:v>
                </c:pt>
                <c:pt idx="4">
                  <c:v>Рівень природних та культурних ресурсів</c:v>
                </c:pt>
                <c:pt idx="5">
                  <c:v>Рівень залучення прямих іноземних інвестицій на розвиток локально-регіональних систем</c:v>
                </c:pt>
                <c:pt idx="6">
                  <c:v>Рівень приросту доходів суб’єктів туристичної діяльності в об’єднаному геоекономічному просторі</c:v>
                </c:pt>
                <c:pt idx="7">
                  <c:v>Рівень податкових надходжень від туристичної галузі</c:v>
                </c:pt>
                <c:pt idx="8">
                  <c:v>Частка обсягу ВРП на душу населення від залучення ПІІ</c:v>
                </c:pt>
                <c:pt idx="9">
                  <c:v>Часткою експорту туристичних послуг у ВРП </c:v>
                </c:pt>
                <c:pt idx="10">
                  <c:v>Рівень приросту вартості робочої сили в туристичній галузі</c:v>
                </c:pt>
              </c:strCache>
            </c:strRef>
          </c:cat>
          <c:val>
            <c:numRef>
              <c:f>Лист1!$B$6:$L$6</c:f>
              <c:numCache>
                <c:formatCode>\О\с\н\о\в\н\о\й</c:formatCode>
                <c:ptCount val="11"/>
                <c:pt idx="0">
                  <c:v>7.8840000000000003</c:v>
                </c:pt>
                <c:pt idx="1">
                  <c:v>5.0865999999999998</c:v>
                </c:pt>
                <c:pt idx="2">
                  <c:v>12.478199999999999</c:v>
                </c:pt>
                <c:pt idx="3">
                  <c:v>5.2008999999999999</c:v>
                </c:pt>
                <c:pt idx="4">
                  <c:v>10.773</c:v>
                </c:pt>
                <c:pt idx="5">
                  <c:v>4.1561000000000003</c:v>
                </c:pt>
                <c:pt idx="6">
                  <c:v>1.1313</c:v>
                </c:pt>
                <c:pt idx="7">
                  <c:v>10.4421</c:v>
                </c:pt>
                <c:pt idx="8">
                  <c:v>7.0141999999999998</c:v>
                </c:pt>
                <c:pt idx="9">
                  <c:v>19.777200000000001</c:v>
                </c:pt>
                <c:pt idx="10">
                  <c:v>1.3819999999999999</c:v>
                </c:pt>
              </c:numCache>
            </c:numRef>
          </c:val>
          <c:extLst>
            <c:ext xmlns:c16="http://schemas.microsoft.com/office/drawing/2014/chart" uri="{C3380CC4-5D6E-409C-BE32-E72D297353CC}">
              <c16:uniqueId val="{00000004-63C8-4916-86EE-1339B2DFD2E3}"/>
            </c:ext>
          </c:extLst>
        </c:ser>
        <c:ser>
          <c:idx val="5"/>
          <c:order val="5"/>
          <c:tx>
            <c:strRef>
              <c:f>Лист1!$A$7</c:f>
              <c:strCache>
                <c:ptCount val="1"/>
                <c:pt idx="0">
                  <c:v>Кластер 6</c:v>
                </c:pt>
              </c:strCache>
            </c:strRef>
          </c:tx>
          <c:marker>
            <c:symbol val="none"/>
          </c:marker>
          <c:cat>
            <c:strRef>
              <c:f>Лист1!$B$1:$L$1</c:f>
              <c:strCache>
                <c:ptCount val="11"/>
                <c:pt idx="0">
                  <c:v>Рівень сприятливого геоекономічного середовища</c:v>
                </c:pt>
                <c:pt idx="1">
                  <c:v>Рівень розвитку міжнародного співробітництва у сфері подорожей</c:v>
                </c:pt>
                <c:pt idx="2">
                  <c:v>Рівень розвитку туристичної інфраструктури</c:v>
                </c:pt>
                <c:pt idx="3">
                  <c:v>Рівень двосторонніх туристичних потоків</c:v>
                </c:pt>
                <c:pt idx="4">
                  <c:v>Рівень природних та культурних ресурсів</c:v>
                </c:pt>
                <c:pt idx="5">
                  <c:v>Рівень залучення прямих іноземних інвестицій на розвиток локально-регіональних систем</c:v>
                </c:pt>
                <c:pt idx="6">
                  <c:v>Рівень приросту доходів суб’єктів туристичної діяльності в об’єднаному геоекономічному просторі</c:v>
                </c:pt>
                <c:pt idx="7">
                  <c:v>Рівень податкових надходжень від туристичної галузі</c:v>
                </c:pt>
                <c:pt idx="8">
                  <c:v>Частка обсягу ВРП на душу населення від залучення ПІІ</c:v>
                </c:pt>
                <c:pt idx="9">
                  <c:v>Часткою експорту туристичних послуг у ВРП </c:v>
                </c:pt>
                <c:pt idx="10">
                  <c:v>Рівень приросту вартості робочої сили в туристичній галузі</c:v>
                </c:pt>
              </c:strCache>
            </c:strRef>
          </c:cat>
          <c:val>
            <c:numRef>
              <c:f>Лист1!$B$7:$L$7</c:f>
              <c:numCache>
                <c:formatCode>\О\с\н\о\в\н\о\й</c:formatCode>
                <c:ptCount val="11"/>
                <c:pt idx="0">
                  <c:v>7.4333</c:v>
                </c:pt>
                <c:pt idx="1">
                  <c:v>4.3888999999999996</c:v>
                </c:pt>
                <c:pt idx="2">
                  <c:v>12.1189</c:v>
                </c:pt>
                <c:pt idx="3">
                  <c:v>4.3571999999999997</c:v>
                </c:pt>
                <c:pt idx="4">
                  <c:v>14.468</c:v>
                </c:pt>
                <c:pt idx="5">
                  <c:v>2.1128</c:v>
                </c:pt>
                <c:pt idx="6">
                  <c:v>1.2198</c:v>
                </c:pt>
                <c:pt idx="7">
                  <c:v>12.447800000000001</c:v>
                </c:pt>
                <c:pt idx="8">
                  <c:v>5.1113999999999997</c:v>
                </c:pt>
                <c:pt idx="9">
                  <c:v>14.728400000000001</c:v>
                </c:pt>
                <c:pt idx="10">
                  <c:v>1.478</c:v>
                </c:pt>
              </c:numCache>
            </c:numRef>
          </c:val>
          <c:extLst>
            <c:ext xmlns:c16="http://schemas.microsoft.com/office/drawing/2014/chart" uri="{C3380CC4-5D6E-409C-BE32-E72D297353CC}">
              <c16:uniqueId val="{00000005-63C8-4916-86EE-1339B2DFD2E3}"/>
            </c:ext>
          </c:extLst>
        </c:ser>
        <c:ser>
          <c:idx val="6"/>
          <c:order val="6"/>
          <c:tx>
            <c:strRef>
              <c:f>Лист1!$A$8</c:f>
              <c:strCache>
                <c:ptCount val="1"/>
                <c:pt idx="0">
                  <c:v>Кластер 7</c:v>
                </c:pt>
              </c:strCache>
            </c:strRef>
          </c:tx>
          <c:marker>
            <c:symbol val="none"/>
          </c:marker>
          <c:cat>
            <c:strRef>
              <c:f>Лист1!$B$1:$L$1</c:f>
              <c:strCache>
                <c:ptCount val="11"/>
                <c:pt idx="0">
                  <c:v>Рівень сприятливого геоекономічного середовища</c:v>
                </c:pt>
                <c:pt idx="1">
                  <c:v>Рівень розвитку міжнародного співробітництва у сфері подорожей</c:v>
                </c:pt>
                <c:pt idx="2">
                  <c:v>Рівень розвитку туристичної інфраструктури</c:v>
                </c:pt>
                <c:pt idx="3">
                  <c:v>Рівень двосторонніх туристичних потоків</c:v>
                </c:pt>
                <c:pt idx="4">
                  <c:v>Рівень природних та культурних ресурсів</c:v>
                </c:pt>
                <c:pt idx="5">
                  <c:v>Рівень залучення прямих іноземних інвестицій на розвиток локально-регіональних систем</c:v>
                </c:pt>
                <c:pt idx="6">
                  <c:v>Рівень приросту доходів суб’єктів туристичної діяльності в об’єднаному геоекономічному просторі</c:v>
                </c:pt>
                <c:pt idx="7">
                  <c:v>Рівень податкових надходжень від туристичної галузі</c:v>
                </c:pt>
                <c:pt idx="8">
                  <c:v>Частка обсягу ВРП на душу населення від залучення ПІІ</c:v>
                </c:pt>
                <c:pt idx="9">
                  <c:v>Часткою експорту туристичних послуг у ВРП </c:v>
                </c:pt>
                <c:pt idx="10">
                  <c:v>Рівень приросту вартості робочої сили в туристичній галузі</c:v>
                </c:pt>
              </c:strCache>
            </c:strRef>
          </c:cat>
          <c:val>
            <c:numRef>
              <c:f>Лист1!$B$8:$L$8</c:f>
              <c:numCache>
                <c:formatCode>\О\с\н\о\в\н\о\й</c:formatCode>
                <c:ptCount val="11"/>
                <c:pt idx="0">
                  <c:v>11.6744</c:v>
                </c:pt>
                <c:pt idx="1">
                  <c:v>9.3673000000000002</c:v>
                </c:pt>
                <c:pt idx="2">
                  <c:v>9.2399000000000004</c:v>
                </c:pt>
                <c:pt idx="3">
                  <c:v>8.6570999999999998</c:v>
                </c:pt>
                <c:pt idx="4">
                  <c:v>10.635899999999999</c:v>
                </c:pt>
                <c:pt idx="5">
                  <c:v>8.0443999999999996</c:v>
                </c:pt>
                <c:pt idx="6">
                  <c:v>1.3894</c:v>
                </c:pt>
                <c:pt idx="7">
                  <c:v>12.3742</c:v>
                </c:pt>
                <c:pt idx="8">
                  <c:v>8.4286999999999992</c:v>
                </c:pt>
                <c:pt idx="9">
                  <c:v>11.478400000000001</c:v>
                </c:pt>
                <c:pt idx="10">
                  <c:v>1.8762000000000001</c:v>
                </c:pt>
              </c:numCache>
            </c:numRef>
          </c:val>
          <c:extLst>
            <c:ext xmlns:c16="http://schemas.microsoft.com/office/drawing/2014/chart" uri="{C3380CC4-5D6E-409C-BE32-E72D297353CC}">
              <c16:uniqueId val="{00000006-63C8-4916-86EE-1339B2DFD2E3}"/>
            </c:ext>
          </c:extLst>
        </c:ser>
        <c:dLbls>
          <c:showLegendKey val="0"/>
          <c:showVal val="0"/>
          <c:showCatName val="0"/>
          <c:showSerName val="0"/>
          <c:showPercent val="0"/>
          <c:showBubbleSize val="0"/>
        </c:dLbls>
        <c:axId val="202408575"/>
        <c:axId val="1"/>
      </c:radarChart>
      <c:catAx>
        <c:axId val="202408575"/>
        <c:scaling>
          <c:orientation val="minMax"/>
        </c:scaling>
        <c:delete val="0"/>
        <c:axPos val="b"/>
        <c:majorGridlines/>
        <c:numFmt formatCode="\О\с\н\о\в\н\о\й" sourceLinked="0"/>
        <c:majorTickMark val="out"/>
        <c:minorTickMark val="none"/>
        <c:tickLblPos val="nextTo"/>
        <c:crossAx val="1"/>
        <c:crosses val="autoZero"/>
        <c:auto val="0"/>
        <c:lblAlgn val="ctr"/>
        <c:lblOffset val="100"/>
        <c:noMultiLvlLbl val="0"/>
      </c:catAx>
      <c:valAx>
        <c:axId val="1"/>
        <c:scaling>
          <c:orientation val="minMax"/>
        </c:scaling>
        <c:delete val="0"/>
        <c:axPos val="l"/>
        <c:majorGridlines/>
        <c:numFmt formatCode="\О\с\н\о\в\н\о\й" sourceLinked="1"/>
        <c:majorTickMark val="none"/>
        <c:minorTickMark val="none"/>
        <c:tickLblPos val="nextTo"/>
        <c:crossAx val="202408575"/>
        <c:crosses val="autoZero"/>
        <c:crossBetween val="between"/>
      </c:valAx>
    </c:plotArea>
    <c:legend>
      <c:legendPos val="t"/>
      <c:layout>
        <c:manualLayout>
          <c:xMode val="edge"/>
          <c:yMode val="edge"/>
          <c:x val="5.4613949512018756E-3"/>
          <c:y val="0.91415690488353374"/>
          <c:w val="0.97583336329534154"/>
          <c:h val="4.4179276248187072E-2"/>
        </c:manualLayout>
      </c:layout>
      <c:overlay val="0"/>
    </c:legend>
    <c:plotVisOnly val="1"/>
    <c:dispBlanksAs val="gap"/>
    <c:showDLblsOverMax val="0"/>
  </c:chart>
  <c:spPr>
    <a:noFill/>
    <a:ln>
      <a:noFill/>
    </a:ln>
  </c:spPr>
  <c:txPr>
    <a:bodyPr/>
    <a:lstStyle/>
    <a:p>
      <a:pPr>
        <a:defRPr>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34059209631763065"/>
          <c:y val="3.3872209391839873E-2"/>
          <c:w val="0.63532503492008552"/>
          <c:h val="0.89371812357173597"/>
        </c:manualLayout>
      </c:layout>
      <c:barChart>
        <c:barDir val="bar"/>
        <c:grouping val="clustered"/>
        <c:varyColors val="0"/>
        <c:ser>
          <c:idx val="0"/>
          <c:order val="0"/>
          <c:tx>
            <c:strRef>
              <c:f>Лист1!$A$2</c:f>
              <c:strCache>
                <c:ptCount val="1"/>
                <c:pt idx="0">
                  <c:v>2024</c:v>
                </c:pt>
              </c:strCache>
            </c:strRef>
          </c:tx>
          <c:spPr>
            <a:solidFill>
              <a:schemeClr val="bg1">
                <a:lumMod val="50000"/>
              </a:schemeClr>
            </a:solidFill>
          </c:spPr>
          <c:invertIfNegative val="0"/>
          <c:cat>
            <c:strRef>
              <c:f>Лист1!$B$1:$H$1</c:f>
              <c:strCache>
                <c:ptCount val="7"/>
                <c:pt idx="0">
                  <c:v>Інтегральний індекс міжнародного співробітництва за кластером 1</c:v>
                </c:pt>
                <c:pt idx="1">
                  <c:v>Інтегральний індекс міжнародного співробітництва за кластером 2</c:v>
                </c:pt>
                <c:pt idx="2">
                  <c:v>Інтегральний індекс міжнародного співробітництва за кластером 3</c:v>
                </c:pt>
                <c:pt idx="3">
                  <c:v>Інтегральний індекс міжнародного співробітництва за кластером 4</c:v>
                </c:pt>
                <c:pt idx="4">
                  <c:v>Інтегральний індекс міжнародного співробітництва за кластером 5</c:v>
                </c:pt>
                <c:pt idx="5">
                  <c:v>Інтегральний індекс міжнародного співробітництва за кластером 6</c:v>
                </c:pt>
                <c:pt idx="6">
                  <c:v>Інтегральний індекс міжнародного співробітництва за кластером 7</c:v>
                </c:pt>
              </c:strCache>
            </c:strRef>
          </c:cat>
          <c:val>
            <c:numRef>
              <c:f>Лист1!$B$2:$H$2</c:f>
              <c:numCache>
                <c:formatCode>\О\с\н\о\в\н\о\й</c:formatCode>
                <c:ptCount val="7"/>
                <c:pt idx="0">
                  <c:v>7.1470000000000002</c:v>
                </c:pt>
                <c:pt idx="1">
                  <c:v>9.6287000000000003</c:v>
                </c:pt>
                <c:pt idx="2">
                  <c:v>8.6941000000000006</c:v>
                </c:pt>
                <c:pt idx="3">
                  <c:v>9.7241999999999997</c:v>
                </c:pt>
                <c:pt idx="4">
                  <c:v>8.9060000000000006</c:v>
                </c:pt>
                <c:pt idx="5">
                  <c:v>8.3841999999999999</c:v>
                </c:pt>
                <c:pt idx="6">
                  <c:v>9.0213999999999999</c:v>
                </c:pt>
              </c:numCache>
            </c:numRef>
          </c:val>
          <c:extLst>
            <c:ext xmlns:c16="http://schemas.microsoft.com/office/drawing/2014/chart" uri="{C3380CC4-5D6E-409C-BE32-E72D297353CC}">
              <c16:uniqueId val="{00000000-0829-4B6A-BA88-1D09BE3FAF1B}"/>
            </c:ext>
          </c:extLst>
        </c:ser>
        <c:ser>
          <c:idx val="1"/>
          <c:order val="1"/>
          <c:tx>
            <c:strRef>
              <c:f>Лист1!$A$3</c:f>
              <c:strCache>
                <c:ptCount val="1"/>
                <c:pt idx="0">
                  <c:v>2025</c:v>
                </c:pt>
              </c:strCache>
            </c:strRef>
          </c:tx>
          <c:spPr>
            <a:solidFill>
              <a:schemeClr val="tx1"/>
            </a:solidFill>
          </c:spPr>
          <c:invertIfNegative val="0"/>
          <c:cat>
            <c:strRef>
              <c:f>Лист1!$B$1:$H$1</c:f>
              <c:strCache>
                <c:ptCount val="7"/>
                <c:pt idx="0">
                  <c:v>Інтегральний індекс міжнародного співробітництва за кластером 1</c:v>
                </c:pt>
                <c:pt idx="1">
                  <c:v>Інтегральний індекс міжнародного співробітництва за кластером 2</c:v>
                </c:pt>
                <c:pt idx="2">
                  <c:v>Інтегральний індекс міжнародного співробітництва за кластером 3</c:v>
                </c:pt>
                <c:pt idx="3">
                  <c:v>Інтегральний індекс міжнародного співробітництва за кластером 4</c:v>
                </c:pt>
                <c:pt idx="4">
                  <c:v>Інтегральний індекс міжнародного співробітництва за кластером 5</c:v>
                </c:pt>
                <c:pt idx="5">
                  <c:v>Інтегральний індекс міжнародного співробітництва за кластером 6</c:v>
                </c:pt>
                <c:pt idx="6">
                  <c:v>Інтегральний індекс міжнародного співробітництва за кластером 7</c:v>
                </c:pt>
              </c:strCache>
            </c:strRef>
          </c:cat>
          <c:val>
            <c:numRef>
              <c:f>Лист1!$B$3:$H$3</c:f>
              <c:numCache>
                <c:formatCode>\О\с\н\о\в\н\о\й</c:formatCode>
                <c:ptCount val="7"/>
                <c:pt idx="0">
                  <c:v>7.2439999999999998</c:v>
                </c:pt>
                <c:pt idx="1">
                  <c:v>9.8430999999999997</c:v>
                </c:pt>
                <c:pt idx="2">
                  <c:v>9.7241</c:v>
                </c:pt>
                <c:pt idx="3">
                  <c:v>9.9411000000000005</c:v>
                </c:pt>
                <c:pt idx="4">
                  <c:v>9.1723999999999997</c:v>
                </c:pt>
                <c:pt idx="5">
                  <c:v>8.7499000000000002</c:v>
                </c:pt>
                <c:pt idx="6">
                  <c:v>9.4781999999999993</c:v>
                </c:pt>
              </c:numCache>
            </c:numRef>
          </c:val>
          <c:extLst>
            <c:ext xmlns:c16="http://schemas.microsoft.com/office/drawing/2014/chart" uri="{C3380CC4-5D6E-409C-BE32-E72D297353CC}">
              <c16:uniqueId val="{00000001-0829-4B6A-BA88-1D09BE3FAF1B}"/>
            </c:ext>
          </c:extLst>
        </c:ser>
        <c:ser>
          <c:idx val="2"/>
          <c:order val="2"/>
          <c:tx>
            <c:strRef>
              <c:f>Лист1!$A$4</c:f>
              <c:strCache>
                <c:ptCount val="1"/>
                <c:pt idx="0">
                  <c:v>2026</c:v>
                </c:pt>
              </c:strCache>
            </c:strRef>
          </c:tx>
          <c:spPr>
            <a:solidFill>
              <a:schemeClr val="tx2">
                <a:lumMod val="60000"/>
                <a:lumOff val="40000"/>
              </a:schemeClr>
            </a:solidFill>
          </c:spPr>
          <c:invertIfNegative val="0"/>
          <c:cat>
            <c:strRef>
              <c:f>Лист1!$B$1:$H$1</c:f>
              <c:strCache>
                <c:ptCount val="7"/>
                <c:pt idx="0">
                  <c:v>Інтегральний індекс міжнародного співробітництва за кластером 1</c:v>
                </c:pt>
                <c:pt idx="1">
                  <c:v>Інтегральний індекс міжнародного співробітництва за кластером 2</c:v>
                </c:pt>
                <c:pt idx="2">
                  <c:v>Інтегральний індекс міжнародного співробітництва за кластером 3</c:v>
                </c:pt>
                <c:pt idx="3">
                  <c:v>Інтегральний індекс міжнародного співробітництва за кластером 4</c:v>
                </c:pt>
                <c:pt idx="4">
                  <c:v>Інтегральний індекс міжнародного співробітництва за кластером 5</c:v>
                </c:pt>
                <c:pt idx="5">
                  <c:v>Інтегральний індекс міжнародного співробітництва за кластером 6</c:v>
                </c:pt>
                <c:pt idx="6">
                  <c:v>Інтегральний індекс міжнародного співробітництва за кластером 7</c:v>
                </c:pt>
              </c:strCache>
            </c:strRef>
          </c:cat>
          <c:val>
            <c:numRef>
              <c:f>Лист1!$B$4:$H$4</c:f>
              <c:numCache>
                <c:formatCode>\О\с\н\о\в\н\о\й</c:formatCode>
                <c:ptCount val="7"/>
                <c:pt idx="0">
                  <c:v>8.4421999999999997</c:v>
                </c:pt>
                <c:pt idx="1">
                  <c:v>12.142799999999999</c:v>
                </c:pt>
                <c:pt idx="2">
                  <c:v>13.860200000000001</c:v>
                </c:pt>
                <c:pt idx="3">
                  <c:v>14.211600000000001</c:v>
                </c:pt>
                <c:pt idx="4">
                  <c:v>13.8848</c:v>
                </c:pt>
                <c:pt idx="5">
                  <c:v>10.047800000000001</c:v>
                </c:pt>
                <c:pt idx="6">
                  <c:v>11.855399999999999</c:v>
                </c:pt>
              </c:numCache>
            </c:numRef>
          </c:val>
          <c:extLst>
            <c:ext xmlns:c16="http://schemas.microsoft.com/office/drawing/2014/chart" uri="{C3380CC4-5D6E-409C-BE32-E72D297353CC}">
              <c16:uniqueId val="{00000002-0829-4B6A-BA88-1D09BE3FAF1B}"/>
            </c:ext>
          </c:extLst>
        </c:ser>
        <c:dLbls>
          <c:showLegendKey val="0"/>
          <c:showVal val="0"/>
          <c:showCatName val="0"/>
          <c:showSerName val="0"/>
          <c:showPercent val="0"/>
          <c:showBubbleSize val="0"/>
        </c:dLbls>
        <c:gapWidth val="300"/>
        <c:axId val="257388783"/>
        <c:axId val="1"/>
      </c:barChart>
      <c:catAx>
        <c:axId val="257388783"/>
        <c:scaling>
          <c:orientation val="minMax"/>
        </c:scaling>
        <c:delete val="0"/>
        <c:axPos val="l"/>
        <c:majorGridlines/>
        <c:numFmt formatCode="General" sourceLinked="1"/>
        <c:majorTickMark val="none"/>
        <c:minorTickMark val="none"/>
        <c:tickLblPos val="nextTo"/>
        <c:crossAx val="1"/>
        <c:crosses val="autoZero"/>
        <c:auto val="1"/>
        <c:lblAlgn val="ctr"/>
        <c:lblOffset val="100"/>
        <c:noMultiLvlLbl val="0"/>
      </c:catAx>
      <c:valAx>
        <c:axId val="1"/>
        <c:scaling>
          <c:orientation val="minMax"/>
        </c:scaling>
        <c:delete val="0"/>
        <c:axPos val="b"/>
        <c:majorGridlines/>
        <c:numFmt formatCode="\О\с\н\о\в\н\о\й" sourceLinked="1"/>
        <c:majorTickMark val="out"/>
        <c:minorTickMark val="none"/>
        <c:tickLblPos val="nextTo"/>
        <c:crossAx val="257388783"/>
        <c:crosses val="autoZero"/>
        <c:crossBetween val="between"/>
      </c:valAx>
    </c:plotArea>
    <c:legend>
      <c:legendPos val="r"/>
      <c:layout>
        <c:manualLayout>
          <c:xMode val="edge"/>
          <c:yMode val="edge"/>
          <c:x val="0"/>
          <c:y val="0.93525849684493834"/>
          <c:w val="0.33558898544275373"/>
          <c:h val="5.3464506313154248E-2"/>
        </c:manualLayout>
      </c:layout>
      <c:overlay val="0"/>
      <c:txPr>
        <a:bodyPr/>
        <a:lstStyle/>
        <a:p>
          <a:pPr rtl="0">
            <a:defRPr/>
          </a:pPr>
          <a:endParaRPr lang="ru-UA"/>
        </a:p>
      </c:txPr>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ru-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4.6048477811241335E-2"/>
          <c:y val="6.0027285129604369E-2"/>
          <c:w val="0.92860590006894284"/>
          <c:h val="0.70214607212297642"/>
        </c:manualLayout>
      </c:layout>
      <c:barChart>
        <c:barDir val="col"/>
        <c:grouping val="clustered"/>
        <c:varyColors val="1"/>
        <c:ser>
          <c:idx val="0"/>
          <c:order val="0"/>
          <c:invertIfNegative val="1"/>
          <c:dPt>
            <c:idx val="0"/>
            <c:invertIfNegative val="1"/>
            <c:bubble3D val="0"/>
            <c:spPr>
              <a:solidFill>
                <a:schemeClr val="accent3">
                  <a:tint val="35000"/>
                </a:schemeClr>
              </a:solidFill>
              <a:ln>
                <a:noFill/>
              </a:ln>
              <a:effectLst/>
            </c:spPr>
            <c:extLst>
              <c:ext xmlns:c16="http://schemas.microsoft.com/office/drawing/2014/chart" uri="{C3380CC4-5D6E-409C-BE32-E72D297353CC}">
                <c16:uniqueId val="{00000001-AD8F-4A34-8651-8321DA018B3F}"/>
              </c:ext>
            </c:extLst>
          </c:dPt>
          <c:dPt>
            <c:idx val="1"/>
            <c:invertIfNegative val="1"/>
            <c:bubble3D val="0"/>
            <c:spPr>
              <a:solidFill>
                <a:schemeClr val="accent3">
                  <a:tint val="40000"/>
                </a:schemeClr>
              </a:solidFill>
              <a:ln>
                <a:noFill/>
              </a:ln>
              <a:effectLst/>
            </c:spPr>
            <c:extLst>
              <c:ext xmlns:c16="http://schemas.microsoft.com/office/drawing/2014/chart" uri="{C3380CC4-5D6E-409C-BE32-E72D297353CC}">
                <c16:uniqueId val="{00000003-AD8F-4A34-8651-8321DA018B3F}"/>
              </c:ext>
            </c:extLst>
          </c:dPt>
          <c:dPt>
            <c:idx val="2"/>
            <c:invertIfNegative val="1"/>
            <c:bubble3D val="0"/>
            <c:spPr>
              <a:solidFill>
                <a:schemeClr val="accent3">
                  <a:tint val="44000"/>
                </a:schemeClr>
              </a:solidFill>
              <a:ln>
                <a:noFill/>
              </a:ln>
              <a:effectLst/>
            </c:spPr>
            <c:extLst>
              <c:ext xmlns:c16="http://schemas.microsoft.com/office/drawing/2014/chart" uri="{C3380CC4-5D6E-409C-BE32-E72D297353CC}">
                <c16:uniqueId val="{00000005-AD8F-4A34-8651-8321DA018B3F}"/>
              </c:ext>
            </c:extLst>
          </c:dPt>
          <c:dPt>
            <c:idx val="3"/>
            <c:invertIfNegative val="1"/>
            <c:bubble3D val="0"/>
            <c:spPr>
              <a:solidFill>
                <a:schemeClr val="accent3">
                  <a:tint val="49000"/>
                </a:schemeClr>
              </a:solidFill>
              <a:ln>
                <a:noFill/>
              </a:ln>
              <a:effectLst/>
            </c:spPr>
            <c:extLst>
              <c:ext xmlns:c16="http://schemas.microsoft.com/office/drawing/2014/chart" uri="{C3380CC4-5D6E-409C-BE32-E72D297353CC}">
                <c16:uniqueId val="{00000007-AD8F-4A34-8651-8321DA018B3F}"/>
              </c:ext>
            </c:extLst>
          </c:dPt>
          <c:dPt>
            <c:idx val="4"/>
            <c:invertIfNegative val="1"/>
            <c:bubble3D val="0"/>
            <c:spPr>
              <a:solidFill>
                <a:schemeClr val="accent3">
                  <a:tint val="53000"/>
                </a:schemeClr>
              </a:solidFill>
              <a:ln>
                <a:noFill/>
              </a:ln>
              <a:effectLst/>
            </c:spPr>
            <c:extLst>
              <c:ext xmlns:c16="http://schemas.microsoft.com/office/drawing/2014/chart" uri="{C3380CC4-5D6E-409C-BE32-E72D297353CC}">
                <c16:uniqueId val="{00000009-AD8F-4A34-8651-8321DA018B3F}"/>
              </c:ext>
            </c:extLst>
          </c:dPt>
          <c:dPt>
            <c:idx val="5"/>
            <c:invertIfNegative val="1"/>
            <c:bubble3D val="0"/>
            <c:spPr>
              <a:solidFill>
                <a:schemeClr val="accent3">
                  <a:tint val="58000"/>
                </a:schemeClr>
              </a:solidFill>
              <a:ln>
                <a:noFill/>
              </a:ln>
              <a:effectLst/>
            </c:spPr>
            <c:extLst>
              <c:ext xmlns:c16="http://schemas.microsoft.com/office/drawing/2014/chart" uri="{C3380CC4-5D6E-409C-BE32-E72D297353CC}">
                <c16:uniqueId val="{0000000B-AD8F-4A34-8651-8321DA018B3F}"/>
              </c:ext>
            </c:extLst>
          </c:dPt>
          <c:dPt>
            <c:idx val="6"/>
            <c:invertIfNegative val="1"/>
            <c:bubble3D val="0"/>
            <c:spPr>
              <a:solidFill>
                <a:schemeClr val="accent3">
                  <a:tint val="62000"/>
                </a:schemeClr>
              </a:solidFill>
              <a:ln>
                <a:noFill/>
              </a:ln>
              <a:effectLst/>
            </c:spPr>
            <c:extLst>
              <c:ext xmlns:c16="http://schemas.microsoft.com/office/drawing/2014/chart" uri="{C3380CC4-5D6E-409C-BE32-E72D297353CC}">
                <c16:uniqueId val="{0000000D-AD8F-4A34-8651-8321DA018B3F}"/>
              </c:ext>
            </c:extLst>
          </c:dPt>
          <c:dPt>
            <c:idx val="7"/>
            <c:invertIfNegative val="1"/>
            <c:bubble3D val="0"/>
            <c:spPr>
              <a:solidFill>
                <a:schemeClr val="accent3">
                  <a:tint val="67000"/>
                </a:schemeClr>
              </a:solidFill>
              <a:ln>
                <a:noFill/>
              </a:ln>
              <a:effectLst/>
            </c:spPr>
            <c:extLst>
              <c:ext xmlns:c16="http://schemas.microsoft.com/office/drawing/2014/chart" uri="{C3380CC4-5D6E-409C-BE32-E72D297353CC}">
                <c16:uniqueId val="{0000000F-AD8F-4A34-8651-8321DA018B3F}"/>
              </c:ext>
            </c:extLst>
          </c:dPt>
          <c:dPt>
            <c:idx val="8"/>
            <c:invertIfNegative val="1"/>
            <c:bubble3D val="0"/>
            <c:spPr>
              <a:solidFill>
                <a:schemeClr val="accent3">
                  <a:tint val="71000"/>
                </a:schemeClr>
              </a:solidFill>
              <a:ln>
                <a:noFill/>
              </a:ln>
              <a:effectLst/>
            </c:spPr>
            <c:extLst>
              <c:ext xmlns:c16="http://schemas.microsoft.com/office/drawing/2014/chart" uri="{C3380CC4-5D6E-409C-BE32-E72D297353CC}">
                <c16:uniqueId val="{00000011-AD8F-4A34-8651-8321DA018B3F}"/>
              </c:ext>
            </c:extLst>
          </c:dPt>
          <c:dPt>
            <c:idx val="9"/>
            <c:invertIfNegative val="1"/>
            <c:bubble3D val="0"/>
            <c:spPr>
              <a:solidFill>
                <a:schemeClr val="accent3">
                  <a:tint val="76000"/>
                </a:schemeClr>
              </a:solidFill>
              <a:ln>
                <a:noFill/>
              </a:ln>
              <a:effectLst/>
            </c:spPr>
            <c:extLst>
              <c:ext xmlns:c16="http://schemas.microsoft.com/office/drawing/2014/chart" uri="{C3380CC4-5D6E-409C-BE32-E72D297353CC}">
                <c16:uniqueId val="{00000013-AD8F-4A34-8651-8321DA018B3F}"/>
              </c:ext>
            </c:extLst>
          </c:dPt>
          <c:dPt>
            <c:idx val="10"/>
            <c:invertIfNegative val="1"/>
            <c:bubble3D val="0"/>
            <c:spPr>
              <a:solidFill>
                <a:schemeClr val="accent3">
                  <a:tint val="80000"/>
                </a:schemeClr>
              </a:solidFill>
              <a:ln>
                <a:noFill/>
              </a:ln>
              <a:effectLst/>
            </c:spPr>
            <c:extLst>
              <c:ext xmlns:c16="http://schemas.microsoft.com/office/drawing/2014/chart" uri="{C3380CC4-5D6E-409C-BE32-E72D297353CC}">
                <c16:uniqueId val="{00000015-AD8F-4A34-8651-8321DA018B3F}"/>
              </c:ext>
            </c:extLst>
          </c:dPt>
          <c:dPt>
            <c:idx val="11"/>
            <c:invertIfNegative val="1"/>
            <c:bubble3D val="0"/>
            <c:spPr>
              <a:solidFill>
                <a:schemeClr val="accent3">
                  <a:tint val="85000"/>
                </a:schemeClr>
              </a:solidFill>
              <a:ln>
                <a:noFill/>
              </a:ln>
              <a:effectLst/>
            </c:spPr>
            <c:extLst>
              <c:ext xmlns:c16="http://schemas.microsoft.com/office/drawing/2014/chart" uri="{C3380CC4-5D6E-409C-BE32-E72D297353CC}">
                <c16:uniqueId val="{00000017-AD8F-4A34-8651-8321DA018B3F}"/>
              </c:ext>
            </c:extLst>
          </c:dPt>
          <c:dPt>
            <c:idx val="12"/>
            <c:invertIfNegative val="1"/>
            <c:bubble3D val="0"/>
            <c:spPr>
              <a:solidFill>
                <a:schemeClr val="accent3">
                  <a:tint val="89000"/>
                </a:schemeClr>
              </a:solidFill>
              <a:ln>
                <a:noFill/>
              </a:ln>
              <a:effectLst/>
            </c:spPr>
            <c:extLst>
              <c:ext xmlns:c16="http://schemas.microsoft.com/office/drawing/2014/chart" uri="{C3380CC4-5D6E-409C-BE32-E72D297353CC}">
                <c16:uniqueId val="{00000019-AD8F-4A34-8651-8321DA018B3F}"/>
              </c:ext>
            </c:extLst>
          </c:dPt>
          <c:dPt>
            <c:idx val="13"/>
            <c:invertIfNegative val="1"/>
            <c:bubble3D val="0"/>
            <c:spPr>
              <a:solidFill>
                <a:schemeClr val="accent3">
                  <a:tint val="94000"/>
                </a:schemeClr>
              </a:solidFill>
              <a:ln>
                <a:noFill/>
              </a:ln>
              <a:effectLst/>
            </c:spPr>
            <c:extLst>
              <c:ext xmlns:c16="http://schemas.microsoft.com/office/drawing/2014/chart" uri="{C3380CC4-5D6E-409C-BE32-E72D297353CC}">
                <c16:uniqueId val="{0000001B-AD8F-4A34-8651-8321DA018B3F}"/>
              </c:ext>
            </c:extLst>
          </c:dPt>
          <c:dPt>
            <c:idx val="14"/>
            <c:invertIfNegative val="1"/>
            <c:bubble3D val="0"/>
            <c:spPr>
              <a:solidFill>
                <a:schemeClr val="accent3">
                  <a:tint val="98000"/>
                </a:schemeClr>
              </a:solidFill>
              <a:ln>
                <a:noFill/>
              </a:ln>
              <a:effectLst/>
            </c:spPr>
            <c:extLst>
              <c:ext xmlns:c16="http://schemas.microsoft.com/office/drawing/2014/chart" uri="{C3380CC4-5D6E-409C-BE32-E72D297353CC}">
                <c16:uniqueId val="{0000001D-AD8F-4A34-8651-8321DA018B3F}"/>
              </c:ext>
            </c:extLst>
          </c:dPt>
          <c:dPt>
            <c:idx val="15"/>
            <c:invertIfNegative val="1"/>
            <c:bubble3D val="0"/>
            <c:spPr>
              <a:solidFill>
                <a:schemeClr val="accent3">
                  <a:shade val="97000"/>
                </a:schemeClr>
              </a:solidFill>
              <a:ln>
                <a:noFill/>
              </a:ln>
              <a:effectLst/>
            </c:spPr>
            <c:extLst>
              <c:ext xmlns:c16="http://schemas.microsoft.com/office/drawing/2014/chart" uri="{C3380CC4-5D6E-409C-BE32-E72D297353CC}">
                <c16:uniqueId val="{0000001F-AD8F-4A34-8651-8321DA018B3F}"/>
              </c:ext>
            </c:extLst>
          </c:dPt>
          <c:dPt>
            <c:idx val="16"/>
            <c:invertIfNegative val="1"/>
            <c:bubble3D val="0"/>
            <c:spPr>
              <a:solidFill>
                <a:schemeClr val="accent3">
                  <a:shade val="93000"/>
                </a:schemeClr>
              </a:solidFill>
              <a:ln>
                <a:noFill/>
              </a:ln>
              <a:effectLst/>
            </c:spPr>
            <c:extLst>
              <c:ext xmlns:c16="http://schemas.microsoft.com/office/drawing/2014/chart" uri="{C3380CC4-5D6E-409C-BE32-E72D297353CC}">
                <c16:uniqueId val="{00000021-AD8F-4A34-8651-8321DA018B3F}"/>
              </c:ext>
            </c:extLst>
          </c:dPt>
          <c:dPt>
            <c:idx val="17"/>
            <c:invertIfNegative val="1"/>
            <c:bubble3D val="0"/>
            <c:spPr>
              <a:solidFill>
                <a:schemeClr val="accent3">
                  <a:shade val="88000"/>
                </a:schemeClr>
              </a:solidFill>
              <a:ln>
                <a:noFill/>
              </a:ln>
              <a:effectLst/>
            </c:spPr>
            <c:extLst>
              <c:ext xmlns:c16="http://schemas.microsoft.com/office/drawing/2014/chart" uri="{C3380CC4-5D6E-409C-BE32-E72D297353CC}">
                <c16:uniqueId val="{00000023-AD8F-4A34-8651-8321DA018B3F}"/>
              </c:ext>
            </c:extLst>
          </c:dPt>
          <c:dPt>
            <c:idx val="18"/>
            <c:invertIfNegative val="1"/>
            <c:bubble3D val="0"/>
            <c:spPr>
              <a:solidFill>
                <a:schemeClr val="accent3">
                  <a:shade val="84000"/>
                </a:schemeClr>
              </a:solidFill>
              <a:ln>
                <a:noFill/>
              </a:ln>
              <a:effectLst/>
            </c:spPr>
            <c:extLst>
              <c:ext xmlns:c16="http://schemas.microsoft.com/office/drawing/2014/chart" uri="{C3380CC4-5D6E-409C-BE32-E72D297353CC}">
                <c16:uniqueId val="{00000025-AD8F-4A34-8651-8321DA018B3F}"/>
              </c:ext>
            </c:extLst>
          </c:dPt>
          <c:dPt>
            <c:idx val="19"/>
            <c:invertIfNegative val="1"/>
            <c:bubble3D val="0"/>
            <c:spPr>
              <a:solidFill>
                <a:schemeClr val="accent3">
                  <a:shade val="79000"/>
                </a:schemeClr>
              </a:solidFill>
              <a:ln>
                <a:noFill/>
              </a:ln>
              <a:effectLst/>
            </c:spPr>
            <c:extLst>
              <c:ext xmlns:c16="http://schemas.microsoft.com/office/drawing/2014/chart" uri="{C3380CC4-5D6E-409C-BE32-E72D297353CC}">
                <c16:uniqueId val="{00000027-AD8F-4A34-8651-8321DA018B3F}"/>
              </c:ext>
            </c:extLst>
          </c:dPt>
          <c:dPt>
            <c:idx val="20"/>
            <c:invertIfNegative val="1"/>
            <c:bubble3D val="0"/>
            <c:spPr>
              <a:solidFill>
                <a:schemeClr val="accent3">
                  <a:shade val="75000"/>
                </a:schemeClr>
              </a:solidFill>
              <a:ln>
                <a:noFill/>
              </a:ln>
              <a:effectLst/>
            </c:spPr>
            <c:extLst>
              <c:ext xmlns:c16="http://schemas.microsoft.com/office/drawing/2014/chart" uri="{C3380CC4-5D6E-409C-BE32-E72D297353CC}">
                <c16:uniqueId val="{00000029-AD8F-4A34-8651-8321DA018B3F}"/>
              </c:ext>
            </c:extLst>
          </c:dPt>
          <c:dPt>
            <c:idx val="21"/>
            <c:invertIfNegative val="1"/>
            <c:bubble3D val="0"/>
            <c:spPr>
              <a:solidFill>
                <a:schemeClr val="accent3">
                  <a:shade val="70000"/>
                </a:schemeClr>
              </a:solidFill>
              <a:ln>
                <a:noFill/>
              </a:ln>
              <a:effectLst/>
            </c:spPr>
            <c:extLst>
              <c:ext xmlns:c16="http://schemas.microsoft.com/office/drawing/2014/chart" uri="{C3380CC4-5D6E-409C-BE32-E72D297353CC}">
                <c16:uniqueId val="{0000002B-AD8F-4A34-8651-8321DA018B3F}"/>
              </c:ext>
            </c:extLst>
          </c:dPt>
          <c:dPt>
            <c:idx val="22"/>
            <c:invertIfNegative val="1"/>
            <c:bubble3D val="0"/>
            <c:spPr>
              <a:solidFill>
                <a:schemeClr val="accent3">
                  <a:shade val="66000"/>
                </a:schemeClr>
              </a:solidFill>
              <a:ln>
                <a:noFill/>
              </a:ln>
              <a:effectLst/>
            </c:spPr>
            <c:extLst>
              <c:ext xmlns:c16="http://schemas.microsoft.com/office/drawing/2014/chart" uri="{C3380CC4-5D6E-409C-BE32-E72D297353CC}">
                <c16:uniqueId val="{0000002D-AD8F-4A34-8651-8321DA018B3F}"/>
              </c:ext>
            </c:extLst>
          </c:dPt>
          <c:dPt>
            <c:idx val="23"/>
            <c:invertIfNegative val="1"/>
            <c:bubble3D val="0"/>
            <c:spPr>
              <a:solidFill>
                <a:schemeClr val="accent3">
                  <a:shade val="61000"/>
                </a:schemeClr>
              </a:solidFill>
              <a:ln>
                <a:noFill/>
              </a:ln>
              <a:effectLst/>
            </c:spPr>
            <c:extLst>
              <c:ext xmlns:c16="http://schemas.microsoft.com/office/drawing/2014/chart" uri="{C3380CC4-5D6E-409C-BE32-E72D297353CC}">
                <c16:uniqueId val="{0000002F-AD8F-4A34-8651-8321DA018B3F}"/>
              </c:ext>
            </c:extLst>
          </c:dPt>
          <c:dPt>
            <c:idx val="24"/>
            <c:invertIfNegative val="1"/>
            <c:bubble3D val="0"/>
            <c:spPr>
              <a:solidFill>
                <a:schemeClr val="accent3">
                  <a:shade val="57000"/>
                </a:schemeClr>
              </a:solidFill>
              <a:ln>
                <a:noFill/>
              </a:ln>
              <a:effectLst/>
            </c:spPr>
            <c:extLst>
              <c:ext xmlns:c16="http://schemas.microsoft.com/office/drawing/2014/chart" uri="{C3380CC4-5D6E-409C-BE32-E72D297353CC}">
                <c16:uniqueId val="{00000031-AD8F-4A34-8651-8321DA018B3F}"/>
              </c:ext>
            </c:extLst>
          </c:dPt>
          <c:dPt>
            <c:idx val="25"/>
            <c:invertIfNegative val="1"/>
            <c:bubble3D val="0"/>
            <c:spPr>
              <a:solidFill>
                <a:schemeClr val="accent3">
                  <a:shade val="52000"/>
                </a:schemeClr>
              </a:solidFill>
              <a:ln>
                <a:noFill/>
              </a:ln>
              <a:effectLst/>
            </c:spPr>
            <c:extLst>
              <c:ext xmlns:c16="http://schemas.microsoft.com/office/drawing/2014/chart" uri="{C3380CC4-5D6E-409C-BE32-E72D297353CC}">
                <c16:uniqueId val="{00000033-AD8F-4A34-8651-8321DA018B3F}"/>
              </c:ext>
            </c:extLst>
          </c:dPt>
          <c:dPt>
            <c:idx val="26"/>
            <c:invertIfNegative val="1"/>
            <c:bubble3D val="0"/>
            <c:spPr>
              <a:solidFill>
                <a:schemeClr val="accent3">
                  <a:shade val="48000"/>
                </a:schemeClr>
              </a:solidFill>
              <a:ln>
                <a:noFill/>
              </a:ln>
              <a:effectLst/>
            </c:spPr>
            <c:extLst>
              <c:ext xmlns:c16="http://schemas.microsoft.com/office/drawing/2014/chart" uri="{C3380CC4-5D6E-409C-BE32-E72D297353CC}">
                <c16:uniqueId val="{00000035-AD8F-4A34-8651-8321DA018B3F}"/>
              </c:ext>
            </c:extLst>
          </c:dPt>
          <c:dPt>
            <c:idx val="27"/>
            <c:invertIfNegative val="1"/>
            <c:bubble3D val="0"/>
            <c:spPr>
              <a:solidFill>
                <a:schemeClr val="accent3">
                  <a:shade val="43000"/>
                </a:schemeClr>
              </a:solidFill>
              <a:ln>
                <a:noFill/>
              </a:ln>
              <a:effectLst/>
            </c:spPr>
            <c:extLst>
              <c:ext xmlns:c16="http://schemas.microsoft.com/office/drawing/2014/chart" uri="{C3380CC4-5D6E-409C-BE32-E72D297353CC}">
                <c16:uniqueId val="{00000037-AD8F-4A34-8651-8321DA018B3F}"/>
              </c:ext>
            </c:extLst>
          </c:dPt>
          <c:dPt>
            <c:idx val="28"/>
            <c:invertIfNegative val="1"/>
            <c:bubble3D val="0"/>
            <c:spPr>
              <a:solidFill>
                <a:schemeClr val="accent3">
                  <a:shade val="39000"/>
                </a:schemeClr>
              </a:solidFill>
              <a:ln>
                <a:noFill/>
              </a:ln>
              <a:effectLst/>
            </c:spPr>
            <c:extLst>
              <c:ext xmlns:c16="http://schemas.microsoft.com/office/drawing/2014/chart" uri="{C3380CC4-5D6E-409C-BE32-E72D297353CC}">
                <c16:uniqueId val="{00000039-AD8F-4A34-8651-8321DA018B3F}"/>
              </c:ext>
            </c:extLst>
          </c:dPt>
          <c:dPt>
            <c:idx val="29"/>
            <c:invertIfNegative val="1"/>
            <c:bubble3D val="0"/>
            <c:spPr>
              <a:solidFill>
                <a:schemeClr val="accent3">
                  <a:shade val="34000"/>
                </a:schemeClr>
              </a:solidFill>
              <a:ln>
                <a:noFill/>
              </a:ln>
              <a:effectLst/>
            </c:spPr>
            <c:extLst>
              <c:ext xmlns:c16="http://schemas.microsoft.com/office/drawing/2014/chart" uri="{C3380CC4-5D6E-409C-BE32-E72D297353CC}">
                <c16:uniqueId val="{0000003B-AD8F-4A34-8651-8321DA018B3F}"/>
              </c:ext>
            </c:extLst>
          </c:dPt>
          <c:dLbls>
            <c:dLbl>
              <c:idx val="27"/>
              <c:spPr>
                <a:noFill/>
                <a:ln>
                  <a:noFill/>
                </a:ln>
                <a:effectLst/>
              </c:spPr>
              <c:txPr>
                <a:bodyPr rot="-5400000" spcFirstLastPara="1" vertOverflow="clip" horzOverflow="clip" vert="horz" wrap="square" lIns="38100" tIns="19050" rIns="38100" bIns="19050" anchor="ctr" anchorCtr="1">
                  <a:no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 xmlns:c16="http://schemas.microsoft.com/office/drawing/2014/chart" uri="{C3380CC4-5D6E-409C-BE32-E72D297353CC}">
                  <c16:uniqueId val="{00000037-AD8F-4A34-8651-8321DA018B3F}"/>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Область!$B$3:$B$32</c:f>
              <c:numCache>
                <c:formatCode>General</c:formatCode>
                <c:ptCount val="30"/>
                <c:pt idx="0">
                  <c:v>1988</c:v>
                </c:pt>
                <c:pt idx="1">
                  <c:v>1989</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numCache>
            </c:numRef>
          </c:cat>
          <c:val>
            <c:numRef>
              <c:f>Область!$J$3:$J$32</c:f>
              <c:numCache>
                <c:formatCode>General</c:formatCode>
                <c:ptCount val="30"/>
                <c:pt idx="0">
                  <c:v>0</c:v>
                </c:pt>
                <c:pt idx="1">
                  <c:v>0</c:v>
                </c:pt>
                <c:pt idx="2">
                  <c:v>0</c:v>
                </c:pt>
                <c:pt idx="3">
                  <c:v>0</c:v>
                </c:pt>
                <c:pt idx="4">
                  <c:v>0</c:v>
                </c:pt>
                <c:pt idx="5">
                  <c:v>0</c:v>
                </c:pt>
                <c:pt idx="6">
                  <c:v>0</c:v>
                </c:pt>
                <c:pt idx="7">
                  <c:v>0</c:v>
                </c:pt>
                <c:pt idx="8">
                  <c:v>5</c:v>
                </c:pt>
                <c:pt idx="9">
                  <c:v>2</c:v>
                </c:pt>
                <c:pt idx="10">
                  <c:v>2</c:v>
                </c:pt>
                <c:pt idx="11">
                  <c:v>0</c:v>
                </c:pt>
                <c:pt idx="12">
                  <c:v>0</c:v>
                </c:pt>
                <c:pt idx="13">
                  <c:v>32</c:v>
                </c:pt>
                <c:pt idx="14">
                  <c:v>44.79</c:v>
                </c:pt>
                <c:pt idx="15">
                  <c:v>261</c:v>
                </c:pt>
                <c:pt idx="16">
                  <c:v>110.25</c:v>
                </c:pt>
                <c:pt idx="17">
                  <c:v>83.84</c:v>
                </c:pt>
                <c:pt idx="18">
                  <c:v>145.52000000000001</c:v>
                </c:pt>
                <c:pt idx="19">
                  <c:v>351.02</c:v>
                </c:pt>
                <c:pt idx="20">
                  <c:v>3543.4</c:v>
                </c:pt>
                <c:pt idx="21">
                  <c:v>6005.7</c:v>
                </c:pt>
                <c:pt idx="22">
                  <c:v>17448.57</c:v>
                </c:pt>
                <c:pt idx="23">
                  <c:v>23735.68</c:v>
                </c:pt>
                <c:pt idx="24">
                  <c:v>21662.09</c:v>
                </c:pt>
                <c:pt idx="25">
                  <c:v>34709.919999999998</c:v>
                </c:pt>
                <c:pt idx="26">
                  <c:v>54432.08</c:v>
                </c:pt>
                <c:pt idx="27">
                  <c:v>76201.279999999999</c:v>
                </c:pt>
                <c:pt idx="28">
                  <c:v>56737.75</c:v>
                </c:pt>
                <c:pt idx="29">
                  <c:v>64796.14</c:v>
                </c:pt>
              </c:numCache>
            </c:numRef>
          </c:val>
          <c:extLst>
            <c:ext xmlns:c16="http://schemas.microsoft.com/office/drawing/2014/chart" uri="{C3380CC4-5D6E-409C-BE32-E72D297353CC}">
              <c16:uniqueId val="{0000003C-AD8F-4A34-8651-8321DA018B3F}"/>
            </c:ext>
          </c:extLst>
        </c:ser>
        <c:dLbls>
          <c:dLblPos val="outEnd"/>
          <c:showLegendKey val="0"/>
          <c:showVal val="1"/>
          <c:showCatName val="0"/>
          <c:showSerName val="0"/>
          <c:showPercent val="0"/>
          <c:showBubbleSize val="0"/>
        </c:dLbls>
        <c:gapWidth val="444"/>
        <c:overlap val="-90"/>
        <c:axId val="337238192"/>
        <c:axId val="337238584"/>
      </c:barChart>
      <c:dateAx>
        <c:axId val="33723819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uk-UA"/>
                  <a:t>Роки</a:t>
                </a:r>
              </a:p>
            </c:rich>
          </c:tx>
          <c:layout>
            <c:manualLayout>
              <c:xMode val="edge"/>
              <c:yMode val="edge"/>
              <c:x val="0.47893428644000147"/>
              <c:y val="0.89639814804868367"/>
            </c:manualLayout>
          </c:layout>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37238584"/>
        <c:crosses val="autoZero"/>
        <c:auto val="0"/>
        <c:lblOffset val="100"/>
        <c:baseTimeUnit val="days"/>
      </c:dateAx>
      <c:valAx>
        <c:axId val="337238584"/>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uk-UA"/>
                  <a:t>Площа, га</a:t>
                </a:r>
              </a:p>
            </c:rich>
          </c:tx>
          <c:layout>
            <c:manualLayout>
              <c:xMode val="edge"/>
              <c:yMode val="edge"/>
              <c:x val="1.1520737327188941E-2"/>
              <c:y val="0.26205540814901546"/>
            </c:manualLayout>
          </c:layout>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crossAx val="337238192"/>
        <c:crosses val="autoZero"/>
        <c:crossBetween val="between"/>
      </c:valAx>
      <c:spPr>
        <a:noFill/>
        <a:ln>
          <a:noFill/>
        </a:ln>
        <a:effectLst/>
      </c:spPr>
    </c:plotArea>
    <c:plotVisOnly val="1"/>
    <c:dispBlanksAs val="zero"/>
    <c:showDLblsOverMax val="1"/>
  </c:chart>
  <c:spPr>
    <a:solidFill>
      <a:schemeClr val="lt1"/>
    </a:solidFill>
    <a:ln w="9525" cap="flat" cmpd="sng" algn="ctr">
      <a:no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1"/>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1157662624035281E-2"/>
          <c:y val="4.2935206869633098E-2"/>
          <c:w val="0.92458654906284454"/>
          <c:h val="0.77652916336277633"/>
        </c:manualLayout>
      </c:layout>
      <c:barChart>
        <c:barDir val="col"/>
        <c:grouping val="clustered"/>
        <c:varyColors val="1"/>
        <c:ser>
          <c:idx val="0"/>
          <c:order val="0"/>
          <c:invertIfNegative val="1"/>
          <c:dPt>
            <c:idx val="0"/>
            <c:invertIfNegative val="1"/>
            <c:bubble3D val="0"/>
            <c:spPr>
              <a:solidFill>
                <a:schemeClr val="dk1">
                  <a:tint val="88500"/>
                </a:schemeClr>
              </a:solidFill>
              <a:ln>
                <a:noFill/>
              </a:ln>
              <a:effectLst/>
            </c:spPr>
            <c:extLst>
              <c:ext xmlns:c16="http://schemas.microsoft.com/office/drawing/2014/chart" uri="{C3380CC4-5D6E-409C-BE32-E72D297353CC}">
                <c16:uniqueId val="{00000001-C941-4EB3-94EC-71377348EF68}"/>
              </c:ext>
            </c:extLst>
          </c:dPt>
          <c:dPt>
            <c:idx val="1"/>
            <c:invertIfNegative val="1"/>
            <c:bubble3D val="0"/>
            <c:spPr>
              <a:solidFill>
                <a:schemeClr val="dk1">
                  <a:tint val="55000"/>
                </a:schemeClr>
              </a:solidFill>
              <a:ln>
                <a:noFill/>
              </a:ln>
              <a:effectLst/>
            </c:spPr>
            <c:extLst>
              <c:ext xmlns:c16="http://schemas.microsoft.com/office/drawing/2014/chart" uri="{C3380CC4-5D6E-409C-BE32-E72D297353CC}">
                <c16:uniqueId val="{00000003-C941-4EB3-94EC-71377348EF68}"/>
              </c:ext>
            </c:extLst>
          </c:dPt>
          <c:dPt>
            <c:idx val="2"/>
            <c:invertIfNegative val="1"/>
            <c:bubble3D val="0"/>
            <c:spPr>
              <a:solidFill>
                <a:schemeClr val="dk1">
                  <a:tint val="75000"/>
                </a:schemeClr>
              </a:solidFill>
              <a:ln>
                <a:noFill/>
              </a:ln>
              <a:effectLst/>
            </c:spPr>
            <c:extLst>
              <c:ext xmlns:c16="http://schemas.microsoft.com/office/drawing/2014/chart" uri="{C3380CC4-5D6E-409C-BE32-E72D297353CC}">
                <c16:uniqueId val="{00000005-C941-4EB3-94EC-71377348EF68}"/>
              </c:ext>
            </c:extLst>
          </c:dPt>
          <c:dPt>
            <c:idx val="3"/>
            <c:invertIfNegative val="1"/>
            <c:bubble3D val="0"/>
            <c:spPr>
              <a:solidFill>
                <a:schemeClr val="dk1">
                  <a:tint val="98500"/>
                </a:schemeClr>
              </a:solidFill>
              <a:ln>
                <a:noFill/>
              </a:ln>
              <a:effectLst/>
            </c:spPr>
            <c:extLst>
              <c:ext xmlns:c16="http://schemas.microsoft.com/office/drawing/2014/chart" uri="{C3380CC4-5D6E-409C-BE32-E72D297353CC}">
                <c16:uniqueId val="{00000007-C941-4EB3-94EC-71377348EF68}"/>
              </c:ext>
            </c:extLst>
          </c:dPt>
          <c:dPt>
            <c:idx val="4"/>
            <c:invertIfNegative val="1"/>
            <c:bubble3D val="0"/>
            <c:spPr>
              <a:solidFill>
                <a:schemeClr val="dk1">
                  <a:tint val="30000"/>
                </a:schemeClr>
              </a:solidFill>
              <a:ln>
                <a:noFill/>
              </a:ln>
              <a:effectLst/>
            </c:spPr>
            <c:extLst>
              <c:ext xmlns:c16="http://schemas.microsoft.com/office/drawing/2014/chart" uri="{C3380CC4-5D6E-409C-BE32-E72D297353CC}">
                <c16:uniqueId val="{00000009-C941-4EB3-94EC-71377348EF68}"/>
              </c:ext>
            </c:extLst>
          </c:dPt>
          <c:dPt>
            <c:idx val="5"/>
            <c:invertIfNegative val="1"/>
            <c:bubble3D val="0"/>
            <c:spPr>
              <a:solidFill>
                <a:schemeClr val="dk1">
                  <a:tint val="60000"/>
                </a:schemeClr>
              </a:solidFill>
              <a:ln>
                <a:noFill/>
              </a:ln>
              <a:effectLst/>
            </c:spPr>
            <c:extLst>
              <c:ext xmlns:c16="http://schemas.microsoft.com/office/drawing/2014/chart" uri="{C3380CC4-5D6E-409C-BE32-E72D297353CC}">
                <c16:uniqueId val="{0000000B-C941-4EB3-94EC-71377348EF68}"/>
              </c:ext>
            </c:extLst>
          </c:dPt>
          <c:dPt>
            <c:idx val="6"/>
            <c:invertIfNegative val="1"/>
            <c:bubble3D val="0"/>
            <c:spPr>
              <a:solidFill>
                <a:schemeClr val="dk1">
                  <a:tint val="80000"/>
                </a:schemeClr>
              </a:solidFill>
              <a:ln>
                <a:noFill/>
              </a:ln>
              <a:effectLst/>
            </c:spPr>
            <c:extLst>
              <c:ext xmlns:c16="http://schemas.microsoft.com/office/drawing/2014/chart" uri="{C3380CC4-5D6E-409C-BE32-E72D297353CC}">
                <c16:uniqueId val="{0000000D-C941-4EB3-94EC-71377348EF68}"/>
              </c:ext>
            </c:extLst>
          </c:dPt>
          <c:dPt>
            <c:idx val="7"/>
            <c:invertIfNegative val="1"/>
            <c:bubble3D val="0"/>
            <c:spPr>
              <a:solidFill>
                <a:schemeClr val="dk1">
                  <a:tint val="88500"/>
                </a:schemeClr>
              </a:solidFill>
              <a:ln>
                <a:noFill/>
              </a:ln>
              <a:effectLst/>
            </c:spPr>
            <c:extLst>
              <c:ext xmlns:c16="http://schemas.microsoft.com/office/drawing/2014/chart" uri="{C3380CC4-5D6E-409C-BE32-E72D297353CC}">
                <c16:uniqueId val="{0000000F-C941-4EB3-94EC-71377348EF68}"/>
              </c:ext>
            </c:extLst>
          </c:dPt>
          <c:dPt>
            <c:idx val="8"/>
            <c:invertIfNegative val="1"/>
            <c:bubble3D val="0"/>
            <c:spPr>
              <a:solidFill>
                <a:schemeClr val="dk1">
                  <a:tint val="55000"/>
                </a:schemeClr>
              </a:solidFill>
              <a:ln>
                <a:noFill/>
              </a:ln>
              <a:effectLst/>
            </c:spPr>
            <c:extLst>
              <c:ext xmlns:c16="http://schemas.microsoft.com/office/drawing/2014/chart" uri="{C3380CC4-5D6E-409C-BE32-E72D297353CC}">
                <c16:uniqueId val="{00000011-C941-4EB3-94EC-71377348EF68}"/>
              </c:ext>
            </c:extLst>
          </c:dPt>
          <c:dPt>
            <c:idx val="9"/>
            <c:invertIfNegative val="1"/>
            <c:bubble3D val="0"/>
            <c:spPr>
              <a:solidFill>
                <a:schemeClr val="dk1">
                  <a:tint val="75000"/>
                </a:schemeClr>
              </a:solidFill>
              <a:ln>
                <a:noFill/>
              </a:ln>
              <a:effectLst/>
            </c:spPr>
            <c:extLst>
              <c:ext xmlns:c16="http://schemas.microsoft.com/office/drawing/2014/chart" uri="{C3380CC4-5D6E-409C-BE32-E72D297353CC}">
                <c16:uniqueId val="{00000013-C941-4EB3-94EC-71377348EF68}"/>
              </c:ext>
            </c:extLst>
          </c:dPt>
          <c:dPt>
            <c:idx val="10"/>
            <c:invertIfNegative val="1"/>
            <c:bubble3D val="0"/>
            <c:spPr>
              <a:solidFill>
                <a:schemeClr val="dk1">
                  <a:tint val="98500"/>
                </a:schemeClr>
              </a:solidFill>
              <a:ln>
                <a:noFill/>
              </a:ln>
              <a:effectLst/>
            </c:spPr>
            <c:extLst>
              <c:ext xmlns:c16="http://schemas.microsoft.com/office/drawing/2014/chart" uri="{C3380CC4-5D6E-409C-BE32-E72D297353CC}">
                <c16:uniqueId val="{00000015-C941-4EB3-94EC-71377348EF68}"/>
              </c:ext>
            </c:extLst>
          </c:dPt>
          <c:dPt>
            <c:idx val="11"/>
            <c:invertIfNegative val="1"/>
            <c:bubble3D val="0"/>
            <c:spPr>
              <a:solidFill>
                <a:schemeClr val="dk1">
                  <a:tint val="30000"/>
                </a:schemeClr>
              </a:solidFill>
              <a:ln>
                <a:noFill/>
              </a:ln>
              <a:effectLst/>
            </c:spPr>
            <c:extLst>
              <c:ext xmlns:c16="http://schemas.microsoft.com/office/drawing/2014/chart" uri="{C3380CC4-5D6E-409C-BE32-E72D297353CC}">
                <c16:uniqueId val="{00000017-C941-4EB3-94EC-71377348EF68}"/>
              </c:ext>
            </c:extLst>
          </c:dPt>
          <c:dPt>
            <c:idx val="12"/>
            <c:invertIfNegative val="1"/>
            <c:bubble3D val="0"/>
            <c:spPr>
              <a:solidFill>
                <a:schemeClr val="dk1">
                  <a:tint val="60000"/>
                </a:schemeClr>
              </a:solidFill>
              <a:ln>
                <a:noFill/>
              </a:ln>
              <a:effectLst/>
            </c:spPr>
            <c:extLst>
              <c:ext xmlns:c16="http://schemas.microsoft.com/office/drawing/2014/chart" uri="{C3380CC4-5D6E-409C-BE32-E72D297353CC}">
                <c16:uniqueId val="{00000019-C941-4EB3-94EC-71377348EF68}"/>
              </c:ext>
            </c:extLst>
          </c:dPt>
          <c:dPt>
            <c:idx val="13"/>
            <c:invertIfNegative val="1"/>
            <c:bubble3D val="0"/>
            <c:spPr>
              <a:solidFill>
                <a:schemeClr val="dk1">
                  <a:tint val="80000"/>
                </a:schemeClr>
              </a:solidFill>
              <a:ln>
                <a:noFill/>
              </a:ln>
              <a:effectLst/>
            </c:spPr>
            <c:extLst>
              <c:ext xmlns:c16="http://schemas.microsoft.com/office/drawing/2014/chart" uri="{C3380CC4-5D6E-409C-BE32-E72D297353CC}">
                <c16:uniqueId val="{0000001B-C941-4EB3-94EC-71377348EF68}"/>
              </c:ext>
            </c:extLst>
          </c:dPt>
          <c:dPt>
            <c:idx val="14"/>
            <c:invertIfNegative val="1"/>
            <c:bubble3D val="0"/>
            <c:spPr>
              <a:solidFill>
                <a:schemeClr val="dk1">
                  <a:tint val="88500"/>
                </a:schemeClr>
              </a:solidFill>
              <a:ln>
                <a:noFill/>
              </a:ln>
              <a:effectLst/>
            </c:spPr>
            <c:extLst>
              <c:ext xmlns:c16="http://schemas.microsoft.com/office/drawing/2014/chart" uri="{C3380CC4-5D6E-409C-BE32-E72D297353CC}">
                <c16:uniqueId val="{0000001D-C941-4EB3-94EC-71377348EF68}"/>
              </c:ext>
            </c:extLst>
          </c:dPt>
          <c:dPt>
            <c:idx val="15"/>
            <c:invertIfNegative val="1"/>
            <c:bubble3D val="0"/>
            <c:spPr>
              <a:solidFill>
                <a:schemeClr val="dk1">
                  <a:tint val="55000"/>
                </a:schemeClr>
              </a:solidFill>
              <a:ln>
                <a:noFill/>
              </a:ln>
              <a:effectLst/>
            </c:spPr>
            <c:extLst>
              <c:ext xmlns:c16="http://schemas.microsoft.com/office/drawing/2014/chart" uri="{C3380CC4-5D6E-409C-BE32-E72D297353CC}">
                <c16:uniqueId val="{0000001F-C941-4EB3-94EC-71377348EF68}"/>
              </c:ext>
            </c:extLst>
          </c:dPt>
          <c:dPt>
            <c:idx val="16"/>
            <c:invertIfNegative val="1"/>
            <c:bubble3D val="0"/>
            <c:spPr>
              <a:solidFill>
                <a:schemeClr val="dk1">
                  <a:tint val="75000"/>
                </a:schemeClr>
              </a:solidFill>
              <a:ln>
                <a:noFill/>
              </a:ln>
              <a:effectLst/>
            </c:spPr>
            <c:extLst>
              <c:ext xmlns:c16="http://schemas.microsoft.com/office/drawing/2014/chart" uri="{C3380CC4-5D6E-409C-BE32-E72D297353CC}">
                <c16:uniqueId val="{00000021-C941-4EB3-94EC-71377348EF68}"/>
              </c:ext>
            </c:extLst>
          </c:dPt>
          <c:dPt>
            <c:idx val="17"/>
            <c:invertIfNegative val="1"/>
            <c:bubble3D val="0"/>
            <c:spPr>
              <a:solidFill>
                <a:schemeClr val="dk1">
                  <a:tint val="98500"/>
                </a:schemeClr>
              </a:solidFill>
              <a:ln>
                <a:noFill/>
              </a:ln>
              <a:effectLst/>
            </c:spPr>
            <c:extLst>
              <c:ext xmlns:c16="http://schemas.microsoft.com/office/drawing/2014/chart" uri="{C3380CC4-5D6E-409C-BE32-E72D297353CC}">
                <c16:uniqueId val="{00000023-C941-4EB3-94EC-71377348EF68}"/>
              </c:ext>
            </c:extLst>
          </c:dPt>
          <c:dPt>
            <c:idx val="18"/>
            <c:invertIfNegative val="1"/>
            <c:bubble3D val="0"/>
            <c:spPr>
              <a:solidFill>
                <a:schemeClr val="dk1">
                  <a:tint val="30000"/>
                </a:schemeClr>
              </a:solidFill>
              <a:ln>
                <a:noFill/>
              </a:ln>
              <a:effectLst/>
            </c:spPr>
            <c:extLst>
              <c:ext xmlns:c16="http://schemas.microsoft.com/office/drawing/2014/chart" uri="{C3380CC4-5D6E-409C-BE32-E72D297353CC}">
                <c16:uniqueId val="{00000025-C941-4EB3-94EC-71377348EF68}"/>
              </c:ext>
            </c:extLst>
          </c:dPt>
          <c:dPt>
            <c:idx val="19"/>
            <c:invertIfNegative val="1"/>
            <c:bubble3D val="0"/>
            <c:spPr>
              <a:solidFill>
                <a:schemeClr val="dk1">
                  <a:tint val="60000"/>
                </a:schemeClr>
              </a:solidFill>
              <a:ln>
                <a:noFill/>
              </a:ln>
              <a:effectLst/>
            </c:spPr>
            <c:extLst>
              <c:ext xmlns:c16="http://schemas.microsoft.com/office/drawing/2014/chart" uri="{C3380CC4-5D6E-409C-BE32-E72D297353CC}">
                <c16:uniqueId val="{00000027-C941-4EB3-94EC-71377348EF68}"/>
              </c:ext>
            </c:extLst>
          </c:dPt>
          <c:dPt>
            <c:idx val="20"/>
            <c:invertIfNegative val="1"/>
            <c:bubble3D val="0"/>
            <c:spPr>
              <a:solidFill>
                <a:schemeClr val="dk1">
                  <a:tint val="80000"/>
                </a:schemeClr>
              </a:solidFill>
              <a:ln>
                <a:noFill/>
              </a:ln>
              <a:effectLst/>
            </c:spPr>
            <c:extLst>
              <c:ext xmlns:c16="http://schemas.microsoft.com/office/drawing/2014/chart" uri="{C3380CC4-5D6E-409C-BE32-E72D297353CC}">
                <c16:uniqueId val="{00000029-C941-4EB3-94EC-71377348EF68}"/>
              </c:ext>
            </c:extLst>
          </c:dPt>
          <c:dPt>
            <c:idx val="21"/>
            <c:invertIfNegative val="1"/>
            <c:bubble3D val="0"/>
            <c:spPr>
              <a:solidFill>
                <a:schemeClr val="dk1">
                  <a:tint val="88500"/>
                </a:schemeClr>
              </a:solidFill>
              <a:ln>
                <a:noFill/>
              </a:ln>
              <a:effectLst/>
            </c:spPr>
            <c:extLst>
              <c:ext xmlns:c16="http://schemas.microsoft.com/office/drawing/2014/chart" uri="{C3380CC4-5D6E-409C-BE32-E72D297353CC}">
                <c16:uniqueId val="{0000002B-C941-4EB3-94EC-71377348EF68}"/>
              </c:ext>
            </c:extLst>
          </c:dPt>
          <c:dPt>
            <c:idx val="22"/>
            <c:invertIfNegative val="1"/>
            <c:bubble3D val="0"/>
            <c:spPr>
              <a:solidFill>
                <a:schemeClr val="dk1">
                  <a:tint val="55000"/>
                </a:schemeClr>
              </a:solidFill>
              <a:ln>
                <a:noFill/>
              </a:ln>
              <a:effectLst/>
            </c:spPr>
            <c:extLst>
              <c:ext xmlns:c16="http://schemas.microsoft.com/office/drawing/2014/chart" uri="{C3380CC4-5D6E-409C-BE32-E72D297353CC}">
                <c16:uniqueId val="{0000002D-C941-4EB3-94EC-71377348EF68}"/>
              </c:ext>
            </c:extLst>
          </c:dPt>
          <c:dPt>
            <c:idx val="23"/>
            <c:invertIfNegative val="1"/>
            <c:bubble3D val="0"/>
            <c:spPr>
              <a:solidFill>
                <a:schemeClr val="dk1">
                  <a:tint val="75000"/>
                </a:schemeClr>
              </a:solidFill>
              <a:ln>
                <a:noFill/>
              </a:ln>
              <a:effectLst/>
            </c:spPr>
            <c:extLst>
              <c:ext xmlns:c16="http://schemas.microsoft.com/office/drawing/2014/chart" uri="{C3380CC4-5D6E-409C-BE32-E72D297353CC}">
                <c16:uniqueId val="{0000002F-C941-4EB3-94EC-71377348EF68}"/>
              </c:ext>
            </c:extLst>
          </c:dPt>
          <c:dPt>
            <c:idx val="24"/>
            <c:invertIfNegative val="1"/>
            <c:bubble3D val="0"/>
            <c:spPr>
              <a:solidFill>
                <a:schemeClr val="dk1">
                  <a:tint val="98500"/>
                </a:schemeClr>
              </a:solidFill>
              <a:ln>
                <a:noFill/>
              </a:ln>
              <a:effectLst/>
            </c:spPr>
            <c:extLst>
              <c:ext xmlns:c16="http://schemas.microsoft.com/office/drawing/2014/chart" uri="{C3380CC4-5D6E-409C-BE32-E72D297353CC}">
                <c16:uniqueId val="{00000031-C941-4EB3-94EC-71377348EF68}"/>
              </c:ext>
            </c:extLst>
          </c:dPt>
          <c:dPt>
            <c:idx val="25"/>
            <c:invertIfNegative val="1"/>
            <c:bubble3D val="0"/>
            <c:spPr>
              <a:solidFill>
                <a:schemeClr val="dk1">
                  <a:tint val="30000"/>
                </a:schemeClr>
              </a:solidFill>
              <a:ln>
                <a:noFill/>
              </a:ln>
              <a:effectLst/>
            </c:spPr>
            <c:extLst>
              <c:ext xmlns:c16="http://schemas.microsoft.com/office/drawing/2014/chart" uri="{C3380CC4-5D6E-409C-BE32-E72D297353CC}">
                <c16:uniqueId val="{00000033-C941-4EB3-94EC-71377348EF68}"/>
              </c:ext>
            </c:extLst>
          </c:dPt>
          <c:dPt>
            <c:idx val="26"/>
            <c:invertIfNegative val="1"/>
            <c:bubble3D val="0"/>
            <c:spPr>
              <a:solidFill>
                <a:schemeClr val="dk1">
                  <a:tint val="60000"/>
                </a:schemeClr>
              </a:solidFill>
              <a:ln>
                <a:noFill/>
              </a:ln>
              <a:effectLst/>
            </c:spPr>
            <c:extLst>
              <c:ext xmlns:c16="http://schemas.microsoft.com/office/drawing/2014/chart" uri="{C3380CC4-5D6E-409C-BE32-E72D297353CC}">
                <c16:uniqueId val="{00000035-C941-4EB3-94EC-71377348EF68}"/>
              </c:ext>
            </c:extLst>
          </c:dPt>
          <c:dPt>
            <c:idx val="27"/>
            <c:invertIfNegative val="1"/>
            <c:bubble3D val="0"/>
            <c:spPr>
              <a:solidFill>
                <a:schemeClr val="dk1">
                  <a:tint val="80000"/>
                </a:schemeClr>
              </a:solidFill>
              <a:ln>
                <a:noFill/>
              </a:ln>
              <a:effectLst/>
            </c:spPr>
            <c:extLst>
              <c:ext xmlns:c16="http://schemas.microsoft.com/office/drawing/2014/chart" uri="{C3380CC4-5D6E-409C-BE32-E72D297353CC}">
                <c16:uniqueId val="{00000037-C941-4EB3-94EC-71377348EF68}"/>
              </c:ext>
            </c:extLst>
          </c:dPt>
          <c:dPt>
            <c:idx val="28"/>
            <c:invertIfNegative val="1"/>
            <c:bubble3D val="0"/>
            <c:spPr>
              <a:solidFill>
                <a:schemeClr val="dk1">
                  <a:tint val="88500"/>
                </a:schemeClr>
              </a:solidFill>
              <a:ln>
                <a:noFill/>
              </a:ln>
              <a:effectLst/>
            </c:spPr>
            <c:extLst>
              <c:ext xmlns:c16="http://schemas.microsoft.com/office/drawing/2014/chart" uri="{C3380CC4-5D6E-409C-BE32-E72D297353CC}">
                <c16:uniqueId val="{00000039-C941-4EB3-94EC-71377348EF68}"/>
              </c:ext>
            </c:extLst>
          </c:dPt>
          <c:dPt>
            <c:idx val="29"/>
            <c:invertIfNegative val="1"/>
            <c:bubble3D val="0"/>
            <c:spPr>
              <a:solidFill>
                <a:schemeClr val="dk1">
                  <a:tint val="55000"/>
                </a:schemeClr>
              </a:solidFill>
              <a:ln>
                <a:noFill/>
              </a:ln>
              <a:effectLst/>
            </c:spPr>
            <c:extLst>
              <c:ext xmlns:c16="http://schemas.microsoft.com/office/drawing/2014/chart" uri="{C3380CC4-5D6E-409C-BE32-E72D297353CC}">
                <c16:uniqueId val="{0000003B-C941-4EB3-94EC-71377348EF68}"/>
              </c:ext>
            </c:extLst>
          </c:dPt>
          <c:dLbls>
            <c:dLbl>
              <c:idx val="21"/>
              <c:layout>
                <c:manualLayout>
                  <c:x val="1.3230429988974642E-2"/>
                  <c:y val="0"/>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B-C941-4EB3-94EC-71377348EF68}"/>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Область!$B$3:$B$32</c:f>
              <c:numCache>
                <c:formatCode>General</c:formatCode>
                <c:ptCount val="30"/>
                <c:pt idx="0">
                  <c:v>1988</c:v>
                </c:pt>
                <c:pt idx="1">
                  <c:v>1989</c:v>
                </c:pt>
                <c:pt idx="2">
                  <c:v>1990</c:v>
                </c:pt>
                <c:pt idx="3">
                  <c:v>1991</c:v>
                </c:pt>
                <c:pt idx="4">
                  <c:v>1992</c:v>
                </c:pt>
                <c:pt idx="5">
                  <c:v>1993</c:v>
                </c:pt>
                <c:pt idx="6">
                  <c:v>1994</c:v>
                </c:pt>
                <c:pt idx="7">
                  <c:v>1995</c:v>
                </c:pt>
                <c:pt idx="8">
                  <c:v>1996</c:v>
                </c:pt>
                <c:pt idx="9">
                  <c:v>1997</c:v>
                </c:pt>
                <c:pt idx="10">
                  <c:v>1998</c:v>
                </c:pt>
                <c:pt idx="11">
                  <c:v>1999</c:v>
                </c:pt>
                <c:pt idx="12">
                  <c:v>2000</c:v>
                </c:pt>
                <c:pt idx="13">
                  <c:v>2001</c:v>
                </c:pt>
                <c:pt idx="14">
                  <c:v>2002</c:v>
                </c:pt>
                <c:pt idx="15">
                  <c:v>2003</c:v>
                </c:pt>
                <c:pt idx="16">
                  <c:v>2004</c:v>
                </c:pt>
                <c:pt idx="17">
                  <c:v>2005</c:v>
                </c:pt>
                <c:pt idx="18">
                  <c:v>2006</c:v>
                </c:pt>
                <c:pt idx="19">
                  <c:v>2007</c:v>
                </c:pt>
                <c:pt idx="20">
                  <c:v>2008</c:v>
                </c:pt>
                <c:pt idx="21">
                  <c:v>2009</c:v>
                </c:pt>
                <c:pt idx="22">
                  <c:v>2010</c:v>
                </c:pt>
                <c:pt idx="23">
                  <c:v>2011</c:v>
                </c:pt>
                <c:pt idx="24">
                  <c:v>2012</c:v>
                </c:pt>
                <c:pt idx="25">
                  <c:v>2013</c:v>
                </c:pt>
                <c:pt idx="26">
                  <c:v>2014</c:v>
                </c:pt>
                <c:pt idx="27">
                  <c:v>2015</c:v>
                </c:pt>
                <c:pt idx="28">
                  <c:v>2016</c:v>
                </c:pt>
                <c:pt idx="29">
                  <c:v>2017</c:v>
                </c:pt>
              </c:numCache>
            </c:numRef>
          </c:cat>
          <c:val>
            <c:numRef>
              <c:f>Область!$L$3:$L$32</c:f>
              <c:numCache>
                <c:formatCode>General</c:formatCode>
                <c:ptCount val="30"/>
                <c:pt idx="0">
                  <c:v>5321</c:v>
                </c:pt>
                <c:pt idx="1">
                  <c:v>6828</c:v>
                </c:pt>
                <c:pt idx="2">
                  <c:v>7313</c:v>
                </c:pt>
                <c:pt idx="3">
                  <c:v>5128</c:v>
                </c:pt>
                <c:pt idx="4">
                  <c:v>3216</c:v>
                </c:pt>
                <c:pt idx="5">
                  <c:v>1329</c:v>
                </c:pt>
                <c:pt idx="6">
                  <c:v>1001</c:v>
                </c:pt>
                <c:pt idx="7">
                  <c:v>1452</c:v>
                </c:pt>
                <c:pt idx="8">
                  <c:v>732</c:v>
                </c:pt>
                <c:pt idx="9">
                  <c:v>152</c:v>
                </c:pt>
                <c:pt idx="10">
                  <c:v>1823</c:v>
                </c:pt>
                <c:pt idx="11">
                  <c:v>4387</c:v>
                </c:pt>
                <c:pt idx="12">
                  <c:v>7213</c:v>
                </c:pt>
                <c:pt idx="13">
                  <c:v>5100</c:v>
                </c:pt>
                <c:pt idx="14">
                  <c:v>2502.6</c:v>
                </c:pt>
                <c:pt idx="15">
                  <c:v>876</c:v>
                </c:pt>
                <c:pt idx="16">
                  <c:v>3406.55</c:v>
                </c:pt>
                <c:pt idx="17">
                  <c:v>7292.7</c:v>
                </c:pt>
                <c:pt idx="18">
                  <c:v>14621.89</c:v>
                </c:pt>
                <c:pt idx="19">
                  <c:v>19619.330000000002</c:v>
                </c:pt>
                <c:pt idx="20">
                  <c:v>27570.28</c:v>
                </c:pt>
                <c:pt idx="21">
                  <c:v>32345.53</c:v>
                </c:pt>
                <c:pt idx="22">
                  <c:v>21845.35</c:v>
                </c:pt>
                <c:pt idx="23">
                  <c:v>26446.04</c:v>
                </c:pt>
                <c:pt idx="24">
                  <c:v>25798.37</c:v>
                </c:pt>
                <c:pt idx="25">
                  <c:v>21877.78</c:v>
                </c:pt>
                <c:pt idx="26">
                  <c:v>19149.04</c:v>
                </c:pt>
                <c:pt idx="27">
                  <c:v>20003.849999999999</c:v>
                </c:pt>
                <c:pt idx="28">
                  <c:v>9445.36</c:v>
                </c:pt>
                <c:pt idx="29">
                  <c:v>17247.509999999998</c:v>
                </c:pt>
              </c:numCache>
            </c:numRef>
          </c:val>
          <c:extLst>
            <c:ext xmlns:c16="http://schemas.microsoft.com/office/drawing/2014/chart" uri="{C3380CC4-5D6E-409C-BE32-E72D297353CC}">
              <c16:uniqueId val="{0000003C-C941-4EB3-94EC-71377348EF68}"/>
            </c:ext>
          </c:extLst>
        </c:ser>
        <c:dLbls>
          <c:dLblPos val="outEnd"/>
          <c:showLegendKey val="0"/>
          <c:showVal val="1"/>
          <c:showCatName val="0"/>
          <c:showSerName val="0"/>
          <c:showPercent val="0"/>
          <c:showBubbleSize val="0"/>
        </c:dLbls>
        <c:gapWidth val="444"/>
        <c:overlap val="-90"/>
        <c:axId val="329686656"/>
        <c:axId val="329687048"/>
      </c:barChart>
      <c:dateAx>
        <c:axId val="32968665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Роки</a:t>
                </a:r>
              </a:p>
            </c:rich>
          </c:tx>
          <c:layout>
            <c:manualLayout>
              <c:xMode val="edge"/>
              <c:yMode val="edge"/>
              <c:x val="0.48110791829080901"/>
              <c:y val="0.95238095238095233"/>
            </c:manualLayout>
          </c:layout>
          <c:overlay val="0"/>
          <c:spPr>
            <a:noFill/>
            <a:ln>
              <a:noFill/>
            </a:ln>
            <a:effectLst/>
          </c:spPr>
          <c:txPr>
            <a:bodyPr rot="0" spcFirstLastPara="1" vertOverflow="ellipsis" vert="horz" wrap="square" anchor="ctr" anchorCtr="1"/>
            <a:lstStyle/>
            <a:p>
              <a:pPr>
                <a:defRPr sz="8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29687048"/>
        <c:crosses val="autoZero"/>
        <c:auto val="0"/>
        <c:lblOffset val="100"/>
        <c:baseTimeUnit val="days"/>
      </c:dateAx>
      <c:valAx>
        <c:axId val="329687048"/>
        <c:scaling>
          <c:orientation val="minMax"/>
        </c:scaling>
        <c:delete val="1"/>
        <c:axPos val="l"/>
        <c:title>
          <c:tx>
            <c:rich>
              <a:bodyPr rot="-5400000" spcFirstLastPara="1" vertOverflow="ellipsis" vert="horz" wrap="square" anchor="ctr" anchorCtr="1"/>
              <a:lstStyle/>
              <a:p>
                <a:pPr>
                  <a:defRPr sz="8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Площа, га</a:t>
                </a:r>
              </a:p>
            </c:rich>
          </c:tx>
          <c:overlay val="0"/>
          <c:spPr>
            <a:noFill/>
            <a:ln>
              <a:noFill/>
            </a:ln>
            <a:effectLst/>
          </c:spPr>
          <c:txPr>
            <a:bodyPr rot="-5400000" spcFirstLastPara="1" vertOverflow="ellipsis" vert="horz" wrap="square" anchor="ctr" anchorCtr="1"/>
            <a:lstStyle/>
            <a:p>
              <a:pPr>
                <a:defRPr sz="800" b="0"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numFmt formatCode="General" sourceLinked="1"/>
        <c:majorTickMark val="none"/>
        <c:minorTickMark val="none"/>
        <c:tickLblPos val="nextTo"/>
        <c:crossAx val="329686656"/>
        <c:crosses val="autoZero"/>
        <c:crossBetween val="between"/>
      </c:valAx>
      <c:spPr>
        <a:noFill/>
        <a:ln>
          <a:noFill/>
        </a:ln>
        <a:effectLst/>
      </c:spPr>
    </c:plotArea>
    <c:plotVisOnly val="1"/>
    <c:dispBlanksAs val="zero"/>
    <c:showDLblsOverMax val="1"/>
  </c:chart>
  <c:spPr>
    <a:solidFill>
      <a:schemeClr val="lt1"/>
    </a:solidFill>
    <a:ln w="9525" cap="flat" cmpd="sng" algn="ctr">
      <a:noFill/>
      <a:round/>
    </a:ln>
    <a:effectLst/>
  </c:spPr>
  <c:txPr>
    <a:bodyPr/>
    <a:lstStyle/>
    <a:p>
      <a:pPr>
        <a:defRPr sz="800">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598795926802916E-2"/>
          <c:y val="6.3633211222389893E-2"/>
          <c:w val="0.90040125948118754"/>
          <c:h val="0.69527181906944979"/>
        </c:manualLayout>
      </c:layout>
      <c:barChart>
        <c:barDir val="col"/>
        <c:grouping val="clustered"/>
        <c:varyColors val="0"/>
        <c:ser>
          <c:idx val="0"/>
          <c:order val="0"/>
          <c:tx>
            <c:strRef>
              <c:f>'Земельний слід область'!$O$37</c:f>
              <c:strCache>
                <c:ptCount val="1"/>
                <c:pt idx="0">
                  <c:v>N, кг\га</c:v>
                </c:pt>
              </c:strCache>
            </c:strRef>
          </c:tx>
          <c:spPr>
            <a:pattFill prst="wdDnDiag">
              <a:fgClr>
                <a:sysClr val="windowText" lastClr="000000"/>
              </a:fgClr>
              <a:bgClr>
                <a:schemeClr val="bg1"/>
              </a:bgClr>
            </a:pattFill>
            <a:ln>
              <a:solidFill>
                <a:schemeClr val="accent1"/>
              </a:solidFill>
            </a:ln>
            <a:effectLst/>
          </c:spPr>
          <c:invertIfNegative val="0"/>
          <c:dPt>
            <c:idx val="0"/>
            <c:invertIfNegative val="0"/>
            <c:bubble3D val="0"/>
            <c:spPr>
              <a:pattFill prst="wdDnDiag">
                <a:fgClr>
                  <a:sysClr val="windowText" lastClr="000000"/>
                </a:fgClr>
                <a:bgClr>
                  <a:schemeClr val="bg1"/>
                </a:bgClr>
              </a:pattFill>
              <a:ln>
                <a:solidFill>
                  <a:schemeClr val="accent1"/>
                </a:solidFill>
              </a:ln>
              <a:effectLst/>
            </c:spPr>
            <c:extLst>
              <c:ext xmlns:c16="http://schemas.microsoft.com/office/drawing/2014/chart" uri="{C3380CC4-5D6E-409C-BE32-E72D297353CC}">
                <c16:uniqueId val="{00000001-B7A2-463B-BFF8-D03960F1FEC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'Земельний слід область'!$N$38:$N$41</c:f>
              <c:numCache>
                <c:formatCode>General</c:formatCode>
                <c:ptCount val="4"/>
                <c:pt idx="0">
                  <c:v>1990</c:v>
                </c:pt>
                <c:pt idx="1">
                  <c:v>2002</c:v>
                </c:pt>
                <c:pt idx="2">
                  <c:v>2011</c:v>
                </c:pt>
                <c:pt idx="3">
                  <c:v>2020</c:v>
                </c:pt>
              </c:numCache>
            </c:numRef>
          </c:cat>
          <c:val>
            <c:numRef>
              <c:f>'Земельний слід область'!$O$38:$O$41</c:f>
              <c:numCache>
                <c:formatCode>0.00</c:formatCode>
                <c:ptCount val="4"/>
                <c:pt idx="0">
                  <c:v>75.396161765215879</c:v>
                </c:pt>
                <c:pt idx="1">
                  <c:v>41.223993657705634</c:v>
                </c:pt>
                <c:pt idx="2">
                  <c:v>66.515059604856916</c:v>
                </c:pt>
                <c:pt idx="3">
                  <c:v>101.0331150131376</c:v>
                </c:pt>
              </c:numCache>
            </c:numRef>
          </c:val>
          <c:extLst>
            <c:ext xmlns:c16="http://schemas.microsoft.com/office/drawing/2014/chart" uri="{C3380CC4-5D6E-409C-BE32-E72D297353CC}">
              <c16:uniqueId val="{00000002-B7A2-463B-BFF8-D03960F1FEC9}"/>
            </c:ext>
          </c:extLst>
        </c:ser>
        <c:ser>
          <c:idx val="1"/>
          <c:order val="1"/>
          <c:tx>
            <c:strRef>
              <c:f>'Земельний слід область'!$P$37</c:f>
              <c:strCache>
                <c:ptCount val="1"/>
                <c:pt idx="0">
                  <c:v>P, кг\га</c:v>
                </c:pt>
              </c:strCache>
            </c:strRef>
          </c:tx>
          <c:spPr>
            <a:pattFill prst="trellis">
              <a:fgClr>
                <a:sysClr val="windowText" lastClr="000000"/>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'Земельний слід область'!$N$38:$N$41</c:f>
              <c:numCache>
                <c:formatCode>General</c:formatCode>
                <c:ptCount val="4"/>
                <c:pt idx="0">
                  <c:v>1990</c:v>
                </c:pt>
                <c:pt idx="1">
                  <c:v>2002</c:v>
                </c:pt>
                <c:pt idx="2">
                  <c:v>2011</c:v>
                </c:pt>
                <c:pt idx="3">
                  <c:v>2020</c:v>
                </c:pt>
              </c:numCache>
            </c:numRef>
          </c:cat>
          <c:val>
            <c:numRef>
              <c:f>'Земельний слід область'!$P$38:$P$41</c:f>
              <c:numCache>
                <c:formatCode>0.00</c:formatCode>
                <c:ptCount val="4"/>
                <c:pt idx="0">
                  <c:v>23.518694588612284</c:v>
                </c:pt>
                <c:pt idx="1">
                  <c:v>14.435760778847701</c:v>
                </c:pt>
                <c:pt idx="2">
                  <c:v>23.459260630337496</c:v>
                </c:pt>
                <c:pt idx="3">
                  <c:v>43.419388347602911</c:v>
                </c:pt>
              </c:numCache>
            </c:numRef>
          </c:val>
          <c:extLst>
            <c:ext xmlns:c16="http://schemas.microsoft.com/office/drawing/2014/chart" uri="{C3380CC4-5D6E-409C-BE32-E72D297353CC}">
              <c16:uniqueId val="{00000003-B7A2-463B-BFF8-D03960F1FEC9}"/>
            </c:ext>
          </c:extLst>
        </c:ser>
        <c:ser>
          <c:idx val="2"/>
          <c:order val="2"/>
          <c:tx>
            <c:strRef>
              <c:f>'Земельний слід область'!$Q$37</c:f>
              <c:strCache>
                <c:ptCount val="1"/>
                <c:pt idx="0">
                  <c:v>K, кг\га</c:v>
                </c:pt>
              </c:strCache>
            </c:strRef>
          </c:tx>
          <c:spPr>
            <a:pattFill prst="dkVert">
              <a:fgClr>
                <a:sysClr val="windowText" lastClr="000000"/>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'Земельний слід область'!$N$38:$N$41</c:f>
              <c:numCache>
                <c:formatCode>General</c:formatCode>
                <c:ptCount val="4"/>
                <c:pt idx="0">
                  <c:v>1990</c:v>
                </c:pt>
                <c:pt idx="1">
                  <c:v>2002</c:v>
                </c:pt>
                <c:pt idx="2">
                  <c:v>2011</c:v>
                </c:pt>
                <c:pt idx="3">
                  <c:v>2020</c:v>
                </c:pt>
              </c:numCache>
            </c:numRef>
          </c:cat>
          <c:val>
            <c:numRef>
              <c:f>'Земельний слід область'!$Q$38:$Q$41</c:f>
              <c:numCache>
                <c:formatCode>0.00</c:formatCode>
                <c:ptCount val="4"/>
                <c:pt idx="0">
                  <c:v>52.191068630610907</c:v>
                </c:pt>
                <c:pt idx="1">
                  <c:v>21.602118217253263</c:v>
                </c:pt>
                <c:pt idx="2">
                  <c:v>27.657584363446063</c:v>
                </c:pt>
                <c:pt idx="3">
                  <c:v>31.314311216712664</c:v>
                </c:pt>
              </c:numCache>
            </c:numRef>
          </c:val>
          <c:extLst>
            <c:ext xmlns:c16="http://schemas.microsoft.com/office/drawing/2014/chart" uri="{C3380CC4-5D6E-409C-BE32-E72D297353CC}">
              <c16:uniqueId val="{00000004-B7A2-463B-BFF8-D03960F1FEC9}"/>
            </c:ext>
          </c:extLst>
        </c:ser>
        <c:dLbls>
          <c:showLegendKey val="0"/>
          <c:showVal val="0"/>
          <c:showCatName val="0"/>
          <c:showSerName val="0"/>
          <c:showPercent val="0"/>
          <c:showBubbleSize val="0"/>
        </c:dLbls>
        <c:gapWidth val="100"/>
        <c:overlap val="-24"/>
        <c:axId val="329687832"/>
        <c:axId val="329688224"/>
      </c:barChart>
      <c:catAx>
        <c:axId val="32968783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crossAx val="329688224"/>
        <c:crosses val="autoZero"/>
        <c:auto val="1"/>
        <c:lblAlgn val="ctr"/>
        <c:lblOffset val="100"/>
        <c:noMultiLvlLbl val="0"/>
      </c:catAx>
      <c:valAx>
        <c:axId val="329688224"/>
        <c:scaling>
          <c:orientation val="minMax"/>
        </c:scaling>
        <c:delete val="0"/>
        <c:axPos val="l"/>
        <c:majorGridlines>
          <c:spPr>
            <a:ln w="9525" cap="flat" cmpd="sng" algn="ctr">
              <a:solidFill>
                <a:schemeClr val="tx2">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UA"/>
          </a:p>
        </c:txPr>
        <c:crossAx val="329687832"/>
        <c:crosses val="autoZero"/>
        <c:crossBetween val="between"/>
      </c:valAx>
      <c:spPr>
        <a:noFill/>
        <a:ln>
          <a:noFill/>
        </a:ln>
        <a:effectLst/>
      </c:spPr>
    </c:plotArea>
    <c:legend>
      <c:legendPos val="b"/>
      <c:layout>
        <c:manualLayout>
          <c:xMode val="edge"/>
          <c:yMode val="edge"/>
          <c:x val="0.29862074538288186"/>
          <c:y val="0.84632720537394246"/>
          <c:w val="0.42100234335018272"/>
          <c:h val="0.153672794626057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5071505764331175E-2"/>
          <c:y val="8.5598171196342391E-3"/>
          <c:w val="0.93888888888888888"/>
          <c:h val="0.84167495192133246"/>
        </c:manualLayout>
      </c:layout>
      <c:barChart>
        <c:barDir val="col"/>
        <c:grouping val="clustered"/>
        <c:varyColors val="0"/>
        <c:ser>
          <c:idx val="0"/>
          <c:order val="0"/>
          <c:spPr>
            <a:solidFill>
              <a:schemeClr val="bg1">
                <a:lumMod val="65000"/>
              </a:schemeClr>
            </a:soli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'Земельний слід область'!$N$38:$N$41</c:f>
              <c:numCache>
                <c:formatCode>General</c:formatCode>
                <c:ptCount val="4"/>
                <c:pt idx="0">
                  <c:v>1990</c:v>
                </c:pt>
                <c:pt idx="1">
                  <c:v>2002</c:v>
                </c:pt>
                <c:pt idx="2">
                  <c:v>2011</c:v>
                </c:pt>
                <c:pt idx="3">
                  <c:v>2020</c:v>
                </c:pt>
              </c:numCache>
            </c:numRef>
          </c:cat>
          <c:val>
            <c:numRef>
              <c:f>'Земельний слід область'!$R$38:$R$41</c:f>
              <c:numCache>
                <c:formatCode>0.00</c:formatCode>
                <c:ptCount val="4"/>
                <c:pt idx="0">
                  <c:v>1.2501801155165282</c:v>
                </c:pt>
                <c:pt idx="1">
                  <c:v>1.163391771537851</c:v>
                </c:pt>
                <c:pt idx="2">
                  <c:v>1.3515361249012132</c:v>
                </c:pt>
                <c:pt idx="3">
                  <c:v>1.4219989379619924</c:v>
                </c:pt>
              </c:numCache>
            </c:numRef>
          </c:val>
          <c:extLst>
            <c:ext xmlns:c16="http://schemas.microsoft.com/office/drawing/2014/chart" uri="{C3380CC4-5D6E-409C-BE32-E72D297353CC}">
              <c16:uniqueId val="{00000000-2413-4FFF-892E-C8C43D1FEB66}"/>
            </c:ext>
          </c:extLst>
        </c:ser>
        <c:dLbls>
          <c:dLblPos val="inEnd"/>
          <c:showLegendKey val="0"/>
          <c:showVal val="1"/>
          <c:showCatName val="0"/>
          <c:showSerName val="0"/>
          <c:showPercent val="0"/>
          <c:showBubbleSize val="0"/>
        </c:dLbls>
        <c:gapWidth val="41"/>
        <c:axId val="329689008"/>
        <c:axId val="329689400"/>
      </c:barChart>
      <c:catAx>
        <c:axId val="3296890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ru-UA"/>
          </a:p>
        </c:txPr>
        <c:crossAx val="329689400"/>
        <c:crosses val="autoZero"/>
        <c:auto val="0"/>
        <c:lblAlgn val="ctr"/>
        <c:lblOffset val="100"/>
        <c:noMultiLvlLbl val="0"/>
      </c:catAx>
      <c:valAx>
        <c:axId val="329689400"/>
        <c:scaling>
          <c:orientation val="minMax"/>
        </c:scaling>
        <c:delete val="1"/>
        <c:axPos val="l"/>
        <c:numFmt formatCode="0.00" sourceLinked="1"/>
        <c:majorTickMark val="none"/>
        <c:minorTickMark val="none"/>
        <c:tickLblPos val="nextTo"/>
        <c:crossAx val="329689008"/>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9598661278451309E-2"/>
          <c:y val="5.6214755333801103E-2"/>
          <c:w val="0.90040125948118754"/>
          <c:h val="0.77342308177547547"/>
        </c:manualLayout>
      </c:layout>
      <c:barChart>
        <c:barDir val="col"/>
        <c:grouping val="clustered"/>
        <c:varyColors val="0"/>
        <c:ser>
          <c:idx val="0"/>
          <c:order val="0"/>
          <c:tx>
            <c:strRef>
              <c:f>'Земельний слід Костопільський'!$O$37</c:f>
              <c:strCache>
                <c:ptCount val="1"/>
                <c:pt idx="0">
                  <c:v>N</c:v>
                </c:pt>
              </c:strCache>
            </c:strRef>
          </c:tx>
          <c:spPr>
            <a:pattFill prst="pct70">
              <a:fgClr>
                <a:schemeClr val="tx1">
                  <a:lumMod val="50000"/>
                  <a:lumOff val="50000"/>
                </a:schemeClr>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'Земельний слід Костопільський'!$N$38:$N$41</c:f>
              <c:numCache>
                <c:formatCode>General</c:formatCode>
                <c:ptCount val="4"/>
                <c:pt idx="0">
                  <c:v>1990</c:v>
                </c:pt>
                <c:pt idx="1">
                  <c:v>2002</c:v>
                </c:pt>
                <c:pt idx="2">
                  <c:v>2011</c:v>
                </c:pt>
                <c:pt idx="3">
                  <c:v>2020</c:v>
                </c:pt>
              </c:numCache>
            </c:numRef>
          </c:cat>
          <c:val>
            <c:numRef>
              <c:f>'Земельний слід Костопільський'!$O$38:$O$41</c:f>
              <c:numCache>
                <c:formatCode>0.00</c:formatCode>
                <c:ptCount val="4"/>
                <c:pt idx="0">
                  <c:v>58.02550049369205</c:v>
                </c:pt>
                <c:pt idx="1">
                  <c:v>63.994158344237142</c:v>
                </c:pt>
                <c:pt idx="2">
                  <c:v>23.678963071705383</c:v>
                </c:pt>
                <c:pt idx="3">
                  <c:v>90.963362321540515</c:v>
                </c:pt>
              </c:numCache>
            </c:numRef>
          </c:val>
          <c:extLst>
            <c:ext xmlns:c16="http://schemas.microsoft.com/office/drawing/2014/chart" uri="{C3380CC4-5D6E-409C-BE32-E72D297353CC}">
              <c16:uniqueId val="{00000000-5B94-4A8A-BB72-BB9A3C547E1B}"/>
            </c:ext>
          </c:extLst>
        </c:ser>
        <c:ser>
          <c:idx val="1"/>
          <c:order val="1"/>
          <c:tx>
            <c:strRef>
              <c:f>'Земельний слід Костопільський'!$P$37</c:f>
              <c:strCache>
                <c:ptCount val="1"/>
                <c:pt idx="0">
                  <c:v>P</c:v>
                </c:pt>
              </c:strCache>
            </c:strRef>
          </c:tx>
          <c:spPr>
            <a:pattFill prst="pct30">
              <a:fgClr>
                <a:schemeClr val="tx1">
                  <a:lumMod val="50000"/>
                  <a:lumOff val="50000"/>
                </a:schemeClr>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'Земельний слід Костопільський'!$N$38:$N$41</c:f>
              <c:numCache>
                <c:formatCode>General</c:formatCode>
                <c:ptCount val="4"/>
                <c:pt idx="0">
                  <c:v>1990</c:v>
                </c:pt>
                <c:pt idx="1">
                  <c:v>2002</c:v>
                </c:pt>
                <c:pt idx="2">
                  <c:v>2011</c:v>
                </c:pt>
                <c:pt idx="3">
                  <c:v>2020</c:v>
                </c:pt>
              </c:numCache>
            </c:numRef>
          </c:cat>
          <c:val>
            <c:numRef>
              <c:f>'Земельний слід Костопільський'!$P$38:$P$41</c:f>
              <c:numCache>
                <c:formatCode>0.00</c:formatCode>
                <c:ptCount val="4"/>
                <c:pt idx="0">
                  <c:v>18.940688784478198</c:v>
                </c:pt>
                <c:pt idx="1">
                  <c:v>22.67980586339371</c:v>
                </c:pt>
                <c:pt idx="2">
                  <c:v>9.0497497448243056</c:v>
                </c:pt>
                <c:pt idx="3">
                  <c:v>29.556664175548583</c:v>
                </c:pt>
              </c:numCache>
            </c:numRef>
          </c:val>
          <c:extLst>
            <c:ext xmlns:c16="http://schemas.microsoft.com/office/drawing/2014/chart" uri="{C3380CC4-5D6E-409C-BE32-E72D297353CC}">
              <c16:uniqueId val="{00000001-5B94-4A8A-BB72-BB9A3C547E1B}"/>
            </c:ext>
          </c:extLst>
        </c:ser>
        <c:ser>
          <c:idx val="2"/>
          <c:order val="2"/>
          <c:tx>
            <c:strRef>
              <c:f>'Земельний слід Костопільський'!$Q$37</c:f>
              <c:strCache>
                <c:ptCount val="1"/>
                <c:pt idx="0">
                  <c:v>K</c:v>
                </c:pt>
              </c:strCache>
            </c:strRef>
          </c:tx>
          <c:spPr>
            <a:pattFill prst="dkUpDiag">
              <a:fgClr>
                <a:schemeClr val="tx1">
                  <a:lumMod val="50000"/>
                  <a:lumOff val="50000"/>
                </a:schemeClr>
              </a:fgClr>
              <a:bgClr>
                <a:schemeClr val="bg1"/>
              </a:bgClr>
            </a:pattFill>
            <a:ln>
              <a:noFill/>
            </a:ln>
            <a:effectLst/>
          </c:spPr>
          <c:invertIfNegative val="0"/>
          <c:dLbls>
            <c:dLbl>
              <c:idx val="1"/>
              <c:layout>
                <c:manualLayout>
                  <c:x val="6.393861892583042E-3"/>
                  <c:y val="6.911638660715848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B94-4A8A-BB72-BB9A3C547E1B}"/>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'Земельний слід Костопільський'!$N$38:$N$41</c:f>
              <c:numCache>
                <c:formatCode>General</c:formatCode>
                <c:ptCount val="4"/>
                <c:pt idx="0">
                  <c:v>1990</c:v>
                </c:pt>
                <c:pt idx="1">
                  <c:v>2002</c:v>
                </c:pt>
                <c:pt idx="2">
                  <c:v>2011</c:v>
                </c:pt>
                <c:pt idx="3">
                  <c:v>2020</c:v>
                </c:pt>
              </c:numCache>
            </c:numRef>
          </c:cat>
          <c:val>
            <c:numRef>
              <c:f>'Земельний слід Костопільський'!$Q$38:$Q$41</c:f>
              <c:numCache>
                <c:formatCode>0.00</c:formatCode>
                <c:ptCount val="4"/>
                <c:pt idx="0">
                  <c:v>40.095845038776993</c:v>
                </c:pt>
                <c:pt idx="1">
                  <c:v>22.426734333000294</c:v>
                </c:pt>
                <c:pt idx="2">
                  <c:v>11.342954100907246</c:v>
                </c:pt>
                <c:pt idx="3">
                  <c:v>24.612141950738913</c:v>
                </c:pt>
              </c:numCache>
            </c:numRef>
          </c:val>
          <c:extLst>
            <c:ext xmlns:c16="http://schemas.microsoft.com/office/drawing/2014/chart" uri="{C3380CC4-5D6E-409C-BE32-E72D297353CC}">
              <c16:uniqueId val="{00000003-5B94-4A8A-BB72-BB9A3C547E1B}"/>
            </c:ext>
          </c:extLst>
        </c:ser>
        <c:dLbls>
          <c:showLegendKey val="0"/>
          <c:showVal val="0"/>
          <c:showCatName val="0"/>
          <c:showSerName val="0"/>
          <c:showPercent val="0"/>
          <c:showBubbleSize val="0"/>
        </c:dLbls>
        <c:gapWidth val="219"/>
        <c:overlap val="-27"/>
        <c:axId val="369254296"/>
        <c:axId val="369253512"/>
      </c:barChart>
      <c:catAx>
        <c:axId val="369254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69253512"/>
        <c:crosses val="autoZero"/>
        <c:auto val="1"/>
        <c:lblAlgn val="ctr"/>
        <c:lblOffset val="100"/>
        <c:noMultiLvlLbl val="0"/>
      </c:catAx>
      <c:valAx>
        <c:axId val="3692535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ru-RU">
                    <a:latin typeface="Times New Roman" panose="02020603050405020304" pitchFamily="18" charset="0"/>
                    <a:cs typeface="Times New Roman" panose="02020603050405020304" pitchFamily="18" charset="0"/>
                  </a:rPr>
                  <a:t>кг</a:t>
                </a:r>
                <a:r>
                  <a:rPr lang="en-US">
                    <a:latin typeface="Times New Roman" panose="02020603050405020304" pitchFamily="18" charset="0"/>
                    <a:cs typeface="Times New Roman" panose="02020603050405020304" pitchFamily="18" charset="0"/>
                  </a:rPr>
                  <a:t>/</a:t>
                </a:r>
                <a:r>
                  <a:rPr lang="uk-UA">
                    <a:latin typeface="Times New Roman" panose="02020603050405020304" pitchFamily="18" charset="0"/>
                    <a:cs typeface="Times New Roman" panose="02020603050405020304" pitchFamily="18" charset="0"/>
                  </a:rPr>
                  <a:t>га</a:t>
                </a:r>
                <a:endParaRPr lang="ru-RU">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crossAx val="369254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withinLinearReversed" id="23">
  <a:schemeClr val="accent3"/>
</cs:colorStyle>
</file>

<file path=word/charts/colors5.xml><?xml version="1.0" encoding="utf-8"?>
<cs:colorStyle xmlns:cs="http://schemas.microsoft.com/office/drawing/2012/chartStyle" xmlns:a="http://schemas.openxmlformats.org/drawingml/2006/main" meth="withinLinearReversed" id="23">
  <a:schemeClr val="accent3"/>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1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A53D316-F69D-42B8-A84F-D58631E16C19}" type="doc">
      <dgm:prSet loTypeId="urn:microsoft.com/office/officeart/2005/8/layout/vList6" loCatId="list" qsTypeId="urn:microsoft.com/office/officeart/2005/8/quickstyle/simple1" qsCatId="simple" csTypeId="urn:microsoft.com/office/officeart/2005/8/colors/accent0_1" csCatId="mainScheme" phldr="1"/>
      <dgm:spPr/>
      <dgm:t>
        <a:bodyPr/>
        <a:lstStyle/>
        <a:p>
          <a:endParaRPr lang="uk-UA"/>
        </a:p>
      </dgm:t>
    </dgm:pt>
    <dgm:pt modelId="{B09C4420-CB5A-4592-BA0E-BEAEDEA3B36F}">
      <dgm:prSet phldrT="[Текст]" custT="1"/>
      <dgm:spPr/>
      <dgm:t>
        <a:bodyPr/>
        <a:lstStyle/>
        <a:p>
          <a:r>
            <a:rPr lang="uk-UA" sz="1400">
              <a:latin typeface="Times New Roman" pitchFamily="18" charset="0"/>
              <a:cs typeface="Times New Roman" pitchFamily="18" charset="0"/>
            </a:rPr>
            <a:t>Внутрішні комунікації (персонал, команда)</a:t>
          </a:r>
        </a:p>
      </dgm:t>
    </dgm:pt>
    <dgm:pt modelId="{97E46663-87D1-4169-A5EA-330817FBB375}" type="parTrans" cxnId="{D46A239F-CCE1-4032-B3D2-C317437B516F}">
      <dgm:prSet/>
      <dgm:spPr/>
      <dgm:t>
        <a:bodyPr/>
        <a:lstStyle/>
        <a:p>
          <a:endParaRPr lang="uk-UA"/>
        </a:p>
      </dgm:t>
    </dgm:pt>
    <dgm:pt modelId="{25C4BDEF-C77E-4EA4-BE78-A621F63FD5D8}" type="sibTrans" cxnId="{D46A239F-CCE1-4032-B3D2-C317437B516F}">
      <dgm:prSet/>
      <dgm:spPr/>
      <dgm:t>
        <a:bodyPr/>
        <a:lstStyle/>
        <a:p>
          <a:endParaRPr lang="uk-UA"/>
        </a:p>
      </dgm:t>
    </dgm:pt>
    <dgm:pt modelId="{AB880F36-8661-43A6-A2E3-D392698A522D}">
      <dgm:prSet phldrT="[Текст]" custT="1"/>
      <dgm:spPr/>
      <dgm:t>
        <a:bodyPr/>
        <a:lstStyle/>
        <a:p>
          <a:pPr>
            <a:spcAft>
              <a:spcPts val="0"/>
            </a:spcAft>
          </a:pPr>
          <a:r>
            <a:rPr lang="uk-UA" sz="1400">
              <a:latin typeface="Times New Roman" pitchFamily="18" charset="0"/>
              <a:cs typeface="Times New Roman" pitchFamily="18" charset="0"/>
            </a:rPr>
            <a:t>мотивація</a:t>
          </a:r>
        </a:p>
      </dgm:t>
    </dgm:pt>
    <dgm:pt modelId="{46913849-73BE-4CB0-9F2A-8FF6C2D46DAA}" type="parTrans" cxnId="{71ADACC2-2560-4A4E-9FF7-CE87038EF6F0}">
      <dgm:prSet/>
      <dgm:spPr/>
      <dgm:t>
        <a:bodyPr/>
        <a:lstStyle/>
        <a:p>
          <a:endParaRPr lang="uk-UA"/>
        </a:p>
      </dgm:t>
    </dgm:pt>
    <dgm:pt modelId="{331A8C6F-C6D8-4455-9AAD-3CBEB587B177}" type="sibTrans" cxnId="{71ADACC2-2560-4A4E-9FF7-CE87038EF6F0}">
      <dgm:prSet/>
      <dgm:spPr/>
      <dgm:t>
        <a:bodyPr/>
        <a:lstStyle/>
        <a:p>
          <a:endParaRPr lang="uk-UA"/>
        </a:p>
      </dgm:t>
    </dgm:pt>
    <dgm:pt modelId="{1F762764-1C67-4FBA-A167-E770E8029BF5}">
      <dgm:prSet phldrT="[Текст]" custT="1"/>
      <dgm:spPr/>
      <dgm:t>
        <a:bodyPr/>
        <a:lstStyle/>
        <a:p>
          <a:r>
            <a:rPr lang="uk-UA" sz="1400">
              <a:latin typeface="Times New Roman" pitchFamily="18" charset="0"/>
              <a:cs typeface="Times New Roman" pitchFamily="18" charset="0"/>
            </a:rPr>
            <a:t>Зовнішні комунікації (клієнти, партнери, постачальники, громадськість,  конкуренти, ЗМІ, органи влади і т.д)</a:t>
          </a:r>
        </a:p>
      </dgm:t>
    </dgm:pt>
    <dgm:pt modelId="{A93CE997-404E-40C6-8946-4FC0B935CB56}" type="parTrans" cxnId="{3C37EF2A-55C0-4E5E-B4FD-2F4A05DF5911}">
      <dgm:prSet/>
      <dgm:spPr/>
      <dgm:t>
        <a:bodyPr/>
        <a:lstStyle/>
        <a:p>
          <a:endParaRPr lang="uk-UA"/>
        </a:p>
      </dgm:t>
    </dgm:pt>
    <dgm:pt modelId="{4344ED9E-E7BE-4BBF-8EC3-561478707A92}" type="sibTrans" cxnId="{3C37EF2A-55C0-4E5E-B4FD-2F4A05DF5911}">
      <dgm:prSet/>
      <dgm:spPr/>
      <dgm:t>
        <a:bodyPr/>
        <a:lstStyle/>
        <a:p>
          <a:endParaRPr lang="uk-UA"/>
        </a:p>
      </dgm:t>
    </dgm:pt>
    <dgm:pt modelId="{5F336BB2-544A-46B4-BC8F-05527EADF757}">
      <dgm:prSet phldrT="[Текст]" custT="1"/>
      <dgm:spPr/>
      <dgm:t>
        <a:bodyPr/>
        <a:lstStyle/>
        <a:p>
          <a:pPr>
            <a:spcAft>
              <a:spcPts val="0"/>
            </a:spcAft>
          </a:pPr>
          <a:r>
            <a:rPr lang="uk-UA" sz="1400">
              <a:latin typeface="Times New Roman" pitchFamily="18" charset="0"/>
              <a:cs typeface="Times New Roman" pitchFamily="18" charset="0"/>
            </a:rPr>
            <a:t>залучення і утримання клієнтів</a:t>
          </a:r>
        </a:p>
      </dgm:t>
    </dgm:pt>
    <dgm:pt modelId="{C3F20AB8-9EB8-46EC-86B7-D69BBE1E8EA9}" type="parTrans" cxnId="{70430A6B-2FDC-4233-8293-35130560C239}">
      <dgm:prSet/>
      <dgm:spPr/>
      <dgm:t>
        <a:bodyPr/>
        <a:lstStyle/>
        <a:p>
          <a:endParaRPr lang="uk-UA"/>
        </a:p>
      </dgm:t>
    </dgm:pt>
    <dgm:pt modelId="{D985D87E-D2AD-4E76-9CFB-137BB2777343}" type="sibTrans" cxnId="{70430A6B-2FDC-4233-8293-35130560C239}">
      <dgm:prSet/>
      <dgm:spPr/>
      <dgm:t>
        <a:bodyPr/>
        <a:lstStyle/>
        <a:p>
          <a:endParaRPr lang="uk-UA"/>
        </a:p>
      </dgm:t>
    </dgm:pt>
    <dgm:pt modelId="{A3A69CBA-0BC6-4BBE-9A0F-22D6676E2C2C}">
      <dgm:prSet phldrT="[Текст]" custT="1"/>
      <dgm:spPr/>
      <dgm:t>
        <a:bodyPr/>
        <a:lstStyle/>
        <a:p>
          <a:pPr>
            <a:spcAft>
              <a:spcPts val="0"/>
            </a:spcAft>
          </a:pPr>
          <a:r>
            <a:rPr lang="uk-UA" sz="1400">
              <a:latin typeface="Times New Roman" pitchFamily="18" charset="0"/>
              <a:cs typeface="Times New Roman" pitchFamily="18" charset="0"/>
            </a:rPr>
            <a:t>впровадження змін</a:t>
          </a:r>
        </a:p>
      </dgm:t>
    </dgm:pt>
    <dgm:pt modelId="{85D185E6-7436-4BDD-A56D-78BD1401F16F}" type="parTrans" cxnId="{F94FC369-3603-4A79-91B3-7BFCDB882894}">
      <dgm:prSet/>
      <dgm:spPr/>
      <dgm:t>
        <a:bodyPr/>
        <a:lstStyle/>
        <a:p>
          <a:endParaRPr lang="uk-UA"/>
        </a:p>
      </dgm:t>
    </dgm:pt>
    <dgm:pt modelId="{4F8F403C-12E6-4C90-843C-BC5D8A175260}" type="sibTrans" cxnId="{F94FC369-3603-4A79-91B3-7BFCDB882894}">
      <dgm:prSet/>
      <dgm:spPr/>
      <dgm:t>
        <a:bodyPr/>
        <a:lstStyle/>
        <a:p>
          <a:endParaRPr lang="uk-UA"/>
        </a:p>
      </dgm:t>
    </dgm:pt>
    <dgm:pt modelId="{7A927F57-7E81-4D75-B800-9C34655E9F70}">
      <dgm:prSet phldrT="[Текст]" custT="1"/>
      <dgm:spPr/>
      <dgm:t>
        <a:bodyPr/>
        <a:lstStyle/>
        <a:p>
          <a:pPr>
            <a:spcAft>
              <a:spcPts val="0"/>
            </a:spcAft>
          </a:pPr>
          <a:r>
            <a:rPr lang="uk-UA" sz="1400">
              <a:latin typeface="Times New Roman" pitchFamily="18" charset="0"/>
              <a:cs typeface="Times New Roman" pitchFamily="18" charset="0"/>
            </a:rPr>
            <a:t>реалізація програм оцінки та професійного розвитку</a:t>
          </a:r>
        </a:p>
      </dgm:t>
    </dgm:pt>
    <dgm:pt modelId="{A3166247-42B2-4882-9CF2-59BE9D0098B1}" type="parTrans" cxnId="{733AA8C1-43A8-44DF-9F64-00AF0B9F0AB3}">
      <dgm:prSet/>
      <dgm:spPr/>
      <dgm:t>
        <a:bodyPr/>
        <a:lstStyle/>
        <a:p>
          <a:endParaRPr lang="uk-UA"/>
        </a:p>
      </dgm:t>
    </dgm:pt>
    <dgm:pt modelId="{2FBF7B5F-68C3-4BCC-AFE3-4E510C846FC8}" type="sibTrans" cxnId="{733AA8C1-43A8-44DF-9F64-00AF0B9F0AB3}">
      <dgm:prSet/>
      <dgm:spPr/>
      <dgm:t>
        <a:bodyPr/>
        <a:lstStyle/>
        <a:p>
          <a:endParaRPr lang="uk-UA"/>
        </a:p>
      </dgm:t>
    </dgm:pt>
    <dgm:pt modelId="{2D1EEC76-A635-4973-A807-C600610EC722}">
      <dgm:prSet phldrT="[Текст]" custT="1"/>
      <dgm:spPr/>
      <dgm:t>
        <a:bodyPr/>
        <a:lstStyle/>
        <a:p>
          <a:pPr>
            <a:spcAft>
              <a:spcPts val="0"/>
            </a:spcAft>
          </a:pPr>
          <a:r>
            <a:rPr lang="uk-UA" sz="1400">
              <a:latin typeface="Times New Roman" pitchFamily="18" charset="0"/>
              <a:cs typeface="Times New Roman" pitchFamily="18" charset="0"/>
            </a:rPr>
            <a:t>формування та розвиток організаційної культури</a:t>
          </a:r>
        </a:p>
      </dgm:t>
    </dgm:pt>
    <dgm:pt modelId="{99D62D23-51ED-4F41-98BC-95798296A1D3}" type="parTrans" cxnId="{21BB67AC-2C79-4DE4-B884-81AE7E4C1BA6}">
      <dgm:prSet/>
      <dgm:spPr/>
      <dgm:t>
        <a:bodyPr/>
        <a:lstStyle/>
        <a:p>
          <a:endParaRPr lang="uk-UA"/>
        </a:p>
      </dgm:t>
    </dgm:pt>
    <dgm:pt modelId="{398A0207-635D-4B3C-9D81-9D0EC7EC9305}" type="sibTrans" cxnId="{21BB67AC-2C79-4DE4-B884-81AE7E4C1BA6}">
      <dgm:prSet/>
      <dgm:spPr/>
      <dgm:t>
        <a:bodyPr/>
        <a:lstStyle/>
        <a:p>
          <a:endParaRPr lang="uk-UA"/>
        </a:p>
      </dgm:t>
    </dgm:pt>
    <dgm:pt modelId="{7AED37FD-D20B-43AA-862E-D653ED7602A7}">
      <dgm:prSet phldrT="[Текст]" custT="1"/>
      <dgm:spPr/>
      <dgm:t>
        <a:bodyPr/>
        <a:lstStyle/>
        <a:p>
          <a:pPr>
            <a:spcAft>
              <a:spcPts val="0"/>
            </a:spcAft>
          </a:pPr>
          <a:r>
            <a:rPr lang="uk-UA" sz="1400">
              <a:latin typeface="Times New Roman" pitchFamily="18" charset="0"/>
              <a:cs typeface="Times New Roman" pitchFamily="18" charset="0"/>
            </a:rPr>
            <a:t>формування іміджу</a:t>
          </a:r>
        </a:p>
      </dgm:t>
    </dgm:pt>
    <dgm:pt modelId="{85969795-25D0-422A-B89B-7A34FCA30229}" type="parTrans" cxnId="{C25A6FEC-63AC-46D0-B399-C2E90379E6EE}">
      <dgm:prSet/>
      <dgm:spPr/>
      <dgm:t>
        <a:bodyPr/>
        <a:lstStyle/>
        <a:p>
          <a:endParaRPr lang="uk-UA"/>
        </a:p>
      </dgm:t>
    </dgm:pt>
    <dgm:pt modelId="{18884EE4-1837-4B17-A96B-D7258D3A29B0}" type="sibTrans" cxnId="{C25A6FEC-63AC-46D0-B399-C2E90379E6EE}">
      <dgm:prSet/>
      <dgm:spPr/>
      <dgm:t>
        <a:bodyPr/>
        <a:lstStyle/>
        <a:p>
          <a:endParaRPr lang="uk-UA"/>
        </a:p>
      </dgm:t>
    </dgm:pt>
    <dgm:pt modelId="{C1F3B380-53F9-4052-8EAB-87125357428A}">
      <dgm:prSet phldrT="[Текст]" custT="1"/>
      <dgm:spPr/>
      <dgm:t>
        <a:bodyPr/>
        <a:lstStyle/>
        <a:p>
          <a:pPr>
            <a:spcAft>
              <a:spcPts val="0"/>
            </a:spcAft>
          </a:pPr>
          <a:r>
            <a:rPr lang="uk-UA" sz="1400">
              <a:latin typeface="Times New Roman" pitchFamily="18" charset="0"/>
              <a:cs typeface="Times New Roman" pitchFamily="18" charset="0"/>
            </a:rPr>
            <a:t>залучення талантів</a:t>
          </a:r>
        </a:p>
      </dgm:t>
    </dgm:pt>
    <dgm:pt modelId="{29E15C54-F987-4703-A906-A1314ACF8689}" type="parTrans" cxnId="{CB121497-ABC5-45AB-9ADB-3B9EB4E81113}">
      <dgm:prSet/>
      <dgm:spPr/>
      <dgm:t>
        <a:bodyPr/>
        <a:lstStyle/>
        <a:p>
          <a:endParaRPr lang="uk-UA"/>
        </a:p>
      </dgm:t>
    </dgm:pt>
    <dgm:pt modelId="{BBE89573-0EFE-490A-AC7D-0813DC75EDC4}" type="sibTrans" cxnId="{CB121497-ABC5-45AB-9ADB-3B9EB4E81113}">
      <dgm:prSet/>
      <dgm:spPr/>
      <dgm:t>
        <a:bodyPr/>
        <a:lstStyle/>
        <a:p>
          <a:endParaRPr lang="uk-UA"/>
        </a:p>
      </dgm:t>
    </dgm:pt>
    <dgm:pt modelId="{6E9C021C-368A-4F5A-A4AA-6F2CCD419463}">
      <dgm:prSet phldrT="[Текст]" custT="1"/>
      <dgm:spPr/>
      <dgm:t>
        <a:bodyPr/>
        <a:lstStyle/>
        <a:p>
          <a:pPr>
            <a:spcAft>
              <a:spcPts val="0"/>
            </a:spcAft>
          </a:pPr>
          <a:r>
            <a:rPr lang="uk-UA" sz="1400">
              <a:latin typeface="Times New Roman" pitchFamily="18" charset="0"/>
              <a:cs typeface="Times New Roman" pitchFamily="18" charset="0"/>
            </a:rPr>
            <a:t>зростання доходів</a:t>
          </a:r>
        </a:p>
      </dgm:t>
    </dgm:pt>
    <dgm:pt modelId="{F6907FD9-116C-4286-8620-869A35E2D1C9}" type="parTrans" cxnId="{4E496696-AF76-4049-876C-6088993626CE}">
      <dgm:prSet/>
      <dgm:spPr/>
      <dgm:t>
        <a:bodyPr/>
        <a:lstStyle/>
        <a:p>
          <a:endParaRPr lang="uk-UA"/>
        </a:p>
      </dgm:t>
    </dgm:pt>
    <dgm:pt modelId="{22C65146-F18A-4FB8-9024-ECCD513538E0}" type="sibTrans" cxnId="{4E496696-AF76-4049-876C-6088993626CE}">
      <dgm:prSet/>
      <dgm:spPr/>
      <dgm:t>
        <a:bodyPr/>
        <a:lstStyle/>
        <a:p>
          <a:endParaRPr lang="uk-UA"/>
        </a:p>
      </dgm:t>
    </dgm:pt>
    <dgm:pt modelId="{A0A86C06-9866-4A73-A5ED-0E8E4498E7E3}">
      <dgm:prSet phldrT="[Текст]" custT="1"/>
      <dgm:spPr/>
      <dgm:t>
        <a:bodyPr/>
        <a:lstStyle/>
        <a:p>
          <a:pPr>
            <a:spcAft>
              <a:spcPts val="0"/>
            </a:spcAft>
          </a:pPr>
          <a:r>
            <a:rPr lang="uk-UA" sz="1400">
              <a:latin typeface="Times New Roman" pitchFamily="18" charset="0"/>
              <a:cs typeface="Times New Roman" pitchFamily="18" charset="0"/>
            </a:rPr>
            <a:t>пошук інвесторів та партнерів</a:t>
          </a:r>
        </a:p>
      </dgm:t>
    </dgm:pt>
    <dgm:pt modelId="{5683442F-722B-4D20-B97D-23BC41021786}" type="parTrans" cxnId="{216D2430-CC8A-4BCF-B2C0-A4DE5071FBE9}">
      <dgm:prSet/>
      <dgm:spPr/>
      <dgm:t>
        <a:bodyPr/>
        <a:lstStyle/>
        <a:p>
          <a:endParaRPr lang="uk-UA"/>
        </a:p>
      </dgm:t>
    </dgm:pt>
    <dgm:pt modelId="{616B10B1-0723-4B76-8A2D-805FD88889A2}" type="sibTrans" cxnId="{216D2430-CC8A-4BCF-B2C0-A4DE5071FBE9}">
      <dgm:prSet/>
      <dgm:spPr/>
      <dgm:t>
        <a:bodyPr/>
        <a:lstStyle/>
        <a:p>
          <a:endParaRPr lang="uk-UA"/>
        </a:p>
      </dgm:t>
    </dgm:pt>
    <dgm:pt modelId="{E7A05EC4-4633-4812-B1A3-20AC9127C145}">
      <dgm:prSet phldrT="[Текст]"/>
      <dgm:spPr/>
      <dgm:t>
        <a:bodyPr/>
        <a:lstStyle/>
        <a:p>
          <a:pPr>
            <a:spcAft>
              <a:spcPct val="15000"/>
            </a:spcAft>
          </a:pPr>
          <a:endParaRPr lang="uk-UA" sz="600"/>
        </a:p>
      </dgm:t>
    </dgm:pt>
    <dgm:pt modelId="{A294506D-9752-4065-ABC8-F4CCA9307B60}" type="parTrans" cxnId="{42D69D9D-A49F-4688-A571-5286327AA88E}">
      <dgm:prSet/>
      <dgm:spPr/>
      <dgm:t>
        <a:bodyPr/>
        <a:lstStyle/>
        <a:p>
          <a:endParaRPr lang="uk-UA"/>
        </a:p>
      </dgm:t>
    </dgm:pt>
    <dgm:pt modelId="{FF0F4747-1B3F-451E-BBC1-B160E18FF00C}" type="sibTrans" cxnId="{42D69D9D-A49F-4688-A571-5286327AA88E}">
      <dgm:prSet/>
      <dgm:spPr/>
      <dgm:t>
        <a:bodyPr/>
        <a:lstStyle/>
        <a:p>
          <a:endParaRPr lang="uk-UA"/>
        </a:p>
      </dgm:t>
    </dgm:pt>
    <dgm:pt modelId="{45BA2A9B-AAA0-4221-BF7F-4A196DB45F14}">
      <dgm:prSet phldrT="[Текст]" custT="1"/>
      <dgm:spPr/>
      <dgm:t>
        <a:bodyPr/>
        <a:lstStyle/>
        <a:p>
          <a:pPr>
            <a:spcAft>
              <a:spcPts val="0"/>
            </a:spcAft>
          </a:pPr>
          <a:r>
            <a:rPr lang="uk-UA" sz="1400">
              <a:latin typeface="Times New Roman" pitchFamily="18" charset="0"/>
              <a:cs typeface="Times New Roman" pitchFamily="18" charset="0"/>
            </a:rPr>
            <a:t>розстановка кадрів</a:t>
          </a:r>
        </a:p>
      </dgm:t>
    </dgm:pt>
    <dgm:pt modelId="{351F67B6-5405-4E57-B5F3-C318ED9771B4}" type="parTrans" cxnId="{F6ADB150-8024-4A8A-809C-C62871B58F74}">
      <dgm:prSet/>
      <dgm:spPr/>
      <dgm:t>
        <a:bodyPr/>
        <a:lstStyle/>
        <a:p>
          <a:endParaRPr lang="uk-UA"/>
        </a:p>
      </dgm:t>
    </dgm:pt>
    <dgm:pt modelId="{FFE117CB-BF28-48FA-8390-3D0BCA843A68}" type="sibTrans" cxnId="{F6ADB150-8024-4A8A-809C-C62871B58F74}">
      <dgm:prSet/>
      <dgm:spPr/>
      <dgm:t>
        <a:bodyPr/>
        <a:lstStyle/>
        <a:p>
          <a:endParaRPr lang="uk-UA"/>
        </a:p>
      </dgm:t>
    </dgm:pt>
    <dgm:pt modelId="{5A645D22-DAFE-4CE5-9A5D-C1DF35661574}">
      <dgm:prSet phldrT="[Текст]"/>
      <dgm:spPr/>
      <dgm:t>
        <a:bodyPr/>
        <a:lstStyle/>
        <a:p>
          <a:pPr>
            <a:spcAft>
              <a:spcPct val="15000"/>
            </a:spcAft>
          </a:pPr>
          <a:endParaRPr lang="uk-UA" sz="600"/>
        </a:p>
      </dgm:t>
    </dgm:pt>
    <dgm:pt modelId="{E101992A-906C-4016-82FA-427705E4E8B2}" type="parTrans" cxnId="{1D09E33F-0C7B-4129-8894-D56E5E2363B5}">
      <dgm:prSet/>
      <dgm:spPr/>
      <dgm:t>
        <a:bodyPr/>
        <a:lstStyle/>
        <a:p>
          <a:endParaRPr lang="uk-UA"/>
        </a:p>
      </dgm:t>
    </dgm:pt>
    <dgm:pt modelId="{D1E42D93-4935-4548-B709-EE7F4F5E640C}" type="sibTrans" cxnId="{1D09E33F-0C7B-4129-8894-D56E5E2363B5}">
      <dgm:prSet/>
      <dgm:spPr/>
      <dgm:t>
        <a:bodyPr/>
        <a:lstStyle/>
        <a:p>
          <a:endParaRPr lang="uk-UA"/>
        </a:p>
      </dgm:t>
    </dgm:pt>
    <dgm:pt modelId="{A686A471-446F-4C7B-B252-22658D32FB12}">
      <dgm:prSet phldrT="[Текст]" custT="1"/>
      <dgm:spPr/>
      <dgm:t>
        <a:bodyPr/>
        <a:lstStyle/>
        <a:p>
          <a:pPr>
            <a:spcAft>
              <a:spcPts val="0"/>
            </a:spcAft>
          </a:pPr>
          <a:r>
            <a:rPr lang="uk-UA" sz="1400">
              <a:latin typeface="Times New Roman" pitchFamily="18" charset="0"/>
              <a:cs typeface="Times New Roman" pitchFamily="18" charset="0"/>
            </a:rPr>
            <a:t>створення інформаційних потоків, систем збору інформації</a:t>
          </a:r>
        </a:p>
      </dgm:t>
    </dgm:pt>
    <dgm:pt modelId="{6F429331-144A-42D3-8A55-73D6C4A940F0}" type="parTrans" cxnId="{DB89B9ED-969B-4374-BF82-A34046DAEEC9}">
      <dgm:prSet/>
      <dgm:spPr/>
      <dgm:t>
        <a:bodyPr/>
        <a:lstStyle/>
        <a:p>
          <a:endParaRPr lang="uk-UA"/>
        </a:p>
      </dgm:t>
    </dgm:pt>
    <dgm:pt modelId="{BD4A388D-8CC9-40BF-872A-42E3ADA1B2AF}" type="sibTrans" cxnId="{DB89B9ED-969B-4374-BF82-A34046DAEEC9}">
      <dgm:prSet/>
      <dgm:spPr/>
      <dgm:t>
        <a:bodyPr/>
        <a:lstStyle/>
        <a:p>
          <a:endParaRPr lang="uk-UA"/>
        </a:p>
      </dgm:t>
    </dgm:pt>
    <dgm:pt modelId="{0D2CB6D8-BCB2-4CF4-865D-0E503FAA5747}">
      <dgm:prSet phldrT="[Текст]" custT="1"/>
      <dgm:spPr/>
      <dgm:t>
        <a:bodyPr/>
        <a:lstStyle/>
        <a:p>
          <a:pPr>
            <a:spcAft>
              <a:spcPts val="0"/>
            </a:spcAft>
          </a:pPr>
          <a:r>
            <a:rPr lang="uk-UA" sz="1400">
              <a:latin typeface="Times New Roman" pitchFamily="18" charset="0"/>
              <a:cs typeface="Times New Roman" pitchFamily="18" charset="0"/>
            </a:rPr>
            <a:t>формування інформаційних баз</a:t>
          </a:r>
        </a:p>
      </dgm:t>
    </dgm:pt>
    <dgm:pt modelId="{A5EFA9CE-09AE-483D-8A5B-05C7F81507C4}" type="parTrans" cxnId="{4AAE5D06-6819-4441-A5C5-1AED2D958254}">
      <dgm:prSet/>
      <dgm:spPr/>
      <dgm:t>
        <a:bodyPr/>
        <a:lstStyle/>
        <a:p>
          <a:endParaRPr lang="uk-UA"/>
        </a:p>
      </dgm:t>
    </dgm:pt>
    <dgm:pt modelId="{C5237B20-D6F4-4726-8953-12D39A5D98BA}" type="sibTrans" cxnId="{4AAE5D06-6819-4441-A5C5-1AED2D958254}">
      <dgm:prSet/>
      <dgm:spPr/>
      <dgm:t>
        <a:bodyPr/>
        <a:lstStyle/>
        <a:p>
          <a:endParaRPr lang="uk-UA"/>
        </a:p>
      </dgm:t>
    </dgm:pt>
    <dgm:pt modelId="{FEAEBE3A-0583-4E97-8702-51DAEA4DE654}">
      <dgm:prSet phldrT="[Текст]" custT="1"/>
      <dgm:spPr/>
      <dgm:t>
        <a:bodyPr/>
        <a:lstStyle/>
        <a:p>
          <a:pPr>
            <a:spcAft>
              <a:spcPts val="0"/>
            </a:spcAft>
          </a:pPr>
          <a:r>
            <a:rPr lang="uk-UA" sz="1400">
              <a:latin typeface="Times New Roman" pitchFamily="18" charset="0"/>
              <a:cs typeface="Times New Roman" pitchFamily="18" charset="0"/>
            </a:rPr>
            <a:t>управління командою</a:t>
          </a:r>
        </a:p>
      </dgm:t>
    </dgm:pt>
    <dgm:pt modelId="{42CEF07F-63E5-4C75-B8D0-0CD3B06FB03A}" type="parTrans" cxnId="{A8B1347C-16FB-4337-86AC-56014A4106EB}">
      <dgm:prSet/>
      <dgm:spPr/>
      <dgm:t>
        <a:bodyPr/>
        <a:lstStyle/>
        <a:p>
          <a:endParaRPr lang="uk-UA"/>
        </a:p>
      </dgm:t>
    </dgm:pt>
    <dgm:pt modelId="{0D02F795-E1AF-45BD-A365-C6ED61385059}" type="sibTrans" cxnId="{A8B1347C-16FB-4337-86AC-56014A4106EB}">
      <dgm:prSet/>
      <dgm:spPr/>
      <dgm:t>
        <a:bodyPr/>
        <a:lstStyle/>
        <a:p>
          <a:endParaRPr lang="uk-UA"/>
        </a:p>
      </dgm:t>
    </dgm:pt>
    <dgm:pt modelId="{9CB10ABD-40BA-47CF-AA77-66082C11EB89}" type="pres">
      <dgm:prSet presAssocID="{DA53D316-F69D-42B8-A84F-D58631E16C19}" presName="Name0" presStyleCnt="0">
        <dgm:presLayoutVars>
          <dgm:dir/>
          <dgm:animLvl val="lvl"/>
          <dgm:resizeHandles/>
        </dgm:presLayoutVars>
      </dgm:prSet>
      <dgm:spPr/>
    </dgm:pt>
    <dgm:pt modelId="{1EF7064B-A863-4E85-A02C-F94E7A48DE66}" type="pres">
      <dgm:prSet presAssocID="{B09C4420-CB5A-4592-BA0E-BEAEDEA3B36F}" presName="linNode" presStyleCnt="0"/>
      <dgm:spPr/>
    </dgm:pt>
    <dgm:pt modelId="{14218FC3-16AF-4D16-80CB-14A1531831C4}" type="pres">
      <dgm:prSet presAssocID="{B09C4420-CB5A-4592-BA0E-BEAEDEA3B36F}" presName="parentShp" presStyleLbl="node1" presStyleIdx="0" presStyleCnt="2">
        <dgm:presLayoutVars>
          <dgm:bulletEnabled val="1"/>
        </dgm:presLayoutVars>
      </dgm:prSet>
      <dgm:spPr/>
    </dgm:pt>
    <dgm:pt modelId="{0C587405-407F-41F2-9857-ED3475EE7C6D}" type="pres">
      <dgm:prSet presAssocID="{B09C4420-CB5A-4592-BA0E-BEAEDEA3B36F}" presName="childShp" presStyleLbl="bgAccFollowNode1" presStyleIdx="0" presStyleCnt="2" custScaleY="105049">
        <dgm:presLayoutVars>
          <dgm:bulletEnabled val="1"/>
        </dgm:presLayoutVars>
      </dgm:prSet>
      <dgm:spPr/>
    </dgm:pt>
    <dgm:pt modelId="{A466F03F-109A-4F43-AE1C-438D41967F27}" type="pres">
      <dgm:prSet presAssocID="{25C4BDEF-C77E-4EA4-BE78-A621F63FD5D8}" presName="spacing" presStyleCnt="0"/>
      <dgm:spPr/>
    </dgm:pt>
    <dgm:pt modelId="{0FB69167-70A7-4514-A968-AD9C67EF2A3F}" type="pres">
      <dgm:prSet presAssocID="{1F762764-1C67-4FBA-A167-E770E8029BF5}" presName="linNode" presStyleCnt="0"/>
      <dgm:spPr/>
    </dgm:pt>
    <dgm:pt modelId="{C3FD823C-2689-4B2D-B2A1-254477A2F762}" type="pres">
      <dgm:prSet presAssocID="{1F762764-1C67-4FBA-A167-E770E8029BF5}" presName="parentShp" presStyleLbl="node1" presStyleIdx="1" presStyleCnt="2">
        <dgm:presLayoutVars>
          <dgm:bulletEnabled val="1"/>
        </dgm:presLayoutVars>
      </dgm:prSet>
      <dgm:spPr/>
    </dgm:pt>
    <dgm:pt modelId="{DF8038DF-4C83-4C07-B100-5295E8D109EB}" type="pres">
      <dgm:prSet presAssocID="{1F762764-1C67-4FBA-A167-E770E8029BF5}" presName="childShp" presStyleLbl="bgAccFollowNode1" presStyleIdx="1" presStyleCnt="2" custScaleY="90783">
        <dgm:presLayoutVars>
          <dgm:bulletEnabled val="1"/>
        </dgm:presLayoutVars>
      </dgm:prSet>
      <dgm:spPr/>
    </dgm:pt>
  </dgm:ptLst>
  <dgm:cxnLst>
    <dgm:cxn modelId="{4AAE5D06-6819-4441-A5C5-1AED2D958254}" srcId="{B09C4420-CB5A-4592-BA0E-BEAEDEA3B36F}" destId="{0D2CB6D8-BCB2-4CF4-865D-0E503FAA5747}" srcOrd="6" destOrd="0" parTransId="{A5EFA9CE-09AE-483D-8A5B-05C7F81507C4}" sibTransId="{C5237B20-D6F4-4726-8953-12D39A5D98BA}"/>
    <dgm:cxn modelId="{95D3FB0F-DF8F-4CCA-8045-CCA7ACEBFCBD}" type="presOf" srcId="{5A645D22-DAFE-4CE5-9A5D-C1DF35661574}" destId="{0C587405-407F-41F2-9857-ED3475EE7C6D}" srcOrd="0" destOrd="7" presId="urn:microsoft.com/office/officeart/2005/8/layout/vList6"/>
    <dgm:cxn modelId="{88816A17-2C97-4F9B-85AC-F6694CEA10D7}" type="presOf" srcId="{A3A69CBA-0BC6-4BBE-9A0F-22D6676E2C2C}" destId="{0C587405-407F-41F2-9857-ED3475EE7C6D}" srcOrd="0" destOrd="2" presId="urn:microsoft.com/office/officeart/2005/8/layout/vList6"/>
    <dgm:cxn modelId="{FFC24220-1DFF-4136-889B-8F6304BD7034}" type="presOf" srcId="{1F762764-1C67-4FBA-A167-E770E8029BF5}" destId="{C3FD823C-2689-4B2D-B2A1-254477A2F762}" srcOrd="0" destOrd="0" presId="urn:microsoft.com/office/officeart/2005/8/layout/vList6"/>
    <dgm:cxn modelId="{D3D72022-2177-4545-AE22-9937203D4767}" type="presOf" srcId="{6E9C021C-368A-4F5A-A4AA-6F2CCD419463}" destId="{DF8038DF-4C83-4C07-B100-5295E8D109EB}" srcOrd="0" destOrd="3" presId="urn:microsoft.com/office/officeart/2005/8/layout/vList6"/>
    <dgm:cxn modelId="{3C37EF2A-55C0-4E5E-B4FD-2F4A05DF5911}" srcId="{DA53D316-F69D-42B8-A84F-D58631E16C19}" destId="{1F762764-1C67-4FBA-A167-E770E8029BF5}" srcOrd="1" destOrd="0" parTransId="{A93CE997-404E-40C6-8946-4FC0B935CB56}" sibTransId="{4344ED9E-E7BE-4BBF-8EC3-561478707A92}"/>
    <dgm:cxn modelId="{216D2430-CC8A-4BCF-B2C0-A4DE5071FBE9}" srcId="{1F762764-1C67-4FBA-A167-E770E8029BF5}" destId="{A0A86C06-9866-4A73-A5ED-0E8E4498E7E3}" srcOrd="4" destOrd="0" parTransId="{5683442F-722B-4D20-B97D-23BC41021786}" sibTransId="{616B10B1-0723-4B76-8A2D-805FD88889A2}"/>
    <dgm:cxn modelId="{1D09E33F-0C7B-4129-8894-D56E5E2363B5}" srcId="{B09C4420-CB5A-4592-BA0E-BEAEDEA3B36F}" destId="{5A645D22-DAFE-4CE5-9A5D-C1DF35661574}" srcOrd="7" destOrd="0" parTransId="{E101992A-906C-4016-82FA-427705E4E8B2}" sibTransId="{D1E42D93-4935-4548-B709-EE7F4F5E640C}"/>
    <dgm:cxn modelId="{2537675F-0DF3-49BE-89B9-B49E2C346942}" type="presOf" srcId="{7A927F57-7E81-4D75-B800-9C34655E9F70}" destId="{0C587405-407F-41F2-9857-ED3475EE7C6D}" srcOrd="0" destOrd="3" presId="urn:microsoft.com/office/officeart/2005/8/layout/vList6"/>
    <dgm:cxn modelId="{FC25D342-6D16-4E55-A609-CADE64541214}" type="presOf" srcId="{A0A86C06-9866-4A73-A5ED-0E8E4498E7E3}" destId="{DF8038DF-4C83-4C07-B100-5295E8D109EB}" srcOrd="0" destOrd="4" presId="urn:microsoft.com/office/officeart/2005/8/layout/vList6"/>
    <dgm:cxn modelId="{F94FC369-3603-4A79-91B3-7BFCDB882894}" srcId="{B09C4420-CB5A-4592-BA0E-BEAEDEA3B36F}" destId="{A3A69CBA-0BC6-4BBE-9A0F-22D6676E2C2C}" srcOrd="2" destOrd="0" parTransId="{85D185E6-7436-4BDD-A56D-78BD1401F16F}" sibTransId="{4F8F403C-12E6-4C90-843C-BC5D8A175260}"/>
    <dgm:cxn modelId="{70430A6B-2FDC-4233-8293-35130560C239}" srcId="{1F762764-1C67-4FBA-A167-E770E8029BF5}" destId="{5F336BB2-544A-46B4-BC8F-05527EADF757}" srcOrd="0" destOrd="0" parTransId="{C3F20AB8-9EB8-46EC-86B7-D69BBE1E8EA9}" sibTransId="{D985D87E-D2AD-4E76-9CFB-137BB2777343}"/>
    <dgm:cxn modelId="{CA738850-B8D2-43E8-AB1D-8BC682246547}" type="presOf" srcId="{B09C4420-CB5A-4592-BA0E-BEAEDEA3B36F}" destId="{14218FC3-16AF-4D16-80CB-14A1531831C4}" srcOrd="0" destOrd="0" presId="urn:microsoft.com/office/officeart/2005/8/layout/vList6"/>
    <dgm:cxn modelId="{F6ADB150-8024-4A8A-809C-C62871B58F74}" srcId="{B09C4420-CB5A-4592-BA0E-BEAEDEA3B36F}" destId="{45BA2A9B-AAA0-4221-BF7F-4A196DB45F14}" srcOrd="5" destOrd="0" parTransId="{351F67B6-5405-4E57-B5F3-C318ED9771B4}" sibTransId="{FFE117CB-BF28-48FA-8390-3D0BCA843A68}"/>
    <dgm:cxn modelId="{1C7CE658-B311-48BF-8E47-ED28A704CC84}" type="presOf" srcId="{DA53D316-F69D-42B8-A84F-D58631E16C19}" destId="{9CB10ABD-40BA-47CF-AA77-66082C11EB89}" srcOrd="0" destOrd="0" presId="urn:microsoft.com/office/officeart/2005/8/layout/vList6"/>
    <dgm:cxn modelId="{E5552F5A-12E8-4CBF-B360-C1B55095672E}" type="presOf" srcId="{C1F3B380-53F9-4052-8EAB-87125357428A}" destId="{DF8038DF-4C83-4C07-B100-5295E8D109EB}" srcOrd="0" destOrd="2" presId="urn:microsoft.com/office/officeart/2005/8/layout/vList6"/>
    <dgm:cxn modelId="{A8B1347C-16FB-4337-86AC-56014A4106EB}" srcId="{B09C4420-CB5A-4592-BA0E-BEAEDEA3B36F}" destId="{FEAEBE3A-0583-4E97-8702-51DAEA4DE654}" srcOrd="1" destOrd="0" parTransId="{42CEF07F-63E5-4C75-B8D0-0CD3B06FB03A}" sibTransId="{0D02F795-E1AF-45BD-A365-C6ED61385059}"/>
    <dgm:cxn modelId="{2A264284-223E-428C-B0FF-403EF61325D2}" type="presOf" srcId="{AB880F36-8661-43A6-A2E3-D392698A522D}" destId="{0C587405-407F-41F2-9857-ED3475EE7C6D}" srcOrd="0" destOrd="0" presId="urn:microsoft.com/office/officeart/2005/8/layout/vList6"/>
    <dgm:cxn modelId="{29407B89-2BBA-4914-861E-60FF2C852A8D}" type="presOf" srcId="{0D2CB6D8-BCB2-4CF4-865D-0E503FAA5747}" destId="{0C587405-407F-41F2-9857-ED3475EE7C6D}" srcOrd="0" destOrd="6" presId="urn:microsoft.com/office/officeart/2005/8/layout/vList6"/>
    <dgm:cxn modelId="{4E496696-AF76-4049-876C-6088993626CE}" srcId="{1F762764-1C67-4FBA-A167-E770E8029BF5}" destId="{6E9C021C-368A-4F5A-A4AA-6F2CCD419463}" srcOrd="3" destOrd="0" parTransId="{F6907FD9-116C-4286-8620-869A35E2D1C9}" sibTransId="{22C65146-F18A-4FB8-9024-ECCD513538E0}"/>
    <dgm:cxn modelId="{CB121497-ABC5-45AB-9ADB-3B9EB4E81113}" srcId="{1F762764-1C67-4FBA-A167-E770E8029BF5}" destId="{C1F3B380-53F9-4052-8EAB-87125357428A}" srcOrd="2" destOrd="0" parTransId="{29E15C54-F987-4703-A906-A1314ACF8689}" sibTransId="{BBE89573-0EFE-490A-AC7D-0813DC75EDC4}"/>
    <dgm:cxn modelId="{C8D82397-F424-4F26-BAEC-175877F87619}" type="presOf" srcId="{7AED37FD-D20B-43AA-862E-D653ED7602A7}" destId="{DF8038DF-4C83-4C07-B100-5295E8D109EB}" srcOrd="0" destOrd="1" presId="urn:microsoft.com/office/officeart/2005/8/layout/vList6"/>
    <dgm:cxn modelId="{42D69D9D-A49F-4688-A571-5286327AA88E}" srcId="{1F762764-1C67-4FBA-A167-E770E8029BF5}" destId="{E7A05EC4-4633-4812-B1A3-20AC9127C145}" srcOrd="6" destOrd="0" parTransId="{A294506D-9752-4065-ABC8-F4CCA9307B60}" sibTransId="{FF0F4747-1B3F-451E-BBC1-B160E18FF00C}"/>
    <dgm:cxn modelId="{D46A239F-CCE1-4032-B3D2-C317437B516F}" srcId="{DA53D316-F69D-42B8-A84F-D58631E16C19}" destId="{B09C4420-CB5A-4592-BA0E-BEAEDEA3B36F}" srcOrd="0" destOrd="0" parTransId="{97E46663-87D1-4169-A5EA-330817FBB375}" sibTransId="{25C4BDEF-C77E-4EA4-BE78-A621F63FD5D8}"/>
    <dgm:cxn modelId="{21BB67AC-2C79-4DE4-B884-81AE7E4C1BA6}" srcId="{B09C4420-CB5A-4592-BA0E-BEAEDEA3B36F}" destId="{2D1EEC76-A635-4973-A807-C600610EC722}" srcOrd="4" destOrd="0" parTransId="{99D62D23-51ED-4F41-98BC-95798296A1D3}" sibTransId="{398A0207-635D-4B3C-9D81-9D0EC7EC9305}"/>
    <dgm:cxn modelId="{8DB8D8AD-A467-4A98-A929-290428863EDE}" type="presOf" srcId="{5F336BB2-544A-46B4-BC8F-05527EADF757}" destId="{DF8038DF-4C83-4C07-B100-5295E8D109EB}" srcOrd="0" destOrd="0" presId="urn:microsoft.com/office/officeart/2005/8/layout/vList6"/>
    <dgm:cxn modelId="{6819D9B1-7F1B-4D5A-A998-7E3C018D3A96}" type="presOf" srcId="{A686A471-446F-4C7B-B252-22658D32FB12}" destId="{DF8038DF-4C83-4C07-B100-5295E8D109EB}" srcOrd="0" destOrd="5" presId="urn:microsoft.com/office/officeart/2005/8/layout/vList6"/>
    <dgm:cxn modelId="{584B41B9-9B48-4C94-A869-FF082E06AD4D}" type="presOf" srcId="{45BA2A9B-AAA0-4221-BF7F-4A196DB45F14}" destId="{0C587405-407F-41F2-9857-ED3475EE7C6D}" srcOrd="0" destOrd="5" presId="urn:microsoft.com/office/officeart/2005/8/layout/vList6"/>
    <dgm:cxn modelId="{733AA8C1-43A8-44DF-9F64-00AF0B9F0AB3}" srcId="{B09C4420-CB5A-4592-BA0E-BEAEDEA3B36F}" destId="{7A927F57-7E81-4D75-B800-9C34655E9F70}" srcOrd="3" destOrd="0" parTransId="{A3166247-42B2-4882-9CF2-59BE9D0098B1}" sibTransId="{2FBF7B5F-68C3-4BCC-AFE3-4E510C846FC8}"/>
    <dgm:cxn modelId="{71ADACC2-2560-4A4E-9FF7-CE87038EF6F0}" srcId="{B09C4420-CB5A-4592-BA0E-BEAEDEA3B36F}" destId="{AB880F36-8661-43A6-A2E3-D392698A522D}" srcOrd="0" destOrd="0" parTransId="{46913849-73BE-4CB0-9F2A-8FF6C2D46DAA}" sibTransId="{331A8C6F-C6D8-4455-9AAD-3CBEB587B177}"/>
    <dgm:cxn modelId="{99B0B7D7-F25D-4004-9757-2E500158EE23}" type="presOf" srcId="{E7A05EC4-4633-4812-B1A3-20AC9127C145}" destId="{DF8038DF-4C83-4C07-B100-5295E8D109EB}" srcOrd="0" destOrd="6" presId="urn:microsoft.com/office/officeart/2005/8/layout/vList6"/>
    <dgm:cxn modelId="{350FB3DB-FEFD-4D12-B4E5-BB8A2E90BBAA}" type="presOf" srcId="{FEAEBE3A-0583-4E97-8702-51DAEA4DE654}" destId="{0C587405-407F-41F2-9857-ED3475EE7C6D}" srcOrd="0" destOrd="1" presId="urn:microsoft.com/office/officeart/2005/8/layout/vList6"/>
    <dgm:cxn modelId="{D8E009E4-EB5F-49EC-89D4-577189B0E781}" type="presOf" srcId="{2D1EEC76-A635-4973-A807-C600610EC722}" destId="{0C587405-407F-41F2-9857-ED3475EE7C6D}" srcOrd="0" destOrd="4" presId="urn:microsoft.com/office/officeart/2005/8/layout/vList6"/>
    <dgm:cxn modelId="{C25A6FEC-63AC-46D0-B399-C2E90379E6EE}" srcId="{1F762764-1C67-4FBA-A167-E770E8029BF5}" destId="{7AED37FD-D20B-43AA-862E-D653ED7602A7}" srcOrd="1" destOrd="0" parTransId="{85969795-25D0-422A-B89B-7A34FCA30229}" sibTransId="{18884EE4-1837-4B17-A96B-D7258D3A29B0}"/>
    <dgm:cxn modelId="{DB89B9ED-969B-4374-BF82-A34046DAEEC9}" srcId="{1F762764-1C67-4FBA-A167-E770E8029BF5}" destId="{A686A471-446F-4C7B-B252-22658D32FB12}" srcOrd="5" destOrd="0" parTransId="{6F429331-144A-42D3-8A55-73D6C4A940F0}" sibTransId="{BD4A388D-8CC9-40BF-872A-42E3ADA1B2AF}"/>
    <dgm:cxn modelId="{EE7AE667-0626-4BED-9405-0159F56CA986}" type="presParOf" srcId="{9CB10ABD-40BA-47CF-AA77-66082C11EB89}" destId="{1EF7064B-A863-4E85-A02C-F94E7A48DE66}" srcOrd="0" destOrd="0" presId="urn:microsoft.com/office/officeart/2005/8/layout/vList6"/>
    <dgm:cxn modelId="{9C254872-8967-4CF6-AC24-E577EF43293A}" type="presParOf" srcId="{1EF7064B-A863-4E85-A02C-F94E7A48DE66}" destId="{14218FC3-16AF-4D16-80CB-14A1531831C4}" srcOrd="0" destOrd="0" presId="urn:microsoft.com/office/officeart/2005/8/layout/vList6"/>
    <dgm:cxn modelId="{31016D2C-36BD-4828-A80A-EB75D7CCA1DE}" type="presParOf" srcId="{1EF7064B-A863-4E85-A02C-F94E7A48DE66}" destId="{0C587405-407F-41F2-9857-ED3475EE7C6D}" srcOrd="1" destOrd="0" presId="urn:microsoft.com/office/officeart/2005/8/layout/vList6"/>
    <dgm:cxn modelId="{70943EF3-5590-42D6-A626-9F8CE157B330}" type="presParOf" srcId="{9CB10ABD-40BA-47CF-AA77-66082C11EB89}" destId="{A466F03F-109A-4F43-AE1C-438D41967F27}" srcOrd="1" destOrd="0" presId="urn:microsoft.com/office/officeart/2005/8/layout/vList6"/>
    <dgm:cxn modelId="{DCA25D83-BB62-4C81-8E2B-3CFB9A2087D3}" type="presParOf" srcId="{9CB10ABD-40BA-47CF-AA77-66082C11EB89}" destId="{0FB69167-70A7-4514-A968-AD9C67EF2A3F}" srcOrd="2" destOrd="0" presId="urn:microsoft.com/office/officeart/2005/8/layout/vList6"/>
    <dgm:cxn modelId="{3324CA2A-0DB5-42FB-8F5D-32165F23B4BA}" type="presParOf" srcId="{0FB69167-70A7-4514-A968-AD9C67EF2A3F}" destId="{C3FD823C-2689-4B2D-B2A1-254477A2F762}" srcOrd="0" destOrd="0" presId="urn:microsoft.com/office/officeart/2005/8/layout/vList6"/>
    <dgm:cxn modelId="{07D9039F-2D06-4817-93B9-10363DD42183}" type="presParOf" srcId="{0FB69167-70A7-4514-A968-AD9C67EF2A3F}" destId="{DF8038DF-4C83-4C07-B100-5295E8D109EB}" srcOrd="1" destOrd="0" presId="urn:microsoft.com/office/officeart/2005/8/layout/vList6"/>
  </dgm:cxnLst>
  <dgm:bg/>
  <dgm:whole/>
  <dgm:extLst>
    <a:ext uri="http://schemas.microsoft.com/office/drawing/2008/diagram">
      <dsp:dataModelExt xmlns:dsp="http://schemas.microsoft.com/office/drawing/2008/diagram" relId="rId9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46F3B22-5BFB-46A9-B7AA-1D9F300F1A76}" type="doc">
      <dgm:prSet loTypeId="urn:microsoft.com/office/officeart/2005/8/layout/bProcess4" loCatId="process" qsTypeId="urn:microsoft.com/office/officeart/2005/8/quickstyle/simple1" qsCatId="simple" csTypeId="urn:microsoft.com/office/officeart/2005/8/colors/accent0_1" csCatId="mainScheme" phldr="1"/>
      <dgm:spPr/>
      <dgm:t>
        <a:bodyPr/>
        <a:lstStyle/>
        <a:p>
          <a:endParaRPr lang="uk-UA"/>
        </a:p>
      </dgm:t>
    </dgm:pt>
    <dgm:pt modelId="{28764134-3A44-4BDF-A2B5-0D7F5714EEA0}">
      <dgm:prSet phldrT="[Текст]" custT="1"/>
      <dgm:spPr/>
      <dgm:t>
        <a:bodyPr/>
        <a:lstStyle/>
        <a:p>
          <a:r>
            <a:rPr lang="uk-UA" sz="1400" dirty="0">
              <a:latin typeface="Times New Roman" pitchFamily="18" charset="0"/>
              <a:cs typeface="Times New Roman" pitchFamily="18" charset="0"/>
            </a:rPr>
            <a:t>Комунікаційний аудит</a:t>
          </a:r>
        </a:p>
      </dgm:t>
    </dgm:pt>
    <dgm:pt modelId="{FCF48873-76D5-484D-A63F-E93A420AEC85}" type="parTrans" cxnId="{C08DEB99-56E8-4B48-A3DA-34322DE4723F}">
      <dgm:prSet/>
      <dgm:spPr/>
      <dgm:t>
        <a:bodyPr/>
        <a:lstStyle/>
        <a:p>
          <a:endParaRPr lang="uk-UA"/>
        </a:p>
      </dgm:t>
    </dgm:pt>
    <dgm:pt modelId="{FC2ABA1C-E76C-4F75-868A-D4D38B432F1F}" type="sibTrans" cxnId="{C08DEB99-56E8-4B48-A3DA-34322DE4723F}">
      <dgm:prSet/>
      <dgm:spPr/>
      <dgm:t>
        <a:bodyPr/>
        <a:lstStyle/>
        <a:p>
          <a:endParaRPr lang="uk-UA"/>
        </a:p>
      </dgm:t>
    </dgm:pt>
    <dgm:pt modelId="{8A69CFE6-311E-47FC-BBA8-75AE4CD6337E}">
      <dgm:prSet phldrT="[Текст]" custT="1"/>
      <dgm:spPr/>
      <dgm:t>
        <a:bodyPr/>
        <a:lstStyle/>
        <a:p>
          <a:r>
            <a:rPr lang="uk-UA" sz="1400">
              <a:latin typeface="Times New Roman" pitchFamily="18" charset="0"/>
              <a:cs typeface="Times New Roman" pitchFamily="18" charset="0"/>
            </a:rPr>
            <a:t>Цільова аудиторія</a:t>
          </a:r>
        </a:p>
      </dgm:t>
    </dgm:pt>
    <dgm:pt modelId="{D142F03B-2004-428C-BC2C-B1E5C1B44042}" type="parTrans" cxnId="{FB59F621-2A73-4BAC-8FB9-3812C902353A}">
      <dgm:prSet/>
      <dgm:spPr/>
      <dgm:t>
        <a:bodyPr/>
        <a:lstStyle/>
        <a:p>
          <a:endParaRPr lang="uk-UA"/>
        </a:p>
      </dgm:t>
    </dgm:pt>
    <dgm:pt modelId="{EB335122-5603-457A-A0EF-632E357DF800}" type="sibTrans" cxnId="{FB59F621-2A73-4BAC-8FB9-3812C902353A}">
      <dgm:prSet/>
      <dgm:spPr/>
      <dgm:t>
        <a:bodyPr/>
        <a:lstStyle/>
        <a:p>
          <a:endParaRPr lang="uk-UA"/>
        </a:p>
      </dgm:t>
    </dgm:pt>
    <dgm:pt modelId="{E8B83BC4-525B-452C-8DAF-B21930C41926}">
      <dgm:prSet phldrT="[Текст]" custT="1"/>
      <dgm:spPr/>
      <dgm:t>
        <a:bodyPr/>
        <a:lstStyle/>
        <a:p>
          <a:r>
            <a:rPr lang="uk-UA" sz="1400" dirty="0">
              <a:latin typeface="Times New Roman" pitchFamily="18" charset="0"/>
              <a:cs typeface="Times New Roman" pitchFamily="18" charset="0"/>
            </a:rPr>
            <a:t>Концепція  комунікаційної стратегії</a:t>
          </a:r>
        </a:p>
      </dgm:t>
    </dgm:pt>
    <dgm:pt modelId="{A1B98BB9-1110-498F-A3EA-86E9F91A4D3E}" type="parTrans" cxnId="{57931C1F-B720-4D0C-B268-44B092384A5C}">
      <dgm:prSet/>
      <dgm:spPr/>
      <dgm:t>
        <a:bodyPr/>
        <a:lstStyle/>
        <a:p>
          <a:endParaRPr lang="uk-UA"/>
        </a:p>
      </dgm:t>
    </dgm:pt>
    <dgm:pt modelId="{95CC0D4B-8774-466D-9A8C-EE43D43A1CCB}" type="sibTrans" cxnId="{57931C1F-B720-4D0C-B268-44B092384A5C}">
      <dgm:prSet/>
      <dgm:spPr/>
      <dgm:t>
        <a:bodyPr/>
        <a:lstStyle/>
        <a:p>
          <a:endParaRPr lang="uk-UA"/>
        </a:p>
      </dgm:t>
    </dgm:pt>
    <dgm:pt modelId="{0F454B1D-06A3-42E9-9159-AE8CC4A62624}">
      <dgm:prSet phldrT="[Текст]" custT="1"/>
      <dgm:spPr/>
      <dgm:t>
        <a:bodyPr/>
        <a:lstStyle/>
        <a:p>
          <a:r>
            <a:rPr lang="uk-UA" sz="1400" dirty="0">
              <a:latin typeface="Times New Roman" pitchFamily="18" charset="0"/>
              <a:cs typeface="Times New Roman" pitchFamily="18" charset="0"/>
            </a:rPr>
            <a:t>Канали комунікацій</a:t>
          </a:r>
        </a:p>
      </dgm:t>
    </dgm:pt>
    <dgm:pt modelId="{ADD990E9-06DB-4707-9A10-D941B8CFC3F8}" type="parTrans" cxnId="{4920BFAF-A99B-4612-A871-81C6C70CC251}">
      <dgm:prSet/>
      <dgm:spPr/>
      <dgm:t>
        <a:bodyPr/>
        <a:lstStyle/>
        <a:p>
          <a:endParaRPr lang="uk-UA"/>
        </a:p>
      </dgm:t>
    </dgm:pt>
    <dgm:pt modelId="{E9374020-ECA4-4C24-9E13-2FEBCC87D685}" type="sibTrans" cxnId="{4920BFAF-A99B-4612-A871-81C6C70CC251}">
      <dgm:prSet/>
      <dgm:spPr/>
      <dgm:t>
        <a:bodyPr/>
        <a:lstStyle/>
        <a:p>
          <a:endParaRPr lang="uk-UA"/>
        </a:p>
      </dgm:t>
    </dgm:pt>
    <dgm:pt modelId="{3B18F726-4510-41BD-9C00-E93CEB4EC580}">
      <dgm:prSet phldrT="[Текст]" custT="1"/>
      <dgm:spPr/>
      <dgm:t>
        <a:bodyPr/>
        <a:lstStyle/>
        <a:p>
          <a:r>
            <a:rPr lang="uk-UA" sz="1400" dirty="0">
              <a:latin typeface="Times New Roman" pitchFamily="18" charset="0"/>
              <a:cs typeface="Times New Roman" pitchFamily="18" charset="0"/>
            </a:rPr>
            <a:t>Тип і  тематика контенту</a:t>
          </a:r>
        </a:p>
      </dgm:t>
    </dgm:pt>
    <dgm:pt modelId="{04DEF78D-FAD0-4E1E-B2C0-2D275FA8014F}" type="parTrans" cxnId="{ACBCF71F-DB59-4F7B-A88B-7053B2004B56}">
      <dgm:prSet/>
      <dgm:spPr/>
      <dgm:t>
        <a:bodyPr/>
        <a:lstStyle/>
        <a:p>
          <a:endParaRPr lang="uk-UA"/>
        </a:p>
      </dgm:t>
    </dgm:pt>
    <dgm:pt modelId="{E67E90E2-C255-4916-961B-77C36CA85CD3}" type="sibTrans" cxnId="{ACBCF71F-DB59-4F7B-A88B-7053B2004B56}">
      <dgm:prSet/>
      <dgm:spPr/>
      <dgm:t>
        <a:bodyPr/>
        <a:lstStyle/>
        <a:p>
          <a:endParaRPr lang="uk-UA"/>
        </a:p>
      </dgm:t>
    </dgm:pt>
    <dgm:pt modelId="{8BC9928F-EE72-4D68-B07D-D659D1BCF0E6}">
      <dgm:prSet phldrT="[Текст]" custT="1"/>
      <dgm:spPr/>
      <dgm:t>
        <a:bodyPr/>
        <a:lstStyle/>
        <a:p>
          <a:r>
            <a:rPr lang="uk-UA" sz="1400" dirty="0">
              <a:latin typeface="Times New Roman" pitchFamily="18" charset="0"/>
              <a:cs typeface="Times New Roman" pitchFamily="18" charset="0"/>
            </a:rPr>
            <a:t>Формати і технології створення контенту</a:t>
          </a:r>
        </a:p>
      </dgm:t>
    </dgm:pt>
    <dgm:pt modelId="{636B89BA-D06F-4BFB-B98F-3E246BDDA1DC}" type="parTrans" cxnId="{7B98FE26-42D0-477F-8990-C6CE13471348}">
      <dgm:prSet/>
      <dgm:spPr/>
      <dgm:t>
        <a:bodyPr/>
        <a:lstStyle/>
        <a:p>
          <a:endParaRPr lang="uk-UA"/>
        </a:p>
      </dgm:t>
    </dgm:pt>
    <dgm:pt modelId="{7868E77C-64BF-4733-896E-5182A136BBA0}" type="sibTrans" cxnId="{7B98FE26-42D0-477F-8990-C6CE13471348}">
      <dgm:prSet/>
      <dgm:spPr/>
      <dgm:t>
        <a:bodyPr/>
        <a:lstStyle/>
        <a:p>
          <a:endParaRPr lang="uk-UA"/>
        </a:p>
      </dgm:t>
    </dgm:pt>
    <dgm:pt modelId="{43B94891-AED2-497D-9DC5-070958A2ED71}">
      <dgm:prSet phldrT="[Текст]" custT="1"/>
      <dgm:spPr/>
      <dgm:t>
        <a:bodyPr/>
        <a:lstStyle/>
        <a:p>
          <a:r>
            <a:rPr lang="uk-UA" sz="1400" dirty="0">
              <a:latin typeface="Times New Roman" pitchFamily="18" charset="0"/>
              <a:cs typeface="Times New Roman" pitchFamily="18" charset="0"/>
            </a:rPr>
            <a:t>Розробка системи планів і програм комунікацій</a:t>
          </a:r>
        </a:p>
        <a:p>
          <a:endParaRPr lang="uk-UA" sz="1100" dirty="0"/>
        </a:p>
      </dgm:t>
    </dgm:pt>
    <dgm:pt modelId="{FF44A1C1-DB4F-4C1B-8007-8DFD7350EDD9}" type="parTrans" cxnId="{4FD28EB9-1455-4C3B-A18F-DE957CCD420C}">
      <dgm:prSet/>
      <dgm:spPr/>
      <dgm:t>
        <a:bodyPr/>
        <a:lstStyle/>
        <a:p>
          <a:endParaRPr lang="uk-UA"/>
        </a:p>
      </dgm:t>
    </dgm:pt>
    <dgm:pt modelId="{179CD466-8D95-4DA4-A70A-E705D952DD70}" type="sibTrans" cxnId="{4FD28EB9-1455-4C3B-A18F-DE957CCD420C}">
      <dgm:prSet/>
      <dgm:spPr/>
      <dgm:t>
        <a:bodyPr/>
        <a:lstStyle/>
        <a:p>
          <a:endParaRPr lang="uk-UA"/>
        </a:p>
      </dgm:t>
    </dgm:pt>
    <dgm:pt modelId="{CADED6C3-D90D-4726-9ECE-0A98444E308E}">
      <dgm:prSet custT="1"/>
      <dgm:spPr/>
      <dgm:t>
        <a:bodyPr/>
        <a:lstStyle/>
        <a:p>
          <a:r>
            <a:rPr lang="uk-UA" sz="1400">
              <a:latin typeface="Times New Roman" pitchFamily="18" charset="0"/>
              <a:cs typeface="Times New Roman" pitchFamily="18" charset="0"/>
            </a:rPr>
            <a:t>Складання бюджетів</a:t>
          </a:r>
        </a:p>
      </dgm:t>
    </dgm:pt>
    <dgm:pt modelId="{C5EFDD06-0397-4F93-A17B-208FEFE59F05}" type="parTrans" cxnId="{56CB9B20-43A3-49FA-9A35-E211B444060F}">
      <dgm:prSet/>
      <dgm:spPr/>
      <dgm:t>
        <a:bodyPr/>
        <a:lstStyle/>
        <a:p>
          <a:endParaRPr lang="uk-UA"/>
        </a:p>
      </dgm:t>
    </dgm:pt>
    <dgm:pt modelId="{48E4DD44-07FA-4D34-9DB8-51EFF55931A4}" type="sibTrans" cxnId="{56CB9B20-43A3-49FA-9A35-E211B444060F}">
      <dgm:prSet/>
      <dgm:spPr/>
      <dgm:t>
        <a:bodyPr/>
        <a:lstStyle/>
        <a:p>
          <a:endParaRPr lang="uk-UA"/>
        </a:p>
      </dgm:t>
    </dgm:pt>
    <dgm:pt modelId="{D6866F3C-12DF-49C1-BF07-FA86EE18A6E0}">
      <dgm:prSet custT="1"/>
      <dgm:spPr/>
      <dgm:t>
        <a:bodyPr/>
        <a:lstStyle/>
        <a:p>
          <a:r>
            <a:rPr lang="uk-UA" sz="1400" dirty="0">
              <a:latin typeface="Times New Roman" pitchFamily="18" charset="0"/>
              <a:cs typeface="Times New Roman" pitchFamily="18" charset="0"/>
            </a:rPr>
            <a:t>Стратегічна ідея та орієнтири</a:t>
          </a:r>
        </a:p>
      </dgm:t>
    </dgm:pt>
    <dgm:pt modelId="{97ED79AA-F7DC-4936-873E-229672E1221B}" type="parTrans" cxnId="{F9FA2750-A1C7-44DF-963B-77EFC81DD3E7}">
      <dgm:prSet/>
      <dgm:spPr/>
      <dgm:t>
        <a:bodyPr/>
        <a:lstStyle/>
        <a:p>
          <a:endParaRPr lang="uk-UA"/>
        </a:p>
      </dgm:t>
    </dgm:pt>
    <dgm:pt modelId="{DC6228CA-2D68-44FB-9F3D-6C3D3F816627}" type="sibTrans" cxnId="{F9FA2750-A1C7-44DF-963B-77EFC81DD3E7}">
      <dgm:prSet/>
      <dgm:spPr/>
      <dgm:t>
        <a:bodyPr/>
        <a:lstStyle/>
        <a:p>
          <a:endParaRPr lang="uk-UA"/>
        </a:p>
      </dgm:t>
    </dgm:pt>
    <dgm:pt modelId="{6F827A05-05DC-4316-A8E4-DA5CF1CDA1F7}" type="pres">
      <dgm:prSet presAssocID="{C46F3B22-5BFB-46A9-B7AA-1D9F300F1A76}" presName="Name0" presStyleCnt="0">
        <dgm:presLayoutVars>
          <dgm:dir/>
          <dgm:resizeHandles/>
        </dgm:presLayoutVars>
      </dgm:prSet>
      <dgm:spPr/>
    </dgm:pt>
    <dgm:pt modelId="{1C63DF15-4A29-4C39-A595-943AC128D9E8}" type="pres">
      <dgm:prSet presAssocID="{28764134-3A44-4BDF-A2B5-0D7F5714EEA0}" presName="compNode" presStyleCnt="0"/>
      <dgm:spPr/>
    </dgm:pt>
    <dgm:pt modelId="{74165D26-FF08-4BBF-93F1-4E741A02394F}" type="pres">
      <dgm:prSet presAssocID="{28764134-3A44-4BDF-A2B5-0D7F5714EEA0}" presName="dummyConnPt" presStyleCnt="0"/>
      <dgm:spPr/>
    </dgm:pt>
    <dgm:pt modelId="{46CEB49C-0E2B-4D5E-8E0D-929878156016}" type="pres">
      <dgm:prSet presAssocID="{28764134-3A44-4BDF-A2B5-0D7F5714EEA0}" presName="node" presStyleLbl="node1" presStyleIdx="0" presStyleCnt="9" custScaleX="111254">
        <dgm:presLayoutVars>
          <dgm:bulletEnabled val="1"/>
        </dgm:presLayoutVars>
      </dgm:prSet>
      <dgm:spPr/>
    </dgm:pt>
    <dgm:pt modelId="{9C565D2F-AF1C-4A1C-9908-0D4FF4CA1470}" type="pres">
      <dgm:prSet presAssocID="{FC2ABA1C-E76C-4F75-868A-D4D38B432F1F}" presName="sibTrans" presStyleLbl="bgSibTrans2D1" presStyleIdx="0" presStyleCnt="8"/>
      <dgm:spPr/>
    </dgm:pt>
    <dgm:pt modelId="{79AE73B0-B720-4ACD-A7FC-952B55F50EAD}" type="pres">
      <dgm:prSet presAssocID="{D6866F3C-12DF-49C1-BF07-FA86EE18A6E0}" presName="compNode" presStyleCnt="0"/>
      <dgm:spPr/>
    </dgm:pt>
    <dgm:pt modelId="{78E905E3-84A2-42F9-B452-43C1C15ADCEA}" type="pres">
      <dgm:prSet presAssocID="{D6866F3C-12DF-49C1-BF07-FA86EE18A6E0}" presName="dummyConnPt" presStyleCnt="0"/>
      <dgm:spPr/>
    </dgm:pt>
    <dgm:pt modelId="{EE22A6F1-E801-4382-99E1-1AA28E548EB4}" type="pres">
      <dgm:prSet presAssocID="{D6866F3C-12DF-49C1-BF07-FA86EE18A6E0}" presName="node" presStyleLbl="node1" presStyleIdx="1" presStyleCnt="9" custScaleX="108892">
        <dgm:presLayoutVars>
          <dgm:bulletEnabled val="1"/>
        </dgm:presLayoutVars>
      </dgm:prSet>
      <dgm:spPr/>
    </dgm:pt>
    <dgm:pt modelId="{7BC1F260-40A9-4F03-9121-0E75CFEBC346}" type="pres">
      <dgm:prSet presAssocID="{DC6228CA-2D68-44FB-9F3D-6C3D3F816627}" presName="sibTrans" presStyleLbl="bgSibTrans2D1" presStyleIdx="1" presStyleCnt="8"/>
      <dgm:spPr/>
    </dgm:pt>
    <dgm:pt modelId="{9EE03C58-9853-4E77-8F8F-4F63A327A948}" type="pres">
      <dgm:prSet presAssocID="{8A69CFE6-311E-47FC-BBA8-75AE4CD6337E}" presName="compNode" presStyleCnt="0"/>
      <dgm:spPr/>
    </dgm:pt>
    <dgm:pt modelId="{462CB61F-6782-4066-A9EC-BF426469015D}" type="pres">
      <dgm:prSet presAssocID="{8A69CFE6-311E-47FC-BBA8-75AE4CD6337E}" presName="dummyConnPt" presStyleCnt="0"/>
      <dgm:spPr/>
    </dgm:pt>
    <dgm:pt modelId="{3BC0261B-3A50-4E14-ABAD-E07878003F7B}" type="pres">
      <dgm:prSet presAssocID="{8A69CFE6-311E-47FC-BBA8-75AE4CD6337E}" presName="node" presStyleLbl="node1" presStyleIdx="2" presStyleCnt="9" custScaleX="108892">
        <dgm:presLayoutVars>
          <dgm:bulletEnabled val="1"/>
        </dgm:presLayoutVars>
      </dgm:prSet>
      <dgm:spPr/>
    </dgm:pt>
    <dgm:pt modelId="{92DC1D6B-3504-4AA2-83E5-DB7A34AFDDFC}" type="pres">
      <dgm:prSet presAssocID="{EB335122-5603-457A-A0EF-632E357DF800}" presName="sibTrans" presStyleLbl="bgSibTrans2D1" presStyleIdx="2" presStyleCnt="8"/>
      <dgm:spPr/>
    </dgm:pt>
    <dgm:pt modelId="{EF4332A4-1FDB-42EA-8F5E-C7C511D652AC}" type="pres">
      <dgm:prSet presAssocID="{E8B83BC4-525B-452C-8DAF-B21930C41926}" presName="compNode" presStyleCnt="0"/>
      <dgm:spPr/>
    </dgm:pt>
    <dgm:pt modelId="{B48DB46C-9F6F-4E07-B2F7-905FF6DBDF85}" type="pres">
      <dgm:prSet presAssocID="{E8B83BC4-525B-452C-8DAF-B21930C41926}" presName="dummyConnPt" presStyleCnt="0"/>
      <dgm:spPr/>
    </dgm:pt>
    <dgm:pt modelId="{2EFD7821-622A-48BC-A6D8-6F88147142F8}" type="pres">
      <dgm:prSet presAssocID="{E8B83BC4-525B-452C-8DAF-B21930C41926}" presName="node" presStyleLbl="node1" presStyleIdx="3" presStyleCnt="9">
        <dgm:presLayoutVars>
          <dgm:bulletEnabled val="1"/>
        </dgm:presLayoutVars>
      </dgm:prSet>
      <dgm:spPr/>
    </dgm:pt>
    <dgm:pt modelId="{CFB217D4-5EFD-4BC4-A093-F7156CC3C5E7}" type="pres">
      <dgm:prSet presAssocID="{95CC0D4B-8774-466D-9A8C-EE43D43A1CCB}" presName="sibTrans" presStyleLbl="bgSibTrans2D1" presStyleIdx="3" presStyleCnt="8"/>
      <dgm:spPr/>
    </dgm:pt>
    <dgm:pt modelId="{FCD266D2-ACF9-4F8B-A546-ADB3AE4135A3}" type="pres">
      <dgm:prSet presAssocID="{0F454B1D-06A3-42E9-9159-AE8CC4A62624}" presName="compNode" presStyleCnt="0"/>
      <dgm:spPr/>
    </dgm:pt>
    <dgm:pt modelId="{F6C59D94-24AF-438B-9D08-767C58A5923C}" type="pres">
      <dgm:prSet presAssocID="{0F454B1D-06A3-42E9-9159-AE8CC4A62624}" presName="dummyConnPt" presStyleCnt="0"/>
      <dgm:spPr/>
    </dgm:pt>
    <dgm:pt modelId="{A65F94CE-D3AB-4425-92D0-682A40206A1C}" type="pres">
      <dgm:prSet presAssocID="{0F454B1D-06A3-42E9-9159-AE8CC4A62624}" presName="node" presStyleLbl="node1" presStyleIdx="4" presStyleCnt="9">
        <dgm:presLayoutVars>
          <dgm:bulletEnabled val="1"/>
        </dgm:presLayoutVars>
      </dgm:prSet>
      <dgm:spPr/>
    </dgm:pt>
    <dgm:pt modelId="{C1109B31-ED9F-4FCB-8CF9-0022DF21DCCC}" type="pres">
      <dgm:prSet presAssocID="{E9374020-ECA4-4C24-9E13-2FEBCC87D685}" presName="sibTrans" presStyleLbl="bgSibTrans2D1" presStyleIdx="4" presStyleCnt="8"/>
      <dgm:spPr/>
    </dgm:pt>
    <dgm:pt modelId="{7F59A0F7-9308-422E-A826-BB1085100C13}" type="pres">
      <dgm:prSet presAssocID="{3B18F726-4510-41BD-9C00-E93CEB4EC580}" presName="compNode" presStyleCnt="0"/>
      <dgm:spPr/>
    </dgm:pt>
    <dgm:pt modelId="{00424814-A1BA-4492-B98B-C8A2BBE51A11}" type="pres">
      <dgm:prSet presAssocID="{3B18F726-4510-41BD-9C00-E93CEB4EC580}" presName="dummyConnPt" presStyleCnt="0"/>
      <dgm:spPr/>
    </dgm:pt>
    <dgm:pt modelId="{D3142BF1-483F-40FF-96EF-FD3FDBECC18F}" type="pres">
      <dgm:prSet presAssocID="{3B18F726-4510-41BD-9C00-E93CEB4EC580}" presName="node" presStyleLbl="node1" presStyleIdx="5" presStyleCnt="9">
        <dgm:presLayoutVars>
          <dgm:bulletEnabled val="1"/>
        </dgm:presLayoutVars>
      </dgm:prSet>
      <dgm:spPr/>
    </dgm:pt>
    <dgm:pt modelId="{3800955E-3F67-4A60-B12F-168C0E74979B}" type="pres">
      <dgm:prSet presAssocID="{E67E90E2-C255-4916-961B-77C36CA85CD3}" presName="sibTrans" presStyleLbl="bgSibTrans2D1" presStyleIdx="5" presStyleCnt="8"/>
      <dgm:spPr/>
    </dgm:pt>
    <dgm:pt modelId="{59789762-F572-412D-8DB0-AD3AA5E77C5E}" type="pres">
      <dgm:prSet presAssocID="{8BC9928F-EE72-4D68-B07D-D659D1BCF0E6}" presName="compNode" presStyleCnt="0"/>
      <dgm:spPr/>
    </dgm:pt>
    <dgm:pt modelId="{F4ED7BF5-510E-43B4-A77C-B2370CD8EC05}" type="pres">
      <dgm:prSet presAssocID="{8BC9928F-EE72-4D68-B07D-D659D1BCF0E6}" presName="dummyConnPt" presStyleCnt="0"/>
      <dgm:spPr/>
    </dgm:pt>
    <dgm:pt modelId="{91A338C2-4250-4901-846D-A5F2928772A7}" type="pres">
      <dgm:prSet presAssocID="{8BC9928F-EE72-4D68-B07D-D659D1BCF0E6}" presName="node" presStyleLbl="node1" presStyleIdx="6" presStyleCnt="9">
        <dgm:presLayoutVars>
          <dgm:bulletEnabled val="1"/>
        </dgm:presLayoutVars>
      </dgm:prSet>
      <dgm:spPr/>
    </dgm:pt>
    <dgm:pt modelId="{071D6C77-8A55-4E22-ABB2-385A38FE0352}" type="pres">
      <dgm:prSet presAssocID="{7868E77C-64BF-4733-896E-5182A136BBA0}" presName="sibTrans" presStyleLbl="bgSibTrans2D1" presStyleIdx="6" presStyleCnt="8"/>
      <dgm:spPr/>
    </dgm:pt>
    <dgm:pt modelId="{FA768F20-3551-4115-AC36-3366ACEF50FE}" type="pres">
      <dgm:prSet presAssocID="{43B94891-AED2-497D-9DC5-070958A2ED71}" presName="compNode" presStyleCnt="0"/>
      <dgm:spPr/>
    </dgm:pt>
    <dgm:pt modelId="{2A567AFF-A294-4F45-BF56-A6A2A15E1D16}" type="pres">
      <dgm:prSet presAssocID="{43B94891-AED2-497D-9DC5-070958A2ED71}" presName="dummyConnPt" presStyleCnt="0"/>
      <dgm:spPr/>
    </dgm:pt>
    <dgm:pt modelId="{2FDF86B2-C76C-4659-A158-33316D47A075}" type="pres">
      <dgm:prSet presAssocID="{43B94891-AED2-497D-9DC5-070958A2ED71}" presName="node" presStyleLbl="node1" presStyleIdx="7" presStyleCnt="9" custScaleX="110638">
        <dgm:presLayoutVars>
          <dgm:bulletEnabled val="1"/>
        </dgm:presLayoutVars>
      </dgm:prSet>
      <dgm:spPr/>
    </dgm:pt>
    <dgm:pt modelId="{02DC695B-A541-4B91-858B-5E31C403A3A9}" type="pres">
      <dgm:prSet presAssocID="{179CD466-8D95-4DA4-A70A-E705D952DD70}" presName="sibTrans" presStyleLbl="bgSibTrans2D1" presStyleIdx="7" presStyleCnt="8"/>
      <dgm:spPr/>
    </dgm:pt>
    <dgm:pt modelId="{7DEF48DE-23B6-4641-BAAA-4B3394616B0B}" type="pres">
      <dgm:prSet presAssocID="{CADED6C3-D90D-4726-9ECE-0A98444E308E}" presName="compNode" presStyleCnt="0"/>
      <dgm:spPr/>
    </dgm:pt>
    <dgm:pt modelId="{304A9D27-1D48-4F1D-8C05-5A7B1F5363D7}" type="pres">
      <dgm:prSet presAssocID="{CADED6C3-D90D-4726-9ECE-0A98444E308E}" presName="dummyConnPt" presStyleCnt="0"/>
      <dgm:spPr/>
    </dgm:pt>
    <dgm:pt modelId="{3D6E0247-E3DA-4F42-91F0-DE2B8FFE8D78}" type="pres">
      <dgm:prSet presAssocID="{CADED6C3-D90D-4726-9ECE-0A98444E308E}" presName="node" presStyleLbl="node1" presStyleIdx="8" presStyleCnt="9" custScaleX="110638">
        <dgm:presLayoutVars>
          <dgm:bulletEnabled val="1"/>
        </dgm:presLayoutVars>
      </dgm:prSet>
      <dgm:spPr/>
    </dgm:pt>
  </dgm:ptLst>
  <dgm:cxnLst>
    <dgm:cxn modelId="{6BED830E-0CF6-4D02-B82B-9955F7090C99}" type="presOf" srcId="{D6866F3C-12DF-49C1-BF07-FA86EE18A6E0}" destId="{EE22A6F1-E801-4382-99E1-1AA28E548EB4}" srcOrd="0" destOrd="0" presId="urn:microsoft.com/office/officeart/2005/8/layout/bProcess4"/>
    <dgm:cxn modelId="{97F9C712-FBD2-45CC-9A49-A9DEE920B16E}" type="presOf" srcId="{0F454B1D-06A3-42E9-9159-AE8CC4A62624}" destId="{A65F94CE-D3AB-4425-92D0-682A40206A1C}" srcOrd="0" destOrd="0" presId="urn:microsoft.com/office/officeart/2005/8/layout/bProcess4"/>
    <dgm:cxn modelId="{ECD03D1A-90F2-4779-96E4-47866174C6CA}" type="presOf" srcId="{FC2ABA1C-E76C-4F75-868A-D4D38B432F1F}" destId="{9C565D2F-AF1C-4A1C-9908-0D4FF4CA1470}" srcOrd="0" destOrd="0" presId="urn:microsoft.com/office/officeart/2005/8/layout/bProcess4"/>
    <dgm:cxn modelId="{57931C1F-B720-4D0C-B268-44B092384A5C}" srcId="{C46F3B22-5BFB-46A9-B7AA-1D9F300F1A76}" destId="{E8B83BC4-525B-452C-8DAF-B21930C41926}" srcOrd="3" destOrd="0" parTransId="{A1B98BB9-1110-498F-A3EA-86E9F91A4D3E}" sibTransId="{95CC0D4B-8774-466D-9A8C-EE43D43A1CCB}"/>
    <dgm:cxn modelId="{ACBCF71F-DB59-4F7B-A88B-7053B2004B56}" srcId="{C46F3B22-5BFB-46A9-B7AA-1D9F300F1A76}" destId="{3B18F726-4510-41BD-9C00-E93CEB4EC580}" srcOrd="5" destOrd="0" parTransId="{04DEF78D-FAD0-4E1E-B2C0-2D275FA8014F}" sibTransId="{E67E90E2-C255-4916-961B-77C36CA85CD3}"/>
    <dgm:cxn modelId="{56CB9B20-43A3-49FA-9A35-E211B444060F}" srcId="{C46F3B22-5BFB-46A9-B7AA-1D9F300F1A76}" destId="{CADED6C3-D90D-4726-9ECE-0A98444E308E}" srcOrd="8" destOrd="0" parTransId="{C5EFDD06-0397-4F93-A17B-208FEFE59F05}" sibTransId="{48E4DD44-07FA-4D34-9DB8-51EFF55931A4}"/>
    <dgm:cxn modelId="{FB59F621-2A73-4BAC-8FB9-3812C902353A}" srcId="{C46F3B22-5BFB-46A9-B7AA-1D9F300F1A76}" destId="{8A69CFE6-311E-47FC-BBA8-75AE4CD6337E}" srcOrd="2" destOrd="0" parTransId="{D142F03B-2004-428C-BC2C-B1E5C1B44042}" sibTransId="{EB335122-5603-457A-A0EF-632E357DF800}"/>
    <dgm:cxn modelId="{7B98FE26-42D0-477F-8990-C6CE13471348}" srcId="{C46F3B22-5BFB-46A9-B7AA-1D9F300F1A76}" destId="{8BC9928F-EE72-4D68-B07D-D659D1BCF0E6}" srcOrd="6" destOrd="0" parTransId="{636B89BA-D06F-4BFB-B98F-3E246BDDA1DC}" sibTransId="{7868E77C-64BF-4733-896E-5182A136BBA0}"/>
    <dgm:cxn modelId="{D33AF428-DC38-4A04-9502-AFE61C1D062B}" type="presOf" srcId="{28764134-3A44-4BDF-A2B5-0D7F5714EEA0}" destId="{46CEB49C-0E2B-4D5E-8E0D-929878156016}" srcOrd="0" destOrd="0" presId="urn:microsoft.com/office/officeart/2005/8/layout/bProcess4"/>
    <dgm:cxn modelId="{2F073529-44D7-4006-AC56-EC79254363B2}" type="presOf" srcId="{DC6228CA-2D68-44FB-9F3D-6C3D3F816627}" destId="{7BC1F260-40A9-4F03-9121-0E75CFEBC346}" srcOrd="0" destOrd="0" presId="urn:microsoft.com/office/officeart/2005/8/layout/bProcess4"/>
    <dgm:cxn modelId="{03BE3231-F85A-47CD-B6F8-F796D140AAF7}" type="presOf" srcId="{95CC0D4B-8774-466D-9A8C-EE43D43A1CCB}" destId="{CFB217D4-5EFD-4BC4-A093-F7156CC3C5E7}" srcOrd="0" destOrd="0" presId="urn:microsoft.com/office/officeart/2005/8/layout/bProcess4"/>
    <dgm:cxn modelId="{1CE8FA32-208C-4650-AD0C-15FC968B06A7}" type="presOf" srcId="{8BC9928F-EE72-4D68-B07D-D659D1BCF0E6}" destId="{91A338C2-4250-4901-846D-A5F2928772A7}" srcOrd="0" destOrd="0" presId="urn:microsoft.com/office/officeart/2005/8/layout/bProcess4"/>
    <dgm:cxn modelId="{7D2C6639-2D7B-4963-8A44-6E83FBBCE970}" type="presOf" srcId="{179CD466-8D95-4DA4-A70A-E705D952DD70}" destId="{02DC695B-A541-4B91-858B-5E31C403A3A9}" srcOrd="0" destOrd="0" presId="urn:microsoft.com/office/officeart/2005/8/layout/bProcess4"/>
    <dgm:cxn modelId="{692B4860-5AD3-4B90-B24D-7FDD78CC878A}" type="presOf" srcId="{3B18F726-4510-41BD-9C00-E93CEB4EC580}" destId="{D3142BF1-483F-40FF-96EF-FD3FDBECC18F}" srcOrd="0" destOrd="0" presId="urn:microsoft.com/office/officeart/2005/8/layout/bProcess4"/>
    <dgm:cxn modelId="{A472BC6A-98F8-4A01-A352-3BCC54D288E2}" type="presOf" srcId="{C46F3B22-5BFB-46A9-B7AA-1D9F300F1A76}" destId="{6F827A05-05DC-4316-A8E4-DA5CF1CDA1F7}" srcOrd="0" destOrd="0" presId="urn:microsoft.com/office/officeart/2005/8/layout/bProcess4"/>
    <dgm:cxn modelId="{F9FA2750-A1C7-44DF-963B-77EFC81DD3E7}" srcId="{C46F3B22-5BFB-46A9-B7AA-1D9F300F1A76}" destId="{D6866F3C-12DF-49C1-BF07-FA86EE18A6E0}" srcOrd="1" destOrd="0" parTransId="{97ED79AA-F7DC-4936-873E-229672E1221B}" sibTransId="{DC6228CA-2D68-44FB-9F3D-6C3D3F816627}"/>
    <dgm:cxn modelId="{3C7CF271-5C7A-42BA-8072-17CA0E81D2A3}" type="presOf" srcId="{EB335122-5603-457A-A0EF-632E357DF800}" destId="{92DC1D6B-3504-4AA2-83E5-DB7A34AFDDFC}" srcOrd="0" destOrd="0" presId="urn:microsoft.com/office/officeart/2005/8/layout/bProcess4"/>
    <dgm:cxn modelId="{C1066E5A-5E06-46C3-8344-A018A1A4FFFC}" type="presOf" srcId="{CADED6C3-D90D-4726-9ECE-0A98444E308E}" destId="{3D6E0247-E3DA-4F42-91F0-DE2B8FFE8D78}" srcOrd="0" destOrd="0" presId="urn:microsoft.com/office/officeart/2005/8/layout/bProcess4"/>
    <dgm:cxn modelId="{AC158B7A-EEF8-449F-98C0-5E73F26DD172}" type="presOf" srcId="{43B94891-AED2-497D-9DC5-070958A2ED71}" destId="{2FDF86B2-C76C-4659-A158-33316D47A075}" srcOrd="0" destOrd="0" presId="urn:microsoft.com/office/officeart/2005/8/layout/bProcess4"/>
    <dgm:cxn modelId="{C08DEB99-56E8-4B48-A3DA-34322DE4723F}" srcId="{C46F3B22-5BFB-46A9-B7AA-1D9F300F1A76}" destId="{28764134-3A44-4BDF-A2B5-0D7F5714EEA0}" srcOrd="0" destOrd="0" parTransId="{FCF48873-76D5-484D-A63F-E93A420AEC85}" sibTransId="{FC2ABA1C-E76C-4F75-868A-D4D38B432F1F}"/>
    <dgm:cxn modelId="{4920BFAF-A99B-4612-A871-81C6C70CC251}" srcId="{C46F3B22-5BFB-46A9-B7AA-1D9F300F1A76}" destId="{0F454B1D-06A3-42E9-9159-AE8CC4A62624}" srcOrd="4" destOrd="0" parTransId="{ADD990E9-06DB-4707-9A10-D941B8CFC3F8}" sibTransId="{E9374020-ECA4-4C24-9E13-2FEBCC87D685}"/>
    <dgm:cxn modelId="{4FD28EB9-1455-4C3B-A18F-DE957CCD420C}" srcId="{C46F3B22-5BFB-46A9-B7AA-1D9F300F1A76}" destId="{43B94891-AED2-497D-9DC5-070958A2ED71}" srcOrd="7" destOrd="0" parTransId="{FF44A1C1-DB4F-4C1B-8007-8DFD7350EDD9}" sibTransId="{179CD466-8D95-4DA4-A70A-E705D952DD70}"/>
    <dgm:cxn modelId="{112B4DBE-EB25-4FA0-99BA-B8ECEFB5C124}" type="presOf" srcId="{7868E77C-64BF-4733-896E-5182A136BBA0}" destId="{071D6C77-8A55-4E22-ABB2-385A38FE0352}" srcOrd="0" destOrd="0" presId="urn:microsoft.com/office/officeart/2005/8/layout/bProcess4"/>
    <dgm:cxn modelId="{07B272CF-A65A-46FE-B01E-EE4C20704166}" type="presOf" srcId="{E8B83BC4-525B-452C-8DAF-B21930C41926}" destId="{2EFD7821-622A-48BC-A6D8-6F88147142F8}" srcOrd="0" destOrd="0" presId="urn:microsoft.com/office/officeart/2005/8/layout/bProcess4"/>
    <dgm:cxn modelId="{AB4735EE-71FE-492C-9EFD-E9ECEDE01ED2}" type="presOf" srcId="{E9374020-ECA4-4C24-9E13-2FEBCC87D685}" destId="{C1109B31-ED9F-4FCB-8CF9-0022DF21DCCC}" srcOrd="0" destOrd="0" presId="urn:microsoft.com/office/officeart/2005/8/layout/bProcess4"/>
    <dgm:cxn modelId="{86B989EF-C375-4640-ABDC-88541E7D8CFA}" type="presOf" srcId="{8A69CFE6-311E-47FC-BBA8-75AE4CD6337E}" destId="{3BC0261B-3A50-4E14-ABAD-E07878003F7B}" srcOrd="0" destOrd="0" presId="urn:microsoft.com/office/officeart/2005/8/layout/bProcess4"/>
    <dgm:cxn modelId="{08C3BEF9-B97C-4966-865D-E18E3530E95C}" type="presOf" srcId="{E67E90E2-C255-4916-961B-77C36CA85CD3}" destId="{3800955E-3F67-4A60-B12F-168C0E74979B}" srcOrd="0" destOrd="0" presId="urn:microsoft.com/office/officeart/2005/8/layout/bProcess4"/>
    <dgm:cxn modelId="{3687F5D9-1931-42EF-A24B-3DA47A38C925}" type="presParOf" srcId="{6F827A05-05DC-4316-A8E4-DA5CF1CDA1F7}" destId="{1C63DF15-4A29-4C39-A595-943AC128D9E8}" srcOrd="0" destOrd="0" presId="urn:microsoft.com/office/officeart/2005/8/layout/bProcess4"/>
    <dgm:cxn modelId="{9E36BEDF-12EC-4791-B9DE-4FDC6B98CE07}" type="presParOf" srcId="{1C63DF15-4A29-4C39-A595-943AC128D9E8}" destId="{74165D26-FF08-4BBF-93F1-4E741A02394F}" srcOrd="0" destOrd="0" presId="urn:microsoft.com/office/officeart/2005/8/layout/bProcess4"/>
    <dgm:cxn modelId="{BFE476DB-676D-4EFB-9602-389ECE82D529}" type="presParOf" srcId="{1C63DF15-4A29-4C39-A595-943AC128D9E8}" destId="{46CEB49C-0E2B-4D5E-8E0D-929878156016}" srcOrd="1" destOrd="0" presId="urn:microsoft.com/office/officeart/2005/8/layout/bProcess4"/>
    <dgm:cxn modelId="{FFD32BCD-8EED-4C9B-BAA8-8CA17D24A01F}" type="presParOf" srcId="{6F827A05-05DC-4316-A8E4-DA5CF1CDA1F7}" destId="{9C565D2F-AF1C-4A1C-9908-0D4FF4CA1470}" srcOrd="1" destOrd="0" presId="urn:microsoft.com/office/officeart/2005/8/layout/bProcess4"/>
    <dgm:cxn modelId="{8001C6D9-04EC-44D6-8ABD-4DBEB07C9F47}" type="presParOf" srcId="{6F827A05-05DC-4316-A8E4-DA5CF1CDA1F7}" destId="{79AE73B0-B720-4ACD-A7FC-952B55F50EAD}" srcOrd="2" destOrd="0" presId="urn:microsoft.com/office/officeart/2005/8/layout/bProcess4"/>
    <dgm:cxn modelId="{C3E3F8A1-D5D4-40CC-9C6D-A2230B49A1B5}" type="presParOf" srcId="{79AE73B0-B720-4ACD-A7FC-952B55F50EAD}" destId="{78E905E3-84A2-42F9-B452-43C1C15ADCEA}" srcOrd="0" destOrd="0" presId="urn:microsoft.com/office/officeart/2005/8/layout/bProcess4"/>
    <dgm:cxn modelId="{CCD73B6D-13FC-44D6-9F95-88F892A21860}" type="presParOf" srcId="{79AE73B0-B720-4ACD-A7FC-952B55F50EAD}" destId="{EE22A6F1-E801-4382-99E1-1AA28E548EB4}" srcOrd="1" destOrd="0" presId="urn:microsoft.com/office/officeart/2005/8/layout/bProcess4"/>
    <dgm:cxn modelId="{E1AEC7EB-2BDB-4658-99FF-279570A74E51}" type="presParOf" srcId="{6F827A05-05DC-4316-A8E4-DA5CF1CDA1F7}" destId="{7BC1F260-40A9-4F03-9121-0E75CFEBC346}" srcOrd="3" destOrd="0" presId="urn:microsoft.com/office/officeart/2005/8/layout/bProcess4"/>
    <dgm:cxn modelId="{C7290860-A310-4CAB-AA52-E8654D1F1821}" type="presParOf" srcId="{6F827A05-05DC-4316-A8E4-DA5CF1CDA1F7}" destId="{9EE03C58-9853-4E77-8F8F-4F63A327A948}" srcOrd="4" destOrd="0" presId="urn:microsoft.com/office/officeart/2005/8/layout/bProcess4"/>
    <dgm:cxn modelId="{FA84F116-DE75-450B-8895-E9549EC7ED07}" type="presParOf" srcId="{9EE03C58-9853-4E77-8F8F-4F63A327A948}" destId="{462CB61F-6782-4066-A9EC-BF426469015D}" srcOrd="0" destOrd="0" presId="urn:microsoft.com/office/officeart/2005/8/layout/bProcess4"/>
    <dgm:cxn modelId="{2737CCDD-2ED3-4C52-95A2-ECE59AC4F6BD}" type="presParOf" srcId="{9EE03C58-9853-4E77-8F8F-4F63A327A948}" destId="{3BC0261B-3A50-4E14-ABAD-E07878003F7B}" srcOrd="1" destOrd="0" presId="urn:microsoft.com/office/officeart/2005/8/layout/bProcess4"/>
    <dgm:cxn modelId="{0C443993-4553-4718-881A-4EEFD300B746}" type="presParOf" srcId="{6F827A05-05DC-4316-A8E4-DA5CF1CDA1F7}" destId="{92DC1D6B-3504-4AA2-83E5-DB7A34AFDDFC}" srcOrd="5" destOrd="0" presId="urn:microsoft.com/office/officeart/2005/8/layout/bProcess4"/>
    <dgm:cxn modelId="{EAF7A6CC-2C32-4CF6-9FDC-9CD157D6F747}" type="presParOf" srcId="{6F827A05-05DC-4316-A8E4-DA5CF1CDA1F7}" destId="{EF4332A4-1FDB-42EA-8F5E-C7C511D652AC}" srcOrd="6" destOrd="0" presId="urn:microsoft.com/office/officeart/2005/8/layout/bProcess4"/>
    <dgm:cxn modelId="{DC1E7F5D-7FF7-424A-9872-7571411DEF12}" type="presParOf" srcId="{EF4332A4-1FDB-42EA-8F5E-C7C511D652AC}" destId="{B48DB46C-9F6F-4E07-B2F7-905FF6DBDF85}" srcOrd="0" destOrd="0" presId="urn:microsoft.com/office/officeart/2005/8/layout/bProcess4"/>
    <dgm:cxn modelId="{12CB3158-FEB3-4463-A134-ABF24DCB191B}" type="presParOf" srcId="{EF4332A4-1FDB-42EA-8F5E-C7C511D652AC}" destId="{2EFD7821-622A-48BC-A6D8-6F88147142F8}" srcOrd="1" destOrd="0" presId="urn:microsoft.com/office/officeart/2005/8/layout/bProcess4"/>
    <dgm:cxn modelId="{DAD8EC09-DB66-4B40-898D-DE5265310E09}" type="presParOf" srcId="{6F827A05-05DC-4316-A8E4-DA5CF1CDA1F7}" destId="{CFB217D4-5EFD-4BC4-A093-F7156CC3C5E7}" srcOrd="7" destOrd="0" presId="urn:microsoft.com/office/officeart/2005/8/layout/bProcess4"/>
    <dgm:cxn modelId="{C77ECEF7-19DD-489F-A06A-86648CBA3E98}" type="presParOf" srcId="{6F827A05-05DC-4316-A8E4-DA5CF1CDA1F7}" destId="{FCD266D2-ACF9-4F8B-A546-ADB3AE4135A3}" srcOrd="8" destOrd="0" presId="urn:microsoft.com/office/officeart/2005/8/layout/bProcess4"/>
    <dgm:cxn modelId="{3E896229-07EB-44F0-AC54-A9EDE232DF06}" type="presParOf" srcId="{FCD266D2-ACF9-4F8B-A546-ADB3AE4135A3}" destId="{F6C59D94-24AF-438B-9D08-767C58A5923C}" srcOrd="0" destOrd="0" presId="urn:microsoft.com/office/officeart/2005/8/layout/bProcess4"/>
    <dgm:cxn modelId="{90866D7E-E996-48F3-BA00-25290440BAEE}" type="presParOf" srcId="{FCD266D2-ACF9-4F8B-A546-ADB3AE4135A3}" destId="{A65F94CE-D3AB-4425-92D0-682A40206A1C}" srcOrd="1" destOrd="0" presId="urn:microsoft.com/office/officeart/2005/8/layout/bProcess4"/>
    <dgm:cxn modelId="{3997E34E-D358-4BA7-9912-A12A10B302C8}" type="presParOf" srcId="{6F827A05-05DC-4316-A8E4-DA5CF1CDA1F7}" destId="{C1109B31-ED9F-4FCB-8CF9-0022DF21DCCC}" srcOrd="9" destOrd="0" presId="urn:microsoft.com/office/officeart/2005/8/layout/bProcess4"/>
    <dgm:cxn modelId="{02B2E2E0-DE21-4C39-8763-1DB5B63B2DF7}" type="presParOf" srcId="{6F827A05-05DC-4316-A8E4-DA5CF1CDA1F7}" destId="{7F59A0F7-9308-422E-A826-BB1085100C13}" srcOrd="10" destOrd="0" presId="urn:microsoft.com/office/officeart/2005/8/layout/bProcess4"/>
    <dgm:cxn modelId="{AD9B72DE-8EE6-43D0-B97F-21BC4FE1BD96}" type="presParOf" srcId="{7F59A0F7-9308-422E-A826-BB1085100C13}" destId="{00424814-A1BA-4492-B98B-C8A2BBE51A11}" srcOrd="0" destOrd="0" presId="urn:microsoft.com/office/officeart/2005/8/layout/bProcess4"/>
    <dgm:cxn modelId="{B59C48CA-BEE2-430C-A91E-5EF3E56F9C1E}" type="presParOf" srcId="{7F59A0F7-9308-422E-A826-BB1085100C13}" destId="{D3142BF1-483F-40FF-96EF-FD3FDBECC18F}" srcOrd="1" destOrd="0" presId="urn:microsoft.com/office/officeart/2005/8/layout/bProcess4"/>
    <dgm:cxn modelId="{4A45CF8B-BA4B-4849-81FB-9F586253C3FA}" type="presParOf" srcId="{6F827A05-05DC-4316-A8E4-DA5CF1CDA1F7}" destId="{3800955E-3F67-4A60-B12F-168C0E74979B}" srcOrd="11" destOrd="0" presId="urn:microsoft.com/office/officeart/2005/8/layout/bProcess4"/>
    <dgm:cxn modelId="{1ED3A522-0DC0-4DF1-8113-64A4B579EB57}" type="presParOf" srcId="{6F827A05-05DC-4316-A8E4-DA5CF1CDA1F7}" destId="{59789762-F572-412D-8DB0-AD3AA5E77C5E}" srcOrd="12" destOrd="0" presId="urn:microsoft.com/office/officeart/2005/8/layout/bProcess4"/>
    <dgm:cxn modelId="{5C0E71BF-8B0F-4D66-8C87-CCAC3B541DB3}" type="presParOf" srcId="{59789762-F572-412D-8DB0-AD3AA5E77C5E}" destId="{F4ED7BF5-510E-43B4-A77C-B2370CD8EC05}" srcOrd="0" destOrd="0" presId="urn:microsoft.com/office/officeart/2005/8/layout/bProcess4"/>
    <dgm:cxn modelId="{05E0CAA4-694C-4E73-BC85-488387C1DE4D}" type="presParOf" srcId="{59789762-F572-412D-8DB0-AD3AA5E77C5E}" destId="{91A338C2-4250-4901-846D-A5F2928772A7}" srcOrd="1" destOrd="0" presId="urn:microsoft.com/office/officeart/2005/8/layout/bProcess4"/>
    <dgm:cxn modelId="{961CC94A-6918-4ED1-995A-3A2867BFF24E}" type="presParOf" srcId="{6F827A05-05DC-4316-A8E4-DA5CF1CDA1F7}" destId="{071D6C77-8A55-4E22-ABB2-385A38FE0352}" srcOrd="13" destOrd="0" presId="urn:microsoft.com/office/officeart/2005/8/layout/bProcess4"/>
    <dgm:cxn modelId="{CA68AE9A-9C8E-4BC5-AFDB-A7DB1434DF96}" type="presParOf" srcId="{6F827A05-05DC-4316-A8E4-DA5CF1CDA1F7}" destId="{FA768F20-3551-4115-AC36-3366ACEF50FE}" srcOrd="14" destOrd="0" presId="urn:microsoft.com/office/officeart/2005/8/layout/bProcess4"/>
    <dgm:cxn modelId="{DF7B234C-0014-4E9B-9CA3-F0B37A6084AB}" type="presParOf" srcId="{FA768F20-3551-4115-AC36-3366ACEF50FE}" destId="{2A567AFF-A294-4F45-BF56-A6A2A15E1D16}" srcOrd="0" destOrd="0" presId="urn:microsoft.com/office/officeart/2005/8/layout/bProcess4"/>
    <dgm:cxn modelId="{CBF2DADD-F51E-41CF-B425-9487F79136D1}" type="presParOf" srcId="{FA768F20-3551-4115-AC36-3366ACEF50FE}" destId="{2FDF86B2-C76C-4659-A158-33316D47A075}" srcOrd="1" destOrd="0" presId="urn:microsoft.com/office/officeart/2005/8/layout/bProcess4"/>
    <dgm:cxn modelId="{90E25C0A-23F9-4C2F-BC7F-5D9745ED348C}" type="presParOf" srcId="{6F827A05-05DC-4316-A8E4-DA5CF1CDA1F7}" destId="{02DC695B-A541-4B91-858B-5E31C403A3A9}" srcOrd="15" destOrd="0" presId="urn:microsoft.com/office/officeart/2005/8/layout/bProcess4"/>
    <dgm:cxn modelId="{917AF68B-EBD1-43B5-8CA6-45977C925833}" type="presParOf" srcId="{6F827A05-05DC-4316-A8E4-DA5CF1CDA1F7}" destId="{7DEF48DE-23B6-4641-BAAA-4B3394616B0B}" srcOrd="16" destOrd="0" presId="urn:microsoft.com/office/officeart/2005/8/layout/bProcess4"/>
    <dgm:cxn modelId="{380B12D6-A75D-40C9-874C-0411BABDAB0A}" type="presParOf" srcId="{7DEF48DE-23B6-4641-BAAA-4B3394616B0B}" destId="{304A9D27-1D48-4F1D-8C05-5A7B1F5363D7}" srcOrd="0" destOrd="0" presId="urn:microsoft.com/office/officeart/2005/8/layout/bProcess4"/>
    <dgm:cxn modelId="{9882AA73-6410-474E-A8C9-10249665459A}" type="presParOf" srcId="{7DEF48DE-23B6-4641-BAAA-4B3394616B0B}" destId="{3D6E0247-E3DA-4F42-91F0-DE2B8FFE8D78}" srcOrd="1" destOrd="0" presId="urn:microsoft.com/office/officeart/2005/8/layout/bProcess4"/>
  </dgm:cxnLst>
  <dgm:bg/>
  <dgm:whole/>
  <dgm:extLst>
    <a:ext uri="http://schemas.microsoft.com/office/drawing/2008/diagram">
      <dsp:dataModelExt xmlns:dsp="http://schemas.microsoft.com/office/drawing/2008/diagram" relId="rId10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4786619-50EA-4A88-BECC-BAE5CC8129B2}" type="doc">
      <dgm:prSet loTypeId="urn:microsoft.com/office/officeart/2005/8/layout/pyramid1" loCatId="pyramid" qsTypeId="urn:microsoft.com/office/officeart/2005/8/quickstyle/simple1" qsCatId="simple" csTypeId="urn:microsoft.com/office/officeart/2005/8/colors/accent0_1" csCatId="mainScheme" phldr="1"/>
      <dgm:spPr/>
      <dgm:t>
        <a:bodyPr/>
        <a:lstStyle/>
        <a:p>
          <a:endParaRPr lang="uk-UA"/>
        </a:p>
      </dgm:t>
    </dgm:pt>
    <dgm:pt modelId="{A2E4E470-3239-4CA3-BA56-C1E3D83C2D9E}">
      <dgm:prSet phldrT="[Текст]" custT="1"/>
      <dgm:spPr/>
      <dgm:t>
        <a:bodyPr/>
        <a:lstStyle/>
        <a:p>
          <a:endParaRPr lang="uk-UA" sz="1400">
            <a:latin typeface="Times New Roman" pitchFamily="18" charset="0"/>
            <a:cs typeface="Times New Roman" pitchFamily="18" charset="0"/>
          </a:endParaRPr>
        </a:p>
        <a:p>
          <a:r>
            <a:rPr lang="uk-UA" sz="1400">
              <a:latin typeface="Times New Roman" pitchFamily="18" charset="0"/>
              <a:cs typeface="Times New Roman" pitchFamily="18" charset="0"/>
            </a:rPr>
            <a:t>Місія</a:t>
          </a:r>
        </a:p>
      </dgm:t>
    </dgm:pt>
    <dgm:pt modelId="{CAB80706-0494-4395-BA1A-8006A962D285}" type="parTrans" cxnId="{4957C94E-EB2F-4303-B657-473FA196EF06}">
      <dgm:prSet/>
      <dgm:spPr/>
      <dgm:t>
        <a:bodyPr/>
        <a:lstStyle/>
        <a:p>
          <a:endParaRPr lang="uk-UA"/>
        </a:p>
      </dgm:t>
    </dgm:pt>
    <dgm:pt modelId="{7130F857-C094-4571-BF7A-C635F877672E}" type="sibTrans" cxnId="{4957C94E-EB2F-4303-B657-473FA196EF06}">
      <dgm:prSet/>
      <dgm:spPr/>
      <dgm:t>
        <a:bodyPr/>
        <a:lstStyle/>
        <a:p>
          <a:endParaRPr lang="uk-UA"/>
        </a:p>
      </dgm:t>
    </dgm:pt>
    <dgm:pt modelId="{90462316-E5EB-4AE4-A668-87647AC4C71A}">
      <dgm:prSet phldrT="[Текст]" custT="1"/>
      <dgm:spPr/>
      <dgm:t>
        <a:bodyPr/>
        <a:lstStyle/>
        <a:p>
          <a:r>
            <a:rPr lang="uk-UA" sz="1400">
              <a:latin typeface="Times New Roman" pitchFamily="18" charset="0"/>
              <a:cs typeface="Times New Roman" pitchFamily="18" charset="0"/>
            </a:rPr>
            <a:t>Візія</a:t>
          </a:r>
        </a:p>
      </dgm:t>
    </dgm:pt>
    <dgm:pt modelId="{675BDF55-AA89-4281-984E-EB9D27BE8B0D}" type="parTrans" cxnId="{1B0D4978-C305-4FE3-A2F3-BB70ADCB9DE5}">
      <dgm:prSet/>
      <dgm:spPr/>
      <dgm:t>
        <a:bodyPr/>
        <a:lstStyle/>
        <a:p>
          <a:endParaRPr lang="uk-UA"/>
        </a:p>
      </dgm:t>
    </dgm:pt>
    <dgm:pt modelId="{E8BB7AFB-F8C1-4148-9E1B-1804B4810D55}" type="sibTrans" cxnId="{1B0D4978-C305-4FE3-A2F3-BB70ADCB9DE5}">
      <dgm:prSet/>
      <dgm:spPr/>
      <dgm:t>
        <a:bodyPr/>
        <a:lstStyle/>
        <a:p>
          <a:endParaRPr lang="uk-UA"/>
        </a:p>
      </dgm:t>
    </dgm:pt>
    <dgm:pt modelId="{ACF62CAD-C567-4E73-9DD4-2A33C29948A3}">
      <dgm:prSet phldrT="[Текст]" custT="1"/>
      <dgm:spPr/>
      <dgm:t>
        <a:bodyPr/>
        <a:lstStyle/>
        <a:p>
          <a:r>
            <a:rPr lang="uk-UA" sz="1400">
              <a:latin typeface="Times New Roman" pitchFamily="18" charset="0"/>
              <a:cs typeface="Times New Roman" pitchFamily="18" charset="0"/>
            </a:rPr>
            <a:t>Мета (стратегічні цілі)  комунікаційної стратегії </a:t>
          </a:r>
        </a:p>
      </dgm:t>
    </dgm:pt>
    <dgm:pt modelId="{2562D9FE-3223-48C5-96A8-15B8BDAD89E4}" type="parTrans" cxnId="{73575507-18C8-4DFE-B25B-57172C57C230}">
      <dgm:prSet/>
      <dgm:spPr/>
      <dgm:t>
        <a:bodyPr/>
        <a:lstStyle/>
        <a:p>
          <a:endParaRPr lang="uk-UA"/>
        </a:p>
      </dgm:t>
    </dgm:pt>
    <dgm:pt modelId="{EB5BE0EF-35A1-427F-BE6C-1F3F1387E47E}" type="sibTrans" cxnId="{73575507-18C8-4DFE-B25B-57172C57C230}">
      <dgm:prSet/>
      <dgm:spPr/>
      <dgm:t>
        <a:bodyPr/>
        <a:lstStyle/>
        <a:p>
          <a:endParaRPr lang="uk-UA"/>
        </a:p>
      </dgm:t>
    </dgm:pt>
    <dgm:pt modelId="{A6047AD1-80A7-482D-956D-BE461A67E36E}">
      <dgm:prSet custT="1"/>
      <dgm:spPr/>
      <dgm:t>
        <a:bodyPr/>
        <a:lstStyle/>
        <a:p>
          <a:r>
            <a:rPr lang="uk-UA" sz="1400" dirty="0">
              <a:latin typeface="Times New Roman" pitchFamily="18" charset="0"/>
              <a:cs typeface="Times New Roman" pitchFamily="18" charset="0"/>
            </a:rPr>
            <a:t>Оперативні цілі комунікаційної стратегії</a:t>
          </a:r>
        </a:p>
      </dgm:t>
    </dgm:pt>
    <dgm:pt modelId="{4A7E6EB2-3DF3-43D9-9878-4B429F577A9C}" type="parTrans" cxnId="{531ADB05-88EF-4203-BBB2-B24C83390BF9}">
      <dgm:prSet/>
      <dgm:spPr/>
      <dgm:t>
        <a:bodyPr/>
        <a:lstStyle/>
        <a:p>
          <a:endParaRPr lang="uk-UA"/>
        </a:p>
      </dgm:t>
    </dgm:pt>
    <dgm:pt modelId="{C64B5CB2-FD51-4C19-8A70-F5DD8AB6CCD0}" type="sibTrans" cxnId="{531ADB05-88EF-4203-BBB2-B24C83390BF9}">
      <dgm:prSet/>
      <dgm:spPr/>
      <dgm:t>
        <a:bodyPr/>
        <a:lstStyle/>
        <a:p>
          <a:endParaRPr lang="uk-UA"/>
        </a:p>
      </dgm:t>
    </dgm:pt>
    <dgm:pt modelId="{0E6AFB84-1B96-4D6E-AF82-CE420897EBE8}">
      <dgm:prSet custT="1"/>
      <dgm:spPr/>
      <dgm:t>
        <a:bodyPr/>
        <a:lstStyle/>
        <a:p>
          <a:r>
            <a:rPr lang="uk-UA" sz="1400">
              <a:latin typeface="Times New Roman" pitchFamily="18" charset="0"/>
              <a:cs typeface="Times New Roman" pitchFamily="18" charset="0"/>
            </a:rPr>
            <a:t>Завдання комунікаційної стратегії</a:t>
          </a:r>
        </a:p>
      </dgm:t>
    </dgm:pt>
    <dgm:pt modelId="{E7596D06-F803-4387-9BCD-D1C84C2BD234}" type="parTrans" cxnId="{181539F6-66D0-4655-AE8F-BDE341C618F3}">
      <dgm:prSet/>
      <dgm:spPr/>
      <dgm:t>
        <a:bodyPr/>
        <a:lstStyle/>
        <a:p>
          <a:endParaRPr lang="uk-UA"/>
        </a:p>
      </dgm:t>
    </dgm:pt>
    <dgm:pt modelId="{80504023-16A5-4DE9-950A-A8B21E34A978}" type="sibTrans" cxnId="{181539F6-66D0-4655-AE8F-BDE341C618F3}">
      <dgm:prSet/>
      <dgm:spPr/>
      <dgm:t>
        <a:bodyPr/>
        <a:lstStyle/>
        <a:p>
          <a:endParaRPr lang="uk-UA"/>
        </a:p>
      </dgm:t>
    </dgm:pt>
    <dgm:pt modelId="{76831A76-43CC-4A19-9212-07BE708A8E07}" type="pres">
      <dgm:prSet presAssocID="{C4786619-50EA-4A88-BECC-BAE5CC8129B2}" presName="Name0" presStyleCnt="0">
        <dgm:presLayoutVars>
          <dgm:dir/>
          <dgm:animLvl val="lvl"/>
          <dgm:resizeHandles val="exact"/>
        </dgm:presLayoutVars>
      </dgm:prSet>
      <dgm:spPr/>
    </dgm:pt>
    <dgm:pt modelId="{9B641428-45B5-474C-BC97-EB09FC4744EE}" type="pres">
      <dgm:prSet presAssocID="{A2E4E470-3239-4CA3-BA56-C1E3D83C2D9E}" presName="Name8" presStyleCnt="0"/>
      <dgm:spPr/>
    </dgm:pt>
    <dgm:pt modelId="{E26E87C4-3668-4634-87BA-B34D68BAD0E7}" type="pres">
      <dgm:prSet presAssocID="{A2E4E470-3239-4CA3-BA56-C1E3D83C2D9E}" presName="level" presStyleLbl="node1" presStyleIdx="0" presStyleCnt="5">
        <dgm:presLayoutVars>
          <dgm:chMax val="1"/>
          <dgm:bulletEnabled val="1"/>
        </dgm:presLayoutVars>
      </dgm:prSet>
      <dgm:spPr/>
    </dgm:pt>
    <dgm:pt modelId="{D862FE2F-A9EF-4C79-AC54-470514A32AAE}" type="pres">
      <dgm:prSet presAssocID="{A2E4E470-3239-4CA3-BA56-C1E3D83C2D9E}" presName="levelTx" presStyleLbl="revTx" presStyleIdx="0" presStyleCnt="0">
        <dgm:presLayoutVars>
          <dgm:chMax val="1"/>
          <dgm:bulletEnabled val="1"/>
        </dgm:presLayoutVars>
      </dgm:prSet>
      <dgm:spPr/>
    </dgm:pt>
    <dgm:pt modelId="{3EB00032-B8CD-4754-A6B2-C5BA4CB4995D}" type="pres">
      <dgm:prSet presAssocID="{90462316-E5EB-4AE4-A668-87647AC4C71A}" presName="Name8" presStyleCnt="0"/>
      <dgm:spPr/>
    </dgm:pt>
    <dgm:pt modelId="{CB4068F6-79A8-411A-B807-FE362A0F9E88}" type="pres">
      <dgm:prSet presAssocID="{90462316-E5EB-4AE4-A668-87647AC4C71A}" presName="level" presStyleLbl="node1" presStyleIdx="1" presStyleCnt="5">
        <dgm:presLayoutVars>
          <dgm:chMax val="1"/>
          <dgm:bulletEnabled val="1"/>
        </dgm:presLayoutVars>
      </dgm:prSet>
      <dgm:spPr/>
    </dgm:pt>
    <dgm:pt modelId="{7D23760D-2ED7-490D-92A4-A1D4F91B8D58}" type="pres">
      <dgm:prSet presAssocID="{90462316-E5EB-4AE4-A668-87647AC4C71A}" presName="levelTx" presStyleLbl="revTx" presStyleIdx="0" presStyleCnt="0">
        <dgm:presLayoutVars>
          <dgm:chMax val="1"/>
          <dgm:bulletEnabled val="1"/>
        </dgm:presLayoutVars>
      </dgm:prSet>
      <dgm:spPr/>
    </dgm:pt>
    <dgm:pt modelId="{A73934E1-576C-4445-93B0-7F9E5A8F35D9}" type="pres">
      <dgm:prSet presAssocID="{ACF62CAD-C567-4E73-9DD4-2A33C29948A3}" presName="Name8" presStyleCnt="0"/>
      <dgm:spPr/>
    </dgm:pt>
    <dgm:pt modelId="{CD0AF39C-8395-4794-AE9C-C5F816C2FF07}" type="pres">
      <dgm:prSet presAssocID="{ACF62CAD-C567-4E73-9DD4-2A33C29948A3}" presName="level" presStyleLbl="node1" presStyleIdx="2" presStyleCnt="5">
        <dgm:presLayoutVars>
          <dgm:chMax val="1"/>
          <dgm:bulletEnabled val="1"/>
        </dgm:presLayoutVars>
      </dgm:prSet>
      <dgm:spPr/>
    </dgm:pt>
    <dgm:pt modelId="{900B1B11-E034-4DB2-8FA3-65222DEED7D2}" type="pres">
      <dgm:prSet presAssocID="{ACF62CAD-C567-4E73-9DD4-2A33C29948A3}" presName="levelTx" presStyleLbl="revTx" presStyleIdx="0" presStyleCnt="0">
        <dgm:presLayoutVars>
          <dgm:chMax val="1"/>
          <dgm:bulletEnabled val="1"/>
        </dgm:presLayoutVars>
      </dgm:prSet>
      <dgm:spPr/>
    </dgm:pt>
    <dgm:pt modelId="{02FE96F9-1DEA-4369-A43E-72E3F07A053A}" type="pres">
      <dgm:prSet presAssocID="{A6047AD1-80A7-482D-956D-BE461A67E36E}" presName="Name8" presStyleCnt="0"/>
      <dgm:spPr/>
    </dgm:pt>
    <dgm:pt modelId="{C85623B4-B466-433F-BA51-EFC5E6293451}" type="pres">
      <dgm:prSet presAssocID="{A6047AD1-80A7-482D-956D-BE461A67E36E}" presName="level" presStyleLbl="node1" presStyleIdx="3" presStyleCnt="5">
        <dgm:presLayoutVars>
          <dgm:chMax val="1"/>
          <dgm:bulletEnabled val="1"/>
        </dgm:presLayoutVars>
      </dgm:prSet>
      <dgm:spPr/>
    </dgm:pt>
    <dgm:pt modelId="{CD9543C1-0C70-40F1-A9CE-C1967CD092F7}" type="pres">
      <dgm:prSet presAssocID="{A6047AD1-80A7-482D-956D-BE461A67E36E}" presName="levelTx" presStyleLbl="revTx" presStyleIdx="0" presStyleCnt="0">
        <dgm:presLayoutVars>
          <dgm:chMax val="1"/>
          <dgm:bulletEnabled val="1"/>
        </dgm:presLayoutVars>
      </dgm:prSet>
      <dgm:spPr/>
    </dgm:pt>
    <dgm:pt modelId="{A20D975D-1B95-45C1-B1F2-5C728B12055E}" type="pres">
      <dgm:prSet presAssocID="{0E6AFB84-1B96-4D6E-AF82-CE420897EBE8}" presName="Name8" presStyleCnt="0"/>
      <dgm:spPr/>
    </dgm:pt>
    <dgm:pt modelId="{64919D2F-C83E-46E1-904F-E1E090B4CC05}" type="pres">
      <dgm:prSet presAssocID="{0E6AFB84-1B96-4D6E-AF82-CE420897EBE8}" presName="level" presStyleLbl="node1" presStyleIdx="4" presStyleCnt="5">
        <dgm:presLayoutVars>
          <dgm:chMax val="1"/>
          <dgm:bulletEnabled val="1"/>
        </dgm:presLayoutVars>
      </dgm:prSet>
      <dgm:spPr/>
    </dgm:pt>
    <dgm:pt modelId="{9167B365-5BC2-4B36-BCC4-1E2856F1EA20}" type="pres">
      <dgm:prSet presAssocID="{0E6AFB84-1B96-4D6E-AF82-CE420897EBE8}" presName="levelTx" presStyleLbl="revTx" presStyleIdx="0" presStyleCnt="0">
        <dgm:presLayoutVars>
          <dgm:chMax val="1"/>
          <dgm:bulletEnabled val="1"/>
        </dgm:presLayoutVars>
      </dgm:prSet>
      <dgm:spPr/>
    </dgm:pt>
  </dgm:ptLst>
  <dgm:cxnLst>
    <dgm:cxn modelId="{531ADB05-88EF-4203-BBB2-B24C83390BF9}" srcId="{C4786619-50EA-4A88-BECC-BAE5CC8129B2}" destId="{A6047AD1-80A7-482D-956D-BE461A67E36E}" srcOrd="3" destOrd="0" parTransId="{4A7E6EB2-3DF3-43D9-9878-4B429F577A9C}" sibTransId="{C64B5CB2-FD51-4C19-8A70-F5DD8AB6CCD0}"/>
    <dgm:cxn modelId="{73575507-18C8-4DFE-B25B-57172C57C230}" srcId="{C4786619-50EA-4A88-BECC-BAE5CC8129B2}" destId="{ACF62CAD-C567-4E73-9DD4-2A33C29948A3}" srcOrd="2" destOrd="0" parTransId="{2562D9FE-3223-48C5-96A8-15B8BDAD89E4}" sibTransId="{EB5BE0EF-35A1-427F-BE6C-1F3F1387E47E}"/>
    <dgm:cxn modelId="{A3004B1E-BF7A-4B62-B2F6-00F1A42CB95C}" type="presOf" srcId="{A2E4E470-3239-4CA3-BA56-C1E3D83C2D9E}" destId="{E26E87C4-3668-4634-87BA-B34D68BAD0E7}" srcOrd="0" destOrd="0" presId="urn:microsoft.com/office/officeart/2005/8/layout/pyramid1"/>
    <dgm:cxn modelId="{21D95C1F-8886-474C-80C6-E158C9E64E17}" type="presOf" srcId="{90462316-E5EB-4AE4-A668-87647AC4C71A}" destId="{7D23760D-2ED7-490D-92A4-A1D4F91B8D58}" srcOrd="1" destOrd="0" presId="urn:microsoft.com/office/officeart/2005/8/layout/pyramid1"/>
    <dgm:cxn modelId="{25F12322-C091-48F7-AFE9-B9F3DB8A553F}" type="presOf" srcId="{90462316-E5EB-4AE4-A668-87647AC4C71A}" destId="{CB4068F6-79A8-411A-B807-FE362A0F9E88}" srcOrd="0" destOrd="0" presId="urn:microsoft.com/office/officeart/2005/8/layout/pyramid1"/>
    <dgm:cxn modelId="{64FDE75E-3F80-4A8F-9FBB-34FA9A962CC3}" type="presOf" srcId="{A6047AD1-80A7-482D-956D-BE461A67E36E}" destId="{C85623B4-B466-433F-BA51-EFC5E6293451}" srcOrd="0" destOrd="0" presId="urn:microsoft.com/office/officeart/2005/8/layout/pyramid1"/>
    <dgm:cxn modelId="{07E0E345-BF32-4C6D-A74C-B6C970719032}" type="presOf" srcId="{ACF62CAD-C567-4E73-9DD4-2A33C29948A3}" destId="{900B1B11-E034-4DB2-8FA3-65222DEED7D2}" srcOrd="1" destOrd="0" presId="urn:microsoft.com/office/officeart/2005/8/layout/pyramid1"/>
    <dgm:cxn modelId="{4957C94E-EB2F-4303-B657-473FA196EF06}" srcId="{C4786619-50EA-4A88-BECC-BAE5CC8129B2}" destId="{A2E4E470-3239-4CA3-BA56-C1E3D83C2D9E}" srcOrd="0" destOrd="0" parTransId="{CAB80706-0494-4395-BA1A-8006A962D285}" sibTransId="{7130F857-C094-4571-BF7A-C635F877672E}"/>
    <dgm:cxn modelId="{E9494B51-AAAA-4A3E-BF8B-0740B49FFEB6}" type="presOf" srcId="{A2E4E470-3239-4CA3-BA56-C1E3D83C2D9E}" destId="{D862FE2F-A9EF-4C79-AC54-470514A32AAE}" srcOrd="1" destOrd="0" presId="urn:microsoft.com/office/officeart/2005/8/layout/pyramid1"/>
    <dgm:cxn modelId="{1B0D4978-C305-4FE3-A2F3-BB70ADCB9DE5}" srcId="{C4786619-50EA-4A88-BECC-BAE5CC8129B2}" destId="{90462316-E5EB-4AE4-A668-87647AC4C71A}" srcOrd="1" destOrd="0" parTransId="{675BDF55-AA89-4281-984E-EB9D27BE8B0D}" sibTransId="{E8BB7AFB-F8C1-4148-9E1B-1804B4810D55}"/>
    <dgm:cxn modelId="{FC2CAE58-9970-4DBC-BCB9-0653E94EC8F4}" type="presOf" srcId="{0E6AFB84-1B96-4D6E-AF82-CE420897EBE8}" destId="{64919D2F-C83E-46E1-904F-E1E090B4CC05}" srcOrd="0" destOrd="0" presId="urn:microsoft.com/office/officeart/2005/8/layout/pyramid1"/>
    <dgm:cxn modelId="{52CB268D-E5B8-48E9-8CAC-88E39F71A5E8}" type="presOf" srcId="{0E6AFB84-1B96-4D6E-AF82-CE420897EBE8}" destId="{9167B365-5BC2-4B36-BCC4-1E2856F1EA20}" srcOrd="1" destOrd="0" presId="urn:microsoft.com/office/officeart/2005/8/layout/pyramid1"/>
    <dgm:cxn modelId="{FA3505AE-3CA7-4438-ACCB-9F9CF3114D37}" type="presOf" srcId="{A6047AD1-80A7-482D-956D-BE461A67E36E}" destId="{CD9543C1-0C70-40F1-A9CE-C1967CD092F7}" srcOrd="1" destOrd="0" presId="urn:microsoft.com/office/officeart/2005/8/layout/pyramid1"/>
    <dgm:cxn modelId="{00F449C0-B1C2-4C59-907E-9AFBE6E49FDD}" type="presOf" srcId="{C4786619-50EA-4A88-BECC-BAE5CC8129B2}" destId="{76831A76-43CC-4A19-9212-07BE708A8E07}" srcOrd="0" destOrd="0" presId="urn:microsoft.com/office/officeart/2005/8/layout/pyramid1"/>
    <dgm:cxn modelId="{F96CCCC8-30A1-4E79-9F56-E42A2DA3BF1C}" type="presOf" srcId="{ACF62CAD-C567-4E73-9DD4-2A33C29948A3}" destId="{CD0AF39C-8395-4794-AE9C-C5F816C2FF07}" srcOrd="0" destOrd="0" presId="urn:microsoft.com/office/officeart/2005/8/layout/pyramid1"/>
    <dgm:cxn modelId="{181539F6-66D0-4655-AE8F-BDE341C618F3}" srcId="{C4786619-50EA-4A88-BECC-BAE5CC8129B2}" destId="{0E6AFB84-1B96-4D6E-AF82-CE420897EBE8}" srcOrd="4" destOrd="0" parTransId="{E7596D06-F803-4387-9BCD-D1C84C2BD234}" sibTransId="{80504023-16A5-4DE9-950A-A8B21E34A978}"/>
    <dgm:cxn modelId="{C4851A1B-EDC2-421A-BE08-EC20C333AB37}" type="presParOf" srcId="{76831A76-43CC-4A19-9212-07BE708A8E07}" destId="{9B641428-45B5-474C-BC97-EB09FC4744EE}" srcOrd="0" destOrd="0" presId="urn:microsoft.com/office/officeart/2005/8/layout/pyramid1"/>
    <dgm:cxn modelId="{003BCD54-8DEE-4A58-BD69-A202943606E5}" type="presParOf" srcId="{9B641428-45B5-474C-BC97-EB09FC4744EE}" destId="{E26E87C4-3668-4634-87BA-B34D68BAD0E7}" srcOrd="0" destOrd="0" presId="urn:microsoft.com/office/officeart/2005/8/layout/pyramid1"/>
    <dgm:cxn modelId="{24E572A5-B46D-44D6-903A-0EA2AFA4892E}" type="presParOf" srcId="{9B641428-45B5-474C-BC97-EB09FC4744EE}" destId="{D862FE2F-A9EF-4C79-AC54-470514A32AAE}" srcOrd="1" destOrd="0" presId="urn:microsoft.com/office/officeart/2005/8/layout/pyramid1"/>
    <dgm:cxn modelId="{97100C9B-8249-4A59-B74D-D7BABAFF6859}" type="presParOf" srcId="{76831A76-43CC-4A19-9212-07BE708A8E07}" destId="{3EB00032-B8CD-4754-A6B2-C5BA4CB4995D}" srcOrd="1" destOrd="0" presId="urn:microsoft.com/office/officeart/2005/8/layout/pyramid1"/>
    <dgm:cxn modelId="{B92B4A38-5CB6-4118-B3D9-FB2B58ABA230}" type="presParOf" srcId="{3EB00032-B8CD-4754-A6B2-C5BA4CB4995D}" destId="{CB4068F6-79A8-411A-B807-FE362A0F9E88}" srcOrd="0" destOrd="0" presId="urn:microsoft.com/office/officeart/2005/8/layout/pyramid1"/>
    <dgm:cxn modelId="{CAEAB251-28BB-4EC5-9BFA-74C202D15142}" type="presParOf" srcId="{3EB00032-B8CD-4754-A6B2-C5BA4CB4995D}" destId="{7D23760D-2ED7-490D-92A4-A1D4F91B8D58}" srcOrd="1" destOrd="0" presId="urn:microsoft.com/office/officeart/2005/8/layout/pyramid1"/>
    <dgm:cxn modelId="{BDC4209E-D930-42C4-95FA-46B57DA5BFBD}" type="presParOf" srcId="{76831A76-43CC-4A19-9212-07BE708A8E07}" destId="{A73934E1-576C-4445-93B0-7F9E5A8F35D9}" srcOrd="2" destOrd="0" presId="urn:microsoft.com/office/officeart/2005/8/layout/pyramid1"/>
    <dgm:cxn modelId="{2E4423CE-EAE6-4AFD-B68C-714DA6CD2E7E}" type="presParOf" srcId="{A73934E1-576C-4445-93B0-7F9E5A8F35D9}" destId="{CD0AF39C-8395-4794-AE9C-C5F816C2FF07}" srcOrd="0" destOrd="0" presId="urn:microsoft.com/office/officeart/2005/8/layout/pyramid1"/>
    <dgm:cxn modelId="{20632A09-92E6-4822-BACE-7E653F0DF4EA}" type="presParOf" srcId="{A73934E1-576C-4445-93B0-7F9E5A8F35D9}" destId="{900B1B11-E034-4DB2-8FA3-65222DEED7D2}" srcOrd="1" destOrd="0" presId="urn:microsoft.com/office/officeart/2005/8/layout/pyramid1"/>
    <dgm:cxn modelId="{0F625275-34AD-41A4-994B-A779A4E1F3F2}" type="presParOf" srcId="{76831A76-43CC-4A19-9212-07BE708A8E07}" destId="{02FE96F9-1DEA-4369-A43E-72E3F07A053A}" srcOrd="3" destOrd="0" presId="urn:microsoft.com/office/officeart/2005/8/layout/pyramid1"/>
    <dgm:cxn modelId="{FFC08547-BFE0-4312-870F-DC1279162448}" type="presParOf" srcId="{02FE96F9-1DEA-4369-A43E-72E3F07A053A}" destId="{C85623B4-B466-433F-BA51-EFC5E6293451}" srcOrd="0" destOrd="0" presId="urn:microsoft.com/office/officeart/2005/8/layout/pyramid1"/>
    <dgm:cxn modelId="{3D880FD5-1EA6-4D14-B96A-B8BC9876113B}" type="presParOf" srcId="{02FE96F9-1DEA-4369-A43E-72E3F07A053A}" destId="{CD9543C1-0C70-40F1-A9CE-C1967CD092F7}" srcOrd="1" destOrd="0" presId="urn:microsoft.com/office/officeart/2005/8/layout/pyramid1"/>
    <dgm:cxn modelId="{86BEE5A4-BD0F-480D-BC89-6D52D2EBCB9E}" type="presParOf" srcId="{76831A76-43CC-4A19-9212-07BE708A8E07}" destId="{A20D975D-1B95-45C1-B1F2-5C728B12055E}" srcOrd="4" destOrd="0" presId="urn:microsoft.com/office/officeart/2005/8/layout/pyramid1"/>
    <dgm:cxn modelId="{6C8AFA57-8E93-4DCB-B388-999D233C5280}" type="presParOf" srcId="{A20D975D-1B95-45C1-B1F2-5C728B12055E}" destId="{64919D2F-C83E-46E1-904F-E1E090B4CC05}" srcOrd="0" destOrd="0" presId="urn:microsoft.com/office/officeart/2005/8/layout/pyramid1"/>
    <dgm:cxn modelId="{003F70E8-A165-4D9F-BE60-8229FBBE6339}" type="presParOf" srcId="{A20D975D-1B95-45C1-B1F2-5C728B12055E}" destId="{9167B365-5BC2-4B36-BCC4-1E2856F1EA20}" srcOrd="1" destOrd="0" presId="urn:microsoft.com/office/officeart/2005/8/layout/pyramid1"/>
  </dgm:cxnLst>
  <dgm:bg/>
  <dgm:whole/>
  <dgm:extLst>
    <a:ext uri="http://schemas.microsoft.com/office/drawing/2008/diagram">
      <dsp:dataModelExt xmlns:dsp="http://schemas.microsoft.com/office/drawing/2008/diagram" relId="rId10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2FF7095-21EF-4257-AA9D-A4FBCC815C14}" type="doc">
      <dgm:prSet loTypeId="urn:microsoft.com/office/officeart/2005/8/layout/lProcess2" loCatId="list" qsTypeId="urn:microsoft.com/office/officeart/2005/8/quickstyle/simple1" qsCatId="simple" csTypeId="urn:microsoft.com/office/officeart/2005/8/colors/accent0_1" csCatId="mainScheme" phldr="1"/>
      <dgm:spPr/>
      <dgm:t>
        <a:bodyPr/>
        <a:lstStyle/>
        <a:p>
          <a:endParaRPr lang="uk-UA"/>
        </a:p>
      </dgm:t>
    </dgm:pt>
    <dgm:pt modelId="{20BF449D-ABD6-44CB-B4D6-FDE678268BE8}">
      <dgm:prSet phldrT="[Текст]" custT="1"/>
      <dgm:spPr/>
      <dgm:t>
        <a:bodyPr/>
        <a:lstStyle/>
        <a:p>
          <a:r>
            <a:rPr lang="uk-UA" sz="1400" b="1">
              <a:latin typeface="Times New Roman" pitchFamily="18" charset="0"/>
              <a:cs typeface="Times New Roman" pitchFamily="18" charset="0"/>
            </a:rPr>
            <a:t>Внутрішня цільова аудиторія</a:t>
          </a:r>
        </a:p>
      </dgm:t>
    </dgm:pt>
    <dgm:pt modelId="{EF3C72FE-0135-4067-895A-D51C644E67E5}" type="parTrans" cxnId="{496D2F65-D356-44BD-B8D4-4DDE1D16519D}">
      <dgm:prSet/>
      <dgm:spPr/>
      <dgm:t>
        <a:bodyPr/>
        <a:lstStyle/>
        <a:p>
          <a:endParaRPr lang="uk-UA"/>
        </a:p>
      </dgm:t>
    </dgm:pt>
    <dgm:pt modelId="{B7E9792F-3B4A-4CC2-B10B-C9802397A42F}" type="sibTrans" cxnId="{496D2F65-D356-44BD-B8D4-4DDE1D16519D}">
      <dgm:prSet/>
      <dgm:spPr/>
      <dgm:t>
        <a:bodyPr/>
        <a:lstStyle/>
        <a:p>
          <a:endParaRPr lang="uk-UA"/>
        </a:p>
      </dgm:t>
    </dgm:pt>
    <dgm:pt modelId="{C887222A-C407-44B2-A9F4-745B63E77113}">
      <dgm:prSet phldrT="[Текст]" custT="1"/>
      <dgm:spPr/>
      <dgm:t>
        <a:bodyPr/>
        <a:lstStyle/>
        <a:p>
          <a:r>
            <a:rPr lang="uk-UA" sz="1400">
              <a:latin typeface="Times New Roman" pitchFamily="18" charset="0"/>
              <a:cs typeface="Times New Roman" pitchFamily="18" charset="0"/>
            </a:rPr>
            <a:t>вище керівництво, топ-менеджмент, керівники проектів</a:t>
          </a:r>
        </a:p>
      </dgm:t>
    </dgm:pt>
    <dgm:pt modelId="{14EDCF58-25A8-4C76-87BE-3EC4794DB02A}" type="parTrans" cxnId="{5124D19A-DD55-4C0C-8189-B252BA366600}">
      <dgm:prSet/>
      <dgm:spPr/>
      <dgm:t>
        <a:bodyPr/>
        <a:lstStyle/>
        <a:p>
          <a:endParaRPr lang="uk-UA"/>
        </a:p>
      </dgm:t>
    </dgm:pt>
    <dgm:pt modelId="{9212FF00-E5DD-4C3A-AEE6-88D5472B27FD}" type="sibTrans" cxnId="{5124D19A-DD55-4C0C-8189-B252BA366600}">
      <dgm:prSet/>
      <dgm:spPr/>
      <dgm:t>
        <a:bodyPr/>
        <a:lstStyle/>
        <a:p>
          <a:endParaRPr lang="uk-UA"/>
        </a:p>
      </dgm:t>
    </dgm:pt>
    <dgm:pt modelId="{18386E22-4EA6-4B86-86D7-A2EB1D7C92C1}">
      <dgm:prSet phldrT="[Текст]" custT="1"/>
      <dgm:spPr/>
      <dgm:t>
        <a:bodyPr/>
        <a:lstStyle/>
        <a:p>
          <a:r>
            <a:rPr lang="uk-UA" sz="1400">
              <a:latin typeface="Times New Roman" pitchFamily="18" charset="0"/>
              <a:cs typeface="Times New Roman" pitchFamily="18" charset="0"/>
            </a:rPr>
            <a:t>керівники середньої ланки, менеджери</a:t>
          </a:r>
        </a:p>
      </dgm:t>
    </dgm:pt>
    <dgm:pt modelId="{73F48870-3821-4890-A4BE-0AB36F992E7C}" type="parTrans" cxnId="{3D523FE0-15F8-4BD4-A6C0-440F662A6FE6}">
      <dgm:prSet/>
      <dgm:spPr/>
      <dgm:t>
        <a:bodyPr/>
        <a:lstStyle/>
        <a:p>
          <a:endParaRPr lang="uk-UA"/>
        </a:p>
      </dgm:t>
    </dgm:pt>
    <dgm:pt modelId="{CC212DE2-ABFB-4B62-88D5-CA6DF87B62FD}" type="sibTrans" cxnId="{3D523FE0-15F8-4BD4-A6C0-440F662A6FE6}">
      <dgm:prSet/>
      <dgm:spPr/>
      <dgm:t>
        <a:bodyPr/>
        <a:lstStyle/>
        <a:p>
          <a:endParaRPr lang="uk-UA"/>
        </a:p>
      </dgm:t>
    </dgm:pt>
    <dgm:pt modelId="{530B7702-EAEE-4D26-B446-8214F4C935C4}">
      <dgm:prSet phldrT="[Текст]" custT="1"/>
      <dgm:spPr/>
      <dgm:t>
        <a:bodyPr/>
        <a:lstStyle/>
        <a:p>
          <a:r>
            <a:rPr lang="uk-UA" sz="1400" b="1">
              <a:latin typeface="Times New Roman" pitchFamily="18" charset="0"/>
              <a:cs typeface="Times New Roman" pitchFamily="18" charset="0"/>
            </a:rPr>
            <a:t>Зовнішня цільова аудиторія</a:t>
          </a:r>
        </a:p>
      </dgm:t>
    </dgm:pt>
    <dgm:pt modelId="{764004E0-1624-414A-90F9-876B04FFF835}" type="parTrans" cxnId="{BBAF1A4E-DCAD-4BDF-BFF0-A95A9EB8E285}">
      <dgm:prSet/>
      <dgm:spPr/>
      <dgm:t>
        <a:bodyPr/>
        <a:lstStyle/>
        <a:p>
          <a:endParaRPr lang="uk-UA"/>
        </a:p>
      </dgm:t>
    </dgm:pt>
    <dgm:pt modelId="{9D36173C-F026-4295-A4C9-A46C4962D3AD}" type="sibTrans" cxnId="{BBAF1A4E-DCAD-4BDF-BFF0-A95A9EB8E285}">
      <dgm:prSet/>
      <dgm:spPr/>
      <dgm:t>
        <a:bodyPr/>
        <a:lstStyle/>
        <a:p>
          <a:endParaRPr lang="uk-UA"/>
        </a:p>
      </dgm:t>
    </dgm:pt>
    <dgm:pt modelId="{A6BD7549-C78A-450E-968E-91550E2DCECA}">
      <dgm:prSet phldrT="[Текст]" custT="1"/>
      <dgm:spPr/>
      <dgm:t>
        <a:bodyPr/>
        <a:lstStyle/>
        <a:p>
          <a:r>
            <a:rPr lang="uk-UA" sz="1400">
              <a:latin typeface="Times New Roman" pitchFamily="18" charset="0"/>
              <a:cs typeface="Times New Roman" pitchFamily="18" charset="0"/>
            </a:rPr>
            <a:t>реальні та потенційні клієнти, замовники, споживачі</a:t>
          </a:r>
        </a:p>
      </dgm:t>
    </dgm:pt>
    <dgm:pt modelId="{BC658028-5B8C-4432-96A1-CF6D8E9E217E}" type="parTrans" cxnId="{63C8E0C1-5E03-4549-A61E-BC9BD6C2A6F1}">
      <dgm:prSet/>
      <dgm:spPr/>
      <dgm:t>
        <a:bodyPr/>
        <a:lstStyle/>
        <a:p>
          <a:endParaRPr lang="uk-UA"/>
        </a:p>
      </dgm:t>
    </dgm:pt>
    <dgm:pt modelId="{C01393CE-5597-4A5A-BD8A-634C133CE90B}" type="sibTrans" cxnId="{63C8E0C1-5E03-4549-A61E-BC9BD6C2A6F1}">
      <dgm:prSet/>
      <dgm:spPr/>
      <dgm:t>
        <a:bodyPr/>
        <a:lstStyle/>
        <a:p>
          <a:endParaRPr lang="uk-UA"/>
        </a:p>
      </dgm:t>
    </dgm:pt>
    <dgm:pt modelId="{5003FAB9-3CCD-4A1F-82B0-04381A1510B3}">
      <dgm:prSet phldrT="[Текст]" custT="1"/>
      <dgm:spPr/>
      <dgm:t>
        <a:bodyPr/>
        <a:lstStyle/>
        <a:p>
          <a:r>
            <a:rPr lang="uk-UA" sz="1400">
              <a:latin typeface="Times New Roman" pitchFamily="18" charset="0"/>
              <a:cs typeface="Times New Roman" pitchFamily="18" charset="0"/>
            </a:rPr>
            <a:t>партнери, інвестори,   постачальники</a:t>
          </a:r>
        </a:p>
      </dgm:t>
    </dgm:pt>
    <dgm:pt modelId="{E582245E-A8C9-450D-98B7-B6AC3CA8F53F}" type="parTrans" cxnId="{7826A9C9-C73E-4524-9061-AE0A4554DBC3}">
      <dgm:prSet/>
      <dgm:spPr/>
      <dgm:t>
        <a:bodyPr/>
        <a:lstStyle/>
        <a:p>
          <a:endParaRPr lang="uk-UA"/>
        </a:p>
      </dgm:t>
    </dgm:pt>
    <dgm:pt modelId="{99507314-F0EE-4B08-A1C2-110706E8054C}" type="sibTrans" cxnId="{7826A9C9-C73E-4524-9061-AE0A4554DBC3}">
      <dgm:prSet/>
      <dgm:spPr/>
      <dgm:t>
        <a:bodyPr/>
        <a:lstStyle/>
        <a:p>
          <a:endParaRPr lang="uk-UA"/>
        </a:p>
      </dgm:t>
    </dgm:pt>
    <dgm:pt modelId="{D76289A2-4249-442C-BDF8-34C7AC904948}">
      <dgm:prSet custT="1"/>
      <dgm:spPr/>
      <dgm:t>
        <a:bodyPr/>
        <a:lstStyle/>
        <a:p>
          <a:r>
            <a:rPr lang="uk-UA" sz="1400">
              <a:latin typeface="Times New Roman" pitchFamily="18" charset="0"/>
              <a:cs typeface="Times New Roman" pitchFamily="18" charset="0"/>
            </a:rPr>
            <a:t>працівники організації</a:t>
          </a:r>
        </a:p>
      </dgm:t>
    </dgm:pt>
    <dgm:pt modelId="{929CAF0B-C59D-45F4-8198-8FCF3FBEBBA3}" type="parTrans" cxnId="{E3633E62-5F1E-486C-A44C-E14D0F6D02C9}">
      <dgm:prSet/>
      <dgm:spPr/>
      <dgm:t>
        <a:bodyPr/>
        <a:lstStyle/>
        <a:p>
          <a:endParaRPr lang="uk-UA"/>
        </a:p>
      </dgm:t>
    </dgm:pt>
    <dgm:pt modelId="{DD5C50B7-6975-4954-A5F0-8BF471F90F87}" type="sibTrans" cxnId="{E3633E62-5F1E-486C-A44C-E14D0F6D02C9}">
      <dgm:prSet/>
      <dgm:spPr/>
      <dgm:t>
        <a:bodyPr/>
        <a:lstStyle/>
        <a:p>
          <a:endParaRPr lang="uk-UA"/>
        </a:p>
      </dgm:t>
    </dgm:pt>
    <dgm:pt modelId="{3AAFBC36-E3B9-42CF-AC62-E652CBFE94F1}">
      <dgm:prSet custT="1"/>
      <dgm:spPr/>
      <dgm:t>
        <a:bodyPr/>
        <a:lstStyle/>
        <a:p>
          <a:r>
            <a:rPr lang="uk-UA" sz="1400">
              <a:latin typeface="Times New Roman" pitchFamily="18" charset="0"/>
              <a:cs typeface="Times New Roman" pitchFamily="18" charset="0"/>
            </a:rPr>
            <a:t>команда проекту</a:t>
          </a:r>
        </a:p>
      </dgm:t>
    </dgm:pt>
    <dgm:pt modelId="{F53C94E5-54B1-4BD9-8E95-22870C895B2D}" type="parTrans" cxnId="{46D8EB6D-CB02-417C-9D8E-DEC1A17906EC}">
      <dgm:prSet/>
      <dgm:spPr/>
      <dgm:t>
        <a:bodyPr/>
        <a:lstStyle/>
        <a:p>
          <a:endParaRPr lang="uk-UA"/>
        </a:p>
      </dgm:t>
    </dgm:pt>
    <dgm:pt modelId="{CAE26591-5DC7-480B-98AB-B5E4CCBFA525}" type="sibTrans" cxnId="{46D8EB6D-CB02-417C-9D8E-DEC1A17906EC}">
      <dgm:prSet/>
      <dgm:spPr/>
      <dgm:t>
        <a:bodyPr/>
        <a:lstStyle/>
        <a:p>
          <a:endParaRPr lang="uk-UA"/>
        </a:p>
      </dgm:t>
    </dgm:pt>
    <dgm:pt modelId="{EB7FCD2D-A596-4A63-9D8F-7802F165BE51}">
      <dgm:prSet custT="1"/>
      <dgm:spPr/>
      <dgm:t>
        <a:bodyPr/>
        <a:lstStyle/>
        <a:p>
          <a:r>
            <a:rPr lang="uk-UA" sz="1400">
              <a:latin typeface="Times New Roman" pitchFamily="18" charset="0"/>
              <a:cs typeface="Times New Roman" pitchFamily="18" charset="0"/>
            </a:rPr>
            <a:t>ЗМІ, громадськість</a:t>
          </a:r>
        </a:p>
      </dgm:t>
    </dgm:pt>
    <dgm:pt modelId="{ED0CAAAE-A63F-40FD-AE6D-9E070B3E65CD}" type="parTrans" cxnId="{6C1C02AE-E654-4B0C-B3FD-D5781CB5DC63}">
      <dgm:prSet/>
      <dgm:spPr/>
      <dgm:t>
        <a:bodyPr/>
        <a:lstStyle/>
        <a:p>
          <a:endParaRPr lang="uk-UA"/>
        </a:p>
      </dgm:t>
    </dgm:pt>
    <dgm:pt modelId="{72A6424C-BDE2-4DA2-B1B7-2A5D6D021691}" type="sibTrans" cxnId="{6C1C02AE-E654-4B0C-B3FD-D5781CB5DC63}">
      <dgm:prSet/>
      <dgm:spPr/>
      <dgm:t>
        <a:bodyPr/>
        <a:lstStyle/>
        <a:p>
          <a:endParaRPr lang="uk-UA"/>
        </a:p>
      </dgm:t>
    </dgm:pt>
    <dgm:pt modelId="{47FD5E18-4113-49EB-BADC-D4A6537DEDA8}">
      <dgm:prSet custT="1"/>
      <dgm:spPr/>
      <dgm:t>
        <a:bodyPr/>
        <a:lstStyle/>
        <a:p>
          <a:r>
            <a:rPr lang="uk-UA" sz="1400">
              <a:latin typeface="Times New Roman" pitchFamily="18" charset="0"/>
              <a:cs typeface="Times New Roman" pitchFamily="18" charset="0"/>
            </a:rPr>
            <a:t>конкуренти</a:t>
          </a:r>
        </a:p>
      </dgm:t>
    </dgm:pt>
    <dgm:pt modelId="{A1C1C3B8-2CC6-409C-B6DC-423CAA25D72F}" type="parTrans" cxnId="{9133ABB9-052C-4E89-8480-A0CDCD635DA3}">
      <dgm:prSet/>
      <dgm:spPr/>
      <dgm:t>
        <a:bodyPr/>
        <a:lstStyle/>
        <a:p>
          <a:endParaRPr lang="uk-UA"/>
        </a:p>
      </dgm:t>
    </dgm:pt>
    <dgm:pt modelId="{31DE9C1D-E92F-41D3-854C-7E771994BCAF}" type="sibTrans" cxnId="{9133ABB9-052C-4E89-8480-A0CDCD635DA3}">
      <dgm:prSet/>
      <dgm:spPr/>
      <dgm:t>
        <a:bodyPr/>
        <a:lstStyle/>
        <a:p>
          <a:endParaRPr lang="uk-UA"/>
        </a:p>
      </dgm:t>
    </dgm:pt>
    <dgm:pt modelId="{5AB3349C-BA3B-4157-96EF-B39825198061}">
      <dgm:prSet custT="1"/>
      <dgm:spPr/>
      <dgm:t>
        <a:bodyPr/>
        <a:lstStyle/>
        <a:p>
          <a:r>
            <a:rPr lang="uk-UA" sz="1400">
              <a:latin typeface="Times New Roman" pitchFamily="18" charset="0"/>
              <a:cs typeface="Times New Roman" pitchFamily="18" charset="0"/>
            </a:rPr>
            <a:t>державні інституції</a:t>
          </a:r>
        </a:p>
      </dgm:t>
    </dgm:pt>
    <dgm:pt modelId="{B5059803-9176-42FB-8B91-69AF4B800ED6}" type="parTrans" cxnId="{4E7EF51D-7B4B-49BB-90AD-C375A4DD8574}">
      <dgm:prSet/>
      <dgm:spPr/>
      <dgm:t>
        <a:bodyPr/>
        <a:lstStyle/>
        <a:p>
          <a:endParaRPr lang="uk-UA"/>
        </a:p>
      </dgm:t>
    </dgm:pt>
    <dgm:pt modelId="{2E1FB010-A37F-451D-A437-8E7A0B9CD46C}" type="sibTrans" cxnId="{4E7EF51D-7B4B-49BB-90AD-C375A4DD8574}">
      <dgm:prSet/>
      <dgm:spPr/>
      <dgm:t>
        <a:bodyPr/>
        <a:lstStyle/>
        <a:p>
          <a:endParaRPr lang="uk-UA"/>
        </a:p>
      </dgm:t>
    </dgm:pt>
    <dgm:pt modelId="{294FD32A-C0D4-452F-A6CA-0C8907F586E2}">
      <dgm:prSet custT="1"/>
      <dgm:spPr/>
      <dgm:t>
        <a:bodyPr/>
        <a:lstStyle/>
        <a:p>
          <a:r>
            <a:rPr lang="uk-UA" sz="1400">
              <a:latin typeface="Times New Roman" pitchFamily="18" charset="0"/>
              <a:cs typeface="Times New Roman" pitchFamily="18" charset="0"/>
            </a:rPr>
            <a:t>фінансові структури</a:t>
          </a:r>
        </a:p>
      </dgm:t>
    </dgm:pt>
    <dgm:pt modelId="{BF79895F-ADEA-4EA0-90C1-8F426F2A5CBE}" type="parTrans" cxnId="{464331F8-175E-4EE8-8495-831A4EB6345C}">
      <dgm:prSet/>
      <dgm:spPr/>
      <dgm:t>
        <a:bodyPr/>
        <a:lstStyle/>
        <a:p>
          <a:endParaRPr lang="uk-UA"/>
        </a:p>
      </dgm:t>
    </dgm:pt>
    <dgm:pt modelId="{1CEB0867-B1CC-41E7-957B-4AEA042639A2}" type="sibTrans" cxnId="{464331F8-175E-4EE8-8495-831A4EB6345C}">
      <dgm:prSet/>
      <dgm:spPr/>
      <dgm:t>
        <a:bodyPr/>
        <a:lstStyle/>
        <a:p>
          <a:endParaRPr lang="uk-UA"/>
        </a:p>
      </dgm:t>
    </dgm:pt>
    <dgm:pt modelId="{DD8D1F1D-7F91-422E-9371-40832FA58A5C}" type="pres">
      <dgm:prSet presAssocID="{42FF7095-21EF-4257-AA9D-A4FBCC815C14}" presName="theList" presStyleCnt="0">
        <dgm:presLayoutVars>
          <dgm:dir/>
          <dgm:animLvl val="lvl"/>
          <dgm:resizeHandles val="exact"/>
        </dgm:presLayoutVars>
      </dgm:prSet>
      <dgm:spPr/>
    </dgm:pt>
    <dgm:pt modelId="{B06A827F-CC88-4CAD-A878-846369251322}" type="pres">
      <dgm:prSet presAssocID="{20BF449D-ABD6-44CB-B4D6-FDE678268BE8}" presName="compNode" presStyleCnt="0"/>
      <dgm:spPr/>
    </dgm:pt>
    <dgm:pt modelId="{3BD26EBC-D9A9-4143-861F-B7FBA720F921}" type="pres">
      <dgm:prSet presAssocID="{20BF449D-ABD6-44CB-B4D6-FDE678268BE8}" presName="aNode" presStyleLbl="bgShp" presStyleIdx="0" presStyleCnt="2"/>
      <dgm:spPr/>
    </dgm:pt>
    <dgm:pt modelId="{A0EE12CE-0F76-49C8-A00D-5FBE5D7A09EA}" type="pres">
      <dgm:prSet presAssocID="{20BF449D-ABD6-44CB-B4D6-FDE678268BE8}" presName="textNode" presStyleLbl="bgShp" presStyleIdx="0" presStyleCnt="2"/>
      <dgm:spPr/>
    </dgm:pt>
    <dgm:pt modelId="{51B269A4-048F-4F97-8181-B456B43CBAF5}" type="pres">
      <dgm:prSet presAssocID="{20BF449D-ABD6-44CB-B4D6-FDE678268BE8}" presName="compChildNode" presStyleCnt="0"/>
      <dgm:spPr/>
    </dgm:pt>
    <dgm:pt modelId="{52B65823-39E0-4318-868D-5AFA9D9DD650}" type="pres">
      <dgm:prSet presAssocID="{20BF449D-ABD6-44CB-B4D6-FDE678268BE8}" presName="theInnerList" presStyleCnt="0"/>
      <dgm:spPr/>
    </dgm:pt>
    <dgm:pt modelId="{CDEFFCFC-217F-4157-8508-1E34D8F5693B}" type="pres">
      <dgm:prSet presAssocID="{C887222A-C407-44B2-A9F4-745B63E77113}" presName="childNode" presStyleLbl="node1" presStyleIdx="0" presStyleCnt="10">
        <dgm:presLayoutVars>
          <dgm:bulletEnabled val="1"/>
        </dgm:presLayoutVars>
      </dgm:prSet>
      <dgm:spPr/>
    </dgm:pt>
    <dgm:pt modelId="{8806DD1D-2638-438B-B9CB-EBE1A58BAD5B}" type="pres">
      <dgm:prSet presAssocID="{C887222A-C407-44B2-A9F4-745B63E77113}" presName="aSpace2" presStyleCnt="0"/>
      <dgm:spPr/>
    </dgm:pt>
    <dgm:pt modelId="{B4D54DBA-EC94-464D-B91D-4AFF5D85DCEF}" type="pres">
      <dgm:prSet presAssocID="{18386E22-4EA6-4B86-86D7-A2EB1D7C92C1}" presName="childNode" presStyleLbl="node1" presStyleIdx="1" presStyleCnt="10">
        <dgm:presLayoutVars>
          <dgm:bulletEnabled val="1"/>
        </dgm:presLayoutVars>
      </dgm:prSet>
      <dgm:spPr/>
    </dgm:pt>
    <dgm:pt modelId="{47BA830E-26C5-410D-A4A3-6BEC0D385CC2}" type="pres">
      <dgm:prSet presAssocID="{18386E22-4EA6-4B86-86D7-A2EB1D7C92C1}" presName="aSpace2" presStyleCnt="0"/>
      <dgm:spPr/>
    </dgm:pt>
    <dgm:pt modelId="{6ED44561-907C-4BFD-BB21-677BA6621264}" type="pres">
      <dgm:prSet presAssocID="{D76289A2-4249-442C-BDF8-34C7AC904948}" presName="childNode" presStyleLbl="node1" presStyleIdx="2" presStyleCnt="10">
        <dgm:presLayoutVars>
          <dgm:bulletEnabled val="1"/>
        </dgm:presLayoutVars>
      </dgm:prSet>
      <dgm:spPr/>
    </dgm:pt>
    <dgm:pt modelId="{E454F2A4-8AD6-4A0B-B7DE-5820B33A71CB}" type="pres">
      <dgm:prSet presAssocID="{D76289A2-4249-442C-BDF8-34C7AC904948}" presName="aSpace2" presStyleCnt="0"/>
      <dgm:spPr/>
    </dgm:pt>
    <dgm:pt modelId="{62955F6B-2C14-468A-B1BD-A70B5F2F1C96}" type="pres">
      <dgm:prSet presAssocID="{3AAFBC36-E3B9-42CF-AC62-E652CBFE94F1}" presName="childNode" presStyleLbl="node1" presStyleIdx="3" presStyleCnt="10">
        <dgm:presLayoutVars>
          <dgm:bulletEnabled val="1"/>
        </dgm:presLayoutVars>
      </dgm:prSet>
      <dgm:spPr/>
    </dgm:pt>
    <dgm:pt modelId="{00AD1524-2703-4F0D-8FED-617CFD677E68}" type="pres">
      <dgm:prSet presAssocID="{20BF449D-ABD6-44CB-B4D6-FDE678268BE8}" presName="aSpace" presStyleCnt="0"/>
      <dgm:spPr/>
    </dgm:pt>
    <dgm:pt modelId="{B053796B-287A-4E37-AD0C-2624F980FAB6}" type="pres">
      <dgm:prSet presAssocID="{530B7702-EAEE-4D26-B446-8214F4C935C4}" presName="compNode" presStyleCnt="0"/>
      <dgm:spPr/>
    </dgm:pt>
    <dgm:pt modelId="{B7BD89D7-7328-4450-8FB9-01B4F31374E6}" type="pres">
      <dgm:prSet presAssocID="{530B7702-EAEE-4D26-B446-8214F4C935C4}" presName="aNode" presStyleLbl="bgShp" presStyleIdx="1" presStyleCnt="2"/>
      <dgm:spPr/>
    </dgm:pt>
    <dgm:pt modelId="{211327E0-CCBA-4AE9-99A1-E74CBD5490AE}" type="pres">
      <dgm:prSet presAssocID="{530B7702-EAEE-4D26-B446-8214F4C935C4}" presName="textNode" presStyleLbl="bgShp" presStyleIdx="1" presStyleCnt="2"/>
      <dgm:spPr/>
    </dgm:pt>
    <dgm:pt modelId="{FC9C0F3C-4B3A-4C04-B8DC-CCE799089320}" type="pres">
      <dgm:prSet presAssocID="{530B7702-EAEE-4D26-B446-8214F4C935C4}" presName="compChildNode" presStyleCnt="0"/>
      <dgm:spPr/>
    </dgm:pt>
    <dgm:pt modelId="{571972A2-7658-4A51-8BF7-A3970EAC7283}" type="pres">
      <dgm:prSet presAssocID="{530B7702-EAEE-4D26-B446-8214F4C935C4}" presName="theInnerList" presStyleCnt="0"/>
      <dgm:spPr/>
    </dgm:pt>
    <dgm:pt modelId="{FDB2B4C7-EDDB-4849-A3DA-35D25EF7B4FD}" type="pres">
      <dgm:prSet presAssocID="{A6BD7549-C78A-450E-968E-91550E2DCECA}" presName="childNode" presStyleLbl="node1" presStyleIdx="4" presStyleCnt="10">
        <dgm:presLayoutVars>
          <dgm:bulletEnabled val="1"/>
        </dgm:presLayoutVars>
      </dgm:prSet>
      <dgm:spPr/>
    </dgm:pt>
    <dgm:pt modelId="{5ABBAF36-179B-44D1-83E9-60760332C84C}" type="pres">
      <dgm:prSet presAssocID="{A6BD7549-C78A-450E-968E-91550E2DCECA}" presName="aSpace2" presStyleCnt="0"/>
      <dgm:spPr/>
    </dgm:pt>
    <dgm:pt modelId="{782B1998-2BCE-4997-90C5-C3CB73092BC9}" type="pres">
      <dgm:prSet presAssocID="{5003FAB9-3CCD-4A1F-82B0-04381A1510B3}" presName="childNode" presStyleLbl="node1" presStyleIdx="5" presStyleCnt="10">
        <dgm:presLayoutVars>
          <dgm:bulletEnabled val="1"/>
        </dgm:presLayoutVars>
      </dgm:prSet>
      <dgm:spPr/>
    </dgm:pt>
    <dgm:pt modelId="{F4399810-F19D-4C5E-8B9A-CC4B5CF80BA3}" type="pres">
      <dgm:prSet presAssocID="{5003FAB9-3CCD-4A1F-82B0-04381A1510B3}" presName="aSpace2" presStyleCnt="0"/>
      <dgm:spPr/>
    </dgm:pt>
    <dgm:pt modelId="{C4E3A085-9877-41C6-B373-034C77CE432C}" type="pres">
      <dgm:prSet presAssocID="{EB7FCD2D-A596-4A63-9D8F-7802F165BE51}" presName="childNode" presStyleLbl="node1" presStyleIdx="6" presStyleCnt="10">
        <dgm:presLayoutVars>
          <dgm:bulletEnabled val="1"/>
        </dgm:presLayoutVars>
      </dgm:prSet>
      <dgm:spPr/>
    </dgm:pt>
    <dgm:pt modelId="{856C55C1-FA0B-447A-92CA-CA29794A88D8}" type="pres">
      <dgm:prSet presAssocID="{EB7FCD2D-A596-4A63-9D8F-7802F165BE51}" presName="aSpace2" presStyleCnt="0"/>
      <dgm:spPr/>
    </dgm:pt>
    <dgm:pt modelId="{9F46EE54-8513-477A-A193-0EED8E17187B}" type="pres">
      <dgm:prSet presAssocID="{47FD5E18-4113-49EB-BADC-D4A6537DEDA8}" presName="childNode" presStyleLbl="node1" presStyleIdx="7" presStyleCnt="10">
        <dgm:presLayoutVars>
          <dgm:bulletEnabled val="1"/>
        </dgm:presLayoutVars>
      </dgm:prSet>
      <dgm:spPr/>
    </dgm:pt>
    <dgm:pt modelId="{919B8FB9-131E-4064-BDAF-A3ED3109EB14}" type="pres">
      <dgm:prSet presAssocID="{47FD5E18-4113-49EB-BADC-D4A6537DEDA8}" presName="aSpace2" presStyleCnt="0"/>
      <dgm:spPr/>
    </dgm:pt>
    <dgm:pt modelId="{3887EC11-ED70-4F7E-81F4-1D6D7722A88E}" type="pres">
      <dgm:prSet presAssocID="{5AB3349C-BA3B-4157-96EF-B39825198061}" presName="childNode" presStyleLbl="node1" presStyleIdx="8" presStyleCnt="10">
        <dgm:presLayoutVars>
          <dgm:bulletEnabled val="1"/>
        </dgm:presLayoutVars>
      </dgm:prSet>
      <dgm:spPr/>
    </dgm:pt>
    <dgm:pt modelId="{C0469351-C250-4835-AA6D-0FCD0BCFA85E}" type="pres">
      <dgm:prSet presAssocID="{5AB3349C-BA3B-4157-96EF-B39825198061}" presName="aSpace2" presStyleCnt="0"/>
      <dgm:spPr/>
    </dgm:pt>
    <dgm:pt modelId="{B85CEC8F-AF96-48F2-AB28-3F50D65CB240}" type="pres">
      <dgm:prSet presAssocID="{294FD32A-C0D4-452F-A6CA-0C8907F586E2}" presName="childNode" presStyleLbl="node1" presStyleIdx="9" presStyleCnt="10">
        <dgm:presLayoutVars>
          <dgm:bulletEnabled val="1"/>
        </dgm:presLayoutVars>
      </dgm:prSet>
      <dgm:spPr/>
    </dgm:pt>
  </dgm:ptLst>
  <dgm:cxnLst>
    <dgm:cxn modelId="{213B490D-1DF6-4AC8-8532-7F03C8DD4492}" type="presOf" srcId="{D76289A2-4249-442C-BDF8-34C7AC904948}" destId="{6ED44561-907C-4BFD-BB21-677BA6621264}" srcOrd="0" destOrd="0" presId="urn:microsoft.com/office/officeart/2005/8/layout/lProcess2"/>
    <dgm:cxn modelId="{4E7EF51D-7B4B-49BB-90AD-C375A4DD8574}" srcId="{530B7702-EAEE-4D26-B446-8214F4C935C4}" destId="{5AB3349C-BA3B-4157-96EF-B39825198061}" srcOrd="4" destOrd="0" parTransId="{B5059803-9176-42FB-8B91-69AF4B800ED6}" sibTransId="{2E1FB010-A37F-451D-A437-8E7A0B9CD46C}"/>
    <dgm:cxn modelId="{8D997823-B12B-4208-A5C8-CC21438FC3BE}" type="presOf" srcId="{A6BD7549-C78A-450E-968E-91550E2DCECA}" destId="{FDB2B4C7-EDDB-4849-A3DA-35D25EF7B4FD}" srcOrd="0" destOrd="0" presId="urn:microsoft.com/office/officeart/2005/8/layout/lProcess2"/>
    <dgm:cxn modelId="{9E23313E-E9BA-42FD-B5BC-0A4AFA38168E}" type="presOf" srcId="{5AB3349C-BA3B-4157-96EF-B39825198061}" destId="{3887EC11-ED70-4F7E-81F4-1D6D7722A88E}" srcOrd="0" destOrd="0" presId="urn:microsoft.com/office/officeart/2005/8/layout/lProcess2"/>
    <dgm:cxn modelId="{E3633E62-5F1E-486C-A44C-E14D0F6D02C9}" srcId="{20BF449D-ABD6-44CB-B4D6-FDE678268BE8}" destId="{D76289A2-4249-442C-BDF8-34C7AC904948}" srcOrd="2" destOrd="0" parTransId="{929CAF0B-C59D-45F4-8198-8FCF3FBEBBA3}" sibTransId="{DD5C50B7-6975-4954-A5F0-8BF471F90F87}"/>
    <dgm:cxn modelId="{496D2F65-D356-44BD-B8D4-4DDE1D16519D}" srcId="{42FF7095-21EF-4257-AA9D-A4FBCC815C14}" destId="{20BF449D-ABD6-44CB-B4D6-FDE678268BE8}" srcOrd="0" destOrd="0" parTransId="{EF3C72FE-0135-4067-895A-D51C644E67E5}" sibTransId="{B7E9792F-3B4A-4CC2-B10B-C9802397A42F}"/>
    <dgm:cxn modelId="{02E5276B-CEE8-4032-8EDC-13D006DD5FD0}" type="presOf" srcId="{18386E22-4EA6-4B86-86D7-A2EB1D7C92C1}" destId="{B4D54DBA-EC94-464D-B91D-4AFF5D85DCEF}" srcOrd="0" destOrd="0" presId="urn:microsoft.com/office/officeart/2005/8/layout/lProcess2"/>
    <dgm:cxn modelId="{46D8EB6D-CB02-417C-9D8E-DEC1A17906EC}" srcId="{20BF449D-ABD6-44CB-B4D6-FDE678268BE8}" destId="{3AAFBC36-E3B9-42CF-AC62-E652CBFE94F1}" srcOrd="3" destOrd="0" parTransId="{F53C94E5-54B1-4BD9-8E95-22870C895B2D}" sibTransId="{CAE26591-5DC7-480B-98AB-B5E4CCBFA525}"/>
    <dgm:cxn modelId="{BBAF1A4E-DCAD-4BDF-BFF0-A95A9EB8E285}" srcId="{42FF7095-21EF-4257-AA9D-A4FBCC815C14}" destId="{530B7702-EAEE-4D26-B446-8214F4C935C4}" srcOrd="1" destOrd="0" parTransId="{764004E0-1624-414A-90F9-876B04FFF835}" sibTransId="{9D36173C-F026-4295-A4C9-A46C4962D3AD}"/>
    <dgm:cxn modelId="{5124D19A-DD55-4C0C-8189-B252BA366600}" srcId="{20BF449D-ABD6-44CB-B4D6-FDE678268BE8}" destId="{C887222A-C407-44B2-A9F4-745B63E77113}" srcOrd="0" destOrd="0" parTransId="{14EDCF58-25A8-4C76-87BE-3EC4794DB02A}" sibTransId="{9212FF00-E5DD-4C3A-AEE6-88D5472B27FD}"/>
    <dgm:cxn modelId="{9083CEA7-71A6-476E-B741-2C798965B3CB}" type="presOf" srcId="{3AAFBC36-E3B9-42CF-AC62-E652CBFE94F1}" destId="{62955F6B-2C14-468A-B1BD-A70B5F2F1C96}" srcOrd="0" destOrd="0" presId="urn:microsoft.com/office/officeart/2005/8/layout/lProcess2"/>
    <dgm:cxn modelId="{6C1C02AE-E654-4B0C-B3FD-D5781CB5DC63}" srcId="{530B7702-EAEE-4D26-B446-8214F4C935C4}" destId="{EB7FCD2D-A596-4A63-9D8F-7802F165BE51}" srcOrd="2" destOrd="0" parTransId="{ED0CAAAE-A63F-40FD-AE6D-9E070B3E65CD}" sibTransId="{72A6424C-BDE2-4DA2-B1B7-2A5D6D021691}"/>
    <dgm:cxn modelId="{B0D320B2-7342-4D40-9EC8-3FB84E8EE4E7}" type="presOf" srcId="{C887222A-C407-44B2-A9F4-745B63E77113}" destId="{CDEFFCFC-217F-4157-8508-1E34D8F5693B}" srcOrd="0" destOrd="0" presId="urn:microsoft.com/office/officeart/2005/8/layout/lProcess2"/>
    <dgm:cxn modelId="{9133ABB9-052C-4E89-8480-A0CDCD635DA3}" srcId="{530B7702-EAEE-4D26-B446-8214F4C935C4}" destId="{47FD5E18-4113-49EB-BADC-D4A6537DEDA8}" srcOrd="3" destOrd="0" parTransId="{A1C1C3B8-2CC6-409C-B6DC-423CAA25D72F}" sibTransId="{31DE9C1D-E92F-41D3-854C-7E771994BCAF}"/>
    <dgm:cxn modelId="{37C6E9BA-142A-4C9C-9C61-6476787423B2}" type="presOf" srcId="{20BF449D-ABD6-44CB-B4D6-FDE678268BE8}" destId="{A0EE12CE-0F76-49C8-A00D-5FBE5D7A09EA}" srcOrd="1" destOrd="0" presId="urn:microsoft.com/office/officeart/2005/8/layout/lProcess2"/>
    <dgm:cxn modelId="{63C8E0C1-5E03-4549-A61E-BC9BD6C2A6F1}" srcId="{530B7702-EAEE-4D26-B446-8214F4C935C4}" destId="{A6BD7549-C78A-450E-968E-91550E2DCECA}" srcOrd="0" destOrd="0" parTransId="{BC658028-5B8C-4432-96A1-CF6D8E9E217E}" sibTransId="{C01393CE-5597-4A5A-BD8A-634C133CE90B}"/>
    <dgm:cxn modelId="{7826A9C9-C73E-4524-9061-AE0A4554DBC3}" srcId="{530B7702-EAEE-4D26-B446-8214F4C935C4}" destId="{5003FAB9-3CCD-4A1F-82B0-04381A1510B3}" srcOrd="1" destOrd="0" parTransId="{E582245E-A8C9-450D-98B7-B6AC3CA8F53F}" sibTransId="{99507314-F0EE-4B08-A1C2-110706E8054C}"/>
    <dgm:cxn modelId="{EB7101CA-6476-4595-B195-01974F9FE68C}" type="presOf" srcId="{294FD32A-C0D4-452F-A6CA-0C8907F586E2}" destId="{B85CEC8F-AF96-48F2-AB28-3F50D65CB240}" srcOrd="0" destOrd="0" presId="urn:microsoft.com/office/officeart/2005/8/layout/lProcess2"/>
    <dgm:cxn modelId="{AE8EA0CE-4C73-49E0-9EF4-4BE004D178A0}" type="presOf" srcId="{5003FAB9-3CCD-4A1F-82B0-04381A1510B3}" destId="{782B1998-2BCE-4997-90C5-C3CB73092BC9}" srcOrd="0" destOrd="0" presId="urn:microsoft.com/office/officeart/2005/8/layout/lProcess2"/>
    <dgm:cxn modelId="{43C5B0CE-2069-4781-AC6A-84BA6491B7C0}" type="presOf" srcId="{42FF7095-21EF-4257-AA9D-A4FBCC815C14}" destId="{DD8D1F1D-7F91-422E-9371-40832FA58A5C}" srcOrd="0" destOrd="0" presId="urn:microsoft.com/office/officeart/2005/8/layout/lProcess2"/>
    <dgm:cxn modelId="{2D31DED2-B983-444A-AE70-8AC9C384FBFB}" type="presOf" srcId="{47FD5E18-4113-49EB-BADC-D4A6537DEDA8}" destId="{9F46EE54-8513-477A-A193-0EED8E17187B}" srcOrd="0" destOrd="0" presId="urn:microsoft.com/office/officeart/2005/8/layout/lProcess2"/>
    <dgm:cxn modelId="{FFF3A8DF-50D7-477B-8295-0007592AE917}" type="presOf" srcId="{EB7FCD2D-A596-4A63-9D8F-7802F165BE51}" destId="{C4E3A085-9877-41C6-B373-034C77CE432C}" srcOrd="0" destOrd="0" presId="urn:microsoft.com/office/officeart/2005/8/layout/lProcess2"/>
    <dgm:cxn modelId="{3D523FE0-15F8-4BD4-A6C0-440F662A6FE6}" srcId="{20BF449D-ABD6-44CB-B4D6-FDE678268BE8}" destId="{18386E22-4EA6-4B86-86D7-A2EB1D7C92C1}" srcOrd="1" destOrd="0" parTransId="{73F48870-3821-4890-A4BE-0AB36F992E7C}" sibTransId="{CC212DE2-ABFB-4B62-88D5-CA6DF87B62FD}"/>
    <dgm:cxn modelId="{8D60B1EC-374F-434E-9195-EC45555158D3}" type="presOf" srcId="{530B7702-EAEE-4D26-B446-8214F4C935C4}" destId="{211327E0-CCBA-4AE9-99A1-E74CBD5490AE}" srcOrd="1" destOrd="0" presId="urn:microsoft.com/office/officeart/2005/8/layout/lProcess2"/>
    <dgm:cxn modelId="{640AB3EE-C718-49BB-9CFD-D816025545B4}" type="presOf" srcId="{530B7702-EAEE-4D26-B446-8214F4C935C4}" destId="{B7BD89D7-7328-4450-8FB9-01B4F31374E6}" srcOrd="0" destOrd="0" presId="urn:microsoft.com/office/officeart/2005/8/layout/lProcess2"/>
    <dgm:cxn modelId="{464331F8-175E-4EE8-8495-831A4EB6345C}" srcId="{530B7702-EAEE-4D26-B446-8214F4C935C4}" destId="{294FD32A-C0D4-452F-A6CA-0C8907F586E2}" srcOrd="5" destOrd="0" parTransId="{BF79895F-ADEA-4EA0-90C1-8F426F2A5CBE}" sibTransId="{1CEB0867-B1CC-41E7-957B-4AEA042639A2}"/>
    <dgm:cxn modelId="{C02250FD-F09F-4AEA-A83E-11B854CA0465}" type="presOf" srcId="{20BF449D-ABD6-44CB-B4D6-FDE678268BE8}" destId="{3BD26EBC-D9A9-4143-861F-B7FBA720F921}" srcOrd="0" destOrd="0" presId="urn:microsoft.com/office/officeart/2005/8/layout/lProcess2"/>
    <dgm:cxn modelId="{77F41A35-AEB2-41E1-8CB9-A1BAC8F924A7}" type="presParOf" srcId="{DD8D1F1D-7F91-422E-9371-40832FA58A5C}" destId="{B06A827F-CC88-4CAD-A878-846369251322}" srcOrd="0" destOrd="0" presId="urn:microsoft.com/office/officeart/2005/8/layout/lProcess2"/>
    <dgm:cxn modelId="{D4F45B8B-505C-4F51-8ADD-130D5BEB578C}" type="presParOf" srcId="{B06A827F-CC88-4CAD-A878-846369251322}" destId="{3BD26EBC-D9A9-4143-861F-B7FBA720F921}" srcOrd="0" destOrd="0" presId="urn:microsoft.com/office/officeart/2005/8/layout/lProcess2"/>
    <dgm:cxn modelId="{ABF13208-9B19-4659-9FB2-44AB428D3BBE}" type="presParOf" srcId="{B06A827F-CC88-4CAD-A878-846369251322}" destId="{A0EE12CE-0F76-49C8-A00D-5FBE5D7A09EA}" srcOrd="1" destOrd="0" presId="urn:microsoft.com/office/officeart/2005/8/layout/lProcess2"/>
    <dgm:cxn modelId="{ED86BE65-EA85-42B2-91E9-F358BC36C53F}" type="presParOf" srcId="{B06A827F-CC88-4CAD-A878-846369251322}" destId="{51B269A4-048F-4F97-8181-B456B43CBAF5}" srcOrd="2" destOrd="0" presId="urn:microsoft.com/office/officeart/2005/8/layout/lProcess2"/>
    <dgm:cxn modelId="{A98DF5A3-475D-4879-974D-29FC764C27A8}" type="presParOf" srcId="{51B269A4-048F-4F97-8181-B456B43CBAF5}" destId="{52B65823-39E0-4318-868D-5AFA9D9DD650}" srcOrd="0" destOrd="0" presId="urn:microsoft.com/office/officeart/2005/8/layout/lProcess2"/>
    <dgm:cxn modelId="{0C846C06-03C9-424E-8061-77036D50F942}" type="presParOf" srcId="{52B65823-39E0-4318-868D-5AFA9D9DD650}" destId="{CDEFFCFC-217F-4157-8508-1E34D8F5693B}" srcOrd="0" destOrd="0" presId="urn:microsoft.com/office/officeart/2005/8/layout/lProcess2"/>
    <dgm:cxn modelId="{1EF1B08E-B3CB-47F8-86CC-FC934800947F}" type="presParOf" srcId="{52B65823-39E0-4318-868D-5AFA9D9DD650}" destId="{8806DD1D-2638-438B-B9CB-EBE1A58BAD5B}" srcOrd="1" destOrd="0" presId="urn:microsoft.com/office/officeart/2005/8/layout/lProcess2"/>
    <dgm:cxn modelId="{04E756E5-F4C9-46A1-AC87-F739C3016C9E}" type="presParOf" srcId="{52B65823-39E0-4318-868D-5AFA9D9DD650}" destId="{B4D54DBA-EC94-464D-B91D-4AFF5D85DCEF}" srcOrd="2" destOrd="0" presId="urn:microsoft.com/office/officeart/2005/8/layout/lProcess2"/>
    <dgm:cxn modelId="{49E67E02-2628-420B-A593-E37F84BC40FD}" type="presParOf" srcId="{52B65823-39E0-4318-868D-5AFA9D9DD650}" destId="{47BA830E-26C5-410D-A4A3-6BEC0D385CC2}" srcOrd="3" destOrd="0" presId="urn:microsoft.com/office/officeart/2005/8/layout/lProcess2"/>
    <dgm:cxn modelId="{AD4F2FFA-368A-4E37-95F4-7D755A2DC390}" type="presParOf" srcId="{52B65823-39E0-4318-868D-5AFA9D9DD650}" destId="{6ED44561-907C-4BFD-BB21-677BA6621264}" srcOrd="4" destOrd="0" presId="urn:microsoft.com/office/officeart/2005/8/layout/lProcess2"/>
    <dgm:cxn modelId="{84DD4B9F-FD05-497C-8D29-621B72270488}" type="presParOf" srcId="{52B65823-39E0-4318-868D-5AFA9D9DD650}" destId="{E454F2A4-8AD6-4A0B-B7DE-5820B33A71CB}" srcOrd="5" destOrd="0" presId="urn:microsoft.com/office/officeart/2005/8/layout/lProcess2"/>
    <dgm:cxn modelId="{44229E32-263A-4E42-AB29-E0B8110414C6}" type="presParOf" srcId="{52B65823-39E0-4318-868D-5AFA9D9DD650}" destId="{62955F6B-2C14-468A-B1BD-A70B5F2F1C96}" srcOrd="6" destOrd="0" presId="urn:microsoft.com/office/officeart/2005/8/layout/lProcess2"/>
    <dgm:cxn modelId="{2103FE4C-36DD-4577-A420-DA85D5C14664}" type="presParOf" srcId="{DD8D1F1D-7F91-422E-9371-40832FA58A5C}" destId="{00AD1524-2703-4F0D-8FED-617CFD677E68}" srcOrd="1" destOrd="0" presId="urn:microsoft.com/office/officeart/2005/8/layout/lProcess2"/>
    <dgm:cxn modelId="{B9DE8309-8337-4DC3-972A-C1B7CF4CB1AD}" type="presParOf" srcId="{DD8D1F1D-7F91-422E-9371-40832FA58A5C}" destId="{B053796B-287A-4E37-AD0C-2624F980FAB6}" srcOrd="2" destOrd="0" presId="urn:microsoft.com/office/officeart/2005/8/layout/lProcess2"/>
    <dgm:cxn modelId="{09010419-769C-4FE5-A14A-0245FA2E7A94}" type="presParOf" srcId="{B053796B-287A-4E37-AD0C-2624F980FAB6}" destId="{B7BD89D7-7328-4450-8FB9-01B4F31374E6}" srcOrd="0" destOrd="0" presId="urn:microsoft.com/office/officeart/2005/8/layout/lProcess2"/>
    <dgm:cxn modelId="{AA5DBF4E-9AE9-49DB-A1EC-CE581E4FE31F}" type="presParOf" srcId="{B053796B-287A-4E37-AD0C-2624F980FAB6}" destId="{211327E0-CCBA-4AE9-99A1-E74CBD5490AE}" srcOrd="1" destOrd="0" presId="urn:microsoft.com/office/officeart/2005/8/layout/lProcess2"/>
    <dgm:cxn modelId="{7E748909-EC8B-4D0A-806B-EFC46F2A85C0}" type="presParOf" srcId="{B053796B-287A-4E37-AD0C-2624F980FAB6}" destId="{FC9C0F3C-4B3A-4C04-B8DC-CCE799089320}" srcOrd="2" destOrd="0" presId="urn:microsoft.com/office/officeart/2005/8/layout/lProcess2"/>
    <dgm:cxn modelId="{9EF48568-500C-4AD5-9568-A28C6BDD19FA}" type="presParOf" srcId="{FC9C0F3C-4B3A-4C04-B8DC-CCE799089320}" destId="{571972A2-7658-4A51-8BF7-A3970EAC7283}" srcOrd="0" destOrd="0" presId="urn:microsoft.com/office/officeart/2005/8/layout/lProcess2"/>
    <dgm:cxn modelId="{EF867EE8-744B-403E-8664-6B41445878C5}" type="presParOf" srcId="{571972A2-7658-4A51-8BF7-A3970EAC7283}" destId="{FDB2B4C7-EDDB-4849-A3DA-35D25EF7B4FD}" srcOrd="0" destOrd="0" presId="urn:microsoft.com/office/officeart/2005/8/layout/lProcess2"/>
    <dgm:cxn modelId="{246AE838-1714-464C-962A-CE7EAC355A03}" type="presParOf" srcId="{571972A2-7658-4A51-8BF7-A3970EAC7283}" destId="{5ABBAF36-179B-44D1-83E9-60760332C84C}" srcOrd="1" destOrd="0" presId="urn:microsoft.com/office/officeart/2005/8/layout/lProcess2"/>
    <dgm:cxn modelId="{D0D1A9C0-A9AE-4518-94DC-E314107922CB}" type="presParOf" srcId="{571972A2-7658-4A51-8BF7-A3970EAC7283}" destId="{782B1998-2BCE-4997-90C5-C3CB73092BC9}" srcOrd="2" destOrd="0" presId="urn:microsoft.com/office/officeart/2005/8/layout/lProcess2"/>
    <dgm:cxn modelId="{FE5E0F35-9AA0-4709-99E4-4742AB8BF4B5}" type="presParOf" srcId="{571972A2-7658-4A51-8BF7-A3970EAC7283}" destId="{F4399810-F19D-4C5E-8B9A-CC4B5CF80BA3}" srcOrd="3" destOrd="0" presId="urn:microsoft.com/office/officeart/2005/8/layout/lProcess2"/>
    <dgm:cxn modelId="{BF7E93C9-2307-49AC-9233-6B8B0EC3ADF6}" type="presParOf" srcId="{571972A2-7658-4A51-8BF7-A3970EAC7283}" destId="{C4E3A085-9877-41C6-B373-034C77CE432C}" srcOrd="4" destOrd="0" presId="urn:microsoft.com/office/officeart/2005/8/layout/lProcess2"/>
    <dgm:cxn modelId="{17DA3715-7FB5-405F-8A81-AC01FACA9315}" type="presParOf" srcId="{571972A2-7658-4A51-8BF7-A3970EAC7283}" destId="{856C55C1-FA0B-447A-92CA-CA29794A88D8}" srcOrd="5" destOrd="0" presId="urn:microsoft.com/office/officeart/2005/8/layout/lProcess2"/>
    <dgm:cxn modelId="{300CD5C0-0920-4099-A78C-D8905914701C}" type="presParOf" srcId="{571972A2-7658-4A51-8BF7-A3970EAC7283}" destId="{9F46EE54-8513-477A-A193-0EED8E17187B}" srcOrd="6" destOrd="0" presId="urn:microsoft.com/office/officeart/2005/8/layout/lProcess2"/>
    <dgm:cxn modelId="{5C051593-83EB-4D41-B021-E5564F61818A}" type="presParOf" srcId="{571972A2-7658-4A51-8BF7-A3970EAC7283}" destId="{919B8FB9-131E-4064-BDAF-A3ED3109EB14}" srcOrd="7" destOrd="0" presId="urn:microsoft.com/office/officeart/2005/8/layout/lProcess2"/>
    <dgm:cxn modelId="{8F4DB04A-74A6-4099-B694-1FACB0A55D19}" type="presParOf" srcId="{571972A2-7658-4A51-8BF7-A3970EAC7283}" destId="{3887EC11-ED70-4F7E-81F4-1D6D7722A88E}" srcOrd="8" destOrd="0" presId="urn:microsoft.com/office/officeart/2005/8/layout/lProcess2"/>
    <dgm:cxn modelId="{A77979B6-02B5-443C-8A35-5F09AA6166A7}" type="presParOf" srcId="{571972A2-7658-4A51-8BF7-A3970EAC7283}" destId="{C0469351-C250-4835-AA6D-0FCD0BCFA85E}" srcOrd="9" destOrd="0" presId="urn:microsoft.com/office/officeart/2005/8/layout/lProcess2"/>
    <dgm:cxn modelId="{F80623D5-0744-472E-9B4D-AD4DFDB78CB5}" type="presParOf" srcId="{571972A2-7658-4A51-8BF7-A3970EAC7283}" destId="{B85CEC8F-AF96-48F2-AB28-3F50D65CB240}" srcOrd="10" destOrd="0" presId="urn:microsoft.com/office/officeart/2005/8/layout/lProcess2"/>
  </dgm:cxnLst>
  <dgm:bg/>
  <dgm:whole/>
  <dgm:extLst>
    <a:ext uri="http://schemas.microsoft.com/office/drawing/2008/diagram">
      <dsp:dataModelExt xmlns:dsp="http://schemas.microsoft.com/office/drawing/2008/diagram" relId="rId11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42D43C1-250E-4B20-AE58-F7A071D5A0EF}" type="doc">
      <dgm:prSet loTypeId="urn:microsoft.com/office/officeart/2005/8/layout/default" loCatId="list" qsTypeId="urn:microsoft.com/office/officeart/2005/8/quickstyle/simple1" qsCatId="simple" csTypeId="urn:microsoft.com/office/officeart/2005/8/colors/accent0_1" csCatId="mainScheme" phldr="1"/>
      <dgm:spPr/>
      <dgm:t>
        <a:bodyPr/>
        <a:lstStyle/>
        <a:p>
          <a:endParaRPr lang="uk-UA"/>
        </a:p>
      </dgm:t>
    </dgm:pt>
    <dgm:pt modelId="{71191678-E7F7-4C46-B3F3-9C0847A25F39}">
      <dgm:prSet phldrT="[Текст]" custT="1"/>
      <dgm:spPr/>
      <dgm:t>
        <a:bodyPr/>
        <a:lstStyle/>
        <a:p>
          <a:r>
            <a:rPr lang="uk-UA" sz="1200">
              <a:latin typeface="Times New Roman" pitchFamily="18" charset="0"/>
              <a:cs typeface="Times New Roman" pitchFamily="18" charset="0"/>
            </a:rPr>
            <a:t>Збори, наради, планерки, стендапи</a:t>
          </a:r>
        </a:p>
      </dgm:t>
    </dgm:pt>
    <dgm:pt modelId="{7E1BB78A-0FD3-4981-A51A-AE1F3D66A397}" type="parTrans" cxnId="{46C16C9B-4E88-4C12-BEF6-158E040404DC}">
      <dgm:prSet/>
      <dgm:spPr/>
      <dgm:t>
        <a:bodyPr/>
        <a:lstStyle/>
        <a:p>
          <a:endParaRPr lang="uk-UA"/>
        </a:p>
      </dgm:t>
    </dgm:pt>
    <dgm:pt modelId="{DEE25A3A-F4BE-41E9-9464-07495F422F34}" type="sibTrans" cxnId="{46C16C9B-4E88-4C12-BEF6-158E040404DC}">
      <dgm:prSet/>
      <dgm:spPr/>
      <dgm:t>
        <a:bodyPr/>
        <a:lstStyle/>
        <a:p>
          <a:endParaRPr lang="uk-UA"/>
        </a:p>
      </dgm:t>
    </dgm:pt>
    <dgm:pt modelId="{7B419591-5644-4364-802C-72F59BB117F9}">
      <dgm:prSet phldrT="[Текст]" custT="1"/>
      <dgm:spPr/>
      <dgm:t>
        <a:bodyPr/>
        <a:lstStyle/>
        <a:p>
          <a:r>
            <a:rPr lang="uk-UA" sz="1200">
              <a:latin typeface="Times New Roman" pitchFamily="18" charset="0"/>
              <a:cs typeface="Times New Roman" pitchFamily="18" charset="0"/>
            </a:rPr>
            <a:t>Ділові бесіди, особисті зустрічі, інтерв</a:t>
          </a:r>
          <a:r>
            <a:rPr lang="en-US" sz="1200">
              <a:latin typeface="Times New Roman" pitchFamily="18" charset="0"/>
              <a:cs typeface="Times New Roman" pitchFamily="18" charset="0"/>
            </a:rPr>
            <a:t>'</a:t>
          </a:r>
          <a:r>
            <a:rPr lang="uk-UA" sz="1200">
              <a:latin typeface="Times New Roman" pitchFamily="18" charset="0"/>
              <a:cs typeface="Times New Roman" pitchFamily="18" charset="0"/>
            </a:rPr>
            <a:t>ю  </a:t>
          </a:r>
        </a:p>
      </dgm:t>
    </dgm:pt>
    <dgm:pt modelId="{470394AC-7C04-4CFE-8714-83B51E73B931}" type="parTrans" cxnId="{7DC21BE9-857D-4D81-AFC3-1B99737C3D69}">
      <dgm:prSet/>
      <dgm:spPr/>
      <dgm:t>
        <a:bodyPr/>
        <a:lstStyle/>
        <a:p>
          <a:endParaRPr lang="uk-UA"/>
        </a:p>
      </dgm:t>
    </dgm:pt>
    <dgm:pt modelId="{7E56CD7E-22CC-4438-A197-C0EBF7DEF47E}" type="sibTrans" cxnId="{7DC21BE9-857D-4D81-AFC3-1B99737C3D69}">
      <dgm:prSet/>
      <dgm:spPr/>
      <dgm:t>
        <a:bodyPr/>
        <a:lstStyle/>
        <a:p>
          <a:endParaRPr lang="uk-UA"/>
        </a:p>
      </dgm:t>
    </dgm:pt>
    <dgm:pt modelId="{DBCFF31D-80BF-4B5E-858D-4A2CC8AE1AF0}">
      <dgm:prSet phldrT="[Текст]"/>
      <dgm:spPr/>
      <dgm:t>
        <a:bodyPr/>
        <a:lstStyle/>
        <a:p>
          <a:r>
            <a:rPr lang="uk-UA">
              <a:latin typeface="Times New Roman" pitchFamily="18" charset="0"/>
              <a:cs typeface="Times New Roman" pitchFamily="18" charset="0"/>
            </a:rPr>
            <a:t>Дошки оголошень, стенди</a:t>
          </a:r>
        </a:p>
      </dgm:t>
    </dgm:pt>
    <dgm:pt modelId="{AE7D5493-E90B-4289-8EFF-2FD20F2604F7}" type="parTrans" cxnId="{AD7958C6-0049-4D50-BD1F-80490F1A8C87}">
      <dgm:prSet/>
      <dgm:spPr/>
      <dgm:t>
        <a:bodyPr/>
        <a:lstStyle/>
        <a:p>
          <a:endParaRPr lang="uk-UA"/>
        </a:p>
      </dgm:t>
    </dgm:pt>
    <dgm:pt modelId="{FF16E39C-44B6-4BC4-B359-5A70CE9048B3}" type="sibTrans" cxnId="{AD7958C6-0049-4D50-BD1F-80490F1A8C87}">
      <dgm:prSet/>
      <dgm:spPr/>
      <dgm:t>
        <a:bodyPr/>
        <a:lstStyle/>
        <a:p>
          <a:endParaRPr lang="uk-UA"/>
        </a:p>
      </dgm:t>
    </dgm:pt>
    <dgm:pt modelId="{52255488-72B2-4284-8B16-32B4F9B297F0}">
      <dgm:prSet phldrT="[Текст]"/>
      <dgm:spPr/>
      <dgm:t>
        <a:bodyPr/>
        <a:lstStyle/>
        <a:p>
          <a:r>
            <a:rPr lang="uk-UA">
              <a:latin typeface="Times New Roman" pitchFamily="18" charset="0"/>
              <a:cs typeface="Times New Roman" pitchFamily="18" charset="0"/>
            </a:rPr>
            <a:t>Внутрішній чат, форум команди, працівників</a:t>
          </a:r>
        </a:p>
      </dgm:t>
    </dgm:pt>
    <dgm:pt modelId="{E6F3398D-938D-4192-A6D9-FF5D5AAFEDC8}" type="parTrans" cxnId="{4FBDEE02-4D84-45BE-95F3-F0AC07E1AA10}">
      <dgm:prSet/>
      <dgm:spPr/>
      <dgm:t>
        <a:bodyPr/>
        <a:lstStyle/>
        <a:p>
          <a:endParaRPr lang="uk-UA"/>
        </a:p>
      </dgm:t>
    </dgm:pt>
    <dgm:pt modelId="{48D9D20B-33EC-4B36-BC5A-7BEDB7FC910E}" type="sibTrans" cxnId="{4FBDEE02-4D84-45BE-95F3-F0AC07E1AA10}">
      <dgm:prSet/>
      <dgm:spPr/>
      <dgm:t>
        <a:bodyPr/>
        <a:lstStyle/>
        <a:p>
          <a:endParaRPr lang="uk-UA"/>
        </a:p>
      </dgm:t>
    </dgm:pt>
    <dgm:pt modelId="{2DEA2110-A9D8-47C3-9567-7C4DF7A286A5}">
      <dgm:prSet/>
      <dgm:spPr/>
      <dgm:t>
        <a:bodyPr/>
        <a:lstStyle/>
        <a:p>
          <a:r>
            <a:rPr lang="uk-UA">
              <a:latin typeface="Times New Roman" pitchFamily="18" charset="0"/>
              <a:cs typeface="Times New Roman" pitchFamily="18" charset="0"/>
            </a:rPr>
            <a:t>Корпоративна пошта</a:t>
          </a:r>
        </a:p>
      </dgm:t>
    </dgm:pt>
    <dgm:pt modelId="{6534312F-F916-4530-BF32-376CE3C107E9}" type="parTrans" cxnId="{84812381-E3BC-434D-BBFA-F51FFD182D8A}">
      <dgm:prSet/>
      <dgm:spPr/>
      <dgm:t>
        <a:bodyPr/>
        <a:lstStyle/>
        <a:p>
          <a:endParaRPr lang="uk-UA"/>
        </a:p>
      </dgm:t>
    </dgm:pt>
    <dgm:pt modelId="{AAA9EF51-F917-468E-9942-6F64951C46B4}" type="sibTrans" cxnId="{84812381-E3BC-434D-BBFA-F51FFD182D8A}">
      <dgm:prSet/>
      <dgm:spPr/>
      <dgm:t>
        <a:bodyPr/>
        <a:lstStyle/>
        <a:p>
          <a:endParaRPr lang="uk-UA"/>
        </a:p>
      </dgm:t>
    </dgm:pt>
    <dgm:pt modelId="{410109A4-60DC-4AE0-8872-1FD20B0A1BDA}">
      <dgm:prSet/>
      <dgm:spPr/>
      <dgm:t>
        <a:bodyPr/>
        <a:lstStyle/>
        <a:p>
          <a:r>
            <a:rPr lang="uk-UA">
              <a:latin typeface="Times New Roman" pitchFamily="18" charset="0"/>
              <a:cs typeface="Times New Roman" pitchFamily="18" charset="0"/>
            </a:rPr>
            <a:t>Системи моніторингу</a:t>
          </a:r>
        </a:p>
      </dgm:t>
    </dgm:pt>
    <dgm:pt modelId="{543C98E3-7BF5-4DC7-A742-64C8F5C574D6}" type="parTrans" cxnId="{A98F07E7-1C86-455C-80BB-9EEC3FB51F70}">
      <dgm:prSet/>
      <dgm:spPr/>
      <dgm:t>
        <a:bodyPr/>
        <a:lstStyle/>
        <a:p>
          <a:endParaRPr lang="uk-UA"/>
        </a:p>
      </dgm:t>
    </dgm:pt>
    <dgm:pt modelId="{A89F1F93-2112-4970-89A7-E6DD176A5FA1}" type="sibTrans" cxnId="{A98F07E7-1C86-455C-80BB-9EEC3FB51F70}">
      <dgm:prSet/>
      <dgm:spPr/>
      <dgm:t>
        <a:bodyPr/>
        <a:lstStyle/>
        <a:p>
          <a:endParaRPr lang="uk-UA"/>
        </a:p>
      </dgm:t>
    </dgm:pt>
    <dgm:pt modelId="{8824927F-1A1F-4A6F-A220-D8E1842AE072}">
      <dgm:prSet/>
      <dgm:spPr/>
      <dgm:t>
        <a:bodyPr/>
        <a:lstStyle/>
        <a:p>
          <a:r>
            <a:rPr lang="uk-UA">
              <a:latin typeface="Times New Roman" pitchFamily="18" charset="0"/>
              <a:cs typeface="Times New Roman" pitchFamily="18" charset="0"/>
            </a:rPr>
            <a:t>Відео-зустрічі</a:t>
          </a:r>
        </a:p>
      </dgm:t>
    </dgm:pt>
    <dgm:pt modelId="{23753624-5175-4BB5-A46E-7BC3F72FF942}" type="parTrans" cxnId="{43891750-BB63-45C2-BAEE-5066EA36DB90}">
      <dgm:prSet/>
      <dgm:spPr/>
      <dgm:t>
        <a:bodyPr/>
        <a:lstStyle/>
        <a:p>
          <a:endParaRPr lang="uk-UA"/>
        </a:p>
      </dgm:t>
    </dgm:pt>
    <dgm:pt modelId="{2063E807-2EBC-4640-9694-AA1C1375C6F7}" type="sibTrans" cxnId="{43891750-BB63-45C2-BAEE-5066EA36DB90}">
      <dgm:prSet/>
      <dgm:spPr/>
      <dgm:t>
        <a:bodyPr/>
        <a:lstStyle/>
        <a:p>
          <a:endParaRPr lang="uk-UA"/>
        </a:p>
      </dgm:t>
    </dgm:pt>
    <dgm:pt modelId="{95D2FD57-CD78-4E34-885A-AC3E7540383B}">
      <dgm:prSet/>
      <dgm:spPr/>
      <dgm:t>
        <a:bodyPr/>
        <a:lstStyle/>
        <a:p>
          <a:r>
            <a:rPr lang="uk-UA">
              <a:latin typeface="Times New Roman" pitchFamily="18" charset="0"/>
              <a:cs typeface="Times New Roman" pitchFamily="18" charset="0"/>
            </a:rPr>
            <a:t>Корпоративний сайт</a:t>
          </a:r>
        </a:p>
      </dgm:t>
    </dgm:pt>
    <dgm:pt modelId="{8DF759F0-4CC3-4924-B6E2-A500D7BE6315}" type="parTrans" cxnId="{FEB4637E-5461-452F-A67F-97AEE4B407FD}">
      <dgm:prSet/>
      <dgm:spPr/>
      <dgm:t>
        <a:bodyPr/>
        <a:lstStyle/>
        <a:p>
          <a:endParaRPr lang="uk-UA"/>
        </a:p>
      </dgm:t>
    </dgm:pt>
    <dgm:pt modelId="{0AFD7AE9-00C1-4E8B-9D93-D914B355A721}" type="sibTrans" cxnId="{FEB4637E-5461-452F-A67F-97AEE4B407FD}">
      <dgm:prSet/>
      <dgm:spPr/>
      <dgm:t>
        <a:bodyPr/>
        <a:lstStyle/>
        <a:p>
          <a:endParaRPr lang="uk-UA"/>
        </a:p>
      </dgm:t>
    </dgm:pt>
    <dgm:pt modelId="{47B5A379-E2C9-408A-8E85-754766C1C3BB}">
      <dgm:prSet/>
      <dgm:spPr/>
      <dgm:t>
        <a:bodyPr/>
        <a:lstStyle/>
        <a:p>
          <a:r>
            <a:rPr lang="uk-UA">
              <a:latin typeface="Times New Roman" pitchFamily="18" charset="0"/>
              <a:cs typeface="Times New Roman" pitchFamily="18" charset="0"/>
            </a:rPr>
            <a:t>Бази знань, бази даних, сховища документів</a:t>
          </a:r>
        </a:p>
      </dgm:t>
    </dgm:pt>
    <dgm:pt modelId="{DC690501-8237-4BCF-BEDE-B1A577C49067}" type="parTrans" cxnId="{FA93B45E-D645-47B8-8C1F-942A39D6BFA4}">
      <dgm:prSet/>
      <dgm:spPr/>
      <dgm:t>
        <a:bodyPr/>
        <a:lstStyle/>
        <a:p>
          <a:endParaRPr lang="uk-UA"/>
        </a:p>
      </dgm:t>
    </dgm:pt>
    <dgm:pt modelId="{BDD6302E-3DF3-4C1D-A861-14FE45DB40BD}" type="sibTrans" cxnId="{FA93B45E-D645-47B8-8C1F-942A39D6BFA4}">
      <dgm:prSet/>
      <dgm:spPr/>
      <dgm:t>
        <a:bodyPr/>
        <a:lstStyle/>
        <a:p>
          <a:endParaRPr lang="uk-UA"/>
        </a:p>
      </dgm:t>
    </dgm:pt>
    <dgm:pt modelId="{DCEE00F9-ED0F-48FD-9515-D16ADBACB1CC}">
      <dgm:prSet/>
      <dgm:spPr/>
      <dgm:t>
        <a:bodyPr/>
        <a:lstStyle/>
        <a:p>
          <a:r>
            <a:rPr lang="uk-UA">
              <a:latin typeface="Times New Roman" pitchFamily="18" charset="0"/>
              <a:cs typeface="Times New Roman" pitchFamily="18" charset="0"/>
            </a:rPr>
            <a:t>Мережеві ресурси</a:t>
          </a:r>
        </a:p>
      </dgm:t>
    </dgm:pt>
    <dgm:pt modelId="{6143E7EF-3544-4A9F-B295-FEAF97A8167D}" type="parTrans" cxnId="{754A28A3-7665-42CC-80CE-28D1EE632911}">
      <dgm:prSet/>
      <dgm:spPr/>
      <dgm:t>
        <a:bodyPr/>
        <a:lstStyle/>
        <a:p>
          <a:endParaRPr lang="uk-UA"/>
        </a:p>
      </dgm:t>
    </dgm:pt>
    <dgm:pt modelId="{68918D2F-995A-4513-A5C7-ED1165932A2E}" type="sibTrans" cxnId="{754A28A3-7665-42CC-80CE-28D1EE632911}">
      <dgm:prSet/>
      <dgm:spPr/>
      <dgm:t>
        <a:bodyPr/>
        <a:lstStyle/>
        <a:p>
          <a:endParaRPr lang="uk-UA"/>
        </a:p>
      </dgm:t>
    </dgm:pt>
    <dgm:pt modelId="{D931E69D-05A9-4931-8112-39D359E12033}">
      <dgm:prSet/>
      <dgm:spPr/>
      <dgm:t>
        <a:bodyPr/>
        <a:lstStyle/>
        <a:p>
          <a:r>
            <a:rPr lang="uk-UA">
              <a:latin typeface="Times New Roman" pitchFamily="18" charset="0"/>
              <a:cs typeface="Times New Roman" pitchFamily="18" charset="0"/>
            </a:rPr>
            <a:t>Канбан-дошка</a:t>
          </a:r>
        </a:p>
      </dgm:t>
    </dgm:pt>
    <dgm:pt modelId="{32FFE837-5359-4C67-A8E7-C53807969127}" type="parTrans" cxnId="{BD9595E8-42E9-4868-A3B9-034EF4E6E6B6}">
      <dgm:prSet/>
      <dgm:spPr/>
      <dgm:t>
        <a:bodyPr/>
        <a:lstStyle/>
        <a:p>
          <a:endParaRPr lang="uk-UA"/>
        </a:p>
      </dgm:t>
    </dgm:pt>
    <dgm:pt modelId="{3AEEDEFA-0B30-4273-BC10-5C81B06BE48C}" type="sibTrans" cxnId="{BD9595E8-42E9-4868-A3B9-034EF4E6E6B6}">
      <dgm:prSet/>
      <dgm:spPr/>
      <dgm:t>
        <a:bodyPr/>
        <a:lstStyle/>
        <a:p>
          <a:endParaRPr lang="uk-UA"/>
        </a:p>
      </dgm:t>
    </dgm:pt>
    <dgm:pt modelId="{264B63A0-F6D3-4064-8FD5-B3ADD9832A0C}">
      <dgm:prSet/>
      <dgm:spPr/>
      <dgm:t>
        <a:bodyPr/>
        <a:lstStyle/>
        <a:p>
          <a:r>
            <a:rPr lang="uk-UA">
              <a:latin typeface="Times New Roman" pitchFamily="18" charset="0"/>
              <a:cs typeface="Times New Roman" pitchFamily="18" charset="0"/>
            </a:rPr>
            <a:t>Сторінки в соцмережах</a:t>
          </a:r>
        </a:p>
      </dgm:t>
    </dgm:pt>
    <dgm:pt modelId="{E4C783C7-FBAA-4E9D-ACD3-2CC4FEC1660D}" type="parTrans" cxnId="{5765C236-D7B2-4ACF-81CC-F19E4A813F53}">
      <dgm:prSet/>
      <dgm:spPr/>
      <dgm:t>
        <a:bodyPr/>
        <a:lstStyle/>
        <a:p>
          <a:endParaRPr lang="uk-UA"/>
        </a:p>
      </dgm:t>
    </dgm:pt>
    <dgm:pt modelId="{925D0CD2-19E9-49F3-8D5B-2ABBDC1697B1}" type="sibTrans" cxnId="{5765C236-D7B2-4ACF-81CC-F19E4A813F53}">
      <dgm:prSet/>
      <dgm:spPr/>
      <dgm:t>
        <a:bodyPr/>
        <a:lstStyle/>
        <a:p>
          <a:endParaRPr lang="uk-UA"/>
        </a:p>
      </dgm:t>
    </dgm:pt>
    <dgm:pt modelId="{F6F05BF3-9146-4FC4-9926-573138C89EEA}">
      <dgm:prSet/>
      <dgm:spPr/>
      <dgm:t>
        <a:bodyPr/>
        <a:lstStyle/>
        <a:p>
          <a:r>
            <a:rPr lang="uk-UA">
              <a:latin typeface="Times New Roman" pitchFamily="18" charset="0"/>
              <a:cs typeface="Times New Roman" pitchFamily="18" charset="0"/>
            </a:rPr>
            <a:t>Групи, канали в месенджерах</a:t>
          </a:r>
        </a:p>
      </dgm:t>
    </dgm:pt>
    <dgm:pt modelId="{D4C27179-C71C-4D0F-8787-D8F2E6C6728D}" type="parTrans" cxnId="{E7C702FD-2F3E-44E5-81E3-5122607613C0}">
      <dgm:prSet/>
      <dgm:spPr/>
      <dgm:t>
        <a:bodyPr/>
        <a:lstStyle/>
        <a:p>
          <a:endParaRPr lang="uk-UA"/>
        </a:p>
      </dgm:t>
    </dgm:pt>
    <dgm:pt modelId="{7ED741B5-DB33-437B-B832-E975F23C12CE}" type="sibTrans" cxnId="{E7C702FD-2F3E-44E5-81E3-5122607613C0}">
      <dgm:prSet/>
      <dgm:spPr/>
      <dgm:t>
        <a:bodyPr/>
        <a:lstStyle/>
        <a:p>
          <a:endParaRPr lang="uk-UA"/>
        </a:p>
      </dgm:t>
    </dgm:pt>
    <dgm:pt modelId="{7E8BE003-8966-406D-9C0C-FE9D94482029}">
      <dgm:prSet/>
      <dgm:spPr/>
      <dgm:t>
        <a:bodyPr/>
        <a:lstStyle/>
        <a:p>
          <a:r>
            <a:rPr lang="uk-UA">
              <a:latin typeface="Times New Roman" pitchFamily="18" charset="0"/>
              <a:cs typeface="Times New Roman" pitchFamily="18" charset="0"/>
            </a:rPr>
            <a:t>Система внутрішнього документообігу</a:t>
          </a:r>
        </a:p>
      </dgm:t>
    </dgm:pt>
    <dgm:pt modelId="{230E1421-C332-4923-86AF-1010E018B606}" type="parTrans" cxnId="{48697898-43C4-4D27-9724-EE6D187B617D}">
      <dgm:prSet/>
      <dgm:spPr/>
      <dgm:t>
        <a:bodyPr/>
        <a:lstStyle/>
        <a:p>
          <a:endParaRPr lang="uk-UA"/>
        </a:p>
      </dgm:t>
    </dgm:pt>
    <dgm:pt modelId="{3364E634-7FFB-4C61-A2CF-21BAC42FB3FA}" type="sibTrans" cxnId="{48697898-43C4-4D27-9724-EE6D187B617D}">
      <dgm:prSet/>
      <dgm:spPr/>
      <dgm:t>
        <a:bodyPr/>
        <a:lstStyle/>
        <a:p>
          <a:endParaRPr lang="uk-UA"/>
        </a:p>
      </dgm:t>
    </dgm:pt>
    <dgm:pt modelId="{30DFE1B8-9B16-4C9D-A9C5-508175A168A2}">
      <dgm:prSet/>
      <dgm:spPr/>
      <dgm:t>
        <a:bodyPr/>
        <a:lstStyle/>
        <a:p>
          <a:r>
            <a:rPr lang="uk-UA">
              <a:latin typeface="Times New Roman" pitchFamily="18" charset="0"/>
              <a:cs typeface="Times New Roman" pitchFamily="18" charset="0"/>
            </a:rPr>
            <a:t>Корпоративна інформаційна система, віртуальний офіс</a:t>
          </a:r>
        </a:p>
      </dgm:t>
    </dgm:pt>
    <dgm:pt modelId="{AF1F254C-74C4-4753-A314-D82D59D70A6E}" type="parTrans" cxnId="{0F34A9CB-0370-4FAD-BC6C-7CA0199D1A02}">
      <dgm:prSet/>
      <dgm:spPr/>
      <dgm:t>
        <a:bodyPr/>
        <a:lstStyle/>
        <a:p>
          <a:endParaRPr lang="uk-UA"/>
        </a:p>
      </dgm:t>
    </dgm:pt>
    <dgm:pt modelId="{47094647-6CB7-4452-B4B8-01F4C56DE1D5}" type="sibTrans" cxnId="{0F34A9CB-0370-4FAD-BC6C-7CA0199D1A02}">
      <dgm:prSet/>
      <dgm:spPr/>
      <dgm:t>
        <a:bodyPr/>
        <a:lstStyle/>
        <a:p>
          <a:endParaRPr lang="uk-UA"/>
        </a:p>
      </dgm:t>
    </dgm:pt>
    <dgm:pt modelId="{D9A068D9-DC06-41D0-BF40-92CAD16CBD71}">
      <dgm:prSet/>
      <dgm:spPr/>
      <dgm:t>
        <a:bodyPr/>
        <a:lstStyle/>
        <a:p>
          <a:r>
            <a:rPr lang="uk-UA">
              <a:latin typeface="Times New Roman" pitchFamily="18" charset="0"/>
              <a:cs typeface="Times New Roman" pitchFamily="18" charset="0"/>
            </a:rPr>
            <a:t>Внутрішні інформаційні видання, журнали, бюлетені</a:t>
          </a:r>
        </a:p>
      </dgm:t>
    </dgm:pt>
    <dgm:pt modelId="{6CC5AA40-5C4B-42BE-85AC-ABE4607B7C5F}" type="parTrans" cxnId="{DCDFF2EE-1BCB-45FD-9A52-FD06CE613E96}">
      <dgm:prSet/>
      <dgm:spPr/>
      <dgm:t>
        <a:bodyPr/>
        <a:lstStyle/>
        <a:p>
          <a:endParaRPr lang="uk-UA"/>
        </a:p>
      </dgm:t>
    </dgm:pt>
    <dgm:pt modelId="{E23EF8AD-505D-411B-AB34-08F816A30C77}" type="sibTrans" cxnId="{DCDFF2EE-1BCB-45FD-9A52-FD06CE613E96}">
      <dgm:prSet/>
      <dgm:spPr/>
      <dgm:t>
        <a:bodyPr/>
        <a:lstStyle/>
        <a:p>
          <a:endParaRPr lang="uk-UA"/>
        </a:p>
      </dgm:t>
    </dgm:pt>
    <dgm:pt modelId="{A23F2C17-63BA-499B-B9CA-49AFBC559755}">
      <dgm:prSet/>
      <dgm:spPr/>
      <dgm:t>
        <a:bodyPr/>
        <a:lstStyle/>
        <a:p>
          <a:r>
            <a:rPr lang="uk-UA">
              <a:latin typeface="Times New Roman" pitchFamily="18" charset="0"/>
              <a:cs typeface="Times New Roman" pitchFamily="18" charset="0"/>
            </a:rPr>
            <a:t>Презентації</a:t>
          </a:r>
        </a:p>
      </dgm:t>
    </dgm:pt>
    <dgm:pt modelId="{E3509801-9DDA-48E8-A4CB-5A44B0535375}" type="parTrans" cxnId="{8F45FD30-CC0B-4380-B52D-1359F7A82A9D}">
      <dgm:prSet/>
      <dgm:spPr/>
      <dgm:t>
        <a:bodyPr/>
        <a:lstStyle/>
        <a:p>
          <a:endParaRPr lang="uk-UA"/>
        </a:p>
      </dgm:t>
    </dgm:pt>
    <dgm:pt modelId="{94DBAEDB-08DC-4143-9CC3-24E27A1F465E}" type="sibTrans" cxnId="{8F45FD30-CC0B-4380-B52D-1359F7A82A9D}">
      <dgm:prSet/>
      <dgm:spPr/>
      <dgm:t>
        <a:bodyPr/>
        <a:lstStyle/>
        <a:p>
          <a:endParaRPr lang="uk-UA"/>
        </a:p>
      </dgm:t>
    </dgm:pt>
    <dgm:pt modelId="{C65377F4-FF15-414E-9F6B-BC38C0FEEC69}">
      <dgm:prSet/>
      <dgm:spPr/>
      <dgm:t>
        <a:bodyPr/>
        <a:lstStyle/>
        <a:p>
          <a:r>
            <a:rPr lang="uk-UA">
              <a:latin typeface="Times New Roman" pitchFamily="18" charset="0"/>
              <a:cs typeface="Times New Roman" pitchFamily="18" charset="0"/>
            </a:rPr>
            <a:t>Ретроспективи, рефлексії </a:t>
          </a:r>
        </a:p>
      </dgm:t>
    </dgm:pt>
    <dgm:pt modelId="{141B890D-4686-426C-9C88-4146C3D05AA6}" type="parTrans" cxnId="{BFFC101F-8012-4CFC-9DCF-0DF6C180D61B}">
      <dgm:prSet/>
      <dgm:spPr/>
      <dgm:t>
        <a:bodyPr/>
        <a:lstStyle/>
        <a:p>
          <a:endParaRPr lang="uk-UA"/>
        </a:p>
      </dgm:t>
    </dgm:pt>
    <dgm:pt modelId="{21193CD3-F334-4B6B-A802-94E25655EED4}" type="sibTrans" cxnId="{BFFC101F-8012-4CFC-9DCF-0DF6C180D61B}">
      <dgm:prSet/>
      <dgm:spPr/>
      <dgm:t>
        <a:bodyPr/>
        <a:lstStyle/>
        <a:p>
          <a:endParaRPr lang="uk-UA"/>
        </a:p>
      </dgm:t>
    </dgm:pt>
    <dgm:pt modelId="{A12BF390-7EB0-4204-8930-0911F92636D0}">
      <dgm:prSet/>
      <dgm:spPr/>
      <dgm:t>
        <a:bodyPr/>
        <a:lstStyle/>
        <a:p>
          <a:r>
            <a:rPr lang="uk-UA">
              <a:latin typeface="Times New Roman" pitchFamily="18" charset="0"/>
              <a:cs typeface="Times New Roman" pitchFamily="18" charset="0"/>
            </a:rPr>
            <a:t>Програмні продукти для організації та автоматизації роботи</a:t>
          </a:r>
        </a:p>
      </dgm:t>
    </dgm:pt>
    <dgm:pt modelId="{D2AD2938-1C8A-4754-8532-8EDA1C174050}" type="parTrans" cxnId="{4FB730F1-6B1D-4006-903D-1D4321E3CF06}">
      <dgm:prSet/>
      <dgm:spPr/>
      <dgm:t>
        <a:bodyPr/>
        <a:lstStyle/>
        <a:p>
          <a:endParaRPr lang="uk-UA"/>
        </a:p>
      </dgm:t>
    </dgm:pt>
    <dgm:pt modelId="{40308863-211E-4A66-BD2D-107FCDC678C1}" type="sibTrans" cxnId="{4FB730F1-6B1D-4006-903D-1D4321E3CF06}">
      <dgm:prSet/>
      <dgm:spPr/>
      <dgm:t>
        <a:bodyPr/>
        <a:lstStyle/>
        <a:p>
          <a:endParaRPr lang="uk-UA"/>
        </a:p>
      </dgm:t>
    </dgm:pt>
    <dgm:pt modelId="{8037E030-11C0-4AB8-8779-838BA8A5A84A}">
      <dgm:prSet/>
      <dgm:spPr/>
      <dgm:t>
        <a:bodyPr/>
        <a:lstStyle/>
        <a:p>
          <a:r>
            <a:rPr lang="uk-UA">
              <a:latin typeface="Times New Roman" pitchFamily="18" charset="0"/>
              <a:cs typeface="Times New Roman" pitchFamily="18" charset="0"/>
            </a:rPr>
            <a:t>Корпоративні заходи, тимбілдінги</a:t>
          </a:r>
        </a:p>
      </dgm:t>
    </dgm:pt>
    <dgm:pt modelId="{43407F1F-109F-44FF-BD22-BA9C51AD8629}" type="parTrans" cxnId="{26A78F51-464C-488B-B9E8-ECC61F7F08FC}">
      <dgm:prSet/>
      <dgm:spPr/>
      <dgm:t>
        <a:bodyPr/>
        <a:lstStyle/>
        <a:p>
          <a:endParaRPr lang="uk-UA"/>
        </a:p>
      </dgm:t>
    </dgm:pt>
    <dgm:pt modelId="{D1892D2D-5346-442F-80AB-B03FF7261A98}" type="sibTrans" cxnId="{26A78F51-464C-488B-B9E8-ECC61F7F08FC}">
      <dgm:prSet/>
      <dgm:spPr/>
      <dgm:t>
        <a:bodyPr/>
        <a:lstStyle/>
        <a:p>
          <a:endParaRPr lang="uk-UA"/>
        </a:p>
      </dgm:t>
    </dgm:pt>
    <dgm:pt modelId="{DEEA37C2-6759-444D-97E7-D0B0305CAEA5}" type="pres">
      <dgm:prSet presAssocID="{342D43C1-250E-4B20-AE58-F7A071D5A0EF}" presName="diagram" presStyleCnt="0">
        <dgm:presLayoutVars>
          <dgm:dir/>
          <dgm:resizeHandles val="exact"/>
        </dgm:presLayoutVars>
      </dgm:prSet>
      <dgm:spPr/>
    </dgm:pt>
    <dgm:pt modelId="{418CBB8A-B5AC-4DA5-8416-632F6A6A4231}" type="pres">
      <dgm:prSet presAssocID="{71191678-E7F7-4C46-B3F3-9C0847A25F39}" presName="node" presStyleLbl="node1" presStyleIdx="0" presStyleCnt="20">
        <dgm:presLayoutVars>
          <dgm:bulletEnabled val="1"/>
        </dgm:presLayoutVars>
      </dgm:prSet>
      <dgm:spPr/>
    </dgm:pt>
    <dgm:pt modelId="{28F5C592-6136-4EC9-94EB-634008A05BE0}" type="pres">
      <dgm:prSet presAssocID="{DEE25A3A-F4BE-41E9-9464-07495F422F34}" presName="sibTrans" presStyleCnt="0"/>
      <dgm:spPr/>
    </dgm:pt>
    <dgm:pt modelId="{125A37ED-E849-45FF-B618-670283AFD2CF}" type="pres">
      <dgm:prSet presAssocID="{7B419591-5644-4364-802C-72F59BB117F9}" presName="node" presStyleLbl="node1" presStyleIdx="1" presStyleCnt="20">
        <dgm:presLayoutVars>
          <dgm:bulletEnabled val="1"/>
        </dgm:presLayoutVars>
      </dgm:prSet>
      <dgm:spPr/>
    </dgm:pt>
    <dgm:pt modelId="{4B4E6528-1278-4733-90D5-4F919262E9C2}" type="pres">
      <dgm:prSet presAssocID="{7E56CD7E-22CC-4438-A197-C0EBF7DEF47E}" presName="sibTrans" presStyleCnt="0"/>
      <dgm:spPr/>
    </dgm:pt>
    <dgm:pt modelId="{ADBF4DC2-4CF5-42BA-AEFB-F32B986D8A1F}" type="pres">
      <dgm:prSet presAssocID="{7E8BE003-8966-406D-9C0C-FE9D94482029}" presName="node" presStyleLbl="node1" presStyleIdx="2" presStyleCnt="20">
        <dgm:presLayoutVars>
          <dgm:bulletEnabled val="1"/>
        </dgm:presLayoutVars>
      </dgm:prSet>
      <dgm:spPr/>
    </dgm:pt>
    <dgm:pt modelId="{169EA4FD-678A-43EA-97C5-A29F786F538B}" type="pres">
      <dgm:prSet presAssocID="{3364E634-7FFB-4C61-A2CF-21BAC42FB3FA}" presName="sibTrans" presStyleCnt="0"/>
      <dgm:spPr/>
    </dgm:pt>
    <dgm:pt modelId="{8C75DE73-A9CF-4D16-B633-16347F726AB0}" type="pres">
      <dgm:prSet presAssocID="{DBCFF31D-80BF-4B5E-858D-4A2CC8AE1AF0}" presName="node" presStyleLbl="node1" presStyleIdx="3" presStyleCnt="20">
        <dgm:presLayoutVars>
          <dgm:bulletEnabled val="1"/>
        </dgm:presLayoutVars>
      </dgm:prSet>
      <dgm:spPr/>
    </dgm:pt>
    <dgm:pt modelId="{B670A7AB-5056-4C1C-B7AE-92870D55B466}" type="pres">
      <dgm:prSet presAssocID="{FF16E39C-44B6-4BC4-B359-5A70CE9048B3}" presName="sibTrans" presStyleCnt="0"/>
      <dgm:spPr/>
    </dgm:pt>
    <dgm:pt modelId="{330C25A1-2E9E-4F3A-8A19-4B331C1CB2C7}" type="pres">
      <dgm:prSet presAssocID="{52255488-72B2-4284-8B16-32B4F9B297F0}" presName="node" presStyleLbl="node1" presStyleIdx="4" presStyleCnt="20">
        <dgm:presLayoutVars>
          <dgm:bulletEnabled val="1"/>
        </dgm:presLayoutVars>
      </dgm:prSet>
      <dgm:spPr/>
    </dgm:pt>
    <dgm:pt modelId="{9E7C646B-D526-4CDD-A923-1F96B39FF8F4}" type="pres">
      <dgm:prSet presAssocID="{48D9D20B-33EC-4B36-BC5A-7BEDB7FC910E}" presName="sibTrans" presStyleCnt="0"/>
      <dgm:spPr/>
    </dgm:pt>
    <dgm:pt modelId="{B8EE8B06-E073-40B5-BED7-763CCBAF9135}" type="pres">
      <dgm:prSet presAssocID="{2DEA2110-A9D8-47C3-9567-7C4DF7A286A5}" presName="node" presStyleLbl="node1" presStyleIdx="5" presStyleCnt="20">
        <dgm:presLayoutVars>
          <dgm:bulletEnabled val="1"/>
        </dgm:presLayoutVars>
      </dgm:prSet>
      <dgm:spPr/>
    </dgm:pt>
    <dgm:pt modelId="{6A97EB91-3560-4D8C-A7B6-1DA5CDAFD451}" type="pres">
      <dgm:prSet presAssocID="{AAA9EF51-F917-468E-9942-6F64951C46B4}" presName="sibTrans" presStyleCnt="0"/>
      <dgm:spPr/>
    </dgm:pt>
    <dgm:pt modelId="{9E768E75-4312-4BB7-B4A4-0EE32DD5272D}" type="pres">
      <dgm:prSet presAssocID="{8037E030-11C0-4AB8-8779-838BA8A5A84A}" presName="node" presStyleLbl="node1" presStyleIdx="6" presStyleCnt="20">
        <dgm:presLayoutVars>
          <dgm:bulletEnabled val="1"/>
        </dgm:presLayoutVars>
      </dgm:prSet>
      <dgm:spPr/>
    </dgm:pt>
    <dgm:pt modelId="{F60812CC-60B7-4878-828B-3B22BB4A6D63}" type="pres">
      <dgm:prSet presAssocID="{D1892D2D-5346-442F-80AB-B03FF7261A98}" presName="sibTrans" presStyleCnt="0"/>
      <dgm:spPr/>
    </dgm:pt>
    <dgm:pt modelId="{6A8884A6-01C0-4011-986B-7148FB789C2D}" type="pres">
      <dgm:prSet presAssocID="{410109A4-60DC-4AE0-8872-1FD20B0A1BDA}" presName="node" presStyleLbl="node1" presStyleIdx="7" presStyleCnt="20">
        <dgm:presLayoutVars>
          <dgm:bulletEnabled val="1"/>
        </dgm:presLayoutVars>
      </dgm:prSet>
      <dgm:spPr/>
    </dgm:pt>
    <dgm:pt modelId="{DBF170A8-6E6B-41F0-B184-69EC8F67FCB1}" type="pres">
      <dgm:prSet presAssocID="{A89F1F93-2112-4970-89A7-E6DD176A5FA1}" presName="sibTrans" presStyleCnt="0"/>
      <dgm:spPr/>
    </dgm:pt>
    <dgm:pt modelId="{5CD516E8-E65E-4D00-B57D-78B9039729AD}" type="pres">
      <dgm:prSet presAssocID="{8824927F-1A1F-4A6F-A220-D8E1842AE072}" presName="node" presStyleLbl="node1" presStyleIdx="8" presStyleCnt="20">
        <dgm:presLayoutVars>
          <dgm:bulletEnabled val="1"/>
        </dgm:presLayoutVars>
      </dgm:prSet>
      <dgm:spPr/>
    </dgm:pt>
    <dgm:pt modelId="{313319AC-AA04-44B1-99C7-0331E34345F5}" type="pres">
      <dgm:prSet presAssocID="{2063E807-2EBC-4640-9694-AA1C1375C6F7}" presName="sibTrans" presStyleCnt="0"/>
      <dgm:spPr/>
    </dgm:pt>
    <dgm:pt modelId="{F17820B8-1A51-4ED0-B13E-C2F3AAC4DC9C}" type="pres">
      <dgm:prSet presAssocID="{95D2FD57-CD78-4E34-885A-AC3E7540383B}" presName="node" presStyleLbl="node1" presStyleIdx="9" presStyleCnt="20">
        <dgm:presLayoutVars>
          <dgm:bulletEnabled val="1"/>
        </dgm:presLayoutVars>
      </dgm:prSet>
      <dgm:spPr/>
    </dgm:pt>
    <dgm:pt modelId="{81ED8065-A333-45FE-AAB2-3B33CE24DBF6}" type="pres">
      <dgm:prSet presAssocID="{0AFD7AE9-00C1-4E8B-9D93-D914B355A721}" presName="sibTrans" presStyleCnt="0"/>
      <dgm:spPr/>
    </dgm:pt>
    <dgm:pt modelId="{60EAC602-3CC1-4B98-8A66-E1621065D14F}" type="pres">
      <dgm:prSet presAssocID="{47B5A379-E2C9-408A-8E85-754766C1C3BB}" presName="node" presStyleLbl="node1" presStyleIdx="10" presStyleCnt="20">
        <dgm:presLayoutVars>
          <dgm:bulletEnabled val="1"/>
        </dgm:presLayoutVars>
      </dgm:prSet>
      <dgm:spPr/>
    </dgm:pt>
    <dgm:pt modelId="{10EDEB42-2903-4F4F-B5BD-976239EEE666}" type="pres">
      <dgm:prSet presAssocID="{BDD6302E-3DF3-4C1D-A861-14FE45DB40BD}" presName="sibTrans" presStyleCnt="0"/>
      <dgm:spPr/>
    </dgm:pt>
    <dgm:pt modelId="{23D57D50-E037-4D5B-8098-179CD9EF10A6}" type="pres">
      <dgm:prSet presAssocID="{DCEE00F9-ED0F-48FD-9515-D16ADBACB1CC}" presName="node" presStyleLbl="node1" presStyleIdx="11" presStyleCnt="20">
        <dgm:presLayoutVars>
          <dgm:bulletEnabled val="1"/>
        </dgm:presLayoutVars>
      </dgm:prSet>
      <dgm:spPr/>
    </dgm:pt>
    <dgm:pt modelId="{84328D89-E3ED-4B41-9B51-50ECACBD6E28}" type="pres">
      <dgm:prSet presAssocID="{68918D2F-995A-4513-A5C7-ED1165932A2E}" presName="sibTrans" presStyleCnt="0"/>
      <dgm:spPr/>
    </dgm:pt>
    <dgm:pt modelId="{6C5DA29D-0674-4F80-B215-65FFBDC14004}" type="pres">
      <dgm:prSet presAssocID="{264B63A0-F6D3-4064-8FD5-B3ADD9832A0C}" presName="node" presStyleLbl="node1" presStyleIdx="12" presStyleCnt="20">
        <dgm:presLayoutVars>
          <dgm:bulletEnabled val="1"/>
        </dgm:presLayoutVars>
      </dgm:prSet>
      <dgm:spPr/>
    </dgm:pt>
    <dgm:pt modelId="{8DC046DA-3C27-4D4F-8AE4-B038575E42C2}" type="pres">
      <dgm:prSet presAssocID="{925D0CD2-19E9-49F3-8D5B-2ABBDC1697B1}" presName="sibTrans" presStyleCnt="0"/>
      <dgm:spPr/>
    </dgm:pt>
    <dgm:pt modelId="{5EE81126-B57A-449B-B52B-B9C3983B6E9E}" type="pres">
      <dgm:prSet presAssocID="{F6F05BF3-9146-4FC4-9926-573138C89EEA}" presName="node" presStyleLbl="node1" presStyleIdx="13" presStyleCnt="20">
        <dgm:presLayoutVars>
          <dgm:bulletEnabled val="1"/>
        </dgm:presLayoutVars>
      </dgm:prSet>
      <dgm:spPr/>
    </dgm:pt>
    <dgm:pt modelId="{7550837E-2FFD-4EF5-B812-BCAB5FAC6AB2}" type="pres">
      <dgm:prSet presAssocID="{7ED741B5-DB33-437B-B832-E975F23C12CE}" presName="sibTrans" presStyleCnt="0"/>
      <dgm:spPr/>
    </dgm:pt>
    <dgm:pt modelId="{94AB3138-2F96-4B24-8716-03354E022B82}" type="pres">
      <dgm:prSet presAssocID="{D931E69D-05A9-4931-8112-39D359E12033}" presName="node" presStyleLbl="node1" presStyleIdx="14" presStyleCnt="20">
        <dgm:presLayoutVars>
          <dgm:bulletEnabled val="1"/>
        </dgm:presLayoutVars>
      </dgm:prSet>
      <dgm:spPr/>
    </dgm:pt>
    <dgm:pt modelId="{7BCDC1D9-8D2A-4D49-8CCB-3D574A03AA41}" type="pres">
      <dgm:prSet presAssocID="{3AEEDEFA-0B30-4273-BC10-5C81B06BE48C}" presName="sibTrans" presStyleCnt="0"/>
      <dgm:spPr/>
    </dgm:pt>
    <dgm:pt modelId="{C640484C-FA31-4D68-A429-0B75CA7DB687}" type="pres">
      <dgm:prSet presAssocID="{30DFE1B8-9B16-4C9D-A9C5-508175A168A2}" presName="node" presStyleLbl="node1" presStyleIdx="15" presStyleCnt="20">
        <dgm:presLayoutVars>
          <dgm:bulletEnabled val="1"/>
        </dgm:presLayoutVars>
      </dgm:prSet>
      <dgm:spPr/>
    </dgm:pt>
    <dgm:pt modelId="{1FBDBFD7-F908-4BEE-8268-87CDDFDC5BD8}" type="pres">
      <dgm:prSet presAssocID="{47094647-6CB7-4452-B4B8-01F4C56DE1D5}" presName="sibTrans" presStyleCnt="0"/>
      <dgm:spPr/>
    </dgm:pt>
    <dgm:pt modelId="{0DBD5099-D26A-4382-8099-BC69EEA54505}" type="pres">
      <dgm:prSet presAssocID="{D9A068D9-DC06-41D0-BF40-92CAD16CBD71}" presName="node" presStyleLbl="node1" presStyleIdx="16" presStyleCnt="20">
        <dgm:presLayoutVars>
          <dgm:bulletEnabled val="1"/>
        </dgm:presLayoutVars>
      </dgm:prSet>
      <dgm:spPr/>
    </dgm:pt>
    <dgm:pt modelId="{DD40F251-9A17-42CE-A60C-00BEBB715D25}" type="pres">
      <dgm:prSet presAssocID="{E23EF8AD-505D-411B-AB34-08F816A30C77}" presName="sibTrans" presStyleCnt="0"/>
      <dgm:spPr/>
    </dgm:pt>
    <dgm:pt modelId="{0880C477-4BC5-44F1-9DAB-4410B0D5864C}" type="pres">
      <dgm:prSet presAssocID="{A23F2C17-63BA-499B-B9CA-49AFBC559755}" presName="node" presStyleLbl="node1" presStyleIdx="17" presStyleCnt="20">
        <dgm:presLayoutVars>
          <dgm:bulletEnabled val="1"/>
        </dgm:presLayoutVars>
      </dgm:prSet>
      <dgm:spPr/>
    </dgm:pt>
    <dgm:pt modelId="{11AAA509-2FEC-42CC-B420-E889ED79CB45}" type="pres">
      <dgm:prSet presAssocID="{94DBAEDB-08DC-4143-9CC3-24E27A1F465E}" presName="sibTrans" presStyleCnt="0"/>
      <dgm:spPr/>
    </dgm:pt>
    <dgm:pt modelId="{C3E93F6D-E9B6-4EE8-AB88-56A02B30AEF1}" type="pres">
      <dgm:prSet presAssocID="{C65377F4-FF15-414E-9F6B-BC38C0FEEC69}" presName="node" presStyleLbl="node1" presStyleIdx="18" presStyleCnt="20">
        <dgm:presLayoutVars>
          <dgm:bulletEnabled val="1"/>
        </dgm:presLayoutVars>
      </dgm:prSet>
      <dgm:spPr/>
    </dgm:pt>
    <dgm:pt modelId="{A69C41F2-530F-46A1-8B91-C5269876A381}" type="pres">
      <dgm:prSet presAssocID="{21193CD3-F334-4B6B-A802-94E25655EED4}" presName="sibTrans" presStyleCnt="0"/>
      <dgm:spPr/>
    </dgm:pt>
    <dgm:pt modelId="{9DA60157-F22D-4D38-9792-8295E9D2CFB9}" type="pres">
      <dgm:prSet presAssocID="{A12BF390-7EB0-4204-8930-0911F92636D0}" presName="node" presStyleLbl="node1" presStyleIdx="19" presStyleCnt="20">
        <dgm:presLayoutVars>
          <dgm:bulletEnabled val="1"/>
        </dgm:presLayoutVars>
      </dgm:prSet>
      <dgm:spPr/>
    </dgm:pt>
  </dgm:ptLst>
  <dgm:cxnLst>
    <dgm:cxn modelId="{4FBDEE02-4D84-45BE-95F3-F0AC07E1AA10}" srcId="{342D43C1-250E-4B20-AE58-F7A071D5A0EF}" destId="{52255488-72B2-4284-8B16-32B4F9B297F0}" srcOrd="4" destOrd="0" parTransId="{E6F3398D-938D-4192-A6D9-FF5D5AAFEDC8}" sibTransId="{48D9D20B-33EC-4B36-BC5A-7BEDB7FC910E}"/>
    <dgm:cxn modelId="{70673307-CE62-4BED-9126-288DBA53CD43}" type="presOf" srcId="{30DFE1B8-9B16-4C9D-A9C5-508175A168A2}" destId="{C640484C-FA31-4D68-A429-0B75CA7DB687}" srcOrd="0" destOrd="0" presId="urn:microsoft.com/office/officeart/2005/8/layout/default"/>
    <dgm:cxn modelId="{D3408407-68DD-4890-86D7-0289753A9C3D}" type="presOf" srcId="{47B5A379-E2C9-408A-8E85-754766C1C3BB}" destId="{60EAC602-3CC1-4B98-8A66-E1621065D14F}" srcOrd="0" destOrd="0" presId="urn:microsoft.com/office/officeart/2005/8/layout/default"/>
    <dgm:cxn modelId="{C204E013-ED84-4694-B4F9-75401C76BCF1}" type="presOf" srcId="{D931E69D-05A9-4931-8112-39D359E12033}" destId="{94AB3138-2F96-4B24-8716-03354E022B82}" srcOrd="0" destOrd="0" presId="urn:microsoft.com/office/officeart/2005/8/layout/default"/>
    <dgm:cxn modelId="{A1E0221D-DC6C-4269-831D-D1639F40611C}" type="presOf" srcId="{A23F2C17-63BA-499B-B9CA-49AFBC559755}" destId="{0880C477-4BC5-44F1-9DAB-4410B0D5864C}" srcOrd="0" destOrd="0" presId="urn:microsoft.com/office/officeart/2005/8/layout/default"/>
    <dgm:cxn modelId="{BFFC101F-8012-4CFC-9DCF-0DF6C180D61B}" srcId="{342D43C1-250E-4B20-AE58-F7A071D5A0EF}" destId="{C65377F4-FF15-414E-9F6B-BC38C0FEEC69}" srcOrd="18" destOrd="0" parTransId="{141B890D-4686-426C-9C88-4146C3D05AA6}" sibTransId="{21193CD3-F334-4B6B-A802-94E25655EED4}"/>
    <dgm:cxn modelId="{AB9A9026-5D68-4214-8F8B-FCBACC7A514D}" type="presOf" srcId="{52255488-72B2-4284-8B16-32B4F9B297F0}" destId="{330C25A1-2E9E-4F3A-8A19-4B331C1CB2C7}" srcOrd="0" destOrd="0" presId="urn:microsoft.com/office/officeart/2005/8/layout/default"/>
    <dgm:cxn modelId="{D171952C-0590-489E-9327-17C3AE46775C}" type="presOf" srcId="{71191678-E7F7-4C46-B3F3-9C0847A25F39}" destId="{418CBB8A-B5AC-4DA5-8416-632F6A6A4231}" srcOrd="0" destOrd="0" presId="urn:microsoft.com/office/officeart/2005/8/layout/default"/>
    <dgm:cxn modelId="{5D87A12E-1BE9-44AC-8DE2-31FC5EAC3067}" type="presOf" srcId="{DCEE00F9-ED0F-48FD-9515-D16ADBACB1CC}" destId="{23D57D50-E037-4D5B-8098-179CD9EF10A6}" srcOrd="0" destOrd="0" presId="urn:microsoft.com/office/officeart/2005/8/layout/default"/>
    <dgm:cxn modelId="{5C851B30-C460-41CD-94C5-26EA6B2BE4E1}" type="presOf" srcId="{342D43C1-250E-4B20-AE58-F7A071D5A0EF}" destId="{DEEA37C2-6759-444D-97E7-D0B0305CAEA5}" srcOrd="0" destOrd="0" presId="urn:microsoft.com/office/officeart/2005/8/layout/default"/>
    <dgm:cxn modelId="{8F45FD30-CC0B-4380-B52D-1359F7A82A9D}" srcId="{342D43C1-250E-4B20-AE58-F7A071D5A0EF}" destId="{A23F2C17-63BA-499B-B9CA-49AFBC559755}" srcOrd="17" destOrd="0" parTransId="{E3509801-9DDA-48E8-A4CB-5A44B0535375}" sibTransId="{94DBAEDB-08DC-4143-9CC3-24E27A1F465E}"/>
    <dgm:cxn modelId="{5765C236-D7B2-4ACF-81CC-F19E4A813F53}" srcId="{342D43C1-250E-4B20-AE58-F7A071D5A0EF}" destId="{264B63A0-F6D3-4064-8FD5-B3ADD9832A0C}" srcOrd="12" destOrd="0" parTransId="{E4C783C7-FBAA-4E9D-ACD3-2CC4FEC1660D}" sibTransId="{925D0CD2-19E9-49F3-8D5B-2ABBDC1697B1}"/>
    <dgm:cxn modelId="{AA8F8B3A-BF37-4522-AB48-34CC229DE70D}" type="presOf" srcId="{264B63A0-F6D3-4064-8FD5-B3ADD9832A0C}" destId="{6C5DA29D-0674-4F80-B215-65FFBDC14004}" srcOrd="0" destOrd="0" presId="urn:microsoft.com/office/officeart/2005/8/layout/default"/>
    <dgm:cxn modelId="{FA93B45E-D645-47B8-8C1F-942A39D6BFA4}" srcId="{342D43C1-250E-4B20-AE58-F7A071D5A0EF}" destId="{47B5A379-E2C9-408A-8E85-754766C1C3BB}" srcOrd="10" destOrd="0" parTransId="{DC690501-8237-4BCF-BEDE-B1A577C49067}" sibTransId="{BDD6302E-3DF3-4C1D-A861-14FE45DB40BD}"/>
    <dgm:cxn modelId="{77D77B42-60A6-42AC-8B3C-7115C7DBA8B6}" type="presOf" srcId="{8037E030-11C0-4AB8-8779-838BA8A5A84A}" destId="{9E768E75-4312-4BB7-B4A4-0EE32DD5272D}" srcOrd="0" destOrd="0" presId="urn:microsoft.com/office/officeart/2005/8/layout/default"/>
    <dgm:cxn modelId="{FDEC2C6A-CBC9-4C03-8CBD-C52D04C99102}" type="presOf" srcId="{C65377F4-FF15-414E-9F6B-BC38C0FEEC69}" destId="{C3E93F6D-E9B6-4EE8-AB88-56A02B30AEF1}" srcOrd="0" destOrd="0" presId="urn:microsoft.com/office/officeart/2005/8/layout/default"/>
    <dgm:cxn modelId="{43891750-BB63-45C2-BAEE-5066EA36DB90}" srcId="{342D43C1-250E-4B20-AE58-F7A071D5A0EF}" destId="{8824927F-1A1F-4A6F-A220-D8E1842AE072}" srcOrd="8" destOrd="0" parTransId="{23753624-5175-4BB5-A46E-7BC3F72FF942}" sibTransId="{2063E807-2EBC-4640-9694-AA1C1375C6F7}"/>
    <dgm:cxn modelId="{26A78F51-464C-488B-B9E8-ECC61F7F08FC}" srcId="{342D43C1-250E-4B20-AE58-F7A071D5A0EF}" destId="{8037E030-11C0-4AB8-8779-838BA8A5A84A}" srcOrd="6" destOrd="0" parTransId="{43407F1F-109F-44FF-BD22-BA9C51AD8629}" sibTransId="{D1892D2D-5346-442F-80AB-B03FF7261A98}"/>
    <dgm:cxn modelId="{877F8B5A-36D4-4853-A5BA-19D1A53E7E3A}" type="presOf" srcId="{D9A068D9-DC06-41D0-BF40-92CAD16CBD71}" destId="{0DBD5099-D26A-4382-8099-BC69EEA54505}" srcOrd="0" destOrd="0" presId="urn:microsoft.com/office/officeart/2005/8/layout/default"/>
    <dgm:cxn modelId="{BF549E7B-1A77-4EC9-8BD7-191C4AA1B850}" type="presOf" srcId="{410109A4-60DC-4AE0-8872-1FD20B0A1BDA}" destId="{6A8884A6-01C0-4011-986B-7148FB789C2D}" srcOrd="0" destOrd="0" presId="urn:microsoft.com/office/officeart/2005/8/layout/default"/>
    <dgm:cxn modelId="{FEB4637E-5461-452F-A67F-97AEE4B407FD}" srcId="{342D43C1-250E-4B20-AE58-F7A071D5A0EF}" destId="{95D2FD57-CD78-4E34-885A-AC3E7540383B}" srcOrd="9" destOrd="0" parTransId="{8DF759F0-4CC3-4924-B6E2-A500D7BE6315}" sibTransId="{0AFD7AE9-00C1-4E8B-9D93-D914B355A721}"/>
    <dgm:cxn modelId="{84812381-E3BC-434D-BBFA-F51FFD182D8A}" srcId="{342D43C1-250E-4B20-AE58-F7A071D5A0EF}" destId="{2DEA2110-A9D8-47C3-9567-7C4DF7A286A5}" srcOrd="5" destOrd="0" parTransId="{6534312F-F916-4530-BF32-376CE3C107E9}" sibTransId="{AAA9EF51-F917-468E-9942-6F64951C46B4}"/>
    <dgm:cxn modelId="{D0D5D386-3F8F-4ED6-898A-38AC220A540F}" type="presOf" srcId="{F6F05BF3-9146-4FC4-9926-573138C89EEA}" destId="{5EE81126-B57A-449B-B52B-B9C3983B6E9E}" srcOrd="0" destOrd="0" presId="urn:microsoft.com/office/officeart/2005/8/layout/default"/>
    <dgm:cxn modelId="{9552E695-E4BA-40ED-9501-1DF7E2E494AE}" type="presOf" srcId="{8824927F-1A1F-4A6F-A220-D8E1842AE072}" destId="{5CD516E8-E65E-4D00-B57D-78B9039729AD}" srcOrd="0" destOrd="0" presId="urn:microsoft.com/office/officeart/2005/8/layout/default"/>
    <dgm:cxn modelId="{48697898-43C4-4D27-9724-EE6D187B617D}" srcId="{342D43C1-250E-4B20-AE58-F7A071D5A0EF}" destId="{7E8BE003-8966-406D-9C0C-FE9D94482029}" srcOrd="2" destOrd="0" parTransId="{230E1421-C332-4923-86AF-1010E018B606}" sibTransId="{3364E634-7FFB-4C61-A2CF-21BAC42FB3FA}"/>
    <dgm:cxn modelId="{46C16C9B-4E88-4C12-BEF6-158E040404DC}" srcId="{342D43C1-250E-4B20-AE58-F7A071D5A0EF}" destId="{71191678-E7F7-4C46-B3F3-9C0847A25F39}" srcOrd="0" destOrd="0" parTransId="{7E1BB78A-0FD3-4981-A51A-AE1F3D66A397}" sibTransId="{DEE25A3A-F4BE-41E9-9464-07495F422F34}"/>
    <dgm:cxn modelId="{754A28A3-7665-42CC-80CE-28D1EE632911}" srcId="{342D43C1-250E-4B20-AE58-F7A071D5A0EF}" destId="{DCEE00F9-ED0F-48FD-9515-D16ADBACB1CC}" srcOrd="11" destOrd="0" parTransId="{6143E7EF-3544-4A9F-B295-FEAF97A8167D}" sibTransId="{68918D2F-995A-4513-A5C7-ED1165932A2E}"/>
    <dgm:cxn modelId="{0A49D4B4-A853-44CA-BFF3-F02649B5996B}" type="presOf" srcId="{7B419591-5644-4364-802C-72F59BB117F9}" destId="{125A37ED-E849-45FF-B618-670283AFD2CF}" srcOrd="0" destOrd="0" presId="urn:microsoft.com/office/officeart/2005/8/layout/default"/>
    <dgm:cxn modelId="{AD7958C6-0049-4D50-BD1F-80490F1A8C87}" srcId="{342D43C1-250E-4B20-AE58-F7A071D5A0EF}" destId="{DBCFF31D-80BF-4B5E-858D-4A2CC8AE1AF0}" srcOrd="3" destOrd="0" parTransId="{AE7D5493-E90B-4289-8EFF-2FD20F2604F7}" sibTransId="{FF16E39C-44B6-4BC4-B359-5A70CE9048B3}"/>
    <dgm:cxn modelId="{0F34A9CB-0370-4FAD-BC6C-7CA0199D1A02}" srcId="{342D43C1-250E-4B20-AE58-F7A071D5A0EF}" destId="{30DFE1B8-9B16-4C9D-A9C5-508175A168A2}" srcOrd="15" destOrd="0" parTransId="{AF1F254C-74C4-4753-A314-D82D59D70A6E}" sibTransId="{47094647-6CB7-4452-B4B8-01F4C56DE1D5}"/>
    <dgm:cxn modelId="{D4D689E4-A9C7-4B9C-AC41-E6F94AB8A9F2}" type="presOf" srcId="{A12BF390-7EB0-4204-8930-0911F92636D0}" destId="{9DA60157-F22D-4D38-9792-8295E9D2CFB9}" srcOrd="0" destOrd="0" presId="urn:microsoft.com/office/officeart/2005/8/layout/default"/>
    <dgm:cxn modelId="{A98F07E7-1C86-455C-80BB-9EEC3FB51F70}" srcId="{342D43C1-250E-4B20-AE58-F7A071D5A0EF}" destId="{410109A4-60DC-4AE0-8872-1FD20B0A1BDA}" srcOrd="7" destOrd="0" parTransId="{543C98E3-7BF5-4DC7-A742-64C8F5C574D6}" sibTransId="{A89F1F93-2112-4970-89A7-E6DD176A5FA1}"/>
    <dgm:cxn modelId="{93E73FE8-6F11-4862-B88C-0E8B35619F10}" type="presOf" srcId="{7E8BE003-8966-406D-9C0C-FE9D94482029}" destId="{ADBF4DC2-4CF5-42BA-AEFB-F32B986D8A1F}" srcOrd="0" destOrd="0" presId="urn:microsoft.com/office/officeart/2005/8/layout/default"/>
    <dgm:cxn modelId="{BD9595E8-42E9-4868-A3B9-034EF4E6E6B6}" srcId="{342D43C1-250E-4B20-AE58-F7A071D5A0EF}" destId="{D931E69D-05A9-4931-8112-39D359E12033}" srcOrd="14" destOrd="0" parTransId="{32FFE837-5359-4C67-A8E7-C53807969127}" sibTransId="{3AEEDEFA-0B30-4273-BC10-5C81B06BE48C}"/>
    <dgm:cxn modelId="{7DC21BE9-857D-4D81-AFC3-1B99737C3D69}" srcId="{342D43C1-250E-4B20-AE58-F7A071D5A0EF}" destId="{7B419591-5644-4364-802C-72F59BB117F9}" srcOrd="1" destOrd="0" parTransId="{470394AC-7C04-4CFE-8714-83B51E73B931}" sibTransId="{7E56CD7E-22CC-4438-A197-C0EBF7DEF47E}"/>
    <dgm:cxn modelId="{8E61E2EA-6824-4FCD-A7A8-FFB5AAA355D1}" type="presOf" srcId="{95D2FD57-CD78-4E34-885A-AC3E7540383B}" destId="{F17820B8-1A51-4ED0-B13E-C2F3AAC4DC9C}" srcOrd="0" destOrd="0" presId="urn:microsoft.com/office/officeart/2005/8/layout/default"/>
    <dgm:cxn modelId="{906F77EC-BF88-4AFD-8838-F47631561E81}" type="presOf" srcId="{DBCFF31D-80BF-4B5E-858D-4A2CC8AE1AF0}" destId="{8C75DE73-A9CF-4D16-B633-16347F726AB0}" srcOrd="0" destOrd="0" presId="urn:microsoft.com/office/officeart/2005/8/layout/default"/>
    <dgm:cxn modelId="{DCDFF2EE-1BCB-45FD-9A52-FD06CE613E96}" srcId="{342D43C1-250E-4B20-AE58-F7A071D5A0EF}" destId="{D9A068D9-DC06-41D0-BF40-92CAD16CBD71}" srcOrd="16" destOrd="0" parTransId="{6CC5AA40-5C4B-42BE-85AC-ABE4607B7C5F}" sibTransId="{E23EF8AD-505D-411B-AB34-08F816A30C77}"/>
    <dgm:cxn modelId="{4FB730F1-6B1D-4006-903D-1D4321E3CF06}" srcId="{342D43C1-250E-4B20-AE58-F7A071D5A0EF}" destId="{A12BF390-7EB0-4204-8930-0911F92636D0}" srcOrd="19" destOrd="0" parTransId="{D2AD2938-1C8A-4754-8532-8EDA1C174050}" sibTransId="{40308863-211E-4A66-BD2D-107FCDC678C1}"/>
    <dgm:cxn modelId="{E7C702FD-2F3E-44E5-81E3-5122607613C0}" srcId="{342D43C1-250E-4B20-AE58-F7A071D5A0EF}" destId="{F6F05BF3-9146-4FC4-9926-573138C89EEA}" srcOrd="13" destOrd="0" parTransId="{D4C27179-C71C-4D0F-8787-D8F2E6C6728D}" sibTransId="{7ED741B5-DB33-437B-B832-E975F23C12CE}"/>
    <dgm:cxn modelId="{E23398FD-875B-4819-95D4-2AE6AFC24C51}" type="presOf" srcId="{2DEA2110-A9D8-47C3-9567-7C4DF7A286A5}" destId="{B8EE8B06-E073-40B5-BED7-763CCBAF9135}" srcOrd="0" destOrd="0" presId="urn:microsoft.com/office/officeart/2005/8/layout/default"/>
    <dgm:cxn modelId="{BE2D16C0-82EB-4A17-B531-06AB3C926155}" type="presParOf" srcId="{DEEA37C2-6759-444D-97E7-D0B0305CAEA5}" destId="{418CBB8A-B5AC-4DA5-8416-632F6A6A4231}" srcOrd="0" destOrd="0" presId="urn:microsoft.com/office/officeart/2005/8/layout/default"/>
    <dgm:cxn modelId="{8EB48855-A2ED-4895-9DCF-D4CD8838B0F8}" type="presParOf" srcId="{DEEA37C2-6759-444D-97E7-D0B0305CAEA5}" destId="{28F5C592-6136-4EC9-94EB-634008A05BE0}" srcOrd="1" destOrd="0" presId="urn:microsoft.com/office/officeart/2005/8/layout/default"/>
    <dgm:cxn modelId="{BFB6E687-C518-4627-B93B-274F50C77865}" type="presParOf" srcId="{DEEA37C2-6759-444D-97E7-D0B0305CAEA5}" destId="{125A37ED-E849-45FF-B618-670283AFD2CF}" srcOrd="2" destOrd="0" presId="urn:microsoft.com/office/officeart/2005/8/layout/default"/>
    <dgm:cxn modelId="{62862840-796D-4113-A74E-88A62BF38A8E}" type="presParOf" srcId="{DEEA37C2-6759-444D-97E7-D0B0305CAEA5}" destId="{4B4E6528-1278-4733-90D5-4F919262E9C2}" srcOrd="3" destOrd="0" presId="urn:microsoft.com/office/officeart/2005/8/layout/default"/>
    <dgm:cxn modelId="{DA26C85A-7879-479B-965B-C4E696079BC5}" type="presParOf" srcId="{DEEA37C2-6759-444D-97E7-D0B0305CAEA5}" destId="{ADBF4DC2-4CF5-42BA-AEFB-F32B986D8A1F}" srcOrd="4" destOrd="0" presId="urn:microsoft.com/office/officeart/2005/8/layout/default"/>
    <dgm:cxn modelId="{6E5AE8D6-62F6-4C4A-962E-ADF99BD0F139}" type="presParOf" srcId="{DEEA37C2-6759-444D-97E7-D0B0305CAEA5}" destId="{169EA4FD-678A-43EA-97C5-A29F786F538B}" srcOrd="5" destOrd="0" presId="urn:microsoft.com/office/officeart/2005/8/layout/default"/>
    <dgm:cxn modelId="{8364914B-0468-4EE8-84E9-1E1E6B0D33D5}" type="presParOf" srcId="{DEEA37C2-6759-444D-97E7-D0B0305CAEA5}" destId="{8C75DE73-A9CF-4D16-B633-16347F726AB0}" srcOrd="6" destOrd="0" presId="urn:microsoft.com/office/officeart/2005/8/layout/default"/>
    <dgm:cxn modelId="{B87CE423-EC23-46AB-8264-EB528AA4721E}" type="presParOf" srcId="{DEEA37C2-6759-444D-97E7-D0B0305CAEA5}" destId="{B670A7AB-5056-4C1C-B7AE-92870D55B466}" srcOrd="7" destOrd="0" presId="urn:microsoft.com/office/officeart/2005/8/layout/default"/>
    <dgm:cxn modelId="{EA0AA6D0-8D22-44E1-B6C9-4E720124C971}" type="presParOf" srcId="{DEEA37C2-6759-444D-97E7-D0B0305CAEA5}" destId="{330C25A1-2E9E-4F3A-8A19-4B331C1CB2C7}" srcOrd="8" destOrd="0" presId="urn:microsoft.com/office/officeart/2005/8/layout/default"/>
    <dgm:cxn modelId="{BEC80963-93EF-401A-A8E8-2D82A8B45C53}" type="presParOf" srcId="{DEEA37C2-6759-444D-97E7-D0B0305CAEA5}" destId="{9E7C646B-D526-4CDD-A923-1F96B39FF8F4}" srcOrd="9" destOrd="0" presId="urn:microsoft.com/office/officeart/2005/8/layout/default"/>
    <dgm:cxn modelId="{50BC4158-7ACB-436A-9598-1E333F5A4188}" type="presParOf" srcId="{DEEA37C2-6759-444D-97E7-D0B0305CAEA5}" destId="{B8EE8B06-E073-40B5-BED7-763CCBAF9135}" srcOrd="10" destOrd="0" presId="urn:microsoft.com/office/officeart/2005/8/layout/default"/>
    <dgm:cxn modelId="{58EB90E9-195F-4242-926D-821F9A3E465E}" type="presParOf" srcId="{DEEA37C2-6759-444D-97E7-D0B0305CAEA5}" destId="{6A97EB91-3560-4D8C-A7B6-1DA5CDAFD451}" srcOrd="11" destOrd="0" presId="urn:microsoft.com/office/officeart/2005/8/layout/default"/>
    <dgm:cxn modelId="{E115F6EA-46FC-437F-9D84-E41016FEC561}" type="presParOf" srcId="{DEEA37C2-6759-444D-97E7-D0B0305CAEA5}" destId="{9E768E75-4312-4BB7-B4A4-0EE32DD5272D}" srcOrd="12" destOrd="0" presId="urn:microsoft.com/office/officeart/2005/8/layout/default"/>
    <dgm:cxn modelId="{DA52E6A8-E14B-4EA2-83C0-CBE96CDD1162}" type="presParOf" srcId="{DEEA37C2-6759-444D-97E7-D0B0305CAEA5}" destId="{F60812CC-60B7-4878-828B-3B22BB4A6D63}" srcOrd="13" destOrd="0" presId="urn:microsoft.com/office/officeart/2005/8/layout/default"/>
    <dgm:cxn modelId="{7770336C-AB49-4596-B12E-DBA6E83B32BA}" type="presParOf" srcId="{DEEA37C2-6759-444D-97E7-D0B0305CAEA5}" destId="{6A8884A6-01C0-4011-986B-7148FB789C2D}" srcOrd="14" destOrd="0" presId="urn:microsoft.com/office/officeart/2005/8/layout/default"/>
    <dgm:cxn modelId="{4F561972-42DB-42C5-B34E-FD8B3E8E9D68}" type="presParOf" srcId="{DEEA37C2-6759-444D-97E7-D0B0305CAEA5}" destId="{DBF170A8-6E6B-41F0-B184-69EC8F67FCB1}" srcOrd="15" destOrd="0" presId="urn:microsoft.com/office/officeart/2005/8/layout/default"/>
    <dgm:cxn modelId="{528BCDA8-71C5-4CA5-AC56-AA6F962D3DB6}" type="presParOf" srcId="{DEEA37C2-6759-444D-97E7-D0B0305CAEA5}" destId="{5CD516E8-E65E-4D00-B57D-78B9039729AD}" srcOrd="16" destOrd="0" presId="urn:microsoft.com/office/officeart/2005/8/layout/default"/>
    <dgm:cxn modelId="{62F3CABC-F956-46E1-830C-5C2FFB127814}" type="presParOf" srcId="{DEEA37C2-6759-444D-97E7-D0B0305CAEA5}" destId="{313319AC-AA04-44B1-99C7-0331E34345F5}" srcOrd="17" destOrd="0" presId="urn:microsoft.com/office/officeart/2005/8/layout/default"/>
    <dgm:cxn modelId="{1B88EDE4-5A35-4FA7-8EB1-7CC0EF18FF0F}" type="presParOf" srcId="{DEEA37C2-6759-444D-97E7-D0B0305CAEA5}" destId="{F17820B8-1A51-4ED0-B13E-C2F3AAC4DC9C}" srcOrd="18" destOrd="0" presId="urn:microsoft.com/office/officeart/2005/8/layout/default"/>
    <dgm:cxn modelId="{62116127-9C1A-401C-9942-16FFE609D2D4}" type="presParOf" srcId="{DEEA37C2-6759-444D-97E7-D0B0305CAEA5}" destId="{81ED8065-A333-45FE-AAB2-3B33CE24DBF6}" srcOrd="19" destOrd="0" presId="urn:microsoft.com/office/officeart/2005/8/layout/default"/>
    <dgm:cxn modelId="{59027DC6-4BA8-43E8-B195-060EBC316A1B}" type="presParOf" srcId="{DEEA37C2-6759-444D-97E7-D0B0305CAEA5}" destId="{60EAC602-3CC1-4B98-8A66-E1621065D14F}" srcOrd="20" destOrd="0" presId="urn:microsoft.com/office/officeart/2005/8/layout/default"/>
    <dgm:cxn modelId="{766D9DB0-39EE-4205-BE15-203B64A36FA6}" type="presParOf" srcId="{DEEA37C2-6759-444D-97E7-D0B0305CAEA5}" destId="{10EDEB42-2903-4F4F-B5BD-976239EEE666}" srcOrd="21" destOrd="0" presId="urn:microsoft.com/office/officeart/2005/8/layout/default"/>
    <dgm:cxn modelId="{D071D9AA-D308-486F-895E-99F4604E9E42}" type="presParOf" srcId="{DEEA37C2-6759-444D-97E7-D0B0305CAEA5}" destId="{23D57D50-E037-4D5B-8098-179CD9EF10A6}" srcOrd="22" destOrd="0" presId="urn:microsoft.com/office/officeart/2005/8/layout/default"/>
    <dgm:cxn modelId="{1F6B28CB-AB8D-48CF-9DA9-7BCD89A680F9}" type="presParOf" srcId="{DEEA37C2-6759-444D-97E7-D0B0305CAEA5}" destId="{84328D89-E3ED-4B41-9B51-50ECACBD6E28}" srcOrd="23" destOrd="0" presId="urn:microsoft.com/office/officeart/2005/8/layout/default"/>
    <dgm:cxn modelId="{9DB8ADFF-0BB0-4A04-82A5-274DA1CDBB07}" type="presParOf" srcId="{DEEA37C2-6759-444D-97E7-D0B0305CAEA5}" destId="{6C5DA29D-0674-4F80-B215-65FFBDC14004}" srcOrd="24" destOrd="0" presId="urn:microsoft.com/office/officeart/2005/8/layout/default"/>
    <dgm:cxn modelId="{B8EF30A3-CE4A-4513-A85A-C15D2F4F8614}" type="presParOf" srcId="{DEEA37C2-6759-444D-97E7-D0B0305CAEA5}" destId="{8DC046DA-3C27-4D4F-8AE4-B038575E42C2}" srcOrd="25" destOrd="0" presId="urn:microsoft.com/office/officeart/2005/8/layout/default"/>
    <dgm:cxn modelId="{32886551-8F88-4527-8AA3-55610EF66635}" type="presParOf" srcId="{DEEA37C2-6759-444D-97E7-D0B0305CAEA5}" destId="{5EE81126-B57A-449B-B52B-B9C3983B6E9E}" srcOrd="26" destOrd="0" presId="urn:microsoft.com/office/officeart/2005/8/layout/default"/>
    <dgm:cxn modelId="{CB5B7BC8-3678-4135-B775-A5363865E9D7}" type="presParOf" srcId="{DEEA37C2-6759-444D-97E7-D0B0305CAEA5}" destId="{7550837E-2FFD-4EF5-B812-BCAB5FAC6AB2}" srcOrd="27" destOrd="0" presId="urn:microsoft.com/office/officeart/2005/8/layout/default"/>
    <dgm:cxn modelId="{010A7E20-C5E6-45E8-BB1B-B7EF837B0139}" type="presParOf" srcId="{DEEA37C2-6759-444D-97E7-D0B0305CAEA5}" destId="{94AB3138-2F96-4B24-8716-03354E022B82}" srcOrd="28" destOrd="0" presId="urn:microsoft.com/office/officeart/2005/8/layout/default"/>
    <dgm:cxn modelId="{6FCEEA2C-05E8-4CE3-98FB-9A96917B7677}" type="presParOf" srcId="{DEEA37C2-6759-444D-97E7-D0B0305CAEA5}" destId="{7BCDC1D9-8D2A-4D49-8CCB-3D574A03AA41}" srcOrd="29" destOrd="0" presId="urn:microsoft.com/office/officeart/2005/8/layout/default"/>
    <dgm:cxn modelId="{1BEF4E0A-4268-4F53-8E0D-BBB1D4F8DF74}" type="presParOf" srcId="{DEEA37C2-6759-444D-97E7-D0B0305CAEA5}" destId="{C640484C-FA31-4D68-A429-0B75CA7DB687}" srcOrd="30" destOrd="0" presId="urn:microsoft.com/office/officeart/2005/8/layout/default"/>
    <dgm:cxn modelId="{8EFC8E24-F6D0-4DEB-9610-9E369E3AEF18}" type="presParOf" srcId="{DEEA37C2-6759-444D-97E7-D0B0305CAEA5}" destId="{1FBDBFD7-F908-4BEE-8268-87CDDFDC5BD8}" srcOrd="31" destOrd="0" presId="urn:microsoft.com/office/officeart/2005/8/layout/default"/>
    <dgm:cxn modelId="{2B78B0CE-00F6-47BA-8757-44668A336EE7}" type="presParOf" srcId="{DEEA37C2-6759-444D-97E7-D0B0305CAEA5}" destId="{0DBD5099-D26A-4382-8099-BC69EEA54505}" srcOrd="32" destOrd="0" presId="urn:microsoft.com/office/officeart/2005/8/layout/default"/>
    <dgm:cxn modelId="{BA8551FA-426D-49FF-B0F9-C9977DEAF75E}" type="presParOf" srcId="{DEEA37C2-6759-444D-97E7-D0B0305CAEA5}" destId="{DD40F251-9A17-42CE-A60C-00BEBB715D25}" srcOrd="33" destOrd="0" presId="urn:microsoft.com/office/officeart/2005/8/layout/default"/>
    <dgm:cxn modelId="{51202494-E7B0-4CAC-8520-24C271389951}" type="presParOf" srcId="{DEEA37C2-6759-444D-97E7-D0B0305CAEA5}" destId="{0880C477-4BC5-44F1-9DAB-4410B0D5864C}" srcOrd="34" destOrd="0" presId="urn:microsoft.com/office/officeart/2005/8/layout/default"/>
    <dgm:cxn modelId="{F27F25E7-41E7-475B-9340-900004C7FDD2}" type="presParOf" srcId="{DEEA37C2-6759-444D-97E7-D0B0305CAEA5}" destId="{11AAA509-2FEC-42CC-B420-E889ED79CB45}" srcOrd="35" destOrd="0" presId="urn:microsoft.com/office/officeart/2005/8/layout/default"/>
    <dgm:cxn modelId="{9687BFC5-7D78-4224-8F17-6431D9F53867}" type="presParOf" srcId="{DEEA37C2-6759-444D-97E7-D0B0305CAEA5}" destId="{C3E93F6D-E9B6-4EE8-AB88-56A02B30AEF1}" srcOrd="36" destOrd="0" presId="urn:microsoft.com/office/officeart/2005/8/layout/default"/>
    <dgm:cxn modelId="{6BD46A2D-5158-46E5-B542-95EA321388B3}" type="presParOf" srcId="{DEEA37C2-6759-444D-97E7-D0B0305CAEA5}" destId="{A69C41F2-530F-46A1-8B91-C5269876A381}" srcOrd="37" destOrd="0" presId="urn:microsoft.com/office/officeart/2005/8/layout/default"/>
    <dgm:cxn modelId="{AE42367B-F37D-4C8A-AD66-ED4B485D8BA5}" type="presParOf" srcId="{DEEA37C2-6759-444D-97E7-D0B0305CAEA5}" destId="{9DA60157-F22D-4D38-9792-8295E9D2CFB9}" srcOrd="38" destOrd="0" presId="urn:microsoft.com/office/officeart/2005/8/layout/default"/>
  </dgm:cxnLst>
  <dgm:bg/>
  <dgm:whole>
    <a:ln>
      <a:solidFill>
        <a:schemeClr val="tx1"/>
      </a:solidFill>
    </a:ln>
  </dgm:whole>
  <dgm:extLst>
    <a:ext uri="http://schemas.microsoft.com/office/drawing/2008/diagram">
      <dsp:dataModelExt xmlns:dsp="http://schemas.microsoft.com/office/drawing/2008/diagram" relId="rId11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E5ACB2AF-D0E4-4B58-89DB-4521250B17A2}" type="doc">
      <dgm:prSet loTypeId="urn:microsoft.com/office/officeart/2005/8/layout/default" loCatId="list" qsTypeId="urn:microsoft.com/office/officeart/2005/8/quickstyle/simple1" qsCatId="simple" csTypeId="urn:microsoft.com/office/officeart/2005/8/colors/accent0_1" csCatId="mainScheme" phldr="1"/>
      <dgm:spPr/>
      <dgm:t>
        <a:bodyPr/>
        <a:lstStyle/>
        <a:p>
          <a:endParaRPr lang="uk-UA"/>
        </a:p>
      </dgm:t>
    </dgm:pt>
    <dgm:pt modelId="{39519E9C-B3BF-4EE0-9737-05087A3C9968}">
      <dgm:prSet phldrT="[Текст]" custT="1"/>
      <dgm:spPr/>
      <dgm:t>
        <a:bodyPr/>
        <a:lstStyle/>
        <a:p>
          <a:pPr>
            <a:buFont typeface="Times New Roman" panose="02020603050405020304" pitchFamily="18" charset="0"/>
            <a:buNone/>
          </a:pPr>
          <a:r>
            <a:rPr lang="uk-UA" sz="1200" dirty="0">
              <a:latin typeface="Times New Roman" pitchFamily="18" charset="0"/>
              <a:cs typeface="Times New Roman" pitchFamily="18" charset="0"/>
            </a:rPr>
            <a:t>Корпоративний  сайт</a:t>
          </a:r>
        </a:p>
      </dgm:t>
    </dgm:pt>
    <dgm:pt modelId="{F356F401-0C5A-429C-AB05-98468FBF6813}" type="parTrans" cxnId="{12328598-1EF8-401B-BF8E-3058E7BA110C}">
      <dgm:prSet/>
      <dgm:spPr/>
      <dgm:t>
        <a:bodyPr/>
        <a:lstStyle/>
        <a:p>
          <a:endParaRPr lang="uk-UA"/>
        </a:p>
      </dgm:t>
    </dgm:pt>
    <dgm:pt modelId="{D8FEC54C-C07D-4D9C-8467-CE1B40D3AB04}" type="sibTrans" cxnId="{12328598-1EF8-401B-BF8E-3058E7BA110C}">
      <dgm:prSet/>
      <dgm:spPr/>
      <dgm:t>
        <a:bodyPr/>
        <a:lstStyle/>
        <a:p>
          <a:endParaRPr lang="uk-UA"/>
        </a:p>
      </dgm:t>
    </dgm:pt>
    <dgm:pt modelId="{8B142AE9-54E3-489C-BE5F-1F5787FF89E1}">
      <dgm:prSet phldrT="[Текст]" custT="1"/>
      <dgm:spPr/>
      <dgm:t>
        <a:bodyPr/>
        <a:lstStyle/>
        <a:p>
          <a:pPr>
            <a:buFont typeface="Times New Roman" panose="02020603050405020304" pitchFamily="18" charset="0"/>
            <a:buNone/>
          </a:pPr>
          <a:r>
            <a:rPr lang="uk-UA" sz="1200" dirty="0">
              <a:latin typeface="Times New Roman" pitchFamily="18" charset="0"/>
              <a:cs typeface="Times New Roman" pitchFamily="18" charset="0"/>
            </a:rPr>
            <a:t>Розсилки (E-</a:t>
          </a:r>
          <a:r>
            <a:rPr lang="uk-UA" sz="1200" dirty="0" err="1">
              <a:latin typeface="Times New Roman" pitchFamily="18" charset="0"/>
              <a:cs typeface="Times New Roman" pitchFamily="18" charset="0"/>
            </a:rPr>
            <a:t>mail</a:t>
          </a:r>
          <a:r>
            <a:rPr lang="uk-UA" sz="1200" dirty="0">
              <a:latin typeface="Times New Roman" pitchFamily="18" charset="0"/>
              <a:cs typeface="Times New Roman" pitchFamily="18" charset="0"/>
            </a:rPr>
            <a:t>, </a:t>
          </a:r>
          <a:r>
            <a:rPr lang="uk-UA" sz="1200" dirty="0" err="1">
              <a:latin typeface="Times New Roman" pitchFamily="18" charset="0"/>
              <a:cs typeface="Times New Roman" pitchFamily="18" charset="0"/>
            </a:rPr>
            <a:t>смс</a:t>
          </a:r>
          <a:r>
            <a:rPr lang="uk-UA" sz="1200" dirty="0">
              <a:latin typeface="Times New Roman" pitchFamily="18" charset="0"/>
              <a:cs typeface="Times New Roman" pitchFamily="18" charset="0"/>
            </a:rPr>
            <a:t>, </a:t>
          </a:r>
          <a:r>
            <a:rPr lang="uk-UA" sz="1200" dirty="0" err="1">
              <a:latin typeface="Times New Roman" pitchFamily="18" charset="0"/>
              <a:cs typeface="Times New Roman" pitchFamily="18" charset="0"/>
            </a:rPr>
            <a:t>месенджери</a:t>
          </a:r>
          <a:r>
            <a:rPr lang="uk-UA" sz="1200" dirty="0">
              <a:latin typeface="Times New Roman" pitchFamily="18" charset="0"/>
              <a:cs typeface="Times New Roman" pitchFamily="18" charset="0"/>
            </a:rPr>
            <a:t>)</a:t>
          </a:r>
        </a:p>
      </dgm:t>
    </dgm:pt>
    <dgm:pt modelId="{06040131-755D-4780-A1CC-8E091B68B83A}" type="parTrans" cxnId="{BE965149-4089-449A-9D42-6E63D4DB2236}">
      <dgm:prSet/>
      <dgm:spPr/>
      <dgm:t>
        <a:bodyPr/>
        <a:lstStyle/>
        <a:p>
          <a:endParaRPr lang="uk-UA"/>
        </a:p>
      </dgm:t>
    </dgm:pt>
    <dgm:pt modelId="{EEDFF829-811E-4F7D-B880-3BEA677DDBB7}" type="sibTrans" cxnId="{BE965149-4089-449A-9D42-6E63D4DB2236}">
      <dgm:prSet/>
      <dgm:spPr/>
      <dgm:t>
        <a:bodyPr/>
        <a:lstStyle/>
        <a:p>
          <a:endParaRPr lang="uk-UA"/>
        </a:p>
      </dgm:t>
    </dgm:pt>
    <dgm:pt modelId="{CA452179-0A27-446D-AC8C-FBDF3EF4E3E5}">
      <dgm:prSet phldrT="[Текст]" custT="1"/>
      <dgm:spPr/>
      <dgm:t>
        <a:bodyPr/>
        <a:lstStyle/>
        <a:p>
          <a:r>
            <a:rPr lang="uk-UA" sz="1200" dirty="0" err="1">
              <a:latin typeface="Times New Roman" pitchFamily="18" charset="0"/>
              <a:cs typeface="Times New Roman" pitchFamily="18" charset="0"/>
            </a:rPr>
            <a:t>Блоги</a:t>
          </a:r>
          <a:r>
            <a:rPr lang="uk-UA" sz="1200" dirty="0">
              <a:latin typeface="Times New Roman" pitchFamily="18" charset="0"/>
              <a:cs typeface="Times New Roman" pitchFamily="18" charset="0"/>
            </a:rPr>
            <a:t>, </a:t>
          </a:r>
          <a:r>
            <a:rPr lang="uk-UA" sz="1200" dirty="0" err="1">
              <a:latin typeface="Times New Roman" pitchFamily="18" charset="0"/>
              <a:cs typeface="Times New Roman" pitchFamily="18" charset="0"/>
            </a:rPr>
            <a:t>влоги</a:t>
          </a:r>
          <a:endParaRPr lang="uk-UA" sz="1200" dirty="0">
            <a:latin typeface="Times New Roman" pitchFamily="18" charset="0"/>
            <a:cs typeface="Times New Roman" pitchFamily="18" charset="0"/>
          </a:endParaRPr>
        </a:p>
      </dgm:t>
    </dgm:pt>
    <dgm:pt modelId="{F1673DD5-2B32-4077-AE14-E4784B37373E}" type="parTrans" cxnId="{E6450CD4-AE72-4112-9852-95DCA086FB26}">
      <dgm:prSet/>
      <dgm:spPr/>
      <dgm:t>
        <a:bodyPr/>
        <a:lstStyle/>
        <a:p>
          <a:endParaRPr lang="uk-UA"/>
        </a:p>
      </dgm:t>
    </dgm:pt>
    <dgm:pt modelId="{3B3C73FA-8FF6-4CB8-95C8-F1937535CE96}" type="sibTrans" cxnId="{E6450CD4-AE72-4112-9852-95DCA086FB26}">
      <dgm:prSet/>
      <dgm:spPr/>
      <dgm:t>
        <a:bodyPr/>
        <a:lstStyle/>
        <a:p>
          <a:endParaRPr lang="uk-UA"/>
        </a:p>
      </dgm:t>
    </dgm:pt>
    <dgm:pt modelId="{DF7BD7B3-CDA0-42F8-99DF-3A895BA9EDCD}">
      <dgm:prSet phldrT="[Текст]" custT="1"/>
      <dgm:spPr/>
      <dgm:t>
        <a:bodyPr/>
        <a:lstStyle/>
        <a:p>
          <a:pPr>
            <a:buFont typeface="Times New Roman" panose="02020603050405020304" pitchFamily="18" charset="0"/>
            <a:buNone/>
          </a:pPr>
          <a:r>
            <a:rPr lang="uk-UA" sz="1200" dirty="0">
              <a:latin typeface="Times New Roman" pitchFamily="18" charset="0"/>
              <a:cs typeface="Times New Roman" pitchFamily="18" charset="0"/>
            </a:rPr>
            <a:t>Ресурси партнерів</a:t>
          </a:r>
        </a:p>
      </dgm:t>
    </dgm:pt>
    <dgm:pt modelId="{15F786B6-4701-4011-B894-99F1748AF10F}" type="parTrans" cxnId="{9A6A7FFE-3D4F-4E54-B17F-AF91C22B6010}">
      <dgm:prSet/>
      <dgm:spPr/>
      <dgm:t>
        <a:bodyPr/>
        <a:lstStyle/>
        <a:p>
          <a:endParaRPr lang="uk-UA"/>
        </a:p>
      </dgm:t>
    </dgm:pt>
    <dgm:pt modelId="{EB1CFEC7-6FFD-45CC-9308-2E2872D62960}" type="sibTrans" cxnId="{9A6A7FFE-3D4F-4E54-B17F-AF91C22B6010}">
      <dgm:prSet/>
      <dgm:spPr/>
      <dgm:t>
        <a:bodyPr/>
        <a:lstStyle/>
        <a:p>
          <a:endParaRPr lang="uk-UA"/>
        </a:p>
      </dgm:t>
    </dgm:pt>
    <dgm:pt modelId="{C47A44F6-42D6-4633-893C-4DF808C29429}">
      <dgm:prSet phldrT="[Текст]" custT="1"/>
      <dgm:spPr/>
      <dgm:t>
        <a:bodyPr/>
        <a:lstStyle/>
        <a:p>
          <a:pPr>
            <a:buFont typeface="Times New Roman" panose="02020603050405020304" pitchFamily="18" charset="0"/>
            <a:buNone/>
          </a:pPr>
          <a:r>
            <a:rPr lang="uk-UA" sz="1200" dirty="0">
              <a:latin typeface="Times New Roman" pitchFamily="18" charset="0"/>
              <a:cs typeface="Times New Roman" pitchFamily="18" charset="0"/>
            </a:rPr>
            <a:t>Платформи, сайти та інші інтернет-ресурси</a:t>
          </a:r>
        </a:p>
      </dgm:t>
    </dgm:pt>
    <dgm:pt modelId="{7B83264B-D3A7-4528-88A5-3364A7C1FCC2}" type="parTrans" cxnId="{2A50EAF1-5467-4BFB-B3A3-BF2FA163FA34}">
      <dgm:prSet/>
      <dgm:spPr/>
      <dgm:t>
        <a:bodyPr/>
        <a:lstStyle/>
        <a:p>
          <a:endParaRPr lang="uk-UA"/>
        </a:p>
      </dgm:t>
    </dgm:pt>
    <dgm:pt modelId="{927C6FB2-E655-4137-BCD0-8C7689E3F3EC}" type="sibTrans" cxnId="{2A50EAF1-5467-4BFB-B3A3-BF2FA163FA34}">
      <dgm:prSet/>
      <dgm:spPr/>
      <dgm:t>
        <a:bodyPr/>
        <a:lstStyle/>
        <a:p>
          <a:endParaRPr lang="uk-UA"/>
        </a:p>
      </dgm:t>
    </dgm:pt>
    <dgm:pt modelId="{A1A02DEA-18D6-4654-B641-CB6A30314C33}">
      <dgm:prSet custT="1"/>
      <dgm:spPr/>
      <dgm:t>
        <a:bodyPr/>
        <a:lstStyle/>
        <a:p>
          <a:r>
            <a:rPr lang="uk-UA" sz="1200" dirty="0">
              <a:latin typeface="Times New Roman" pitchFamily="18" charset="0"/>
              <a:cs typeface="Times New Roman" pitchFamily="18" charset="0"/>
            </a:rPr>
            <a:t>Соціальні мережі, форуми, сайти-спільноти</a:t>
          </a:r>
        </a:p>
      </dgm:t>
    </dgm:pt>
    <dgm:pt modelId="{131478D2-CEBD-4F07-9237-6E16CF9788F0}" type="parTrans" cxnId="{0CD654E4-F7A2-4179-A1CA-933B4E944DDC}">
      <dgm:prSet/>
      <dgm:spPr/>
      <dgm:t>
        <a:bodyPr/>
        <a:lstStyle/>
        <a:p>
          <a:endParaRPr lang="uk-UA"/>
        </a:p>
      </dgm:t>
    </dgm:pt>
    <dgm:pt modelId="{805E8499-949D-4BBE-B8FB-798E7D691651}" type="sibTrans" cxnId="{0CD654E4-F7A2-4179-A1CA-933B4E944DDC}">
      <dgm:prSet/>
      <dgm:spPr/>
      <dgm:t>
        <a:bodyPr/>
        <a:lstStyle/>
        <a:p>
          <a:endParaRPr lang="uk-UA"/>
        </a:p>
      </dgm:t>
    </dgm:pt>
    <dgm:pt modelId="{D4E2DEAA-4A69-4905-807A-30C841D45FC7}">
      <dgm:prSet custT="1"/>
      <dgm:spPr/>
      <dgm:t>
        <a:bodyPr/>
        <a:lstStyle/>
        <a:p>
          <a:pPr>
            <a:buFont typeface="Times New Roman" panose="02020603050405020304" pitchFamily="18" charset="0"/>
            <a:buNone/>
          </a:pPr>
          <a:r>
            <a:rPr lang="uk-UA" sz="1200" dirty="0" err="1">
              <a:latin typeface="Times New Roman" pitchFamily="18" charset="0"/>
              <a:cs typeface="Times New Roman" pitchFamily="18" charset="0"/>
            </a:rPr>
            <a:t>Офлайн</a:t>
          </a:r>
          <a:r>
            <a:rPr lang="uk-UA" sz="1200" dirty="0">
              <a:latin typeface="Times New Roman" pitchFamily="18" charset="0"/>
              <a:cs typeface="Times New Roman" pitchFamily="18" charset="0"/>
            </a:rPr>
            <a:t> медіа, ЗМІ, медійна реклама</a:t>
          </a:r>
        </a:p>
      </dgm:t>
    </dgm:pt>
    <dgm:pt modelId="{ECE19D92-ADC4-470B-8872-435A5485116B}" type="parTrans" cxnId="{F680038C-DF9D-4D42-AC90-B9D17E0D88EA}">
      <dgm:prSet/>
      <dgm:spPr/>
      <dgm:t>
        <a:bodyPr/>
        <a:lstStyle/>
        <a:p>
          <a:endParaRPr lang="uk-UA"/>
        </a:p>
      </dgm:t>
    </dgm:pt>
    <dgm:pt modelId="{A874B243-F1A7-4CD3-BA4C-FC5A841FD843}" type="sibTrans" cxnId="{F680038C-DF9D-4D42-AC90-B9D17E0D88EA}">
      <dgm:prSet/>
      <dgm:spPr/>
      <dgm:t>
        <a:bodyPr/>
        <a:lstStyle/>
        <a:p>
          <a:endParaRPr lang="uk-UA"/>
        </a:p>
      </dgm:t>
    </dgm:pt>
    <dgm:pt modelId="{73442F57-457A-4934-B7FE-C8950A324B65}">
      <dgm:prSet custT="1"/>
      <dgm:spPr/>
      <dgm:t>
        <a:bodyPr/>
        <a:lstStyle/>
        <a:p>
          <a:pPr>
            <a:buFont typeface="Symbol" panose="05050102010706020507" pitchFamily="18" charset="2"/>
            <a:buNone/>
          </a:pPr>
          <a:r>
            <a:rPr lang="uk-UA" sz="1200" dirty="0">
              <a:latin typeface="Times New Roman" pitchFamily="18" charset="0"/>
              <a:cs typeface="Times New Roman" pitchFamily="18" charset="0"/>
            </a:rPr>
            <a:t>Інтернет-реклама</a:t>
          </a:r>
        </a:p>
      </dgm:t>
    </dgm:pt>
    <dgm:pt modelId="{81885194-E3A0-4B08-AC75-F83A7234F953}" type="parTrans" cxnId="{0C74E948-2EAD-4C5D-9263-11E6D2F1472C}">
      <dgm:prSet/>
      <dgm:spPr/>
      <dgm:t>
        <a:bodyPr/>
        <a:lstStyle/>
        <a:p>
          <a:endParaRPr lang="uk-UA"/>
        </a:p>
      </dgm:t>
    </dgm:pt>
    <dgm:pt modelId="{0851C542-70C4-48AD-B575-789CF30E4772}" type="sibTrans" cxnId="{0C74E948-2EAD-4C5D-9263-11E6D2F1472C}">
      <dgm:prSet/>
      <dgm:spPr/>
      <dgm:t>
        <a:bodyPr/>
        <a:lstStyle/>
        <a:p>
          <a:endParaRPr lang="uk-UA"/>
        </a:p>
      </dgm:t>
    </dgm:pt>
    <dgm:pt modelId="{D4DF7343-AE66-408B-BF06-9212D10DC3FF}">
      <dgm:prSet custT="1"/>
      <dgm:spPr/>
      <dgm:t>
        <a:bodyPr/>
        <a:lstStyle/>
        <a:p>
          <a:r>
            <a:rPr lang="uk-UA" sz="1200" baseline="0" dirty="0">
              <a:latin typeface="Times New Roman" pitchFamily="18" charset="0"/>
              <a:cs typeface="Times New Roman" pitchFamily="18" charset="0"/>
            </a:rPr>
            <a:t>Зовнішня та внутрішня реклама</a:t>
          </a:r>
        </a:p>
      </dgm:t>
    </dgm:pt>
    <dgm:pt modelId="{1B6AD674-BDA4-4364-9DDD-BE6174F31AC7}" type="parTrans" cxnId="{DB89F986-E659-44C3-B217-1C0CCC3A3011}">
      <dgm:prSet/>
      <dgm:spPr/>
      <dgm:t>
        <a:bodyPr/>
        <a:lstStyle/>
        <a:p>
          <a:endParaRPr lang="uk-UA"/>
        </a:p>
      </dgm:t>
    </dgm:pt>
    <dgm:pt modelId="{6B9FAF1C-FA04-4AA5-9A7A-7D54F3A89506}" type="sibTrans" cxnId="{DB89F986-E659-44C3-B217-1C0CCC3A3011}">
      <dgm:prSet/>
      <dgm:spPr/>
      <dgm:t>
        <a:bodyPr/>
        <a:lstStyle/>
        <a:p>
          <a:endParaRPr lang="uk-UA"/>
        </a:p>
      </dgm:t>
    </dgm:pt>
    <dgm:pt modelId="{89B08E49-9536-4A99-A62E-47A9E3453106}">
      <dgm:prSet custT="1"/>
      <dgm:spPr/>
      <dgm:t>
        <a:bodyPr/>
        <a:lstStyle/>
        <a:p>
          <a:r>
            <a:rPr lang="uk-UA" sz="1200" baseline="0" dirty="0">
              <a:latin typeface="Times New Roman" pitchFamily="18" charset="0"/>
              <a:cs typeface="Times New Roman" pitchFamily="18" charset="0"/>
            </a:rPr>
            <a:t>Події, заходи</a:t>
          </a:r>
        </a:p>
      </dgm:t>
    </dgm:pt>
    <dgm:pt modelId="{02E23B62-577B-42F5-BB82-1D60739320BA}" type="parTrans" cxnId="{8B0293A5-01A2-41DE-B1BC-C2372F140B40}">
      <dgm:prSet/>
      <dgm:spPr/>
      <dgm:t>
        <a:bodyPr/>
        <a:lstStyle/>
        <a:p>
          <a:endParaRPr lang="uk-UA"/>
        </a:p>
      </dgm:t>
    </dgm:pt>
    <dgm:pt modelId="{FDC21780-8679-44B8-929A-A6F0104E88C6}" type="sibTrans" cxnId="{8B0293A5-01A2-41DE-B1BC-C2372F140B40}">
      <dgm:prSet/>
      <dgm:spPr/>
      <dgm:t>
        <a:bodyPr/>
        <a:lstStyle/>
        <a:p>
          <a:endParaRPr lang="uk-UA"/>
        </a:p>
      </dgm:t>
    </dgm:pt>
    <dgm:pt modelId="{2952D5C9-4E11-43F2-9130-99080312122E}">
      <dgm:prSet custT="1"/>
      <dgm:spPr/>
      <dgm:t>
        <a:bodyPr/>
        <a:lstStyle/>
        <a:p>
          <a:r>
            <a:rPr lang="uk-UA" sz="1200" dirty="0">
              <a:latin typeface="Times New Roman" pitchFamily="18" charset="0"/>
              <a:cs typeface="Times New Roman" pitchFamily="18" charset="0"/>
            </a:rPr>
            <a:t>Зустрічі, переговори, бесіди</a:t>
          </a:r>
        </a:p>
      </dgm:t>
    </dgm:pt>
    <dgm:pt modelId="{8ADFF303-32E9-4C87-92A7-FDB9D9F25DB8}" type="parTrans" cxnId="{00C27697-FD0F-4191-926E-9B7F8C75564A}">
      <dgm:prSet/>
      <dgm:spPr/>
      <dgm:t>
        <a:bodyPr/>
        <a:lstStyle/>
        <a:p>
          <a:endParaRPr lang="uk-UA"/>
        </a:p>
      </dgm:t>
    </dgm:pt>
    <dgm:pt modelId="{CBDF3890-C208-426E-A4C3-24C0A94131C1}" type="sibTrans" cxnId="{00C27697-FD0F-4191-926E-9B7F8C75564A}">
      <dgm:prSet/>
      <dgm:spPr/>
      <dgm:t>
        <a:bodyPr/>
        <a:lstStyle/>
        <a:p>
          <a:endParaRPr lang="uk-UA"/>
        </a:p>
      </dgm:t>
    </dgm:pt>
    <dgm:pt modelId="{4C91EFE9-DF38-4D02-B842-5F9E3B71FBA0}">
      <dgm:prSet custT="1"/>
      <dgm:spPr/>
      <dgm:t>
        <a:bodyPr/>
        <a:lstStyle/>
        <a:p>
          <a:r>
            <a:rPr lang="uk-UA" sz="1200" dirty="0">
              <a:latin typeface="Times New Roman" pitchFamily="18" charset="0"/>
              <a:cs typeface="Times New Roman" pitchFamily="18" charset="0"/>
            </a:rPr>
            <a:t>Додатки, </a:t>
          </a:r>
          <a:r>
            <a:rPr lang="uk-UA" sz="1200" dirty="0" err="1">
              <a:latin typeface="Times New Roman" pitchFamily="18" charset="0"/>
              <a:cs typeface="Times New Roman" pitchFamily="18" charset="0"/>
            </a:rPr>
            <a:t>месенджери</a:t>
          </a:r>
          <a:endParaRPr lang="uk-UA" sz="1200" dirty="0">
            <a:latin typeface="Times New Roman" pitchFamily="18" charset="0"/>
            <a:cs typeface="Times New Roman" pitchFamily="18" charset="0"/>
          </a:endParaRPr>
        </a:p>
      </dgm:t>
    </dgm:pt>
    <dgm:pt modelId="{3289F6E9-0099-46E4-AC27-A922A42BCBA5}" type="parTrans" cxnId="{611EC6F8-9DCD-42C6-88BC-322D9C06F436}">
      <dgm:prSet/>
      <dgm:spPr/>
      <dgm:t>
        <a:bodyPr/>
        <a:lstStyle/>
        <a:p>
          <a:endParaRPr lang="uk-UA"/>
        </a:p>
      </dgm:t>
    </dgm:pt>
    <dgm:pt modelId="{C7D67399-1DFD-40F9-B0D8-A7A3239F57DA}" type="sibTrans" cxnId="{611EC6F8-9DCD-42C6-88BC-322D9C06F436}">
      <dgm:prSet/>
      <dgm:spPr/>
      <dgm:t>
        <a:bodyPr/>
        <a:lstStyle/>
        <a:p>
          <a:endParaRPr lang="uk-UA"/>
        </a:p>
      </dgm:t>
    </dgm:pt>
    <dgm:pt modelId="{DE0C0114-41AD-402F-B26D-9DB4F1A78319}">
      <dgm:prSet custT="1"/>
      <dgm:spPr/>
      <dgm:t>
        <a:bodyPr/>
        <a:lstStyle/>
        <a:p>
          <a:r>
            <a:rPr lang="uk-UA" sz="1200">
              <a:latin typeface="Times New Roman" pitchFamily="18" charset="0"/>
              <a:cs typeface="Times New Roman" pitchFamily="18" charset="0"/>
            </a:rPr>
            <a:t>Нетворкінг</a:t>
          </a:r>
        </a:p>
      </dgm:t>
    </dgm:pt>
    <dgm:pt modelId="{4429E96E-F811-45C5-9A4D-97F48240BB35}" type="parTrans" cxnId="{19760B68-17DD-4ACB-8409-F500708D1EC0}">
      <dgm:prSet/>
      <dgm:spPr/>
      <dgm:t>
        <a:bodyPr/>
        <a:lstStyle/>
        <a:p>
          <a:endParaRPr lang="uk-UA"/>
        </a:p>
      </dgm:t>
    </dgm:pt>
    <dgm:pt modelId="{7300FF5B-B6C9-4E78-A54A-4D5BF4C16FB8}" type="sibTrans" cxnId="{19760B68-17DD-4ACB-8409-F500708D1EC0}">
      <dgm:prSet/>
      <dgm:spPr/>
      <dgm:t>
        <a:bodyPr/>
        <a:lstStyle/>
        <a:p>
          <a:endParaRPr lang="uk-UA"/>
        </a:p>
      </dgm:t>
    </dgm:pt>
    <dgm:pt modelId="{2D3A02D0-F0FC-4EDA-B50D-104C7104E1E5}">
      <dgm:prSet custT="1"/>
      <dgm:spPr/>
      <dgm:t>
        <a:bodyPr/>
        <a:lstStyle/>
        <a:p>
          <a:r>
            <a:rPr lang="uk-UA" sz="1200" dirty="0">
              <a:latin typeface="Times New Roman" pitchFamily="18" charset="0"/>
              <a:cs typeface="Times New Roman" pitchFamily="18" charset="0"/>
            </a:rPr>
            <a:t>Друковані інформаційні  джерела</a:t>
          </a:r>
        </a:p>
      </dgm:t>
    </dgm:pt>
    <dgm:pt modelId="{0DBEF98D-0F72-4FF7-821B-C1E6E8BF7BF5}" type="parTrans" cxnId="{F4F5C1AF-7044-4D38-B1DE-5078D5BE50C8}">
      <dgm:prSet/>
      <dgm:spPr/>
      <dgm:t>
        <a:bodyPr/>
        <a:lstStyle/>
        <a:p>
          <a:endParaRPr lang="uk-UA"/>
        </a:p>
      </dgm:t>
    </dgm:pt>
    <dgm:pt modelId="{339443BD-908D-4AED-A753-463509284109}" type="sibTrans" cxnId="{F4F5C1AF-7044-4D38-B1DE-5078D5BE50C8}">
      <dgm:prSet/>
      <dgm:spPr/>
      <dgm:t>
        <a:bodyPr/>
        <a:lstStyle/>
        <a:p>
          <a:endParaRPr lang="uk-UA"/>
        </a:p>
      </dgm:t>
    </dgm:pt>
    <dgm:pt modelId="{4BB0EB47-0556-47C9-8B86-CBDF37E7DD71}">
      <dgm:prSet/>
      <dgm:spPr/>
      <dgm:t>
        <a:bodyPr/>
        <a:lstStyle/>
        <a:p>
          <a:r>
            <a:rPr lang="uk-UA">
              <a:latin typeface="Times New Roman" pitchFamily="18" charset="0"/>
              <a:cs typeface="Times New Roman" pitchFamily="18" charset="0"/>
            </a:rPr>
            <a:t>Акції, інвенти, виставки </a:t>
          </a:r>
        </a:p>
      </dgm:t>
    </dgm:pt>
    <dgm:pt modelId="{7DF445DD-BADB-40FC-AB91-B6DD455355D1}" type="parTrans" cxnId="{C2031994-37FF-41DF-92DC-4B4CCB1B9BB2}">
      <dgm:prSet/>
      <dgm:spPr/>
      <dgm:t>
        <a:bodyPr/>
        <a:lstStyle/>
        <a:p>
          <a:endParaRPr lang="uk-UA"/>
        </a:p>
      </dgm:t>
    </dgm:pt>
    <dgm:pt modelId="{0873CA20-F0CD-4EDD-B491-8BBF86223967}" type="sibTrans" cxnId="{C2031994-37FF-41DF-92DC-4B4CCB1B9BB2}">
      <dgm:prSet/>
      <dgm:spPr/>
      <dgm:t>
        <a:bodyPr/>
        <a:lstStyle/>
        <a:p>
          <a:endParaRPr lang="uk-UA"/>
        </a:p>
      </dgm:t>
    </dgm:pt>
    <dgm:pt modelId="{91771CAB-66CC-4CE3-B7C8-90B606CF8CA7}">
      <dgm:prSet/>
      <dgm:spPr/>
      <dgm:t>
        <a:bodyPr/>
        <a:lstStyle/>
        <a:p>
          <a:r>
            <a:rPr lang="uk-UA" baseline="0" dirty="0">
              <a:latin typeface="Times New Roman" pitchFamily="18" charset="0"/>
              <a:cs typeface="Times New Roman" pitchFamily="18" charset="0"/>
            </a:rPr>
            <a:t>Друкована реклама, проліграфічна продукція</a:t>
          </a:r>
        </a:p>
      </dgm:t>
    </dgm:pt>
    <dgm:pt modelId="{2ECA9074-315F-4D48-B4A0-11506D36E572}" type="parTrans" cxnId="{EBE9C8BF-6C12-4EF5-AF13-F43B522D1158}">
      <dgm:prSet/>
      <dgm:spPr/>
      <dgm:t>
        <a:bodyPr/>
        <a:lstStyle/>
        <a:p>
          <a:endParaRPr lang="uk-UA"/>
        </a:p>
      </dgm:t>
    </dgm:pt>
    <dgm:pt modelId="{6957A332-93F8-44BC-9A18-80D04B5B206D}" type="sibTrans" cxnId="{EBE9C8BF-6C12-4EF5-AF13-F43B522D1158}">
      <dgm:prSet/>
      <dgm:spPr/>
      <dgm:t>
        <a:bodyPr/>
        <a:lstStyle/>
        <a:p>
          <a:endParaRPr lang="uk-UA"/>
        </a:p>
      </dgm:t>
    </dgm:pt>
    <dgm:pt modelId="{28734F5E-F91F-45E6-965F-8C6F8C3E83EC}">
      <dgm:prSet/>
      <dgm:spPr/>
      <dgm:t>
        <a:bodyPr/>
        <a:lstStyle/>
        <a:p>
          <a:r>
            <a:rPr lang="uk-UA">
              <a:latin typeface="Times New Roman" pitchFamily="18" charset="0"/>
              <a:cs typeface="Times New Roman" pitchFamily="18" charset="0"/>
            </a:rPr>
            <a:t>Контакт-центри</a:t>
          </a:r>
        </a:p>
      </dgm:t>
    </dgm:pt>
    <dgm:pt modelId="{5D2968A1-0B20-484C-B6E3-7A70169D820E}" type="parTrans" cxnId="{7375946A-9A84-43AA-A759-F76C13443215}">
      <dgm:prSet/>
      <dgm:spPr/>
      <dgm:t>
        <a:bodyPr/>
        <a:lstStyle/>
        <a:p>
          <a:endParaRPr lang="uk-UA"/>
        </a:p>
      </dgm:t>
    </dgm:pt>
    <dgm:pt modelId="{EDDBD7EA-2910-4E70-BF09-D5F0A477D063}" type="sibTrans" cxnId="{7375946A-9A84-43AA-A759-F76C13443215}">
      <dgm:prSet/>
      <dgm:spPr/>
      <dgm:t>
        <a:bodyPr/>
        <a:lstStyle/>
        <a:p>
          <a:endParaRPr lang="uk-UA"/>
        </a:p>
      </dgm:t>
    </dgm:pt>
    <dgm:pt modelId="{3C9AE8F7-858F-4BC0-9B31-2B9F1A6D94A3}">
      <dgm:prSet custT="1"/>
      <dgm:spPr/>
      <dgm:t>
        <a:bodyPr/>
        <a:lstStyle/>
        <a:p>
          <a:r>
            <a:rPr lang="uk-UA" sz="1200">
              <a:latin typeface="Times New Roman" pitchFamily="18" charset="0"/>
              <a:cs typeface="Times New Roman" pitchFamily="18" charset="0"/>
            </a:rPr>
            <a:t>Промо-продукція, рекламна продукція, мерч, брендбук</a:t>
          </a:r>
        </a:p>
      </dgm:t>
    </dgm:pt>
    <dgm:pt modelId="{30DC87A1-AE23-4DBB-ABDA-4BF7C25E4E35}" type="parTrans" cxnId="{BBF88A63-B4DB-4E65-A15A-5C1D5B4AF1B0}">
      <dgm:prSet/>
      <dgm:spPr/>
      <dgm:t>
        <a:bodyPr/>
        <a:lstStyle/>
        <a:p>
          <a:endParaRPr lang="uk-UA"/>
        </a:p>
      </dgm:t>
    </dgm:pt>
    <dgm:pt modelId="{1E6D1F6F-EBB4-4328-BD8A-1C00EEBC3EE9}" type="sibTrans" cxnId="{BBF88A63-B4DB-4E65-A15A-5C1D5B4AF1B0}">
      <dgm:prSet/>
      <dgm:spPr/>
      <dgm:t>
        <a:bodyPr/>
        <a:lstStyle/>
        <a:p>
          <a:endParaRPr lang="uk-UA"/>
        </a:p>
      </dgm:t>
    </dgm:pt>
    <dgm:pt modelId="{47CFC357-0A64-45D9-B9F5-9F5331620115}">
      <dgm:prSet custT="1"/>
      <dgm:spPr/>
      <dgm:t>
        <a:bodyPr/>
        <a:lstStyle/>
        <a:p>
          <a:r>
            <a:rPr lang="uk-UA" sz="1200">
              <a:latin typeface="Times New Roman" pitchFamily="18" charset="0"/>
              <a:cs typeface="Times New Roman" pitchFamily="18" charset="0"/>
            </a:rPr>
            <a:t>Відео та фото продукція</a:t>
          </a:r>
        </a:p>
      </dgm:t>
    </dgm:pt>
    <dgm:pt modelId="{57AFB860-768A-41E0-A539-C8E8FDE91CCB}" type="parTrans" cxnId="{A783310A-D11B-4E52-AA08-431EB097FB2E}">
      <dgm:prSet/>
      <dgm:spPr/>
      <dgm:t>
        <a:bodyPr/>
        <a:lstStyle/>
        <a:p>
          <a:endParaRPr lang="uk-UA"/>
        </a:p>
      </dgm:t>
    </dgm:pt>
    <dgm:pt modelId="{2B40EE80-DE3C-427A-AC3F-E7A756F6121A}" type="sibTrans" cxnId="{A783310A-D11B-4E52-AA08-431EB097FB2E}">
      <dgm:prSet/>
      <dgm:spPr/>
      <dgm:t>
        <a:bodyPr/>
        <a:lstStyle/>
        <a:p>
          <a:endParaRPr lang="uk-UA"/>
        </a:p>
      </dgm:t>
    </dgm:pt>
    <dgm:pt modelId="{47C1B3B4-ED1D-44CB-A512-B75F619DB563}">
      <dgm:prSet custT="1"/>
      <dgm:spPr/>
      <dgm:t>
        <a:bodyPr/>
        <a:lstStyle/>
        <a:p>
          <a:r>
            <a:rPr lang="uk-UA" sz="1200">
              <a:latin typeface="Times New Roman" pitchFamily="18" charset="0"/>
              <a:cs typeface="Times New Roman" pitchFamily="18" charset="0"/>
            </a:rPr>
            <a:t>Боти</a:t>
          </a:r>
        </a:p>
      </dgm:t>
    </dgm:pt>
    <dgm:pt modelId="{A0572988-3EF4-4BE0-8C13-F61D18B8D525}" type="parTrans" cxnId="{C8D7EF6B-FDCA-4C19-8AF7-97A2E5732A08}">
      <dgm:prSet/>
      <dgm:spPr/>
      <dgm:t>
        <a:bodyPr/>
        <a:lstStyle/>
        <a:p>
          <a:endParaRPr lang="uk-UA"/>
        </a:p>
      </dgm:t>
    </dgm:pt>
    <dgm:pt modelId="{6DE002E7-7B2C-4185-A03D-70F31E2221FB}" type="sibTrans" cxnId="{C8D7EF6B-FDCA-4C19-8AF7-97A2E5732A08}">
      <dgm:prSet/>
      <dgm:spPr/>
      <dgm:t>
        <a:bodyPr/>
        <a:lstStyle/>
        <a:p>
          <a:endParaRPr lang="uk-UA"/>
        </a:p>
      </dgm:t>
    </dgm:pt>
    <dgm:pt modelId="{3FBED9A3-7B2B-4B7B-BD92-E6C8EFD911C4}" type="pres">
      <dgm:prSet presAssocID="{E5ACB2AF-D0E4-4B58-89DB-4521250B17A2}" presName="diagram" presStyleCnt="0">
        <dgm:presLayoutVars>
          <dgm:dir/>
          <dgm:resizeHandles val="exact"/>
        </dgm:presLayoutVars>
      </dgm:prSet>
      <dgm:spPr/>
    </dgm:pt>
    <dgm:pt modelId="{DAAC033E-8AB6-4918-AF65-F8254AEAF219}" type="pres">
      <dgm:prSet presAssocID="{39519E9C-B3BF-4EE0-9737-05087A3C9968}" presName="node" presStyleLbl="node1" presStyleIdx="0" presStyleCnt="20">
        <dgm:presLayoutVars>
          <dgm:bulletEnabled val="1"/>
        </dgm:presLayoutVars>
      </dgm:prSet>
      <dgm:spPr/>
    </dgm:pt>
    <dgm:pt modelId="{A1BB88FD-C248-4A7F-9362-D951E370D367}" type="pres">
      <dgm:prSet presAssocID="{D8FEC54C-C07D-4D9C-8467-CE1B40D3AB04}" presName="sibTrans" presStyleCnt="0"/>
      <dgm:spPr/>
    </dgm:pt>
    <dgm:pt modelId="{FFC3A835-FB9B-49AF-B64B-904F1B65B66C}" type="pres">
      <dgm:prSet presAssocID="{8B142AE9-54E3-489C-BE5F-1F5787FF89E1}" presName="node" presStyleLbl="node1" presStyleIdx="1" presStyleCnt="20">
        <dgm:presLayoutVars>
          <dgm:bulletEnabled val="1"/>
        </dgm:presLayoutVars>
      </dgm:prSet>
      <dgm:spPr/>
    </dgm:pt>
    <dgm:pt modelId="{D460B481-5D0D-47E9-BE1E-C32455972F04}" type="pres">
      <dgm:prSet presAssocID="{EEDFF829-811E-4F7D-B880-3BEA677DDBB7}" presName="sibTrans" presStyleCnt="0"/>
      <dgm:spPr/>
    </dgm:pt>
    <dgm:pt modelId="{6F4515C5-7D5E-4668-8A1B-64E59496E56A}" type="pres">
      <dgm:prSet presAssocID="{CA452179-0A27-446D-AC8C-FBDF3EF4E3E5}" presName="node" presStyleLbl="node1" presStyleIdx="2" presStyleCnt="20">
        <dgm:presLayoutVars>
          <dgm:bulletEnabled val="1"/>
        </dgm:presLayoutVars>
      </dgm:prSet>
      <dgm:spPr/>
    </dgm:pt>
    <dgm:pt modelId="{54C0B245-6802-4580-A2B8-139BDFB64CEF}" type="pres">
      <dgm:prSet presAssocID="{3B3C73FA-8FF6-4CB8-95C8-F1937535CE96}" presName="sibTrans" presStyleCnt="0"/>
      <dgm:spPr/>
    </dgm:pt>
    <dgm:pt modelId="{E989487D-8A28-40A4-A3BC-4535BC0EEB5B}" type="pres">
      <dgm:prSet presAssocID="{DF7BD7B3-CDA0-42F8-99DF-3A895BA9EDCD}" presName="node" presStyleLbl="node1" presStyleIdx="3" presStyleCnt="20">
        <dgm:presLayoutVars>
          <dgm:bulletEnabled val="1"/>
        </dgm:presLayoutVars>
      </dgm:prSet>
      <dgm:spPr/>
    </dgm:pt>
    <dgm:pt modelId="{EDF8C1DD-BCA7-4220-996C-62562CAB5BBD}" type="pres">
      <dgm:prSet presAssocID="{EB1CFEC7-6FFD-45CC-9308-2E2872D62960}" presName="sibTrans" presStyleCnt="0"/>
      <dgm:spPr/>
    </dgm:pt>
    <dgm:pt modelId="{55CA3429-9F5E-4A0B-B620-0365C5315077}" type="pres">
      <dgm:prSet presAssocID="{C47A44F6-42D6-4633-893C-4DF808C29429}" presName="node" presStyleLbl="node1" presStyleIdx="4" presStyleCnt="20">
        <dgm:presLayoutVars>
          <dgm:bulletEnabled val="1"/>
        </dgm:presLayoutVars>
      </dgm:prSet>
      <dgm:spPr/>
    </dgm:pt>
    <dgm:pt modelId="{00C018CE-1A93-4879-95E8-739D57D43085}" type="pres">
      <dgm:prSet presAssocID="{927C6FB2-E655-4137-BCD0-8C7689E3F3EC}" presName="sibTrans" presStyleCnt="0"/>
      <dgm:spPr/>
    </dgm:pt>
    <dgm:pt modelId="{6D755B03-F71C-4FB2-AFD8-70E43B564E1C}" type="pres">
      <dgm:prSet presAssocID="{A1A02DEA-18D6-4654-B641-CB6A30314C33}" presName="node" presStyleLbl="node1" presStyleIdx="5" presStyleCnt="20">
        <dgm:presLayoutVars>
          <dgm:bulletEnabled val="1"/>
        </dgm:presLayoutVars>
      </dgm:prSet>
      <dgm:spPr/>
    </dgm:pt>
    <dgm:pt modelId="{A5E5D873-C464-4F49-93DF-30F399D2A556}" type="pres">
      <dgm:prSet presAssocID="{805E8499-949D-4BBE-B8FB-798E7D691651}" presName="sibTrans" presStyleCnt="0"/>
      <dgm:spPr/>
    </dgm:pt>
    <dgm:pt modelId="{1C650288-F179-49BF-A181-CF508F362A3F}" type="pres">
      <dgm:prSet presAssocID="{D4E2DEAA-4A69-4905-807A-30C841D45FC7}" presName="node" presStyleLbl="node1" presStyleIdx="6" presStyleCnt="20">
        <dgm:presLayoutVars>
          <dgm:bulletEnabled val="1"/>
        </dgm:presLayoutVars>
      </dgm:prSet>
      <dgm:spPr/>
    </dgm:pt>
    <dgm:pt modelId="{96A0EA35-90DB-413F-9A35-C0BC2098C659}" type="pres">
      <dgm:prSet presAssocID="{A874B243-F1A7-4CD3-BA4C-FC5A841FD843}" presName="sibTrans" presStyleCnt="0"/>
      <dgm:spPr/>
    </dgm:pt>
    <dgm:pt modelId="{54403193-2678-4A4B-89F3-68289DEF2200}" type="pres">
      <dgm:prSet presAssocID="{73442F57-457A-4934-B7FE-C8950A324B65}" presName="node" presStyleLbl="node1" presStyleIdx="7" presStyleCnt="20">
        <dgm:presLayoutVars>
          <dgm:bulletEnabled val="1"/>
        </dgm:presLayoutVars>
      </dgm:prSet>
      <dgm:spPr/>
    </dgm:pt>
    <dgm:pt modelId="{EF6048B1-3FC8-415C-8B8D-2E8D6998B470}" type="pres">
      <dgm:prSet presAssocID="{0851C542-70C4-48AD-B575-789CF30E4772}" presName="sibTrans" presStyleCnt="0"/>
      <dgm:spPr/>
    </dgm:pt>
    <dgm:pt modelId="{3E768C7C-B78D-4D21-A99D-5989E3A3A3D2}" type="pres">
      <dgm:prSet presAssocID="{D4DF7343-AE66-408B-BF06-9212D10DC3FF}" presName="node" presStyleLbl="node1" presStyleIdx="8" presStyleCnt="20">
        <dgm:presLayoutVars>
          <dgm:bulletEnabled val="1"/>
        </dgm:presLayoutVars>
      </dgm:prSet>
      <dgm:spPr/>
    </dgm:pt>
    <dgm:pt modelId="{3C8A16F6-F6FC-4F16-9ABA-0D94A430354A}" type="pres">
      <dgm:prSet presAssocID="{6B9FAF1C-FA04-4AA5-9A7A-7D54F3A89506}" presName="sibTrans" presStyleCnt="0"/>
      <dgm:spPr/>
    </dgm:pt>
    <dgm:pt modelId="{211D3FBF-57F4-40BD-9BBA-D2CB46BB6BBB}" type="pres">
      <dgm:prSet presAssocID="{89B08E49-9536-4A99-A62E-47A9E3453106}" presName="node" presStyleLbl="node1" presStyleIdx="9" presStyleCnt="20">
        <dgm:presLayoutVars>
          <dgm:bulletEnabled val="1"/>
        </dgm:presLayoutVars>
      </dgm:prSet>
      <dgm:spPr/>
    </dgm:pt>
    <dgm:pt modelId="{E82CECC6-B778-41EA-83BF-93F4DBB3B4E8}" type="pres">
      <dgm:prSet presAssocID="{FDC21780-8679-44B8-929A-A6F0104E88C6}" presName="sibTrans" presStyleCnt="0"/>
      <dgm:spPr/>
    </dgm:pt>
    <dgm:pt modelId="{FF46ADAF-2A30-42C4-B483-9A57DB382E79}" type="pres">
      <dgm:prSet presAssocID="{2952D5C9-4E11-43F2-9130-99080312122E}" presName="node" presStyleLbl="node1" presStyleIdx="10" presStyleCnt="20">
        <dgm:presLayoutVars>
          <dgm:bulletEnabled val="1"/>
        </dgm:presLayoutVars>
      </dgm:prSet>
      <dgm:spPr/>
    </dgm:pt>
    <dgm:pt modelId="{0CC0E486-C0D3-4B3F-AC0A-379A75D0E8D2}" type="pres">
      <dgm:prSet presAssocID="{CBDF3890-C208-426E-A4C3-24C0A94131C1}" presName="sibTrans" presStyleCnt="0"/>
      <dgm:spPr/>
    </dgm:pt>
    <dgm:pt modelId="{16BA17D9-D3EB-46F0-8AAC-049B7F8861B0}" type="pres">
      <dgm:prSet presAssocID="{4C91EFE9-DF38-4D02-B842-5F9E3B71FBA0}" presName="node" presStyleLbl="node1" presStyleIdx="11" presStyleCnt="20">
        <dgm:presLayoutVars>
          <dgm:bulletEnabled val="1"/>
        </dgm:presLayoutVars>
      </dgm:prSet>
      <dgm:spPr/>
    </dgm:pt>
    <dgm:pt modelId="{A62E75F3-CCF3-4476-B66C-208517459A99}" type="pres">
      <dgm:prSet presAssocID="{C7D67399-1DFD-40F9-B0D8-A7A3239F57DA}" presName="sibTrans" presStyleCnt="0"/>
      <dgm:spPr/>
    </dgm:pt>
    <dgm:pt modelId="{43EA5BA4-BA76-418A-B082-EC08FD965454}" type="pres">
      <dgm:prSet presAssocID="{DE0C0114-41AD-402F-B26D-9DB4F1A78319}" presName="node" presStyleLbl="node1" presStyleIdx="12" presStyleCnt="20">
        <dgm:presLayoutVars>
          <dgm:bulletEnabled val="1"/>
        </dgm:presLayoutVars>
      </dgm:prSet>
      <dgm:spPr/>
    </dgm:pt>
    <dgm:pt modelId="{EF9288DA-2D58-4C08-A8FF-AF52EB977250}" type="pres">
      <dgm:prSet presAssocID="{7300FF5B-B6C9-4E78-A54A-4D5BF4C16FB8}" presName="sibTrans" presStyleCnt="0"/>
      <dgm:spPr/>
    </dgm:pt>
    <dgm:pt modelId="{4A4A8353-7398-41FE-A4E0-C0754AA2176B}" type="pres">
      <dgm:prSet presAssocID="{2D3A02D0-F0FC-4EDA-B50D-104C7104E1E5}" presName="node" presStyleLbl="node1" presStyleIdx="13" presStyleCnt="20">
        <dgm:presLayoutVars>
          <dgm:bulletEnabled val="1"/>
        </dgm:presLayoutVars>
      </dgm:prSet>
      <dgm:spPr/>
    </dgm:pt>
    <dgm:pt modelId="{012FB82B-681F-4901-B293-05D51616B39E}" type="pres">
      <dgm:prSet presAssocID="{339443BD-908D-4AED-A753-463509284109}" presName="sibTrans" presStyleCnt="0"/>
      <dgm:spPr/>
    </dgm:pt>
    <dgm:pt modelId="{378C8227-A759-429E-B498-CB7F8E308098}" type="pres">
      <dgm:prSet presAssocID="{4BB0EB47-0556-47C9-8B86-CBDF37E7DD71}" presName="node" presStyleLbl="node1" presStyleIdx="14" presStyleCnt="20">
        <dgm:presLayoutVars>
          <dgm:bulletEnabled val="1"/>
        </dgm:presLayoutVars>
      </dgm:prSet>
      <dgm:spPr/>
    </dgm:pt>
    <dgm:pt modelId="{BB6F84E1-F1C9-40AB-8ED4-69795C9B47F6}" type="pres">
      <dgm:prSet presAssocID="{0873CA20-F0CD-4EDD-B491-8BBF86223967}" presName="sibTrans" presStyleCnt="0"/>
      <dgm:spPr/>
    </dgm:pt>
    <dgm:pt modelId="{78804E0F-E4B5-4182-AD0B-5F3A1A786AEA}" type="pres">
      <dgm:prSet presAssocID="{91771CAB-66CC-4CE3-B7C8-90B606CF8CA7}" presName="node" presStyleLbl="node1" presStyleIdx="15" presStyleCnt="20">
        <dgm:presLayoutVars>
          <dgm:bulletEnabled val="1"/>
        </dgm:presLayoutVars>
      </dgm:prSet>
      <dgm:spPr/>
    </dgm:pt>
    <dgm:pt modelId="{9FE9DC57-3202-45F5-914F-85DE131D9F37}" type="pres">
      <dgm:prSet presAssocID="{6957A332-93F8-44BC-9A18-80D04B5B206D}" presName="sibTrans" presStyleCnt="0"/>
      <dgm:spPr/>
    </dgm:pt>
    <dgm:pt modelId="{471D83B6-C6D1-4C24-8B51-A18F7A5AF4E3}" type="pres">
      <dgm:prSet presAssocID="{28734F5E-F91F-45E6-965F-8C6F8C3E83EC}" presName="node" presStyleLbl="node1" presStyleIdx="16" presStyleCnt="20">
        <dgm:presLayoutVars>
          <dgm:bulletEnabled val="1"/>
        </dgm:presLayoutVars>
      </dgm:prSet>
      <dgm:spPr/>
    </dgm:pt>
    <dgm:pt modelId="{DBD0F81D-561B-4B72-AA11-878D3D469691}" type="pres">
      <dgm:prSet presAssocID="{EDDBD7EA-2910-4E70-BF09-D5F0A477D063}" presName="sibTrans" presStyleCnt="0"/>
      <dgm:spPr/>
    </dgm:pt>
    <dgm:pt modelId="{94DF0147-C323-4BBD-92C8-18F0862967E7}" type="pres">
      <dgm:prSet presAssocID="{3C9AE8F7-858F-4BC0-9B31-2B9F1A6D94A3}" presName="node" presStyleLbl="node1" presStyleIdx="17" presStyleCnt="20">
        <dgm:presLayoutVars>
          <dgm:bulletEnabled val="1"/>
        </dgm:presLayoutVars>
      </dgm:prSet>
      <dgm:spPr/>
    </dgm:pt>
    <dgm:pt modelId="{2F1CB5C6-C4E9-4629-AC42-74220E55095C}" type="pres">
      <dgm:prSet presAssocID="{1E6D1F6F-EBB4-4328-BD8A-1C00EEBC3EE9}" presName="sibTrans" presStyleCnt="0"/>
      <dgm:spPr/>
    </dgm:pt>
    <dgm:pt modelId="{ACB3EAFC-4525-4AEA-A533-8FEEA098C85C}" type="pres">
      <dgm:prSet presAssocID="{47CFC357-0A64-45D9-B9F5-9F5331620115}" presName="node" presStyleLbl="node1" presStyleIdx="18" presStyleCnt="20">
        <dgm:presLayoutVars>
          <dgm:bulletEnabled val="1"/>
        </dgm:presLayoutVars>
      </dgm:prSet>
      <dgm:spPr/>
    </dgm:pt>
    <dgm:pt modelId="{A0F74A97-A10D-4136-A85B-51A1B5D3FA37}" type="pres">
      <dgm:prSet presAssocID="{2B40EE80-DE3C-427A-AC3F-E7A756F6121A}" presName="sibTrans" presStyleCnt="0"/>
      <dgm:spPr/>
    </dgm:pt>
    <dgm:pt modelId="{82CF00A7-B9B4-4FA9-9BA0-FCBC40834BCC}" type="pres">
      <dgm:prSet presAssocID="{47C1B3B4-ED1D-44CB-A512-B75F619DB563}" presName="node" presStyleLbl="node1" presStyleIdx="19" presStyleCnt="20">
        <dgm:presLayoutVars>
          <dgm:bulletEnabled val="1"/>
        </dgm:presLayoutVars>
      </dgm:prSet>
      <dgm:spPr/>
    </dgm:pt>
  </dgm:ptLst>
  <dgm:cxnLst>
    <dgm:cxn modelId="{A783310A-D11B-4E52-AA08-431EB097FB2E}" srcId="{E5ACB2AF-D0E4-4B58-89DB-4521250B17A2}" destId="{47CFC357-0A64-45D9-B9F5-9F5331620115}" srcOrd="18" destOrd="0" parTransId="{57AFB860-768A-41E0-A539-C8E8FDE91CCB}" sibTransId="{2B40EE80-DE3C-427A-AC3F-E7A756F6121A}"/>
    <dgm:cxn modelId="{14D34128-9129-4059-B386-F6860F41EADD}" type="presOf" srcId="{E5ACB2AF-D0E4-4B58-89DB-4521250B17A2}" destId="{3FBED9A3-7B2B-4B7B-BD92-E6C8EFD911C4}" srcOrd="0" destOrd="0" presId="urn:microsoft.com/office/officeart/2005/8/layout/default"/>
    <dgm:cxn modelId="{B8791430-BDE1-42DB-BF53-322E0E341F49}" type="presOf" srcId="{4C91EFE9-DF38-4D02-B842-5F9E3B71FBA0}" destId="{16BA17D9-D3EB-46F0-8AAC-049B7F8861B0}" srcOrd="0" destOrd="0" presId="urn:microsoft.com/office/officeart/2005/8/layout/default"/>
    <dgm:cxn modelId="{73603D3D-E997-4C91-AA24-E493E447D280}" type="presOf" srcId="{C47A44F6-42D6-4633-893C-4DF808C29429}" destId="{55CA3429-9F5E-4A0B-B620-0365C5315077}" srcOrd="0" destOrd="0" presId="urn:microsoft.com/office/officeart/2005/8/layout/default"/>
    <dgm:cxn modelId="{A8C02341-D00F-4CD7-93AE-2BD5A84863E0}" type="presOf" srcId="{CA452179-0A27-446D-AC8C-FBDF3EF4E3E5}" destId="{6F4515C5-7D5E-4668-8A1B-64E59496E56A}" srcOrd="0" destOrd="0" presId="urn:microsoft.com/office/officeart/2005/8/layout/default"/>
    <dgm:cxn modelId="{AA9F8741-5E6F-42B0-9EA8-D9567CBC876F}" type="presOf" srcId="{73442F57-457A-4934-B7FE-C8950A324B65}" destId="{54403193-2678-4A4B-89F3-68289DEF2200}" srcOrd="0" destOrd="0" presId="urn:microsoft.com/office/officeart/2005/8/layout/default"/>
    <dgm:cxn modelId="{BBF88A63-B4DB-4E65-A15A-5C1D5B4AF1B0}" srcId="{E5ACB2AF-D0E4-4B58-89DB-4521250B17A2}" destId="{3C9AE8F7-858F-4BC0-9B31-2B9F1A6D94A3}" srcOrd="17" destOrd="0" parTransId="{30DC87A1-AE23-4DBB-ABDA-4BF7C25E4E35}" sibTransId="{1E6D1F6F-EBB4-4328-BD8A-1C00EEBC3EE9}"/>
    <dgm:cxn modelId="{19760B68-17DD-4ACB-8409-F500708D1EC0}" srcId="{E5ACB2AF-D0E4-4B58-89DB-4521250B17A2}" destId="{DE0C0114-41AD-402F-B26D-9DB4F1A78319}" srcOrd="12" destOrd="0" parTransId="{4429E96E-F811-45C5-9A4D-97F48240BB35}" sibTransId="{7300FF5B-B6C9-4E78-A54A-4D5BF4C16FB8}"/>
    <dgm:cxn modelId="{0C74E948-2EAD-4C5D-9263-11E6D2F1472C}" srcId="{E5ACB2AF-D0E4-4B58-89DB-4521250B17A2}" destId="{73442F57-457A-4934-B7FE-C8950A324B65}" srcOrd="7" destOrd="0" parTransId="{81885194-E3A0-4B08-AC75-F83A7234F953}" sibTransId="{0851C542-70C4-48AD-B575-789CF30E4772}"/>
    <dgm:cxn modelId="{BE965149-4089-449A-9D42-6E63D4DB2236}" srcId="{E5ACB2AF-D0E4-4B58-89DB-4521250B17A2}" destId="{8B142AE9-54E3-489C-BE5F-1F5787FF89E1}" srcOrd="1" destOrd="0" parTransId="{06040131-755D-4780-A1CC-8E091B68B83A}" sibTransId="{EEDFF829-811E-4F7D-B880-3BEA677DDBB7}"/>
    <dgm:cxn modelId="{7375946A-9A84-43AA-A759-F76C13443215}" srcId="{E5ACB2AF-D0E4-4B58-89DB-4521250B17A2}" destId="{28734F5E-F91F-45E6-965F-8C6F8C3E83EC}" srcOrd="16" destOrd="0" parTransId="{5D2968A1-0B20-484C-B6E3-7A70169D820E}" sibTransId="{EDDBD7EA-2910-4E70-BF09-D5F0A477D063}"/>
    <dgm:cxn modelId="{C8D7EF6B-FDCA-4C19-8AF7-97A2E5732A08}" srcId="{E5ACB2AF-D0E4-4B58-89DB-4521250B17A2}" destId="{47C1B3B4-ED1D-44CB-A512-B75F619DB563}" srcOrd="19" destOrd="0" parTransId="{A0572988-3EF4-4BE0-8C13-F61D18B8D525}" sibTransId="{6DE002E7-7B2C-4185-A03D-70F31E2221FB}"/>
    <dgm:cxn modelId="{AFA63952-BD51-4A2D-AAA0-DC517B21837C}" type="presOf" srcId="{2952D5C9-4E11-43F2-9130-99080312122E}" destId="{FF46ADAF-2A30-42C4-B483-9A57DB382E79}" srcOrd="0" destOrd="0" presId="urn:microsoft.com/office/officeart/2005/8/layout/default"/>
    <dgm:cxn modelId="{4C705755-0ECD-453D-95F4-BB9E065A313A}" type="presOf" srcId="{4BB0EB47-0556-47C9-8B86-CBDF37E7DD71}" destId="{378C8227-A759-429E-B498-CB7F8E308098}" srcOrd="0" destOrd="0" presId="urn:microsoft.com/office/officeart/2005/8/layout/default"/>
    <dgm:cxn modelId="{67C97E7A-6954-4D8D-8556-B1E0AFCE5F7D}" type="presOf" srcId="{91771CAB-66CC-4CE3-B7C8-90B606CF8CA7}" destId="{78804E0F-E4B5-4182-AD0B-5F3A1A786AEA}" srcOrd="0" destOrd="0" presId="urn:microsoft.com/office/officeart/2005/8/layout/default"/>
    <dgm:cxn modelId="{D63BCC5A-039E-405C-AA51-32994690F8E5}" type="presOf" srcId="{28734F5E-F91F-45E6-965F-8C6F8C3E83EC}" destId="{471D83B6-C6D1-4C24-8B51-A18F7A5AF4E3}" srcOrd="0" destOrd="0" presId="urn:microsoft.com/office/officeart/2005/8/layout/default"/>
    <dgm:cxn modelId="{AEAB8285-F127-4017-9FE3-549A799B848D}" type="presOf" srcId="{DE0C0114-41AD-402F-B26D-9DB4F1A78319}" destId="{43EA5BA4-BA76-418A-B082-EC08FD965454}" srcOrd="0" destOrd="0" presId="urn:microsoft.com/office/officeart/2005/8/layout/default"/>
    <dgm:cxn modelId="{959B5086-3A98-4A1B-9728-7F318DCFA703}" type="presOf" srcId="{A1A02DEA-18D6-4654-B641-CB6A30314C33}" destId="{6D755B03-F71C-4FB2-AFD8-70E43B564E1C}" srcOrd="0" destOrd="0" presId="urn:microsoft.com/office/officeart/2005/8/layout/default"/>
    <dgm:cxn modelId="{DB89F986-E659-44C3-B217-1C0CCC3A3011}" srcId="{E5ACB2AF-D0E4-4B58-89DB-4521250B17A2}" destId="{D4DF7343-AE66-408B-BF06-9212D10DC3FF}" srcOrd="8" destOrd="0" parTransId="{1B6AD674-BDA4-4364-9DDD-BE6174F31AC7}" sibTransId="{6B9FAF1C-FA04-4AA5-9A7A-7D54F3A89506}"/>
    <dgm:cxn modelId="{F680038C-DF9D-4D42-AC90-B9D17E0D88EA}" srcId="{E5ACB2AF-D0E4-4B58-89DB-4521250B17A2}" destId="{D4E2DEAA-4A69-4905-807A-30C841D45FC7}" srcOrd="6" destOrd="0" parTransId="{ECE19D92-ADC4-470B-8872-435A5485116B}" sibTransId="{A874B243-F1A7-4CD3-BA4C-FC5A841FD843}"/>
    <dgm:cxn modelId="{C2031994-37FF-41DF-92DC-4B4CCB1B9BB2}" srcId="{E5ACB2AF-D0E4-4B58-89DB-4521250B17A2}" destId="{4BB0EB47-0556-47C9-8B86-CBDF37E7DD71}" srcOrd="14" destOrd="0" parTransId="{7DF445DD-BADB-40FC-AB91-B6DD455355D1}" sibTransId="{0873CA20-F0CD-4EDD-B491-8BBF86223967}"/>
    <dgm:cxn modelId="{00C27697-FD0F-4191-926E-9B7F8C75564A}" srcId="{E5ACB2AF-D0E4-4B58-89DB-4521250B17A2}" destId="{2952D5C9-4E11-43F2-9130-99080312122E}" srcOrd="10" destOrd="0" parTransId="{8ADFF303-32E9-4C87-92A7-FDB9D9F25DB8}" sibTransId="{CBDF3890-C208-426E-A4C3-24C0A94131C1}"/>
    <dgm:cxn modelId="{F5A0C397-4CBF-490A-BEC8-2D4A7801293D}" type="presOf" srcId="{47C1B3B4-ED1D-44CB-A512-B75F619DB563}" destId="{82CF00A7-B9B4-4FA9-9BA0-FCBC40834BCC}" srcOrd="0" destOrd="0" presId="urn:microsoft.com/office/officeart/2005/8/layout/default"/>
    <dgm:cxn modelId="{12328598-1EF8-401B-BF8E-3058E7BA110C}" srcId="{E5ACB2AF-D0E4-4B58-89DB-4521250B17A2}" destId="{39519E9C-B3BF-4EE0-9737-05087A3C9968}" srcOrd="0" destOrd="0" parTransId="{F356F401-0C5A-429C-AB05-98468FBF6813}" sibTransId="{D8FEC54C-C07D-4D9C-8467-CE1B40D3AB04}"/>
    <dgm:cxn modelId="{3D2EFAA0-39D0-4C35-99D8-F6825CDDA7B6}" type="presOf" srcId="{3C9AE8F7-858F-4BC0-9B31-2B9F1A6D94A3}" destId="{94DF0147-C323-4BBD-92C8-18F0862967E7}" srcOrd="0" destOrd="0" presId="urn:microsoft.com/office/officeart/2005/8/layout/default"/>
    <dgm:cxn modelId="{F0FC56A3-C878-4E0A-801A-346ACA2B260D}" type="presOf" srcId="{89B08E49-9536-4A99-A62E-47A9E3453106}" destId="{211D3FBF-57F4-40BD-9BBA-D2CB46BB6BBB}" srcOrd="0" destOrd="0" presId="urn:microsoft.com/office/officeart/2005/8/layout/default"/>
    <dgm:cxn modelId="{8B0293A5-01A2-41DE-B1BC-C2372F140B40}" srcId="{E5ACB2AF-D0E4-4B58-89DB-4521250B17A2}" destId="{89B08E49-9536-4A99-A62E-47A9E3453106}" srcOrd="9" destOrd="0" parTransId="{02E23B62-577B-42F5-BB82-1D60739320BA}" sibTransId="{FDC21780-8679-44B8-929A-A6F0104E88C6}"/>
    <dgm:cxn modelId="{F4F5C1AF-7044-4D38-B1DE-5078D5BE50C8}" srcId="{E5ACB2AF-D0E4-4B58-89DB-4521250B17A2}" destId="{2D3A02D0-F0FC-4EDA-B50D-104C7104E1E5}" srcOrd="13" destOrd="0" parTransId="{0DBEF98D-0F72-4FF7-821B-C1E6E8BF7BF5}" sibTransId="{339443BD-908D-4AED-A753-463509284109}"/>
    <dgm:cxn modelId="{3E587CBC-67B2-4310-B7F2-EFFFB347229E}" type="presOf" srcId="{8B142AE9-54E3-489C-BE5F-1F5787FF89E1}" destId="{FFC3A835-FB9B-49AF-B64B-904F1B65B66C}" srcOrd="0" destOrd="0" presId="urn:microsoft.com/office/officeart/2005/8/layout/default"/>
    <dgm:cxn modelId="{EBE9C8BF-6C12-4EF5-AF13-F43B522D1158}" srcId="{E5ACB2AF-D0E4-4B58-89DB-4521250B17A2}" destId="{91771CAB-66CC-4CE3-B7C8-90B606CF8CA7}" srcOrd="15" destOrd="0" parTransId="{2ECA9074-315F-4D48-B4A0-11506D36E572}" sibTransId="{6957A332-93F8-44BC-9A18-80D04B5B206D}"/>
    <dgm:cxn modelId="{9E4B68D1-37FE-4B0F-8096-52104F5952B9}" type="presOf" srcId="{D4E2DEAA-4A69-4905-807A-30C841D45FC7}" destId="{1C650288-F179-49BF-A181-CF508F362A3F}" srcOrd="0" destOrd="0" presId="urn:microsoft.com/office/officeart/2005/8/layout/default"/>
    <dgm:cxn modelId="{E6450CD4-AE72-4112-9852-95DCA086FB26}" srcId="{E5ACB2AF-D0E4-4B58-89DB-4521250B17A2}" destId="{CA452179-0A27-446D-AC8C-FBDF3EF4E3E5}" srcOrd="2" destOrd="0" parTransId="{F1673DD5-2B32-4077-AE14-E4784B37373E}" sibTransId="{3B3C73FA-8FF6-4CB8-95C8-F1937535CE96}"/>
    <dgm:cxn modelId="{4B8BEDD5-85B1-4313-8019-BF77E2E19AB4}" type="presOf" srcId="{2D3A02D0-F0FC-4EDA-B50D-104C7104E1E5}" destId="{4A4A8353-7398-41FE-A4E0-C0754AA2176B}" srcOrd="0" destOrd="0" presId="urn:microsoft.com/office/officeart/2005/8/layout/default"/>
    <dgm:cxn modelId="{0CD654E4-F7A2-4179-A1CA-933B4E944DDC}" srcId="{E5ACB2AF-D0E4-4B58-89DB-4521250B17A2}" destId="{A1A02DEA-18D6-4654-B641-CB6A30314C33}" srcOrd="5" destOrd="0" parTransId="{131478D2-CEBD-4F07-9237-6E16CF9788F0}" sibTransId="{805E8499-949D-4BBE-B8FB-798E7D691651}"/>
    <dgm:cxn modelId="{F1A58BED-9604-4804-9658-E66495528355}" type="presOf" srcId="{39519E9C-B3BF-4EE0-9737-05087A3C9968}" destId="{DAAC033E-8AB6-4918-AF65-F8254AEAF219}" srcOrd="0" destOrd="0" presId="urn:microsoft.com/office/officeart/2005/8/layout/default"/>
    <dgm:cxn modelId="{247038EE-5953-4F84-886F-733C8041303E}" type="presOf" srcId="{47CFC357-0A64-45D9-B9F5-9F5331620115}" destId="{ACB3EAFC-4525-4AEA-A533-8FEEA098C85C}" srcOrd="0" destOrd="0" presId="urn:microsoft.com/office/officeart/2005/8/layout/default"/>
    <dgm:cxn modelId="{DDBB8AF1-CFC1-449E-A635-284E578E1088}" type="presOf" srcId="{D4DF7343-AE66-408B-BF06-9212D10DC3FF}" destId="{3E768C7C-B78D-4D21-A99D-5989E3A3A3D2}" srcOrd="0" destOrd="0" presId="urn:microsoft.com/office/officeart/2005/8/layout/default"/>
    <dgm:cxn modelId="{2A50EAF1-5467-4BFB-B3A3-BF2FA163FA34}" srcId="{E5ACB2AF-D0E4-4B58-89DB-4521250B17A2}" destId="{C47A44F6-42D6-4633-893C-4DF808C29429}" srcOrd="4" destOrd="0" parTransId="{7B83264B-D3A7-4528-88A5-3364A7C1FCC2}" sibTransId="{927C6FB2-E655-4137-BCD0-8C7689E3F3EC}"/>
    <dgm:cxn modelId="{611EC6F8-9DCD-42C6-88BC-322D9C06F436}" srcId="{E5ACB2AF-D0E4-4B58-89DB-4521250B17A2}" destId="{4C91EFE9-DF38-4D02-B842-5F9E3B71FBA0}" srcOrd="11" destOrd="0" parTransId="{3289F6E9-0099-46E4-AC27-A922A42BCBA5}" sibTransId="{C7D67399-1DFD-40F9-B0D8-A7A3239F57DA}"/>
    <dgm:cxn modelId="{6939D2FA-1262-423F-8BE1-AEB137855E71}" type="presOf" srcId="{DF7BD7B3-CDA0-42F8-99DF-3A895BA9EDCD}" destId="{E989487D-8A28-40A4-A3BC-4535BC0EEB5B}" srcOrd="0" destOrd="0" presId="urn:microsoft.com/office/officeart/2005/8/layout/default"/>
    <dgm:cxn modelId="{9A6A7FFE-3D4F-4E54-B17F-AF91C22B6010}" srcId="{E5ACB2AF-D0E4-4B58-89DB-4521250B17A2}" destId="{DF7BD7B3-CDA0-42F8-99DF-3A895BA9EDCD}" srcOrd="3" destOrd="0" parTransId="{15F786B6-4701-4011-B894-99F1748AF10F}" sibTransId="{EB1CFEC7-6FFD-45CC-9308-2E2872D62960}"/>
    <dgm:cxn modelId="{00D4D486-DA50-4E4F-9BB3-977C9B522C02}" type="presParOf" srcId="{3FBED9A3-7B2B-4B7B-BD92-E6C8EFD911C4}" destId="{DAAC033E-8AB6-4918-AF65-F8254AEAF219}" srcOrd="0" destOrd="0" presId="urn:microsoft.com/office/officeart/2005/8/layout/default"/>
    <dgm:cxn modelId="{59A0F41E-EB5A-4A0E-A6C0-3E221754847A}" type="presParOf" srcId="{3FBED9A3-7B2B-4B7B-BD92-E6C8EFD911C4}" destId="{A1BB88FD-C248-4A7F-9362-D951E370D367}" srcOrd="1" destOrd="0" presId="urn:microsoft.com/office/officeart/2005/8/layout/default"/>
    <dgm:cxn modelId="{1811F86B-98AC-4C23-8773-280D37C89A6E}" type="presParOf" srcId="{3FBED9A3-7B2B-4B7B-BD92-E6C8EFD911C4}" destId="{FFC3A835-FB9B-49AF-B64B-904F1B65B66C}" srcOrd="2" destOrd="0" presId="urn:microsoft.com/office/officeart/2005/8/layout/default"/>
    <dgm:cxn modelId="{A7AE4162-7FD8-48FB-8B95-91F1B6982CB8}" type="presParOf" srcId="{3FBED9A3-7B2B-4B7B-BD92-E6C8EFD911C4}" destId="{D460B481-5D0D-47E9-BE1E-C32455972F04}" srcOrd="3" destOrd="0" presId="urn:microsoft.com/office/officeart/2005/8/layout/default"/>
    <dgm:cxn modelId="{1357DC52-3DF5-467D-995F-D1BAFCFFED54}" type="presParOf" srcId="{3FBED9A3-7B2B-4B7B-BD92-E6C8EFD911C4}" destId="{6F4515C5-7D5E-4668-8A1B-64E59496E56A}" srcOrd="4" destOrd="0" presId="urn:microsoft.com/office/officeart/2005/8/layout/default"/>
    <dgm:cxn modelId="{A5357B5A-DF86-47B5-9C21-5298AD00E4CB}" type="presParOf" srcId="{3FBED9A3-7B2B-4B7B-BD92-E6C8EFD911C4}" destId="{54C0B245-6802-4580-A2B8-139BDFB64CEF}" srcOrd="5" destOrd="0" presId="urn:microsoft.com/office/officeart/2005/8/layout/default"/>
    <dgm:cxn modelId="{212C5EBB-5ACD-4D8B-8B93-FA6D5262D72B}" type="presParOf" srcId="{3FBED9A3-7B2B-4B7B-BD92-E6C8EFD911C4}" destId="{E989487D-8A28-40A4-A3BC-4535BC0EEB5B}" srcOrd="6" destOrd="0" presId="urn:microsoft.com/office/officeart/2005/8/layout/default"/>
    <dgm:cxn modelId="{59276F75-1A15-447A-88DD-64011DC3AEDB}" type="presParOf" srcId="{3FBED9A3-7B2B-4B7B-BD92-E6C8EFD911C4}" destId="{EDF8C1DD-BCA7-4220-996C-62562CAB5BBD}" srcOrd="7" destOrd="0" presId="urn:microsoft.com/office/officeart/2005/8/layout/default"/>
    <dgm:cxn modelId="{ED03E256-3C8A-46F5-9D31-48191C16AFD6}" type="presParOf" srcId="{3FBED9A3-7B2B-4B7B-BD92-E6C8EFD911C4}" destId="{55CA3429-9F5E-4A0B-B620-0365C5315077}" srcOrd="8" destOrd="0" presId="urn:microsoft.com/office/officeart/2005/8/layout/default"/>
    <dgm:cxn modelId="{B441508E-A34D-476B-AF35-6B776C97F988}" type="presParOf" srcId="{3FBED9A3-7B2B-4B7B-BD92-E6C8EFD911C4}" destId="{00C018CE-1A93-4879-95E8-739D57D43085}" srcOrd="9" destOrd="0" presId="urn:microsoft.com/office/officeart/2005/8/layout/default"/>
    <dgm:cxn modelId="{1723D725-A9C9-4079-8DF4-BB4DB3A520C6}" type="presParOf" srcId="{3FBED9A3-7B2B-4B7B-BD92-E6C8EFD911C4}" destId="{6D755B03-F71C-4FB2-AFD8-70E43B564E1C}" srcOrd="10" destOrd="0" presId="urn:microsoft.com/office/officeart/2005/8/layout/default"/>
    <dgm:cxn modelId="{54964412-C4DB-46E6-872F-A4E8689B917E}" type="presParOf" srcId="{3FBED9A3-7B2B-4B7B-BD92-E6C8EFD911C4}" destId="{A5E5D873-C464-4F49-93DF-30F399D2A556}" srcOrd="11" destOrd="0" presId="urn:microsoft.com/office/officeart/2005/8/layout/default"/>
    <dgm:cxn modelId="{F1BAC1DC-0B6D-478D-B692-864465836AF7}" type="presParOf" srcId="{3FBED9A3-7B2B-4B7B-BD92-E6C8EFD911C4}" destId="{1C650288-F179-49BF-A181-CF508F362A3F}" srcOrd="12" destOrd="0" presId="urn:microsoft.com/office/officeart/2005/8/layout/default"/>
    <dgm:cxn modelId="{75D773DD-2B2D-49E0-BA94-61625BA9E719}" type="presParOf" srcId="{3FBED9A3-7B2B-4B7B-BD92-E6C8EFD911C4}" destId="{96A0EA35-90DB-413F-9A35-C0BC2098C659}" srcOrd="13" destOrd="0" presId="urn:microsoft.com/office/officeart/2005/8/layout/default"/>
    <dgm:cxn modelId="{71249BA2-6989-48A2-9526-815902268EDD}" type="presParOf" srcId="{3FBED9A3-7B2B-4B7B-BD92-E6C8EFD911C4}" destId="{54403193-2678-4A4B-89F3-68289DEF2200}" srcOrd="14" destOrd="0" presId="urn:microsoft.com/office/officeart/2005/8/layout/default"/>
    <dgm:cxn modelId="{1C3170CD-9520-4360-80A1-D22D60044A9A}" type="presParOf" srcId="{3FBED9A3-7B2B-4B7B-BD92-E6C8EFD911C4}" destId="{EF6048B1-3FC8-415C-8B8D-2E8D6998B470}" srcOrd="15" destOrd="0" presId="urn:microsoft.com/office/officeart/2005/8/layout/default"/>
    <dgm:cxn modelId="{F2DE7494-1DE1-45D9-A8EE-A60643283175}" type="presParOf" srcId="{3FBED9A3-7B2B-4B7B-BD92-E6C8EFD911C4}" destId="{3E768C7C-B78D-4D21-A99D-5989E3A3A3D2}" srcOrd="16" destOrd="0" presId="urn:microsoft.com/office/officeart/2005/8/layout/default"/>
    <dgm:cxn modelId="{3672348C-9B7E-45CB-B886-3CDD0F56F45D}" type="presParOf" srcId="{3FBED9A3-7B2B-4B7B-BD92-E6C8EFD911C4}" destId="{3C8A16F6-F6FC-4F16-9ABA-0D94A430354A}" srcOrd="17" destOrd="0" presId="urn:microsoft.com/office/officeart/2005/8/layout/default"/>
    <dgm:cxn modelId="{8B78D4A6-9E33-43FD-A24F-0E9F9F775897}" type="presParOf" srcId="{3FBED9A3-7B2B-4B7B-BD92-E6C8EFD911C4}" destId="{211D3FBF-57F4-40BD-9BBA-D2CB46BB6BBB}" srcOrd="18" destOrd="0" presId="urn:microsoft.com/office/officeart/2005/8/layout/default"/>
    <dgm:cxn modelId="{A4B43B1F-7F5D-442E-9A49-A3A51A192281}" type="presParOf" srcId="{3FBED9A3-7B2B-4B7B-BD92-E6C8EFD911C4}" destId="{E82CECC6-B778-41EA-83BF-93F4DBB3B4E8}" srcOrd="19" destOrd="0" presId="urn:microsoft.com/office/officeart/2005/8/layout/default"/>
    <dgm:cxn modelId="{773D0646-9FBA-4A7D-A5CD-66BDCF1F91EF}" type="presParOf" srcId="{3FBED9A3-7B2B-4B7B-BD92-E6C8EFD911C4}" destId="{FF46ADAF-2A30-42C4-B483-9A57DB382E79}" srcOrd="20" destOrd="0" presId="urn:microsoft.com/office/officeart/2005/8/layout/default"/>
    <dgm:cxn modelId="{EE66A861-6096-4BC7-A38E-E0F8AF5A612C}" type="presParOf" srcId="{3FBED9A3-7B2B-4B7B-BD92-E6C8EFD911C4}" destId="{0CC0E486-C0D3-4B3F-AC0A-379A75D0E8D2}" srcOrd="21" destOrd="0" presId="urn:microsoft.com/office/officeart/2005/8/layout/default"/>
    <dgm:cxn modelId="{513BDA52-D50B-4B23-A277-654758E6E948}" type="presParOf" srcId="{3FBED9A3-7B2B-4B7B-BD92-E6C8EFD911C4}" destId="{16BA17D9-D3EB-46F0-8AAC-049B7F8861B0}" srcOrd="22" destOrd="0" presId="urn:microsoft.com/office/officeart/2005/8/layout/default"/>
    <dgm:cxn modelId="{1ED6F52D-B38E-49BC-AB5B-AF5576EDBE38}" type="presParOf" srcId="{3FBED9A3-7B2B-4B7B-BD92-E6C8EFD911C4}" destId="{A62E75F3-CCF3-4476-B66C-208517459A99}" srcOrd="23" destOrd="0" presId="urn:microsoft.com/office/officeart/2005/8/layout/default"/>
    <dgm:cxn modelId="{40F0C891-00A8-442C-AB41-C4FA954DF945}" type="presParOf" srcId="{3FBED9A3-7B2B-4B7B-BD92-E6C8EFD911C4}" destId="{43EA5BA4-BA76-418A-B082-EC08FD965454}" srcOrd="24" destOrd="0" presId="urn:microsoft.com/office/officeart/2005/8/layout/default"/>
    <dgm:cxn modelId="{CE2F7E1D-51AD-43A5-A18D-AB07FD5817DD}" type="presParOf" srcId="{3FBED9A3-7B2B-4B7B-BD92-E6C8EFD911C4}" destId="{EF9288DA-2D58-4C08-A8FF-AF52EB977250}" srcOrd="25" destOrd="0" presId="urn:microsoft.com/office/officeart/2005/8/layout/default"/>
    <dgm:cxn modelId="{E41AD5FD-D8CA-4118-B13F-1D5E24495A58}" type="presParOf" srcId="{3FBED9A3-7B2B-4B7B-BD92-E6C8EFD911C4}" destId="{4A4A8353-7398-41FE-A4E0-C0754AA2176B}" srcOrd="26" destOrd="0" presId="urn:microsoft.com/office/officeart/2005/8/layout/default"/>
    <dgm:cxn modelId="{E5252D2A-5C97-45FA-AF4D-96CFBEADDAF1}" type="presParOf" srcId="{3FBED9A3-7B2B-4B7B-BD92-E6C8EFD911C4}" destId="{012FB82B-681F-4901-B293-05D51616B39E}" srcOrd="27" destOrd="0" presId="urn:microsoft.com/office/officeart/2005/8/layout/default"/>
    <dgm:cxn modelId="{0BCAE3A3-E03A-4EAB-ADC3-497A063B3C93}" type="presParOf" srcId="{3FBED9A3-7B2B-4B7B-BD92-E6C8EFD911C4}" destId="{378C8227-A759-429E-B498-CB7F8E308098}" srcOrd="28" destOrd="0" presId="urn:microsoft.com/office/officeart/2005/8/layout/default"/>
    <dgm:cxn modelId="{0BF6902F-67F3-4FD9-965C-37C15537D824}" type="presParOf" srcId="{3FBED9A3-7B2B-4B7B-BD92-E6C8EFD911C4}" destId="{BB6F84E1-F1C9-40AB-8ED4-69795C9B47F6}" srcOrd="29" destOrd="0" presId="urn:microsoft.com/office/officeart/2005/8/layout/default"/>
    <dgm:cxn modelId="{E3862B79-8E83-4C8A-A0A8-87BEEC3D46D2}" type="presParOf" srcId="{3FBED9A3-7B2B-4B7B-BD92-E6C8EFD911C4}" destId="{78804E0F-E4B5-4182-AD0B-5F3A1A786AEA}" srcOrd="30" destOrd="0" presId="urn:microsoft.com/office/officeart/2005/8/layout/default"/>
    <dgm:cxn modelId="{6ED67AF8-16D7-4EDD-B7C9-8A7A1A1EBC08}" type="presParOf" srcId="{3FBED9A3-7B2B-4B7B-BD92-E6C8EFD911C4}" destId="{9FE9DC57-3202-45F5-914F-85DE131D9F37}" srcOrd="31" destOrd="0" presId="urn:microsoft.com/office/officeart/2005/8/layout/default"/>
    <dgm:cxn modelId="{3441D242-BA15-4609-AA8C-99602E1C0EEF}" type="presParOf" srcId="{3FBED9A3-7B2B-4B7B-BD92-E6C8EFD911C4}" destId="{471D83B6-C6D1-4C24-8B51-A18F7A5AF4E3}" srcOrd="32" destOrd="0" presId="urn:microsoft.com/office/officeart/2005/8/layout/default"/>
    <dgm:cxn modelId="{8A4FF4C1-389D-4CF8-BA3C-B6BA3FEB48BD}" type="presParOf" srcId="{3FBED9A3-7B2B-4B7B-BD92-E6C8EFD911C4}" destId="{DBD0F81D-561B-4B72-AA11-878D3D469691}" srcOrd="33" destOrd="0" presId="urn:microsoft.com/office/officeart/2005/8/layout/default"/>
    <dgm:cxn modelId="{1DBB61A9-5DBE-4A25-A9AF-4E682049422F}" type="presParOf" srcId="{3FBED9A3-7B2B-4B7B-BD92-E6C8EFD911C4}" destId="{94DF0147-C323-4BBD-92C8-18F0862967E7}" srcOrd="34" destOrd="0" presId="urn:microsoft.com/office/officeart/2005/8/layout/default"/>
    <dgm:cxn modelId="{BDCE2D0C-0702-4100-BF9B-CFDF661E8A0F}" type="presParOf" srcId="{3FBED9A3-7B2B-4B7B-BD92-E6C8EFD911C4}" destId="{2F1CB5C6-C4E9-4629-AC42-74220E55095C}" srcOrd="35" destOrd="0" presId="urn:microsoft.com/office/officeart/2005/8/layout/default"/>
    <dgm:cxn modelId="{79B746D1-AC76-426C-B69F-428B2BB706A1}" type="presParOf" srcId="{3FBED9A3-7B2B-4B7B-BD92-E6C8EFD911C4}" destId="{ACB3EAFC-4525-4AEA-A533-8FEEA098C85C}" srcOrd="36" destOrd="0" presId="urn:microsoft.com/office/officeart/2005/8/layout/default"/>
    <dgm:cxn modelId="{2662AB19-B3DB-4A66-8463-8C90553BE2D5}" type="presParOf" srcId="{3FBED9A3-7B2B-4B7B-BD92-E6C8EFD911C4}" destId="{A0F74A97-A10D-4136-A85B-51A1B5D3FA37}" srcOrd="37" destOrd="0" presId="urn:microsoft.com/office/officeart/2005/8/layout/default"/>
    <dgm:cxn modelId="{035BA95F-EB2C-4F47-AC20-656499E1AD5B}" type="presParOf" srcId="{3FBED9A3-7B2B-4B7B-BD92-E6C8EFD911C4}" destId="{82CF00A7-B9B4-4FA9-9BA0-FCBC40834BCC}" srcOrd="38" destOrd="0" presId="urn:microsoft.com/office/officeart/2005/8/layout/default"/>
  </dgm:cxnLst>
  <dgm:bg/>
  <dgm:whole>
    <a:ln>
      <a:solidFill>
        <a:schemeClr val="tx1"/>
      </a:solidFill>
    </a:ln>
  </dgm:whole>
  <dgm:extLst>
    <a:ext uri="http://schemas.microsoft.com/office/drawing/2008/diagram">
      <dsp:dataModelExt xmlns:dsp="http://schemas.microsoft.com/office/drawing/2008/diagram" relId="rId12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51114075-2821-44CD-8C74-91CA62B3619B}"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uk-UA"/>
        </a:p>
      </dgm:t>
    </dgm:pt>
    <dgm:pt modelId="{97B39B02-6801-4E55-9C40-5DB2BAAAC004}">
      <dgm:prSet phldrT="[Текст]" custT="1"/>
      <dgm:spPr/>
      <dgm:t>
        <a:bodyPr/>
        <a:lstStyle/>
        <a:p>
          <a:r>
            <a:rPr lang="uk-UA" sz="1400">
              <a:latin typeface="Times New Roman" pitchFamily="18" charset="0"/>
              <a:cs typeface="Times New Roman" pitchFamily="18" charset="0"/>
            </a:rPr>
            <a:t>Тип контенту за цілями</a:t>
          </a:r>
        </a:p>
      </dgm:t>
    </dgm:pt>
    <dgm:pt modelId="{5CD59C04-10BE-4AD2-B4A9-36DD1FB71DF6}" type="parTrans" cxnId="{3EF3684A-8FC3-42DD-8C2D-7100C2E4271E}">
      <dgm:prSet/>
      <dgm:spPr/>
      <dgm:t>
        <a:bodyPr/>
        <a:lstStyle/>
        <a:p>
          <a:endParaRPr lang="uk-UA"/>
        </a:p>
      </dgm:t>
    </dgm:pt>
    <dgm:pt modelId="{215B9B4D-402C-4990-9CB0-2E6B8C1768E4}" type="sibTrans" cxnId="{3EF3684A-8FC3-42DD-8C2D-7100C2E4271E}">
      <dgm:prSet/>
      <dgm:spPr/>
      <dgm:t>
        <a:bodyPr/>
        <a:lstStyle/>
        <a:p>
          <a:endParaRPr lang="uk-UA"/>
        </a:p>
      </dgm:t>
    </dgm:pt>
    <dgm:pt modelId="{A4D15135-CB48-499E-A057-0AEAC1405B35}">
      <dgm:prSet phldrT="[Текст]" custT="1"/>
      <dgm:spPr/>
      <dgm:t>
        <a:bodyPr/>
        <a:lstStyle/>
        <a:p>
          <a:r>
            <a:rPr lang="uk-UA" sz="1400">
              <a:latin typeface="Times New Roman" pitchFamily="18" charset="0"/>
              <a:cs typeface="Times New Roman" pitchFamily="18" charset="0"/>
            </a:rPr>
            <a:t>Інформаційний</a:t>
          </a:r>
        </a:p>
      </dgm:t>
    </dgm:pt>
    <dgm:pt modelId="{D78F0823-5FDC-412B-BE6F-6E5CD70D8971}" type="parTrans" cxnId="{0ACDC417-9010-4337-87FE-11AEB6CB861E}">
      <dgm:prSet/>
      <dgm:spPr/>
      <dgm:t>
        <a:bodyPr/>
        <a:lstStyle/>
        <a:p>
          <a:endParaRPr lang="uk-UA"/>
        </a:p>
      </dgm:t>
    </dgm:pt>
    <dgm:pt modelId="{0C1623D4-42C8-49E0-A96D-C4A33C3F5F12}" type="sibTrans" cxnId="{0ACDC417-9010-4337-87FE-11AEB6CB861E}">
      <dgm:prSet/>
      <dgm:spPr/>
      <dgm:t>
        <a:bodyPr/>
        <a:lstStyle/>
        <a:p>
          <a:endParaRPr lang="uk-UA"/>
        </a:p>
      </dgm:t>
    </dgm:pt>
    <dgm:pt modelId="{00F8DE45-51E5-437A-952D-9055A21AF531}">
      <dgm:prSet phldrT="[Текст]" custT="1"/>
      <dgm:spPr/>
      <dgm:t>
        <a:bodyPr/>
        <a:lstStyle/>
        <a:p>
          <a:r>
            <a:rPr lang="uk-UA" sz="1400">
              <a:latin typeface="Times New Roman" pitchFamily="18" charset="0"/>
              <a:cs typeface="Times New Roman" pitchFamily="18" charset="0"/>
            </a:rPr>
            <a:t>Рекламний</a:t>
          </a:r>
        </a:p>
      </dgm:t>
    </dgm:pt>
    <dgm:pt modelId="{780FE356-265D-4D06-8062-2FC767DB370F}" type="parTrans" cxnId="{1E3F90B4-CB71-4D09-B4F0-103DDD61B870}">
      <dgm:prSet/>
      <dgm:spPr/>
      <dgm:t>
        <a:bodyPr/>
        <a:lstStyle/>
        <a:p>
          <a:endParaRPr lang="uk-UA"/>
        </a:p>
      </dgm:t>
    </dgm:pt>
    <dgm:pt modelId="{9923A745-E918-427F-83C3-4AC7D32F4642}" type="sibTrans" cxnId="{1E3F90B4-CB71-4D09-B4F0-103DDD61B870}">
      <dgm:prSet/>
      <dgm:spPr/>
      <dgm:t>
        <a:bodyPr/>
        <a:lstStyle/>
        <a:p>
          <a:endParaRPr lang="uk-UA"/>
        </a:p>
      </dgm:t>
    </dgm:pt>
    <dgm:pt modelId="{B7B35B18-0D8E-476C-A7EF-F1BDE48386D0}">
      <dgm:prSet custT="1"/>
      <dgm:spPr/>
      <dgm:t>
        <a:bodyPr/>
        <a:lstStyle/>
        <a:p>
          <a:r>
            <a:rPr lang="uk-UA" sz="1400">
              <a:latin typeface="Times New Roman" pitchFamily="18" charset="0"/>
              <a:cs typeface="Times New Roman" pitchFamily="18" charset="0"/>
            </a:rPr>
            <a:t>Репутаційний </a:t>
          </a:r>
        </a:p>
      </dgm:t>
    </dgm:pt>
    <dgm:pt modelId="{DA697B37-89C5-49FE-B3F0-1E6C82966E3B}" type="parTrans" cxnId="{5D7B7F3D-C1BA-4492-AF00-4FD92E5F24BE}">
      <dgm:prSet/>
      <dgm:spPr/>
      <dgm:t>
        <a:bodyPr/>
        <a:lstStyle/>
        <a:p>
          <a:endParaRPr lang="uk-UA"/>
        </a:p>
      </dgm:t>
    </dgm:pt>
    <dgm:pt modelId="{3D756437-6920-466A-99E8-F169CE6CE299}" type="sibTrans" cxnId="{5D7B7F3D-C1BA-4492-AF00-4FD92E5F24BE}">
      <dgm:prSet/>
      <dgm:spPr/>
      <dgm:t>
        <a:bodyPr/>
        <a:lstStyle/>
        <a:p>
          <a:endParaRPr lang="uk-UA"/>
        </a:p>
      </dgm:t>
    </dgm:pt>
    <dgm:pt modelId="{3EB029DB-12A9-4B25-961A-AF94640F125B}">
      <dgm:prSet custT="1"/>
      <dgm:spPr/>
      <dgm:t>
        <a:bodyPr/>
        <a:lstStyle/>
        <a:p>
          <a:r>
            <a:rPr lang="uk-UA" sz="1400">
              <a:latin typeface="Times New Roman" pitchFamily="18" charset="0"/>
              <a:cs typeface="Times New Roman" pitchFamily="18" charset="0"/>
            </a:rPr>
            <a:t>Залучаючий (інтерактивний) </a:t>
          </a:r>
        </a:p>
      </dgm:t>
    </dgm:pt>
    <dgm:pt modelId="{DCFC72D3-4022-4737-9108-13979A1DE8AD}" type="parTrans" cxnId="{B42CC625-4D50-4E0F-B7A8-4FB41FA64A79}">
      <dgm:prSet/>
      <dgm:spPr/>
      <dgm:t>
        <a:bodyPr/>
        <a:lstStyle/>
        <a:p>
          <a:endParaRPr lang="uk-UA"/>
        </a:p>
      </dgm:t>
    </dgm:pt>
    <dgm:pt modelId="{ADED28BE-97C4-422D-A0E5-FBDDCB37077A}" type="sibTrans" cxnId="{B42CC625-4D50-4E0F-B7A8-4FB41FA64A79}">
      <dgm:prSet/>
      <dgm:spPr/>
      <dgm:t>
        <a:bodyPr/>
        <a:lstStyle/>
        <a:p>
          <a:endParaRPr lang="uk-UA"/>
        </a:p>
      </dgm:t>
    </dgm:pt>
    <dgm:pt modelId="{F08D9C52-FFFC-4300-86B6-581221545FA1}">
      <dgm:prSet custT="1"/>
      <dgm:spPr/>
      <dgm:t>
        <a:bodyPr/>
        <a:lstStyle/>
        <a:p>
          <a:r>
            <a:rPr lang="uk-UA" sz="1400">
              <a:latin typeface="Times New Roman" pitchFamily="18" charset="0"/>
              <a:cs typeface="Times New Roman" pitchFamily="18" charset="0"/>
            </a:rPr>
            <a:t>Розважальний </a:t>
          </a:r>
        </a:p>
      </dgm:t>
    </dgm:pt>
    <dgm:pt modelId="{73500203-7667-48A0-B755-BB14991ABE12}" type="parTrans" cxnId="{3369B5B1-0C01-40AB-B8D1-2B14A2ADBC3B}">
      <dgm:prSet/>
      <dgm:spPr/>
      <dgm:t>
        <a:bodyPr/>
        <a:lstStyle/>
        <a:p>
          <a:endParaRPr lang="uk-UA"/>
        </a:p>
      </dgm:t>
    </dgm:pt>
    <dgm:pt modelId="{ECECD20C-2469-42A3-8859-0ED8E5B63D21}" type="sibTrans" cxnId="{3369B5B1-0C01-40AB-B8D1-2B14A2ADBC3B}">
      <dgm:prSet/>
      <dgm:spPr/>
      <dgm:t>
        <a:bodyPr/>
        <a:lstStyle/>
        <a:p>
          <a:endParaRPr lang="uk-UA"/>
        </a:p>
      </dgm:t>
    </dgm:pt>
    <dgm:pt modelId="{34D3808F-DB0E-46B8-B5F6-3159F57D3E4F}">
      <dgm:prSet custT="1"/>
      <dgm:spPr/>
      <dgm:t>
        <a:bodyPr/>
        <a:lstStyle/>
        <a:p>
          <a:r>
            <a:rPr lang="uk-UA" sz="1400">
              <a:latin typeface="Times New Roman" pitchFamily="18" charset="0"/>
              <a:cs typeface="Times New Roman" pitchFamily="18" charset="0"/>
            </a:rPr>
            <a:t>Вірусний </a:t>
          </a:r>
        </a:p>
      </dgm:t>
    </dgm:pt>
    <dgm:pt modelId="{59C9BC5A-5CF0-4045-8087-225DD6C0A7E3}" type="parTrans" cxnId="{0391ED59-8D14-41BA-A0FD-78C2D411DD64}">
      <dgm:prSet/>
      <dgm:spPr/>
      <dgm:t>
        <a:bodyPr/>
        <a:lstStyle/>
        <a:p>
          <a:endParaRPr lang="uk-UA"/>
        </a:p>
      </dgm:t>
    </dgm:pt>
    <dgm:pt modelId="{BB5920C1-244C-4082-8194-50A7E41FA231}" type="sibTrans" cxnId="{0391ED59-8D14-41BA-A0FD-78C2D411DD64}">
      <dgm:prSet/>
      <dgm:spPr/>
      <dgm:t>
        <a:bodyPr/>
        <a:lstStyle/>
        <a:p>
          <a:endParaRPr lang="uk-UA"/>
        </a:p>
      </dgm:t>
    </dgm:pt>
    <dgm:pt modelId="{189B836C-15EC-4AB7-9106-0F0887B98284}">
      <dgm:prSet custT="1"/>
      <dgm:spPr/>
      <dgm:t>
        <a:bodyPr/>
        <a:lstStyle/>
        <a:p>
          <a:r>
            <a:rPr lang="uk-UA" sz="1400">
              <a:latin typeface="Times New Roman" pitchFamily="18" charset="0"/>
              <a:cs typeface="Times New Roman" pitchFamily="18" charset="0"/>
            </a:rPr>
            <a:t>Навчальний </a:t>
          </a:r>
        </a:p>
      </dgm:t>
    </dgm:pt>
    <dgm:pt modelId="{A27E8F5C-DDA6-4CDB-AFAC-BC4408CB9AAD}" type="parTrans" cxnId="{58648739-5B56-4C1C-9DEA-82E1BD856D0B}">
      <dgm:prSet/>
      <dgm:spPr/>
      <dgm:t>
        <a:bodyPr/>
        <a:lstStyle/>
        <a:p>
          <a:endParaRPr lang="uk-UA"/>
        </a:p>
      </dgm:t>
    </dgm:pt>
    <dgm:pt modelId="{0CEFD69C-CEC5-4CF1-A744-976C26C21FED}" type="sibTrans" cxnId="{58648739-5B56-4C1C-9DEA-82E1BD856D0B}">
      <dgm:prSet/>
      <dgm:spPr/>
      <dgm:t>
        <a:bodyPr/>
        <a:lstStyle/>
        <a:p>
          <a:endParaRPr lang="uk-UA"/>
        </a:p>
      </dgm:t>
    </dgm:pt>
    <dgm:pt modelId="{9B3DE7BE-D1A1-4777-A213-FEA575380E51}">
      <dgm:prSet custT="1"/>
      <dgm:spPr/>
      <dgm:t>
        <a:bodyPr/>
        <a:lstStyle/>
        <a:p>
          <a:r>
            <a:rPr lang="uk-UA" sz="1400">
              <a:latin typeface="Times New Roman" pitchFamily="18" charset="0"/>
              <a:cs typeface="Times New Roman" pitchFamily="18" charset="0"/>
            </a:rPr>
            <a:t>Контент користувачів</a:t>
          </a:r>
        </a:p>
      </dgm:t>
    </dgm:pt>
    <dgm:pt modelId="{6BA49594-7037-4125-92EF-2F639C702BC3}" type="parTrans" cxnId="{F0370159-984D-4239-951C-CEFBEE43D8B6}">
      <dgm:prSet/>
      <dgm:spPr/>
      <dgm:t>
        <a:bodyPr/>
        <a:lstStyle/>
        <a:p>
          <a:endParaRPr lang="uk-UA"/>
        </a:p>
      </dgm:t>
    </dgm:pt>
    <dgm:pt modelId="{594DB8B3-A856-4F60-99DD-7B6A81825F29}" type="sibTrans" cxnId="{F0370159-984D-4239-951C-CEFBEE43D8B6}">
      <dgm:prSet/>
      <dgm:spPr/>
      <dgm:t>
        <a:bodyPr/>
        <a:lstStyle/>
        <a:p>
          <a:endParaRPr lang="uk-UA"/>
        </a:p>
      </dgm:t>
    </dgm:pt>
    <dgm:pt modelId="{A738FB29-3390-404F-8862-3D54890E8678}">
      <dgm:prSet custT="1"/>
      <dgm:spPr/>
      <dgm:t>
        <a:bodyPr/>
        <a:lstStyle/>
        <a:p>
          <a:r>
            <a:rPr lang="uk-UA" sz="1400">
              <a:latin typeface="Times New Roman" pitchFamily="18" charset="0"/>
              <a:cs typeface="Times New Roman" pitchFamily="18" charset="0"/>
            </a:rPr>
            <a:t>Експертний</a:t>
          </a:r>
        </a:p>
      </dgm:t>
    </dgm:pt>
    <dgm:pt modelId="{09CDBBFF-BB99-416A-8CA0-720863FE432A}" type="parTrans" cxnId="{C201F0FD-BCF9-4D78-BDA0-A25352E266C4}">
      <dgm:prSet/>
      <dgm:spPr/>
      <dgm:t>
        <a:bodyPr/>
        <a:lstStyle/>
        <a:p>
          <a:endParaRPr lang="uk-UA"/>
        </a:p>
      </dgm:t>
    </dgm:pt>
    <dgm:pt modelId="{483A1FDF-F633-411C-BF34-135312214987}" type="sibTrans" cxnId="{C201F0FD-BCF9-4D78-BDA0-A25352E266C4}">
      <dgm:prSet/>
      <dgm:spPr/>
      <dgm:t>
        <a:bodyPr/>
        <a:lstStyle/>
        <a:p>
          <a:endParaRPr lang="uk-UA"/>
        </a:p>
      </dgm:t>
    </dgm:pt>
    <dgm:pt modelId="{D07BDF81-C989-4136-BFA6-12BA2C70DD6B}">
      <dgm:prSet custT="1"/>
      <dgm:spPr/>
      <dgm:t>
        <a:bodyPr/>
        <a:lstStyle/>
        <a:p>
          <a:r>
            <a:rPr lang="uk-UA" sz="1400">
              <a:latin typeface="Times New Roman" pitchFamily="18" charset="0"/>
              <a:cs typeface="Times New Roman" pitchFamily="18" charset="0"/>
            </a:rPr>
            <a:t>Сервісний</a:t>
          </a:r>
        </a:p>
      </dgm:t>
    </dgm:pt>
    <dgm:pt modelId="{4A202161-E1F1-472C-A8DD-0F15DAEE3BD6}" type="parTrans" cxnId="{C1CC609F-F351-451F-842F-19602D80F24B}">
      <dgm:prSet/>
      <dgm:spPr/>
      <dgm:t>
        <a:bodyPr/>
        <a:lstStyle/>
        <a:p>
          <a:endParaRPr lang="uk-UA"/>
        </a:p>
      </dgm:t>
    </dgm:pt>
    <dgm:pt modelId="{283BC592-FA7F-4D2B-A8E8-4EA7059CD0A6}" type="sibTrans" cxnId="{C1CC609F-F351-451F-842F-19602D80F24B}">
      <dgm:prSet/>
      <dgm:spPr/>
      <dgm:t>
        <a:bodyPr/>
        <a:lstStyle/>
        <a:p>
          <a:endParaRPr lang="uk-UA"/>
        </a:p>
      </dgm:t>
    </dgm:pt>
    <dgm:pt modelId="{6882EB5A-7B3C-4FDD-9379-3C38C42A7834}" type="pres">
      <dgm:prSet presAssocID="{51114075-2821-44CD-8C74-91CA62B3619B}" presName="Name0" presStyleCnt="0">
        <dgm:presLayoutVars>
          <dgm:chPref val="1"/>
          <dgm:dir/>
          <dgm:animOne val="branch"/>
          <dgm:animLvl val="lvl"/>
          <dgm:resizeHandles val="exact"/>
        </dgm:presLayoutVars>
      </dgm:prSet>
      <dgm:spPr/>
    </dgm:pt>
    <dgm:pt modelId="{1E8F0E6E-AF5A-4B41-A9E6-DDD81E270089}" type="pres">
      <dgm:prSet presAssocID="{97B39B02-6801-4E55-9C40-5DB2BAAAC004}" presName="root1" presStyleCnt="0"/>
      <dgm:spPr/>
    </dgm:pt>
    <dgm:pt modelId="{03B4360A-CA12-430C-AF5E-D13B0A90E68E}" type="pres">
      <dgm:prSet presAssocID="{97B39B02-6801-4E55-9C40-5DB2BAAAC004}" presName="LevelOneTextNode" presStyleLbl="node0" presStyleIdx="0" presStyleCnt="1">
        <dgm:presLayoutVars>
          <dgm:chPref val="3"/>
        </dgm:presLayoutVars>
      </dgm:prSet>
      <dgm:spPr/>
    </dgm:pt>
    <dgm:pt modelId="{3EA37F50-DE62-41AC-BD42-8E5A91A1328F}" type="pres">
      <dgm:prSet presAssocID="{97B39B02-6801-4E55-9C40-5DB2BAAAC004}" presName="level2hierChild" presStyleCnt="0"/>
      <dgm:spPr/>
    </dgm:pt>
    <dgm:pt modelId="{673F4129-5CD1-4863-9694-6654D2710901}" type="pres">
      <dgm:prSet presAssocID="{D78F0823-5FDC-412B-BE6F-6E5CD70D8971}" presName="conn2-1" presStyleLbl="parChTrans1D2" presStyleIdx="0" presStyleCnt="10"/>
      <dgm:spPr/>
    </dgm:pt>
    <dgm:pt modelId="{4F798FC1-7424-4122-A105-B74C7F768891}" type="pres">
      <dgm:prSet presAssocID="{D78F0823-5FDC-412B-BE6F-6E5CD70D8971}" presName="connTx" presStyleLbl="parChTrans1D2" presStyleIdx="0" presStyleCnt="10"/>
      <dgm:spPr/>
    </dgm:pt>
    <dgm:pt modelId="{C1FF758A-F28E-4418-97AE-E7747372473F}" type="pres">
      <dgm:prSet presAssocID="{A4D15135-CB48-499E-A057-0AEAC1405B35}" presName="root2" presStyleCnt="0"/>
      <dgm:spPr/>
    </dgm:pt>
    <dgm:pt modelId="{AC0A62B1-48A2-4820-A729-F9F9F6C72E7B}" type="pres">
      <dgm:prSet presAssocID="{A4D15135-CB48-499E-A057-0AEAC1405B35}" presName="LevelTwoTextNode" presStyleLbl="node2" presStyleIdx="0" presStyleCnt="10">
        <dgm:presLayoutVars>
          <dgm:chPref val="3"/>
        </dgm:presLayoutVars>
      </dgm:prSet>
      <dgm:spPr/>
    </dgm:pt>
    <dgm:pt modelId="{FD67E2F7-1A1A-4F4A-9743-11A917802408}" type="pres">
      <dgm:prSet presAssocID="{A4D15135-CB48-499E-A057-0AEAC1405B35}" presName="level3hierChild" presStyleCnt="0"/>
      <dgm:spPr/>
    </dgm:pt>
    <dgm:pt modelId="{2C742929-8130-4807-9F38-62C5A2FD66CB}" type="pres">
      <dgm:prSet presAssocID="{780FE356-265D-4D06-8062-2FC767DB370F}" presName="conn2-1" presStyleLbl="parChTrans1D2" presStyleIdx="1" presStyleCnt="10"/>
      <dgm:spPr/>
    </dgm:pt>
    <dgm:pt modelId="{728746A8-C529-4AEB-8240-0CC3D286891D}" type="pres">
      <dgm:prSet presAssocID="{780FE356-265D-4D06-8062-2FC767DB370F}" presName="connTx" presStyleLbl="parChTrans1D2" presStyleIdx="1" presStyleCnt="10"/>
      <dgm:spPr/>
    </dgm:pt>
    <dgm:pt modelId="{9E357C25-FCF7-4FDC-93EC-DC19E4F8E979}" type="pres">
      <dgm:prSet presAssocID="{00F8DE45-51E5-437A-952D-9055A21AF531}" presName="root2" presStyleCnt="0"/>
      <dgm:spPr/>
    </dgm:pt>
    <dgm:pt modelId="{D6D86647-DC77-4D37-9285-6FA197682DED}" type="pres">
      <dgm:prSet presAssocID="{00F8DE45-51E5-437A-952D-9055A21AF531}" presName="LevelTwoTextNode" presStyleLbl="node2" presStyleIdx="1" presStyleCnt="10">
        <dgm:presLayoutVars>
          <dgm:chPref val="3"/>
        </dgm:presLayoutVars>
      </dgm:prSet>
      <dgm:spPr/>
    </dgm:pt>
    <dgm:pt modelId="{8683EE29-B453-4256-B2A8-6C913F4D07EB}" type="pres">
      <dgm:prSet presAssocID="{00F8DE45-51E5-437A-952D-9055A21AF531}" presName="level3hierChild" presStyleCnt="0"/>
      <dgm:spPr/>
    </dgm:pt>
    <dgm:pt modelId="{D883395B-13E2-4522-BBD6-8015D56BE080}" type="pres">
      <dgm:prSet presAssocID="{DA697B37-89C5-49FE-B3F0-1E6C82966E3B}" presName="conn2-1" presStyleLbl="parChTrans1D2" presStyleIdx="2" presStyleCnt="10"/>
      <dgm:spPr/>
    </dgm:pt>
    <dgm:pt modelId="{D03D68BD-9FF1-4871-88F6-0722D2353605}" type="pres">
      <dgm:prSet presAssocID="{DA697B37-89C5-49FE-B3F0-1E6C82966E3B}" presName="connTx" presStyleLbl="parChTrans1D2" presStyleIdx="2" presStyleCnt="10"/>
      <dgm:spPr/>
    </dgm:pt>
    <dgm:pt modelId="{2E0F6574-B774-4772-AAE2-88CDB43A30DC}" type="pres">
      <dgm:prSet presAssocID="{B7B35B18-0D8E-476C-A7EF-F1BDE48386D0}" presName="root2" presStyleCnt="0"/>
      <dgm:spPr/>
    </dgm:pt>
    <dgm:pt modelId="{B952978C-86C5-47C4-A035-82A4AA8558AC}" type="pres">
      <dgm:prSet presAssocID="{B7B35B18-0D8E-476C-A7EF-F1BDE48386D0}" presName="LevelTwoTextNode" presStyleLbl="node2" presStyleIdx="2" presStyleCnt="10">
        <dgm:presLayoutVars>
          <dgm:chPref val="3"/>
        </dgm:presLayoutVars>
      </dgm:prSet>
      <dgm:spPr/>
    </dgm:pt>
    <dgm:pt modelId="{6A039E76-4415-4B68-A1E5-E40313DC8A4E}" type="pres">
      <dgm:prSet presAssocID="{B7B35B18-0D8E-476C-A7EF-F1BDE48386D0}" presName="level3hierChild" presStyleCnt="0"/>
      <dgm:spPr/>
    </dgm:pt>
    <dgm:pt modelId="{32E0CF18-F6FF-47BA-B82D-C5B3128214A3}" type="pres">
      <dgm:prSet presAssocID="{DCFC72D3-4022-4737-9108-13979A1DE8AD}" presName="conn2-1" presStyleLbl="parChTrans1D2" presStyleIdx="3" presStyleCnt="10"/>
      <dgm:spPr/>
    </dgm:pt>
    <dgm:pt modelId="{F99606B4-C0B4-4481-A3EE-504EA2831CEC}" type="pres">
      <dgm:prSet presAssocID="{DCFC72D3-4022-4737-9108-13979A1DE8AD}" presName="connTx" presStyleLbl="parChTrans1D2" presStyleIdx="3" presStyleCnt="10"/>
      <dgm:spPr/>
    </dgm:pt>
    <dgm:pt modelId="{FBA3860E-9219-4CAD-B627-EB590217DABC}" type="pres">
      <dgm:prSet presAssocID="{3EB029DB-12A9-4B25-961A-AF94640F125B}" presName="root2" presStyleCnt="0"/>
      <dgm:spPr/>
    </dgm:pt>
    <dgm:pt modelId="{5AD0C728-4D23-4C3B-86B1-83A0DB0B05D5}" type="pres">
      <dgm:prSet presAssocID="{3EB029DB-12A9-4B25-961A-AF94640F125B}" presName="LevelTwoTextNode" presStyleLbl="node2" presStyleIdx="3" presStyleCnt="10">
        <dgm:presLayoutVars>
          <dgm:chPref val="3"/>
        </dgm:presLayoutVars>
      </dgm:prSet>
      <dgm:spPr/>
    </dgm:pt>
    <dgm:pt modelId="{34682315-2AFD-4B21-AEE1-D3065A8132EF}" type="pres">
      <dgm:prSet presAssocID="{3EB029DB-12A9-4B25-961A-AF94640F125B}" presName="level3hierChild" presStyleCnt="0"/>
      <dgm:spPr/>
    </dgm:pt>
    <dgm:pt modelId="{6266AE03-E3C9-4B93-9F94-764635BA1D3B}" type="pres">
      <dgm:prSet presAssocID="{73500203-7667-48A0-B755-BB14991ABE12}" presName="conn2-1" presStyleLbl="parChTrans1D2" presStyleIdx="4" presStyleCnt="10"/>
      <dgm:spPr/>
    </dgm:pt>
    <dgm:pt modelId="{96AE984E-4C9C-41EC-80A2-384874B0C2B9}" type="pres">
      <dgm:prSet presAssocID="{73500203-7667-48A0-B755-BB14991ABE12}" presName="connTx" presStyleLbl="parChTrans1D2" presStyleIdx="4" presStyleCnt="10"/>
      <dgm:spPr/>
    </dgm:pt>
    <dgm:pt modelId="{469A25A5-0038-4A7D-8CA3-2533AC771D04}" type="pres">
      <dgm:prSet presAssocID="{F08D9C52-FFFC-4300-86B6-581221545FA1}" presName="root2" presStyleCnt="0"/>
      <dgm:spPr/>
    </dgm:pt>
    <dgm:pt modelId="{3E77D464-5336-47CD-B39D-5F9649AEB89A}" type="pres">
      <dgm:prSet presAssocID="{F08D9C52-FFFC-4300-86B6-581221545FA1}" presName="LevelTwoTextNode" presStyleLbl="node2" presStyleIdx="4" presStyleCnt="10">
        <dgm:presLayoutVars>
          <dgm:chPref val="3"/>
        </dgm:presLayoutVars>
      </dgm:prSet>
      <dgm:spPr/>
    </dgm:pt>
    <dgm:pt modelId="{CFDCA54B-C55D-4581-981F-1027BB49BE04}" type="pres">
      <dgm:prSet presAssocID="{F08D9C52-FFFC-4300-86B6-581221545FA1}" presName="level3hierChild" presStyleCnt="0"/>
      <dgm:spPr/>
    </dgm:pt>
    <dgm:pt modelId="{75E87E08-7D0B-441D-9992-57E41AA347BB}" type="pres">
      <dgm:prSet presAssocID="{59C9BC5A-5CF0-4045-8087-225DD6C0A7E3}" presName="conn2-1" presStyleLbl="parChTrans1D2" presStyleIdx="5" presStyleCnt="10"/>
      <dgm:spPr/>
    </dgm:pt>
    <dgm:pt modelId="{E05CD408-72BC-4EEC-BA7C-185E4414FB74}" type="pres">
      <dgm:prSet presAssocID="{59C9BC5A-5CF0-4045-8087-225DD6C0A7E3}" presName="connTx" presStyleLbl="parChTrans1D2" presStyleIdx="5" presStyleCnt="10"/>
      <dgm:spPr/>
    </dgm:pt>
    <dgm:pt modelId="{9D9E1E41-4ABB-410F-8D85-73A342D91C89}" type="pres">
      <dgm:prSet presAssocID="{34D3808F-DB0E-46B8-B5F6-3159F57D3E4F}" presName="root2" presStyleCnt="0"/>
      <dgm:spPr/>
    </dgm:pt>
    <dgm:pt modelId="{5C4F5628-9399-4455-8F55-EC39FF55E543}" type="pres">
      <dgm:prSet presAssocID="{34D3808F-DB0E-46B8-B5F6-3159F57D3E4F}" presName="LevelTwoTextNode" presStyleLbl="node2" presStyleIdx="5" presStyleCnt="10">
        <dgm:presLayoutVars>
          <dgm:chPref val="3"/>
        </dgm:presLayoutVars>
      </dgm:prSet>
      <dgm:spPr/>
    </dgm:pt>
    <dgm:pt modelId="{A2B0C7C4-759A-4303-8961-A25A2B418D83}" type="pres">
      <dgm:prSet presAssocID="{34D3808F-DB0E-46B8-B5F6-3159F57D3E4F}" presName="level3hierChild" presStyleCnt="0"/>
      <dgm:spPr/>
    </dgm:pt>
    <dgm:pt modelId="{342CC4C4-AF60-4DF5-BDB1-B9AC86F4A98D}" type="pres">
      <dgm:prSet presAssocID="{A27E8F5C-DDA6-4CDB-AFAC-BC4408CB9AAD}" presName="conn2-1" presStyleLbl="parChTrans1D2" presStyleIdx="6" presStyleCnt="10"/>
      <dgm:spPr/>
    </dgm:pt>
    <dgm:pt modelId="{C5BCF1B7-2982-4605-BE75-4E52CA9A3FC6}" type="pres">
      <dgm:prSet presAssocID="{A27E8F5C-DDA6-4CDB-AFAC-BC4408CB9AAD}" presName="connTx" presStyleLbl="parChTrans1D2" presStyleIdx="6" presStyleCnt="10"/>
      <dgm:spPr/>
    </dgm:pt>
    <dgm:pt modelId="{06645BCF-4F36-4F56-AB1F-BB19FFDCE403}" type="pres">
      <dgm:prSet presAssocID="{189B836C-15EC-4AB7-9106-0F0887B98284}" presName="root2" presStyleCnt="0"/>
      <dgm:spPr/>
    </dgm:pt>
    <dgm:pt modelId="{648E8F44-4E8B-4C44-AF47-FDEF99632FA1}" type="pres">
      <dgm:prSet presAssocID="{189B836C-15EC-4AB7-9106-0F0887B98284}" presName="LevelTwoTextNode" presStyleLbl="node2" presStyleIdx="6" presStyleCnt="10">
        <dgm:presLayoutVars>
          <dgm:chPref val="3"/>
        </dgm:presLayoutVars>
      </dgm:prSet>
      <dgm:spPr/>
    </dgm:pt>
    <dgm:pt modelId="{C3BB53D0-3F0B-4C20-8CD4-717AA776C537}" type="pres">
      <dgm:prSet presAssocID="{189B836C-15EC-4AB7-9106-0F0887B98284}" presName="level3hierChild" presStyleCnt="0"/>
      <dgm:spPr/>
    </dgm:pt>
    <dgm:pt modelId="{62EAEA40-0B5A-4CA5-BDB5-36C0E9D410B3}" type="pres">
      <dgm:prSet presAssocID="{6BA49594-7037-4125-92EF-2F639C702BC3}" presName="conn2-1" presStyleLbl="parChTrans1D2" presStyleIdx="7" presStyleCnt="10"/>
      <dgm:spPr/>
    </dgm:pt>
    <dgm:pt modelId="{DE032C25-4139-4294-8FB5-8DA3535A7709}" type="pres">
      <dgm:prSet presAssocID="{6BA49594-7037-4125-92EF-2F639C702BC3}" presName="connTx" presStyleLbl="parChTrans1D2" presStyleIdx="7" presStyleCnt="10"/>
      <dgm:spPr/>
    </dgm:pt>
    <dgm:pt modelId="{E68A8E21-8DDB-4991-9537-A1B4A4FB7D24}" type="pres">
      <dgm:prSet presAssocID="{9B3DE7BE-D1A1-4777-A213-FEA575380E51}" presName="root2" presStyleCnt="0"/>
      <dgm:spPr/>
    </dgm:pt>
    <dgm:pt modelId="{388D9CE7-C671-42E2-BA7C-A3650E299443}" type="pres">
      <dgm:prSet presAssocID="{9B3DE7BE-D1A1-4777-A213-FEA575380E51}" presName="LevelTwoTextNode" presStyleLbl="node2" presStyleIdx="7" presStyleCnt="10">
        <dgm:presLayoutVars>
          <dgm:chPref val="3"/>
        </dgm:presLayoutVars>
      </dgm:prSet>
      <dgm:spPr/>
    </dgm:pt>
    <dgm:pt modelId="{60050B86-71ED-48A9-987F-297D54A1AE36}" type="pres">
      <dgm:prSet presAssocID="{9B3DE7BE-D1A1-4777-A213-FEA575380E51}" presName="level3hierChild" presStyleCnt="0"/>
      <dgm:spPr/>
    </dgm:pt>
    <dgm:pt modelId="{0BE17CED-11A9-4432-B896-9E91A9C018D9}" type="pres">
      <dgm:prSet presAssocID="{09CDBBFF-BB99-416A-8CA0-720863FE432A}" presName="conn2-1" presStyleLbl="parChTrans1D2" presStyleIdx="8" presStyleCnt="10"/>
      <dgm:spPr/>
    </dgm:pt>
    <dgm:pt modelId="{DEDC3825-79E0-4E9F-86BD-A88B17A2C07A}" type="pres">
      <dgm:prSet presAssocID="{09CDBBFF-BB99-416A-8CA0-720863FE432A}" presName="connTx" presStyleLbl="parChTrans1D2" presStyleIdx="8" presStyleCnt="10"/>
      <dgm:spPr/>
    </dgm:pt>
    <dgm:pt modelId="{2B25F7D1-5086-4628-9126-191944B82B96}" type="pres">
      <dgm:prSet presAssocID="{A738FB29-3390-404F-8862-3D54890E8678}" presName="root2" presStyleCnt="0"/>
      <dgm:spPr/>
    </dgm:pt>
    <dgm:pt modelId="{DE94F4D5-3ABF-4A51-99EE-090D5A37D18C}" type="pres">
      <dgm:prSet presAssocID="{A738FB29-3390-404F-8862-3D54890E8678}" presName="LevelTwoTextNode" presStyleLbl="node2" presStyleIdx="8" presStyleCnt="10">
        <dgm:presLayoutVars>
          <dgm:chPref val="3"/>
        </dgm:presLayoutVars>
      </dgm:prSet>
      <dgm:spPr/>
    </dgm:pt>
    <dgm:pt modelId="{F79A1C84-8684-415F-865B-319DFE13A52B}" type="pres">
      <dgm:prSet presAssocID="{A738FB29-3390-404F-8862-3D54890E8678}" presName="level3hierChild" presStyleCnt="0"/>
      <dgm:spPr/>
    </dgm:pt>
    <dgm:pt modelId="{F1239933-338F-4DE7-8C10-66A56E136F32}" type="pres">
      <dgm:prSet presAssocID="{4A202161-E1F1-472C-A8DD-0F15DAEE3BD6}" presName="conn2-1" presStyleLbl="parChTrans1D2" presStyleIdx="9" presStyleCnt="10"/>
      <dgm:spPr/>
    </dgm:pt>
    <dgm:pt modelId="{38C122E1-97C6-4F25-A767-1916D37E3A77}" type="pres">
      <dgm:prSet presAssocID="{4A202161-E1F1-472C-A8DD-0F15DAEE3BD6}" presName="connTx" presStyleLbl="parChTrans1D2" presStyleIdx="9" presStyleCnt="10"/>
      <dgm:spPr/>
    </dgm:pt>
    <dgm:pt modelId="{19D6D945-F13C-4B2F-9FB3-7995FCB98B86}" type="pres">
      <dgm:prSet presAssocID="{D07BDF81-C989-4136-BFA6-12BA2C70DD6B}" presName="root2" presStyleCnt="0"/>
      <dgm:spPr/>
    </dgm:pt>
    <dgm:pt modelId="{D443DCD4-832C-4088-89B1-C68E9217A62A}" type="pres">
      <dgm:prSet presAssocID="{D07BDF81-C989-4136-BFA6-12BA2C70DD6B}" presName="LevelTwoTextNode" presStyleLbl="node2" presStyleIdx="9" presStyleCnt="10">
        <dgm:presLayoutVars>
          <dgm:chPref val="3"/>
        </dgm:presLayoutVars>
      </dgm:prSet>
      <dgm:spPr/>
    </dgm:pt>
    <dgm:pt modelId="{95B90266-7495-487B-9F2A-8C9A345E4867}" type="pres">
      <dgm:prSet presAssocID="{D07BDF81-C989-4136-BFA6-12BA2C70DD6B}" presName="level3hierChild" presStyleCnt="0"/>
      <dgm:spPr/>
    </dgm:pt>
  </dgm:ptLst>
  <dgm:cxnLst>
    <dgm:cxn modelId="{54A73704-AD61-4CA7-96F3-B5A15F2A978A}" type="presOf" srcId="{73500203-7667-48A0-B755-BB14991ABE12}" destId="{6266AE03-E3C9-4B93-9F94-764635BA1D3B}" srcOrd="0" destOrd="0" presId="urn:microsoft.com/office/officeart/2008/layout/HorizontalMultiLevelHierarchy"/>
    <dgm:cxn modelId="{F7F14E08-A87D-48E6-96B2-BD183979FD23}" type="presOf" srcId="{59C9BC5A-5CF0-4045-8087-225DD6C0A7E3}" destId="{E05CD408-72BC-4EEC-BA7C-185E4414FB74}" srcOrd="1" destOrd="0" presId="urn:microsoft.com/office/officeart/2008/layout/HorizontalMultiLevelHierarchy"/>
    <dgm:cxn modelId="{416B040C-CD69-40D1-8D9B-357421A2A581}" type="presOf" srcId="{09CDBBFF-BB99-416A-8CA0-720863FE432A}" destId="{DEDC3825-79E0-4E9F-86BD-A88B17A2C07A}" srcOrd="1" destOrd="0" presId="urn:microsoft.com/office/officeart/2008/layout/HorizontalMultiLevelHierarchy"/>
    <dgm:cxn modelId="{DE3FA110-A654-4925-BF27-DB5AFA300FE8}" type="presOf" srcId="{73500203-7667-48A0-B755-BB14991ABE12}" destId="{96AE984E-4C9C-41EC-80A2-384874B0C2B9}" srcOrd="1" destOrd="0" presId="urn:microsoft.com/office/officeart/2008/layout/HorizontalMultiLevelHierarchy"/>
    <dgm:cxn modelId="{516D8511-99B1-4943-8F98-029689ADDDCD}" type="presOf" srcId="{00F8DE45-51E5-437A-952D-9055A21AF531}" destId="{D6D86647-DC77-4D37-9285-6FA197682DED}" srcOrd="0" destOrd="0" presId="urn:microsoft.com/office/officeart/2008/layout/HorizontalMultiLevelHierarchy"/>
    <dgm:cxn modelId="{0ACDC417-9010-4337-87FE-11AEB6CB861E}" srcId="{97B39B02-6801-4E55-9C40-5DB2BAAAC004}" destId="{A4D15135-CB48-499E-A057-0AEAC1405B35}" srcOrd="0" destOrd="0" parTransId="{D78F0823-5FDC-412B-BE6F-6E5CD70D8971}" sibTransId="{0C1623D4-42C8-49E0-A96D-C4A33C3F5F12}"/>
    <dgm:cxn modelId="{8FC9491B-B71E-4B33-96BD-A85A13D7E67C}" type="presOf" srcId="{F08D9C52-FFFC-4300-86B6-581221545FA1}" destId="{3E77D464-5336-47CD-B39D-5F9649AEB89A}" srcOrd="0" destOrd="0" presId="urn:microsoft.com/office/officeart/2008/layout/HorizontalMultiLevelHierarchy"/>
    <dgm:cxn modelId="{6788FF1E-B833-4F07-ABF3-03611907BB97}" type="presOf" srcId="{59C9BC5A-5CF0-4045-8087-225DD6C0A7E3}" destId="{75E87E08-7D0B-441D-9992-57E41AA347BB}" srcOrd="0" destOrd="0" presId="urn:microsoft.com/office/officeart/2008/layout/HorizontalMultiLevelHierarchy"/>
    <dgm:cxn modelId="{B42CC625-4D50-4E0F-B7A8-4FB41FA64A79}" srcId="{97B39B02-6801-4E55-9C40-5DB2BAAAC004}" destId="{3EB029DB-12A9-4B25-961A-AF94640F125B}" srcOrd="3" destOrd="0" parTransId="{DCFC72D3-4022-4737-9108-13979A1DE8AD}" sibTransId="{ADED28BE-97C4-422D-A0E5-FBDDCB37077A}"/>
    <dgm:cxn modelId="{C7FA7029-9B72-47BC-9885-7DD86897727D}" type="presOf" srcId="{09CDBBFF-BB99-416A-8CA0-720863FE432A}" destId="{0BE17CED-11A9-4432-B896-9E91A9C018D9}" srcOrd="0" destOrd="0" presId="urn:microsoft.com/office/officeart/2008/layout/HorizontalMultiLevelHierarchy"/>
    <dgm:cxn modelId="{D027A229-2442-4C11-8722-8483AE37C7B3}" type="presOf" srcId="{A738FB29-3390-404F-8862-3D54890E8678}" destId="{DE94F4D5-3ABF-4A51-99EE-090D5A37D18C}" srcOrd="0" destOrd="0" presId="urn:microsoft.com/office/officeart/2008/layout/HorizontalMultiLevelHierarchy"/>
    <dgm:cxn modelId="{CBD16C2B-5390-44E5-BC35-165A7E6669CF}" type="presOf" srcId="{A27E8F5C-DDA6-4CDB-AFAC-BC4408CB9AAD}" destId="{342CC4C4-AF60-4DF5-BDB1-B9AC86F4A98D}" srcOrd="0" destOrd="0" presId="urn:microsoft.com/office/officeart/2008/layout/HorizontalMultiLevelHierarchy"/>
    <dgm:cxn modelId="{92DE6431-BD59-4A2F-BE26-D3EE8EE89E16}" type="presOf" srcId="{97B39B02-6801-4E55-9C40-5DB2BAAAC004}" destId="{03B4360A-CA12-430C-AF5E-D13B0A90E68E}" srcOrd="0" destOrd="0" presId="urn:microsoft.com/office/officeart/2008/layout/HorizontalMultiLevelHierarchy"/>
    <dgm:cxn modelId="{FC8CBD32-4B39-4BF9-99FE-E4A4B53AF3E6}" type="presOf" srcId="{D78F0823-5FDC-412B-BE6F-6E5CD70D8971}" destId="{4F798FC1-7424-4122-A105-B74C7F768891}" srcOrd="1" destOrd="0" presId="urn:microsoft.com/office/officeart/2008/layout/HorizontalMultiLevelHierarchy"/>
    <dgm:cxn modelId="{A0C2D935-7E74-49AC-B233-C67E48B618E4}" type="presOf" srcId="{B7B35B18-0D8E-476C-A7EF-F1BDE48386D0}" destId="{B952978C-86C5-47C4-A035-82A4AA8558AC}" srcOrd="0" destOrd="0" presId="urn:microsoft.com/office/officeart/2008/layout/HorizontalMultiLevelHierarchy"/>
    <dgm:cxn modelId="{58648739-5B56-4C1C-9DEA-82E1BD856D0B}" srcId="{97B39B02-6801-4E55-9C40-5DB2BAAAC004}" destId="{189B836C-15EC-4AB7-9106-0F0887B98284}" srcOrd="6" destOrd="0" parTransId="{A27E8F5C-DDA6-4CDB-AFAC-BC4408CB9AAD}" sibTransId="{0CEFD69C-CEC5-4CF1-A744-976C26C21FED}"/>
    <dgm:cxn modelId="{F854B93B-C471-49DD-955E-989516F904CA}" type="presOf" srcId="{6BA49594-7037-4125-92EF-2F639C702BC3}" destId="{DE032C25-4139-4294-8FB5-8DA3535A7709}" srcOrd="1" destOrd="0" presId="urn:microsoft.com/office/officeart/2008/layout/HorizontalMultiLevelHierarchy"/>
    <dgm:cxn modelId="{5D7B7F3D-C1BA-4492-AF00-4FD92E5F24BE}" srcId="{97B39B02-6801-4E55-9C40-5DB2BAAAC004}" destId="{B7B35B18-0D8E-476C-A7EF-F1BDE48386D0}" srcOrd="2" destOrd="0" parTransId="{DA697B37-89C5-49FE-B3F0-1E6C82966E3B}" sibTransId="{3D756437-6920-466A-99E8-F169CE6CE299}"/>
    <dgm:cxn modelId="{F15B5E44-DF70-4280-9485-C74BE1490761}" type="presOf" srcId="{51114075-2821-44CD-8C74-91CA62B3619B}" destId="{6882EB5A-7B3C-4FDD-9379-3C38C42A7834}" srcOrd="0" destOrd="0" presId="urn:microsoft.com/office/officeart/2008/layout/HorizontalMultiLevelHierarchy"/>
    <dgm:cxn modelId="{3EF3684A-8FC3-42DD-8C2D-7100C2E4271E}" srcId="{51114075-2821-44CD-8C74-91CA62B3619B}" destId="{97B39B02-6801-4E55-9C40-5DB2BAAAC004}" srcOrd="0" destOrd="0" parTransId="{5CD59C04-10BE-4AD2-B4A9-36DD1FB71DF6}" sibTransId="{215B9B4D-402C-4990-9CB0-2E6B8C1768E4}"/>
    <dgm:cxn modelId="{3291C977-B9A1-4688-B678-DB17E9D2588F}" type="presOf" srcId="{D07BDF81-C989-4136-BFA6-12BA2C70DD6B}" destId="{D443DCD4-832C-4088-89B1-C68E9217A62A}" srcOrd="0" destOrd="0" presId="urn:microsoft.com/office/officeart/2008/layout/HorizontalMultiLevelHierarchy"/>
    <dgm:cxn modelId="{F0370159-984D-4239-951C-CEFBEE43D8B6}" srcId="{97B39B02-6801-4E55-9C40-5DB2BAAAC004}" destId="{9B3DE7BE-D1A1-4777-A213-FEA575380E51}" srcOrd="7" destOrd="0" parTransId="{6BA49594-7037-4125-92EF-2F639C702BC3}" sibTransId="{594DB8B3-A856-4F60-99DD-7B6A81825F29}"/>
    <dgm:cxn modelId="{BF2FA779-76BF-4D1E-B64A-B18F4DE495F2}" type="presOf" srcId="{4A202161-E1F1-472C-A8DD-0F15DAEE3BD6}" destId="{38C122E1-97C6-4F25-A767-1916D37E3A77}" srcOrd="1" destOrd="0" presId="urn:microsoft.com/office/officeart/2008/layout/HorizontalMultiLevelHierarchy"/>
    <dgm:cxn modelId="{0391ED59-8D14-41BA-A0FD-78C2D411DD64}" srcId="{97B39B02-6801-4E55-9C40-5DB2BAAAC004}" destId="{34D3808F-DB0E-46B8-B5F6-3159F57D3E4F}" srcOrd="5" destOrd="0" parTransId="{59C9BC5A-5CF0-4045-8087-225DD6C0A7E3}" sibTransId="{BB5920C1-244C-4082-8194-50A7E41FA231}"/>
    <dgm:cxn modelId="{C2FDFF7B-B8DC-476C-9DC1-7749A81FC80E}" type="presOf" srcId="{DCFC72D3-4022-4737-9108-13979A1DE8AD}" destId="{32E0CF18-F6FF-47BA-B82D-C5B3128214A3}" srcOrd="0" destOrd="0" presId="urn:microsoft.com/office/officeart/2008/layout/HorizontalMultiLevelHierarchy"/>
    <dgm:cxn modelId="{4E73BB7E-7E72-404F-8D55-65801983E3EE}" type="presOf" srcId="{DCFC72D3-4022-4737-9108-13979A1DE8AD}" destId="{F99606B4-C0B4-4481-A3EE-504EA2831CEC}" srcOrd="1" destOrd="0" presId="urn:microsoft.com/office/officeart/2008/layout/HorizontalMultiLevelHierarchy"/>
    <dgm:cxn modelId="{4711048D-450A-4138-884E-890C248ED3DD}" type="presOf" srcId="{D78F0823-5FDC-412B-BE6F-6E5CD70D8971}" destId="{673F4129-5CD1-4863-9694-6654D2710901}" srcOrd="0" destOrd="0" presId="urn:microsoft.com/office/officeart/2008/layout/HorizontalMultiLevelHierarchy"/>
    <dgm:cxn modelId="{756ECE91-51AC-41A7-9F7D-73BEBF8615AA}" type="presOf" srcId="{189B836C-15EC-4AB7-9106-0F0887B98284}" destId="{648E8F44-4E8B-4C44-AF47-FDEF99632FA1}" srcOrd="0" destOrd="0" presId="urn:microsoft.com/office/officeart/2008/layout/HorizontalMultiLevelHierarchy"/>
    <dgm:cxn modelId="{55570B92-5ED7-4117-BF2A-BE25B7DB4438}" type="presOf" srcId="{34D3808F-DB0E-46B8-B5F6-3159F57D3E4F}" destId="{5C4F5628-9399-4455-8F55-EC39FF55E543}" srcOrd="0" destOrd="0" presId="urn:microsoft.com/office/officeart/2008/layout/HorizontalMultiLevelHierarchy"/>
    <dgm:cxn modelId="{EB6AFD95-A114-479B-B3FD-D9A61E0EA44E}" type="presOf" srcId="{A27E8F5C-DDA6-4CDB-AFAC-BC4408CB9AAD}" destId="{C5BCF1B7-2982-4605-BE75-4E52CA9A3FC6}" srcOrd="1" destOrd="0" presId="urn:microsoft.com/office/officeart/2008/layout/HorizontalMultiLevelHierarchy"/>
    <dgm:cxn modelId="{750F2E9C-33A1-46EF-AE82-378B38F40187}" type="presOf" srcId="{6BA49594-7037-4125-92EF-2F639C702BC3}" destId="{62EAEA40-0B5A-4CA5-BDB5-36C0E9D410B3}" srcOrd="0" destOrd="0" presId="urn:microsoft.com/office/officeart/2008/layout/HorizontalMultiLevelHierarchy"/>
    <dgm:cxn modelId="{C1CC609F-F351-451F-842F-19602D80F24B}" srcId="{97B39B02-6801-4E55-9C40-5DB2BAAAC004}" destId="{D07BDF81-C989-4136-BFA6-12BA2C70DD6B}" srcOrd="9" destOrd="0" parTransId="{4A202161-E1F1-472C-A8DD-0F15DAEE3BD6}" sibTransId="{283BC592-FA7F-4D2B-A8E8-4EA7059CD0A6}"/>
    <dgm:cxn modelId="{5F1E6CAA-85CE-497A-BCAC-DBADE2E79942}" type="presOf" srcId="{780FE356-265D-4D06-8062-2FC767DB370F}" destId="{728746A8-C529-4AEB-8240-0CC3D286891D}" srcOrd="1" destOrd="0" presId="urn:microsoft.com/office/officeart/2008/layout/HorizontalMultiLevelHierarchy"/>
    <dgm:cxn modelId="{1E0576AC-92DF-40AC-BE5C-394238B66BB3}" type="presOf" srcId="{A4D15135-CB48-499E-A057-0AEAC1405B35}" destId="{AC0A62B1-48A2-4820-A729-F9F9F6C72E7B}" srcOrd="0" destOrd="0" presId="urn:microsoft.com/office/officeart/2008/layout/HorizontalMultiLevelHierarchy"/>
    <dgm:cxn modelId="{4AA780AE-E482-40C5-8C10-E3B176F24B0F}" type="presOf" srcId="{9B3DE7BE-D1A1-4777-A213-FEA575380E51}" destId="{388D9CE7-C671-42E2-BA7C-A3650E299443}" srcOrd="0" destOrd="0" presId="urn:microsoft.com/office/officeart/2008/layout/HorizontalMultiLevelHierarchy"/>
    <dgm:cxn modelId="{3369B5B1-0C01-40AB-B8D1-2B14A2ADBC3B}" srcId="{97B39B02-6801-4E55-9C40-5DB2BAAAC004}" destId="{F08D9C52-FFFC-4300-86B6-581221545FA1}" srcOrd="4" destOrd="0" parTransId="{73500203-7667-48A0-B755-BB14991ABE12}" sibTransId="{ECECD20C-2469-42A3-8859-0ED8E5B63D21}"/>
    <dgm:cxn modelId="{560921B2-5C7A-4A42-9D29-7C38B788ED9D}" type="presOf" srcId="{780FE356-265D-4D06-8062-2FC767DB370F}" destId="{2C742929-8130-4807-9F38-62C5A2FD66CB}" srcOrd="0" destOrd="0" presId="urn:microsoft.com/office/officeart/2008/layout/HorizontalMultiLevelHierarchy"/>
    <dgm:cxn modelId="{1E3F90B4-CB71-4D09-B4F0-103DDD61B870}" srcId="{97B39B02-6801-4E55-9C40-5DB2BAAAC004}" destId="{00F8DE45-51E5-437A-952D-9055A21AF531}" srcOrd="1" destOrd="0" parTransId="{780FE356-265D-4D06-8062-2FC767DB370F}" sibTransId="{9923A745-E918-427F-83C3-4AC7D32F4642}"/>
    <dgm:cxn modelId="{92F807B7-9888-4F9F-9F13-BE9E3849A7AB}" type="presOf" srcId="{DA697B37-89C5-49FE-B3F0-1E6C82966E3B}" destId="{D03D68BD-9FF1-4871-88F6-0722D2353605}" srcOrd="1" destOrd="0" presId="urn:microsoft.com/office/officeart/2008/layout/HorizontalMultiLevelHierarchy"/>
    <dgm:cxn modelId="{267F7ED1-6480-4D9D-B6B0-05D29EFC009A}" type="presOf" srcId="{3EB029DB-12A9-4B25-961A-AF94640F125B}" destId="{5AD0C728-4D23-4C3B-86B1-83A0DB0B05D5}" srcOrd="0" destOrd="0" presId="urn:microsoft.com/office/officeart/2008/layout/HorizontalMultiLevelHierarchy"/>
    <dgm:cxn modelId="{34139AE4-F732-4A0B-8EA6-C4A62074792F}" type="presOf" srcId="{4A202161-E1F1-472C-A8DD-0F15DAEE3BD6}" destId="{F1239933-338F-4DE7-8C10-66A56E136F32}" srcOrd="0" destOrd="0" presId="urn:microsoft.com/office/officeart/2008/layout/HorizontalMultiLevelHierarchy"/>
    <dgm:cxn modelId="{D0DC45F0-00C8-49FA-85FE-D54FD2EBF39B}" type="presOf" srcId="{DA697B37-89C5-49FE-B3F0-1E6C82966E3B}" destId="{D883395B-13E2-4522-BBD6-8015D56BE080}" srcOrd="0" destOrd="0" presId="urn:microsoft.com/office/officeart/2008/layout/HorizontalMultiLevelHierarchy"/>
    <dgm:cxn modelId="{C201F0FD-BCF9-4D78-BDA0-A25352E266C4}" srcId="{97B39B02-6801-4E55-9C40-5DB2BAAAC004}" destId="{A738FB29-3390-404F-8862-3D54890E8678}" srcOrd="8" destOrd="0" parTransId="{09CDBBFF-BB99-416A-8CA0-720863FE432A}" sibTransId="{483A1FDF-F633-411C-BF34-135312214987}"/>
    <dgm:cxn modelId="{D0B711FD-2561-444C-9EFF-2683E2B117B5}" type="presParOf" srcId="{6882EB5A-7B3C-4FDD-9379-3C38C42A7834}" destId="{1E8F0E6E-AF5A-4B41-A9E6-DDD81E270089}" srcOrd="0" destOrd="0" presId="urn:microsoft.com/office/officeart/2008/layout/HorizontalMultiLevelHierarchy"/>
    <dgm:cxn modelId="{6CE0DA33-4EBB-473F-AC8E-54914D74B310}" type="presParOf" srcId="{1E8F0E6E-AF5A-4B41-A9E6-DDD81E270089}" destId="{03B4360A-CA12-430C-AF5E-D13B0A90E68E}" srcOrd="0" destOrd="0" presId="urn:microsoft.com/office/officeart/2008/layout/HorizontalMultiLevelHierarchy"/>
    <dgm:cxn modelId="{82E4EB7F-F037-4E56-B1EC-10276F9FBA8F}" type="presParOf" srcId="{1E8F0E6E-AF5A-4B41-A9E6-DDD81E270089}" destId="{3EA37F50-DE62-41AC-BD42-8E5A91A1328F}" srcOrd="1" destOrd="0" presId="urn:microsoft.com/office/officeart/2008/layout/HorizontalMultiLevelHierarchy"/>
    <dgm:cxn modelId="{66504B6E-C115-45C2-9B60-22EEC9B465B9}" type="presParOf" srcId="{3EA37F50-DE62-41AC-BD42-8E5A91A1328F}" destId="{673F4129-5CD1-4863-9694-6654D2710901}" srcOrd="0" destOrd="0" presId="urn:microsoft.com/office/officeart/2008/layout/HorizontalMultiLevelHierarchy"/>
    <dgm:cxn modelId="{13D27DFC-17D4-4912-AB8F-AF5893F19F5C}" type="presParOf" srcId="{673F4129-5CD1-4863-9694-6654D2710901}" destId="{4F798FC1-7424-4122-A105-B74C7F768891}" srcOrd="0" destOrd="0" presId="urn:microsoft.com/office/officeart/2008/layout/HorizontalMultiLevelHierarchy"/>
    <dgm:cxn modelId="{0833B18F-DBD2-4DB4-97F8-8CABB3AB4D86}" type="presParOf" srcId="{3EA37F50-DE62-41AC-BD42-8E5A91A1328F}" destId="{C1FF758A-F28E-4418-97AE-E7747372473F}" srcOrd="1" destOrd="0" presId="urn:microsoft.com/office/officeart/2008/layout/HorizontalMultiLevelHierarchy"/>
    <dgm:cxn modelId="{D1844D1C-C956-4C1E-9EB3-093311FB04C7}" type="presParOf" srcId="{C1FF758A-F28E-4418-97AE-E7747372473F}" destId="{AC0A62B1-48A2-4820-A729-F9F9F6C72E7B}" srcOrd="0" destOrd="0" presId="urn:microsoft.com/office/officeart/2008/layout/HorizontalMultiLevelHierarchy"/>
    <dgm:cxn modelId="{8CFC2880-AECE-46A6-8EED-8FF1331C592F}" type="presParOf" srcId="{C1FF758A-F28E-4418-97AE-E7747372473F}" destId="{FD67E2F7-1A1A-4F4A-9743-11A917802408}" srcOrd="1" destOrd="0" presId="urn:microsoft.com/office/officeart/2008/layout/HorizontalMultiLevelHierarchy"/>
    <dgm:cxn modelId="{333FCEA9-67B4-49F8-B89E-013BED506E5E}" type="presParOf" srcId="{3EA37F50-DE62-41AC-BD42-8E5A91A1328F}" destId="{2C742929-8130-4807-9F38-62C5A2FD66CB}" srcOrd="2" destOrd="0" presId="urn:microsoft.com/office/officeart/2008/layout/HorizontalMultiLevelHierarchy"/>
    <dgm:cxn modelId="{A66AD8B5-FBF0-4AAD-AD28-CD3AB2B83A45}" type="presParOf" srcId="{2C742929-8130-4807-9F38-62C5A2FD66CB}" destId="{728746A8-C529-4AEB-8240-0CC3D286891D}" srcOrd="0" destOrd="0" presId="urn:microsoft.com/office/officeart/2008/layout/HorizontalMultiLevelHierarchy"/>
    <dgm:cxn modelId="{4EA77347-D806-4EFA-8AE3-72A5002F0A86}" type="presParOf" srcId="{3EA37F50-DE62-41AC-BD42-8E5A91A1328F}" destId="{9E357C25-FCF7-4FDC-93EC-DC19E4F8E979}" srcOrd="3" destOrd="0" presId="urn:microsoft.com/office/officeart/2008/layout/HorizontalMultiLevelHierarchy"/>
    <dgm:cxn modelId="{318977A6-D9FB-4180-845A-76AA7E4AF5B2}" type="presParOf" srcId="{9E357C25-FCF7-4FDC-93EC-DC19E4F8E979}" destId="{D6D86647-DC77-4D37-9285-6FA197682DED}" srcOrd="0" destOrd="0" presId="urn:microsoft.com/office/officeart/2008/layout/HorizontalMultiLevelHierarchy"/>
    <dgm:cxn modelId="{390E594E-825E-4040-A84D-A48EB08C3D53}" type="presParOf" srcId="{9E357C25-FCF7-4FDC-93EC-DC19E4F8E979}" destId="{8683EE29-B453-4256-B2A8-6C913F4D07EB}" srcOrd="1" destOrd="0" presId="urn:microsoft.com/office/officeart/2008/layout/HorizontalMultiLevelHierarchy"/>
    <dgm:cxn modelId="{5B01B146-7C23-4EB1-8B89-8B5201B689D6}" type="presParOf" srcId="{3EA37F50-DE62-41AC-BD42-8E5A91A1328F}" destId="{D883395B-13E2-4522-BBD6-8015D56BE080}" srcOrd="4" destOrd="0" presId="urn:microsoft.com/office/officeart/2008/layout/HorizontalMultiLevelHierarchy"/>
    <dgm:cxn modelId="{DA4B7543-E2CB-4798-851E-F66E2AC5204A}" type="presParOf" srcId="{D883395B-13E2-4522-BBD6-8015D56BE080}" destId="{D03D68BD-9FF1-4871-88F6-0722D2353605}" srcOrd="0" destOrd="0" presId="urn:microsoft.com/office/officeart/2008/layout/HorizontalMultiLevelHierarchy"/>
    <dgm:cxn modelId="{BDAC6BEA-12EC-45C5-9A00-2577DC3B113F}" type="presParOf" srcId="{3EA37F50-DE62-41AC-BD42-8E5A91A1328F}" destId="{2E0F6574-B774-4772-AAE2-88CDB43A30DC}" srcOrd="5" destOrd="0" presId="urn:microsoft.com/office/officeart/2008/layout/HorizontalMultiLevelHierarchy"/>
    <dgm:cxn modelId="{53A38190-6EAB-4A47-BD6E-628515903158}" type="presParOf" srcId="{2E0F6574-B774-4772-AAE2-88CDB43A30DC}" destId="{B952978C-86C5-47C4-A035-82A4AA8558AC}" srcOrd="0" destOrd="0" presId="urn:microsoft.com/office/officeart/2008/layout/HorizontalMultiLevelHierarchy"/>
    <dgm:cxn modelId="{9FFC7DFF-7B54-47C4-BD2E-453C7DAEFEDE}" type="presParOf" srcId="{2E0F6574-B774-4772-AAE2-88CDB43A30DC}" destId="{6A039E76-4415-4B68-A1E5-E40313DC8A4E}" srcOrd="1" destOrd="0" presId="urn:microsoft.com/office/officeart/2008/layout/HorizontalMultiLevelHierarchy"/>
    <dgm:cxn modelId="{AA27A746-0C81-4077-B3B9-2E8D56C0C31D}" type="presParOf" srcId="{3EA37F50-DE62-41AC-BD42-8E5A91A1328F}" destId="{32E0CF18-F6FF-47BA-B82D-C5B3128214A3}" srcOrd="6" destOrd="0" presId="urn:microsoft.com/office/officeart/2008/layout/HorizontalMultiLevelHierarchy"/>
    <dgm:cxn modelId="{8F60BE5B-C96E-4720-A27F-F3E54A392BC6}" type="presParOf" srcId="{32E0CF18-F6FF-47BA-B82D-C5B3128214A3}" destId="{F99606B4-C0B4-4481-A3EE-504EA2831CEC}" srcOrd="0" destOrd="0" presId="urn:microsoft.com/office/officeart/2008/layout/HorizontalMultiLevelHierarchy"/>
    <dgm:cxn modelId="{9E52465E-19B4-4B4B-9712-A23B4FDA6C16}" type="presParOf" srcId="{3EA37F50-DE62-41AC-BD42-8E5A91A1328F}" destId="{FBA3860E-9219-4CAD-B627-EB590217DABC}" srcOrd="7" destOrd="0" presId="urn:microsoft.com/office/officeart/2008/layout/HorizontalMultiLevelHierarchy"/>
    <dgm:cxn modelId="{32292C50-2329-482D-A88D-F89B0A7E7CAC}" type="presParOf" srcId="{FBA3860E-9219-4CAD-B627-EB590217DABC}" destId="{5AD0C728-4D23-4C3B-86B1-83A0DB0B05D5}" srcOrd="0" destOrd="0" presId="urn:microsoft.com/office/officeart/2008/layout/HorizontalMultiLevelHierarchy"/>
    <dgm:cxn modelId="{3E5A3C56-2AE5-425E-867F-46F835F4ED59}" type="presParOf" srcId="{FBA3860E-9219-4CAD-B627-EB590217DABC}" destId="{34682315-2AFD-4B21-AEE1-D3065A8132EF}" srcOrd="1" destOrd="0" presId="urn:microsoft.com/office/officeart/2008/layout/HorizontalMultiLevelHierarchy"/>
    <dgm:cxn modelId="{2E7CCB1B-D8D4-49CE-930E-464C3284CFB5}" type="presParOf" srcId="{3EA37F50-DE62-41AC-BD42-8E5A91A1328F}" destId="{6266AE03-E3C9-4B93-9F94-764635BA1D3B}" srcOrd="8" destOrd="0" presId="urn:microsoft.com/office/officeart/2008/layout/HorizontalMultiLevelHierarchy"/>
    <dgm:cxn modelId="{946598A2-658A-42E5-9595-E4294721D147}" type="presParOf" srcId="{6266AE03-E3C9-4B93-9F94-764635BA1D3B}" destId="{96AE984E-4C9C-41EC-80A2-384874B0C2B9}" srcOrd="0" destOrd="0" presId="urn:microsoft.com/office/officeart/2008/layout/HorizontalMultiLevelHierarchy"/>
    <dgm:cxn modelId="{F746FE4D-399D-4B88-8C7D-11D961E5E72D}" type="presParOf" srcId="{3EA37F50-DE62-41AC-BD42-8E5A91A1328F}" destId="{469A25A5-0038-4A7D-8CA3-2533AC771D04}" srcOrd="9" destOrd="0" presId="urn:microsoft.com/office/officeart/2008/layout/HorizontalMultiLevelHierarchy"/>
    <dgm:cxn modelId="{307E8EB5-BA75-43C8-9B73-7E0697A2FFCF}" type="presParOf" srcId="{469A25A5-0038-4A7D-8CA3-2533AC771D04}" destId="{3E77D464-5336-47CD-B39D-5F9649AEB89A}" srcOrd="0" destOrd="0" presId="urn:microsoft.com/office/officeart/2008/layout/HorizontalMultiLevelHierarchy"/>
    <dgm:cxn modelId="{E75916C8-9DD5-4563-9B0B-EC49A90CDA96}" type="presParOf" srcId="{469A25A5-0038-4A7D-8CA3-2533AC771D04}" destId="{CFDCA54B-C55D-4581-981F-1027BB49BE04}" srcOrd="1" destOrd="0" presId="urn:microsoft.com/office/officeart/2008/layout/HorizontalMultiLevelHierarchy"/>
    <dgm:cxn modelId="{896D2C04-EBF5-457F-8E18-68DA3983D50E}" type="presParOf" srcId="{3EA37F50-DE62-41AC-BD42-8E5A91A1328F}" destId="{75E87E08-7D0B-441D-9992-57E41AA347BB}" srcOrd="10" destOrd="0" presId="urn:microsoft.com/office/officeart/2008/layout/HorizontalMultiLevelHierarchy"/>
    <dgm:cxn modelId="{9B8DDD61-8917-425C-BC56-5E86EB9F07CC}" type="presParOf" srcId="{75E87E08-7D0B-441D-9992-57E41AA347BB}" destId="{E05CD408-72BC-4EEC-BA7C-185E4414FB74}" srcOrd="0" destOrd="0" presId="urn:microsoft.com/office/officeart/2008/layout/HorizontalMultiLevelHierarchy"/>
    <dgm:cxn modelId="{5E91F45B-E503-49A2-8BEF-2392ACAF3FDE}" type="presParOf" srcId="{3EA37F50-DE62-41AC-BD42-8E5A91A1328F}" destId="{9D9E1E41-4ABB-410F-8D85-73A342D91C89}" srcOrd="11" destOrd="0" presId="urn:microsoft.com/office/officeart/2008/layout/HorizontalMultiLevelHierarchy"/>
    <dgm:cxn modelId="{C23548F5-C0F5-419E-92F6-81A11A40C372}" type="presParOf" srcId="{9D9E1E41-4ABB-410F-8D85-73A342D91C89}" destId="{5C4F5628-9399-4455-8F55-EC39FF55E543}" srcOrd="0" destOrd="0" presId="urn:microsoft.com/office/officeart/2008/layout/HorizontalMultiLevelHierarchy"/>
    <dgm:cxn modelId="{983786D6-621B-45A8-B8A0-E853C8AD4A79}" type="presParOf" srcId="{9D9E1E41-4ABB-410F-8D85-73A342D91C89}" destId="{A2B0C7C4-759A-4303-8961-A25A2B418D83}" srcOrd="1" destOrd="0" presId="urn:microsoft.com/office/officeart/2008/layout/HorizontalMultiLevelHierarchy"/>
    <dgm:cxn modelId="{5883C109-BD16-45EB-9350-F3FA91B3FBAD}" type="presParOf" srcId="{3EA37F50-DE62-41AC-BD42-8E5A91A1328F}" destId="{342CC4C4-AF60-4DF5-BDB1-B9AC86F4A98D}" srcOrd="12" destOrd="0" presId="urn:microsoft.com/office/officeart/2008/layout/HorizontalMultiLevelHierarchy"/>
    <dgm:cxn modelId="{10656BD8-F8F3-48C4-A2C8-5436C591B6D4}" type="presParOf" srcId="{342CC4C4-AF60-4DF5-BDB1-B9AC86F4A98D}" destId="{C5BCF1B7-2982-4605-BE75-4E52CA9A3FC6}" srcOrd="0" destOrd="0" presId="urn:microsoft.com/office/officeart/2008/layout/HorizontalMultiLevelHierarchy"/>
    <dgm:cxn modelId="{50212A72-4647-46FD-A5EB-D5A0B8ACC01A}" type="presParOf" srcId="{3EA37F50-DE62-41AC-BD42-8E5A91A1328F}" destId="{06645BCF-4F36-4F56-AB1F-BB19FFDCE403}" srcOrd="13" destOrd="0" presId="urn:microsoft.com/office/officeart/2008/layout/HorizontalMultiLevelHierarchy"/>
    <dgm:cxn modelId="{1A8E405D-FCCB-477F-800E-DF34DC586D59}" type="presParOf" srcId="{06645BCF-4F36-4F56-AB1F-BB19FFDCE403}" destId="{648E8F44-4E8B-4C44-AF47-FDEF99632FA1}" srcOrd="0" destOrd="0" presId="urn:microsoft.com/office/officeart/2008/layout/HorizontalMultiLevelHierarchy"/>
    <dgm:cxn modelId="{970D4D06-A48D-4AB7-96B6-DEAA5D415252}" type="presParOf" srcId="{06645BCF-4F36-4F56-AB1F-BB19FFDCE403}" destId="{C3BB53D0-3F0B-4C20-8CD4-717AA776C537}" srcOrd="1" destOrd="0" presId="urn:microsoft.com/office/officeart/2008/layout/HorizontalMultiLevelHierarchy"/>
    <dgm:cxn modelId="{F9F6A130-8BDD-48DB-903B-68751BFF5CB6}" type="presParOf" srcId="{3EA37F50-DE62-41AC-BD42-8E5A91A1328F}" destId="{62EAEA40-0B5A-4CA5-BDB5-36C0E9D410B3}" srcOrd="14" destOrd="0" presId="urn:microsoft.com/office/officeart/2008/layout/HorizontalMultiLevelHierarchy"/>
    <dgm:cxn modelId="{B2A78ABE-F8DE-4499-A9BE-8D1A5C8BDBE9}" type="presParOf" srcId="{62EAEA40-0B5A-4CA5-BDB5-36C0E9D410B3}" destId="{DE032C25-4139-4294-8FB5-8DA3535A7709}" srcOrd="0" destOrd="0" presId="urn:microsoft.com/office/officeart/2008/layout/HorizontalMultiLevelHierarchy"/>
    <dgm:cxn modelId="{E32E061C-BB14-4C11-9119-2E446E6FB5FE}" type="presParOf" srcId="{3EA37F50-DE62-41AC-BD42-8E5A91A1328F}" destId="{E68A8E21-8DDB-4991-9537-A1B4A4FB7D24}" srcOrd="15" destOrd="0" presId="urn:microsoft.com/office/officeart/2008/layout/HorizontalMultiLevelHierarchy"/>
    <dgm:cxn modelId="{977DBBBC-8181-4E65-8859-11FD0649C700}" type="presParOf" srcId="{E68A8E21-8DDB-4991-9537-A1B4A4FB7D24}" destId="{388D9CE7-C671-42E2-BA7C-A3650E299443}" srcOrd="0" destOrd="0" presId="urn:microsoft.com/office/officeart/2008/layout/HorizontalMultiLevelHierarchy"/>
    <dgm:cxn modelId="{18DA80E5-A327-4A15-BF1D-B8E768D0367F}" type="presParOf" srcId="{E68A8E21-8DDB-4991-9537-A1B4A4FB7D24}" destId="{60050B86-71ED-48A9-987F-297D54A1AE36}" srcOrd="1" destOrd="0" presId="urn:microsoft.com/office/officeart/2008/layout/HorizontalMultiLevelHierarchy"/>
    <dgm:cxn modelId="{4D53E423-0B9C-4D4D-9978-98FB72F33654}" type="presParOf" srcId="{3EA37F50-DE62-41AC-BD42-8E5A91A1328F}" destId="{0BE17CED-11A9-4432-B896-9E91A9C018D9}" srcOrd="16" destOrd="0" presId="urn:microsoft.com/office/officeart/2008/layout/HorizontalMultiLevelHierarchy"/>
    <dgm:cxn modelId="{26BBE575-CAFE-42D5-BF17-EED2F2E8B5E5}" type="presParOf" srcId="{0BE17CED-11A9-4432-B896-9E91A9C018D9}" destId="{DEDC3825-79E0-4E9F-86BD-A88B17A2C07A}" srcOrd="0" destOrd="0" presId="urn:microsoft.com/office/officeart/2008/layout/HorizontalMultiLevelHierarchy"/>
    <dgm:cxn modelId="{ECD1CA12-0523-4CB4-9503-17D91C4023C2}" type="presParOf" srcId="{3EA37F50-DE62-41AC-BD42-8E5A91A1328F}" destId="{2B25F7D1-5086-4628-9126-191944B82B96}" srcOrd="17" destOrd="0" presId="urn:microsoft.com/office/officeart/2008/layout/HorizontalMultiLevelHierarchy"/>
    <dgm:cxn modelId="{55208416-1672-47EC-B72D-AC2D0EF05074}" type="presParOf" srcId="{2B25F7D1-5086-4628-9126-191944B82B96}" destId="{DE94F4D5-3ABF-4A51-99EE-090D5A37D18C}" srcOrd="0" destOrd="0" presId="urn:microsoft.com/office/officeart/2008/layout/HorizontalMultiLevelHierarchy"/>
    <dgm:cxn modelId="{7E994236-9FA4-438E-9F27-A4DF7ADC0FD1}" type="presParOf" srcId="{2B25F7D1-5086-4628-9126-191944B82B96}" destId="{F79A1C84-8684-415F-865B-319DFE13A52B}" srcOrd="1" destOrd="0" presId="urn:microsoft.com/office/officeart/2008/layout/HorizontalMultiLevelHierarchy"/>
    <dgm:cxn modelId="{085960DD-50A5-4490-949C-B76AD1064C75}" type="presParOf" srcId="{3EA37F50-DE62-41AC-BD42-8E5A91A1328F}" destId="{F1239933-338F-4DE7-8C10-66A56E136F32}" srcOrd="18" destOrd="0" presId="urn:microsoft.com/office/officeart/2008/layout/HorizontalMultiLevelHierarchy"/>
    <dgm:cxn modelId="{1E4F6D3F-29A5-41DE-BFFA-CE227342DC9F}" type="presParOf" srcId="{F1239933-338F-4DE7-8C10-66A56E136F32}" destId="{38C122E1-97C6-4F25-A767-1916D37E3A77}" srcOrd="0" destOrd="0" presId="urn:microsoft.com/office/officeart/2008/layout/HorizontalMultiLevelHierarchy"/>
    <dgm:cxn modelId="{2790613A-0068-4702-A201-18B32D93A6E2}" type="presParOf" srcId="{3EA37F50-DE62-41AC-BD42-8E5A91A1328F}" destId="{19D6D945-F13C-4B2F-9FB3-7995FCB98B86}" srcOrd="19" destOrd="0" presId="urn:microsoft.com/office/officeart/2008/layout/HorizontalMultiLevelHierarchy"/>
    <dgm:cxn modelId="{D31797A5-B172-4FE8-A32B-10DACD6A34B9}" type="presParOf" srcId="{19D6D945-F13C-4B2F-9FB3-7995FCB98B86}" destId="{D443DCD4-832C-4088-89B1-C68E9217A62A}" srcOrd="0" destOrd="0" presId="urn:microsoft.com/office/officeart/2008/layout/HorizontalMultiLevelHierarchy"/>
    <dgm:cxn modelId="{9DB66F4C-80C4-4C65-9004-801B8C041B3C}" type="presParOf" srcId="{19D6D945-F13C-4B2F-9FB3-7995FCB98B86}" destId="{95B90266-7495-487B-9F2A-8C9A345E4867}" srcOrd="1" destOrd="0" presId="urn:microsoft.com/office/officeart/2008/layout/HorizontalMultiLevelHierarchy"/>
  </dgm:cxnLst>
  <dgm:bg/>
  <dgm:whole/>
  <dgm:extLst>
    <a:ext uri="http://schemas.microsoft.com/office/drawing/2008/diagram">
      <dsp:dataModelExt xmlns:dsp="http://schemas.microsoft.com/office/drawing/2008/diagram" relId="rId12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4047558D-2750-47B1-8096-8BC4F83EEF62}" type="doc">
      <dgm:prSet loTypeId="urn:microsoft.com/office/officeart/2005/8/layout/default" loCatId="list" qsTypeId="urn:microsoft.com/office/officeart/2005/8/quickstyle/simple1" qsCatId="simple" csTypeId="urn:microsoft.com/office/officeart/2005/8/colors/accent0_1" csCatId="mainScheme" phldr="1"/>
      <dgm:spPr/>
      <dgm:t>
        <a:bodyPr/>
        <a:lstStyle/>
        <a:p>
          <a:endParaRPr lang="uk-UA"/>
        </a:p>
      </dgm:t>
    </dgm:pt>
    <dgm:pt modelId="{C04CC334-E052-41BC-8E5C-3C4EEA64F16B}">
      <dgm:prSet phldrT="[Текст]" custT="1"/>
      <dgm:spPr/>
      <dgm:t>
        <a:bodyPr/>
        <a:lstStyle/>
        <a:p>
          <a:r>
            <a:rPr lang="uk-UA" sz="1100" dirty="0">
              <a:latin typeface="Times New Roman" pitchFamily="18" charset="0"/>
              <a:cs typeface="Times New Roman" pitchFamily="18" charset="0"/>
            </a:rPr>
            <a:t>Статті, пости, історії, повідомлення, огляди</a:t>
          </a:r>
        </a:p>
      </dgm:t>
    </dgm:pt>
    <dgm:pt modelId="{114DADE7-00DF-4B2A-A914-C94BCB05BA2E}" type="parTrans" cxnId="{A72E61D9-90FA-4CAF-A624-9A6BAEE14AE4}">
      <dgm:prSet/>
      <dgm:spPr/>
      <dgm:t>
        <a:bodyPr/>
        <a:lstStyle/>
        <a:p>
          <a:endParaRPr lang="uk-UA"/>
        </a:p>
      </dgm:t>
    </dgm:pt>
    <dgm:pt modelId="{873415CB-3067-4AC0-8293-DE47B8593229}" type="sibTrans" cxnId="{A72E61D9-90FA-4CAF-A624-9A6BAEE14AE4}">
      <dgm:prSet/>
      <dgm:spPr/>
      <dgm:t>
        <a:bodyPr/>
        <a:lstStyle/>
        <a:p>
          <a:endParaRPr lang="uk-UA"/>
        </a:p>
      </dgm:t>
    </dgm:pt>
    <dgm:pt modelId="{561AA82A-330A-44C6-80B9-B7A6799B0817}">
      <dgm:prSet phldrT="[Текст]" custT="1"/>
      <dgm:spPr/>
      <dgm:t>
        <a:bodyPr/>
        <a:lstStyle/>
        <a:p>
          <a:r>
            <a:rPr lang="uk-UA" sz="1100">
              <a:latin typeface="Times New Roman" pitchFamily="18" charset="0"/>
              <a:cs typeface="Times New Roman" pitchFamily="18" charset="0"/>
            </a:rPr>
            <a:t>Кейси, навчальні матеріали, майстер-клас, треніг</a:t>
          </a:r>
        </a:p>
      </dgm:t>
    </dgm:pt>
    <dgm:pt modelId="{C060082C-0E48-4D28-9480-5A6244AC8B02}" type="parTrans" cxnId="{56A28F57-438D-4876-9386-E51D1D5A3192}">
      <dgm:prSet/>
      <dgm:spPr/>
      <dgm:t>
        <a:bodyPr/>
        <a:lstStyle/>
        <a:p>
          <a:endParaRPr lang="uk-UA"/>
        </a:p>
      </dgm:t>
    </dgm:pt>
    <dgm:pt modelId="{6EBE71C5-D33B-4B23-AA3D-2E8899544449}" type="sibTrans" cxnId="{56A28F57-438D-4876-9386-E51D1D5A3192}">
      <dgm:prSet/>
      <dgm:spPr/>
      <dgm:t>
        <a:bodyPr/>
        <a:lstStyle/>
        <a:p>
          <a:endParaRPr lang="uk-UA"/>
        </a:p>
      </dgm:t>
    </dgm:pt>
    <dgm:pt modelId="{A7632688-6F9F-48FC-99D4-952C9A864AE2}">
      <dgm:prSet phldrT="[Текст]" custT="1"/>
      <dgm:spPr/>
      <dgm:t>
        <a:bodyPr/>
        <a:lstStyle/>
        <a:p>
          <a:r>
            <a:rPr lang="uk-UA" sz="1100">
              <a:latin typeface="Times New Roman" pitchFamily="18" charset="0"/>
              <a:cs typeface="Times New Roman" pitchFamily="18" charset="0"/>
            </a:rPr>
            <a:t>Аудіо, подкаст</a:t>
          </a:r>
        </a:p>
      </dgm:t>
    </dgm:pt>
    <dgm:pt modelId="{48A03D1C-9BDB-420F-9AFC-6FD03120324F}" type="parTrans" cxnId="{D872B46B-5C6E-47FE-9BA6-FEC3550CA545}">
      <dgm:prSet/>
      <dgm:spPr/>
      <dgm:t>
        <a:bodyPr/>
        <a:lstStyle/>
        <a:p>
          <a:endParaRPr lang="uk-UA"/>
        </a:p>
      </dgm:t>
    </dgm:pt>
    <dgm:pt modelId="{E0637B40-E2AE-424B-8C08-9575E680770A}" type="sibTrans" cxnId="{D872B46B-5C6E-47FE-9BA6-FEC3550CA545}">
      <dgm:prSet/>
      <dgm:spPr/>
      <dgm:t>
        <a:bodyPr/>
        <a:lstStyle/>
        <a:p>
          <a:endParaRPr lang="uk-UA"/>
        </a:p>
      </dgm:t>
    </dgm:pt>
    <dgm:pt modelId="{534A0534-675B-4F69-B5C5-F1886F5FC77F}">
      <dgm:prSet phldrT="[Текст]" custT="1"/>
      <dgm:spPr/>
      <dgm:t>
        <a:bodyPr/>
        <a:lstStyle/>
        <a:p>
          <a:r>
            <a:rPr lang="uk-UA" sz="1100" dirty="0" err="1">
              <a:latin typeface="Times New Roman" pitchFamily="18" charset="0"/>
              <a:cs typeface="Times New Roman" pitchFamily="18" charset="0"/>
            </a:rPr>
            <a:t>Інфографіка</a:t>
          </a:r>
          <a:r>
            <a:rPr lang="uk-UA" sz="1100" dirty="0">
              <a:latin typeface="Times New Roman" pitchFamily="18" charset="0"/>
              <a:cs typeface="Times New Roman" pitchFamily="18" charset="0"/>
            </a:rPr>
            <a:t>, аналітичні огляди, схеми, інтелект-мапи, звіти</a:t>
          </a:r>
        </a:p>
      </dgm:t>
    </dgm:pt>
    <dgm:pt modelId="{3CB33265-ACF5-4D75-966C-48A254E004A6}" type="parTrans" cxnId="{A0140820-BC7E-4F3F-B233-E5A560E011AC}">
      <dgm:prSet/>
      <dgm:spPr/>
      <dgm:t>
        <a:bodyPr/>
        <a:lstStyle/>
        <a:p>
          <a:endParaRPr lang="uk-UA"/>
        </a:p>
      </dgm:t>
    </dgm:pt>
    <dgm:pt modelId="{9A3492EA-08E7-4354-9EBE-801CAE82F42D}" type="sibTrans" cxnId="{A0140820-BC7E-4F3F-B233-E5A560E011AC}">
      <dgm:prSet/>
      <dgm:spPr/>
      <dgm:t>
        <a:bodyPr/>
        <a:lstStyle/>
        <a:p>
          <a:endParaRPr lang="uk-UA"/>
        </a:p>
      </dgm:t>
    </dgm:pt>
    <dgm:pt modelId="{749DD3BB-C4A2-4B2B-94BF-C49B09A9E8C7}">
      <dgm:prSet phldrT="[Текст]" custT="1"/>
      <dgm:spPr/>
      <dgm:t>
        <a:bodyPr/>
        <a:lstStyle/>
        <a:p>
          <a:r>
            <a:rPr lang="uk-UA" sz="1100">
              <a:latin typeface="Times New Roman" pitchFamily="18" charset="0"/>
              <a:cs typeface="Times New Roman" pitchFamily="18" charset="0"/>
            </a:rPr>
            <a:t>Презентації, виступи, майстер-класи</a:t>
          </a:r>
        </a:p>
      </dgm:t>
    </dgm:pt>
    <dgm:pt modelId="{C7A3E71E-D4CA-4F1B-BB65-94D57BD548D7}" type="parTrans" cxnId="{4FC2C006-522C-434B-9022-C224B04A320C}">
      <dgm:prSet/>
      <dgm:spPr/>
      <dgm:t>
        <a:bodyPr/>
        <a:lstStyle/>
        <a:p>
          <a:endParaRPr lang="uk-UA"/>
        </a:p>
      </dgm:t>
    </dgm:pt>
    <dgm:pt modelId="{DE0D7DFE-3442-4993-A360-A9DF6441F85E}" type="sibTrans" cxnId="{4FC2C006-522C-434B-9022-C224B04A320C}">
      <dgm:prSet/>
      <dgm:spPr/>
      <dgm:t>
        <a:bodyPr/>
        <a:lstStyle/>
        <a:p>
          <a:endParaRPr lang="uk-UA"/>
        </a:p>
      </dgm:t>
    </dgm:pt>
    <dgm:pt modelId="{3F031C51-2203-4563-A6EE-B54F04FFD273}">
      <dgm:prSet custT="1"/>
      <dgm:spPr/>
      <dgm:t>
        <a:bodyPr/>
        <a:lstStyle/>
        <a:p>
          <a:r>
            <a:rPr lang="uk-UA" sz="1100" dirty="0">
              <a:latin typeface="Times New Roman" pitchFamily="18" charset="0"/>
              <a:cs typeface="Times New Roman" pitchFamily="18" charset="0"/>
            </a:rPr>
            <a:t>Відео, прямі ефіри, </a:t>
          </a:r>
          <a:r>
            <a:rPr lang="uk-UA" sz="1100" dirty="0" err="1">
              <a:latin typeface="Times New Roman" pitchFamily="18" charset="0"/>
              <a:cs typeface="Times New Roman" pitchFamily="18" charset="0"/>
            </a:rPr>
            <a:t>вебінари</a:t>
          </a:r>
          <a:r>
            <a:rPr lang="uk-UA" sz="1100" dirty="0">
              <a:latin typeface="Times New Roman" pitchFamily="18" charset="0"/>
              <a:cs typeface="Times New Roman" pitchFamily="18" charset="0"/>
            </a:rPr>
            <a:t>, </a:t>
          </a:r>
          <a:r>
            <a:rPr lang="uk-UA" sz="1100" dirty="0" err="1">
              <a:latin typeface="Times New Roman" pitchFamily="18" charset="0"/>
              <a:cs typeface="Times New Roman" pitchFamily="18" charset="0"/>
            </a:rPr>
            <a:t>сторіз, онлайн-курси, уроки, віртуальні екскурсії</a:t>
          </a:r>
          <a:endParaRPr lang="uk-UA" sz="1100" dirty="0">
            <a:latin typeface="Times New Roman" pitchFamily="18" charset="0"/>
            <a:cs typeface="Times New Roman" pitchFamily="18" charset="0"/>
          </a:endParaRPr>
        </a:p>
      </dgm:t>
    </dgm:pt>
    <dgm:pt modelId="{972B0C3D-B73C-4AB1-9C6A-4EFA5E5F75A9}" type="parTrans" cxnId="{64DB69BD-F3B2-4EEC-A8B0-F393974D1D70}">
      <dgm:prSet/>
      <dgm:spPr/>
      <dgm:t>
        <a:bodyPr/>
        <a:lstStyle/>
        <a:p>
          <a:endParaRPr lang="uk-UA"/>
        </a:p>
      </dgm:t>
    </dgm:pt>
    <dgm:pt modelId="{DECAD6C6-FD0A-4E9C-90D3-10E711CCFAFA}" type="sibTrans" cxnId="{64DB69BD-F3B2-4EEC-A8B0-F393974D1D70}">
      <dgm:prSet/>
      <dgm:spPr/>
      <dgm:t>
        <a:bodyPr/>
        <a:lstStyle/>
        <a:p>
          <a:endParaRPr lang="uk-UA"/>
        </a:p>
      </dgm:t>
    </dgm:pt>
    <dgm:pt modelId="{EE02FE84-EFE6-49E5-B5B3-E5355CE1A8D5}">
      <dgm:prSet custT="1"/>
      <dgm:spPr/>
      <dgm:t>
        <a:bodyPr/>
        <a:lstStyle/>
        <a:p>
          <a:r>
            <a:rPr lang="uk-UA" sz="1100">
              <a:latin typeface="Times New Roman" pitchFamily="18" charset="0"/>
              <a:cs typeface="Times New Roman" pitchFamily="18" charset="0"/>
            </a:rPr>
            <a:t>Відгуки, опитування, рецензії</a:t>
          </a:r>
        </a:p>
      </dgm:t>
    </dgm:pt>
    <dgm:pt modelId="{530FC954-332F-44BD-9C9F-3722B3E157DD}" type="parTrans" cxnId="{5644F228-70FB-4178-9DC5-9C8535B40B8E}">
      <dgm:prSet/>
      <dgm:spPr/>
      <dgm:t>
        <a:bodyPr/>
        <a:lstStyle/>
        <a:p>
          <a:endParaRPr lang="uk-UA"/>
        </a:p>
      </dgm:t>
    </dgm:pt>
    <dgm:pt modelId="{6BCF00AA-F4A8-4A0D-A64D-D2BCCF1D7FB8}" type="sibTrans" cxnId="{5644F228-70FB-4178-9DC5-9C8535B40B8E}">
      <dgm:prSet/>
      <dgm:spPr/>
      <dgm:t>
        <a:bodyPr/>
        <a:lstStyle/>
        <a:p>
          <a:endParaRPr lang="uk-UA"/>
        </a:p>
      </dgm:t>
    </dgm:pt>
    <dgm:pt modelId="{504E0BAB-360E-4B73-993D-6102ADA4FB09}">
      <dgm:prSet custT="1"/>
      <dgm:spPr/>
      <dgm:t>
        <a:bodyPr/>
        <a:lstStyle/>
        <a:p>
          <a:r>
            <a:rPr lang="uk-UA" sz="1100">
              <a:latin typeface="Times New Roman" pitchFamily="18" charset="0"/>
              <a:cs typeface="Times New Roman" pitchFamily="18" charset="0"/>
            </a:rPr>
            <a:t>Реклама, анонси, паблісіті</a:t>
          </a:r>
        </a:p>
      </dgm:t>
    </dgm:pt>
    <dgm:pt modelId="{B8D7B87A-70EB-4C2B-B911-0CC1572F5371}" type="parTrans" cxnId="{CEC07AF1-F2BA-406D-8E4C-962D1AD3FB26}">
      <dgm:prSet/>
      <dgm:spPr/>
      <dgm:t>
        <a:bodyPr/>
        <a:lstStyle/>
        <a:p>
          <a:endParaRPr lang="uk-UA"/>
        </a:p>
      </dgm:t>
    </dgm:pt>
    <dgm:pt modelId="{C5CA4787-4622-4D4B-85EE-49D90D815A05}" type="sibTrans" cxnId="{CEC07AF1-F2BA-406D-8E4C-962D1AD3FB26}">
      <dgm:prSet/>
      <dgm:spPr/>
      <dgm:t>
        <a:bodyPr/>
        <a:lstStyle/>
        <a:p>
          <a:endParaRPr lang="uk-UA"/>
        </a:p>
      </dgm:t>
    </dgm:pt>
    <dgm:pt modelId="{40E9FB22-CC41-4F2D-A133-5E7CD69A4DAE}">
      <dgm:prSet custT="1"/>
      <dgm:spPr/>
      <dgm:t>
        <a:bodyPr/>
        <a:lstStyle/>
        <a:p>
          <a:r>
            <a:rPr lang="uk-UA" sz="1100">
              <a:latin typeface="Times New Roman" pitchFamily="18" charset="0"/>
              <a:cs typeface="Times New Roman" pitchFamily="18" charset="0"/>
            </a:rPr>
            <a:t>Новини, прес-релізи, хроніки</a:t>
          </a:r>
        </a:p>
      </dgm:t>
    </dgm:pt>
    <dgm:pt modelId="{8E1FA406-CB83-4AE6-92D7-2FC15165D59E}" type="parTrans" cxnId="{8028C9A2-C0EF-4125-9D68-D8859B021733}">
      <dgm:prSet/>
      <dgm:spPr/>
      <dgm:t>
        <a:bodyPr/>
        <a:lstStyle/>
        <a:p>
          <a:endParaRPr lang="uk-UA"/>
        </a:p>
      </dgm:t>
    </dgm:pt>
    <dgm:pt modelId="{829E2DFE-55C7-40C7-A744-8DB8BCC87382}" type="sibTrans" cxnId="{8028C9A2-C0EF-4125-9D68-D8859B021733}">
      <dgm:prSet/>
      <dgm:spPr/>
      <dgm:t>
        <a:bodyPr/>
        <a:lstStyle/>
        <a:p>
          <a:endParaRPr lang="uk-UA"/>
        </a:p>
      </dgm:t>
    </dgm:pt>
    <dgm:pt modelId="{85EA0BCC-E80B-4AE1-942F-A09A1FBA811A}">
      <dgm:prSet custT="1"/>
      <dgm:spPr/>
      <dgm:t>
        <a:bodyPr/>
        <a:lstStyle/>
        <a:p>
          <a:r>
            <a:rPr lang="uk-UA" sz="1100" dirty="0">
              <a:latin typeface="Times New Roman" pitchFamily="18" charset="0"/>
              <a:cs typeface="Times New Roman" pitchFamily="18" charset="0"/>
            </a:rPr>
            <a:t>Фото, картинки, </a:t>
          </a:r>
          <a:r>
            <a:rPr lang="uk-UA" sz="1100" dirty="0" err="1">
              <a:latin typeface="Times New Roman" pitchFamily="18" charset="0"/>
              <a:cs typeface="Times New Roman" pitchFamily="18" charset="0"/>
            </a:rPr>
            <a:t>меми</a:t>
          </a:r>
          <a:r>
            <a:rPr lang="uk-UA" sz="1100" dirty="0">
              <a:latin typeface="Times New Roman" pitchFamily="18" charset="0"/>
              <a:cs typeface="Times New Roman" pitchFamily="18" charset="0"/>
            </a:rPr>
            <a:t>, скріншот, колаж, ілюстрація</a:t>
          </a:r>
        </a:p>
      </dgm:t>
    </dgm:pt>
    <dgm:pt modelId="{065F8A3D-B91F-4D07-9F5B-DEFAB057EB10}" type="parTrans" cxnId="{CC446EEC-2F34-4A51-8EC4-CB35FB29358F}">
      <dgm:prSet/>
      <dgm:spPr/>
      <dgm:t>
        <a:bodyPr/>
        <a:lstStyle/>
        <a:p>
          <a:endParaRPr lang="uk-UA"/>
        </a:p>
      </dgm:t>
    </dgm:pt>
    <dgm:pt modelId="{64164289-3157-4128-8C21-DFCF87E87662}" type="sibTrans" cxnId="{CC446EEC-2F34-4A51-8EC4-CB35FB29358F}">
      <dgm:prSet/>
      <dgm:spPr/>
      <dgm:t>
        <a:bodyPr/>
        <a:lstStyle/>
        <a:p>
          <a:endParaRPr lang="uk-UA"/>
        </a:p>
      </dgm:t>
    </dgm:pt>
    <dgm:pt modelId="{1F4090AA-6AF8-4C55-AAE7-C4230ABF89DD}">
      <dgm:prSet custT="1"/>
      <dgm:spPr/>
      <dgm:t>
        <a:bodyPr/>
        <a:lstStyle/>
        <a:p>
          <a:r>
            <a:rPr lang="uk-UA" sz="1100">
              <a:latin typeface="Times New Roman" pitchFamily="18" charset="0"/>
              <a:cs typeface="Times New Roman" pitchFamily="18" charset="0"/>
            </a:rPr>
            <a:t>Рубрики, лайфхаки,  поради, підбірки, консультації</a:t>
          </a:r>
        </a:p>
      </dgm:t>
    </dgm:pt>
    <dgm:pt modelId="{622906E8-C6A9-4399-8303-E86BF38DCF75}" type="parTrans" cxnId="{AE0EF138-AB3D-4941-B8E4-F8A06C50BDF6}">
      <dgm:prSet/>
      <dgm:spPr/>
      <dgm:t>
        <a:bodyPr/>
        <a:lstStyle/>
        <a:p>
          <a:endParaRPr lang="uk-UA"/>
        </a:p>
      </dgm:t>
    </dgm:pt>
    <dgm:pt modelId="{AF34F577-8B82-447C-86DE-674C2AE8F7CA}" type="sibTrans" cxnId="{AE0EF138-AB3D-4941-B8E4-F8A06C50BDF6}">
      <dgm:prSet/>
      <dgm:spPr/>
      <dgm:t>
        <a:bodyPr/>
        <a:lstStyle/>
        <a:p>
          <a:endParaRPr lang="uk-UA"/>
        </a:p>
      </dgm:t>
    </dgm:pt>
    <dgm:pt modelId="{F84ED587-6676-47D8-BD13-47899EE09945}">
      <dgm:prSet custT="1"/>
      <dgm:spPr/>
      <dgm:t>
        <a:bodyPr/>
        <a:lstStyle/>
        <a:p>
          <a:r>
            <a:rPr lang="uk-UA" sz="1100">
              <a:latin typeface="Times New Roman" pitchFamily="18" charset="0"/>
              <a:cs typeface="Times New Roman" pitchFamily="18" charset="0"/>
            </a:rPr>
            <a:t>Електронні книги, журнали, комікси</a:t>
          </a:r>
        </a:p>
      </dgm:t>
    </dgm:pt>
    <dgm:pt modelId="{7042DA2D-A97A-4747-8792-0E65A1C3FE4A}" type="parTrans" cxnId="{61C1240C-F5EB-4B48-A1AA-3CEAE81B6AF5}">
      <dgm:prSet/>
      <dgm:spPr/>
      <dgm:t>
        <a:bodyPr/>
        <a:lstStyle/>
        <a:p>
          <a:endParaRPr lang="uk-UA"/>
        </a:p>
      </dgm:t>
    </dgm:pt>
    <dgm:pt modelId="{67062548-7D11-4C12-A41B-BB628EFF8978}" type="sibTrans" cxnId="{61C1240C-F5EB-4B48-A1AA-3CEAE81B6AF5}">
      <dgm:prSet/>
      <dgm:spPr/>
      <dgm:t>
        <a:bodyPr/>
        <a:lstStyle/>
        <a:p>
          <a:endParaRPr lang="uk-UA"/>
        </a:p>
      </dgm:t>
    </dgm:pt>
    <dgm:pt modelId="{167E2565-91EB-4053-85A5-4D8340DB0DB2}">
      <dgm:prSet custT="1"/>
      <dgm:spPr/>
      <dgm:t>
        <a:bodyPr/>
        <a:lstStyle/>
        <a:p>
          <a:r>
            <a:rPr lang="uk-UA" sz="1100">
              <a:latin typeface="Times New Roman" pitchFamily="18" charset="0"/>
              <a:cs typeface="Times New Roman" pitchFamily="18" charset="0"/>
            </a:rPr>
            <a:t>Питання/ відповідь, обговорення, дебати</a:t>
          </a:r>
        </a:p>
      </dgm:t>
    </dgm:pt>
    <dgm:pt modelId="{905247BB-F1D2-466F-B392-FF087E302140}" type="parTrans" cxnId="{1AF44D70-8BCC-4C57-95B9-68594010D414}">
      <dgm:prSet/>
      <dgm:spPr/>
      <dgm:t>
        <a:bodyPr/>
        <a:lstStyle/>
        <a:p>
          <a:endParaRPr lang="uk-UA"/>
        </a:p>
      </dgm:t>
    </dgm:pt>
    <dgm:pt modelId="{63FA8109-C7D5-41E4-B9DB-F4A150615C3C}" type="sibTrans" cxnId="{1AF44D70-8BCC-4C57-95B9-68594010D414}">
      <dgm:prSet/>
      <dgm:spPr/>
      <dgm:t>
        <a:bodyPr/>
        <a:lstStyle/>
        <a:p>
          <a:endParaRPr lang="uk-UA"/>
        </a:p>
      </dgm:t>
    </dgm:pt>
    <dgm:pt modelId="{88FDE5E4-9F51-4A24-8A81-42CEBBD9672F}">
      <dgm:prSet custT="1"/>
      <dgm:spPr/>
      <dgm:t>
        <a:bodyPr/>
        <a:lstStyle/>
        <a:p>
          <a:r>
            <a:rPr lang="uk-UA" sz="1100" dirty="0" err="1">
              <a:latin typeface="Times New Roman" pitchFamily="18" charset="0"/>
              <a:cs typeface="Times New Roman" pitchFamily="18" charset="0"/>
            </a:rPr>
            <a:t>Інтерактив</a:t>
          </a:r>
          <a:r>
            <a:rPr lang="uk-UA" sz="1100" dirty="0">
              <a:latin typeface="Times New Roman" pitchFamily="18" charset="0"/>
              <a:cs typeface="Times New Roman" pitchFamily="18" charset="0"/>
            </a:rPr>
            <a:t> (вікторини, тести, ігри, </a:t>
          </a:r>
          <a:r>
            <a:rPr lang="uk-UA" sz="1100" dirty="0" err="1">
              <a:latin typeface="Times New Roman" pitchFamily="18" charset="0"/>
              <a:cs typeface="Times New Roman" pitchFamily="18" charset="0"/>
            </a:rPr>
            <a:t>флешмоб</a:t>
          </a:r>
          <a:r>
            <a:rPr lang="uk-UA" sz="1100" dirty="0">
              <a:latin typeface="Times New Roman" pitchFamily="18" charset="0"/>
              <a:cs typeface="Times New Roman" pitchFamily="18" charset="0"/>
            </a:rPr>
            <a:t>, </a:t>
          </a:r>
          <a:r>
            <a:rPr lang="uk-UA" sz="1100" dirty="0" err="1">
              <a:latin typeface="Times New Roman" pitchFamily="18" charset="0"/>
              <a:cs typeface="Times New Roman" pitchFamily="18" charset="0"/>
            </a:rPr>
            <a:t>челендж</a:t>
          </a:r>
          <a:r>
            <a:rPr lang="uk-UA" sz="1100" dirty="0">
              <a:latin typeface="Times New Roman" pitchFamily="18" charset="0"/>
              <a:cs typeface="Times New Roman" pitchFamily="18" charset="0"/>
            </a:rPr>
            <a:t>, конкурс, розіграш, марафон, квіз)</a:t>
          </a:r>
        </a:p>
      </dgm:t>
    </dgm:pt>
    <dgm:pt modelId="{78D4FD39-28B1-403E-BED9-3166F8A13020}" type="parTrans" cxnId="{FF5EA3AE-16A0-4B87-9F17-4DB32A7EC175}">
      <dgm:prSet/>
      <dgm:spPr/>
      <dgm:t>
        <a:bodyPr/>
        <a:lstStyle/>
        <a:p>
          <a:endParaRPr lang="uk-UA"/>
        </a:p>
      </dgm:t>
    </dgm:pt>
    <dgm:pt modelId="{495CAC10-CACC-4CBF-8A28-419FF9F09E71}" type="sibTrans" cxnId="{FF5EA3AE-16A0-4B87-9F17-4DB32A7EC175}">
      <dgm:prSet/>
      <dgm:spPr/>
      <dgm:t>
        <a:bodyPr/>
        <a:lstStyle/>
        <a:p>
          <a:endParaRPr lang="uk-UA"/>
        </a:p>
      </dgm:t>
    </dgm:pt>
    <dgm:pt modelId="{EF14F4FD-93F4-43C2-B4B9-878FA0060E04}">
      <dgm:prSet custT="1"/>
      <dgm:spPr/>
      <dgm:t>
        <a:bodyPr/>
        <a:lstStyle/>
        <a:p>
          <a:r>
            <a:rPr lang="uk-UA" sz="1100" dirty="0">
              <a:latin typeface="Times New Roman" pitchFamily="18" charset="0"/>
              <a:cs typeface="Times New Roman" pitchFamily="18" charset="0"/>
            </a:rPr>
            <a:t>Інтерв'ю, цитати, експертна думка</a:t>
          </a:r>
          <a:r>
            <a:rPr lang="uk-UA" sz="1400" dirty="0">
              <a:latin typeface="Times New Roman" pitchFamily="18" charset="0"/>
              <a:cs typeface="Times New Roman" pitchFamily="18" charset="0"/>
            </a:rPr>
            <a:t> </a:t>
          </a:r>
        </a:p>
      </dgm:t>
    </dgm:pt>
    <dgm:pt modelId="{C45ACDB5-087C-4A84-813D-92DA6B2CCB60}" type="parTrans" cxnId="{014BBF39-2EF3-49F2-A793-E2F9140100FC}">
      <dgm:prSet/>
      <dgm:spPr/>
      <dgm:t>
        <a:bodyPr/>
        <a:lstStyle/>
        <a:p>
          <a:endParaRPr lang="uk-UA"/>
        </a:p>
      </dgm:t>
    </dgm:pt>
    <dgm:pt modelId="{2524EBEC-ABD4-49B1-9D76-2DD9A5C6DD2F}" type="sibTrans" cxnId="{014BBF39-2EF3-49F2-A793-E2F9140100FC}">
      <dgm:prSet/>
      <dgm:spPr/>
      <dgm:t>
        <a:bodyPr/>
        <a:lstStyle/>
        <a:p>
          <a:endParaRPr lang="uk-UA"/>
        </a:p>
      </dgm:t>
    </dgm:pt>
    <dgm:pt modelId="{8FF6FC06-0AEB-49BA-8B4B-5AEC5B14A869}">
      <dgm:prSet custT="1"/>
      <dgm:spPr/>
      <dgm:t>
        <a:bodyPr/>
        <a:lstStyle/>
        <a:p>
          <a:r>
            <a:rPr lang="uk-UA" sz="1100">
              <a:latin typeface="Times New Roman" pitchFamily="18" charset="0"/>
              <a:cs typeface="Times New Roman" pitchFamily="18" charset="0"/>
            </a:rPr>
            <a:t>Інструкції, чек-листи, інформаційні бюлетені, FAQ, гайди, база знань</a:t>
          </a:r>
        </a:p>
      </dgm:t>
    </dgm:pt>
    <dgm:pt modelId="{508E4174-B45A-4A69-A9DC-AA83D4FDFF9B}" type="parTrans" cxnId="{4AC85D5A-B33D-43AA-8B55-5DC73A9F611F}">
      <dgm:prSet/>
      <dgm:spPr/>
      <dgm:t>
        <a:bodyPr/>
        <a:lstStyle/>
        <a:p>
          <a:endParaRPr lang="uk-UA"/>
        </a:p>
      </dgm:t>
    </dgm:pt>
    <dgm:pt modelId="{3BF4D158-0552-4D85-A038-0740BE4E4062}" type="sibTrans" cxnId="{4AC85D5A-B33D-43AA-8B55-5DC73A9F611F}">
      <dgm:prSet/>
      <dgm:spPr/>
      <dgm:t>
        <a:bodyPr/>
        <a:lstStyle/>
        <a:p>
          <a:endParaRPr lang="uk-UA"/>
        </a:p>
      </dgm:t>
    </dgm:pt>
    <dgm:pt modelId="{5F8D4D9D-66A1-4833-9396-3F94C19AF928}">
      <dgm:prSet custT="1"/>
      <dgm:spPr/>
      <dgm:t>
        <a:bodyPr/>
        <a:lstStyle/>
        <a:p>
          <a:r>
            <a:rPr lang="uk-UA" sz="1100">
              <a:latin typeface="Times New Roman" pitchFamily="18" charset="0"/>
              <a:cs typeface="Times New Roman" pitchFamily="18" charset="0"/>
            </a:rPr>
            <a:t>Комерційна пропозиція, діловий лист, лід-магніти</a:t>
          </a:r>
        </a:p>
      </dgm:t>
    </dgm:pt>
    <dgm:pt modelId="{EDC0FD5C-0318-4AEC-A530-916565ECCFA1}" type="parTrans" cxnId="{99B89E8B-2F63-4536-AF95-A7F5292B50D2}">
      <dgm:prSet/>
      <dgm:spPr/>
      <dgm:t>
        <a:bodyPr/>
        <a:lstStyle/>
        <a:p>
          <a:endParaRPr lang="uk-UA"/>
        </a:p>
      </dgm:t>
    </dgm:pt>
    <dgm:pt modelId="{1F1B9ED6-52B3-4273-9B1D-3F2E0F601B6A}" type="sibTrans" cxnId="{99B89E8B-2F63-4536-AF95-A7F5292B50D2}">
      <dgm:prSet/>
      <dgm:spPr/>
      <dgm:t>
        <a:bodyPr/>
        <a:lstStyle/>
        <a:p>
          <a:endParaRPr lang="uk-UA"/>
        </a:p>
      </dgm:t>
    </dgm:pt>
    <dgm:pt modelId="{9D1DA13B-C2F1-4648-B887-1781F279DE2C}">
      <dgm:prSet custT="1"/>
      <dgm:spPr/>
      <dgm:t>
        <a:bodyPr/>
        <a:lstStyle/>
        <a:p>
          <a:r>
            <a:rPr lang="uk-UA" sz="1100">
              <a:latin typeface="Times New Roman" pitchFamily="18" charset="0"/>
              <a:cs typeface="Times New Roman" pitchFamily="18" charset="0"/>
            </a:rPr>
            <a:t>Лонгрід, текстова трансляція</a:t>
          </a:r>
        </a:p>
      </dgm:t>
    </dgm:pt>
    <dgm:pt modelId="{E1E7987A-507C-4CE0-A8C2-B7D3131FB8EA}" type="parTrans" cxnId="{9CBB173E-B4E5-48E6-8AA5-3B3C42259BDF}">
      <dgm:prSet/>
      <dgm:spPr/>
      <dgm:t>
        <a:bodyPr/>
        <a:lstStyle/>
        <a:p>
          <a:endParaRPr lang="uk-UA"/>
        </a:p>
      </dgm:t>
    </dgm:pt>
    <dgm:pt modelId="{95D76B85-D823-4683-BFA6-062698232E2B}" type="sibTrans" cxnId="{9CBB173E-B4E5-48E6-8AA5-3B3C42259BDF}">
      <dgm:prSet/>
      <dgm:spPr/>
      <dgm:t>
        <a:bodyPr/>
        <a:lstStyle/>
        <a:p>
          <a:endParaRPr lang="uk-UA"/>
        </a:p>
      </dgm:t>
    </dgm:pt>
    <dgm:pt modelId="{2FB5DE2C-F8DF-482F-8560-2BCD2B1D63F7}">
      <dgm:prSet custT="1"/>
      <dgm:spPr/>
      <dgm:t>
        <a:bodyPr/>
        <a:lstStyle/>
        <a:p>
          <a:r>
            <a:rPr lang="uk-UA" sz="1200">
              <a:latin typeface="Times New Roman" pitchFamily="18" charset="0"/>
              <a:cs typeface="Times New Roman" pitchFamily="18" charset="0"/>
            </a:rPr>
            <a:t>Анімація, карусель, сінемаграфіка, бумеранг</a:t>
          </a:r>
        </a:p>
      </dgm:t>
    </dgm:pt>
    <dgm:pt modelId="{2C7A9050-4B08-44E9-9B05-2F29C415DD4F}" type="parTrans" cxnId="{498D1497-8770-4F60-BD23-EC7CDB9E0164}">
      <dgm:prSet/>
      <dgm:spPr/>
      <dgm:t>
        <a:bodyPr/>
        <a:lstStyle/>
        <a:p>
          <a:endParaRPr lang="uk-UA"/>
        </a:p>
      </dgm:t>
    </dgm:pt>
    <dgm:pt modelId="{30A1796F-683B-40BD-BEEC-32CD0C734E55}" type="sibTrans" cxnId="{498D1497-8770-4F60-BD23-EC7CDB9E0164}">
      <dgm:prSet/>
      <dgm:spPr/>
      <dgm:t>
        <a:bodyPr/>
        <a:lstStyle/>
        <a:p>
          <a:endParaRPr lang="uk-UA"/>
        </a:p>
      </dgm:t>
    </dgm:pt>
    <dgm:pt modelId="{372C7EB4-3EBE-478F-BFFE-9F28A1F19C4A}">
      <dgm:prSet custT="1"/>
      <dgm:spPr/>
      <dgm:t>
        <a:bodyPr/>
        <a:lstStyle/>
        <a:p>
          <a:r>
            <a:rPr lang="uk-UA" sz="1200">
              <a:latin typeface="Times New Roman" pitchFamily="18" charset="0"/>
              <a:cs typeface="Times New Roman" pitchFamily="18" charset="0"/>
            </a:rPr>
            <a:t>Статуси, підписи</a:t>
          </a:r>
        </a:p>
      </dgm:t>
    </dgm:pt>
    <dgm:pt modelId="{79B5A0BF-9ED1-499F-A014-B51D507A57D0}" type="parTrans" cxnId="{AD5290A1-1107-4B02-84D1-5EBD242635EC}">
      <dgm:prSet/>
      <dgm:spPr/>
      <dgm:t>
        <a:bodyPr/>
        <a:lstStyle/>
        <a:p>
          <a:endParaRPr lang="uk-UA"/>
        </a:p>
      </dgm:t>
    </dgm:pt>
    <dgm:pt modelId="{A0431036-BCE8-4A18-97E5-BF3EF92E67FB}" type="sibTrans" cxnId="{AD5290A1-1107-4B02-84D1-5EBD242635EC}">
      <dgm:prSet/>
      <dgm:spPr/>
      <dgm:t>
        <a:bodyPr/>
        <a:lstStyle/>
        <a:p>
          <a:endParaRPr lang="uk-UA"/>
        </a:p>
      </dgm:t>
    </dgm:pt>
    <dgm:pt modelId="{8602DAA1-38A2-4DEB-AEB3-3E27716C5654}">
      <dgm:prSet custT="1"/>
      <dgm:spPr/>
      <dgm:t>
        <a:bodyPr/>
        <a:lstStyle/>
        <a:p>
          <a:r>
            <a:rPr lang="uk-UA" sz="1200">
              <a:latin typeface="Times New Roman" pitchFamily="18" charset="0"/>
              <a:cs typeface="Times New Roman" pitchFamily="18" charset="0"/>
            </a:rPr>
            <a:t>Щоденнник, блог</a:t>
          </a:r>
        </a:p>
      </dgm:t>
    </dgm:pt>
    <dgm:pt modelId="{4D9D91E7-BE99-4691-97BE-B8C8DD83F84F}" type="parTrans" cxnId="{A288DE3B-054A-490A-8557-06D30C4CB5CA}">
      <dgm:prSet/>
      <dgm:spPr/>
      <dgm:t>
        <a:bodyPr/>
        <a:lstStyle/>
        <a:p>
          <a:endParaRPr lang="uk-UA"/>
        </a:p>
      </dgm:t>
    </dgm:pt>
    <dgm:pt modelId="{013CB4B9-9BC9-42B3-8869-5D3A8F79CB66}" type="sibTrans" cxnId="{A288DE3B-054A-490A-8557-06D30C4CB5CA}">
      <dgm:prSet/>
      <dgm:spPr/>
      <dgm:t>
        <a:bodyPr/>
        <a:lstStyle/>
        <a:p>
          <a:endParaRPr lang="uk-UA"/>
        </a:p>
      </dgm:t>
    </dgm:pt>
    <dgm:pt modelId="{BBA49F5E-DE08-4012-9254-D6815BEF5CB1}">
      <dgm:prSet/>
      <dgm:spPr/>
      <dgm:t>
        <a:bodyPr/>
        <a:lstStyle/>
        <a:p>
          <a:r>
            <a:rPr lang="uk-UA">
              <a:latin typeface="Times New Roman" pitchFamily="18" charset="0"/>
              <a:cs typeface="Times New Roman" pitchFamily="18" charset="0"/>
            </a:rPr>
            <a:t>Історичні довідки, біографії</a:t>
          </a:r>
        </a:p>
      </dgm:t>
    </dgm:pt>
    <dgm:pt modelId="{6A10006A-BFD0-4712-B6BA-5F7CE5AEB6EC}" type="parTrans" cxnId="{32030C2D-73E9-4B77-A8DF-71AD6E781CCD}">
      <dgm:prSet/>
      <dgm:spPr/>
      <dgm:t>
        <a:bodyPr/>
        <a:lstStyle/>
        <a:p>
          <a:endParaRPr lang="uk-UA"/>
        </a:p>
      </dgm:t>
    </dgm:pt>
    <dgm:pt modelId="{49DB498F-2931-4F87-8448-BAD47A335EBA}" type="sibTrans" cxnId="{32030C2D-73E9-4B77-A8DF-71AD6E781CCD}">
      <dgm:prSet/>
      <dgm:spPr/>
      <dgm:t>
        <a:bodyPr/>
        <a:lstStyle/>
        <a:p>
          <a:endParaRPr lang="uk-UA"/>
        </a:p>
      </dgm:t>
    </dgm:pt>
    <dgm:pt modelId="{BC4BBC88-674A-4757-800F-D15301F47362}">
      <dgm:prSet/>
      <dgm:spPr/>
      <dgm:t>
        <a:bodyPr/>
        <a:lstStyle/>
        <a:p>
          <a:r>
            <a:rPr lang="uk-UA">
              <a:latin typeface="Times New Roman" pitchFamily="18" charset="0"/>
              <a:cs typeface="Times New Roman" pitchFamily="18" charset="0"/>
            </a:rPr>
            <a:t>Повідомлення в формі СМС, електронного листа, пуш-повідомлення</a:t>
          </a:r>
        </a:p>
      </dgm:t>
    </dgm:pt>
    <dgm:pt modelId="{A5713661-E44F-4D4D-8AE5-683DC63B23B0}" type="parTrans" cxnId="{75382B6D-E94C-4FF8-969B-D466E1505AF6}">
      <dgm:prSet/>
      <dgm:spPr/>
      <dgm:t>
        <a:bodyPr/>
        <a:lstStyle/>
        <a:p>
          <a:endParaRPr lang="uk-UA"/>
        </a:p>
      </dgm:t>
    </dgm:pt>
    <dgm:pt modelId="{C068E2B2-12C2-4ADA-9BE2-B9A98C267298}" type="sibTrans" cxnId="{75382B6D-E94C-4FF8-969B-D466E1505AF6}">
      <dgm:prSet/>
      <dgm:spPr/>
      <dgm:t>
        <a:bodyPr/>
        <a:lstStyle/>
        <a:p>
          <a:endParaRPr lang="uk-UA"/>
        </a:p>
      </dgm:t>
    </dgm:pt>
    <dgm:pt modelId="{3DF171B0-FE30-4C13-945B-32EFC68B8A4C}">
      <dgm:prSet/>
      <dgm:spPr/>
      <dgm:t>
        <a:bodyPr/>
        <a:lstStyle/>
        <a:p>
          <a:r>
            <a:rPr lang="uk-UA">
              <a:latin typeface="Times New Roman" pitchFamily="18" charset="0"/>
              <a:cs typeface="Times New Roman" pitchFamily="18" charset="0"/>
            </a:rPr>
            <a:t>Калькулятори, веб-форми, конструктори, сервіси</a:t>
          </a:r>
        </a:p>
      </dgm:t>
    </dgm:pt>
    <dgm:pt modelId="{08CCDAD1-4D8C-486F-9EBE-D446AC1DC8EB}" type="parTrans" cxnId="{FFDE1E2B-644D-42AB-9DCB-ED2D0F54A559}">
      <dgm:prSet/>
      <dgm:spPr/>
      <dgm:t>
        <a:bodyPr/>
        <a:lstStyle/>
        <a:p>
          <a:endParaRPr lang="uk-UA"/>
        </a:p>
      </dgm:t>
    </dgm:pt>
    <dgm:pt modelId="{26403440-BA3D-4DEC-AE29-46C49AC78EC7}" type="sibTrans" cxnId="{FFDE1E2B-644D-42AB-9DCB-ED2D0F54A559}">
      <dgm:prSet/>
      <dgm:spPr/>
      <dgm:t>
        <a:bodyPr/>
        <a:lstStyle/>
        <a:p>
          <a:endParaRPr lang="uk-UA"/>
        </a:p>
      </dgm:t>
    </dgm:pt>
    <dgm:pt modelId="{8DA53C17-CDC4-4BD7-BA35-400002734F20}">
      <dgm:prSet/>
      <dgm:spPr/>
      <dgm:t>
        <a:bodyPr/>
        <a:lstStyle/>
        <a:p>
          <a:r>
            <a:rPr lang="uk-UA">
              <a:latin typeface="Times New Roman" pitchFamily="18" charset="0"/>
              <a:cs typeface="Times New Roman" pitchFamily="18" charset="0"/>
            </a:rPr>
            <a:t>Списки, рейтинги</a:t>
          </a:r>
        </a:p>
      </dgm:t>
    </dgm:pt>
    <dgm:pt modelId="{7FA37B23-FEE6-4B0E-8E0A-7C4F1E89A00D}" type="parTrans" cxnId="{34D04EE7-4FAD-4151-9D62-4CDBBF573524}">
      <dgm:prSet/>
      <dgm:spPr/>
      <dgm:t>
        <a:bodyPr/>
        <a:lstStyle/>
        <a:p>
          <a:endParaRPr lang="uk-UA"/>
        </a:p>
      </dgm:t>
    </dgm:pt>
    <dgm:pt modelId="{5C6557EF-2F84-47DE-B41D-6B04363C1960}" type="sibTrans" cxnId="{34D04EE7-4FAD-4151-9D62-4CDBBF573524}">
      <dgm:prSet/>
      <dgm:spPr/>
      <dgm:t>
        <a:bodyPr/>
        <a:lstStyle/>
        <a:p>
          <a:endParaRPr lang="uk-UA"/>
        </a:p>
      </dgm:t>
    </dgm:pt>
    <dgm:pt modelId="{0E6A412B-844D-4F7C-A0F8-D34DC2EA2C19}">
      <dgm:prSet/>
      <dgm:spPr/>
      <dgm:t>
        <a:bodyPr/>
        <a:lstStyle/>
        <a:p>
          <a:r>
            <a:rPr lang="uk-UA">
              <a:latin typeface="Times New Roman" pitchFamily="18" charset="0"/>
              <a:cs typeface="Times New Roman" pitchFamily="18" charset="0"/>
            </a:rPr>
            <a:t>Матеріали для завантаження</a:t>
          </a:r>
        </a:p>
      </dgm:t>
    </dgm:pt>
    <dgm:pt modelId="{58C89263-CBB7-42AA-AA6A-EF7074D6C520}" type="parTrans" cxnId="{344DE280-4054-4477-AFEC-CDECF35EE60F}">
      <dgm:prSet/>
      <dgm:spPr/>
      <dgm:t>
        <a:bodyPr/>
        <a:lstStyle/>
        <a:p>
          <a:endParaRPr lang="uk-UA"/>
        </a:p>
      </dgm:t>
    </dgm:pt>
    <dgm:pt modelId="{016C922E-8E42-4964-8CFD-02035F337432}" type="sibTrans" cxnId="{344DE280-4054-4477-AFEC-CDECF35EE60F}">
      <dgm:prSet/>
      <dgm:spPr/>
      <dgm:t>
        <a:bodyPr/>
        <a:lstStyle/>
        <a:p>
          <a:endParaRPr lang="uk-UA"/>
        </a:p>
      </dgm:t>
    </dgm:pt>
    <dgm:pt modelId="{2C41BDE9-E0E0-470B-AECA-C97B7F24E676}">
      <dgm:prSet/>
      <dgm:spPr/>
      <dgm:t>
        <a:bodyPr/>
        <a:lstStyle/>
        <a:p>
          <a:r>
            <a:rPr lang="uk-UA">
              <a:latin typeface="Times New Roman" pitchFamily="18" charset="0"/>
              <a:cs typeface="Times New Roman" pitchFamily="18" charset="0"/>
            </a:rPr>
            <a:t>Ігрові формати, </a:t>
          </a:r>
          <a:r>
            <a:rPr lang="en-US">
              <a:latin typeface="Times New Roman" pitchFamily="18" charset="0"/>
              <a:cs typeface="Times New Roman" pitchFamily="18" charset="0"/>
            </a:rPr>
            <a:t>AR</a:t>
          </a:r>
          <a:r>
            <a:rPr lang="uk-UA">
              <a:latin typeface="Times New Roman" pitchFamily="18" charset="0"/>
              <a:cs typeface="Times New Roman" pitchFamily="18" charset="0"/>
            </a:rPr>
            <a:t>-технологія </a:t>
          </a:r>
        </a:p>
      </dgm:t>
    </dgm:pt>
    <dgm:pt modelId="{0E7EECD7-CA79-46CB-9C76-E274A487FF79}" type="parTrans" cxnId="{A697D194-4AF3-48E9-BF4E-45E9E247A78F}">
      <dgm:prSet/>
      <dgm:spPr/>
      <dgm:t>
        <a:bodyPr/>
        <a:lstStyle/>
        <a:p>
          <a:endParaRPr lang="uk-UA"/>
        </a:p>
      </dgm:t>
    </dgm:pt>
    <dgm:pt modelId="{8960C73B-AB76-4036-8E48-B9040112E90B}" type="sibTrans" cxnId="{A697D194-4AF3-48E9-BF4E-45E9E247A78F}">
      <dgm:prSet/>
      <dgm:spPr/>
      <dgm:t>
        <a:bodyPr/>
        <a:lstStyle/>
        <a:p>
          <a:endParaRPr lang="uk-UA"/>
        </a:p>
      </dgm:t>
    </dgm:pt>
    <dgm:pt modelId="{175EE0C9-D821-43AA-B855-75C482FF6D83}" type="pres">
      <dgm:prSet presAssocID="{4047558D-2750-47B1-8096-8BC4F83EEF62}" presName="diagram" presStyleCnt="0">
        <dgm:presLayoutVars>
          <dgm:dir/>
          <dgm:resizeHandles val="exact"/>
        </dgm:presLayoutVars>
      </dgm:prSet>
      <dgm:spPr/>
    </dgm:pt>
    <dgm:pt modelId="{C8B4D6E0-CA5E-45AF-A718-CB65F6C14369}" type="pres">
      <dgm:prSet presAssocID="{C04CC334-E052-41BC-8E5C-3C4EEA64F16B}" presName="node" presStyleLbl="node1" presStyleIdx="0" presStyleCnt="27">
        <dgm:presLayoutVars>
          <dgm:bulletEnabled val="1"/>
        </dgm:presLayoutVars>
      </dgm:prSet>
      <dgm:spPr/>
    </dgm:pt>
    <dgm:pt modelId="{C0545984-CB08-46C5-9B2F-324D4CC2BC1C}" type="pres">
      <dgm:prSet presAssocID="{873415CB-3067-4AC0-8293-DE47B8593229}" presName="sibTrans" presStyleCnt="0"/>
      <dgm:spPr/>
    </dgm:pt>
    <dgm:pt modelId="{384A8514-6033-445D-9948-625385818A20}" type="pres">
      <dgm:prSet presAssocID="{561AA82A-330A-44C6-80B9-B7A6799B0817}" presName="node" presStyleLbl="node1" presStyleIdx="1" presStyleCnt="27">
        <dgm:presLayoutVars>
          <dgm:bulletEnabled val="1"/>
        </dgm:presLayoutVars>
      </dgm:prSet>
      <dgm:spPr/>
    </dgm:pt>
    <dgm:pt modelId="{FEF38E23-450A-4688-82A5-4D2F6E712C5A}" type="pres">
      <dgm:prSet presAssocID="{6EBE71C5-D33B-4B23-AA3D-2E8899544449}" presName="sibTrans" presStyleCnt="0"/>
      <dgm:spPr/>
    </dgm:pt>
    <dgm:pt modelId="{3FBBABA4-6D4D-4DF7-807A-DD70E57FFF30}" type="pres">
      <dgm:prSet presAssocID="{A7632688-6F9F-48FC-99D4-952C9A864AE2}" presName="node" presStyleLbl="node1" presStyleIdx="2" presStyleCnt="27">
        <dgm:presLayoutVars>
          <dgm:bulletEnabled val="1"/>
        </dgm:presLayoutVars>
      </dgm:prSet>
      <dgm:spPr/>
    </dgm:pt>
    <dgm:pt modelId="{18B2C221-B53C-4757-B222-FE76F576EA4E}" type="pres">
      <dgm:prSet presAssocID="{E0637B40-E2AE-424B-8C08-9575E680770A}" presName="sibTrans" presStyleCnt="0"/>
      <dgm:spPr/>
    </dgm:pt>
    <dgm:pt modelId="{E86200C3-868B-409E-BE69-7E844A471BBF}" type="pres">
      <dgm:prSet presAssocID="{534A0534-675B-4F69-B5C5-F1886F5FC77F}" presName="node" presStyleLbl="node1" presStyleIdx="3" presStyleCnt="27">
        <dgm:presLayoutVars>
          <dgm:bulletEnabled val="1"/>
        </dgm:presLayoutVars>
      </dgm:prSet>
      <dgm:spPr/>
    </dgm:pt>
    <dgm:pt modelId="{11CCDB23-6093-4DC0-9EB8-198FC7F3B8BD}" type="pres">
      <dgm:prSet presAssocID="{9A3492EA-08E7-4354-9EBE-801CAE82F42D}" presName="sibTrans" presStyleCnt="0"/>
      <dgm:spPr/>
    </dgm:pt>
    <dgm:pt modelId="{FEDA1E22-D1FB-4CBF-89BB-74B2FFE7D9CC}" type="pres">
      <dgm:prSet presAssocID="{749DD3BB-C4A2-4B2B-94BF-C49B09A9E8C7}" presName="node" presStyleLbl="node1" presStyleIdx="4" presStyleCnt="27">
        <dgm:presLayoutVars>
          <dgm:bulletEnabled val="1"/>
        </dgm:presLayoutVars>
      </dgm:prSet>
      <dgm:spPr/>
    </dgm:pt>
    <dgm:pt modelId="{CE84F455-887E-4D34-AE7B-9A60C6C8141E}" type="pres">
      <dgm:prSet presAssocID="{DE0D7DFE-3442-4993-A360-A9DF6441F85E}" presName="sibTrans" presStyleCnt="0"/>
      <dgm:spPr/>
    </dgm:pt>
    <dgm:pt modelId="{8975B19F-C77A-405A-BB5B-A0EBDC7A53B0}" type="pres">
      <dgm:prSet presAssocID="{3F031C51-2203-4563-A6EE-B54F04FFD273}" presName="node" presStyleLbl="node1" presStyleIdx="5" presStyleCnt="27">
        <dgm:presLayoutVars>
          <dgm:bulletEnabled val="1"/>
        </dgm:presLayoutVars>
      </dgm:prSet>
      <dgm:spPr/>
    </dgm:pt>
    <dgm:pt modelId="{5EEF87A0-13BC-4933-8F5B-281BD038CA14}" type="pres">
      <dgm:prSet presAssocID="{DECAD6C6-FD0A-4E9C-90D3-10E711CCFAFA}" presName="sibTrans" presStyleCnt="0"/>
      <dgm:spPr/>
    </dgm:pt>
    <dgm:pt modelId="{F3A28015-7479-4938-9E10-F92A6083F0AD}" type="pres">
      <dgm:prSet presAssocID="{1F4090AA-6AF8-4C55-AAE7-C4230ABF89DD}" presName="node" presStyleLbl="node1" presStyleIdx="6" presStyleCnt="27">
        <dgm:presLayoutVars>
          <dgm:bulletEnabled val="1"/>
        </dgm:presLayoutVars>
      </dgm:prSet>
      <dgm:spPr/>
    </dgm:pt>
    <dgm:pt modelId="{DC3ADB0C-56DA-49E3-B16C-257E415BB3B5}" type="pres">
      <dgm:prSet presAssocID="{AF34F577-8B82-447C-86DE-674C2AE8F7CA}" presName="sibTrans" presStyleCnt="0"/>
      <dgm:spPr/>
    </dgm:pt>
    <dgm:pt modelId="{2499945E-0660-4735-99D6-751B7930D734}" type="pres">
      <dgm:prSet presAssocID="{EE02FE84-EFE6-49E5-B5B3-E5355CE1A8D5}" presName="node" presStyleLbl="node1" presStyleIdx="7" presStyleCnt="27">
        <dgm:presLayoutVars>
          <dgm:bulletEnabled val="1"/>
        </dgm:presLayoutVars>
      </dgm:prSet>
      <dgm:spPr/>
    </dgm:pt>
    <dgm:pt modelId="{47EE5DA2-ABDD-4F9F-AA25-527BF8BD4F7A}" type="pres">
      <dgm:prSet presAssocID="{6BCF00AA-F4A8-4A0D-A64D-D2BCCF1D7FB8}" presName="sibTrans" presStyleCnt="0"/>
      <dgm:spPr/>
    </dgm:pt>
    <dgm:pt modelId="{29CE54C6-B9B3-41C1-8699-28C38B7C51CE}" type="pres">
      <dgm:prSet presAssocID="{504E0BAB-360E-4B73-993D-6102ADA4FB09}" presName="node" presStyleLbl="node1" presStyleIdx="8" presStyleCnt="27">
        <dgm:presLayoutVars>
          <dgm:bulletEnabled val="1"/>
        </dgm:presLayoutVars>
      </dgm:prSet>
      <dgm:spPr/>
    </dgm:pt>
    <dgm:pt modelId="{E07CBAC5-9FFB-43E8-8C53-A4C519912385}" type="pres">
      <dgm:prSet presAssocID="{C5CA4787-4622-4D4B-85EE-49D90D815A05}" presName="sibTrans" presStyleCnt="0"/>
      <dgm:spPr/>
    </dgm:pt>
    <dgm:pt modelId="{4811CDE2-8ACF-4A2C-83B2-58AB22495A84}" type="pres">
      <dgm:prSet presAssocID="{40E9FB22-CC41-4F2D-A133-5E7CD69A4DAE}" presName="node" presStyleLbl="node1" presStyleIdx="9" presStyleCnt="27">
        <dgm:presLayoutVars>
          <dgm:bulletEnabled val="1"/>
        </dgm:presLayoutVars>
      </dgm:prSet>
      <dgm:spPr/>
    </dgm:pt>
    <dgm:pt modelId="{ADF2AD3B-CABA-4912-B240-E44F3913FBB3}" type="pres">
      <dgm:prSet presAssocID="{829E2DFE-55C7-40C7-A744-8DB8BCC87382}" presName="sibTrans" presStyleCnt="0"/>
      <dgm:spPr/>
    </dgm:pt>
    <dgm:pt modelId="{E04C1BA2-6056-4F36-85A8-4D3F7F5294A5}" type="pres">
      <dgm:prSet presAssocID="{85EA0BCC-E80B-4AE1-942F-A09A1FBA811A}" presName="node" presStyleLbl="node1" presStyleIdx="10" presStyleCnt="27">
        <dgm:presLayoutVars>
          <dgm:bulletEnabled val="1"/>
        </dgm:presLayoutVars>
      </dgm:prSet>
      <dgm:spPr/>
    </dgm:pt>
    <dgm:pt modelId="{89A5A13A-A934-463F-B4BE-2E3411AB38C3}" type="pres">
      <dgm:prSet presAssocID="{64164289-3157-4128-8C21-DFCF87E87662}" presName="sibTrans" presStyleCnt="0"/>
      <dgm:spPr/>
    </dgm:pt>
    <dgm:pt modelId="{54E83B21-79D2-430E-906F-6E23B67973EE}" type="pres">
      <dgm:prSet presAssocID="{F84ED587-6676-47D8-BD13-47899EE09945}" presName="node" presStyleLbl="node1" presStyleIdx="11" presStyleCnt="27">
        <dgm:presLayoutVars>
          <dgm:bulletEnabled val="1"/>
        </dgm:presLayoutVars>
      </dgm:prSet>
      <dgm:spPr/>
    </dgm:pt>
    <dgm:pt modelId="{63E5D8BF-9E19-402B-BB79-876BBE5357EF}" type="pres">
      <dgm:prSet presAssocID="{67062548-7D11-4C12-A41B-BB628EFF8978}" presName="sibTrans" presStyleCnt="0"/>
      <dgm:spPr/>
    </dgm:pt>
    <dgm:pt modelId="{5D748867-B06E-4E0A-ABB6-EDA2E8C528B4}" type="pres">
      <dgm:prSet presAssocID="{167E2565-91EB-4053-85A5-4D8340DB0DB2}" presName="node" presStyleLbl="node1" presStyleIdx="12" presStyleCnt="27">
        <dgm:presLayoutVars>
          <dgm:bulletEnabled val="1"/>
        </dgm:presLayoutVars>
      </dgm:prSet>
      <dgm:spPr/>
    </dgm:pt>
    <dgm:pt modelId="{E56CED45-DF15-4337-A15A-C2CD03177179}" type="pres">
      <dgm:prSet presAssocID="{63FA8109-C7D5-41E4-B9DB-F4A150615C3C}" presName="sibTrans" presStyleCnt="0"/>
      <dgm:spPr/>
    </dgm:pt>
    <dgm:pt modelId="{DC057431-5570-4200-AF68-3A78F2596674}" type="pres">
      <dgm:prSet presAssocID="{88FDE5E4-9F51-4A24-8A81-42CEBBD9672F}" presName="node" presStyleLbl="node1" presStyleIdx="13" presStyleCnt="27">
        <dgm:presLayoutVars>
          <dgm:bulletEnabled val="1"/>
        </dgm:presLayoutVars>
      </dgm:prSet>
      <dgm:spPr/>
    </dgm:pt>
    <dgm:pt modelId="{248DEA81-B6FC-416B-8EAC-4DFB71943BEC}" type="pres">
      <dgm:prSet presAssocID="{495CAC10-CACC-4CBF-8A28-419FF9F09E71}" presName="sibTrans" presStyleCnt="0"/>
      <dgm:spPr/>
    </dgm:pt>
    <dgm:pt modelId="{93898EB3-DD07-451D-9622-7E899CAC398F}" type="pres">
      <dgm:prSet presAssocID="{EF14F4FD-93F4-43C2-B4B9-878FA0060E04}" presName="node" presStyleLbl="node1" presStyleIdx="14" presStyleCnt="27">
        <dgm:presLayoutVars>
          <dgm:bulletEnabled val="1"/>
        </dgm:presLayoutVars>
      </dgm:prSet>
      <dgm:spPr/>
    </dgm:pt>
    <dgm:pt modelId="{75229F4D-6AB6-4224-85E9-BBB3431A0E5A}" type="pres">
      <dgm:prSet presAssocID="{2524EBEC-ABD4-49B1-9D76-2DD9A5C6DD2F}" presName="sibTrans" presStyleCnt="0"/>
      <dgm:spPr/>
    </dgm:pt>
    <dgm:pt modelId="{16A02FE2-B928-4E91-8732-53E3D437F6A3}" type="pres">
      <dgm:prSet presAssocID="{8FF6FC06-0AEB-49BA-8B4B-5AEC5B14A869}" presName="node" presStyleLbl="node1" presStyleIdx="15" presStyleCnt="27">
        <dgm:presLayoutVars>
          <dgm:bulletEnabled val="1"/>
        </dgm:presLayoutVars>
      </dgm:prSet>
      <dgm:spPr/>
    </dgm:pt>
    <dgm:pt modelId="{1AAC45BD-CBD6-4082-9D06-46D04AD0F31F}" type="pres">
      <dgm:prSet presAssocID="{3BF4D158-0552-4D85-A038-0740BE4E4062}" presName="sibTrans" presStyleCnt="0"/>
      <dgm:spPr/>
    </dgm:pt>
    <dgm:pt modelId="{7A4F2193-64A4-4215-B4DD-4CFAC1B72958}" type="pres">
      <dgm:prSet presAssocID="{5F8D4D9D-66A1-4833-9396-3F94C19AF928}" presName="node" presStyleLbl="node1" presStyleIdx="16" presStyleCnt="27">
        <dgm:presLayoutVars>
          <dgm:bulletEnabled val="1"/>
        </dgm:presLayoutVars>
      </dgm:prSet>
      <dgm:spPr/>
    </dgm:pt>
    <dgm:pt modelId="{5693EFC0-281A-497C-96E3-19CB6E48E4EA}" type="pres">
      <dgm:prSet presAssocID="{1F1B9ED6-52B3-4273-9B1D-3F2E0F601B6A}" presName="sibTrans" presStyleCnt="0"/>
      <dgm:spPr/>
    </dgm:pt>
    <dgm:pt modelId="{BE5CFEFA-ABAB-4CC1-98BF-6D34C4AA5C38}" type="pres">
      <dgm:prSet presAssocID="{9D1DA13B-C2F1-4648-B887-1781F279DE2C}" presName="node" presStyleLbl="node1" presStyleIdx="17" presStyleCnt="27">
        <dgm:presLayoutVars>
          <dgm:bulletEnabled val="1"/>
        </dgm:presLayoutVars>
      </dgm:prSet>
      <dgm:spPr/>
    </dgm:pt>
    <dgm:pt modelId="{13D9C481-AA7F-4A64-ABFD-62F9BB8F6F51}" type="pres">
      <dgm:prSet presAssocID="{95D76B85-D823-4683-BFA6-062698232E2B}" presName="sibTrans" presStyleCnt="0"/>
      <dgm:spPr/>
    </dgm:pt>
    <dgm:pt modelId="{778D4B02-70A4-44C3-A8C1-7DD2890FAB3D}" type="pres">
      <dgm:prSet presAssocID="{2FB5DE2C-F8DF-482F-8560-2BCD2B1D63F7}" presName="node" presStyleLbl="node1" presStyleIdx="18" presStyleCnt="27">
        <dgm:presLayoutVars>
          <dgm:bulletEnabled val="1"/>
        </dgm:presLayoutVars>
      </dgm:prSet>
      <dgm:spPr/>
    </dgm:pt>
    <dgm:pt modelId="{ABD7CE09-7DFE-4380-8983-35E2E767DBF3}" type="pres">
      <dgm:prSet presAssocID="{30A1796F-683B-40BD-BEEC-32CD0C734E55}" presName="sibTrans" presStyleCnt="0"/>
      <dgm:spPr/>
    </dgm:pt>
    <dgm:pt modelId="{14424504-BFB4-426C-9301-09E6C0012D06}" type="pres">
      <dgm:prSet presAssocID="{372C7EB4-3EBE-478F-BFFE-9F28A1F19C4A}" presName="node" presStyleLbl="node1" presStyleIdx="19" presStyleCnt="27">
        <dgm:presLayoutVars>
          <dgm:bulletEnabled val="1"/>
        </dgm:presLayoutVars>
      </dgm:prSet>
      <dgm:spPr/>
    </dgm:pt>
    <dgm:pt modelId="{60DC6783-9375-4F8F-936C-D38CD8C70259}" type="pres">
      <dgm:prSet presAssocID="{A0431036-BCE8-4A18-97E5-BF3EF92E67FB}" presName="sibTrans" presStyleCnt="0"/>
      <dgm:spPr/>
    </dgm:pt>
    <dgm:pt modelId="{D5F02F41-1F7F-4DC8-905B-88047C827B37}" type="pres">
      <dgm:prSet presAssocID="{8602DAA1-38A2-4DEB-AEB3-3E27716C5654}" presName="node" presStyleLbl="node1" presStyleIdx="20" presStyleCnt="27">
        <dgm:presLayoutVars>
          <dgm:bulletEnabled val="1"/>
        </dgm:presLayoutVars>
      </dgm:prSet>
      <dgm:spPr/>
    </dgm:pt>
    <dgm:pt modelId="{438B60E7-9E0D-4225-B566-722F86B7378C}" type="pres">
      <dgm:prSet presAssocID="{013CB4B9-9BC9-42B3-8869-5D3A8F79CB66}" presName="sibTrans" presStyleCnt="0"/>
      <dgm:spPr/>
    </dgm:pt>
    <dgm:pt modelId="{D5B53764-F8D9-40F0-8870-A4F425E5A2D9}" type="pres">
      <dgm:prSet presAssocID="{BBA49F5E-DE08-4012-9254-D6815BEF5CB1}" presName="node" presStyleLbl="node1" presStyleIdx="21" presStyleCnt="27">
        <dgm:presLayoutVars>
          <dgm:bulletEnabled val="1"/>
        </dgm:presLayoutVars>
      </dgm:prSet>
      <dgm:spPr/>
    </dgm:pt>
    <dgm:pt modelId="{C36CFCCD-A6DF-408A-ABC0-67577DAC7E2D}" type="pres">
      <dgm:prSet presAssocID="{49DB498F-2931-4F87-8448-BAD47A335EBA}" presName="sibTrans" presStyleCnt="0"/>
      <dgm:spPr/>
    </dgm:pt>
    <dgm:pt modelId="{0C548B61-E8DF-4DD4-96CA-182DDAD523A2}" type="pres">
      <dgm:prSet presAssocID="{BC4BBC88-674A-4757-800F-D15301F47362}" presName="node" presStyleLbl="node1" presStyleIdx="22" presStyleCnt="27">
        <dgm:presLayoutVars>
          <dgm:bulletEnabled val="1"/>
        </dgm:presLayoutVars>
      </dgm:prSet>
      <dgm:spPr/>
    </dgm:pt>
    <dgm:pt modelId="{E8DD49D1-FFA9-4273-806C-A3E6AB6E727A}" type="pres">
      <dgm:prSet presAssocID="{C068E2B2-12C2-4ADA-9BE2-B9A98C267298}" presName="sibTrans" presStyleCnt="0"/>
      <dgm:spPr/>
    </dgm:pt>
    <dgm:pt modelId="{DEEA0F84-D02C-4A32-9509-D5D2D4B88FDB}" type="pres">
      <dgm:prSet presAssocID="{3DF171B0-FE30-4C13-945B-32EFC68B8A4C}" presName="node" presStyleLbl="node1" presStyleIdx="23" presStyleCnt="27">
        <dgm:presLayoutVars>
          <dgm:bulletEnabled val="1"/>
        </dgm:presLayoutVars>
      </dgm:prSet>
      <dgm:spPr/>
    </dgm:pt>
    <dgm:pt modelId="{C2DCA642-CC05-4282-AC4F-05D23F2F170B}" type="pres">
      <dgm:prSet presAssocID="{26403440-BA3D-4DEC-AE29-46C49AC78EC7}" presName="sibTrans" presStyleCnt="0"/>
      <dgm:spPr/>
    </dgm:pt>
    <dgm:pt modelId="{6C9B9BB0-69AB-462B-A5FB-8E9FA0D9F680}" type="pres">
      <dgm:prSet presAssocID="{8DA53C17-CDC4-4BD7-BA35-400002734F20}" presName="node" presStyleLbl="node1" presStyleIdx="24" presStyleCnt="27">
        <dgm:presLayoutVars>
          <dgm:bulletEnabled val="1"/>
        </dgm:presLayoutVars>
      </dgm:prSet>
      <dgm:spPr/>
    </dgm:pt>
    <dgm:pt modelId="{BB20352D-818D-4CDA-8179-F477EF5887F3}" type="pres">
      <dgm:prSet presAssocID="{5C6557EF-2F84-47DE-B41D-6B04363C1960}" presName="sibTrans" presStyleCnt="0"/>
      <dgm:spPr/>
    </dgm:pt>
    <dgm:pt modelId="{A8516AE2-F5F5-4C2B-BDB3-64C29631B3B5}" type="pres">
      <dgm:prSet presAssocID="{0E6A412B-844D-4F7C-A0F8-D34DC2EA2C19}" presName="node" presStyleLbl="node1" presStyleIdx="25" presStyleCnt="27">
        <dgm:presLayoutVars>
          <dgm:bulletEnabled val="1"/>
        </dgm:presLayoutVars>
      </dgm:prSet>
      <dgm:spPr/>
    </dgm:pt>
    <dgm:pt modelId="{AF2CAF22-456C-4F4F-9D5D-B66BE84D46DF}" type="pres">
      <dgm:prSet presAssocID="{016C922E-8E42-4964-8CFD-02035F337432}" presName="sibTrans" presStyleCnt="0"/>
      <dgm:spPr/>
    </dgm:pt>
    <dgm:pt modelId="{AFF506CD-DBA4-4FCB-83D9-F03B62E11A76}" type="pres">
      <dgm:prSet presAssocID="{2C41BDE9-E0E0-470B-AECA-C97B7F24E676}" presName="node" presStyleLbl="node1" presStyleIdx="26" presStyleCnt="27">
        <dgm:presLayoutVars>
          <dgm:bulletEnabled val="1"/>
        </dgm:presLayoutVars>
      </dgm:prSet>
      <dgm:spPr/>
    </dgm:pt>
  </dgm:ptLst>
  <dgm:cxnLst>
    <dgm:cxn modelId="{4FC2C006-522C-434B-9022-C224B04A320C}" srcId="{4047558D-2750-47B1-8096-8BC4F83EEF62}" destId="{749DD3BB-C4A2-4B2B-94BF-C49B09A9E8C7}" srcOrd="4" destOrd="0" parTransId="{C7A3E71E-D4CA-4F1B-BB65-94D57BD548D7}" sibTransId="{DE0D7DFE-3442-4993-A360-A9DF6441F85E}"/>
    <dgm:cxn modelId="{61C1240C-F5EB-4B48-A1AA-3CEAE81B6AF5}" srcId="{4047558D-2750-47B1-8096-8BC4F83EEF62}" destId="{F84ED587-6676-47D8-BD13-47899EE09945}" srcOrd="11" destOrd="0" parTransId="{7042DA2D-A97A-4747-8792-0E65A1C3FE4A}" sibTransId="{67062548-7D11-4C12-A41B-BB628EFF8978}"/>
    <dgm:cxn modelId="{A0140820-BC7E-4F3F-B233-E5A560E011AC}" srcId="{4047558D-2750-47B1-8096-8BC4F83EEF62}" destId="{534A0534-675B-4F69-B5C5-F1886F5FC77F}" srcOrd="3" destOrd="0" parTransId="{3CB33265-ACF5-4D75-966C-48A254E004A6}" sibTransId="{9A3492EA-08E7-4354-9EBE-801CAE82F42D}"/>
    <dgm:cxn modelId="{6FF66623-8078-461E-9E8D-2AB1DB4F1251}" type="presOf" srcId="{1F4090AA-6AF8-4C55-AAE7-C4230ABF89DD}" destId="{F3A28015-7479-4938-9E10-F92A6083F0AD}" srcOrd="0" destOrd="0" presId="urn:microsoft.com/office/officeart/2005/8/layout/default"/>
    <dgm:cxn modelId="{5644F228-70FB-4178-9DC5-9C8535B40B8E}" srcId="{4047558D-2750-47B1-8096-8BC4F83EEF62}" destId="{EE02FE84-EFE6-49E5-B5B3-E5355CE1A8D5}" srcOrd="7" destOrd="0" parTransId="{530FC954-332F-44BD-9C9F-3722B3E157DD}" sibTransId="{6BCF00AA-F4A8-4A0D-A64D-D2BCCF1D7FB8}"/>
    <dgm:cxn modelId="{FFDE1E2B-644D-42AB-9DCB-ED2D0F54A559}" srcId="{4047558D-2750-47B1-8096-8BC4F83EEF62}" destId="{3DF171B0-FE30-4C13-945B-32EFC68B8A4C}" srcOrd="23" destOrd="0" parTransId="{08CCDAD1-4D8C-486F-9EBE-D446AC1DC8EB}" sibTransId="{26403440-BA3D-4DEC-AE29-46C49AC78EC7}"/>
    <dgm:cxn modelId="{32030C2D-73E9-4B77-A8DF-71AD6E781CCD}" srcId="{4047558D-2750-47B1-8096-8BC4F83EEF62}" destId="{BBA49F5E-DE08-4012-9254-D6815BEF5CB1}" srcOrd="21" destOrd="0" parTransId="{6A10006A-BFD0-4712-B6BA-5F7CE5AEB6EC}" sibTransId="{49DB498F-2931-4F87-8448-BAD47A335EBA}"/>
    <dgm:cxn modelId="{D9E5F12F-5DB6-493F-9543-914A8195F268}" type="presOf" srcId="{8602DAA1-38A2-4DEB-AEB3-3E27716C5654}" destId="{D5F02F41-1F7F-4DC8-905B-88047C827B37}" srcOrd="0" destOrd="0" presId="urn:microsoft.com/office/officeart/2005/8/layout/default"/>
    <dgm:cxn modelId="{AE0EF138-AB3D-4941-B8E4-F8A06C50BDF6}" srcId="{4047558D-2750-47B1-8096-8BC4F83EEF62}" destId="{1F4090AA-6AF8-4C55-AAE7-C4230ABF89DD}" srcOrd="6" destOrd="0" parTransId="{622906E8-C6A9-4399-8303-E86BF38DCF75}" sibTransId="{AF34F577-8B82-447C-86DE-674C2AE8F7CA}"/>
    <dgm:cxn modelId="{014BBF39-2EF3-49F2-A793-E2F9140100FC}" srcId="{4047558D-2750-47B1-8096-8BC4F83EEF62}" destId="{EF14F4FD-93F4-43C2-B4B9-878FA0060E04}" srcOrd="14" destOrd="0" parTransId="{C45ACDB5-087C-4A84-813D-92DA6B2CCB60}" sibTransId="{2524EBEC-ABD4-49B1-9D76-2DD9A5C6DD2F}"/>
    <dgm:cxn modelId="{B328BA3A-3B5A-4548-8FC2-351C7B4ACF04}" type="presOf" srcId="{EF14F4FD-93F4-43C2-B4B9-878FA0060E04}" destId="{93898EB3-DD07-451D-9622-7E899CAC398F}" srcOrd="0" destOrd="0" presId="urn:microsoft.com/office/officeart/2005/8/layout/default"/>
    <dgm:cxn modelId="{A288DE3B-054A-490A-8557-06D30C4CB5CA}" srcId="{4047558D-2750-47B1-8096-8BC4F83EEF62}" destId="{8602DAA1-38A2-4DEB-AEB3-3E27716C5654}" srcOrd="20" destOrd="0" parTransId="{4D9D91E7-BE99-4691-97BE-B8C8DD83F84F}" sibTransId="{013CB4B9-9BC9-42B3-8869-5D3A8F79CB66}"/>
    <dgm:cxn modelId="{C5C6AD3C-037D-4D21-A3DD-F1D88A45E0EB}" type="presOf" srcId="{3F031C51-2203-4563-A6EE-B54F04FFD273}" destId="{8975B19F-C77A-405A-BB5B-A0EBDC7A53B0}" srcOrd="0" destOrd="0" presId="urn:microsoft.com/office/officeart/2005/8/layout/default"/>
    <dgm:cxn modelId="{9CBB173E-B4E5-48E6-8AA5-3B3C42259BDF}" srcId="{4047558D-2750-47B1-8096-8BC4F83EEF62}" destId="{9D1DA13B-C2F1-4648-B887-1781F279DE2C}" srcOrd="17" destOrd="0" parTransId="{E1E7987A-507C-4CE0-A8C2-B7D3131FB8EA}" sibTransId="{95D76B85-D823-4683-BFA6-062698232E2B}"/>
    <dgm:cxn modelId="{3C683C3E-8AE9-43AF-9E32-4AB0D53818C7}" type="presOf" srcId="{8DA53C17-CDC4-4BD7-BA35-400002734F20}" destId="{6C9B9BB0-69AB-462B-A5FB-8E9FA0D9F680}" srcOrd="0" destOrd="0" presId="urn:microsoft.com/office/officeart/2005/8/layout/default"/>
    <dgm:cxn modelId="{EAD07068-22BE-47E9-A87E-67F84A737354}" type="presOf" srcId="{167E2565-91EB-4053-85A5-4D8340DB0DB2}" destId="{5D748867-B06E-4E0A-ABB6-EDA2E8C528B4}" srcOrd="0" destOrd="0" presId="urn:microsoft.com/office/officeart/2005/8/layout/default"/>
    <dgm:cxn modelId="{D872B46B-5C6E-47FE-9BA6-FEC3550CA545}" srcId="{4047558D-2750-47B1-8096-8BC4F83EEF62}" destId="{A7632688-6F9F-48FC-99D4-952C9A864AE2}" srcOrd="2" destOrd="0" parTransId="{48A03D1C-9BDB-420F-9AFC-6FD03120324F}" sibTransId="{E0637B40-E2AE-424B-8C08-9575E680770A}"/>
    <dgm:cxn modelId="{75382B6D-E94C-4FF8-969B-D466E1505AF6}" srcId="{4047558D-2750-47B1-8096-8BC4F83EEF62}" destId="{BC4BBC88-674A-4757-800F-D15301F47362}" srcOrd="22" destOrd="0" parTransId="{A5713661-E44F-4D4D-8AE5-683DC63B23B0}" sibTransId="{C068E2B2-12C2-4ADA-9BE2-B9A98C267298}"/>
    <dgm:cxn modelId="{1AF44D70-8BCC-4C57-95B9-68594010D414}" srcId="{4047558D-2750-47B1-8096-8BC4F83EEF62}" destId="{167E2565-91EB-4053-85A5-4D8340DB0DB2}" srcOrd="12" destOrd="0" parTransId="{905247BB-F1D2-466F-B392-FF087E302140}" sibTransId="{63FA8109-C7D5-41E4-B9DB-F4A150615C3C}"/>
    <dgm:cxn modelId="{86473471-D0A4-48C6-B6A9-5F14BC7A895D}" type="presOf" srcId="{85EA0BCC-E80B-4AE1-942F-A09A1FBA811A}" destId="{E04C1BA2-6056-4F36-85A8-4D3F7F5294A5}" srcOrd="0" destOrd="0" presId="urn:microsoft.com/office/officeart/2005/8/layout/default"/>
    <dgm:cxn modelId="{25BE3C77-372F-43EA-9D3F-091FC3D99F18}" type="presOf" srcId="{C04CC334-E052-41BC-8E5C-3C4EEA64F16B}" destId="{C8B4D6E0-CA5E-45AF-A718-CB65F6C14369}" srcOrd="0" destOrd="0" presId="urn:microsoft.com/office/officeart/2005/8/layout/default"/>
    <dgm:cxn modelId="{56A28F57-438D-4876-9386-E51D1D5A3192}" srcId="{4047558D-2750-47B1-8096-8BC4F83EEF62}" destId="{561AA82A-330A-44C6-80B9-B7A6799B0817}" srcOrd="1" destOrd="0" parTransId="{C060082C-0E48-4D28-9480-5A6244AC8B02}" sibTransId="{6EBE71C5-D33B-4B23-AA3D-2E8899544449}"/>
    <dgm:cxn modelId="{0916FF77-5417-4B4F-8495-8F473F06CE8F}" type="presOf" srcId="{561AA82A-330A-44C6-80B9-B7A6799B0817}" destId="{384A8514-6033-445D-9948-625385818A20}" srcOrd="0" destOrd="0" presId="urn:microsoft.com/office/officeart/2005/8/layout/default"/>
    <dgm:cxn modelId="{4AC85D5A-B33D-43AA-8B55-5DC73A9F611F}" srcId="{4047558D-2750-47B1-8096-8BC4F83EEF62}" destId="{8FF6FC06-0AEB-49BA-8B4B-5AEC5B14A869}" srcOrd="15" destOrd="0" parTransId="{508E4174-B45A-4A69-A9DC-AA83D4FDFF9B}" sibTransId="{3BF4D158-0552-4D85-A038-0740BE4E4062}"/>
    <dgm:cxn modelId="{06289C7D-A6D2-407E-BC62-653938A72285}" type="presOf" srcId="{2C41BDE9-E0E0-470B-AECA-C97B7F24E676}" destId="{AFF506CD-DBA4-4FCB-83D9-F03B62E11A76}" srcOrd="0" destOrd="0" presId="urn:microsoft.com/office/officeart/2005/8/layout/default"/>
    <dgm:cxn modelId="{5C956B7F-A42C-49A5-B911-2374788FBBF9}" type="presOf" srcId="{504E0BAB-360E-4B73-993D-6102ADA4FB09}" destId="{29CE54C6-B9B3-41C1-8699-28C38B7C51CE}" srcOrd="0" destOrd="0" presId="urn:microsoft.com/office/officeart/2005/8/layout/default"/>
    <dgm:cxn modelId="{344DE280-4054-4477-AFEC-CDECF35EE60F}" srcId="{4047558D-2750-47B1-8096-8BC4F83EEF62}" destId="{0E6A412B-844D-4F7C-A0F8-D34DC2EA2C19}" srcOrd="25" destOrd="0" parTransId="{58C89263-CBB7-42AA-AA6A-EF7074D6C520}" sibTransId="{016C922E-8E42-4964-8CFD-02035F337432}"/>
    <dgm:cxn modelId="{A6E0CD83-99B5-4FC7-8EB9-BBE55C617E94}" type="presOf" srcId="{2FB5DE2C-F8DF-482F-8560-2BCD2B1D63F7}" destId="{778D4B02-70A4-44C3-A8C1-7DD2890FAB3D}" srcOrd="0" destOrd="0" presId="urn:microsoft.com/office/officeart/2005/8/layout/default"/>
    <dgm:cxn modelId="{99B89E8B-2F63-4536-AF95-A7F5292B50D2}" srcId="{4047558D-2750-47B1-8096-8BC4F83EEF62}" destId="{5F8D4D9D-66A1-4833-9396-3F94C19AF928}" srcOrd="16" destOrd="0" parTransId="{EDC0FD5C-0318-4AEC-A530-916565ECCFA1}" sibTransId="{1F1B9ED6-52B3-4273-9B1D-3F2E0F601B6A}"/>
    <dgm:cxn modelId="{DB26CC8E-F2F4-471F-8C83-6618CDEA0DE9}" type="presOf" srcId="{372C7EB4-3EBE-478F-BFFE-9F28A1F19C4A}" destId="{14424504-BFB4-426C-9301-09E6C0012D06}" srcOrd="0" destOrd="0" presId="urn:microsoft.com/office/officeart/2005/8/layout/default"/>
    <dgm:cxn modelId="{A697D194-4AF3-48E9-BF4E-45E9E247A78F}" srcId="{4047558D-2750-47B1-8096-8BC4F83EEF62}" destId="{2C41BDE9-E0E0-470B-AECA-C97B7F24E676}" srcOrd="26" destOrd="0" parTransId="{0E7EECD7-CA79-46CB-9C76-E274A487FF79}" sibTransId="{8960C73B-AB76-4036-8E48-B9040112E90B}"/>
    <dgm:cxn modelId="{498D1497-8770-4F60-BD23-EC7CDB9E0164}" srcId="{4047558D-2750-47B1-8096-8BC4F83EEF62}" destId="{2FB5DE2C-F8DF-482F-8560-2BCD2B1D63F7}" srcOrd="18" destOrd="0" parTransId="{2C7A9050-4B08-44E9-9B05-2F29C415DD4F}" sibTransId="{30A1796F-683B-40BD-BEEC-32CD0C734E55}"/>
    <dgm:cxn modelId="{AD5290A1-1107-4B02-84D1-5EBD242635EC}" srcId="{4047558D-2750-47B1-8096-8BC4F83EEF62}" destId="{372C7EB4-3EBE-478F-BFFE-9F28A1F19C4A}" srcOrd="19" destOrd="0" parTransId="{79B5A0BF-9ED1-499F-A014-B51D507A57D0}" sibTransId="{A0431036-BCE8-4A18-97E5-BF3EF92E67FB}"/>
    <dgm:cxn modelId="{8028C9A2-C0EF-4125-9D68-D8859B021733}" srcId="{4047558D-2750-47B1-8096-8BC4F83EEF62}" destId="{40E9FB22-CC41-4F2D-A133-5E7CD69A4DAE}" srcOrd="9" destOrd="0" parTransId="{8E1FA406-CB83-4AE6-92D7-2FC15165D59E}" sibTransId="{829E2DFE-55C7-40C7-A744-8DB8BCC87382}"/>
    <dgm:cxn modelId="{DBFF06A7-508A-4343-86B5-294967841CEF}" type="presOf" srcId="{40E9FB22-CC41-4F2D-A133-5E7CD69A4DAE}" destId="{4811CDE2-8ACF-4A2C-83B2-58AB22495A84}" srcOrd="0" destOrd="0" presId="urn:microsoft.com/office/officeart/2005/8/layout/default"/>
    <dgm:cxn modelId="{7CAC02AB-490B-45D1-9D9D-908331CC098F}" type="presOf" srcId="{9D1DA13B-C2F1-4648-B887-1781F279DE2C}" destId="{BE5CFEFA-ABAB-4CC1-98BF-6D34C4AA5C38}" srcOrd="0" destOrd="0" presId="urn:microsoft.com/office/officeart/2005/8/layout/default"/>
    <dgm:cxn modelId="{FF5EA3AE-16A0-4B87-9F17-4DB32A7EC175}" srcId="{4047558D-2750-47B1-8096-8BC4F83EEF62}" destId="{88FDE5E4-9F51-4A24-8A81-42CEBBD9672F}" srcOrd="13" destOrd="0" parTransId="{78D4FD39-28B1-403E-BED9-3166F8A13020}" sibTransId="{495CAC10-CACC-4CBF-8A28-419FF9F09E71}"/>
    <dgm:cxn modelId="{4777D3B8-21AD-4D3B-AECF-9930DD2F19DD}" type="presOf" srcId="{0E6A412B-844D-4F7C-A0F8-D34DC2EA2C19}" destId="{A8516AE2-F5F5-4C2B-BDB3-64C29631B3B5}" srcOrd="0" destOrd="0" presId="urn:microsoft.com/office/officeart/2005/8/layout/default"/>
    <dgm:cxn modelId="{64DB69BD-F3B2-4EEC-A8B0-F393974D1D70}" srcId="{4047558D-2750-47B1-8096-8BC4F83EEF62}" destId="{3F031C51-2203-4563-A6EE-B54F04FFD273}" srcOrd="5" destOrd="0" parTransId="{972B0C3D-B73C-4AB1-9C6A-4EFA5E5F75A9}" sibTransId="{DECAD6C6-FD0A-4E9C-90D3-10E711CCFAFA}"/>
    <dgm:cxn modelId="{16CD03BE-CADA-41C0-9C89-18372FDBDD10}" type="presOf" srcId="{BC4BBC88-674A-4757-800F-D15301F47362}" destId="{0C548B61-E8DF-4DD4-96CA-182DDAD523A2}" srcOrd="0" destOrd="0" presId="urn:microsoft.com/office/officeart/2005/8/layout/default"/>
    <dgm:cxn modelId="{2009AFBE-924B-44F8-8890-F2334A22E84B}" type="presOf" srcId="{88FDE5E4-9F51-4A24-8A81-42CEBBD9672F}" destId="{DC057431-5570-4200-AF68-3A78F2596674}" srcOrd="0" destOrd="0" presId="urn:microsoft.com/office/officeart/2005/8/layout/default"/>
    <dgm:cxn modelId="{85A97FC8-4E9B-4029-A8FB-E8C6CBC047A3}" type="presOf" srcId="{EE02FE84-EFE6-49E5-B5B3-E5355CE1A8D5}" destId="{2499945E-0660-4735-99D6-751B7930D734}" srcOrd="0" destOrd="0" presId="urn:microsoft.com/office/officeart/2005/8/layout/default"/>
    <dgm:cxn modelId="{1BA66CD8-5CB5-45E4-AA15-2D66297A0B8E}" type="presOf" srcId="{749DD3BB-C4A2-4B2B-94BF-C49B09A9E8C7}" destId="{FEDA1E22-D1FB-4CBF-89BB-74B2FFE7D9CC}" srcOrd="0" destOrd="0" presId="urn:microsoft.com/office/officeart/2005/8/layout/default"/>
    <dgm:cxn modelId="{A72E61D9-90FA-4CAF-A624-9A6BAEE14AE4}" srcId="{4047558D-2750-47B1-8096-8BC4F83EEF62}" destId="{C04CC334-E052-41BC-8E5C-3C4EEA64F16B}" srcOrd="0" destOrd="0" parTransId="{114DADE7-00DF-4B2A-A914-C94BCB05BA2E}" sibTransId="{873415CB-3067-4AC0-8293-DE47B8593229}"/>
    <dgm:cxn modelId="{23CC3FE0-2A80-4323-87BB-E29DA8A2A558}" type="presOf" srcId="{BBA49F5E-DE08-4012-9254-D6815BEF5CB1}" destId="{D5B53764-F8D9-40F0-8870-A4F425E5A2D9}" srcOrd="0" destOrd="0" presId="urn:microsoft.com/office/officeart/2005/8/layout/default"/>
    <dgm:cxn modelId="{BC28B9E4-AA8D-49A9-9DE1-B33EDDFC183C}" type="presOf" srcId="{8FF6FC06-0AEB-49BA-8B4B-5AEC5B14A869}" destId="{16A02FE2-B928-4E91-8732-53E3D437F6A3}" srcOrd="0" destOrd="0" presId="urn:microsoft.com/office/officeart/2005/8/layout/default"/>
    <dgm:cxn modelId="{34D04EE7-4FAD-4151-9D62-4CDBBF573524}" srcId="{4047558D-2750-47B1-8096-8BC4F83EEF62}" destId="{8DA53C17-CDC4-4BD7-BA35-400002734F20}" srcOrd="24" destOrd="0" parTransId="{7FA37B23-FEE6-4B0E-8E0A-7C4F1E89A00D}" sibTransId="{5C6557EF-2F84-47DE-B41D-6B04363C1960}"/>
    <dgm:cxn modelId="{D51044EB-68D0-4424-9BFD-EF485957A551}" type="presOf" srcId="{4047558D-2750-47B1-8096-8BC4F83EEF62}" destId="{175EE0C9-D821-43AA-B855-75C482FF6D83}" srcOrd="0" destOrd="0" presId="urn:microsoft.com/office/officeart/2005/8/layout/default"/>
    <dgm:cxn modelId="{CC446EEC-2F34-4A51-8EC4-CB35FB29358F}" srcId="{4047558D-2750-47B1-8096-8BC4F83EEF62}" destId="{85EA0BCC-E80B-4AE1-942F-A09A1FBA811A}" srcOrd="10" destOrd="0" parTransId="{065F8A3D-B91F-4D07-9F5B-DEFAB057EB10}" sibTransId="{64164289-3157-4128-8C21-DFCF87E87662}"/>
    <dgm:cxn modelId="{003682F0-3E1E-480D-AD01-5EC16B4E2E4F}" type="presOf" srcId="{A7632688-6F9F-48FC-99D4-952C9A864AE2}" destId="{3FBBABA4-6D4D-4DF7-807A-DD70E57FFF30}" srcOrd="0" destOrd="0" presId="urn:microsoft.com/office/officeart/2005/8/layout/default"/>
    <dgm:cxn modelId="{CEC07AF1-F2BA-406D-8E4C-962D1AD3FB26}" srcId="{4047558D-2750-47B1-8096-8BC4F83EEF62}" destId="{504E0BAB-360E-4B73-993D-6102ADA4FB09}" srcOrd="8" destOrd="0" parTransId="{B8D7B87A-70EB-4C2B-B911-0CC1572F5371}" sibTransId="{C5CA4787-4622-4D4B-85EE-49D90D815A05}"/>
    <dgm:cxn modelId="{E90BEEF1-8238-402B-88E2-3B31FFE738A8}" type="presOf" srcId="{3DF171B0-FE30-4C13-945B-32EFC68B8A4C}" destId="{DEEA0F84-D02C-4A32-9509-D5D2D4B88FDB}" srcOrd="0" destOrd="0" presId="urn:microsoft.com/office/officeart/2005/8/layout/default"/>
    <dgm:cxn modelId="{1F9D03F7-7BB4-4355-ABA0-1C9324E95A4E}" type="presOf" srcId="{F84ED587-6676-47D8-BD13-47899EE09945}" destId="{54E83B21-79D2-430E-906F-6E23B67973EE}" srcOrd="0" destOrd="0" presId="urn:microsoft.com/office/officeart/2005/8/layout/default"/>
    <dgm:cxn modelId="{64A5F9F9-0A8F-4FC8-87CB-81541169856C}" type="presOf" srcId="{534A0534-675B-4F69-B5C5-F1886F5FC77F}" destId="{E86200C3-868B-409E-BE69-7E844A471BBF}" srcOrd="0" destOrd="0" presId="urn:microsoft.com/office/officeart/2005/8/layout/default"/>
    <dgm:cxn modelId="{F7D667FC-EC28-44A2-B84A-FE52E437075F}" type="presOf" srcId="{5F8D4D9D-66A1-4833-9396-3F94C19AF928}" destId="{7A4F2193-64A4-4215-B4DD-4CFAC1B72958}" srcOrd="0" destOrd="0" presId="urn:microsoft.com/office/officeart/2005/8/layout/default"/>
    <dgm:cxn modelId="{E157632C-EE21-46F1-9B5A-F8E58BFA3844}" type="presParOf" srcId="{175EE0C9-D821-43AA-B855-75C482FF6D83}" destId="{C8B4D6E0-CA5E-45AF-A718-CB65F6C14369}" srcOrd="0" destOrd="0" presId="urn:microsoft.com/office/officeart/2005/8/layout/default"/>
    <dgm:cxn modelId="{81357CE7-CFB0-4F21-99A8-7C3A59F31D29}" type="presParOf" srcId="{175EE0C9-D821-43AA-B855-75C482FF6D83}" destId="{C0545984-CB08-46C5-9B2F-324D4CC2BC1C}" srcOrd="1" destOrd="0" presId="urn:microsoft.com/office/officeart/2005/8/layout/default"/>
    <dgm:cxn modelId="{E33352D4-EBF0-48C6-8146-49EB1E47D4B5}" type="presParOf" srcId="{175EE0C9-D821-43AA-B855-75C482FF6D83}" destId="{384A8514-6033-445D-9948-625385818A20}" srcOrd="2" destOrd="0" presId="urn:microsoft.com/office/officeart/2005/8/layout/default"/>
    <dgm:cxn modelId="{D4ABDB48-AA60-4A13-B351-C18DE3BBB498}" type="presParOf" srcId="{175EE0C9-D821-43AA-B855-75C482FF6D83}" destId="{FEF38E23-450A-4688-82A5-4D2F6E712C5A}" srcOrd="3" destOrd="0" presId="urn:microsoft.com/office/officeart/2005/8/layout/default"/>
    <dgm:cxn modelId="{0A049FC4-0391-440E-8F4E-ADB16668AE30}" type="presParOf" srcId="{175EE0C9-D821-43AA-B855-75C482FF6D83}" destId="{3FBBABA4-6D4D-4DF7-807A-DD70E57FFF30}" srcOrd="4" destOrd="0" presId="urn:microsoft.com/office/officeart/2005/8/layout/default"/>
    <dgm:cxn modelId="{F305F6F3-0AB2-48EA-822B-6E92F2815715}" type="presParOf" srcId="{175EE0C9-D821-43AA-B855-75C482FF6D83}" destId="{18B2C221-B53C-4757-B222-FE76F576EA4E}" srcOrd="5" destOrd="0" presId="urn:microsoft.com/office/officeart/2005/8/layout/default"/>
    <dgm:cxn modelId="{8AF857DB-3C06-4CC2-8641-5D218A766828}" type="presParOf" srcId="{175EE0C9-D821-43AA-B855-75C482FF6D83}" destId="{E86200C3-868B-409E-BE69-7E844A471BBF}" srcOrd="6" destOrd="0" presId="urn:microsoft.com/office/officeart/2005/8/layout/default"/>
    <dgm:cxn modelId="{24B77785-FFD0-4849-B6F2-69EDDAB24D61}" type="presParOf" srcId="{175EE0C9-D821-43AA-B855-75C482FF6D83}" destId="{11CCDB23-6093-4DC0-9EB8-198FC7F3B8BD}" srcOrd="7" destOrd="0" presId="urn:microsoft.com/office/officeart/2005/8/layout/default"/>
    <dgm:cxn modelId="{22DB90C6-C558-4F73-B819-E6E362BBDE4B}" type="presParOf" srcId="{175EE0C9-D821-43AA-B855-75C482FF6D83}" destId="{FEDA1E22-D1FB-4CBF-89BB-74B2FFE7D9CC}" srcOrd="8" destOrd="0" presId="urn:microsoft.com/office/officeart/2005/8/layout/default"/>
    <dgm:cxn modelId="{3BBB1A50-B644-49F2-8C03-C5A7D0DE8225}" type="presParOf" srcId="{175EE0C9-D821-43AA-B855-75C482FF6D83}" destId="{CE84F455-887E-4D34-AE7B-9A60C6C8141E}" srcOrd="9" destOrd="0" presId="urn:microsoft.com/office/officeart/2005/8/layout/default"/>
    <dgm:cxn modelId="{E7DE4F5E-CBFB-4CA8-AAB5-31ED5B1A8485}" type="presParOf" srcId="{175EE0C9-D821-43AA-B855-75C482FF6D83}" destId="{8975B19F-C77A-405A-BB5B-A0EBDC7A53B0}" srcOrd="10" destOrd="0" presId="urn:microsoft.com/office/officeart/2005/8/layout/default"/>
    <dgm:cxn modelId="{DEF662C0-1DBA-46D2-BDDC-965262A35773}" type="presParOf" srcId="{175EE0C9-D821-43AA-B855-75C482FF6D83}" destId="{5EEF87A0-13BC-4933-8F5B-281BD038CA14}" srcOrd="11" destOrd="0" presId="urn:microsoft.com/office/officeart/2005/8/layout/default"/>
    <dgm:cxn modelId="{4E223685-3CC7-41CF-8467-6170B70563FE}" type="presParOf" srcId="{175EE0C9-D821-43AA-B855-75C482FF6D83}" destId="{F3A28015-7479-4938-9E10-F92A6083F0AD}" srcOrd="12" destOrd="0" presId="urn:microsoft.com/office/officeart/2005/8/layout/default"/>
    <dgm:cxn modelId="{819A7CB0-1E98-4950-AAF2-0A0825F10BC2}" type="presParOf" srcId="{175EE0C9-D821-43AA-B855-75C482FF6D83}" destId="{DC3ADB0C-56DA-49E3-B16C-257E415BB3B5}" srcOrd="13" destOrd="0" presId="urn:microsoft.com/office/officeart/2005/8/layout/default"/>
    <dgm:cxn modelId="{4B03385B-4A1F-44AF-9C82-13B678BB01C1}" type="presParOf" srcId="{175EE0C9-D821-43AA-B855-75C482FF6D83}" destId="{2499945E-0660-4735-99D6-751B7930D734}" srcOrd="14" destOrd="0" presId="urn:microsoft.com/office/officeart/2005/8/layout/default"/>
    <dgm:cxn modelId="{81545FDD-28D7-431F-8688-91C791584CE2}" type="presParOf" srcId="{175EE0C9-D821-43AA-B855-75C482FF6D83}" destId="{47EE5DA2-ABDD-4F9F-AA25-527BF8BD4F7A}" srcOrd="15" destOrd="0" presId="urn:microsoft.com/office/officeart/2005/8/layout/default"/>
    <dgm:cxn modelId="{63BAF75A-BE90-4F82-A0F2-869852B836B9}" type="presParOf" srcId="{175EE0C9-D821-43AA-B855-75C482FF6D83}" destId="{29CE54C6-B9B3-41C1-8699-28C38B7C51CE}" srcOrd="16" destOrd="0" presId="urn:microsoft.com/office/officeart/2005/8/layout/default"/>
    <dgm:cxn modelId="{5A01615A-F096-451E-BC25-CEFC7911187C}" type="presParOf" srcId="{175EE0C9-D821-43AA-B855-75C482FF6D83}" destId="{E07CBAC5-9FFB-43E8-8C53-A4C519912385}" srcOrd="17" destOrd="0" presId="urn:microsoft.com/office/officeart/2005/8/layout/default"/>
    <dgm:cxn modelId="{42B61ADA-E34B-46E5-9599-5DCCA35FFFF8}" type="presParOf" srcId="{175EE0C9-D821-43AA-B855-75C482FF6D83}" destId="{4811CDE2-8ACF-4A2C-83B2-58AB22495A84}" srcOrd="18" destOrd="0" presId="urn:microsoft.com/office/officeart/2005/8/layout/default"/>
    <dgm:cxn modelId="{DB250BAB-C537-45AC-953A-784E11DF8ACF}" type="presParOf" srcId="{175EE0C9-D821-43AA-B855-75C482FF6D83}" destId="{ADF2AD3B-CABA-4912-B240-E44F3913FBB3}" srcOrd="19" destOrd="0" presId="urn:microsoft.com/office/officeart/2005/8/layout/default"/>
    <dgm:cxn modelId="{FF99F772-1E91-400A-9753-A4AC8967C06B}" type="presParOf" srcId="{175EE0C9-D821-43AA-B855-75C482FF6D83}" destId="{E04C1BA2-6056-4F36-85A8-4D3F7F5294A5}" srcOrd="20" destOrd="0" presId="urn:microsoft.com/office/officeart/2005/8/layout/default"/>
    <dgm:cxn modelId="{88C8C28D-9B67-47B2-BC7E-EBB9067FE06F}" type="presParOf" srcId="{175EE0C9-D821-43AA-B855-75C482FF6D83}" destId="{89A5A13A-A934-463F-B4BE-2E3411AB38C3}" srcOrd="21" destOrd="0" presId="urn:microsoft.com/office/officeart/2005/8/layout/default"/>
    <dgm:cxn modelId="{CA1D6F4A-E79F-435F-B6C9-81390E80309E}" type="presParOf" srcId="{175EE0C9-D821-43AA-B855-75C482FF6D83}" destId="{54E83B21-79D2-430E-906F-6E23B67973EE}" srcOrd="22" destOrd="0" presId="urn:microsoft.com/office/officeart/2005/8/layout/default"/>
    <dgm:cxn modelId="{2E20A5E8-F24B-4CBF-ABF2-EA4E1476C4BD}" type="presParOf" srcId="{175EE0C9-D821-43AA-B855-75C482FF6D83}" destId="{63E5D8BF-9E19-402B-BB79-876BBE5357EF}" srcOrd="23" destOrd="0" presId="urn:microsoft.com/office/officeart/2005/8/layout/default"/>
    <dgm:cxn modelId="{2BA01A15-1ECA-46F0-9E17-A555A3AD4805}" type="presParOf" srcId="{175EE0C9-D821-43AA-B855-75C482FF6D83}" destId="{5D748867-B06E-4E0A-ABB6-EDA2E8C528B4}" srcOrd="24" destOrd="0" presId="urn:microsoft.com/office/officeart/2005/8/layout/default"/>
    <dgm:cxn modelId="{4B9B4ED1-64F9-40EB-A7F3-CC3D9C26566F}" type="presParOf" srcId="{175EE0C9-D821-43AA-B855-75C482FF6D83}" destId="{E56CED45-DF15-4337-A15A-C2CD03177179}" srcOrd="25" destOrd="0" presId="urn:microsoft.com/office/officeart/2005/8/layout/default"/>
    <dgm:cxn modelId="{70FAC93B-0152-49B9-895B-BEAA79955155}" type="presParOf" srcId="{175EE0C9-D821-43AA-B855-75C482FF6D83}" destId="{DC057431-5570-4200-AF68-3A78F2596674}" srcOrd="26" destOrd="0" presId="urn:microsoft.com/office/officeart/2005/8/layout/default"/>
    <dgm:cxn modelId="{6D68E903-386E-44C4-873E-4C5B34A52C16}" type="presParOf" srcId="{175EE0C9-D821-43AA-B855-75C482FF6D83}" destId="{248DEA81-B6FC-416B-8EAC-4DFB71943BEC}" srcOrd="27" destOrd="0" presId="urn:microsoft.com/office/officeart/2005/8/layout/default"/>
    <dgm:cxn modelId="{6187D681-588C-4758-AF6E-374E9FB6E59D}" type="presParOf" srcId="{175EE0C9-D821-43AA-B855-75C482FF6D83}" destId="{93898EB3-DD07-451D-9622-7E899CAC398F}" srcOrd="28" destOrd="0" presId="urn:microsoft.com/office/officeart/2005/8/layout/default"/>
    <dgm:cxn modelId="{FEC13634-EFD3-4893-9F54-337004811055}" type="presParOf" srcId="{175EE0C9-D821-43AA-B855-75C482FF6D83}" destId="{75229F4D-6AB6-4224-85E9-BBB3431A0E5A}" srcOrd="29" destOrd="0" presId="urn:microsoft.com/office/officeart/2005/8/layout/default"/>
    <dgm:cxn modelId="{B2B2D406-04F1-49D1-97C8-269497E610E6}" type="presParOf" srcId="{175EE0C9-D821-43AA-B855-75C482FF6D83}" destId="{16A02FE2-B928-4E91-8732-53E3D437F6A3}" srcOrd="30" destOrd="0" presId="urn:microsoft.com/office/officeart/2005/8/layout/default"/>
    <dgm:cxn modelId="{B240E4F4-6B78-44CF-B167-0754A3AD84E9}" type="presParOf" srcId="{175EE0C9-D821-43AA-B855-75C482FF6D83}" destId="{1AAC45BD-CBD6-4082-9D06-46D04AD0F31F}" srcOrd="31" destOrd="0" presId="urn:microsoft.com/office/officeart/2005/8/layout/default"/>
    <dgm:cxn modelId="{EB0E11AD-449A-4CEA-8102-42146A2E5225}" type="presParOf" srcId="{175EE0C9-D821-43AA-B855-75C482FF6D83}" destId="{7A4F2193-64A4-4215-B4DD-4CFAC1B72958}" srcOrd="32" destOrd="0" presId="urn:microsoft.com/office/officeart/2005/8/layout/default"/>
    <dgm:cxn modelId="{53DD43FB-75B2-4E3E-89D9-4F75DF9DF3CF}" type="presParOf" srcId="{175EE0C9-D821-43AA-B855-75C482FF6D83}" destId="{5693EFC0-281A-497C-96E3-19CB6E48E4EA}" srcOrd="33" destOrd="0" presId="urn:microsoft.com/office/officeart/2005/8/layout/default"/>
    <dgm:cxn modelId="{5EC2968D-C974-4615-BB0C-57D4BDDE2204}" type="presParOf" srcId="{175EE0C9-D821-43AA-B855-75C482FF6D83}" destId="{BE5CFEFA-ABAB-4CC1-98BF-6D34C4AA5C38}" srcOrd="34" destOrd="0" presId="urn:microsoft.com/office/officeart/2005/8/layout/default"/>
    <dgm:cxn modelId="{D016CE21-CF5A-4412-BDAF-36433D6FB3C0}" type="presParOf" srcId="{175EE0C9-D821-43AA-B855-75C482FF6D83}" destId="{13D9C481-AA7F-4A64-ABFD-62F9BB8F6F51}" srcOrd="35" destOrd="0" presId="urn:microsoft.com/office/officeart/2005/8/layout/default"/>
    <dgm:cxn modelId="{4E5A1FFE-7AD2-4563-BDEB-2F3665C8BA13}" type="presParOf" srcId="{175EE0C9-D821-43AA-B855-75C482FF6D83}" destId="{778D4B02-70A4-44C3-A8C1-7DD2890FAB3D}" srcOrd="36" destOrd="0" presId="urn:microsoft.com/office/officeart/2005/8/layout/default"/>
    <dgm:cxn modelId="{B11673CA-0D6E-4F0A-824A-86BFE6DD6BE4}" type="presParOf" srcId="{175EE0C9-D821-43AA-B855-75C482FF6D83}" destId="{ABD7CE09-7DFE-4380-8983-35E2E767DBF3}" srcOrd="37" destOrd="0" presId="urn:microsoft.com/office/officeart/2005/8/layout/default"/>
    <dgm:cxn modelId="{2CD52E58-607B-4818-8A8F-4CD466E05424}" type="presParOf" srcId="{175EE0C9-D821-43AA-B855-75C482FF6D83}" destId="{14424504-BFB4-426C-9301-09E6C0012D06}" srcOrd="38" destOrd="0" presId="urn:microsoft.com/office/officeart/2005/8/layout/default"/>
    <dgm:cxn modelId="{CD493F68-4199-4179-9C73-E32C32CB497C}" type="presParOf" srcId="{175EE0C9-D821-43AA-B855-75C482FF6D83}" destId="{60DC6783-9375-4F8F-936C-D38CD8C70259}" srcOrd="39" destOrd="0" presId="urn:microsoft.com/office/officeart/2005/8/layout/default"/>
    <dgm:cxn modelId="{5DBE5F91-A1E5-4A79-95DE-A6C209988147}" type="presParOf" srcId="{175EE0C9-D821-43AA-B855-75C482FF6D83}" destId="{D5F02F41-1F7F-4DC8-905B-88047C827B37}" srcOrd="40" destOrd="0" presId="urn:microsoft.com/office/officeart/2005/8/layout/default"/>
    <dgm:cxn modelId="{05AC2E65-00A2-45A7-AD3B-328449DB78DE}" type="presParOf" srcId="{175EE0C9-D821-43AA-B855-75C482FF6D83}" destId="{438B60E7-9E0D-4225-B566-722F86B7378C}" srcOrd="41" destOrd="0" presId="urn:microsoft.com/office/officeart/2005/8/layout/default"/>
    <dgm:cxn modelId="{35DB96E7-F2FC-4EFB-A0EE-6F3D89A53183}" type="presParOf" srcId="{175EE0C9-D821-43AA-B855-75C482FF6D83}" destId="{D5B53764-F8D9-40F0-8870-A4F425E5A2D9}" srcOrd="42" destOrd="0" presId="urn:microsoft.com/office/officeart/2005/8/layout/default"/>
    <dgm:cxn modelId="{641F818F-3EE7-4B32-BA50-C00623653DFD}" type="presParOf" srcId="{175EE0C9-D821-43AA-B855-75C482FF6D83}" destId="{C36CFCCD-A6DF-408A-ABC0-67577DAC7E2D}" srcOrd="43" destOrd="0" presId="urn:microsoft.com/office/officeart/2005/8/layout/default"/>
    <dgm:cxn modelId="{E2926A9D-C21C-4365-AEE3-F7B8DEEE0FD1}" type="presParOf" srcId="{175EE0C9-D821-43AA-B855-75C482FF6D83}" destId="{0C548B61-E8DF-4DD4-96CA-182DDAD523A2}" srcOrd="44" destOrd="0" presId="urn:microsoft.com/office/officeart/2005/8/layout/default"/>
    <dgm:cxn modelId="{E0F04A95-4297-493A-891E-9A9A2420AD2B}" type="presParOf" srcId="{175EE0C9-D821-43AA-B855-75C482FF6D83}" destId="{E8DD49D1-FFA9-4273-806C-A3E6AB6E727A}" srcOrd="45" destOrd="0" presId="urn:microsoft.com/office/officeart/2005/8/layout/default"/>
    <dgm:cxn modelId="{A0913A01-6497-4CB2-95E0-102744E91F02}" type="presParOf" srcId="{175EE0C9-D821-43AA-B855-75C482FF6D83}" destId="{DEEA0F84-D02C-4A32-9509-D5D2D4B88FDB}" srcOrd="46" destOrd="0" presId="urn:microsoft.com/office/officeart/2005/8/layout/default"/>
    <dgm:cxn modelId="{05B1B5B9-84F3-43EE-8F28-8F7C93DFE5FB}" type="presParOf" srcId="{175EE0C9-D821-43AA-B855-75C482FF6D83}" destId="{C2DCA642-CC05-4282-AC4F-05D23F2F170B}" srcOrd="47" destOrd="0" presId="urn:microsoft.com/office/officeart/2005/8/layout/default"/>
    <dgm:cxn modelId="{CDAAD521-3A4B-4190-BDFC-357938FC5BAA}" type="presParOf" srcId="{175EE0C9-D821-43AA-B855-75C482FF6D83}" destId="{6C9B9BB0-69AB-462B-A5FB-8E9FA0D9F680}" srcOrd="48" destOrd="0" presId="urn:microsoft.com/office/officeart/2005/8/layout/default"/>
    <dgm:cxn modelId="{BE4C6DFF-1C48-42AE-AFA5-BD0DBFB3AAA8}" type="presParOf" srcId="{175EE0C9-D821-43AA-B855-75C482FF6D83}" destId="{BB20352D-818D-4CDA-8179-F477EF5887F3}" srcOrd="49" destOrd="0" presId="urn:microsoft.com/office/officeart/2005/8/layout/default"/>
    <dgm:cxn modelId="{F0536C6C-41AF-4CDC-BB7F-8C1F124AA1C1}" type="presParOf" srcId="{175EE0C9-D821-43AA-B855-75C482FF6D83}" destId="{A8516AE2-F5F5-4C2B-BDB3-64C29631B3B5}" srcOrd="50" destOrd="0" presId="urn:microsoft.com/office/officeart/2005/8/layout/default"/>
    <dgm:cxn modelId="{CD2B32AF-858E-4B31-81E5-080FCD13D04C}" type="presParOf" srcId="{175EE0C9-D821-43AA-B855-75C482FF6D83}" destId="{AF2CAF22-456C-4F4F-9D5D-B66BE84D46DF}" srcOrd="51" destOrd="0" presId="urn:microsoft.com/office/officeart/2005/8/layout/default"/>
    <dgm:cxn modelId="{0A7122AF-60F5-4419-A65B-646E1A98024D}" type="presParOf" srcId="{175EE0C9-D821-43AA-B855-75C482FF6D83}" destId="{AFF506CD-DBA4-4FCB-83D9-F03B62E11A76}" srcOrd="52" destOrd="0" presId="urn:microsoft.com/office/officeart/2005/8/layout/default"/>
  </dgm:cxnLst>
  <dgm:bg/>
  <dgm:whole/>
  <dgm:extLst>
    <a:ext uri="http://schemas.microsoft.com/office/drawing/2008/diagram">
      <dsp:dataModelExt xmlns:dsp="http://schemas.microsoft.com/office/drawing/2008/diagram" relId="rId13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028C0357-6B69-4D32-8E61-14BD1049492A}"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uk-UA"/>
        </a:p>
      </dgm:t>
    </dgm:pt>
    <dgm:pt modelId="{7B6983F1-D5B3-421D-A64E-705A0DE43A37}">
      <dgm:prSet phldrT="[Текст]"/>
      <dgm:spPr>
        <a:xfrm>
          <a:off x="271641" y="265952"/>
          <a:ext cx="5212776" cy="26568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lgn="ct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визначення періоду планування</a:t>
          </a:r>
        </a:p>
      </dgm:t>
    </dgm:pt>
    <dgm:pt modelId="{8A85B71D-6BF0-4BD9-AA34-7F29C5EAF374}" type="parTrans" cxnId="{3C4F357D-F5ED-4832-8FF6-7C103BC5F116}">
      <dgm:prSet/>
      <dgm:spPr/>
      <dgm:t>
        <a:bodyPr/>
        <a:lstStyle/>
        <a:p>
          <a:pPr algn="ctr"/>
          <a:endParaRPr lang="uk-UA">
            <a:latin typeface="Times New Roman" panose="02020603050405020304" pitchFamily="18" charset="0"/>
            <a:cs typeface="Times New Roman" panose="02020603050405020304" pitchFamily="18" charset="0"/>
          </a:endParaRPr>
        </a:p>
      </dgm:t>
    </dgm:pt>
    <dgm:pt modelId="{97E01170-B548-4670-90CD-0B1909676678}" type="sibTrans" cxnId="{3C4F357D-F5ED-4832-8FF6-7C103BC5F116}">
      <dgm:prSet/>
      <dgm:spPr/>
      <dgm:t>
        <a:bodyPr/>
        <a:lstStyle/>
        <a:p>
          <a:pPr algn="ctr"/>
          <a:endParaRPr lang="uk-UA">
            <a:latin typeface="Times New Roman" panose="02020603050405020304" pitchFamily="18" charset="0"/>
            <a:cs typeface="Times New Roman" panose="02020603050405020304" pitchFamily="18" charset="0"/>
          </a:endParaRPr>
        </a:p>
      </dgm:t>
    </dgm:pt>
    <dgm:pt modelId="{AF164637-CF34-4640-8226-583722D45A43}">
      <dgm:prSet phldrT="[Текст]"/>
      <dgm:spPr>
        <a:xfrm>
          <a:off x="270033" y="674192"/>
          <a:ext cx="5216106" cy="26568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lgn="ct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аналіз поточної ситуації в кадровому забезпеченні </a:t>
          </a:r>
        </a:p>
      </dgm:t>
    </dgm:pt>
    <dgm:pt modelId="{26864786-9E31-4439-A7E8-540AD7A6FCB2}" type="parTrans" cxnId="{71E78594-8B7B-495F-A0AE-4F67947B6417}">
      <dgm:prSet/>
      <dgm:spPr/>
      <dgm:t>
        <a:bodyPr/>
        <a:lstStyle/>
        <a:p>
          <a:pPr algn="ctr"/>
          <a:endParaRPr lang="uk-UA">
            <a:latin typeface="Times New Roman" panose="02020603050405020304" pitchFamily="18" charset="0"/>
            <a:cs typeface="Times New Roman" panose="02020603050405020304" pitchFamily="18" charset="0"/>
          </a:endParaRPr>
        </a:p>
      </dgm:t>
    </dgm:pt>
    <dgm:pt modelId="{6B5F8FCE-604C-401E-96F8-483F84C35F55}" type="sibTrans" cxnId="{71E78594-8B7B-495F-A0AE-4F67947B6417}">
      <dgm:prSet/>
      <dgm:spPr/>
      <dgm:t>
        <a:bodyPr/>
        <a:lstStyle/>
        <a:p>
          <a:pPr algn="ctr"/>
          <a:endParaRPr lang="uk-UA">
            <a:latin typeface="Times New Roman" panose="02020603050405020304" pitchFamily="18" charset="0"/>
            <a:cs typeface="Times New Roman" panose="02020603050405020304" pitchFamily="18" charset="0"/>
          </a:endParaRPr>
        </a:p>
      </dgm:t>
    </dgm:pt>
    <dgm:pt modelId="{F0CB4898-0021-4626-8085-829FE3BD91DB}">
      <dgm:prSet phldrT="[Текст]"/>
      <dgm:spPr>
        <a:xfrm>
          <a:off x="261193" y="1082432"/>
          <a:ext cx="5223861" cy="26568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lgn="ct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визначення цілей планування у відповідності зі стратегією організації  і обраної кадрової політики</a:t>
          </a:r>
        </a:p>
      </dgm:t>
    </dgm:pt>
    <dgm:pt modelId="{8C1FF690-9A78-4081-B23C-B254CEF4D15E}" type="parTrans" cxnId="{BAF887D2-B061-415F-AC6A-E87CB9EE1561}">
      <dgm:prSet/>
      <dgm:spPr/>
      <dgm:t>
        <a:bodyPr/>
        <a:lstStyle/>
        <a:p>
          <a:pPr algn="ctr"/>
          <a:endParaRPr lang="uk-UA">
            <a:latin typeface="Times New Roman" panose="02020603050405020304" pitchFamily="18" charset="0"/>
            <a:cs typeface="Times New Roman" panose="02020603050405020304" pitchFamily="18" charset="0"/>
          </a:endParaRPr>
        </a:p>
      </dgm:t>
    </dgm:pt>
    <dgm:pt modelId="{C4143B62-A0C8-4BE3-8559-6175A9115AE2}" type="sibTrans" cxnId="{BAF887D2-B061-415F-AC6A-E87CB9EE1561}">
      <dgm:prSet/>
      <dgm:spPr/>
      <dgm:t>
        <a:bodyPr/>
        <a:lstStyle/>
        <a:p>
          <a:pPr algn="ctr"/>
          <a:endParaRPr lang="uk-UA">
            <a:latin typeface="Times New Roman" panose="02020603050405020304" pitchFamily="18" charset="0"/>
            <a:cs typeface="Times New Roman" panose="02020603050405020304" pitchFamily="18" charset="0"/>
          </a:endParaRPr>
        </a:p>
      </dgm:t>
    </dgm:pt>
    <dgm:pt modelId="{C4E66385-0DD9-4929-A696-8CDCBA50BD5F}">
      <dgm:prSet phldrT="[Текст]"/>
      <dgm:spPr>
        <a:xfrm>
          <a:off x="352145" y="1490672"/>
          <a:ext cx="5130080" cy="26568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lgn="ct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виявлення можливостей, обмежень , можливих проблем, загроз</a:t>
          </a:r>
        </a:p>
      </dgm:t>
    </dgm:pt>
    <dgm:pt modelId="{7D5112EA-6DEE-49B1-AAEB-CD5FE8544A05}" type="parTrans" cxnId="{3552717D-743C-40B2-B3BF-17043B318353}">
      <dgm:prSet/>
      <dgm:spPr/>
      <dgm:t>
        <a:bodyPr/>
        <a:lstStyle/>
        <a:p>
          <a:pPr algn="ctr"/>
          <a:endParaRPr lang="uk-UA">
            <a:latin typeface="Times New Roman" panose="02020603050405020304" pitchFamily="18" charset="0"/>
            <a:cs typeface="Times New Roman" panose="02020603050405020304" pitchFamily="18" charset="0"/>
          </a:endParaRPr>
        </a:p>
      </dgm:t>
    </dgm:pt>
    <dgm:pt modelId="{DD44A5C7-C2AA-4214-B5D9-06C25FC4F6A2}" type="sibTrans" cxnId="{3552717D-743C-40B2-B3BF-17043B318353}">
      <dgm:prSet/>
      <dgm:spPr/>
      <dgm:t>
        <a:bodyPr/>
        <a:lstStyle/>
        <a:p>
          <a:pPr algn="ctr"/>
          <a:endParaRPr lang="uk-UA">
            <a:latin typeface="Times New Roman" panose="02020603050405020304" pitchFamily="18" charset="0"/>
            <a:cs typeface="Times New Roman" panose="02020603050405020304" pitchFamily="18" charset="0"/>
          </a:endParaRPr>
        </a:p>
      </dgm:t>
    </dgm:pt>
    <dgm:pt modelId="{D2CDF464-1221-4823-B9E5-4A06D7A4CFF4}">
      <dgm:prSet phldrT="[Текст]"/>
      <dgm:spPr>
        <a:xfrm>
          <a:off x="385921" y="1898912"/>
          <a:ext cx="5098460" cy="26568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lgn="ct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встановлення параметрів кількісного та якісного розвитку персоналу</a:t>
          </a:r>
        </a:p>
      </dgm:t>
    </dgm:pt>
    <dgm:pt modelId="{153BAC07-30B1-439F-9F5A-8FC7FF2FCC33}" type="parTrans" cxnId="{3E84C954-6D14-484F-9580-EB46DC86EC39}">
      <dgm:prSet/>
      <dgm:spPr/>
      <dgm:t>
        <a:bodyPr/>
        <a:lstStyle/>
        <a:p>
          <a:pPr algn="ctr"/>
          <a:endParaRPr lang="uk-UA">
            <a:latin typeface="Times New Roman" panose="02020603050405020304" pitchFamily="18" charset="0"/>
            <a:cs typeface="Times New Roman" panose="02020603050405020304" pitchFamily="18" charset="0"/>
          </a:endParaRPr>
        </a:p>
      </dgm:t>
    </dgm:pt>
    <dgm:pt modelId="{46323BF8-C713-40B8-8504-876162EE3DE7}" type="sibTrans" cxnId="{3E84C954-6D14-484F-9580-EB46DC86EC39}">
      <dgm:prSet/>
      <dgm:spPr/>
      <dgm:t>
        <a:bodyPr/>
        <a:lstStyle/>
        <a:p>
          <a:pPr algn="ctr"/>
          <a:endParaRPr lang="uk-UA">
            <a:latin typeface="Times New Roman" panose="02020603050405020304" pitchFamily="18" charset="0"/>
            <a:cs typeface="Times New Roman" panose="02020603050405020304" pitchFamily="18" charset="0"/>
          </a:endParaRPr>
        </a:p>
      </dgm:t>
    </dgm:pt>
    <dgm:pt modelId="{1F6E6AC8-E9EA-49B0-88AC-80B926BD7F3F}">
      <dgm:prSet phldrT="[Текст]"/>
      <dgm:spPr>
        <a:xfrm>
          <a:off x="364905" y="2307152"/>
          <a:ext cx="5116705" cy="38506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lgn="ct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формування планів (набір персоналу, звільнення, кадрові переміщення, кадровий резерв, </a:t>
          </a:r>
        </a:p>
        <a:p>
          <a:pPr algn="ct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навчання персоналу , атестація, стимулювання)</a:t>
          </a:r>
        </a:p>
      </dgm:t>
    </dgm:pt>
    <dgm:pt modelId="{44423134-6FDB-4057-B1D3-1802F2CDBF22}" type="parTrans" cxnId="{944BF9BA-B7C3-4C75-BBA7-13A2BABE8AFD}">
      <dgm:prSet/>
      <dgm:spPr/>
      <dgm:t>
        <a:bodyPr/>
        <a:lstStyle/>
        <a:p>
          <a:pPr algn="ctr"/>
          <a:endParaRPr lang="uk-UA">
            <a:latin typeface="Times New Roman" panose="02020603050405020304" pitchFamily="18" charset="0"/>
            <a:cs typeface="Times New Roman" panose="02020603050405020304" pitchFamily="18" charset="0"/>
          </a:endParaRPr>
        </a:p>
      </dgm:t>
    </dgm:pt>
    <dgm:pt modelId="{459CBB9E-27CA-4DBF-BA44-6276AF18B8BF}" type="sibTrans" cxnId="{944BF9BA-B7C3-4C75-BBA7-13A2BABE8AFD}">
      <dgm:prSet/>
      <dgm:spPr/>
      <dgm:t>
        <a:bodyPr/>
        <a:lstStyle/>
        <a:p>
          <a:pPr algn="ctr"/>
          <a:endParaRPr lang="uk-UA">
            <a:latin typeface="Times New Roman" panose="02020603050405020304" pitchFamily="18" charset="0"/>
            <a:cs typeface="Times New Roman" panose="02020603050405020304" pitchFamily="18" charset="0"/>
          </a:endParaRPr>
        </a:p>
      </dgm:t>
    </dgm:pt>
    <dgm:pt modelId="{C1098605-BCC4-481E-B52E-2C5DB28D998D}">
      <dgm:prSet phldrT="[Текст]"/>
      <dgm:spPr>
        <a:xfrm>
          <a:off x="364905" y="2834773"/>
          <a:ext cx="5116705" cy="26568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lgn="ct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складання зведеного календарного плану виконання заходів</a:t>
          </a:r>
        </a:p>
      </dgm:t>
    </dgm:pt>
    <dgm:pt modelId="{A90A5DCE-55A0-43CB-9592-683B0731ED9B}" type="parTrans" cxnId="{1FC3B526-BDC3-4CD7-9F1B-FBCEADBEF080}">
      <dgm:prSet/>
      <dgm:spPr/>
      <dgm:t>
        <a:bodyPr/>
        <a:lstStyle/>
        <a:p>
          <a:pPr algn="ctr"/>
          <a:endParaRPr lang="uk-UA">
            <a:latin typeface="Times New Roman" panose="02020603050405020304" pitchFamily="18" charset="0"/>
            <a:cs typeface="Times New Roman" panose="02020603050405020304" pitchFamily="18" charset="0"/>
          </a:endParaRPr>
        </a:p>
      </dgm:t>
    </dgm:pt>
    <dgm:pt modelId="{AFE0F7A4-09B7-4738-A276-6E7D188D5026}" type="sibTrans" cxnId="{1FC3B526-BDC3-4CD7-9F1B-FBCEADBEF080}">
      <dgm:prSet/>
      <dgm:spPr/>
      <dgm:t>
        <a:bodyPr/>
        <a:lstStyle/>
        <a:p>
          <a:pPr algn="ctr"/>
          <a:endParaRPr lang="uk-UA">
            <a:latin typeface="Times New Roman" panose="02020603050405020304" pitchFamily="18" charset="0"/>
            <a:cs typeface="Times New Roman" panose="02020603050405020304" pitchFamily="18" charset="0"/>
          </a:endParaRPr>
        </a:p>
      </dgm:t>
    </dgm:pt>
    <dgm:pt modelId="{E0C1C465-16D6-49C1-95FB-165635AE6595}">
      <dgm:prSet phldrT="[Текст]"/>
      <dgm:spPr>
        <a:xfrm>
          <a:off x="368344" y="3243013"/>
          <a:ext cx="5116912" cy="26568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lgn="ct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визначення бюджету планових дій (витрати, джерела покриття)</a:t>
          </a:r>
        </a:p>
      </dgm:t>
    </dgm:pt>
    <dgm:pt modelId="{99790B61-87B3-440A-A855-A4050102DB39}" type="parTrans" cxnId="{ED47E375-36E2-4B67-8DEC-8B9FEF2712B9}">
      <dgm:prSet/>
      <dgm:spPr/>
      <dgm:t>
        <a:bodyPr/>
        <a:lstStyle/>
        <a:p>
          <a:pPr algn="ctr"/>
          <a:endParaRPr lang="uk-UA">
            <a:latin typeface="Times New Roman" panose="02020603050405020304" pitchFamily="18" charset="0"/>
            <a:cs typeface="Times New Roman" panose="02020603050405020304" pitchFamily="18" charset="0"/>
          </a:endParaRPr>
        </a:p>
      </dgm:t>
    </dgm:pt>
    <dgm:pt modelId="{CA3A258E-AD1F-470C-A675-5564F0C35622}" type="sibTrans" cxnId="{ED47E375-36E2-4B67-8DEC-8B9FEF2712B9}">
      <dgm:prSet/>
      <dgm:spPr/>
      <dgm:t>
        <a:bodyPr/>
        <a:lstStyle/>
        <a:p>
          <a:pPr algn="ctr"/>
          <a:endParaRPr lang="uk-UA">
            <a:latin typeface="Times New Roman" panose="02020603050405020304" pitchFamily="18" charset="0"/>
            <a:cs typeface="Times New Roman" panose="02020603050405020304" pitchFamily="18" charset="0"/>
          </a:endParaRPr>
        </a:p>
      </dgm:t>
    </dgm:pt>
    <dgm:pt modelId="{72D7E10E-9D27-49B1-9470-B08044B522D8}">
      <dgm:prSet phldrT="[Текст]"/>
      <dgm:spPr>
        <a:xfrm>
          <a:off x="364905" y="3651253"/>
          <a:ext cx="5116705" cy="265680"/>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pPr algn="ctr"/>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розробка рекомендацій щодо впровадження плану</a:t>
          </a:r>
        </a:p>
      </dgm:t>
    </dgm:pt>
    <dgm:pt modelId="{3ABC9E61-BA84-4DC1-9F63-4AE89DD5A170}" type="parTrans" cxnId="{9508C100-CD74-4338-9DC1-F0AD648E7806}">
      <dgm:prSet/>
      <dgm:spPr/>
      <dgm:t>
        <a:bodyPr/>
        <a:lstStyle/>
        <a:p>
          <a:pPr algn="ctr"/>
          <a:endParaRPr lang="uk-UA">
            <a:latin typeface="Times New Roman" panose="02020603050405020304" pitchFamily="18" charset="0"/>
            <a:cs typeface="Times New Roman" panose="02020603050405020304" pitchFamily="18" charset="0"/>
          </a:endParaRPr>
        </a:p>
      </dgm:t>
    </dgm:pt>
    <dgm:pt modelId="{2B7205EE-FD3C-4E27-B9B9-85C2E515EA7A}" type="sibTrans" cxnId="{9508C100-CD74-4338-9DC1-F0AD648E7806}">
      <dgm:prSet/>
      <dgm:spPr/>
      <dgm:t>
        <a:bodyPr/>
        <a:lstStyle/>
        <a:p>
          <a:pPr algn="ctr"/>
          <a:endParaRPr lang="uk-UA">
            <a:latin typeface="Times New Roman" panose="02020603050405020304" pitchFamily="18" charset="0"/>
            <a:cs typeface="Times New Roman" panose="02020603050405020304" pitchFamily="18" charset="0"/>
          </a:endParaRPr>
        </a:p>
      </dgm:t>
    </dgm:pt>
    <dgm:pt modelId="{0F3C0421-3D12-4EA3-980E-E4CC81A04CD4}" type="pres">
      <dgm:prSet presAssocID="{028C0357-6B69-4D32-8E61-14BD1049492A}" presName="linear" presStyleCnt="0">
        <dgm:presLayoutVars>
          <dgm:dir/>
          <dgm:animLvl val="lvl"/>
          <dgm:resizeHandles val="exact"/>
        </dgm:presLayoutVars>
      </dgm:prSet>
      <dgm:spPr/>
    </dgm:pt>
    <dgm:pt modelId="{BA6F6976-7E3A-4234-8EC5-68D4F68B74B2}" type="pres">
      <dgm:prSet presAssocID="{7B6983F1-D5B3-421D-A64E-705A0DE43A37}" presName="parentLin" presStyleCnt="0"/>
      <dgm:spPr/>
    </dgm:pt>
    <dgm:pt modelId="{CBDD530C-E3F6-441C-B573-E2A4F6BB4F37}" type="pres">
      <dgm:prSet presAssocID="{7B6983F1-D5B3-421D-A64E-705A0DE43A37}" presName="parentLeftMargin" presStyleLbl="node1" presStyleIdx="0" presStyleCnt="9"/>
      <dgm:spPr>
        <a:prstGeom prst="roundRect">
          <a:avLst/>
        </a:prstGeom>
      </dgm:spPr>
    </dgm:pt>
    <dgm:pt modelId="{EF9A3746-4C03-4E3F-8943-CB7F96DEF862}" type="pres">
      <dgm:prSet presAssocID="{7B6983F1-D5B3-421D-A64E-705A0DE43A37}" presName="parentText" presStyleLbl="node1" presStyleIdx="0" presStyleCnt="9" custScaleX="137071">
        <dgm:presLayoutVars>
          <dgm:chMax val="0"/>
          <dgm:bulletEnabled val="1"/>
        </dgm:presLayoutVars>
      </dgm:prSet>
      <dgm:spPr/>
    </dgm:pt>
    <dgm:pt modelId="{E887537A-49BD-42D2-84AC-853DAC947656}" type="pres">
      <dgm:prSet presAssocID="{7B6983F1-D5B3-421D-A64E-705A0DE43A37}" presName="negativeSpace" presStyleCnt="0"/>
      <dgm:spPr/>
    </dgm:pt>
    <dgm:pt modelId="{F8DF3F21-FDBE-46FF-8B56-6492BEE16B57}" type="pres">
      <dgm:prSet presAssocID="{7B6983F1-D5B3-421D-A64E-705A0DE43A37}" presName="childText" presStyleLbl="conFgAcc1" presStyleIdx="0" presStyleCnt="9">
        <dgm:presLayoutVars>
          <dgm:bulletEnabled val="1"/>
        </dgm:presLayoutVars>
      </dgm:prSet>
      <dgm:spPr>
        <a:xfrm>
          <a:off x="0" y="398792"/>
          <a:ext cx="5486400" cy="226800"/>
        </a:xfrm>
        <a:prstGeom prst="rect">
          <a:avLst/>
        </a:prstGeom>
        <a:solidFill>
          <a:sysClr val="window" lastClr="FFFFFF">
            <a:alpha val="90000"/>
          </a:sysClr>
        </a:solidFill>
        <a:ln w="9525" cap="flat" cmpd="sng" algn="ctr">
          <a:solidFill>
            <a:scrgbClr r="0" g="0" b="0"/>
          </a:solidFill>
          <a:prstDash val="solid"/>
        </a:ln>
        <a:effectLst/>
      </dgm:spPr>
    </dgm:pt>
    <dgm:pt modelId="{A8A9E392-E803-479C-881A-A287A75AF2CD}" type="pres">
      <dgm:prSet presAssocID="{97E01170-B548-4670-90CD-0B1909676678}" presName="spaceBetweenRectangles" presStyleCnt="0"/>
      <dgm:spPr/>
    </dgm:pt>
    <dgm:pt modelId="{3CBD5D6A-5E7D-46A8-9439-4BCF5B0CD72F}" type="pres">
      <dgm:prSet presAssocID="{AF164637-CF34-4640-8226-583722D45A43}" presName="parentLin" presStyleCnt="0"/>
      <dgm:spPr/>
    </dgm:pt>
    <dgm:pt modelId="{6621299A-3F53-4F82-8396-2F7EF77820D6}" type="pres">
      <dgm:prSet presAssocID="{AF164637-CF34-4640-8226-583722D45A43}" presName="parentLeftMargin" presStyleLbl="node1" presStyleIdx="0" presStyleCnt="9"/>
      <dgm:spPr>
        <a:prstGeom prst="roundRect">
          <a:avLst/>
        </a:prstGeom>
      </dgm:spPr>
    </dgm:pt>
    <dgm:pt modelId="{3306B807-2BDA-4694-93D0-498BED427E42}" type="pres">
      <dgm:prSet presAssocID="{AF164637-CF34-4640-8226-583722D45A43}" presName="parentText" presStyleLbl="node1" presStyleIdx="1" presStyleCnt="9" custScaleX="137975">
        <dgm:presLayoutVars>
          <dgm:chMax val="0"/>
          <dgm:bulletEnabled val="1"/>
        </dgm:presLayoutVars>
      </dgm:prSet>
      <dgm:spPr/>
    </dgm:pt>
    <dgm:pt modelId="{CF04C699-E630-41AA-9973-924E35D9A939}" type="pres">
      <dgm:prSet presAssocID="{AF164637-CF34-4640-8226-583722D45A43}" presName="negativeSpace" presStyleCnt="0"/>
      <dgm:spPr/>
    </dgm:pt>
    <dgm:pt modelId="{B784BA78-EFFA-40D0-9A1C-7654C24D71DE}" type="pres">
      <dgm:prSet presAssocID="{AF164637-CF34-4640-8226-583722D45A43}" presName="childText" presStyleLbl="conFgAcc1" presStyleIdx="1" presStyleCnt="9">
        <dgm:presLayoutVars>
          <dgm:bulletEnabled val="1"/>
        </dgm:presLayoutVars>
        <dgm:style>
          <a:lnRef idx="2">
            <a:schemeClr val="dk1"/>
          </a:lnRef>
          <a:fillRef idx="1">
            <a:schemeClr val="lt1"/>
          </a:fillRef>
          <a:effectRef idx="0">
            <a:schemeClr val="dk1"/>
          </a:effectRef>
          <a:fontRef idx="minor">
            <a:schemeClr val="dk1"/>
          </a:fontRef>
        </dgm:style>
      </dgm:prSet>
      <dgm:spPr>
        <a:xfrm>
          <a:off x="0" y="807032"/>
          <a:ext cx="5486400" cy="226800"/>
        </a:xfrm>
        <a:prstGeom prst="rect">
          <a:avLst/>
        </a:prstGeom>
        <a:solidFill>
          <a:sysClr val="window" lastClr="FFFFFF"/>
        </a:solidFill>
        <a:ln w="9525" cap="flat" cmpd="sng" algn="ctr">
          <a:solidFill>
            <a:sysClr val="windowText" lastClr="000000"/>
          </a:solidFill>
          <a:prstDash val="solid"/>
        </a:ln>
        <a:effectLst/>
      </dgm:spPr>
    </dgm:pt>
    <dgm:pt modelId="{F57CD253-E334-4025-A9B4-9825F7F3BEB5}" type="pres">
      <dgm:prSet presAssocID="{6B5F8FCE-604C-401E-96F8-483F84C35F55}" presName="spaceBetweenRectangles" presStyleCnt="0"/>
      <dgm:spPr/>
    </dgm:pt>
    <dgm:pt modelId="{EEC2A5DC-C5AC-477D-9C45-461AB200CBD9}" type="pres">
      <dgm:prSet presAssocID="{F0CB4898-0021-4626-8085-829FE3BD91DB}" presName="parentLin" presStyleCnt="0"/>
      <dgm:spPr/>
    </dgm:pt>
    <dgm:pt modelId="{F7D22628-A3A2-43D5-BD0B-226CE321DD1D}" type="pres">
      <dgm:prSet presAssocID="{F0CB4898-0021-4626-8085-829FE3BD91DB}" presName="parentLeftMargin" presStyleLbl="node1" presStyleIdx="1" presStyleCnt="9"/>
      <dgm:spPr>
        <a:prstGeom prst="roundRect">
          <a:avLst/>
        </a:prstGeom>
      </dgm:spPr>
    </dgm:pt>
    <dgm:pt modelId="{700E922F-3840-4A82-ACC8-78E58A822CDC}" type="pres">
      <dgm:prSet presAssocID="{F0CB4898-0021-4626-8085-829FE3BD91DB}" presName="parentText" presStyleLbl="node1" presStyleIdx="2" presStyleCnt="9" custScaleX="142857">
        <dgm:presLayoutVars>
          <dgm:chMax val="0"/>
          <dgm:bulletEnabled val="1"/>
        </dgm:presLayoutVars>
      </dgm:prSet>
      <dgm:spPr/>
    </dgm:pt>
    <dgm:pt modelId="{44EF8E60-214C-485E-A922-8826E521DD42}" type="pres">
      <dgm:prSet presAssocID="{F0CB4898-0021-4626-8085-829FE3BD91DB}" presName="negativeSpace" presStyleCnt="0"/>
      <dgm:spPr/>
    </dgm:pt>
    <dgm:pt modelId="{B0FC8A80-0B14-4E79-827F-49CAB1113DCF}" type="pres">
      <dgm:prSet presAssocID="{F0CB4898-0021-4626-8085-829FE3BD91DB}" presName="childText" presStyleLbl="conFgAcc1" presStyleIdx="2" presStyleCnt="9">
        <dgm:presLayoutVars>
          <dgm:bulletEnabled val="1"/>
        </dgm:presLayoutVars>
        <dgm:style>
          <a:lnRef idx="2">
            <a:schemeClr val="dk1"/>
          </a:lnRef>
          <a:fillRef idx="1">
            <a:schemeClr val="lt1"/>
          </a:fillRef>
          <a:effectRef idx="0">
            <a:schemeClr val="dk1"/>
          </a:effectRef>
          <a:fontRef idx="minor">
            <a:schemeClr val="dk1"/>
          </a:fontRef>
        </dgm:style>
      </dgm:prSet>
      <dgm:spPr>
        <a:xfrm>
          <a:off x="0" y="1215272"/>
          <a:ext cx="5486400" cy="226800"/>
        </a:xfrm>
        <a:prstGeom prst="rect">
          <a:avLst/>
        </a:prstGeom>
        <a:solidFill>
          <a:sysClr val="window" lastClr="FFFFFF"/>
        </a:solidFill>
        <a:ln w="9525" cap="flat" cmpd="sng" algn="ctr">
          <a:solidFill>
            <a:sysClr val="windowText" lastClr="000000"/>
          </a:solidFill>
          <a:prstDash val="solid"/>
        </a:ln>
        <a:effectLst/>
      </dgm:spPr>
    </dgm:pt>
    <dgm:pt modelId="{84FB03F8-A0B5-4CF0-8B4C-548E8EAA0334}" type="pres">
      <dgm:prSet presAssocID="{C4143B62-A0C8-4BE3-8559-6175A9115AE2}" presName="spaceBetweenRectangles" presStyleCnt="0"/>
      <dgm:spPr/>
    </dgm:pt>
    <dgm:pt modelId="{C1020818-1BA7-4643-B536-9AE6488406A8}" type="pres">
      <dgm:prSet presAssocID="{C4E66385-0DD9-4929-A696-8CDCBA50BD5F}" presName="parentLin" presStyleCnt="0"/>
      <dgm:spPr/>
    </dgm:pt>
    <dgm:pt modelId="{054555C2-6AE2-43D0-89E7-8975C8754BFF}" type="pres">
      <dgm:prSet presAssocID="{C4E66385-0DD9-4929-A696-8CDCBA50BD5F}" presName="parentLeftMargin" presStyleLbl="node1" presStyleIdx="2" presStyleCnt="9" custScaleX="137071"/>
      <dgm:spPr>
        <a:prstGeom prst="roundRect">
          <a:avLst/>
        </a:prstGeom>
      </dgm:spPr>
    </dgm:pt>
    <dgm:pt modelId="{449F17E6-4A18-4F5D-959D-499407927614}" type="pres">
      <dgm:prSet presAssocID="{C4E66385-0DD9-4929-A696-8CDCBA50BD5F}" presName="parentText" presStyleLbl="node1" presStyleIdx="3" presStyleCnt="9" custScaleX="142633">
        <dgm:presLayoutVars>
          <dgm:chMax val="0"/>
          <dgm:bulletEnabled val="1"/>
        </dgm:presLayoutVars>
      </dgm:prSet>
      <dgm:spPr/>
    </dgm:pt>
    <dgm:pt modelId="{99F9F4CB-2E9E-4C0B-8088-B5EFEF35DCCA}" type="pres">
      <dgm:prSet presAssocID="{C4E66385-0DD9-4929-A696-8CDCBA50BD5F}" presName="negativeSpace" presStyleCnt="0"/>
      <dgm:spPr/>
    </dgm:pt>
    <dgm:pt modelId="{3C38A770-5B4D-4BC5-90C2-7BCDCA6E3AA9}" type="pres">
      <dgm:prSet presAssocID="{C4E66385-0DD9-4929-A696-8CDCBA50BD5F}" presName="childText" presStyleLbl="conFgAcc1" presStyleIdx="3" presStyleCnt="9">
        <dgm:presLayoutVars>
          <dgm:bulletEnabled val="1"/>
        </dgm:presLayoutVars>
      </dgm:prSet>
      <dgm:spPr>
        <a:xfrm>
          <a:off x="0" y="1623512"/>
          <a:ext cx="5486400" cy="226800"/>
        </a:xfrm>
        <a:prstGeom prst="rect">
          <a:avLst/>
        </a:prstGeom>
        <a:solidFill>
          <a:sysClr val="window" lastClr="FFFFFF">
            <a:alpha val="90000"/>
          </a:sysClr>
        </a:solidFill>
        <a:ln w="9525" cap="flat" cmpd="sng" algn="ctr">
          <a:solidFill>
            <a:scrgbClr r="0" g="0" b="0"/>
          </a:solidFill>
          <a:prstDash val="solid"/>
        </a:ln>
        <a:effectLst/>
      </dgm:spPr>
    </dgm:pt>
    <dgm:pt modelId="{1EF8A2C7-735A-478F-8744-978E882987AE}" type="pres">
      <dgm:prSet presAssocID="{DD44A5C7-C2AA-4214-B5D9-06C25FC4F6A2}" presName="spaceBetweenRectangles" presStyleCnt="0"/>
      <dgm:spPr/>
    </dgm:pt>
    <dgm:pt modelId="{66E4917B-3F28-4652-A085-573B4C5B8834}" type="pres">
      <dgm:prSet presAssocID="{D2CDF464-1221-4823-B9E5-4A06D7A4CFF4}" presName="parentLin" presStyleCnt="0"/>
      <dgm:spPr/>
    </dgm:pt>
    <dgm:pt modelId="{B1B4C1EC-9799-41EF-A28B-1DC3C8DDB757}" type="pres">
      <dgm:prSet presAssocID="{D2CDF464-1221-4823-B9E5-4A06D7A4CFF4}" presName="parentLeftMargin" presStyleLbl="node1" presStyleIdx="3" presStyleCnt="9" custScaleX="142633"/>
      <dgm:spPr>
        <a:prstGeom prst="roundRect">
          <a:avLst/>
        </a:prstGeom>
      </dgm:spPr>
    </dgm:pt>
    <dgm:pt modelId="{7A545A8E-5A4D-49A1-BCF5-F0B087FD794F}" type="pres">
      <dgm:prSet presAssocID="{D2CDF464-1221-4823-B9E5-4A06D7A4CFF4}" presName="parentText" presStyleLbl="node1" presStyleIdx="4" presStyleCnt="9" custScaleX="134596">
        <dgm:presLayoutVars>
          <dgm:chMax val="0"/>
          <dgm:bulletEnabled val="1"/>
        </dgm:presLayoutVars>
      </dgm:prSet>
      <dgm:spPr/>
    </dgm:pt>
    <dgm:pt modelId="{AC224F9C-2217-41F9-8ABF-81FC1C014446}" type="pres">
      <dgm:prSet presAssocID="{D2CDF464-1221-4823-B9E5-4A06D7A4CFF4}" presName="negativeSpace" presStyleCnt="0"/>
      <dgm:spPr/>
    </dgm:pt>
    <dgm:pt modelId="{0B2DF46C-F52F-4C0F-B3BA-3686B8FB6436}" type="pres">
      <dgm:prSet presAssocID="{D2CDF464-1221-4823-B9E5-4A06D7A4CFF4}" presName="childText" presStyleLbl="conFgAcc1" presStyleIdx="4" presStyleCnt="9">
        <dgm:presLayoutVars>
          <dgm:bulletEnabled val="1"/>
        </dgm:presLayoutVars>
      </dgm:prSet>
      <dgm:spPr>
        <a:xfrm>
          <a:off x="0" y="2031752"/>
          <a:ext cx="5486400" cy="226800"/>
        </a:xfrm>
        <a:prstGeom prst="rect">
          <a:avLst/>
        </a:prstGeom>
        <a:solidFill>
          <a:sysClr val="window" lastClr="FFFFFF">
            <a:alpha val="90000"/>
          </a:sysClr>
        </a:solidFill>
        <a:ln w="9525" cap="flat" cmpd="sng" algn="ctr">
          <a:solidFill>
            <a:scrgbClr r="0" g="0" b="0"/>
          </a:solidFill>
          <a:prstDash val="solid"/>
        </a:ln>
        <a:effectLst/>
      </dgm:spPr>
    </dgm:pt>
    <dgm:pt modelId="{AA2A8C6F-EB70-48E9-9CA1-228C63B03197}" type="pres">
      <dgm:prSet presAssocID="{46323BF8-C713-40B8-8504-876162EE3DE7}" presName="spaceBetweenRectangles" presStyleCnt="0"/>
      <dgm:spPr/>
    </dgm:pt>
    <dgm:pt modelId="{7195E58F-C794-434A-842B-B97E1793ECD4}" type="pres">
      <dgm:prSet presAssocID="{1F6E6AC8-E9EA-49B0-88AC-80B926BD7F3F}" presName="parentLin" presStyleCnt="0"/>
      <dgm:spPr/>
    </dgm:pt>
    <dgm:pt modelId="{9D53B900-FE82-40E7-96C1-3E6F27EEFC75}" type="pres">
      <dgm:prSet presAssocID="{1F6E6AC8-E9EA-49B0-88AC-80B926BD7F3F}" presName="parentLeftMargin" presStyleLbl="node1" presStyleIdx="4" presStyleCnt="9" custScaleX="142633"/>
      <dgm:spPr>
        <a:prstGeom prst="roundRect">
          <a:avLst/>
        </a:prstGeom>
      </dgm:spPr>
    </dgm:pt>
    <dgm:pt modelId="{2BE28E10-B049-4560-9BC1-4576C10AFEC8}" type="pres">
      <dgm:prSet presAssocID="{1F6E6AC8-E9EA-49B0-88AC-80B926BD7F3F}" presName="parentText" presStyleLbl="node1" presStyleIdx="5" presStyleCnt="9" custScaleX="142857" custScaleY="144934">
        <dgm:presLayoutVars>
          <dgm:chMax val="0"/>
          <dgm:bulletEnabled val="1"/>
        </dgm:presLayoutVars>
      </dgm:prSet>
      <dgm:spPr/>
    </dgm:pt>
    <dgm:pt modelId="{0DA049B3-927C-419D-A4A8-D9EBA5ACC296}" type="pres">
      <dgm:prSet presAssocID="{1F6E6AC8-E9EA-49B0-88AC-80B926BD7F3F}" presName="negativeSpace" presStyleCnt="0"/>
      <dgm:spPr/>
    </dgm:pt>
    <dgm:pt modelId="{79E8F449-1886-4CFA-B62B-31060A026562}" type="pres">
      <dgm:prSet presAssocID="{1F6E6AC8-E9EA-49B0-88AC-80B926BD7F3F}" presName="childText" presStyleLbl="conFgAcc1" presStyleIdx="5" presStyleCnt="9">
        <dgm:presLayoutVars>
          <dgm:bulletEnabled val="1"/>
        </dgm:presLayoutVars>
      </dgm:prSet>
      <dgm:spPr>
        <a:xfrm>
          <a:off x="0" y="2559373"/>
          <a:ext cx="5486400" cy="226800"/>
        </a:xfrm>
        <a:prstGeom prst="rect">
          <a:avLst/>
        </a:prstGeom>
        <a:solidFill>
          <a:sysClr val="window" lastClr="FFFFFF">
            <a:alpha val="90000"/>
          </a:sysClr>
        </a:solidFill>
        <a:ln w="9525" cap="flat" cmpd="sng" algn="ctr">
          <a:solidFill>
            <a:scrgbClr r="0" g="0" b="0"/>
          </a:solidFill>
          <a:prstDash val="solid"/>
        </a:ln>
        <a:effectLst/>
      </dgm:spPr>
    </dgm:pt>
    <dgm:pt modelId="{D78E1638-280C-417B-9269-5DED533038FA}" type="pres">
      <dgm:prSet presAssocID="{459CBB9E-27CA-4DBF-BA44-6276AF18B8BF}" presName="spaceBetweenRectangles" presStyleCnt="0"/>
      <dgm:spPr/>
    </dgm:pt>
    <dgm:pt modelId="{1F0DC7B4-7200-4106-805A-78EAEAEEFEFD}" type="pres">
      <dgm:prSet presAssocID="{C1098605-BCC4-481E-B52E-2C5DB28D998D}" presName="parentLin" presStyleCnt="0"/>
      <dgm:spPr/>
    </dgm:pt>
    <dgm:pt modelId="{A9ED10EF-DFE1-4C4C-BAE6-76126DA88591}" type="pres">
      <dgm:prSet presAssocID="{C1098605-BCC4-481E-B52E-2C5DB28D998D}" presName="parentLeftMargin" presStyleLbl="node1" presStyleIdx="5" presStyleCnt="9" custScaleX="142633"/>
      <dgm:spPr>
        <a:prstGeom prst="roundRect">
          <a:avLst/>
        </a:prstGeom>
      </dgm:spPr>
    </dgm:pt>
    <dgm:pt modelId="{7B6E33CA-125F-47B1-92C3-822461E54A0C}" type="pres">
      <dgm:prSet presAssocID="{C1098605-BCC4-481E-B52E-2C5DB28D998D}" presName="parentText" presStyleLbl="node1" presStyleIdx="6" presStyleCnt="9" custScaleX="142857">
        <dgm:presLayoutVars>
          <dgm:chMax val="0"/>
          <dgm:bulletEnabled val="1"/>
        </dgm:presLayoutVars>
      </dgm:prSet>
      <dgm:spPr/>
    </dgm:pt>
    <dgm:pt modelId="{56C599B5-7F97-4F7C-9B2D-BBFE0C4DF765}" type="pres">
      <dgm:prSet presAssocID="{C1098605-BCC4-481E-B52E-2C5DB28D998D}" presName="negativeSpace" presStyleCnt="0"/>
      <dgm:spPr/>
    </dgm:pt>
    <dgm:pt modelId="{8A3022B5-A9EE-43F7-A9B7-301A88923BD5}" type="pres">
      <dgm:prSet presAssocID="{C1098605-BCC4-481E-B52E-2C5DB28D998D}" presName="childText" presStyleLbl="conFgAcc1" presStyleIdx="6" presStyleCnt="9">
        <dgm:presLayoutVars>
          <dgm:bulletEnabled val="1"/>
        </dgm:presLayoutVars>
      </dgm:prSet>
      <dgm:spPr>
        <a:xfrm>
          <a:off x="0" y="2967613"/>
          <a:ext cx="5486400" cy="226800"/>
        </a:xfrm>
        <a:prstGeom prst="rect">
          <a:avLst/>
        </a:prstGeom>
        <a:solidFill>
          <a:sysClr val="window" lastClr="FFFFFF">
            <a:alpha val="90000"/>
          </a:sysClr>
        </a:solidFill>
        <a:ln w="9525" cap="flat" cmpd="sng" algn="ctr">
          <a:solidFill>
            <a:scrgbClr r="0" g="0" b="0"/>
          </a:solidFill>
          <a:prstDash val="solid"/>
        </a:ln>
        <a:effectLst/>
      </dgm:spPr>
    </dgm:pt>
    <dgm:pt modelId="{0AE86F6C-2DDF-40DF-87D3-59A225D0E7C7}" type="pres">
      <dgm:prSet presAssocID="{AFE0F7A4-09B7-4738-A276-6E7D188D5026}" presName="spaceBetweenRectangles" presStyleCnt="0"/>
      <dgm:spPr/>
    </dgm:pt>
    <dgm:pt modelId="{A48A8E92-2BD2-4D78-A29A-8732103B5474}" type="pres">
      <dgm:prSet presAssocID="{E0C1C465-16D6-49C1-95FB-165635AE6595}" presName="parentLin" presStyleCnt="0"/>
      <dgm:spPr/>
    </dgm:pt>
    <dgm:pt modelId="{38B02A86-3D69-4713-979F-E6365CEDE8C1}" type="pres">
      <dgm:prSet presAssocID="{E0C1C465-16D6-49C1-95FB-165635AE6595}" presName="parentLeftMargin" presStyleLbl="node1" presStyleIdx="6" presStyleCnt="9" custScaleX="142633"/>
      <dgm:spPr>
        <a:prstGeom prst="roundRect">
          <a:avLst/>
        </a:prstGeom>
      </dgm:spPr>
    </dgm:pt>
    <dgm:pt modelId="{BD2C244F-46EE-4383-81EB-F83DA11E779A}" type="pres">
      <dgm:prSet presAssocID="{E0C1C465-16D6-49C1-95FB-165635AE6595}" presName="parentText" presStyleLbl="node1" presStyleIdx="7" presStyleCnt="9" custScaleX="141529">
        <dgm:presLayoutVars>
          <dgm:chMax val="0"/>
          <dgm:bulletEnabled val="1"/>
        </dgm:presLayoutVars>
      </dgm:prSet>
      <dgm:spPr/>
    </dgm:pt>
    <dgm:pt modelId="{515F350C-E0BF-4F1B-9252-89CBE3986603}" type="pres">
      <dgm:prSet presAssocID="{E0C1C465-16D6-49C1-95FB-165635AE6595}" presName="negativeSpace" presStyleCnt="0"/>
      <dgm:spPr/>
    </dgm:pt>
    <dgm:pt modelId="{5A8B84FA-CAAF-4BDC-8AEB-F981C6AEAB69}" type="pres">
      <dgm:prSet presAssocID="{E0C1C465-16D6-49C1-95FB-165635AE6595}" presName="childText" presStyleLbl="conFgAcc1" presStyleIdx="7" presStyleCnt="9">
        <dgm:presLayoutVars>
          <dgm:bulletEnabled val="1"/>
        </dgm:presLayoutVars>
      </dgm:prSet>
      <dgm:spPr>
        <a:xfrm>
          <a:off x="0" y="3375853"/>
          <a:ext cx="5486400" cy="226800"/>
        </a:xfrm>
        <a:prstGeom prst="rect">
          <a:avLst/>
        </a:prstGeom>
        <a:solidFill>
          <a:sysClr val="window" lastClr="FFFFFF">
            <a:alpha val="90000"/>
          </a:sysClr>
        </a:solidFill>
        <a:ln w="9525" cap="flat" cmpd="sng" algn="ctr">
          <a:solidFill>
            <a:scrgbClr r="0" g="0" b="0"/>
          </a:solidFill>
          <a:prstDash val="solid"/>
        </a:ln>
        <a:effectLst/>
      </dgm:spPr>
    </dgm:pt>
    <dgm:pt modelId="{59014584-96CE-4BB8-A133-53E97563B1CE}" type="pres">
      <dgm:prSet presAssocID="{CA3A258E-AD1F-470C-A675-5564F0C35622}" presName="spaceBetweenRectangles" presStyleCnt="0"/>
      <dgm:spPr/>
    </dgm:pt>
    <dgm:pt modelId="{DA395749-6E71-4982-9597-75F87C9184BE}" type="pres">
      <dgm:prSet presAssocID="{72D7E10E-9D27-49B1-9470-B08044B522D8}" presName="parentLin" presStyleCnt="0"/>
      <dgm:spPr/>
    </dgm:pt>
    <dgm:pt modelId="{5CDFE3A4-9C22-4BD1-B4B9-95E739CE7C9A}" type="pres">
      <dgm:prSet presAssocID="{72D7E10E-9D27-49B1-9470-B08044B522D8}" presName="parentLeftMargin" presStyleLbl="node1" presStyleIdx="7" presStyleCnt="9" custScaleX="142633"/>
      <dgm:spPr>
        <a:prstGeom prst="roundRect">
          <a:avLst/>
        </a:prstGeom>
      </dgm:spPr>
    </dgm:pt>
    <dgm:pt modelId="{92054103-BF60-4FBF-9932-D9CD7B2D311F}" type="pres">
      <dgm:prSet presAssocID="{72D7E10E-9D27-49B1-9470-B08044B522D8}" presName="parentText" presStyleLbl="node1" presStyleIdx="8" presStyleCnt="9" custScaleX="142857">
        <dgm:presLayoutVars>
          <dgm:chMax val="0"/>
          <dgm:bulletEnabled val="1"/>
        </dgm:presLayoutVars>
      </dgm:prSet>
      <dgm:spPr/>
    </dgm:pt>
    <dgm:pt modelId="{B8DFB821-2A49-4EA3-9B8D-F98E22C6E016}" type="pres">
      <dgm:prSet presAssocID="{72D7E10E-9D27-49B1-9470-B08044B522D8}" presName="negativeSpace" presStyleCnt="0"/>
      <dgm:spPr/>
    </dgm:pt>
    <dgm:pt modelId="{363F3797-C76B-437A-9ACE-B14188C45AD5}" type="pres">
      <dgm:prSet presAssocID="{72D7E10E-9D27-49B1-9470-B08044B522D8}" presName="childText" presStyleLbl="conFgAcc1" presStyleIdx="8" presStyleCnt="9">
        <dgm:presLayoutVars>
          <dgm:bulletEnabled val="1"/>
        </dgm:presLayoutVars>
      </dgm:prSet>
      <dgm:spPr>
        <a:xfrm>
          <a:off x="0" y="3784093"/>
          <a:ext cx="5486400" cy="226800"/>
        </a:xfrm>
        <a:prstGeom prst="rect">
          <a:avLst/>
        </a:prstGeom>
        <a:solidFill>
          <a:sysClr val="window" lastClr="FFFFFF">
            <a:alpha val="90000"/>
          </a:sysClr>
        </a:solidFill>
        <a:ln w="9525" cap="flat" cmpd="sng" algn="ctr">
          <a:solidFill>
            <a:scrgbClr r="0" g="0" b="0"/>
          </a:solidFill>
          <a:prstDash val="solid"/>
        </a:ln>
        <a:effectLst/>
      </dgm:spPr>
    </dgm:pt>
  </dgm:ptLst>
  <dgm:cxnLst>
    <dgm:cxn modelId="{9508C100-CD74-4338-9DC1-F0AD648E7806}" srcId="{028C0357-6B69-4D32-8E61-14BD1049492A}" destId="{72D7E10E-9D27-49B1-9470-B08044B522D8}" srcOrd="8" destOrd="0" parTransId="{3ABC9E61-BA84-4DC1-9F63-4AE89DD5A170}" sibTransId="{2B7205EE-FD3C-4E27-B9B9-85C2E515EA7A}"/>
    <dgm:cxn modelId="{10B23D05-D4A8-405C-A4D8-9ACFA7AFEBC4}" type="presOf" srcId="{AF164637-CF34-4640-8226-583722D45A43}" destId="{6621299A-3F53-4F82-8396-2F7EF77820D6}" srcOrd="0" destOrd="0" presId="urn:microsoft.com/office/officeart/2005/8/layout/list1"/>
    <dgm:cxn modelId="{0C855C08-8815-4DA6-B90B-DAD9548C5ED2}" type="presOf" srcId="{C1098605-BCC4-481E-B52E-2C5DB28D998D}" destId="{A9ED10EF-DFE1-4C4C-BAE6-76126DA88591}" srcOrd="0" destOrd="0" presId="urn:microsoft.com/office/officeart/2005/8/layout/list1"/>
    <dgm:cxn modelId="{3FB51D0A-B8A3-4203-85EB-00F353C7C9A9}" type="presOf" srcId="{72D7E10E-9D27-49B1-9470-B08044B522D8}" destId="{5CDFE3A4-9C22-4BD1-B4B9-95E739CE7C9A}" srcOrd="0" destOrd="0" presId="urn:microsoft.com/office/officeart/2005/8/layout/list1"/>
    <dgm:cxn modelId="{C8BE3F0C-19D7-485F-ADBF-AFFD48B16917}" type="presOf" srcId="{F0CB4898-0021-4626-8085-829FE3BD91DB}" destId="{F7D22628-A3A2-43D5-BD0B-226CE321DD1D}" srcOrd="0" destOrd="0" presId="urn:microsoft.com/office/officeart/2005/8/layout/list1"/>
    <dgm:cxn modelId="{7F35EB23-832D-4DE2-B0A6-63330A88E57B}" type="presOf" srcId="{E0C1C465-16D6-49C1-95FB-165635AE6595}" destId="{BD2C244F-46EE-4383-81EB-F83DA11E779A}" srcOrd="1" destOrd="0" presId="urn:microsoft.com/office/officeart/2005/8/layout/list1"/>
    <dgm:cxn modelId="{1FC3B526-BDC3-4CD7-9F1B-FBCEADBEF080}" srcId="{028C0357-6B69-4D32-8E61-14BD1049492A}" destId="{C1098605-BCC4-481E-B52E-2C5DB28D998D}" srcOrd="6" destOrd="0" parTransId="{A90A5DCE-55A0-43CB-9592-683B0731ED9B}" sibTransId="{AFE0F7A4-09B7-4738-A276-6E7D188D5026}"/>
    <dgm:cxn modelId="{B4EFDB2B-5F54-40D7-B154-04E3139B3F7C}" type="presOf" srcId="{028C0357-6B69-4D32-8E61-14BD1049492A}" destId="{0F3C0421-3D12-4EA3-980E-E4CC81A04CD4}" srcOrd="0" destOrd="0" presId="urn:microsoft.com/office/officeart/2005/8/layout/list1"/>
    <dgm:cxn modelId="{E2DE0F32-C78F-4900-844F-85F2ED2B2470}" type="presOf" srcId="{E0C1C465-16D6-49C1-95FB-165635AE6595}" destId="{38B02A86-3D69-4713-979F-E6365CEDE8C1}" srcOrd="0" destOrd="0" presId="urn:microsoft.com/office/officeart/2005/8/layout/list1"/>
    <dgm:cxn modelId="{6FF0D53D-8551-4FE9-87C8-B085FE49C1A6}" type="presOf" srcId="{F0CB4898-0021-4626-8085-829FE3BD91DB}" destId="{700E922F-3840-4A82-ACC8-78E58A822CDC}" srcOrd="1" destOrd="0" presId="urn:microsoft.com/office/officeart/2005/8/layout/list1"/>
    <dgm:cxn modelId="{5A579863-E040-464E-9465-9690BC23DB72}" type="presOf" srcId="{72D7E10E-9D27-49B1-9470-B08044B522D8}" destId="{92054103-BF60-4FBF-9932-D9CD7B2D311F}" srcOrd="1" destOrd="0" presId="urn:microsoft.com/office/officeart/2005/8/layout/list1"/>
    <dgm:cxn modelId="{F173AB46-ECD5-46A0-9067-729E83555099}" type="presOf" srcId="{1F6E6AC8-E9EA-49B0-88AC-80B926BD7F3F}" destId="{2BE28E10-B049-4560-9BC1-4576C10AFEC8}" srcOrd="1" destOrd="0" presId="urn:microsoft.com/office/officeart/2005/8/layout/list1"/>
    <dgm:cxn modelId="{CEB53D6D-EA52-48E5-8432-44B187F5F5B2}" type="presOf" srcId="{C4E66385-0DD9-4929-A696-8CDCBA50BD5F}" destId="{054555C2-6AE2-43D0-89E7-8975C8754BFF}" srcOrd="0" destOrd="0" presId="urn:microsoft.com/office/officeart/2005/8/layout/list1"/>
    <dgm:cxn modelId="{3E84C954-6D14-484F-9580-EB46DC86EC39}" srcId="{028C0357-6B69-4D32-8E61-14BD1049492A}" destId="{D2CDF464-1221-4823-B9E5-4A06D7A4CFF4}" srcOrd="4" destOrd="0" parTransId="{153BAC07-30B1-439F-9F5A-8FC7FF2FCC33}" sibTransId="{46323BF8-C713-40B8-8504-876162EE3DE7}"/>
    <dgm:cxn modelId="{ED47E375-36E2-4B67-8DEC-8B9FEF2712B9}" srcId="{028C0357-6B69-4D32-8E61-14BD1049492A}" destId="{E0C1C465-16D6-49C1-95FB-165635AE6595}" srcOrd="7" destOrd="0" parTransId="{99790B61-87B3-440A-A855-A4050102DB39}" sibTransId="{CA3A258E-AD1F-470C-A675-5564F0C35622}"/>
    <dgm:cxn modelId="{3C4F357D-F5ED-4832-8FF6-7C103BC5F116}" srcId="{028C0357-6B69-4D32-8E61-14BD1049492A}" destId="{7B6983F1-D5B3-421D-A64E-705A0DE43A37}" srcOrd="0" destOrd="0" parTransId="{8A85B71D-6BF0-4BD9-AA34-7F29C5EAF374}" sibTransId="{97E01170-B548-4670-90CD-0B1909676678}"/>
    <dgm:cxn modelId="{3552717D-743C-40B2-B3BF-17043B318353}" srcId="{028C0357-6B69-4D32-8E61-14BD1049492A}" destId="{C4E66385-0DD9-4929-A696-8CDCBA50BD5F}" srcOrd="3" destOrd="0" parTransId="{7D5112EA-6DEE-49B1-AAEB-CD5FE8544A05}" sibTransId="{DD44A5C7-C2AA-4214-B5D9-06C25FC4F6A2}"/>
    <dgm:cxn modelId="{88204183-EC80-434C-AC71-4097A5F8ABE0}" type="presOf" srcId="{D2CDF464-1221-4823-B9E5-4A06D7A4CFF4}" destId="{B1B4C1EC-9799-41EF-A28B-1DC3C8DDB757}" srcOrd="0" destOrd="0" presId="urn:microsoft.com/office/officeart/2005/8/layout/list1"/>
    <dgm:cxn modelId="{AB117187-1219-4D7E-B83D-581B0BF43452}" type="presOf" srcId="{7B6983F1-D5B3-421D-A64E-705A0DE43A37}" destId="{CBDD530C-E3F6-441C-B573-E2A4F6BB4F37}" srcOrd="0" destOrd="0" presId="urn:microsoft.com/office/officeart/2005/8/layout/list1"/>
    <dgm:cxn modelId="{7C370089-9350-4AC2-A403-F9BA9DB5EA2F}" type="presOf" srcId="{D2CDF464-1221-4823-B9E5-4A06D7A4CFF4}" destId="{7A545A8E-5A4D-49A1-BCF5-F0B087FD794F}" srcOrd="1" destOrd="0" presId="urn:microsoft.com/office/officeart/2005/8/layout/list1"/>
    <dgm:cxn modelId="{71E78594-8B7B-495F-A0AE-4F67947B6417}" srcId="{028C0357-6B69-4D32-8E61-14BD1049492A}" destId="{AF164637-CF34-4640-8226-583722D45A43}" srcOrd="1" destOrd="0" parTransId="{26864786-9E31-4439-A7E8-540AD7A6FCB2}" sibTransId="{6B5F8FCE-604C-401E-96F8-483F84C35F55}"/>
    <dgm:cxn modelId="{944BF9BA-B7C3-4C75-BBA7-13A2BABE8AFD}" srcId="{028C0357-6B69-4D32-8E61-14BD1049492A}" destId="{1F6E6AC8-E9EA-49B0-88AC-80B926BD7F3F}" srcOrd="5" destOrd="0" parTransId="{44423134-6FDB-4057-B1D3-1802F2CDBF22}" sibTransId="{459CBB9E-27CA-4DBF-BA44-6276AF18B8BF}"/>
    <dgm:cxn modelId="{8AA0BBBE-F180-4A70-B3C8-EE95D62803BD}" type="presOf" srcId="{C1098605-BCC4-481E-B52E-2C5DB28D998D}" destId="{7B6E33CA-125F-47B1-92C3-822461E54A0C}" srcOrd="1" destOrd="0" presId="urn:microsoft.com/office/officeart/2005/8/layout/list1"/>
    <dgm:cxn modelId="{A447E5CD-1A97-4A49-915D-A03549CD9ACA}" type="presOf" srcId="{1F6E6AC8-E9EA-49B0-88AC-80B926BD7F3F}" destId="{9D53B900-FE82-40E7-96C1-3E6F27EEFC75}" srcOrd="0" destOrd="0" presId="urn:microsoft.com/office/officeart/2005/8/layout/list1"/>
    <dgm:cxn modelId="{25A1B8D1-6B6B-420F-A070-FE05D2E77821}" type="presOf" srcId="{AF164637-CF34-4640-8226-583722D45A43}" destId="{3306B807-2BDA-4694-93D0-498BED427E42}" srcOrd="1" destOrd="0" presId="urn:microsoft.com/office/officeart/2005/8/layout/list1"/>
    <dgm:cxn modelId="{BAF887D2-B061-415F-AC6A-E87CB9EE1561}" srcId="{028C0357-6B69-4D32-8E61-14BD1049492A}" destId="{F0CB4898-0021-4626-8085-829FE3BD91DB}" srcOrd="2" destOrd="0" parTransId="{8C1FF690-9A78-4081-B23C-B254CEF4D15E}" sibTransId="{C4143B62-A0C8-4BE3-8559-6175A9115AE2}"/>
    <dgm:cxn modelId="{B9CE27D4-03A9-4D23-9639-EA5A31C4E998}" type="presOf" srcId="{C4E66385-0DD9-4929-A696-8CDCBA50BD5F}" destId="{449F17E6-4A18-4F5D-959D-499407927614}" srcOrd="1" destOrd="0" presId="urn:microsoft.com/office/officeart/2005/8/layout/list1"/>
    <dgm:cxn modelId="{9E37B2D6-E5DF-458E-B08F-311707392B24}" type="presOf" srcId="{7B6983F1-D5B3-421D-A64E-705A0DE43A37}" destId="{EF9A3746-4C03-4E3F-8943-CB7F96DEF862}" srcOrd="1" destOrd="0" presId="urn:microsoft.com/office/officeart/2005/8/layout/list1"/>
    <dgm:cxn modelId="{20386BE6-6C96-415C-A8D5-6D83A92212F9}" type="presParOf" srcId="{0F3C0421-3D12-4EA3-980E-E4CC81A04CD4}" destId="{BA6F6976-7E3A-4234-8EC5-68D4F68B74B2}" srcOrd="0" destOrd="0" presId="urn:microsoft.com/office/officeart/2005/8/layout/list1"/>
    <dgm:cxn modelId="{A95101A3-5750-4524-ADD2-A8F287695A8C}" type="presParOf" srcId="{BA6F6976-7E3A-4234-8EC5-68D4F68B74B2}" destId="{CBDD530C-E3F6-441C-B573-E2A4F6BB4F37}" srcOrd="0" destOrd="0" presId="urn:microsoft.com/office/officeart/2005/8/layout/list1"/>
    <dgm:cxn modelId="{7A2EB421-BF2D-461D-A108-B3229BE77569}" type="presParOf" srcId="{BA6F6976-7E3A-4234-8EC5-68D4F68B74B2}" destId="{EF9A3746-4C03-4E3F-8943-CB7F96DEF862}" srcOrd="1" destOrd="0" presId="urn:microsoft.com/office/officeart/2005/8/layout/list1"/>
    <dgm:cxn modelId="{DA63DAD5-CCF8-4841-9C65-7A61B6C62312}" type="presParOf" srcId="{0F3C0421-3D12-4EA3-980E-E4CC81A04CD4}" destId="{E887537A-49BD-42D2-84AC-853DAC947656}" srcOrd="1" destOrd="0" presId="urn:microsoft.com/office/officeart/2005/8/layout/list1"/>
    <dgm:cxn modelId="{FCA15572-570B-4991-9846-7370204B769D}" type="presParOf" srcId="{0F3C0421-3D12-4EA3-980E-E4CC81A04CD4}" destId="{F8DF3F21-FDBE-46FF-8B56-6492BEE16B57}" srcOrd="2" destOrd="0" presId="urn:microsoft.com/office/officeart/2005/8/layout/list1"/>
    <dgm:cxn modelId="{2ADC9428-B5CF-4EDC-B4A9-F656366D4427}" type="presParOf" srcId="{0F3C0421-3D12-4EA3-980E-E4CC81A04CD4}" destId="{A8A9E392-E803-479C-881A-A287A75AF2CD}" srcOrd="3" destOrd="0" presId="urn:microsoft.com/office/officeart/2005/8/layout/list1"/>
    <dgm:cxn modelId="{944DB01A-BC37-4781-843B-C794A77B2487}" type="presParOf" srcId="{0F3C0421-3D12-4EA3-980E-E4CC81A04CD4}" destId="{3CBD5D6A-5E7D-46A8-9439-4BCF5B0CD72F}" srcOrd="4" destOrd="0" presId="urn:microsoft.com/office/officeart/2005/8/layout/list1"/>
    <dgm:cxn modelId="{42CF7555-F5A3-463B-B3EF-DF7ABBD72F47}" type="presParOf" srcId="{3CBD5D6A-5E7D-46A8-9439-4BCF5B0CD72F}" destId="{6621299A-3F53-4F82-8396-2F7EF77820D6}" srcOrd="0" destOrd="0" presId="urn:microsoft.com/office/officeart/2005/8/layout/list1"/>
    <dgm:cxn modelId="{86988425-D64D-4C66-9D7B-91874BF394A5}" type="presParOf" srcId="{3CBD5D6A-5E7D-46A8-9439-4BCF5B0CD72F}" destId="{3306B807-2BDA-4694-93D0-498BED427E42}" srcOrd="1" destOrd="0" presId="urn:microsoft.com/office/officeart/2005/8/layout/list1"/>
    <dgm:cxn modelId="{8CC775F0-2B5C-46CA-B45C-D1EB559D0339}" type="presParOf" srcId="{0F3C0421-3D12-4EA3-980E-E4CC81A04CD4}" destId="{CF04C699-E630-41AA-9973-924E35D9A939}" srcOrd="5" destOrd="0" presId="urn:microsoft.com/office/officeart/2005/8/layout/list1"/>
    <dgm:cxn modelId="{6D33C759-599E-49FB-AE0E-EC29F791D101}" type="presParOf" srcId="{0F3C0421-3D12-4EA3-980E-E4CC81A04CD4}" destId="{B784BA78-EFFA-40D0-9A1C-7654C24D71DE}" srcOrd="6" destOrd="0" presId="urn:microsoft.com/office/officeart/2005/8/layout/list1"/>
    <dgm:cxn modelId="{922E38F3-9042-4609-8D11-032BB2FB80B3}" type="presParOf" srcId="{0F3C0421-3D12-4EA3-980E-E4CC81A04CD4}" destId="{F57CD253-E334-4025-A9B4-9825F7F3BEB5}" srcOrd="7" destOrd="0" presId="urn:microsoft.com/office/officeart/2005/8/layout/list1"/>
    <dgm:cxn modelId="{2B67604C-75AB-4605-BFC9-31F321EADBD0}" type="presParOf" srcId="{0F3C0421-3D12-4EA3-980E-E4CC81A04CD4}" destId="{EEC2A5DC-C5AC-477D-9C45-461AB200CBD9}" srcOrd="8" destOrd="0" presId="urn:microsoft.com/office/officeart/2005/8/layout/list1"/>
    <dgm:cxn modelId="{8D34A55C-9A45-48D2-A874-551F3D59BC60}" type="presParOf" srcId="{EEC2A5DC-C5AC-477D-9C45-461AB200CBD9}" destId="{F7D22628-A3A2-43D5-BD0B-226CE321DD1D}" srcOrd="0" destOrd="0" presId="urn:microsoft.com/office/officeart/2005/8/layout/list1"/>
    <dgm:cxn modelId="{FAD85EF5-D18D-48E9-A22E-AB5A7644C71D}" type="presParOf" srcId="{EEC2A5DC-C5AC-477D-9C45-461AB200CBD9}" destId="{700E922F-3840-4A82-ACC8-78E58A822CDC}" srcOrd="1" destOrd="0" presId="urn:microsoft.com/office/officeart/2005/8/layout/list1"/>
    <dgm:cxn modelId="{DDB96C1D-E3D1-436B-A8CC-0F86B96CC558}" type="presParOf" srcId="{0F3C0421-3D12-4EA3-980E-E4CC81A04CD4}" destId="{44EF8E60-214C-485E-A922-8826E521DD42}" srcOrd="9" destOrd="0" presId="urn:microsoft.com/office/officeart/2005/8/layout/list1"/>
    <dgm:cxn modelId="{DBFE39EB-DA8F-4B1B-84FC-8D62AC276B87}" type="presParOf" srcId="{0F3C0421-3D12-4EA3-980E-E4CC81A04CD4}" destId="{B0FC8A80-0B14-4E79-827F-49CAB1113DCF}" srcOrd="10" destOrd="0" presId="urn:microsoft.com/office/officeart/2005/8/layout/list1"/>
    <dgm:cxn modelId="{45D3037E-69E3-4235-9A84-BFBFA4A2898B}" type="presParOf" srcId="{0F3C0421-3D12-4EA3-980E-E4CC81A04CD4}" destId="{84FB03F8-A0B5-4CF0-8B4C-548E8EAA0334}" srcOrd="11" destOrd="0" presId="urn:microsoft.com/office/officeart/2005/8/layout/list1"/>
    <dgm:cxn modelId="{86B537C1-D1AB-46D2-9C2D-F7094EC78E0F}" type="presParOf" srcId="{0F3C0421-3D12-4EA3-980E-E4CC81A04CD4}" destId="{C1020818-1BA7-4643-B536-9AE6488406A8}" srcOrd="12" destOrd="0" presId="urn:microsoft.com/office/officeart/2005/8/layout/list1"/>
    <dgm:cxn modelId="{8CCF29C7-AFB0-4B5D-AA6F-0F225093893B}" type="presParOf" srcId="{C1020818-1BA7-4643-B536-9AE6488406A8}" destId="{054555C2-6AE2-43D0-89E7-8975C8754BFF}" srcOrd="0" destOrd="0" presId="urn:microsoft.com/office/officeart/2005/8/layout/list1"/>
    <dgm:cxn modelId="{57AF09BE-754E-4041-997D-86FB8880E176}" type="presParOf" srcId="{C1020818-1BA7-4643-B536-9AE6488406A8}" destId="{449F17E6-4A18-4F5D-959D-499407927614}" srcOrd="1" destOrd="0" presId="urn:microsoft.com/office/officeart/2005/8/layout/list1"/>
    <dgm:cxn modelId="{0A14A5F8-7D5E-4024-B24D-26B6981B6084}" type="presParOf" srcId="{0F3C0421-3D12-4EA3-980E-E4CC81A04CD4}" destId="{99F9F4CB-2E9E-4C0B-8088-B5EFEF35DCCA}" srcOrd="13" destOrd="0" presId="urn:microsoft.com/office/officeart/2005/8/layout/list1"/>
    <dgm:cxn modelId="{54B1C664-F3C3-4C49-A36B-CD5CCAF728E1}" type="presParOf" srcId="{0F3C0421-3D12-4EA3-980E-E4CC81A04CD4}" destId="{3C38A770-5B4D-4BC5-90C2-7BCDCA6E3AA9}" srcOrd="14" destOrd="0" presId="urn:microsoft.com/office/officeart/2005/8/layout/list1"/>
    <dgm:cxn modelId="{368D06F9-666F-418D-A44C-67F6F044761A}" type="presParOf" srcId="{0F3C0421-3D12-4EA3-980E-E4CC81A04CD4}" destId="{1EF8A2C7-735A-478F-8744-978E882987AE}" srcOrd="15" destOrd="0" presId="urn:microsoft.com/office/officeart/2005/8/layout/list1"/>
    <dgm:cxn modelId="{C86E1E3E-3EB3-45E7-971E-2EF364C0E264}" type="presParOf" srcId="{0F3C0421-3D12-4EA3-980E-E4CC81A04CD4}" destId="{66E4917B-3F28-4652-A085-573B4C5B8834}" srcOrd="16" destOrd="0" presId="urn:microsoft.com/office/officeart/2005/8/layout/list1"/>
    <dgm:cxn modelId="{653238FD-F928-4849-91AA-99A18822581F}" type="presParOf" srcId="{66E4917B-3F28-4652-A085-573B4C5B8834}" destId="{B1B4C1EC-9799-41EF-A28B-1DC3C8DDB757}" srcOrd="0" destOrd="0" presId="urn:microsoft.com/office/officeart/2005/8/layout/list1"/>
    <dgm:cxn modelId="{637FFCB8-0DE8-4D88-9703-941807017DD3}" type="presParOf" srcId="{66E4917B-3F28-4652-A085-573B4C5B8834}" destId="{7A545A8E-5A4D-49A1-BCF5-F0B087FD794F}" srcOrd="1" destOrd="0" presId="urn:microsoft.com/office/officeart/2005/8/layout/list1"/>
    <dgm:cxn modelId="{788E8AF7-AC34-4AAB-A2B2-DCB8A669BA7C}" type="presParOf" srcId="{0F3C0421-3D12-4EA3-980E-E4CC81A04CD4}" destId="{AC224F9C-2217-41F9-8ABF-81FC1C014446}" srcOrd="17" destOrd="0" presId="urn:microsoft.com/office/officeart/2005/8/layout/list1"/>
    <dgm:cxn modelId="{9766C6A5-F407-43F1-AD3B-E6B91B66D32E}" type="presParOf" srcId="{0F3C0421-3D12-4EA3-980E-E4CC81A04CD4}" destId="{0B2DF46C-F52F-4C0F-B3BA-3686B8FB6436}" srcOrd="18" destOrd="0" presId="urn:microsoft.com/office/officeart/2005/8/layout/list1"/>
    <dgm:cxn modelId="{F7523074-ACFB-4F7B-B289-EE3531CB2B21}" type="presParOf" srcId="{0F3C0421-3D12-4EA3-980E-E4CC81A04CD4}" destId="{AA2A8C6F-EB70-48E9-9CA1-228C63B03197}" srcOrd="19" destOrd="0" presId="urn:microsoft.com/office/officeart/2005/8/layout/list1"/>
    <dgm:cxn modelId="{11B02C40-FE17-4B3D-89A9-197D975ABC11}" type="presParOf" srcId="{0F3C0421-3D12-4EA3-980E-E4CC81A04CD4}" destId="{7195E58F-C794-434A-842B-B97E1793ECD4}" srcOrd="20" destOrd="0" presId="urn:microsoft.com/office/officeart/2005/8/layout/list1"/>
    <dgm:cxn modelId="{492E4477-E064-4D3C-B300-561796B0A304}" type="presParOf" srcId="{7195E58F-C794-434A-842B-B97E1793ECD4}" destId="{9D53B900-FE82-40E7-96C1-3E6F27EEFC75}" srcOrd="0" destOrd="0" presId="urn:microsoft.com/office/officeart/2005/8/layout/list1"/>
    <dgm:cxn modelId="{47B2016B-CA2D-478E-9E59-EDCB5DCCF556}" type="presParOf" srcId="{7195E58F-C794-434A-842B-B97E1793ECD4}" destId="{2BE28E10-B049-4560-9BC1-4576C10AFEC8}" srcOrd="1" destOrd="0" presId="urn:microsoft.com/office/officeart/2005/8/layout/list1"/>
    <dgm:cxn modelId="{25D6D245-C8C1-410E-8AD7-8EF646607A4E}" type="presParOf" srcId="{0F3C0421-3D12-4EA3-980E-E4CC81A04CD4}" destId="{0DA049B3-927C-419D-A4A8-D9EBA5ACC296}" srcOrd="21" destOrd="0" presId="urn:microsoft.com/office/officeart/2005/8/layout/list1"/>
    <dgm:cxn modelId="{D7A40B39-B9B3-4D43-8F39-E8198A588987}" type="presParOf" srcId="{0F3C0421-3D12-4EA3-980E-E4CC81A04CD4}" destId="{79E8F449-1886-4CFA-B62B-31060A026562}" srcOrd="22" destOrd="0" presId="urn:microsoft.com/office/officeart/2005/8/layout/list1"/>
    <dgm:cxn modelId="{EA9A8DE9-571F-4D6F-8DBE-14A238C115E9}" type="presParOf" srcId="{0F3C0421-3D12-4EA3-980E-E4CC81A04CD4}" destId="{D78E1638-280C-417B-9269-5DED533038FA}" srcOrd="23" destOrd="0" presId="urn:microsoft.com/office/officeart/2005/8/layout/list1"/>
    <dgm:cxn modelId="{DA377DDD-FEFE-4177-84CB-CDD0374368DC}" type="presParOf" srcId="{0F3C0421-3D12-4EA3-980E-E4CC81A04CD4}" destId="{1F0DC7B4-7200-4106-805A-78EAEAEEFEFD}" srcOrd="24" destOrd="0" presId="urn:microsoft.com/office/officeart/2005/8/layout/list1"/>
    <dgm:cxn modelId="{F1824C43-1BA0-428B-9D79-FBFF099C2073}" type="presParOf" srcId="{1F0DC7B4-7200-4106-805A-78EAEAEEFEFD}" destId="{A9ED10EF-DFE1-4C4C-BAE6-76126DA88591}" srcOrd="0" destOrd="0" presId="urn:microsoft.com/office/officeart/2005/8/layout/list1"/>
    <dgm:cxn modelId="{3864BF33-154A-47DC-8E4C-A6A99CCD97AA}" type="presParOf" srcId="{1F0DC7B4-7200-4106-805A-78EAEAEEFEFD}" destId="{7B6E33CA-125F-47B1-92C3-822461E54A0C}" srcOrd="1" destOrd="0" presId="urn:microsoft.com/office/officeart/2005/8/layout/list1"/>
    <dgm:cxn modelId="{DC9069C5-97EC-4305-813B-BCA31F308153}" type="presParOf" srcId="{0F3C0421-3D12-4EA3-980E-E4CC81A04CD4}" destId="{56C599B5-7F97-4F7C-9B2D-BBFE0C4DF765}" srcOrd="25" destOrd="0" presId="urn:microsoft.com/office/officeart/2005/8/layout/list1"/>
    <dgm:cxn modelId="{FEE5FE29-9351-48FA-AD49-2AA645031C7A}" type="presParOf" srcId="{0F3C0421-3D12-4EA3-980E-E4CC81A04CD4}" destId="{8A3022B5-A9EE-43F7-A9B7-301A88923BD5}" srcOrd="26" destOrd="0" presId="urn:microsoft.com/office/officeart/2005/8/layout/list1"/>
    <dgm:cxn modelId="{FC09060E-0ACE-4AB0-856B-136CBDA8057F}" type="presParOf" srcId="{0F3C0421-3D12-4EA3-980E-E4CC81A04CD4}" destId="{0AE86F6C-2DDF-40DF-87D3-59A225D0E7C7}" srcOrd="27" destOrd="0" presId="urn:microsoft.com/office/officeart/2005/8/layout/list1"/>
    <dgm:cxn modelId="{056D1DA0-0FF1-4126-89EA-22BB856EDA5C}" type="presParOf" srcId="{0F3C0421-3D12-4EA3-980E-E4CC81A04CD4}" destId="{A48A8E92-2BD2-4D78-A29A-8732103B5474}" srcOrd="28" destOrd="0" presId="urn:microsoft.com/office/officeart/2005/8/layout/list1"/>
    <dgm:cxn modelId="{55361648-71C0-473D-87C9-6F0A44ACFC64}" type="presParOf" srcId="{A48A8E92-2BD2-4D78-A29A-8732103B5474}" destId="{38B02A86-3D69-4713-979F-E6365CEDE8C1}" srcOrd="0" destOrd="0" presId="urn:microsoft.com/office/officeart/2005/8/layout/list1"/>
    <dgm:cxn modelId="{387282F5-8904-453C-9256-34D3CCFAA6BC}" type="presParOf" srcId="{A48A8E92-2BD2-4D78-A29A-8732103B5474}" destId="{BD2C244F-46EE-4383-81EB-F83DA11E779A}" srcOrd="1" destOrd="0" presId="urn:microsoft.com/office/officeart/2005/8/layout/list1"/>
    <dgm:cxn modelId="{B55FDAF9-6577-4F04-B7D2-6D237224C92B}" type="presParOf" srcId="{0F3C0421-3D12-4EA3-980E-E4CC81A04CD4}" destId="{515F350C-E0BF-4F1B-9252-89CBE3986603}" srcOrd="29" destOrd="0" presId="urn:microsoft.com/office/officeart/2005/8/layout/list1"/>
    <dgm:cxn modelId="{AF44EB92-24AB-4EA7-AC19-A40AAE26C15B}" type="presParOf" srcId="{0F3C0421-3D12-4EA3-980E-E4CC81A04CD4}" destId="{5A8B84FA-CAAF-4BDC-8AEB-F981C6AEAB69}" srcOrd="30" destOrd="0" presId="urn:microsoft.com/office/officeart/2005/8/layout/list1"/>
    <dgm:cxn modelId="{3FE96E8C-A596-4A66-8972-E529D5CDE48F}" type="presParOf" srcId="{0F3C0421-3D12-4EA3-980E-E4CC81A04CD4}" destId="{59014584-96CE-4BB8-A133-53E97563B1CE}" srcOrd="31" destOrd="0" presId="urn:microsoft.com/office/officeart/2005/8/layout/list1"/>
    <dgm:cxn modelId="{01F48348-357A-426B-914D-C9E0A2C3B3C3}" type="presParOf" srcId="{0F3C0421-3D12-4EA3-980E-E4CC81A04CD4}" destId="{DA395749-6E71-4982-9597-75F87C9184BE}" srcOrd="32" destOrd="0" presId="urn:microsoft.com/office/officeart/2005/8/layout/list1"/>
    <dgm:cxn modelId="{EDE5FB9E-34B1-4A5B-8B84-4BA4672EB4AB}" type="presParOf" srcId="{DA395749-6E71-4982-9597-75F87C9184BE}" destId="{5CDFE3A4-9C22-4BD1-B4B9-95E739CE7C9A}" srcOrd="0" destOrd="0" presId="urn:microsoft.com/office/officeart/2005/8/layout/list1"/>
    <dgm:cxn modelId="{9E9DCBC2-115B-43EF-BEF2-75D670AB977D}" type="presParOf" srcId="{DA395749-6E71-4982-9597-75F87C9184BE}" destId="{92054103-BF60-4FBF-9932-D9CD7B2D311F}" srcOrd="1" destOrd="0" presId="urn:microsoft.com/office/officeart/2005/8/layout/list1"/>
    <dgm:cxn modelId="{1FC53EFC-793E-4966-B259-7EA02A5223F4}" type="presParOf" srcId="{0F3C0421-3D12-4EA3-980E-E4CC81A04CD4}" destId="{B8DFB821-2A49-4EA3-9B8D-F98E22C6E016}" srcOrd="33" destOrd="0" presId="urn:microsoft.com/office/officeart/2005/8/layout/list1"/>
    <dgm:cxn modelId="{CCD76B79-7740-426F-956D-501F9B170A6C}" type="presParOf" srcId="{0F3C0421-3D12-4EA3-980E-E4CC81A04CD4}" destId="{363F3797-C76B-437A-9ACE-B14188C45AD5}" srcOrd="34" destOrd="0" presId="urn:microsoft.com/office/officeart/2005/8/layout/list1"/>
  </dgm:cxnLst>
  <dgm:bg>
    <a:noFill/>
  </dgm:bg>
  <dgm:whole/>
  <dgm:extLst>
    <a:ext uri="http://schemas.microsoft.com/office/drawing/2008/diagram">
      <dsp:dataModelExt xmlns:dsp="http://schemas.microsoft.com/office/drawing/2008/diagram" relId="rId220"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587405-407F-41F2-9857-ED3475EE7C6D}">
      <dsp:nvSpPr>
        <dsp:cNvPr id="0" name=""/>
        <dsp:cNvSpPr/>
      </dsp:nvSpPr>
      <dsp:spPr>
        <a:xfrm>
          <a:off x="2431373" y="822"/>
          <a:ext cx="3642609" cy="2241872"/>
        </a:xfrm>
        <a:prstGeom prst="rightArrow">
          <a:avLst>
            <a:gd name="adj1" fmla="val 75000"/>
            <a:gd name="adj2" fmla="val 5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мотивація</a:t>
          </a:r>
        </a:p>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управління командою</a:t>
          </a:r>
        </a:p>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впровадження змін</a:t>
          </a:r>
        </a:p>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реалізація програм оцінки та професійного розвитку</a:t>
          </a:r>
        </a:p>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формування та розвиток організаційної культури</a:t>
          </a:r>
        </a:p>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розстановка кадрів</a:t>
          </a:r>
        </a:p>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формування інформаційних баз</a:t>
          </a:r>
        </a:p>
        <a:p>
          <a:pPr marL="57150" lvl="1" indent="-57150" algn="l" defTabSz="266700">
            <a:lnSpc>
              <a:spcPct val="90000"/>
            </a:lnSpc>
            <a:spcBef>
              <a:spcPct val="0"/>
            </a:spcBef>
            <a:spcAft>
              <a:spcPct val="15000"/>
            </a:spcAft>
            <a:buChar char="•"/>
          </a:pPr>
          <a:endParaRPr lang="uk-UA" sz="600" kern="1200"/>
        </a:p>
      </dsp:txBody>
      <dsp:txXfrm>
        <a:off x="2431373" y="281056"/>
        <a:ext cx="2801907" cy="1681404"/>
      </dsp:txXfrm>
    </dsp:sp>
    <dsp:sp modelId="{14218FC3-16AF-4D16-80CB-14A1531831C4}">
      <dsp:nvSpPr>
        <dsp:cNvPr id="0" name=""/>
        <dsp:cNvSpPr/>
      </dsp:nvSpPr>
      <dsp:spPr>
        <a:xfrm>
          <a:off x="2967" y="54698"/>
          <a:ext cx="2428406" cy="21341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Внутрішні комунікації (персонал, команда)</a:t>
          </a:r>
        </a:p>
      </dsp:txBody>
      <dsp:txXfrm>
        <a:off x="107146" y="158877"/>
        <a:ext cx="2220048" cy="1925762"/>
      </dsp:txXfrm>
    </dsp:sp>
    <dsp:sp modelId="{DF8038DF-4C83-4C07-B100-5295E8D109EB}">
      <dsp:nvSpPr>
        <dsp:cNvPr id="0" name=""/>
        <dsp:cNvSpPr/>
      </dsp:nvSpPr>
      <dsp:spPr>
        <a:xfrm>
          <a:off x="2430780" y="2554457"/>
          <a:ext cx="3646170" cy="1937418"/>
        </a:xfrm>
        <a:prstGeom prst="rightArrow">
          <a:avLst>
            <a:gd name="adj1" fmla="val 75000"/>
            <a:gd name="adj2" fmla="val 50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890" tIns="8890" rIns="8890" bIns="8890" numCol="1" spcCol="1270" anchor="t" anchorCtr="0">
          <a:noAutofit/>
        </a:bodyPr>
        <a:lstStyle/>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залучення і утримання клієнтів</a:t>
          </a:r>
        </a:p>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формування іміджу</a:t>
          </a:r>
        </a:p>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залучення талантів</a:t>
          </a:r>
        </a:p>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зростання доходів</a:t>
          </a:r>
        </a:p>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пошук інвесторів та партнерів</a:t>
          </a:r>
        </a:p>
        <a:p>
          <a:pPr marL="114300" lvl="1" indent="-114300" algn="l" defTabSz="622300">
            <a:lnSpc>
              <a:spcPct val="90000"/>
            </a:lnSpc>
            <a:spcBef>
              <a:spcPct val="0"/>
            </a:spcBef>
            <a:spcAft>
              <a:spcPts val="0"/>
            </a:spcAft>
            <a:buChar char="•"/>
          </a:pPr>
          <a:r>
            <a:rPr lang="uk-UA" sz="1400" kern="1200">
              <a:latin typeface="Times New Roman" pitchFamily="18" charset="0"/>
              <a:cs typeface="Times New Roman" pitchFamily="18" charset="0"/>
            </a:rPr>
            <a:t>створення інформаційних потоків, систем збору інформації</a:t>
          </a:r>
        </a:p>
        <a:p>
          <a:pPr marL="57150" lvl="1" indent="-57150" algn="l" defTabSz="266700">
            <a:lnSpc>
              <a:spcPct val="90000"/>
            </a:lnSpc>
            <a:spcBef>
              <a:spcPct val="0"/>
            </a:spcBef>
            <a:spcAft>
              <a:spcPct val="15000"/>
            </a:spcAft>
            <a:buChar char="•"/>
          </a:pPr>
          <a:endParaRPr lang="uk-UA" sz="600" kern="1200"/>
        </a:p>
      </dsp:txBody>
      <dsp:txXfrm>
        <a:off x="2430780" y="2796634"/>
        <a:ext cx="2919638" cy="1453064"/>
      </dsp:txXfrm>
    </dsp:sp>
    <dsp:sp modelId="{C3FD823C-2689-4B2D-B2A1-254477A2F762}">
      <dsp:nvSpPr>
        <dsp:cNvPr id="0" name=""/>
        <dsp:cNvSpPr/>
      </dsp:nvSpPr>
      <dsp:spPr>
        <a:xfrm>
          <a:off x="0" y="2456106"/>
          <a:ext cx="2430780" cy="213412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Зовнішні комунікації (клієнти, партнери, постачальники, громадськість,  конкуренти, ЗМІ, органи влади і т.д)</a:t>
          </a:r>
        </a:p>
      </dsp:txBody>
      <dsp:txXfrm>
        <a:off x="104179" y="2560285"/>
        <a:ext cx="2222422" cy="192576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C565D2F-AF1C-4A1C-9908-0D4FF4CA1470}">
      <dsp:nvSpPr>
        <dsp:cNvPr id="0" name=""/>
        <dsp:cNvSpPr/>
      </dsp:nvSpPr>
      <dsp:spPr>
        <a:xfrm rot="5400000">
          <a:off x="-156189" y="967242"/>
          <a:ext cx="1068691" cy="129354"/>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6CEB49C-0E2B-4D5E-8E0D-929878156016}">
      <dsp:nvSpPr>
        <dsp:cNvPr id="0" name=""/>
        <dsp:cNvSpPr/>
      </dsp:nvSpPr>
      <dsp:spPr>
        <a:xfrm>
          <a:off x="5194" y="279905"/>
          <a:ext cx="1599024" cy="8623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dirty="0">
              <a:latin typeface="Times New Roman" pitchFamily="18" charset="0"/>
              <a:cs typeface="Times New Roman" pitchFamily="18" charset="0"/>
            </a:rPr>
            <a:t>Комунікаційний аудит</a:t>
          </a:r>
        </a:p>
      </dsp:txBody>
      <dsp:txXfrm>
        <a:off x="30452" y="305163"/>
        <a:ext cx="1548508" cy="811848"/>
      </dsp:txXfrm>
    </dsp:sp>
    <dsp:sp modelId="{7BC1F260-40A9-4F03-9121-0E75CFEBC346}">
      <dsp:nvSpPr>
        <dsp:cNvPr id="0" name=""/>
        <dsp:cNvSpPr/>
      </dsp:nvSpPr>
      <dsp:spPr>
        <a:xfrm rot="5400000">
          <a:off x="-156189" y="2045198"/>
          <a:ext cx="1068691" cy="129354"/>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E22A6F1-E801-4382-99E1-1AA28E548EB4}">
      <dsp:nvSpPr>
        <dsp:cNvPr id="0" name=""/>
        <dsp:cNvSpPr/>
      </dsp:nvSpPr>
      <dsp:spPr>
        <a:xfrm>
          <a:off x="22168" y="1357861"/>
          <a:ext cx="1565076" cy="8623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dirty="0">
              <a:latin typeface="Times New Roman" pitchFamily="18" charset="0"/>
              <a:cs typeface="Times New Roman" pitchFamily="18" charset="0"/>
            </a:rPr>
            <a:t>Стратегічна ідея та орієнтири</a:t>
          </a:r>
        </a:p>
      </dsp:txBody>
      <dsp:txXfrm>
        <a:off x="47426" y="1383119"/>
        <a:ext cx="1514560" cy="811848"/>
      </dsp:txXfrm>
    </dsp:sp>
    <dsp:sp modelId="{92DC1D6B-3504-4AA2-83E5-DB7A34AFDDFC}">
      <dsp:nvSpPr>
        <dsp:cNvPr id="0" name=""/>
        <dsp:cNvSpPr/>
      </dsp:nvSpPr>
      <dsp:spPr>
        <a:xfrm>
          <a:off x="383200" y="2584176"/>
          <a:ext cx="1982774" cy="129354"/>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BC0261B-3A50-4E14-ABAD-E07878003F7B}">
      <dsp:nvSpPr>
        <dsp:cNvPr id="0" name=""/>
        <dsp:cNvSpPr/>
      </dsp:nvSpPr>
      <dsp:spPr>
        <a:xfrm>
          <a:off x="22168" y="2435816"/>
          <a:ext cx="1565076" cy="8623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Цільова аудиторія</a:t>
          </a:r>
        </a:p>
      </dsp:txBody>
      <dsp:txXfrm>
        <a:off x="47426" y="2461074"/>
        <a:ext cx="1514560" cy="811848"/>
      </dsp:txXfrm>
    </dsp:sp>
    <dsp:sp modelId="{CFB217D4-5EFD-4BC4-A093-F7156CC3C5E7}">
      <dsp:nvSpPr>
        <dsp:cNvPr id="0" name=""/>
        <dsp:cNvSpPr/>
      </dsp:nvSpPr>
      <dsp:spPr>
        <a:xfrm rot="16200000">
          <a:off x="1836260" y="2045198"/>
          <a:ext cx="1068691" cy="129354"/>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EFD7821-622A-48BC-A6D8-6F88147142F8}">
      <dsp:nvSpPr>
        <dsp:cNvPr id="0" name=""/>
        <dsp:cNvSpPr/>
      </dsp:nvSpPr>
      <dsp:spPr>
        <a:xfrm>
          <a:off x="2078519" y="2435816"/>
          <a:ext cx="1437274" cy="8623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dirty="0">
              <a:latin typeface="Times New Roman" pitchFamily="18" charset="0"/>
              <a:cs typeface="Times New Roman" pitchFamily="18" charset="0"/>
            </a:rPr>
            <a:t>Концепція  комунікаційної стратегії</a:t>
          </a:r>
        </a:p>
      </dsp:txBody>
      <dsp:txXfrm>
        <a:off x="2103777" y="2461074"/>
        <a:ext cx="1386758" cy="811848"/>
      </dsp:txXfrm>
    </dsp:sp>
    <dsp:sp modelId="{C1109B31-ED9F-4FCB-8CF9-0022DF21DCCC}">
      <dsp:nvSpPr>
        <dsp:cNvPr id="0" name=""/>
        <dsp:cNvSpPr/>
      </dsp:nvSpPr>
      <dsp:spPr>
        <a:xfrm rot="16200000">
          <a:off x="1836260" y="967242"/>
          <a:ext cx="1068691" cy="129354"/>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65F94CE-D3AB-4425-92D0-682A40206A1C}">
      <dsp:nvSpPr>
        <dsp:cNvPr id="0" name=""/>
        <dsp:cNvSpPr/>
      </dsp:nvSpPr>
      <dsp:spPr>
        <a:xfrm>
          <a:off x="2078519" y="1357861"/>
          <a:ext cx="1437274" cy="8623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dirty="0">
              <a:latin typeface="Times New Roman" pitchFamily="18" charset="0"/>
              <a:cs typeface="Times New Roman" pitchFamily="18" charset="0"/>
            </a:rPr>
            <a:t>Канали комунікацій</a:t>
          </a:r>
        </a:p>
      </dsp:txBody>
      <dsp:txXfrm>
        <a:off x="2103777" y="1383119"/>
        <a:ext cx="1386758" cy="811848"/>
      </dsp:txXfrm>
    </dsp:sp>
    <dsp:sp modelId="{3800955E-3F67-4A60-B12F-168C0E74979B}">
      <dsp:nvSpPr>
        <dsp:cNvPr id="0" name=""/>
        <dsp:cNvSpPr/>
      </dsp:nvSpPr>
      <dsp:spPr>
        <a:xfrm>
          <a:off x="2375238" y="428264"/>
          <a:ext cx="1978759" cy="129354"/>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D3142BF1-483F-40FF-96EF-FD3FDBECC18F}">
      <dsp:nvSpPr>
        <dsp:cNvPr id="0" name=""/>
        <dsp:cNvSpPr/>
      </dsp:nvSpPr>
      <dsp:spPr>
        <a:xfrm>
          <a:off x="2078519" y="279905"/>
          <a:ext cx="1437274" cy="8623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dirty="0">
              <a:latin typeface="Times New Roman" pitchFamily="18" charset="0"/>
              <a:cs typeface="Times New Roman" pitchFamily="18" charset="0"/>
            </a:rPr>
            <a:t>Тип і  тематика контенту</a:t>
          </a:r>
        </a:p>
      </dsp:txBody>
      <dsp:txXfrm>
        <a:off x="2103777" y="305163"/>
        <a:ext cx="1386758" cy="811848"/>
      </dsp:txXfrm>
    </dsp:sp>
    <dsp:sp modelId="{071D6C77-8A55-4E22-ABB2-385A38FE0352}">
      <dsp:nvSpPr>
        <dsp:cNvPr id="0" name=""/>
        <dsp:cNvSpPr/>
      </dsp:nvSpPr>
      <dsp:spPr>
        <a:xfrm rot="5400000">
          <a:off x="3824283" y="967242"/>
          <a:ext cx="1068691" cy="129354"/>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1A338C2-4250-4901-846D-A5F2928772A7}">
      <dsp:nvSpPr>
        <dsp:cNvPr id="0" name=""/>
        <dsp:cNvSpPr/>
      </dsp:nvSpPr>
      <dsp:spPr>
        <a:xfrm>
          <a:off x="4066542" y="279905"/>
          <a:ext cx="1437274" cy="8623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dirty="0">
              <a:latin typeface="Times New Roman" pitchFamily="18" charset="0"/>
              <a:cs typeface="Times New Roman" pitchFamily="18" charset="0"/>
            </a:rPr>
            <a:t>Формати і технології створення контенту</a:t>
          </a:r>
        </a:p>
      </dsp:txBody>
      <dsp:txXfrm>
        <a:off x="4091800" y="305163"/>
        <a:ext cx="1386758" cy="811848"/>
      </dsp:txXfrm>
    </dsp:sp>
    <dsp:sp modelId="{02DC695B-A541-4B91-858B-5E31C403A3A9}">
      <dsp:nvSpPr>
        <dsp:cNvPr id="0" name=""/>
        <dsp:cNvSpPr/>
      </dsp:nvSpPr>
      <dsp:spPr>
        <a:xfrm rot="5400000">
          <a:off x="3824283" y="2045198"/>
          <a:ext cx="1068691" cy="129354"/>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FDF86B2-C76C-4659-A158-33316D47A075}">
      <dsp:nvSpPr>
        <dsp:cNvPr id="0" name=""/>
        <dsp:cNvSpPr/>
      </dsp:nvSpPr>
      <dsp:spPr>
        <a:xfrm>
          <a:off x="3990094" y="1357861"/>
          <a:ext cx="1590171" cy="8623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dirty="0">
              <a:latin typeface="Times New Roman" pitchFamily="18" charset="0"/>
              <a:cs typeface="Times New Roman" pitchFamily="18" charset="0"/>
            </a:rPr>
            <a:t>Розробка системи планів і програм комунікацій</a:t>
          </a:r>
        </a:p>
        <a:p>
          <a:pPr marL="0" lvl="0" indent="0" algn="ctr" defTabSz="622300">
            <a:lnSpc>
              <a:spcPct val="90000"/>
            </a:lnSpc>
            <a:spcBef>
              <a:spcPct val="0"/>
            </a:spcBef>
            <a:spcAft>
              <a:spcPct val="35000"/>
            </a:spcAft>
            <a:buNone/>
          </a:pPr>
          <a:endParaRPr lang="uk-UA" sz="1100" kern="1200" dirty="0"/>
        </a:p>
      </dsp:txBody>
      <dsp:txXfrm>
        <a:off x="4015352" y="1383119"/>
        <a:ext cx="1539655" cy="811848"/>
      </dsp:txXfrm>
    </dsp:sp>
    <dsp:sp modelId="{3D6E0247-E3DA-4F42-91F0-DE2B8FFE8D78}">
      <dsp:nvSpPr>
        <dsp:cNvPr id="0" name=""/>
        <dsp:cNvSpPr/>
      </dsp:nvSpPr>
      <dsp:spPr>
        <a:xfrm>
          <a:off x="3990094" y="2435816"/>
          <a:ext cx="1590171" cy="86236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Складання бюджетів</a:t>
          </a:r>
        </a:p>
      </dsp:txBody>
      <dsp:txXfrm>
        <a:off x="4015352" y="2461074"/>
        <a:ext cx="1539655" cy="81184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26E87C4-3668-4634-87BA-B34D68BAD0E7}">
      <dsp:nvSpPr>
        <dsp:cNvPr id="0" name=""/>
        <dsp:cNvSpPr/>
      </dsp:nvSpPr>
      <dsp:spPr>
        <a:xfrm>
          <a:off x="1847883" y="0"/>
          <a:ext cx="923941" cy="599528"/>
        </a:xfrm>
        <a:prstGeom prst="trapezoid">
          <a:avLst>
            <a:gd name="adj" fmla="val 77056"/>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endParaRPr lang="uk-UA" sz="1400" kern="1200">
            <a:latin typeface="Times New Roman" pitchFamily="18" charset="0"/>
            <a:cs typeface="Times New Roman" pitchFamily="18" charset="0"/>
          </a:endParaRPr>
        </a:p>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Місія</a:t>
          </a:r>
        </a:p>
      </dsp:txBody>
      <dsp:txXfrm>
        <a:off x="1847883" y="0"/>
        <a:ext cx="923941" cy="599528"/>
      </dsp:txXfrm>
    </dsp:sp>
    <dsp:sp modelId="{CB4068F6-79A8-411A-B807-FE362A0F9E88}">
      <dsp:nvSpPr>
        <dsp:cNvPr id="0" name=""/>
        <dsp:cNvSpPr/>
      </dsp:nvSpPr>
      <dsp:spPr>
        <a:xfrm>
          <a:off x="1385912" y="599528"/>
          <a:ext cx="1847883" cy="599528"/>
        </a:xfrm>
        <a:prstGeom prst="trapezoid">
          <a:avLst>
            <a:gd name="adj" fmla="val 77056"/>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Візія</a:t>
          </a:r>
        </a:p>
      </dsp:txBody>
      <dsp:txXfrm>
        <a:off x="1709291" y="599528"/>
        <a:ext cx="1201124" cy="599528"/>
      </dsp:txXfrm>
    </dsp:sp>
    <dsp:sp modelId="{CD0AF39C-8395-4794-AE9C-C5F816C2FF07}">
      <dsp:nvSpPr>
        <dsp:cNvPr id="0" name=""/>
        <dsp:cNvSpPr/>
      </dsp:nvSpPr>
      <dsp:spPr>
        <a:xfrm>
          <a:off x="923941" y="1199056"/>
          <a:ext cx="2771824" cy="599528"/>
        </a:xfrm>
        <a:prstGeom prst="trapezoid">
          <a:avLst>
            <a:gd name="adj" fmla="val 77056"/>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Мета (стратегічні цілі)  комунікаційної стратегії </a:t>
          </a:r>
        </a:p>
      </dsp:txBody>
      <dsp:txXfrm>
        <a:off x="1409010" y="1199056"/>
        <a:ext cx="1801686" cy="599528"/>
      </dsp:txXfrm>
    </dsp:sp>
    <dsp:sp modelId="{C85623B4-B466-433F-BA51-EFC5E6293451}">
      <dsp:nvSpPr>
        <dsp:cNvPr id="0" name=""/>
        <dsp:cNvSpPr/>
      </dsp:nvSpPr>
      <dsp:spPr>
        <a:xfrm>
          <a:off x="461970" y="1798585"/>
          <a:ext cx="3695766" cy="599528"/>
        </a:xfrm>
        <a:prstGeom prst="trapezoid">
          <a:avLst>
            <a:gd name="adj" fmla="val 77056"/>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dirty="0">
              <a:latin typeface="Times New Roman" pitchFamily="18" charset="0"/>
              <a:cs typeface="Times New Roman" pitchFamily="18" charset="0"/>
            </a:rPr>
            <a:t>Оперативні цілі комунікаційної стратегії</a:t>
          </a:r>
        </a:p>
      </dsp:txBody>
      <dsp:txXfrm>
        <a:off x="1108729" y="1798585"/>
        <a:ext cx="2402248" cy="599528"/>
      </dsp:txXfrm>
    </dsp:sp>
    <dsp:sp modelId="{64919D2F-C83E-46E1-904F-E1E090B4CC05}">
      <dsp:nvSpPr>
        <dsp:cNvPr id="0" name=""/>
        <dsp:cNvSpPr/>
      </dsp:nvSpPr>
      <dsp:spPr>
        <a:xfrm>
          <a:off x="0" y="2398113"/>
          <a:ext cx="4619707" cy="599528"/>
        </a:xfrm>
        <a:prstGeom prst="trapezoid">
          <a:avLst>
            <a:gd name="adj" fmla="val 77056"/>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Завдання комунікаційної стратегії</a:t>
          </a:r>
        </a:p>
      </dsp:txBody>
      <dsp:txXfrm>
        <a:off x="808448" y="2398113"/>
        <a:ext cx="3002810" cy="59952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D26EBC-D9A9-4143-861F-B7FBA720F921}">
      <dsp:nvSpPr>
        <dsp:cNvPr id="0" name=""/>
        <dsp:cNvSpPr/>
      </dsp:nvSpPr>
      <dsp:spPr>
        <a:xfrm>
          <a:off x="2745" y="0"/>
          <a:ext cx="2641401" cy="5828306"/>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itchFamily="18" charset="0"/>
              <a:cs typeface="Times New Roman" pitchFamily="18" charset="0"/>
            </a:rPr>
            <a:t>Внутрішня цільова аудиторія</a:t>
          </a:r>
        </a:p>
      </dsp:txBody>
      <dsp:txXfrm>
        <a:off x="2745" y="0"/>
        <a:ext cx="2641401" cy="1748491"/>
      </dsp:txXfrm>
    </dsp:sp>
    <dsp:sp modelId="{CDEFFCFC-217F-4157-8508-1E34D8F5693B}">
      <dsp:nvSpPr>
        <dsp:cNvPr id="0" name=""/>
        <dsp:cNvSpPr/>
      </dsp:nvSpPr>
      <dsp:spPr>
        <a:xfrm>
          <a:off x="266886" y="1748634"/>
          <a:ext cx="2113121" cy="8490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26670" rIns="3556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вище керівництво, топ-менеджмент, керівники проектів</a:t>
          </a:r>
        </a:p>
      </dsp:txBody>
      <dsp:txXfrm>
        <a:off x="291754" y="1773502"/>
        <a:ext cx="2063385" cy="799324"/>
      </dsp:txXfrm>
    </dsp:sp>
    <dsp:sp modelId="{B4D54DBA-EC94-464D-B91D-4AFF5D85DCEF}">
      <dsp:nvSpPr>
        <dsp:cNvPr id="0" name=""/>
        <dsp:cNvSpPr/>
      </dsp:nvSpPr>
      <dsp:spPr>
        <a:xfrm>
          <a:off x="266886" y="2728318"/>
          <a:ext cx="2113121" cy="8490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26670" rIns="3556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керівники середньої ланки, менеджери</a:t>
          </a:r>
        </a:p>
      </dsp:txBody>
      <dsp:txXfrm>
        <a:off x="291754" y="2753186"/>
        <a:ext cx="2063385" cy="799324"/>
      </dsp:txXfrm>
    </dsp:sp>
    <dsp:sp modelId="{6ED44561-907C-4BFD-BB21-677BA6621264}">
      <dsp:nvSpPr>
        <dsp:cNvPr id="0" name=""/>
        <dsp:cNvSpPr/>
      </dsp:nvSpPr>
      <dsp:spPr>
        <a:xfrm>
          <a:off x="266886" y="3708003"/>
          <a:ext cx="2113121" cy="8490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26670" rIns="3556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працівники організації</a:t>
          </a:r>
        </a:p>
      </dsp:txBody>
      <dsp:txXfrm>
        <a:off x="291754" y="3732871"/>
        <a:ext cx="2063385" cy="799324"/>
      </dsp:txXfrm>
    </dsp:sp>
    <dsp:sp modelId="{62955F6B-2C14-468A-B1BD-A70B5F2F1C96}">
      <dsp:nvSpPr>
        <dsp:cNvPr id="0" name=""/>
        <dsp:cNvSpPr/>
      </dsp:nvSpPr>
      <dsp:spPr>
        <a:xfrm>
          <a:off x="266886" y="4687688"/>
          <a:ext cx="2113121" cy="84906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26670" rIns="3556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команда проекту</a:t>
          </a:r>
        </a:p>
      </dsp:txBody>
      <dsp:txXfrm>
        <a:off x="291754" y="4712556"/>
        <a:ext cx="2063385" cy="799324"/>
      </dsp:txXfrm>
    </dsp:sp>
    <dsp:sp modelId="{B7BD89D7-7328-4450-8FB9-01B4F31374E6}">
      <dsp:nvSpPr>
        <dsp:cNvPr id="0" name=""/>
        <dsp:cNvSpPr/>
      </dsp:nvSpPr>
      <dsp:spPr>
        <a:xfrm>
          <a:off x="2842252" y="0"/>
          <a:ext cx="2641401" cy="5828306"/>
        </a:xfrm>
        <a:prstGeom prst="roundRect">
          <a:avLst>
            <a:gd name="adj" fmla="val 10000"/>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uk-UA" sz="1400" b="1" kern="1200">
              <a:latin typeface="Times New Roman" pitchFamily="18" charset="0"/>
              <a:cs typeface="Times New Roman" pitchFamily="18" charset="0"/>
            </a:rPr>
            <a:t>Зовнішня цільова аудиторія</a:t>
          </a:r>
        </a:p>
      </dsp:txBody>
      <dsp:txXfrm>
        <a:off x="2842252" y="0"/>
        <a:ext cx="2641401" cy="1748491"/>
      </dsp:txXfrm>
    </dsp:sp>
    <dsp:sp modelId="{FDB2B4C7-EDDB-4849-A3DA-35D25EF7B4FD}">
      <dsp:nvSpPr>
        <dsp:cNvPr id="0" name=""/>
        <dsp:cNvSpPr/>
      </dsp:nvSpPr>
      <dsp:spPr>
        <a:xfrm>
          <a:off x="3106392" y="1748776"/>
          <a:ext cx="2113121" cy="5595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26670" rIns="3556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реальні та потенційні клієнти, замовники, споживачі</a:t>
          </a:r>
        </a:p>
      </dsp:txBody>
      <dsp:txXfrm>
        <a:off x="3122781" y="1765165"/>
        <a:ext cx="2080343" cy="526787"/>
      </dsp:txXfrm>
    </dsp:sp>
    <dsp:sp modelId="{782B1998-2BCE-4997-90C5-C3CB73092BC9}">
      <dsp:nvSpPr>
        <dsp:cNvPr id="0" name=""/>
        <dsp:cNvSpPr/>
      </dsp:nvSpPr>
      <dsp:spPr>
        <a:xfrm>
          <a:off x="3106392" y="2394429"/>
          <a:ext cx="2113121" cy="5595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26670" rIns="3556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партнери, інвестори,   постачальники</a:t>
          </a:r>
        </a:p>
      </dsp:txBody>
      <dsp:txXfrm>
        <a:off x="3122781" y="2410818"/>
        <a:ext cx="2080343" cy="526787"/>
      </dsp:txXfrm>
    </dsp:sp>
    <dsp:sp modelId="{C4E3A085-9877-41C6-B373-034C77CE432C}">
      <dsp:nvSpPr>
        <dsp:cNvPr id="0" name=""/>
        <dsp:cNvSpPr/>
      </dsp:nvSpPr>
      <dsp:spPr>
        <a:xfrm>
          <a:off x="3106392" y="3040081"/>
          <a:ext cx="2113121" cy="5595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26670" rIns="3556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ЗМІ, громадськість</a:t>
          </a:r>
        </a:p>
      </dsp:txBody>
      <dsp:txXfrm>
        <a:off x="3122781" y="3056470"/>
        <a:ext cx="2080343" cy="526787"/>
      </dsp:txXfrm>
    </dsp:sp>
    <dsp:sp modelId="{9F46EE54-8513-477A-A193-0EED8E17187B}">
      <dsp:nvSpPr>
        <dsp:cNvPr id="0" name=""/>
        <dsp:cNvSpPr/>
      </dsp:nvSpPr>
      <dsp:spPr>
        <a:xfrm>
          <a:off x="3106392" y="3685734"/>
          <a:ext cx="2113121" cy="5595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26670" rIns="3556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конкуренти</a:t>
          </a:r>
        </a:p>
      </dsp:txBody>
      <dsp:txXfrm>
        <a:off x="3122781" y="3702123"/>
        <a:ext cx="2080343" cy="526787"/>
      </dsp:txXfrm>
    </dsp:sp>
    <dsp:sp modelId="{3887EC11-ED70-4F7E-81F4-1D6D7722A88E}">
      <dsp:nvSpPr>
        <dsp:cNvPr id="0" name=""/>
        <dsp:cNvSpPr/>
      </dsp:nvSpPr>
      <dsp:spPr>
        <a:xfrm>
          <a:off x="3106392" y="4331387"/>
          <a:ext cx="2113121" cy="5595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26670" rIns="3556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державні інституції</a:t>
          </a:r>
        </a:p>
      </dsp:txBody>
      <dsp:txXfrm>
        <a:off x="3122781" y="4347776"/>
        <a:ext cx="2080343" cy="526787"/>
      </dsp:txXfrm>
    </dsp:sp>
    <dsp:sp modelId="{B85CEC8F-AF96-48F2-AB28-3F50D65CB240}">
      <dsp:nvSpPr>
        <dsp:cNvPr id="0" name=""/>
        <dsp:cNvSpPr/>
      </dsp:nvSpPr>
      <dsp:spPr>
        <a:xfrm>
          <a:off x="3106392" y="4977040"/>
          <a:ext cx="2113121" cy="55956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26670" rIns="35560" bIns="2667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фінансові структури</a:t>
          </a:r>
        </a:p>
      </dsp:txBody>
      <dsp:txXfrm>
        <a:off x="3122781" y="4993429"/>
        <a:ext cx="2080343" cy="52678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18CBB8A-B5AC-4DA5-8416-632F6A6A4231}">
      <dsp:nvSpPr>
        <dsp:cNvPr id="0" name=""/>
        <dsp:cNvSpPr/>
      </dsp:nvSpPr>
      <dsp:spPr>
        <a:xfrm>
          <a:off x="416827" y="861"/>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Збори, наради, планерки, стендапи</a:t>
          </a:r>
        </a:p>
      </dsp:txBody>
      <dsp:txXfrm>
        <a:off x="416827" y="861"/>
        <a:ext cx="1276963" cy="766178"/>
      </dsp:txXfrm>
    </dsp:sp>
    <dsp:sp modelId="{125A37ED-E849-45FF-B618-670283AFD2CF}">
      <dsp:nvSpPr>
        <dsp:cNvPr id="0" name=""/>
        <dsp:cNvSpPr/>
      </dsp:nvSpPr>
      <dsp:spPr>
        <a:xfrm>
          <a:off x="1821487" y="861"/>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Ділові бесіди, особисті зустрічі, інтерв</a:t>
          </a:r>
          <a:r>
            <a:rPr lang="en-US" sz="1200" kern="1200">
              <a:latin typeface="Times New Roman" pitchFamily="18" charset="0"/>
              <a:cs typeface="Times New Roman" pitchFamily="18" charset="0"/>
            </a:rPr>
            <a:t>'</a:t>
          </a:r>
          <a:r>
            <a:rPr lang="uk-UA" sz="1200" kern="1200">
              <a:latin typeface="Times New Roman" pitchFamily="18" charset="0"/>
              <a:cs typeface="Times New Roman" pitchFamily="18" charset="0"/>
            </a:rPr>
            <a:t>ю  </a:t>
          </a:r>
        </a:p>
      </dsp:txBody>
      <dsp:txXfrm>
        <a:off x="1821487" y="861"/>
        <a:ext cx="1276963" cy="766178"/>
      </dsp:txXfrm>
    </dsp:sp>
    <dsp:sp modelId="{ADBF4DC2-4CF5-42BA-AEFB-F32B986D8A1F}">
      <dsp:nvSpPr>
        <dsp:cNvPr id="0" name=""/>
        <dsp:cNvSpPr/>
      </dsp:nvSpPr>
      <dsp:spPr>
        <a:xfrm>
          <a:off x="3226148" y="861"/>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Система внутрішнього документообігу</a:t>
          </a:r>
        </a:p>
      </dsp:txBody>
      <dsp:txXfrm>
        <a:off x="3226148" y="861"/>
        <a:ext cx="1276963" cy="766178"/>
      </dsp:txXfrm>
    </dsp:sp>
    <dsp:sp modelId="{8C75DE73-A9CF-4D16-B633-16347F726AB0}">
      <dsp:nvSpPr>
        <dsp:cNvPr id="0" name=""/>
        <dsp:cNvSpPr/>
      </dsp:nvSpPr>
      <dsp:spPr>
        <a:xfrm>
          <a:off x="4630808" y="861"/>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Дошки оголошень, стенди</a:t>
          </a:r>
        </a:p>
      </dsp:txBody>
      <dsp:txXfrm>
        <a:off x="4630808" y="861"/>
        <a:ext cx="1276963" cy="766178"/>
      </dsp:txXfrm>
    </dsp:sp>
    <dsp:sp modelId="{330C25A1-2E9E-4F3A-8A19-4B331C1CB2C7}">
      <dsp:nvSpPr>
        <dsp:cNvPr id="0" name=""/>
        <dsp:cNvSpPr/>
      </dsp:nvSpPr>
      <dsp:spPr>
        <a:xfrm>
          <a:off x="416827" y="894736"/>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Внутрішній чат, форум команди, працівників</a:t>
          </a:r>
        </a:p>
      </dsp:txBody>
      <dsp:txXfrm>
        <a:off x="416827" y="894736"/>
        <a:ext cx="1276963" cy="766178"/>
      </dsp:txXfrm>
    </dsp:sp>
    <dsp:sp modelId="{B8EE8B06-E073-40B5-BED7-763CCBAF9135}">
      <dsp:nvSpPr>
        <dsp:cNvPr id="0" name=""/>
        <dsp:cNvSpPr/>
      </dsp:nvSpPr>
      <dsp:spPr>
        <a:xfrm>
          <a:off x="1821487" y="894736"/>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Корпоративна пошта</a:t>
          </a:r>
        </a:p>
      </dsp:txBody>
      <dsp:txXfrm>
        <a:off x="1821487" y="894736"/>
        <a:ext cx="1276963" cy="766178"/>
      </dsp:txXfrm>
    </dsp:sp>
    <dsp:sp modelId="{9E768E75-4312-4BB7-B4A4-0EE32DD5272D}">
      <dsp:nvSpPr>
        <dsp:cNvPr id="0" name=""/>
        <dsp:cNvSpPr/>
      </dsp:nvSpPr>
      <dsp:spPr>
        <a:xfrm>
          <a:off x="3226148" y="894736"/>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Корпоративні заходи, тимбілдінги</a:t>
          </a:r>
        </a:p>
      </dsp:txBody>
      <dsp:txXfrm>
        <a:off x="3226148" y="894736"/>
        <a:ext cx="1276963" cy="766178"/>
      </dsp:txXfrm>
    </dsp:sp>
    <dsp:sp modelId="{6A8884A6-01C0-4011-986B-7148FB789C2D}">
      <dsp:nvSpPr>
        <dsp:cNvPr id="0" name=""/>
        <dsp:cNvSpPr/>
      </dsp:nvSpPr>
      <dsp:spPr>
        <a:xfrm>
          <a:off x="4630808" y="894736"/>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Системи моніторингу</a:t>
          </a:r>
        </a:p>
      </dsp:txBody>
      <dsp:txXfrm>
        <a:off x="4630808" y="894736"/>
        <a:ext cx="1276963" cy="766178"/>
      </dsp:txXfrm>
    </dsp:sp>
    <dsp:sp modelId="{5CD516E8-E65E-4D00-B57D-78B9039729AD}">
      <dsp:nvSpPr>
        <dsp:cNvPr id="0" name=""/>
        <dsp:cNvSpPr/>
      </dsp:nvSpPr>
      <dsp:spPr>
        <a:xfrm>
          <a:off x="416827" y="1788610"/>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Відео-зустрічі</a:t>
          </a:r>
        </a:p>
      </dsp:txBody>
      <dsp:txXfrm>
        <a:off x="416827" y="1788610"/>
        <a:ext cx="1276963" cy="766178"/>
      </dsp:txXfrm>
    </dsp:sp>
    <dsp:sp modelId="{F17820B8-1A51-4ED0-B13E-C2F3AAC4DC9C}">
      <dsp:nvSpPr>
        <dsp:cNvPr id="0" name=""/>
        <dsp:cNvSpPr/>
      </dsp:nvSpPr>
      <dsp:spPr>
        <a:xfrm>
          <a:off x="1821487" y="1788610"/>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Корпоративний сайт</a:t>
          </a:r>
        </a:p>
      </dsp:txBody>
      <dsp:txXfrm>
        <a:off x="1821487" y="1788610"/>
        <a:ext cx="1276963" cy="766178"/>
      </dsp:txXfrm>
    </dsp:sp>
    <dsp:sp modelId="{60EAC602-3CC1-4B98-8A66-E1621065D14F}">
      <dsp:nvSpPr>
        <dsp:cNvPr id="0" name=""/>
        <dsp:cNvSpPr/>
      </dsp:nvSpPr>
      <dsp:spPr>
        <a:xfrm>
          <a:off x="3226148" y="1788610"/>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Бази знань, бази даних, сховища документів</a:t>
          </a:r>
        </a:p>
      </dsp:txBody>
      <dsp:txXfrm>
        <a:off x="3226148" y="1788610"/>
        <a:ext cx="1276963" cy="766178"/>
      </dsp:txXfrm>
    </dsp:sp>
    <dsp:sp modelId="{23D57D50-E037-4D5B-8098-179CD9EF10A6}">
      <dsp:nvSpPr>
        <dsp:cNvPr id="0" name=""/>
        <dsp:cNvSpPr/>
      </dsp:nvSpPr>
      <dsp:spPr>
        <a:xfrm>
          <a:off x="4630808" y="1788610"/>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Мережеві ресурси</a:t>
          </a:r>
        </a:p>
      </dsp:txBody>
      <dsp:txXfrm>
        <a:off x="4630808" y="1788610"/>
        <a:ext cx="1276963" cy="766178"/>
      </dsp:txXfrm>
    </dsp:sp>
    <dsp:sp modelId="{6C5DA29D-0674-4F80-B215-65FFBDC14004}">
      <dsp:nvSpPr>
        <dsp:cNvPr id="0" name=""/>
        <dsp:cNvSpPr/>
      </dsp:nvSpPr>
      <dsp:spPr>
        <a:xfrm>
          <a:off x="416827" y="2682485"/>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Сторінки в соцмережах</a:t>
          </a:r>
        </a:p>
      </dsp:txBody>
      <dsp:txXfrm>
        <a:off x="416827" y="2682485"/>
        <a:ext cx="1276963" cy="766178"/>
      </dsp:txXfrm>
    </dsp:sp>
    <dsp:sp modelId="{5EE81126-B57A-449B-B52B-B9C3983B6E9E}">
      <dsp:nvSpPr>
        <dsp:cNvPr id="0" name=""/>
        <dsp:cNvSpPr/>
      </dsp:nvSpPr>
      <dsp:spPr>
        <a:xfrm>
          <a:off x="1821487" y="2682485"/>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Групи, канали в месенджерах</a:t>
          </a:r>
        </a:p>
      </dsp:txBody>
      <dsp:txXfrm>
        <a:off x="1821487" y="2682485"/>
        <a:ext cx="1276963" cy="766178"/>
      </dsp:txXfrm>
    </dsp:sp>
    <dsp:sp modelId="{94AB3138-2F96-4B24-8716-03354E022B82}">
      <dsp:nvSpPr>
        <dsp:cNvPr id="0" name=""/>
        <dsp:cNvSpPr/>
      </dsp:nvSpPr>
      <dsp:spPr>
        <a:xfrm>
          <a:off x="3226148" y="2682485"/>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Канбан-дошка</a:t>
          </a:r>
        </a:p>
      </dsp:txBody>
      <dsp:txXfrm>
        <a:off x="3226148" y="2682485"/>
        <a:ext cx="1276963" cy="766178"/>
      </dsp:txXfrm>
    </dsp:sp>
    <dsp:sp modelId="{C640484C-FA31-4D68-A429-0B75CA7DB687}">
      <dsp:nvSpPr>
        <dsp:cNvPr id="0" name=""/>
        <dsp:cNvSpPr/>
      </dsp:nvSpPr>
      <dsp:spPr>
        <a:xfrm>
          <a:off x="4630808" y="2682485"/>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Корпоративна інформаційна система, віртуальний офіс</a:t>
          </a:r>
        </a:p>
      </dsp:txBody>
      <dsp:txXfrm>
        <a:off x="4630808" y="2682485"/>
        <a:ext cx="1276963" cy="766178"/>
      </dsp:txXfrm>
    </dsp:sp>
    <dsp:sp modelId="{0DBD5099-D26A-4382-8099-BC69EEA54505}">
      <dsp:nvSpPr>
        <dsp:cNvPr id="0" name=""/>
        <dsp:cNvSpPr/>
      </dsp:nvSpPr>
      <dsp:spPr>
        <a:xfrm>
          <a:off x="416827" y="3576360"/>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Внутрішні інформаційні видання, журнали, бюлетені</a:t>
          </a:r>
        </a:p>
      </dsp:txBody>
      <dsp:txXfrm>
        <a:off x="416827" y="3576360"/>
        <a:ext cx="1276963" cy="766178"/>
      </dsp:txXfrm>
    </dsp:sp>
    <dsp:sp modelId="{0880C477-4BC5-44F1-9DAB-4410B0D5864C}">
      <dsp:nvSpPr>
        <dsp:cNvPr id="0" name=""/>
        <dsp:cNvSpPr/>
      </dsp:nvSpPr>
      <dsp:spPr>
        <a:xfrm>
          <a:off x="1821487" y="3576360"/>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Презентації</a:t>
          </a:r>
        </a:p>
      </dsp:txBody>
      <dsp:txXfrm>
        <a:off x="1821487" y="3576360"/>
        <a:ext cx="1276963" cy="766178"/>
      </dsp:txXfrm>
    </dsp:sp>
    <dsp:sp modelId="{C3E93F6D-E9B6-4EE8-AB88-56A02B30AEF1}">
      <dsp:nvSpPr>
        <dsp:cNvPr id="0" name=""/>
        <dsp:cNvSpPr/>
      </dsp:nvSpPr>
      <dsp:spPr>
        <a:xfrm>
          <a:off x="3226148" y="3576360"/>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Ретроспективи, рефлексії </a:t>
          </a:r>
        </a:p>
      </dsp:txBody>
      <dsp:txXfrm>
        <a:off x="3226148" y="3576360"/>
        <a:ext cx="1276963" cy="766178"/>
      </dsp:txXfrm>
    </dsp:sp>
    <dsp:sp modelId="{9DA60157-F22D-4D38-9792-8295E9D2CFB9}">
      <dsp:nvSpPr>
        <dsp:cNvPr id="0" name=""/>
        <dsp:cNvSpPr/>
      </dsp:nvSpPr>
      <dsp:spPr>
        <a:xfrm>
          <a:off x="4630808" y="3576360"/>
          <a:ext cx="1276963" cy="76617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latin typeface="Times New Roman" pitchFamily="18" charset="0"/>
              <a:cs typeface="Times New Roman" pitchFamily="18" charset="0"/>
            </a:rPr>
            <a:t>Програмні продукти для організації та автоматизації роботи</a:t>
          </a:r>
        </a:p>
      </dsp:txBody>
      <dsp:txXfrm>
        <a:off x="4630808" y="3576360"/>
        <a:ext cx="1276963" cy="76617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AC033E-8AB6-4918-AF65-F8254AEAF219}">
      <dsp:nvSpPr>
        <dsp:cNvPr id="0" name=""/>
        <dsp:cNvSpPr/>
      </dsp:nvSpPr>
      <dsp:spPr>
        <a:xfrm>
          <a:off x="1572" y="119919"/>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Font typeface="Times New Roman" panose="02020603050405020304" pitchFamily="18" charset="0"/>
            <a:buNone/>
          </a:pPr>
          <a:r>
            <a:rPr lang="uk-UA" sz="1200" kern="1200" dirty="0">
              <a:latin typeface="Times New Roman" pitchFamily="18" charset="0"/>
              <a:cs typeface="Times New Roman" pitchFamily="18" charset="0"/>
            </a:rPr>
            <a:t>Корпоративний  сайт</a:t>
          </a:r>
        </a:p>
      </dsp:txBody>
      <dsp:txXfrm>
        <a:off x="1572" y="119919"/>
        <a:ext cx="1247855" cy="748713"/>
      </dsp:txXfrm>
    </dsp:sp>
    <dsp:sp modelId="{FFC3A835-FB9B-49AF-B64B-904F1B65B66C}">
      <dsp:nvSpPr>
        <dsp:cNvPr id="0" name=""/>
        <dsp:cNvSpPr/>
      </dsp:nvSpPr>
      <dsp:spPr>
        <a:xfrm>
          <a:off x="1374214" y="119919"/>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Font typeface="Times New Roman" panose="02020603050405020304" pitchFamily="18" charset="0"/>
            <a:buNone/>
          </a:pPr>
          <a:r>
            <a:rPr lang="uk-UA" sz="1200" kern="1200" dirty="0">
              <a:latin typeface="Times New Roman" pitchFamily="18" charset="0"/>
              <a:cs typeface="Times New Roman" pitchFamily="18" charset="0"/>
            </a:rPr>
            <a:t>Розсилки (E-</a:t>
          </a:r>
          <a:r>
            <a:rPr lang="uk-UA" sz="1200" kern="1200" dirty="0" err="1">
              <a:latin typeface="Times New Roman" pitchFamily="18" charset="0"/>
              <a:cs typeface="Times New Roman" pitchFamily="18" charset="0"/>
            </a:rPr>
            <a:t>mail</a:t>
          </a:r>
          <a:r>
            <a:rPr lang="uk-UA" sz="1200" kern="1200" dirty="0">
              <a:latin typeface="Times New Roman" pitchFamily="18" charset="0"/>
              <a:cs typeface="Times New Roman" pitchFamily="18" charset="0"/>
            </a:rPr>
            <a:t>, </a:t>
          </a:r>
          <a:r>
            <a:rPr lang="uk-UA" sz="1200" kern="1200" dirty="0" err="1">
              <a:latin typeface="Times New Roman" pitchFamily="18" charset="0"/>
              <a:cs typeface="Times New Roman" pitchFamily="18" charset="0"/>
            </a:rPr>
            <a:t>смс</a:t>
          </a:r>
          <a:r>
            <a:rPr lang="uk-UA" sz="1200" kern="1200" dirty="0">
              <a:latin typeface="Times New Roman" pitchFamily="18" charset="0"/>
              <a:cs typeface="Times New Roman" pitchFamily="18" charset="0"/>
            </a:rPr>
            <a:t>, </a:t>
          </a:r>
          <a:r>
            <a:rPr lang="uk-UA" sz="1200" kern="1200" dirty="0" err="1">
              <a:latin typeface="Times New Roman" pitchFamily="18" charset="0"/>
              <a:cs typeface="Times New Roman" pitchFamily="18" charset="0"/>
            </a:rPr>
            <a:t>месенджери</a:t>
          </a:r>
          <a:r>
            <a:rPr lang="uk-UA" sz="1200" kern="1200" dirty="0">
              <a:latin typeface="Times New Roman" pitchFamily="18" charset="0"/>
              <a:cs typeface="Times New Roman" pitchFamily="18" charset="0"/>
            </a:rPr>
            <a:t>)</a:t>
          </a:r>
        </a:p>
      </dsp:txBody>
      <dsp:txXfrm>
        <a:off x="1374214" y="119919"/>
        <a:ext cx="1247855" cy="748713"/>
      </dsp:txXfrm>
    </dsp:sp>
    <dsp:sp modelId="{6F4515C5-7D5E-4668-8A1B-64E59496E56A}">
      <dsp:nvSpPr>
        <dsp:cNvPr id="0" name=""/>
        <dsp:cNvSpPr/>
      </dsp:nvSpPr>
      <dsp:spPr>
        <a:xfrm>
          <a:off x="2746855" y="119919"/>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dirty="0" err="1">
              <a:latin typeface="Times New Roman" pitchFamily="18" charset="0"/>
              <a:cs typeface="Times New Roman" pitchFamily="18" charset="0"/>
            </a:rPr>
            <a:t>Блоги</a:t>
          </a:r>
          <a:r>
            <a:rPr lang="uk-UA" sz="1200" kern="1200" dirty="0">
              <a:latin typeface="Times New Roman" pitchFamily="18" charset="0"/>
              <a:cs typeface="Times New Roman" pitchFamily="18" charset="0"/>
            </a:rPr>
            <a:t>, </a:t>
          </a:r>
          <a:r>
            <a:rPr lang="uk-UA" sz="1200" kern="1200" dirty="0" err="1">
              <a:latin typeface="Times New Roman" pitchFamily="18" charset="0"/>
              <a:cs typeface="Times New Roman" pitchFamily="18" charset="0"/>
            </a:rPr>
            <a:t>влоги</a:t>
          </a:r>
          <a:endParaRPr lang="uk-UA" sz="1200" kern="1200" dirty="0">
            <a:latin typeface="Times New Roman" pitchFamily="18" charset="0"/>
            <a:cs typeface="Times New Roman" pitchFamily="18" charset="0"/>
          </a:endParaRPr>
        </a:p>
      </dsp:txBody>
      <dsp:txXfrm>
        <a:off x="2746855" y="119919"/>
        <a:ext cx="1247855" cy="748713"/>
      </dsp:txXfrm>
    </dsp:sp>
    <dsp:sp modelId="{E989487D-8A28-40A4-A3BC-4535BC0EEB5B}">
      <dsp:nvSpPr>
        <dsp:cNvPr id="0" name=""/>
        <dsp:cNvSpPr/>
      </dsp:nvSpPr>
      <dsp:spPr>
        <a:xfrm>
          <a:off x="4119496" y="119919"/>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Font typeface="Times New Roman" panose="02020603050405020304" pitchFamily="18" charset="0"/>
            <a:buNone/>
          </a:pPr>
          <a:r>
            <a:rPr lang="uk-UA" sz="1200" kern="1200" dirty="0">
              <a:latin typeface="Times New Roman" pitchFamily="18" charset="0"/>
              <a:cs typeface="Times New Roman" pitchFamily="18" charset="0"/>
            </a:rPr>
            <a:t>Ресурси партнерів</a:t>
          </a:r>
        </a:p>
      </dsp:txBody>
      <dsp:txXfrm>
        <a:off x="4119496" y="119919"/>
        <a:ext cx="1247855" cy="748713"/>
      </dsp:txXfrm>
    </dsp:sp>
    <dsp:sp modelId="{55CA3429-9F5E-4A0B-B620-0365C5315077}">
      <dsp:nvSpPr>
        <dsp:cNvPr id="0" name=""/>
        <dsp:cNvSpPr/>
      </dsp:nvSpPr>
      <dsp:spPr>
        <a:xfrm>
          <a:off x="1572" y="993418"/>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Font typeface="Times New Roman" panose="02020603050405020304" pitchFamily="18" charset="0"/>
            <a:buNone/>
          </a:pPr>
          <a:r>
            <a:rPr lang="uk-UA" sz="1200" kern="1200" dirty="0">
              <a:latin typeface="Times New Roman" pitchFamily="18" charset="0"/>
              <a:cs typeface="Times New Roman" pitchFamily="18" charset="0"/>
            </a:rPr>
            <a:t>Платформи, сайти та інші інтернет-ресурси</a:t>
          </a:r>
        </a:p>
      </dsp:txBody>
      <dsp:txXfrm>
        <a:off x="1572" y="993418"/>
        <a:ext cx="1247855" cy="748713"/>
      </dsp:txXfrm>
    </dsp:sp>
    <dsp:sp modelId="{6D755B03-F71C-4FB2-AFD8-70E43B564E1C}">
      <dsp:nvSpPr>
        <dsp:cNvPr id="0" name=""/>
        <dsp:cNvSpPr/>
      </dsp:nvSpPr>
      <dsp:spPr>
        <a:xfrm>
          <a:off x="1374214" y="993418"/>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dirty="0">
              <a:latin typeface="Times New Roman" pitchFamily="18" charset="0"/>
              <a:cs typeface="Times New Roman" pitchFamily="18" charset="0"/>
            </a:rPr>
            <a:t>Соціальні мережі, форуми, сайти-спільноти</a:t>
          </a:r>
        </a:p>
      </dsp:txBody>
      <dsp:txXfrm>
        <a:off x="1374214" y="993418"/>
        <a:ext cx="1247855" cy="748713"/>
      </dsp:txXfrm>
    </dsp:sp>
    <dsp:sp modelId="{1C650288-F179-49BF-A181-CF508F362A3F}">
      <dsp:nvSpPr>
        <dsp:cNvPr id="0" name=""/>
        <dsp:cNvSpPr/>
      </dsp:nvSpPr>
      <dsp:spPr>
        <a:xfrm>
          <a:off x="2746855" y="993418"/>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Font typeface="Times New Roman" panose="02020603050405020304" pitchFamily="18" charset="0"/>
            <a:buNone/>
          </a:pPr>
          <a:r>
            <a:rPr lang="uk-UA" sz="1200" kern="1200" dirty="0" err="1">
              <a:latin typeface="Times New Roman" pitchFamily="18" charset="0"/>
              <a:cs typeface="Times New Roman" pitchFamily="18" charset="0"/>
            </a:rPr>
            <a:t>Офлайн</a:t>
          </a:r>
          <a:r>
            <a:rPr lang="uk-UA" sz="1200" kern="1200" dirty="0">
              <a:latin typeface="Times New Roman" pitchFamily="18" charset="0"/>
              <a:cs typeface="Times New Roman" pitchFamily="18" charset="0"/>
            </a:rPr>
            <a:t> медіа, ЗМІ, медійна реклама</a:t>
          </a:r>
        </a:p>
      </dsp:txBody>
      <dsp:txXfrm>
        <a:off x="2746855" y="993418"/>
        <a:ext cx="1247855" cy="748713"/>
      </dsp:txXfrm>
    </dsp:sp>
    <dsp:sp modelId="{54403193-2678-4A4B-89F3-68289DEF2200}">
      <dsp:nvSpPr>
        <dsp:cNvPr id="0" name=""/>
        <dsp:cNvSpPr/>
      </dsp:nvSpPr>
      <dsp:spPr>
        <a:xfrm>
          <a:off x="4119496" y="993418"/>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Font typeface="Symbol" panose="05050102010706020507" pitchFamily="18" charset="2"/>
            <a:buNone/>
          </a:pPr>
          <a:r>
            <a:rPr lang="uk-UA" sz="1200" kern="1200" dirty="0">
              <a:latin typeface="Times New Roman" pitchFamily="18" charset="0"/>
              <a:cs typeface="Times New Roman" pitchFamily="18" charset="0"/>
            </a:rPr>
            <a:t>Інтернет-реклама</a:t>
          </a:r>
        </a:p>
      </dsp:txBody>
      <dsp:txXfrm>
        <a:off x="4119496" y="993418"/>
        <a:ext cx="1247855" cy="748713"/>
      </dsp:txXfrm>
    </dsp:sp>
    <dsp:sp modelId="{3E768C7C-B78D-4D21-A99D-5989E3A3A3D2}">
      <dsp:nvSpPr>
        <dsp:cNvPr id="0" name=""/>
        <dsp:cNvSpPr/>
      </dsp:nvSpPr>
      <dsp:spPr>
        <a:xfrm>
          <a:off x="1572" y="1866917"/>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baseline="0" dirty="0">
              <a:latin typeface="Times New Roman" pitchFamily="18" charset="0"/>
              <a:cs typeface="Times New Roman" pitchFamily="18" charset="0"/>
            </a:rPr>
            <a:t>Зовнішня та внутрішня реклама</a:t>
          </a:r>
        </a:p>
      </dsp:txBody>
      <dsp:txXfrm>
        <a:off x="1572" y="1866917"/>
        <a:ext cx="1247855" cy="748713"/>
      </dsp:txXfrm>
    </dsp:sp>
    <dsp:sp modelId="{211D3FBF-57F4-40BD-9BBA-D2CB46BB6BBB}">
      <dsp:nvSpPr>
        <dsp:cNvPr id="0" name=""/>
        <dsp:cNvSpPr/>
      </dsp:nvSpPr>
      <dsp:spPr>
        <a:xfrm>
          <a:off x="1374214" y="1866917"/>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baseline="0" dirty="0">
              <a:latin typeface="Times New Roman" pitchFamily="18" charset="0"/>
              <a:cs typeface="Times New Roman" pitchFamily="18" charset="0"/>
            </a:rPr>
            <a:t>Події, заходи</a:t>
          </a:r>
        </a:p>
      </dsp:txBody>
      <dsp:txXfrm>
        <a:off x="1374214" y="1866917"/>
        <a:ext cx="1247855" cy="748713"/>
      </dsp:txXfrm>
    </dsp:sp>
    <dsp:sp modelId="{FF46ADAF-2A30-42C4-B483-9A57DB382E79}">
      <dsp:nvSpPr>
        <dsp:cNvPr id="0" name=""/>
        <dsp:cNvSpPr/>
      </dsp:nvSpPr>
      <dsp:spPr>
        <a:xfrm>
          <a:off x="2746855" y="1866917"/>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dirty="0">
              <a:latin typeface="Times New Roman" pitchFamily="18" charset="0"/>
              <a:cs typeface="Times New Roman" pitchFamily="18" charset="0"/>
            </a:rPr>
            <a:t>Зустрічі, переговори, бесіди</a:t>
          </a:r>
        </a:p>
      </dsp:txBody>
      <dsp:txXfrm>
        <a:off x="2746855" y="1866917"/>
        <a:ext cx="1247855" cy="748713"/>
      </dsp:txXfrm>
    </dsp:sp>
    <dsp:sp modelId="{16BA17D9-D3EB-46F0-8AAC-049B7F8861B0}">
      <dsp:nvSpPr>
        <dsp:cNvPr id="0" name=""/>
        <dsp:cNvSpPr/>
      </dsp:nvSpPr>
      <dsp:spPr>
        <a:xfrm>
          <a:off x="4119496" y="1866917"/>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dirty="0">
              <a:latin typeface="Times New Roman" pitchFamily="18" charset="0"/>
              <a:cs typeface="Times New Roman" pitchFamily="18" charset="0"/>
            </a:rPr>
            <a:t>Додатки, </a:t>
          </a:r>
          <a:r>
            <a:rPr lang="uk-UA" sz="1200" kern="1200" dirty="0" err="1">
              <a:latin typeface="Times New Roman" pitchFamily="18" charset="0"/>
              <a:cs typeface="Times New Roman" pitchFamily="18" charset="0"/>
            </a:rPr>
            <a:t>месенджери</a:t>
          </a:r>
          <a:endParaRPr lang="uk-UA" sz="1200" kern="1200" dirty="0">
            <a:latin typeface="Times New Roman" pitchFamily="18" charset="0"/>
            <a:cs typeface="Times New Roman" pitchFamily="18" charset="0"/>
          </a:endParaRPr>
        </a:p>
      </dsp:txBody>
      <dsp:txXfrm>
        <a:off x="4119496" y="1866917"/>
        <a:ext cx="1247855" cy="748713"/>
      </dsp:txXfrm>
    </dsp:sp>
    <dsp:sp modelId="{43EA5BA4-BA76-418A-B082-EC08FD965454}">
      <dsp:nvSpPr>
        <dsp:cNvPr id="0" name=""/>
        <dsp:cNvSpPr/>
      </dsp:nvSpPr>
      <dsp:spPr>
        <a:xfrm>
          <a:off x="1572" y="2740416"/>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Нетворкінг</a:t>
          </a:r>
        </a:p>
      </dsp:txBody>
      <dsp:txXfrm>
        <a:off x="1572" y="2740416"/>
        <a:ext cx="1247855" cy="748713"/>
      </dsp:txXfrm>
    </dsp:sp>
    <dsp:sp modelId="{4A4A8353-7398-41FE-A4E0-C0754AA2176B}">
      <dsp:nvSpPr>
        <dsp:cNvPr id="0" name=""/>
        <dsp:cNvSpPr/>
      </dsp:nvSpPr>
      <dsp:spPr>
        <a:xfrm>
          <a:off x="1374214" y="2740416"/>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dirty="0">
              <a:latin typeface="Times New Roman" pitchFamily="18" charset="0"/>
              <a:cs typeface="Times New Roman" pitchFamily="18" charset="0"/>
            </a:rPr>
            <a:t>Друковані інформаційні  джерела</a:t>
          </a:r>
        </a:p>
      </dsp:txBody>
      <dsp:txXfrm>
        <a:off x="1374214" y="2740416"/>
        <a:ext cx="1247855" cy="748713"/>
      </dsp:txXfrm>
    </dsp:sp>
    <dsp:sp modelId="{378C8227-A759-429E-B498-CB7F8E308098}">
      <dsp:nvSpPr>
        <dsp:cNvPr id="0" name=""/>
        <dsp:cNvSpPr/>
      </dsp:nvSpPr>
      <dsp:spPr>
        <a:xfrm>
          <a:off x="2746855" y="2740416"/>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Акції, інвенти, виставки </a:t>
          </a:r>
        </a:p>
      </dsp:txBody>
      <dsp:txXfrm>
        <a:off x="2746855" y="2740416"/>
        <a:ext cx="1247855" cy="748713"/>
      </dsp:txXfrm>
    </dsp:sp>
    <dsp:sp modelId="{78804E0F-E4B5-4182-AD0B-5F3A1A786AEA}">
      <dsp:nvSpPr>
        <dsp:cNvPr id="0" name=""/>
        <dsp:cNvSpPr/>
      </dsp:nvSpPr>
      <dsp:spPr>
        <a:xfrm>
          <a:off x="4119496" y="2740416"/>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baseline="0" dirty="0">
              <a:latin typeface="Times New Roman" pitchFamily="18" charset="0"/>
              <a:cs typeface="Times New Roman" pitchFamily="18" charset="0"/>
            </a:rPr>
            <a:t>Друкована реклама, проліграфічна продукція</a:t>
          </a:r>
        </a:p>
      </dsp:txBody>
      <dsp:txXfrm>
        <a:off x="4119496" y="2740416"/>
        <a:ext cx="1247855" cy="748713"/>
      </dsp:txXfrm>
    </dsp:sp>
    <dsp:sp modelId="{471D83B6-C6D1-4C24-8B51-A18F7A5AF4E3}">
      <dsp:nvSpPr>
        <dsp:cNvPr id="0" name=""/>
        <dsp:cNvSpPr/>
      </dsp:nvSpPr>
      <dsp:spPr>
        <a:xfrm>
          <a:off x="1572" y="3613915"/>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Контакт-центри</a:t>
          </a:r>
        </a:p>
      </dsp:txBody>
      <dsp:txXfrm>
        <a:off x="1572" y="3613915"/>
        <a:ext cx="1247855" cy="748713"/>
      </dsp:txXfrm>
    </dsp:sp>
    <dsp:sp modelId="{94DF0147-C323-4BBD-92C8-18F0862967E7}">
      <dsp:nvSpPr>
        <dsp:cNvPr id="0" name=""/>
        <dsp:cNvSpPr/>
      </dsp:nvSpPr>
      <dsp:spPr>
        <a:xfrm>
          <a:off x="1374214" y="3613915"/>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Промо-продукція, рекламна продукція, мерч, брендбук</a:t>
          </a:r>
        </a:p>
      </dsp:txBody>
      <dsp:txXfrm>
        <a:off x="1374214" y="3613915"/>
        <a:ext cx="1247855" cy="748713"/>
      </dsp:txXfrm>
    </dsp:sp>
    <dsp:sp modelId="{ACB3EAFC-4525-4AEA-A533-8FEEA098C85C}">
      <dsp:nvSpPr>
        <dsp:cNvPr id="0" name=""/>
        <dsp:cNvSpPr/>
      </dsp:nvSpPr>
      <dsp:spPr>
        <a:xfrm>
          <a:off x="2746855" y="3613915"/>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Відео та фото продукція</a:t>
          </a:r>
        </a:p>
      </dsp:txBody>
      <dsp:txXfrm>
        <a:off x="2746855" y="3613915"/>
        <a:ext cx="1247855" cy="748713"/>
      </dsp:txXfrm>
    </dsp:sp>
    <dsp:sp modelId="{82CF00A7-B9B4-4FA9-9BA0-FCBC40834BCC}">
      <dsp:nvSpPr>
        <dsp:cNvPr id="0" name=""/>
        <dsp:cNvSpPr/>
      </dsp:nvSpPr>
      <dsp:spPr>
        <a:xfrm>
          <a:off x="4119496" y="3613915"/>
          <a:ext cx="1247855" cy="748713"/>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Боти</a:t>
          </a:r>
        </a:p>
      </dsp:txBody>
      <dsp:txXfrm>
        <a:off x="4119496" y="3613915"/>
        <a:ext cx="1247855" cy="74871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239933-338F-4DE7-8C10-66A56E136F32}">
      <dsp:nvSpPr>
        <dsp:cNvPr id="0" name=""/>
        <dsp:cNvSpPr/>
      </dsp:nvSpPr>
      <dsp:spPr>
        <a:xfrm>
          <a:off x="1998250" y="2903855"/>
          <a:ext cx="310685" cy="2664035"/>
        </a:xfrm>
        <a:custGeom>
          <a:avLst/>
          <a:gdLst/>
          <a:ahLst/>
          <a:cxnLst/>
          <a:rect l="0" t="0" r="0" b="0"/>
          <a:pathLst>
            <a:path>
              <a:moveTo>
                <a:pt x="0" y="0"/>
              </a:moveTo>
              <a:lnTo>
                <a:pt x="155342" y="0"/>
              </a:lnTo>
              <a:lnTo>
                <a:pt x="155342" y="2664035"/>
              </a:lnTo>
              <a:lnTo>
                <a:pt x="310685" y="266403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uk-UA" sz="900" kern="1200"/>
        </a:p>
      </dsp:txBody>
      <dsp:txXfrm>
        <a:off x="2086541" y="4168820"/>
        <a:ext cx="134104" cy="134104"/>
      </dsp:txXfrm>
    </dsp:sp>
    <dsp:sp modelId="{0BE17CED-11A9-4432-B896-9E91A9C018D9}">
      <dsp:nvSpPr>
        <dsp:cNvPr id="0" name=""/>
        <dsp:cNvSpPr/>
      </dsp:nvSpPr>
      <dsp:spPr>
        <a:xfrm>
          <a:off x="1998250" y="2903855"/>
          <a:ext cx="310685" cy="2072027"/>
        </a:xfrm>
        <a:custGeom>
          <a:avLst/>
          <a:gdLst/>
          <a:ahLst/>
          <a:cxnLst/>
          <a:rect l="0" t="0" r="0" b="0"/>
          <a:pathLst>
            <a:path>
              <a:moveTo>
                <a:pt x="0" y="0"/>
              </a:moveTo>
              <a:lnTo>
                <a:pt x="155342" y="0"/>
              </a:lnTo>
              <a:lnTo>
                <a:pt x="155342" y="2072027"/>
              </a:lnTo>
              <a:lnTo>
                <a:pt x="310685" y="207202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uk-UA" sz="700" kern="1200"/>
        </a:p>
      </dsp:txBody>
      <dsp:txXfrm>
        <a:off x="2101213" y="3887488"/>
        <a:ext cx="104759" cy="104759"/>
      </dsp:txXfrm>
    </dsp:sp>
    <dsp:sp modelId="{62EAEA40-0B5A-4CA5-BDB5-36C0E9D410B3}">
      <dsp:nvSpPr>
        <dsp:cNvPr id="0" name=""/>
        <dsp:cNvSpPr/>
      </dsp:nvSpPr>
      <dsp:spPr>
        <a:xfrm>
          <a:off x="1998250" y="2903855"/>
          <a:ext cx="310685" cy="1480019"/>
        </a:xfrm>
        <a:custGeom>
          <a:avLst/>
          <a:gdLst/>
          <a:ahLst/>
          <a:cxnLst/>
          <a:rect l="0" t="0" r="0" b="0"/>
          <a:pathLst>
            <a:path>
              <a:moveTo>
                <a:pt x="0" y="0"/>
              </a:moveTo>
              <a:lnTo>
                <a:pt x="155342" y="0"/>
              </a:lnTo>
              <a:lnTo>
                <a:pt x="155342" y="1480019"/>
              </a:lnTo>
              <a:lnTo>
                <a:pt x="310685" y="148001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15786" y="3606057"/>
        <a:ext cx="75613" cy="75613"/>
      </dsp:txXfrm>
    </dsp:sp>
    <dsp:sp modelId="{342CC4C4-AF60-4DF5-BDB1-B9AC86F4A98D}">
      <dsp:nvSpPr>
        <dsp:cNvPr id="0" name=""/>
        <dsp:cNvSpPr/>
      </dsp:nvSpPr>
      <dsp:spPr>
        <a:xfrm>
          <a:off x="1998250" y="2903855"/>
          <a:ext cx="310685" cy="888011"/>
        </a:xfrm>
        <a:custGeom>
          <a:avLst/>
          <a:gdLst/>
          <a:ahLst/>
          <a:cxnLst/>
          <a:rect l="0" t="0" r="0" b="0"/>
          <a:pathLst>
            <a:path>
              <a:moveTo>
                <a:pt x="0" y="0"/>
              </a:moveTo>
              <a:lnTo>
                <a:pt x="155342" y="0"/>
              </a:lnTo>
              <a:lnTo>
                <a:pt x="155342" y="888011"/>
              </a:lnTo>
              <a:lnTo>
                <a:pt x="310685" y="88801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30073" y="3324341"/>
        <a:ext cx="47039" cy="47039"/>
      </dsp:txXfrm>
    </dsp:sp>
    <dsp:sp modelId="{75E87E08-7D0B-441D-9992-57E41AA347BB}">
      <dsp:nvSpPr>
        <dsp:cNvPr id="0" name=""/>
        <dsp:cNvSpPr/>
      </dsp:nvSpPr>
      <dsp:spPr>
        <a:xfrm>
          <a:off x="1998250" y="2903855"/>
          <a:ext cx="310685" cy="296003"/>
        </a:xfrm>
        <a:custGeom>
          <a:avLst/>
          <a:gdLst/>
          <a:ahLst/>
          <a:cxnLst/>
          <a:rect l="0" t="0" r="0" b="0"/>
          <a:pathLst>
            <a:path>
              <a:moveTo>
                <a:pt x="0" y="0"/>
              </a:moveTo>
              <a:lnTo>
                <a:pt x="155342" y="0"/>
              </a:lnTo>
              <a:lnTo>
                <a:pt x="155342" y="296003"/>
              </a:lnTo>
              <a:lnTo>
                <a:pt x="310685" y="29600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42865" y="3041128"/>
        <a:ext cx="21455" cy="21455"/>
      </dsp:txXfrm>
    </dsp:sp>
    <dsp:sp modelId="{6266AE03-E3C9-4B93-9F94-764635BA1D3B}">
      <dsp:nvSpPr>
        <dsp:cNvPr id="0" name=""/>
        <dsp:cNvSpPr/>
      </dsp:nvSpPr>
      <dsp:spPr>
        <a:xfrm>
          <a:off x="1998250" y="2607851"/>
          <a:ext cx="310685" cy="296003"/>
        </a:xfrm>
        <a:custGeom>
          <a:avLst/>
          <a:gdLst/>
          <a:ahLst/>
          <a:cxnLst/>
          <a:rect l="0" t="0" r="0" b="0"/>
          <a:pathLst>
            <a:path>
              <a:moveTo>
                <a:pt x="0" y="296003"/>
              </a:moveTo>
              <a:lnTo>
                <a:pt x="155342" y="296003"/>
              </a:lnTo>
              <a:lnTo>
                <a:pt x="155342" y="0"/>
              </a:lnTo>
              <a:lnTo>
                <a:pt x="31068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42865" y="2745125"/>
        <a:ext cx="21455" cy="21455"/>
      </dsp:txXfrm>
    </dsp:sp>
    <dsp:sp modelId="{32E0CF18-F6FF-47BA-B82D-C5B3128214A3}">
      <dsp:nvSpPr>
        <dsp:cNvPr id="0" name=""/>
        <dsp:cNvSpPr/>
      </dsp:nvSpPr>
      <dsp:spPr>
        <a:xfrm>
          <a:off x="1998250" y="2015843"/>
          <a:ext cx="310685" cy="888011"/>
        </a:xfrm>
        <a:custGeom>
          <a:avLst/>
          <a:gdLst/>
          <a:ahLst/>
          <a:cxnLst/>
          <a:rect l="0" t="0" r="0" b="0"/>
          <a:pathLst>
            <a:path>
              <a:moveTo>
                <a:pt x="0" y="888011"/>
              </a:moveTo>
              <a:lnTo>
                <a:pt x="155342" y="888011"/>
              </a:lnTo>
              <a:lnTo>
                <a:pt x="155342" y="0"/>
              </a:lnTo>
              <a:lnTo>
                <a:pt x="31068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30073" y="2436329"/>
        <a:ext cx="47039" cy="47039"/>
      </dsp:txXfrm>
    </dsp:sp>
    <dsp:sp modelId="{D883395B-13E2-4522-BBD6-8015D56BE080}">
      <dsp:nvSpPr>
        <dsp:cNvPr id="0" name=""/>
        <dsp:cNvSpPr/>
      </dsp:nvSpPr>
      <dsp:spPr>
        <a:xfrm>
          <a:off x="1998250" y="1423835"/>
          <a:ext cx="310685" cy="1480019"/>
        </a:xfrm>
        <a:custGeom>
          <a:avLst/>
          <a:gdLst/>
          <a:ahLst/>
          <a:cxnLst/>
          <a:rect l="0" t="0" r="0" b="0"/>
          <a:pathLst>
            <a:path>
              <a:moveTo>
                <a:pt x="0" y="1480019"/>
              </a:moveTo>
              <a:lnTo>
                <a:pt x="155342" y="1480019"/>
              </a:lnTo>
              <a:lnTo>
                <a:pt x="155342" y="0"/>
              </a:lnTo>
              <a:lnTo>
                <a:pt x="31068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uk-UA" sz="500" kern="1200"/>
        </a:p>
      </dsp:txBody>
      <dsp:txXfrm>
        <a:off x="2115786" y="2126038"/>
        <a:ext cx="75613" cy="75613"/>
      </dsp:txXfrm>
    </dsp:sp>
    <dsp:sp modelId="{2C742929-8130-4807-9F38-62C5A2FD66CB}">
      <dsp:nvSpPr>
        <dsp:cNvPr id="0" name=""/>
        <dsp:cNvSpPr/>
      </dsp:nvSpPr>
      <dsp:spPr>
        <a:xfrm>
          <a:off x="1998250" y="831827"/>
          <a:ext cx="310685" cy="2072027"/>
        </a:xfrm>
        <a:custGeom>
          <a:avLst/>
          <a:gdLst/>
          <a:ahLst/>
          <a:cxnLst/>
          <a:rect l="0" t="0" r="0" b="0"/>
          <a:pathLst>
            <a:path>
              <a:moveTo>
                <a:pt x="0" y="2072027"/>
              </a:moveTo>
              <a:lnTo>
                <a:pt x="155342" y="2072027"/>
              </a:lnTo>
              <a:lnTo>
                <a:pt x="155342" y="0"/>
              </a:lnTo>
              <a:lnTo>
                <a:pt x="31068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311150">
            <a:lnSpc>
              <a:spcPct val="90000"/>
            </a:lnSpc>
            <a:spcBef>
              <a:spcPct val="0"/>
            </a:spcBef>
            <a:spcAft>
              <a:spcPct val="35000"/>
            </a:spcAft>
            <a:buNone/>
          </a:pPr>
          <a:endParaRPr lang="uk-UA" sz="700" kern="1200"/>
        </a:p>
      </dsp:txBody>
      <dsp:txXfrm>
        <a:off x="2101213" y="1815461"/>
        <a:ext cx="104759" cy="104759"/>
      </dsp:txXfrm>
    </dsp:sp>
    <dsp:sp modelId="{673F4129-5CD1-4863-9694-6654D2710901}">
      <dsp:nvSpPr>
        <dsp:cNvPr id="0" name=""/>
        <dsp:cNvSpPr/>
      </dsp:nvSpPr>
      <dsp:spPr>
        <a:xfrm>
          <a:off x="1998250" y="239819"/>
          <a:ext cx="310685" cy="2664035"/>
        </a:xfrm>
        <a:custGeom>
          <a:avLst/>
          <a:gdLst/>
          <a:ahLst/>
          <a:cxnLst/>
          <a:rect l="0" t="0" r="0" b="0"/>
          <a:pathLst>
            <a:path>
              <a:moveTo>
                <a:pt x="0" y="2664035"/>
              </a:moveTo>
              <a:lnTo>
                <a:pt x="155342" y="2664035"/>
              </a:lnTo>
              <a:lnTo>
                <a:pt x="155342" y="0"/>
              </a:lnTo>
              <a:lnTo>
                <a:pt x="310685"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uk-UA" sz="900" kern="1200"/>
        </a:p>
      </dsp:txBody>
      <dsp:txXfrm>
        <a:off x="2086541" y="1504785"/>
        <a:ext cx="134104" cy="134104"/>
      </dsp:txXfrm>
    </dsp:sp>
    <dsp:sp modelId="{03B4360A-CA12-430C-AF5E-D13B0A90E68E}">
      <dsp:nvSpPr>
        <dsp:cNvPr id="0" name=""/>
        <dsp:cNvSpPr/>
      </dsp:nvSpPr>
      <dsp:spPr>
        <a:xfrm rot="16200000">
          <a:off x="515115" y="2667051"/>
          <a:ext cx="2492664" cy="473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Тип контенту за цілями</a:t>
          </a:r>
        </a:p>
      </dsp:txBody>
      <dsp:txXfrm>
        <a:off x="515115" y="2667051"/>
        <a:ext cx="2492664" cy="473606"/>
      </dsp:txXfrm>
    </dsp:sp>
    <dsp:sp modelId="{AC0A62B1-48A2-4820-A729-F9F9F6C72E7B}">
      <dsp:nvSpPr>
        <dsp:cNvPr id="0" name=""/>
        <dsp:cNvSpPr/>
      </dsp:nvSpPr>
      <dsp:spPr>
        <a:xfrm>
          <a:off x="2308936" y="3016"/>
          <a:ext cx="1553428" cy="473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Інформаційний</a:t>
          </a:r>
        </a:p>
      </dsp:txBody>
      <dsp:txXfrm>
        <a:off x="2308936" y="3016"/>
        <a:ext cx="1553428" cy="473606"/>
      </dsp:txXfrm>
    </dsp:sp>
    <dsp:sp modelId="{D6D86647-DC77-4D37-9285-6FA197682DED}">
      <dsp:nvSpPr>
        <dsp:cNvPr id="0" name=""/>
        <dsp:cNvSpPr/>
      </dsp:nvSpPr>
      <dsp:spPr>
        <a:xfrm>
          <a:off x="2308936" y="595024"/>
          <a:ext cx="1553428" cy="473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Рекламний</a:t>
          </a:r>
        </a:p>
      </dsp:txBody>
      <dsp:txXfrm>
        <a:off x="2308936" y="595024"/>
        <a:ext cx="1553428" cy="473606"/>
      </dsp:txXfrm>
    </dsp:sp>
    <dsp:sp modelId="{B952978C-86C5-47C4-A035-82A4AA8558AC}">
      <dsp:nvSpPr>
        <dsp:cNvPr id="0" name=""/>
        <dsp:cNvSpPr/>
      </dsp:nvSpPr>
      <dsp:spPr>
        <a:xfrm>
          <a:off x="2308936" y="1187032"/>
          <a:ext cx="1553428" cy="473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Репутаційний </a:t>
          </a:r>
        </a:p>
      </dsp:txBody>
      <dsp:txXfrm>
        <a:off x="2308936" y="1187032"/>
        <a:ext cx="1553428" cy="473606"/>
      </dsp:txXfrm>
    </dsp:sp>
    <dsp:sp modelId="{5AD0C728-4D23-4C3B-86B1-83A0DB0B05D5}">
      <dsp:nvSpPr>
        <dsp:cNvPr id="0" name=""/>
        <dsp:cNvSpPr/>
      </dsp:nvSpPr>
      <dsp:spPr>
        <a:xfrm>
          <a:off x="2308936" y="1779040"/>
          <a:ext cx="1553428" cy="473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Залучаючий (інтерактивний) </a:t>
          </a:r>
        </a:p>
      </dsp:txBody>
      <dsp:txXfrm>
        <a:off x="2308936" y="1779040"/>
        <a:ext cx="1553428" cy="473606"/>
      </dsp:txXfrm>
    </dsp:sp>
    <dsp:sp modelId="{3E77D464-5336-47CD-B39D-5F9649AEB89A}">
      <dsp:nvSpPr>
        <dsp:cNvPr id="0" name=""/>
        <dsp:cNvSpPr/>
      </dsp:nvSpPr>
      <dsp:spPr>
        <a:xfrm>
          <a:off x="2308936" y="2371047"/>
          <a:ext cx="1553428" cy="473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Розважальний </a:t>
          </a:r>
        </a:p>
      </dsp:txBody>
      <dsp:txXfrm>
        <a:off x="2308936" y="2371047"/>
        <a:ext cx="1553428" cy="473606"/>
      </dsp:txXfrm>
    </dsp:sp>
    <dsp:sp modelId="{5C4F5628-9399-4455-8F55-EC39FF55E543}">
      <dsp:nvSpPr>
        <dsp:cNvPr id="0" name=""/>
        <dsp:cNvSpPr/>
      </dsp:nvSpPr>
      <dsp:spPr>
        <a:xfrm>
          <a:off x="2308936" y="2963055"/>
          <a:ext cx="1553428" cy="473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Вірусний </a:t>
          </a:r>
        </a:p>
      </dsp:txBody>
      <dsp:txXfrm>
        <a:off x="2308936" y="2963055"/>
        <a:ext cx="1553428" cy="473606"/>
      </dsp:txXfrm>
    </dsp:sp>
    <dsp:sp modelId="{648E8F44-4E8B-4C44-AF47-FDEF99632FA1}">
      <dsp:nvSpPr>
        <dsp:cNvPr id="0" name=""/>
        <dsp:cNvSpPr/>
      </dsp:nvSpPr>
      <dsp:spPr>
        <a:xfrm>
          <a:off x="2308936" y="3555063"/>
          <a:ext cx="1553428" cy="473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Навчальний </a:t>
          </a:r>
        </a:p>
      </dsp:txBody>
      <dsp:txXfrm>
        <a:off x="2308936" y="3555063"/>
        <a:ext cx="1553428" cy="473606"/>
      </dsp:txXfrm>
    </dsp:sp>
    <dsp:sp modelId="{388D9CE7-C671-42E2-BA7C-A3650E299443}">
      <dsp:nvSpPr>
        <dsp:cNvPr id="0" name=""/>
        <dsp:cNvSpPr/>
      </dsp:nvSpPr>
      <dsp:spPr>
        <a:xfrm>
          <a:off x="2308936" y="4147071"/>
          <a:ext cx="1553428" cy="473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Контент користувачів</a:t>
          </a:r>
        </a:p>
      </dsp:txBody>
      <dsp:txXfrm>
        <a:off x="2308936" y="4147071"/>
        <a:ext cx="1553428" cy="473606"/>
      </dsp:txXfrm>
    </dsp:sp>
    <dsp:sp modelId="{DE94F4D5-3ABF-4A51-99EE-090D5A37D18C}">
      <dsp:nvSpPr>
        <dsp:cNvPr id="0" name=""/>
        <dsp:cNvSpPr/>
      </dsp:nvSpPr>
      <dsp:spPr>
        <a:xfrm>
          <a:off x="2308936" y="4739079"/>
          <a:ext cx="1553428" cy="473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Експертний</a:t>
          </a:r>
        </a:p>
      </dsp:txBody>
      <dsp:txXfrm>
        <a:off x="2308936" y="4739079"/>
        <a:ext cx="1553428" cy="473606"/>
      </dsp:txXfrm>
    </dsp:sp>
    <dsp:sp modelId="{D443DCD4-832C-4088-89B1-C68E9217A62A}">
      <dsp:nvSpPr>
        <dsp:cNvPr id="0" name=""/>
        <dsp:cNvSpPr/>
      </dsp:nvSpPr>
      <dsp:spPr>
        <a:xfrm>
          <a:off x="2308936" y="5331087"/>
          <a:ext cx="1553428" cy="473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latin typeface="Times New Roman" pitchFamily="18" charset="0"/>
              <a:cs typeface="Times New Roman" pitchFamily="18" charset="0"/>
            </a:rPr>
            <a:t>Сервісний</a:t>
          </a:r>
        </a:p>
      </dsp:txBody>
      <dsp:txXfrm>
        <a:off x="2308936" y="5331087"/>
        <a:ext cx="1553428" cy="473606"/>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B4D6E0-CA5E-45AF-A718-CB65F6C14369}">
      <dsp:nvSpPr>
        <dsp:cNvPr id="0" name=""/>
        <dsp:cNvSpPr/>
      </dsp:nvSpPr>
      <dsp:spPr>
        <a:xfrm>
          <a:off x="676295" y="2395"/>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dirty="0">
              <a:latin typeface="Times New Roman" pitchFamily="18" charset="0"/>
              <a:cs typeface="Times New Roman" pitchFamily="18" charset="0"/>
            </a:rPr>
            <a:t>Статті, пости, історії, повідомлення, огляди</a:t>
          </a:r>
        </a:p>
      </dsp:txBody>
      <dsp:txXfrm>
        <a:off x="676295" y="2395"/>
        <a:ext cx="1357040" cy="814224"/>
      </dsp:txXfrm>
    </dsp:sp>
    <dsp:sp modelId="{384A8514-6033-445D-9948-625385818A20}">
      <dsp:nvSpPr>
        <dsp:cNvPr id="0" name=""/>
        <dsp:cNvSpPr/>
      </dsp:nvSpPr>
      <dsp:spPr>
        <a:xfrm>
          <a:off x="2169040" y="2395"/>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Кейси, навчальні матеріали, майстер-клас, треніг</a:t>
          </a:r>
        </a:p>
      </dsp:txBody>
      <dsp:txXfrm>
        <a:off x="2169040" y="2395"/>
        <a:ext cx="1357040" cy="814224"/>
      </dsp:txXfrm>
    </dsp:sp>
    <dsp:sp modelId="{3FBBABA4-6D4D-4DF7-807A-DD70E57FFF30}">
      <dsp:nvSpPr>
        <dsp:cNvPr id="0" name=""/>
        <dsp:cNvSpPr/>
      </dsp:nvSpPr>
      <dsp:spPr>
        <a:xfrm>
          <a:off x="3661785" y="2395"/>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Аудіо, подкаст</a:t>
          </a:r>
        </a:p>
      </dsp:txBody>
      <dsp:txXfrm>
        <a:off x="3661785" y="2395"/>
        <a:ext cx="1357040" cy="814224"/>
      </dsp:txXfrm>
    </dsp:sp>
    <dsp:sp modelId="{E86200C3-868B-409E-BE69-7E844A471BBF}">
      <dsp:nvSpPr>
        <dsp:cNvPr id="0" name=""/>
        <dsp:cNvSpPr/>
      </dsp:nvSpPr>
      <dsp:spPr>
        <a:xfrm>
          <a:off x="676295" y="952324"/>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dirty="0" err="1">
              <a:latin typeface="Times New Roman" pitchFamily="18" charset="0"/>
              <a:cs typeface="Times New Roman" pitchFamily="18" charset="0"/>
            </a:rPr>
            <a:t>Інфографіка</a:t>
          </a:r>
          <a:r>
            <a:rPr lang="uk-UA" sz="1100" kern="1200" dirty="0">
              <a:latin typeface="Times New Roman" pitchFamily="18" charset="0"/>
              <a:cs typeface="Times New Roman" pitchFamily="18" charset="0"/>
            </a:rPr>
            <a:t>, аналітичні огляди, схеми, інтелект-мапи, звіти</a:t>
          </a:r>
        </a:p>
      </dsp:txBody>
      <dsp:txXfrm>
        <a:off x="676295" y="952324"/>
        <a:ext cx="1357040" cy="814224"/>
      </dsp:txXfrm>
    </dsp:sp>
    <dsp:sp modelId="{FEDA1E22-D1FB-4CBF-89BB-74B2FFE7D9CC}">
      <dsp:nvSpPr>
        <dsp:cNvPr id="0" name=""/>
        <dsp:cNvSpPr/>
      </dsp:nvSpPr>
      <dsp:spPr>
        <a:xfrm>
          <a:off x="2169040" y="952324"/>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Презентації, виступи, майстер-класи</a:t>
          </a:r>
        </a:p>
      </dsp:txBody>
      <dsp:txXfrm>
        <a:off x="2169040" y="952324"/>
        <a:ext cx="1357040" cy="814224"/>
      </dsp:txXfrm>
    </dsp:sp>
    <dsp:sp modelId="{8975B19F-C77A-405A-BB5B-A0EBDC7A53B0}">
      <dsp:nvSpPr>
        <dsp:cNvPr id="0" name=""/>
        <dsp:cNvSpPr/>
      </dsp:nvSpPr>
      <dsp:spPr>
        <a:xfrm>
          <a:off x="3661785" y="952324"/>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dirty="0">
              <a:latin typeface="Times New Roman" pitchFamily="18" charset="0"/>
              <a:cs typeface="Times New Roman" pitchFamily="18" charset="0"/>
            </a:rPr>
            <a:t>Відео, прямі ефіри, </a:t>
          </a:r>
          <a:r>
            <a:rPr lang="uk-UA" sz="1100" kern="1200" dirty="0" err="1">
              <a:latin typeface="Times New Roman" pitchFamily="18" charset="0"/>
              <a:cs typeface="Times New Roman" pitchFamily="18" charset="0"/>
            </a:rPr>
            <a:t>вебінари</a:t>
          </a:r>
          <a:r>
            <a:rPr lang="uk-UA" sz="1100" kern="1200" dirty="0">
              <a:latin typeface="Times New Roman" pitchFamily="18" charset="0"/>
              <a:cs typeface="Times New Roman" pitchFamily="18" charset="0"/>
            </a:rPr>
            <a:t>, </a:t>
          </a:r>
          <a:r>
            <a:rPr lang="uk-UA" sz="1100" kern="1200" dirty="0" err="1">
              <a:latin typeface="Times New Roman" pitchFamily="18" charset="0"/>
              <a:cs typeface="Times New Roman" pitchFamily="18" charset="0"/>
            </a:rPr>
            <a:t>сторіз, онлайн-курси, уроки, віртуальні екскурсії</a:t>
          </a:r>
          <a:endParaRPr lang="uk-UA" sz="1100" kern="1200" dirty="0">
            <a:latin typeface="Times New Roman" pitchFamily="18" charset="0"/>
            <a:cs typeface="Times New Roman" pitchFamily="18" charset="0"/>
          </a:endParaRPr>
        </a:p>
      </dsp:txBody>
      <dsp:txXfrm>
        <a:off x="3661785" y="952324"/>
        <a:ext cx="1357040" cy="814224"/>
      </dsp:txXfrm>
    </dsp:sp>
    <dsp:sp modelId="{F3A28015-7479-4938-9E10-F92A6083F0AD}">
      <dsp:nvSpPr>
        <dsp:cNvPr id="0" name=""/>
        <dsp:cNvSpPr/>
      </dsp:nvSpPr>
      <dsp:spPr>
        <a:xfrm>
          <a:off x="676295" y="1902252"/>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Рубрики, лайфхаки,  поради, підбірки, консультації</a:t>
          </a:r>
        </a:p>
      </dsp:txBody>
      <dsp:txXfrm>
        <a:off x="676295" y="1902252"/>
        <a:ext cx="1357040" cy="814224"/>
      </dsp:txXfrm>
    </dsp:sp>
    <dsp:sp modelId="{2499945E-0660-4735-99D6-751B7930D734}">
      <dsp:nvSpPr>
        <dsp:cNvPr id="0" name=""/>
        <dsp:cNvSpPr/>
      </dsp:nvSpPr>
      <dsp:spPr>
        <a:xfrm>
          <a:off x="2169040" y="1902252"/>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Відгуки, опитування, рецензії</a:t>
          </a:r>
        </a:p>
      </dsp:txBody>
      <dsp:txXfrm>
        <a:off x="2169040" y="1902252"/>
        <a:ext cx="1357040" cy="814224"/>
      </dsp:txXfrm>
    </dsp:sp>
    <dsp:sp modelId="{29CE54C6-B9B3-41C1-8699-28C38B7C51CE}">
      <dsp:nvSpPr>
        <dsp:cNvPr id="0" name=""/>
        <dsp:cNvSpPr/>
      </dsp:nvSpPr>
      <dsp:spPr>
        <a:xfrm>
          <a:off x="3661785" y="1902252"/>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Реклама, анонси, паблісіті</a:t>
          </a:r>
        </a:p>
      </dsp:txBody>
      <dsp:txXfrm>
        <a:off x="3661785" y="1902252"/>
        <a:ext cx="1357040" cy="814224"/>
      </dsp:txXfrm>
    </dsp:sp>
    <dsp:sp modelId="{4811CDE2-8ACF-4A2C-83B2-58AB22495A84}">
      <dsp:nvSpPr>
        <dsp:cNvPr id="0" name=""/>
        <dsp:cNvSpPr/>
      </dsp:nvSpPr>
      <dsp:spPr>
        <a:xfrm>
          <a:off x="676295" y="2852181"/>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Новини, прес-релізи, хроніки</a:t>
          </a:r>
        </a:p>
      </dsp:txBody>
      <dsp:txXfrm>
        <a:off x="676295" y="2852181"/>
        <a:ext cx="1357040" cy="814224"/>
      </dsp:txXfrm>
    </dsp:sp>
    <dsp:sp modelId="{E04C1BA2-6056-4F36-85A8-4D3F7F5294A5}">
      <dsp:nvSpPr>
        <dsp:cNvPr id="0" name=""/>
        <dsp:cNvSpPr/>
      </dsp:nvSpPr>
      <dsp:spPr>
        <a:xfrm>
          <a:off x="2169040" y="2852181"/>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dirty="0">
              <a:latin typeface="Times New Roman" pitchFamily="18" charset="0"/>
              <a:cs typeface="Times New Roman" pitchFamily="18" charset="0"/>
            </a:rPr>
            <a:t>Фото, картинки, </a:t>
          </a:r>
          <a:r>
            <a:rPr lang="uk-UA" sz="1100" kern="1200" dirty="0" err="1">
              <a:latin typeface="Times New Roman" pitchFamily="18" charset="0"/>
              <a:cs typeface="Times New Roman" pitchFamily="18" charset="0"/>
            </a:rPr>
            <a:t>меми</a:t>
          </a:r>
          <a:r>
            <a:rPr lang="uk-UA" sz="1100" kern="1200" dirty="0">
              <a:latin typeface="Times New Roman" pitchFamily="18" charset="0"/>
              <a:cs typeface="Times New Roman" pitchFamily="18" charset="0"/>
            </a:rPr>
            <a:t>, скріншот, колаж, ілюстрація</a:t>
          </a:r>
        </a:p>
      </dsp:txBody>
      <dsp:txXfrm>
        <a:off x="2169040" y="2852181"/>
        <a:ext cx="1357040" cy="814224"/>
      </dsp:txXfrm>
    </dsp:sp>
    <dsp:sp modelId="{54E83B21-79D2-430E-906F-6E23B67973EE}">
      <dsp:nvSpPr>
        <dsp:cNvPr id="0" name=""/>
        <dsp:cNvSpPr/>
      </dsp:nvSpPr>
      <dsp:spPr>
        <a:xfrm>
          <a:off x="3661785" y="2852181"/>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Електронні книги, журнали, комікси</a:t>
          </a:r>
        </a:p>
      </dsp:txBody>
      <dsp:txXfrm>
        <a:off x="3661785" y="2852181"/>
        <a:ext cx="1357040" cy="814224"/>
      </dsp:txXfrm>
    </dsp:sp>
    <dsp:sp modelId="{5D748867-B06E-4E0A-ABB6-EDA2E8C528B4}">
      <dsp:nvSpPr>
        <dsp:cNvPr id="0" name=""/>
        <dsp:cNvSpPr/>
      </dsp:nvSpPr>
      <dsp:spPr>
        <a:xfrm>
          <a:off x="676295" y="3802109"/>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Питання/ відповідь, обговорення, дебати</a:t>
          </a:r>
        </a:p>
      </dsp:txBody>
      <dsp:txXfrm>
        <a:off x="676295" y="3802109"/>
        <a:ext cx="1357040" cy="814224"/>
      </dsp:txXfrm>
    </dsp:sp>
    <dsp:sp modelId="{DC057431-5570-4200-AF68-3A78F2596674}">
      <dsp:nvSpPr>
        <dsp:cNvPr id="0" name=""/>
        <dsp:cNvSpPr/>
      </dsp:nvSpPr>
      <dsp:spPr>
        <a:xfrm>
          <a:off x="2169040" y="3802109"/>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dirty="0" err="1">
              <a:latin typeface="Times New Roman" pitchFamily="18" charset="0"/>
              <a:cs typeface="Times New Roman" pitchFamily="18" charset="0"/>
            </a:rPr>
            <a:t>Інтерактив</a:t>
          </a:r>
          <a:r>
            <a:rPr lang="uk-UA" sz="1100" kern="1200" dirty="0">
              <a:latin typeface="Times New Roman" pitchFamily="18" charset="0"/>
              <a:cs typeface="Times New Roman" pitchFamily="18" charset="0"/>
            </a:rPr>
            <a:t> (вікторини, тести, ігри, </a:t>
          </a:r>
          <a:r>
            <a:rPr lang="uk-UA" sz="1100" kern="1200" dirty="0" err="1">
              <a:latin typeface="Times New Roman" pitchFamily="18" charset="0"/>
              <a:cs typeface="Times New Roman" pitchFamily="18" charset="0"/>
            </a:rPr>
            <a:t>флешмоб</a:t>
          </a:r>
          <a:r>
            <a:rPr lang="uk-UA" sz="1100" kern="1200" dirty="0">
              <a:latin typeface="Times New Roman" pitchFamily="18" charset="0"/>
              <a:cs typeface="Times New Roman" pitchFamily="18" charset="0"/>
            </a:rPr>
            <a:t>, </a:t>
          </a:r>
          <a:r>
            <a:rPr lang="uk-UA" sz="1100" kern="1200" dirty="0" err="1">
              <a:latin typeface="Times New Roman" pitchFamily="18" charset="0"/>
              <a:cs typeface="Times New Roman" pitchFamily="18" charset="0"/>
            </a:rPr>
            <a:t>челендж</a:t>
          </a:r>
          <a:r>
            <a:rPr lang="uk-UA" sz="1100" kern="1200" dirty="0">
              <a:latin typeface="Times New Roman" pitchFamily="18" charset="0"/>
              <a:cs typeface="Times New Roman" pitchFamily="18" charset="0"/>
            </a:rPr>
            <a:t>, конкурс, розіграш, марафон, квіз)</a:t>
          </a:r>
        </a:p>
      </dsp:txBody>
      <dsp:txXfrm>
        <a:off x="2169040" y="3802109"/>
        <a:ext cx="1357040" cy="814224"/>
      </dsp:txXfrm>
    </dsp:sp>
    <dsp:sp modelId="{93898EB3-DD07-451D-9622-7E899CAC398F}">
      <dsp:nvSpPr>
        <dsp:cNvPr id="0" name=""/>
        <dsp:cNvSpPr/>
      </dsp:nvSpPr>
      <dsp:spPr>
        <a:xfrm>
          <a:off x="3661785" y="3802109"/>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dirty="0">
              <a:latin typeface="Times New Roman" pitchFamily="18" charset="0"/>
              <a:cs typeface="Times New Roman" pitchFamily="18" charset="0"/>
            </a:rPr>
            <a:t>Інтерв'ю, цитати, експертна думка</a:t>
          </a:r>
          <a:r>
            <a:rPr lang="uk-UA" sz="1400" kern="1200" dirty="0">
              <a:latin typeface="Times New Roman" pitchFamily="18" charset="0"/>
              <a:cs typeface="Times New Roman" pitchFamily="18" charset="0"/>
            </a:rPr>
            <a:t> </a:t>
          </a:r>
        </a:p>
      </dsp:txBody>
      <dsp:txXfrm>
        <a:off x="3661785" y="3802109"/>
        <a:ext cx="1357040" cy="814224"/>
      </dsp:txXfrm>
    </dsp:sp>
    <dsp:sp modelId="{16A02FE2-B928-4E91-8732-53E3D437F6A3}">
      <dsp:nvSpPr>
        <dsp:cNvPr id="0" name=""/>
        <dsp:cNvSpPr/>
      </dsp:nvSpPr>
      <dsp:spPr>
        <a:xfrm>
          <a:off x="676295" y="4752038"/>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Інструкції, чек-листи, інформаційні бюлетені, FAQ, гайди, база знань</a:t>
          </a:r>
        </a:p>
      </dsp:txBody>
      <dsp:txXfrm>
        <a:off x="676295" y="4752038"/>
        <a:ext cx="1357040" cy="814224"/>
      </dsp:txXfrm>
    </dsp:sp>
    <dsp:sp modelId="{7A4F2193-64A4-4215-B4DD-4CFAC1B72958}">
      <dsp:nvSpPr>
        <dsp:cNvPr id="0" name=""/>
        <dsp:cNvSpPr/>
      </dsp:nvSpPr>
      <dsp:spPr>
        <a:xfrm>
          <a:off x="2169040" y="4752038"/>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Комерційна пропозиція, діловий лист, лід-магніти</a:t>
          </a:r>
        </a:p>
      </dsp:txBody>
      <dsp:txXfrm>
        <a:off x="2169040" y="4752038"/>
        <a:ext cx="1357040" cy="814224"/>
      </dsp:txXfrm>
    </dsp:sp>
    <dsp:sp modelId="{BE5CFEFA-ABAB-4CC1-98BF-6D34C4AA5C38}">
      <dsp:nvSpPr>
        <dsp:cNvPr id="0" name=""/>
        <dsp:cNvSpPr/>
      </dsp:nvSpPr>
      <dsp:spPr>
        <a:xfrm>
          <a:off x="3661785" y="4752038"/>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Лонгрід, текстова трансляція</a:t>
          </a:r>
        </a:p>
      </dsp:txBody>
      <dsp:txXfrm>
        <a:off x="3661785" y="4752038"/>
        <a:ext cx="1357040" cy="814224"/>
      </dsp:txXfrm>
    </dsp:sp>
    <dsp:sp modelId="{778D4B02-70A4-44C3-A8C1-7DD2890FAB3D}">
      <dsp:nvSpPr>
        <dsp:cNvPr id="0" name=""/>
        <dsp:cNvSpPr/>
      </dsp:nvSpPr>
      <dsp:spPr>
        <a:xfrm>
          <a:off x="676295" y="5701966"/>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Анімація, карусель, сінемаграфіка, бумеранг</a:t>
          </a:r>
        </a:p>
      </dsp:txBody>
      <dsp:txXfrm>
        <a:off x="676295" y="5701966"/>
        <a:ext cx="1357040" cy="814224"/>
      </dsp:txXfrm>
    </dsp:sp>
    <dsp:sp modelId="{14424504-BFB4-426C-9301-09E6C0012D06}">
      <dsp:nvSpPr>
        <dsp:cNvPr id="0" name=""/>
        <dsp:cNvSpPr/>
      </dsp:nvSpPr>
      <dsp:spPr>
        <a:xfrm>
          <a:off x="2169040" y="5701966"/>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Статуси, підписи</a:t>
          </a:r>
        </a:p>
      </dsp:txBody>
      <dsp:txXfrm>
        <a:off x="2169040" y="5701966"/>
        <a:ext cx="1357040" cy="814224"/>
      </dsp:txXfrm>
    </dsp:sp>
    <dsp:sp modelId="{D5F02F41-1F7F-4DC8-905B-88047C827B37}">
      <dsp:nvSpPr>
        <dsp:cNvPr id="0" name=""/>
        <dsp:cNvSpPr/>
      </dsp:nvSpPr>
      <dsp:spPr>
        <a:xfrm>
          <a:off x="3661785" y="5701966"/>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Щоденнник, блог</a:t>
          </a:r>
        </a:p>
      </dsp:txBody>
      <dsp:txXfrm>
        <a:off x="3661785" y="5701966"/>
        <a:ext cx="1357040" cy="814224"/>
      </dsp:txXfrm>
    </dsp:sp>
    <dsp:sp modelId="{D5B53764-F8D9-40F0-8870-A4F425E5A2D9}">
      <dsp:nvSpPr>
        <dsp:cNvPr id="0" name=""/>
        <dsp:cNvSpPr/>
      </dsp:nvSpPr>
      <dsp:spPr>
        <a:xfrm>
          <a:off x="676295" y="6651895"/>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Історичні довідки, біографії</a:t>
          </a:r>
        </a:p>
      </dsp:txBody>
      <dsp:txXfrm>
        <a:off x="676295" y="6651895"/>
        <a:ext cx="1357040" cy="814224"/>
      </dsp:txXfrm>
    </dsp:sp>
    <dsp:sp modelId="{0C548B61-E8DF-4DD4-96CA-182DDAD523A2}">
      <dsp:nvSpPr>
        <dsp:cNvPr id="0" name=""/>
        <dsp:cNvSpPr/>
      </dsp:nvSpPr>
      <dsp:spPr>
        <a:xfrm>
          <a:off x="2169040" y="6651895"/>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Повідомлення в формі СМС, електронного листа, пуш-повідомлення</a:t>
          </a:r>
        </a:p>
      </dsp:txBody>
      <dsp:txXfrm>
        <a:off x="2169040" y="6651895"/>
        <a:ext cx="1357040" cy="814224"/>
      </dsp:txXfrm>
    </dsp:sp>
    <dsp:sp modelId="{DEEA0F84-D02C-4A32-9509-D5D2D4B88FDB}">
      <dsp:nvSpPr>
        <dsp:cNvPr id="0" name=""/>
        <dsp:cNvSpPr/>
      </dsp:nvSpPr>
      <dsp:spPr>
        <a:xfrm>
          <a:off x="3661785" y="6651895"/>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Калькулятори, веб-форми, конструктори, сервіси</a:t>
          </a:r>
        </a:p>
      </dsp:txBody>
      <dsp:txXfrm>
        <a:off x="3661785" y="6651895"/>
        <a:ext cx="1357040" cy="814224"/>
      </dsp:txXfrm>
    </dsp:sp>
    <dsp:sp modelId="{6C9B9BB0-69AB-462B-A5FB-8E9FA0D9F680}">
      <dsp:nvSpPr>
        <dsp:cNvPr id="0" name=""/>
        <dsp:cNvSpPr/>
      </dsp:nvSpPr>
      <dsp:spPr>
        <a:xfrm>
          <a:off x="676295" y="7601823"/>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Списки, рейтинги</a:t>
          </a:r>
        </a:p>
      </dsp:txBody>
      <dsp:txXfrm>
        <a:off x="676295" y="7601823"/>
        <a:ext cx="1357040" cy="814224"/>
      </dsp:txXfrm>
    </dsp:sp>
    <dsp:sp modelId="{A8516AE2-F5F5-4C2B-BDB3-64C29631B3B5}">
      <dsp:nvSpPr>
        <dsp:cNvPr id="0" name=""/>
        <dsp:cNvSpPr/>
      </dsp:nvSpPr>
      <dsp:spPr>
        <a:xfrm>
          <a:off x="2169040" y="7601823"/>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Матеріали для завантаження</a:t>
          </a:r>
        </a:p>
      </dsp:txBody>
      <dsp:txXfrm>
        <a:off x="2169040" y="7601823"/>
        <a:ext cx="1357040" cy="814224"/>
      </dsp:txXfrm>
    </dsp:sp>
    <dsp:sp modelId="{AFF506CD-DBA4-4FCB-83D9-F03B62E11A76}">
      <dsp:nvSpPr>
        <dsp:cNvPr id="0" name=""/>
        <dsp:cNvSpPr/>
      </dsp:nvSpPr>
      <dsp:spPr>
        <a:xfrm>
          <a:off x="3661785" y="7601823"/>
          <a:ext cx="1357040" cy="8142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latin typeface="Times New Roman" pitchFamily="18" charset="0"/>
              <a:cs typeface="Times New Roman" pitchFamily="18" charset="0"/>
            </a:rPr>
            <a:t>Ігрові формати, </a:t>
          </a:r>
          <a:r>
            <a:rPr lang="en-US" sz="1100" kern="1200">
              <a:latin typeface="Times New Roman" pitchFamily="18" charset="0"/>
              <a:cs typeface="Times New Roman" pitchFamily="18" charset="0"/>
            </a:rPr>
            <a:t>AR</a:t>
          </a:r>
          <a:r>
            <a:rPr lang="uk-UA" sz="1100" kern="1200">
              <a:latin typeface="Times New Roman" pitchFamily="18" charset="0"/>
              <a:cs typeface="Times New Roman" pitchFamily="18" charset="0"/>
            </a:rPr>
            <a:t>-технологія </a:t>
          </a:r>
        </a:p>
      </dsp:txBody>
      <dsp:txXfrm>
        <a:off x="3661785" y="7601823"/>
        <a:ext cx="1357040" cy="814224"/>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DF3F21-FDBE-46FF-8B56-6492BEE16B57}">
      <dsp:nvSpPr>
        <dsp:cNvPr id="0" name=""/>
        <dsp:cNvSpPr/>
      </dsp:nvSpPr>
      <dsp:spPr>
        <a:xfrm>
          <a:off x="0" y="298412"/>
          <a:ext cx="5814392" cy="252000"/>
        </a:xfrm>
        <a:prstGeom prst="rect">
          <a:avLst/>
        </a:prstGeom>
        <a:solidFill>
          <a:sysClr val="window" lastClr="FFFFFF">
            <a:alpha val="90000"/>
          </a:sysClr>
        </a:solidFill>
        <a:ln w="9525" cap="flat" cmpd="sng" algn="ctr">
          <a:solidFill>
            <a:scrgbClr r="0" g="0" b="0"/>
          </a:solidFill>
          <a:prstDash val="solid"/>
          <a:miter lim="800000"/>
        </a:ln>
        <a:effectLst/>
      </dsp:spPr>
      <dsp:style>
        <a:lnRef idx="2">
          <a:scrgbClr r="0" g="0" b="0"/>
        </a:lnRef>
        <a:fillRef idx="1">
          <a:scrgbClr r="0" g="0" b="0"/>
        </a:fillRef>
        <a:effectRef idx="0">
          <a:scrgbClr r="0" g="0" b="0"/>
        </a:effectRef>
        <a:fontRef idx="minor"/>
      </dsp:style>
    </dsp:sp>
    <dsp:sp modelId="{EF9A3746-4C03-4E3F-8943-CB7F96DEF862}">
      <dsp:nvSpPr>
        <dsp:cNvPr id="0" name=""/>
        <dsp:cNvSpPr/>
      </dsp:nvSpPr>
      <dsp:spPr>
        <a:xfrm>
          <a:off x="287880" y="150812"/>
          <a:ext cx="5524410" cy="295200"/>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3839" tIns="0" rIns="153839" bIns="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визначення періоду планування</a:t>
          </a:r>
        </a:p>
      </dsp:txBody>
      <dsp:txXfrm>
        <a:off x="302290" y="165222"/>
        <a:ext cx="5495590" cy="266380"/>
      </dsp:txXfrm>
    </dsp:sp>
    <dsp:sp modelId="{B784BA78-EFFA-40D0-9A1C-7654C24D71DE}">
      <dsp:nvSpPr>
        <dsp:cNvPr id="0" name=""/>
        <dsp:cNvSpPr/>
      </dsp:nvSpPr>
      <dsp:spPr>
        <a:xfrm>
          <a:off x="0" y="752012"/>
          <a:ext cx="5814392" cy="252000"/>
        </a:xfrm>
        <a:prstGeom prst="rect">
          <a:avLst/>
        </a:prstGeom>
        <a:solidFill>
          <a:sysClr val="window" lastClr="FFFFFF"/>
        </a:solidFill>
        <a:ln w="9525"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sp>
    <dsp:sp modelId="{3306B807-2BDA-4694-93D0-498BED427E42}">
      <dsp:nvSpPr>
        <dsp:cNvPr id="0" name=""/>
        <dsp:cNvSpPr/>
      </dsp:nvSpPr>
      <dsp:spPr>
        <a:xfrm>
          <a:off x="286177" y="604412"/>
          <a:ext cx="5527940" cy="295200"/>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3839" tIns="0" rIns="153839" bIns="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аналіз поточної ситуації в кадровому забезпеченні </a:t>
          </a:r>
        </a:p>
      </dsp:txBody>
      <dsp:txXfrm>
        <a:off x="300587" y="618822"/>
        <a:ext cx="5499120" cy="266380"/>
      </dsp:txXfrm>
    </dsp:sp>
    <dsp:sp modelId="{B0FC8A80-0B14-4E79-827F-49CAB1113DCF}">
      <dsp:nvSpPr>
        <dsp:cNvPr id="0" name=""/>
        <dsp:cNvSpPr/>
      </dsp:nvSpPr>
      <dsp:spPr>
        <a:xfrm>
          <a:off x="0" y="1205612"/>
          <a:ext cx="5814392" cy="252000"/>
        </a:xfrm>
        <a:prstGeom prst="rect">
          <a:avLst/>
        </a:prstGeom>
        <a:solidFill>
          <a:sysClr val="window" lastClr="FFFFFF"/>
        </a:solidFill>
        <a:ln w="9525" cap="flat" cmpd="sng" algn="ctr">
          <a:solidFill>
            <a:sysClr val="windowText" lastClr="000000"/>
          </a:solidFill>
          <a:prstDash val="solid"/>
          <a:miter lim="800000"/>
        </a:ln>
        <a:effectLst/>
      </dsp:spPr>
      <dsp:style>
        <a:lnRef idx="2">
          <a:schemeClr val="dk1"/>
        </a:lnRef>
        <a:fillRef idx="1">
          <a:schemeClr val="lt1"/>
        </a:fillRef>
        <a:effectRef idx="0">
          <a:schemeClr val="dk1"/>
        </a:effectRef>
        <a:fontRef idx="minor">
          <a:schemeClr val="dk1"/>
        </a:fontRef>
      </dsp:style>
    </dsp:sp>
    <dsp:sp modelId="{700E922F-3840-4A82-ACC8-78E58A822CDC}">
      <dsp:nvSpPr>
        <dsp:cNvPr id="0" name=""/>
        <dsp:cNvSpPr/>
      </dsp:nvSpPr>
      <dsp:spPr>
        <a:xfrm>
          <a:off x="276808" y="1058012"/>
          <a:ext cx="5536158" cy="295200"/>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3839" tIns="0" rIns="153839" bIns="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визначення цілей планування у відповідності зі стратегією організації  і обраної кадрової політики</a:t>
          </a:r>
        </a:p>
      </dsp:txBody>
      <dsp:txXfrm>
        <a:off x="291218" y="1072422"/>
        <a:ext cx="5507338" cy="266380"/>
      </dsp:txXfrm>
    </dsp:sp>
    <dsp:sp modelId="{3C38A770-5B4D-4BC5-90C2-7BCDCA6E3AA9}">
      <dsp:nvSpPr>
        <dsp:cNvPr id="0" name=""/>
        <dsp:cNvSpPr/>
      </dsp:nvSpPr>
      <dsp:spPr>
        <a:xfrm>
          <a:off x="0" y="1659212"/>
          <a:ext cx="5814392" cy="252000"/>
        </a:xfrm>
        <a:prstGeom prst="rect">
          <a:avLst/>
        </a:prstGeom>
        <a:solidFill>
          <a:sysClr val="window" lastClr="FFFFFF">
            <a:alpha val="90000"/>
          </a:sysClr>
        </a:solidFill>
        <a:ln w="9525" cap="flat" cmpd="sng" algn="ctr">
          <a:solidFill>
            <a:scrgbClr r="0" g="0" b="0"/>
          </a:solidFill>
          <a:prstDash val="solid"/>
          <a:miter lim="800000"/>
        </a:ln>
        <a:effectLst/>
      </dsp:spPr>
      <dsp:style>
        <a:lnRef idx="2">
          <a:scrgbClr r="0" g="0" b="0"/>
        </a:lnRef>
        <a:fillRef idx="1">
          <a:scrgbClr r="0" g="0" b="0"/>
        </a:fillRef>
        <a:effectRef idx="0">
          <a:scrgbClr r="0" g="0" b="0"/>
        </a:effectRef>
        <a:fontRef idx="minor"/>
      </dsp:style>
    </dsp:sp>
    <dsp:sp modelId="{449F17E6-4A18-4F5D-959D-499407927614}">
      <dsp:nvSpPr>
        <dsp:cNvPr id="0" name=""/>
        <dsp:cNvSpPr/>
      </dsp:nvSpPr>
      <dsp:spPr>
        <a:xfrm>
          <a:off x="373197" y="1511612"/>
          <a:ext cx="5436770" cy="295200"/>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3839" tIns="0" rIns="153839" bIns="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виявлення можливостей, обмежень , можливих проблем, загроз</a:t>
          </a:r>
        </a:p>
      </dsp:txBody>
      <dsp:txXfrm>
        <a:off x="387607" y="1526022"/>
        <a:ext cx="5407950" cy="266380"/>
      </dsp:txXfrm>
    </dsp:sp>
    <dsp:sp modelId="{0B2DF46C-F52F-4C0F-B3BA-3686B8FB6436}">
      <dsp:nvSpPr>
        <dsp:cNvPr id="0" name=""/>
        <dsp:cNvSpPr/>
      </dsp:nvSpPr>
      <dsp:spPr>
        <a:xfrm>
          <a:off x="0" y="2112812"/>
          <a:ext cx="5814392" cy="252000"/>
        </a:xfrm>
        <a:prstGeom prst="rect">
          <a:avLst/>
        </a:prstGeom>
        <a:solidFill>
          <a:sysClr val="window" lastClr="FFFFFF">
            <a:alpha val="90000"/>
          </a:sysClr>
        </a:solidFill>
        <a:ln w="9525" cap="flat" cmpd="sng" algn="ctr">
          <a:solidFill>
            <a:scrgbClr r="0" g="0" b="0"/>
          </a:solidFill>
          <a:prstDash val="solid"/>
          <a:miter lim="800000"/>
        </a:ln>
        <a:effectLst/>
      </dsp:spPr>
      <dsp:style>
        <a:lnRef idx="2">
          <a:scrgbClr r="0" g="0" b="0"/>
        </a:lnRef>
        <a:fillRef idx="1">
          <a:scrgbClr r="0" g="0" b="0"/>
        </a:fillRef>
        <a:effectRef idx="0">
          <a:scrgbClr r="0" g="0" b="0"/>
        </a:effectRef>
        <a:fontRef idx="minor"/>
      </dsp:style>
    </dsp:sp>
    <dsp:sp modelId="{7A545A8E-5A4D-49A1-BCF5-F0B087FD794F}">
      <dsp:nvSpPr>
        <dsp:cNvPr id="0" name=""/>
        <dsp:cNvSpPr/>
      </dsp:nvSpPr>
      <dsp:spPr>
        <a:xfrm>
          <a:off x="408992" y="1965212"/>
          <a:ext cx="5403260" cy="295200"/>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3839" tIns="0" rIns="153839" bIns="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встановлення параметрів кількісного та якісного розвитку персоналу</a:t>
          </a:r>
        </a:p>
      </dsp:txBody>
      <dsp:txXfrm>
        <a:off x="423402" y="1979622"/>
        <a:ext cx="5374440" cy="266380"/>
      </dsp:txXfrm>
    </dsp:sp>
    <dsp:sp modelId="{79E8F449-1886-4CFA-B62B-31060A026562}">
      <dsp:nvSpPr>
        <dsp:cNvPr id="0" name=""/>
        <dsp:cNvSpPr/>
      </dsp:nvSpPr>
      <dsp:spPr>
        <a:xfrm>
          <a:off x="0" y="2699057"/>
          <a:ext cx="5814392" cy="252000"/>
        </a:xfrm>
        <a:prstGeom prst="rect">
          <a:avLst/>
        </a:prstGeom>
        <a:solidFill>
          <a:sysClr val="window" lastClr="FFFFFF">
            <a:alpha val="90000"/>
          </a:sysClr>
        </a:solidFill>
        <a:ln w="9525" cap="flat" cmpd="sng" algn="ctr">
          <a:solidFill>
            <a:scrgbClr r="0" g="0" b="0"/>
          </a:solidFill>
          <a:prstDash val="solid"/>
          <a:miter lim="800000"/>
        </a:ln>
        <a:effectLst/>
      </dsp:spPr>
      <dsp:style>
        <a:lnRef idx="2">
          <a:scrgbClr r="0" g="0" b="0"/>
        </a:lnRef>
        <a:fillRef idx="1">
          <a:scrgbClr r="0" g="0" b="0"/>
        </a:fillRef>
        <a:effectRef idx="0">
          <a:scrgbClr r="0" g="0" b="0"/>
        </a:effectRef>
        <a:fontRef idx="minor"/>
      </dsp:style>
    </dsp:sp>
    <dsp:sp modelId="{2BE28E10-B049-4560-9BC1-4576C10AFEC8}">
      <dsp:nvSpPr>
        <dsp:cNvPr id="0" name=""/>
        <dsp:cNvSpPr/>
      </dsp:nvSpPr>
      <dsp:spPr>
        <a:xfrm>
          <a:off x="386720" y="2418812"/>
          <a:ext cx="5422596" cy="427845"/>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3839" tIns="0" rIns="153839" bIns="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формування планів (набір персоналу, звільнення, кадрові переміщення, кадровий резерв, </a:t>
          </a:r>
        </a:p>
        <a:p>
          <a:pPr marL="0" lvl="0" indent="0" algn="ctr" defTabSz="444500">
            <a:lnSpc>
              <a:spcPct val="90000"/>
            </a:lnSpc>
            <a:spcBef>
              <a:spcPct val="0"/>
            </a:spcBef>
            <a:spcAft>
              <a:spcPct val="35000"/>
            </a:spcAft>
            <a:buNone/>
          </a:pP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навчання персоналу , атестація, стимулювання)</a:t>
          </a:r>
        </a:p>
      </dsp:txBody>
      <dsp:txXfrm>
        <a:off x="407606" y="2439698"/>
        <a:ext cx="5380824" cy="386073"/>
      </dsp:txXfrm>
    </dsp:sp>
    <dsp:sp modelId="{8A3022B5-A9EE-43F7-A9B7-301A88923BD5}">
      <dsp:nvSpPr>
        <dsp:cNvPr id="0" name=""/>
        <dsp:cNvSpPr/>
      </dsp:nvSpPr>
      <dsp:spPr>
        <a:xfrm>
          <a:off x="0" y="3152657"/>
          <a:ext cx="5814392" cy="252000"/>
        </a:xfrm>
        <a:prstGeom prst="rect">
          <a:avLst/>
        </a:prstGeom>
        <a:solidFill>
          <a:sysClr val="window" lastClr="FFFFFF">
            <a:alpha val="90000"/>
          </a:sysClr>
        </a:solidFill>
        <a:ln w="9525" cap="flat" cmpd="sng" algn="ctr">
          <a:solidFill>
            <a:scrgbClr r="0" g="0" b="0"/>
          </a:solidFill>
          <a:prstDash val="solid"/>
          <a:miter lim="800000"/>
        </a:ln>
        <a:effectLst/>
      </dsp:spPr>
      <dsp:style>
        <a:lnRef idx="2">
          <a:scrgbClr r="0" g="0" b="0"/>
        </a:lnRef>
        <a:fillRef idx="1">
          <a:scrgbClr r="0" g="0" b="0"/>
        </a:fillRef>
        <a:effectRef idx="0">
          <a:scrgbClr r="0" g="0" b="0"/>
        </a:effectRef>
        <a:fontRef idx="minor"/>
      </dsp:style>
    </dsp:sp>
    <dsp:sp modelId="{7B6E33CA-125F-47B1-92C3-822461E54A0C}">
      <dsp:nvSpPr>
        <dsp:cNvPr id="0" name=""/>
        <dsp:cNvSpPr/>
      </dsp:nvSpPr>
      <dsp:spPr>
        <a:xfrm>
          <a:off x="386720" y="3005057"/>
          <a:ext cx="5422596" cy="295200"/>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3839" tIns="0" rIns="153839" bIns="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складання зведеного календарного плану виконання заходів</a:t>
          </a:r>
        </a:p>
      </dsp:txBody>
      <dsp:txXfrm>
        <a:off x="401130" y="3019467"/>
        <a:ext cx="5393776" cy="266380"/>
      </dsp:txXfrm>
    </dsp:sp>
    <dsp:sp modelId="{5A8B84FA-CAAF-4BDC-8AEB-F981C6AEAB69}">
      <dsp:nvSpPr>
        <dsp:cNvPr id="0" name=""/>
        <dsp:cNvSpPr/>
      </dsp:nvSpPr>
      <dsp:spPr>
        <a:xfrm>
          <a:off x="0" y="3606257"/>
          <a:ext cx="5814392" cy="252000"/>
        </a:xfrm>
        <a:prstGeom prst="rect">
          <a:avLst/>
        </a:prstGeom>
        <a:solidFill>
          <a:sysClr val="window" lastClr="FFFFFF">
            <a:alpha val="90000"/>
          </a:sysClr>
        </a:solidFill>
        <a:ln w="9525" cap="flat" cmpd="sng" algn="ctr">
          <a:solidFill>
            <a:scrgbClr r="0" g="0" b="0"/>
          </a:solidFill>
          <a:prstDash val="solid"/>
          <a:miter lim="800000"/>
        </a:ln>
        <a:effectLst/>
      </dsp:spPr>
      <dsp:style>
        <a:lnRef idx="2">
          <a:scrgbClr r="0" g="0" b="0"/>
        </a:lnRef>
        <a:fillRef idx="1">
          <a:scrgbClr r="0" g="0" b="0"/>
        </a:fillRef>
        <a:effectRef idx="0">
          <a:scrgbClr r="0" g="0" b="0"/>
        </a:effectRef>
        <a:fontRef idx="minor"/>
      </dsp:style>
    </dsp:sp>
    <dsp:sp modelId="{BD2C244F-46EE-4383-81EB-F83DA11E779A}">
      <dsp:nvSpPr>
        <dsp:cNvPr id="0" name=""/>
        <dsp:cNvSpPr/>
      </dsp:nvSpPr>
      <dsp:spPr>
        <a:xfrm>
          <a:off x="390365" y="3458657"/>
          <a:ext cx="5422815" cy="295200"/>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3839" tIns="0" rIns="153839" bIns="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визначення бюджету планових дій (витрати, джерела покриття)</a:t>
          </a:r>
        </a:p>
      </dsp:txBody>
      <dsp:txXfrm>
        <a:off x="404775" y="3473067"/>
        <a:ext cx="5393995" cy="266380"/>
      </dsp:txXfrm>
    </dsp:sp>
    <dsp:sp modelId="{363F3797-C76B-437A-9ACE-B14188C45AD5}">
      <dsp:nvSpPr>
        <dsp:cNvPr id="0" name=""/>
        <dsp:cNvSpPr/>
      </dsp:nvSpPr>
      <dsp:spPr>
        <a:xfrm>
          <a:off x="0" y="4059857"/>
          <a:ext cx="5814392" cy="252000"/>
        </a:xfrm>
        <a:prstGeom prst="rect">
          <a:avLst/>
        </a:prstGeom>
        <a:solidFill>
          <a:sysClr val="window" lastClr="FFFFFF">
            <a:alpha val="90000"/>
          </a:sysClr>
        </a:solidFill>
        <a:ln w="9525" cap="flat" cmpd="sng" algn="ctr">
          <a:solidFill>
            <a:scrgbClr r="0" g="0" b="0"/>
          </a:solidFill>
          <a:prstDash val="solid"/>
          <a:miter lim="800000"/>
        </a:ln>
        <a:effectLst/>
      </dsp:spPr>
      <dsp:style>
        <a:lnRef idx="2">
          <a:scrgbClr r="0" g="0" b="0"/>
        </a:lnRef>
        <a:fillRef idx="1">
          <a:scrgbClr r="0" g="0" b="0"/>
        </a:fillRef>
        <a:effectRef idx="0">
          <a:scrgbClr r="0" g="0" b="0"/>
        </a:effectRef>
        <a:fontRef idx="minor"/>
      </dsp:style>
    </dsp:sp>
    <dsp:sp modelId="{92054103-BF60-4FBF-9932-D9CD7B2D311F}">
      <dsp:nvSpPr>
        <dsp:cNvPr id="0" name=""/>
        <dsp:cNvSpPr/>
      </dsp:nvSpPr>
      <dsp:spPr>
        <a:xfrm>
          <a:off x="386720" y="3912257"/>
          <a:ext cx="5422596" cy="295200"/>
        </a:xfrm>
        <a:prstGeom prst="roundRect">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3839" tIns="0" rIns="153839" bIns="0" numCol="1" spcCol="1270" anchor="ctr" anchorCtr="0">
          <a:noAutofit/>
        </a:bodyPr>
        <a:lstStyle/>
        <a:p>
          <a:pPr marL="0" lvl="0" indent="0" algn="ctr" defTabSz="444500">
            <a:lnSpc>
              <a:spcPct val="90000"/>
            </a:lnSpc>
            <a:spcBef>
              <a:spcPct val="0"/>
            </a:spcBef>
            <a:spcAft>
              <a:spcPct val="35000"/>
            </a:spcAft>
            <a:buNone/>
          </a:pPr>
          <a:r>
            <a:rPr lang="uk-UA" sz="10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розробка рекомендацій щодо впровадження плану</a:t>
          </a:r>
        </a:p>
      </dsp:txBody>
      <dsp:txXfrm>
        <a:off x="401130" y="3926667"/>
        <a:ext cx="5393776" cy="266380"/>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1210</TotalTime>
  <Pages>1</Pages>
  <Words>164405</Words>
  <Characters>937115</Characters>
  <Application>Microsoft Office Word</Application>
  <DocSecurity>0</DocSecurity>
  <Lines>7809</Lines>
  <Paragraphs>2198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1099322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96</cp:revision>
  <dcterms:created xsi:type="dcterms:W3CDTF">2024-02-27T11:06:00Z</dcterms:created>
  <dcterms:modified xsi:type="dcterms:W3CDTF">2024-03-31T20:12:00Z</dcterms:modified>
</cp:coreProperties>
</file>